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0172E" w14:textId="77777777" w:rsidR="004300F8" w:rsidRPr="00A61110" w:rsidRDefault="004300F8" w:rsidP="004300F8">
      <w:pPr>
        <w:spacing w:after="0" w:line="360" w:lineRule="auto"/>
        <w:rPr>
          <w:rFonts w:ascii="Arial" w:hAnsi="Arial" w:cs="Arial"/>
          <w:color w:val="000000" w:themeColor="text1"/>
          <w:sz w:val="22"/>
          <w:szCs w:val="22"/>
        </w:rPr>
      </w:pPr>
    </w:p>
    <w:p w14:paraId="424635E0" w14:textId="77777777" w:rsidR="004300F8" w:rsidRPr="00A61110" w:rsidRDefault="004300F8" w:rsidP="004300F8">
      <w:pPr>
        <w:spacing w:after="0" w:line="360" w:lineRule="auto"/>
        <w:rPr>
          <w:rFonts w:ascii="Arial" w:hAnsi="Arial" w:cs="Arial"/>
          <w:color w:val="000000" w:themeColor="text1"/>
          <w:sz w:val="22"/>
          <w:szCs w:val="22"/>
        </w:rPr>
      </w:pPr>
    </w:p>
    <w:p w14:paraId="1A8DAE04" w14:textId="77777777" w:rsidR="004300F8" w:rsidRPr="00A61110" w:rsidRDefault="004300F8" w:rsidP="004300F8">
      <w:pPr>
        <w:spacing w:after="0" w:line="360" w:lineRule="auto"/>
        <w:rPr>
          <w:rFonts w:ascii="Arial" w:hAnsi="Arial" w:cs="Arial"/>
          <w:color w:val="000000" w:themeColor="text1"/>
          <w:sz w:val="22"/>
          <w:szCs w:val="22"/>
        </w:rPr>
      </w:pPr>
    </w:p>
    <w:p w14:paraId="4859888C" w14:textId="77777777" w:rsidR="004300F8" w:rsidRPr="00A61110" w:rsidRDefault="004300F8" w:rsidP="004300F8">
      <w:pPr>
        <w:spacing w:after="0" w:line="360" w:lineRule="auto"/>
        <w:rPr>
          <w:rFonts w:ascii="Arial" w:hAnsi="Arial" w:cs="Arial"/>
          <w:color w:val="000000" w:themeColor="text1"/>
          <w:sz w:val="22"/>
          <w:szCs w:val="22"/>
        </w:rPr>
      </w:pPr>
    </w:p>
    <w:p w14:paraId="2DD84C6F" w14:textId="77777777" w:rsidR="004300F8" w:rsidRPr="00A61110" w:rsidRDefault="004300F8" w:rsidP="004300F8">
      <w:pPr>
        <w:spacing w:after="0" w:line="360" w:lineRule="auto"/>
        <w:rPr>
          <w:rFonts w:ascii="Arial" w:hAnsi="Arial" w:cs="Arial"/>
          <w:color w:val="000000" w:themeColor="text1"/>
          <w:sz w:val="22"/>
          <w:szCs w:val="22"/>
        </w:rPr>
      </w:pPr>
    </w:p>
    <w:p w14:paraId="5DF9158A" w14:textId="77777777" w:rsidR="004300F8" w:rsidRPr="00A61110" w:rsidRDefault="004300F8" w:rsidP="004300F8">
      <w:pPr>
        <w:spacing w:after="0" w:line="360" w:lineRule="auto"/>
        <w:rPr>
          <w:rFonts w:ascii="Arial" w:hAnsi="Arial" w:cs="Arial"/>
          <w:color w:val="000000" w:themeColor="text1"/>
          <w:sz w:val="22"/>
          <w:szCs w:val="22"/>
        </w:rPr>
      </w:pPr>
    </w:p>
    <w:p w14:paraId="37BC3975" w14:textId="77777777" w:rsidR="004300F8" w:rsidRPr="00A61110" w:rsidRDefault="004300F8" w:rsidP="004300F8">
      <w:pPr>
        <w:spacing w:after="0" w:line="360" w:lineRule="auto"/>
        <w:rPr>
          <w:rFonts w:ascii="Arial" w:hAnsi="Arial" w:cs="Arial"/>
          <w:color w:val="000000" w:themeColor="text1"/>
          <w:sz w:val="22"/>
          <w:szCs w:val="22"/>
        </w:rPr>
      </w:pPr>
    </w:p>
    <w:p w14:paraId="439A8034" w14:textId="77777777" w:rsidR="0003454B" w:rsidRPr="00A61110" w:rsidRDefault="0003454B" w:rsidP="004300F8">
      <w:pPr>
        <w:spacing w:after="0" w:line="360" w:lineRule="auto"/>
        <w:rPr>
          <w:rFonts w:ascii="Arial" w:hAnsi="Arial" w:cs="Arial"/>
          <w:color w:val="000000" w:themeColor="text1"/>
          <w:sz w:val="22"/>
          <w:szCs w:val="22"/>
        </w:rPr>
      </w:pPr>
    </w:p>
    <w:p w14:paraId="2869F91D" w14:textId="77777777" w:rsidR="0003454B" w:rsidRPr="00A61110" w:rsidRDefault="0003454B" w:rsidP="004300F8">
      <w:pPr>
        <w:spacing w:after="0" w:line="360" w:lineRule="auto"/>
        <w:rPr>
          <w:rFonts w:ascii="Arial" w:hAnsi="Arial" w:cs="Arial"/>
          <w:color w:val="000000" w:themeColor="text1"/>
          <w:sz w:val="22"/>
          <w:szCs w:val="22"/>
        </w:rPr>
      </w:pPr>
    </w:p>
    <w:p w14:paraId="3AAAD840" w14:textId="77777777" w:rsidR="0003454B" w:rsidRPr="00A61110" w:rsidRDefault="0003454B" w:rsidP="004300F8">
      <w:pPr>
        <w:spacing w:after="0" w:line="360" w:lineRule="auto"/>
        <w:rPr>
          <w:rFonts w:ascii="Arial" w:hAnsi="Arial" w:cs="Arial"/>
          <w:color w:val="000000" w:themeColor="text1"/>
          <w:sz w:val="22"/>
          <w:szCs w:val="22"/>
        </w:rPr>
      </w:pPr>
    </w:p>
    <w:p w14:paraId="1DC1A9C0" w14:textId="77777777" w:rsidR="0003454B" w:rsidRPr="00A61110" w:rsidRDefault="0003454B" w:rsidP="004300F8">
      <w:pPr>
        <w:spacing w:after="0" w:line="360" w:lineRule="auto"/>
        <w:rPr>
          <w:rFonts w:ascii="Arial" w:hAnsi="Arial" w:cs="Arial"/>
          <w:color w:val="000000" w:themeColor="text1"/>
          <w:sz w:val="22"/>
          <w:szCs w:val="22"/>
        </w:rPr>
      </w:pPr>
    </w:p>
    <w:p w14:paraId="0FE37DC1" w14:textId="77777777" w:rsidR="0003454B" w:rsidRPr="00A61110" w:rsidRDefault="0003454B" w:rsidP="004300F8">
      <w:pPr>
        <w:spacing w:after="0" w:line="360" w:lineRule="auto"/>
        <w:rPr>
          <w:rFonts w:ascii="Arial" w:hAnsi="Arial" w:cs="Arial"/>
          <w:color w:val="000000" w:themeColor="text1"/>
          <w:sz w:val="22"/>
          <w:szCs w:val="22"/>
        </w:rPr>
      </w:pPr>
    </w:p>
    <w:p w14:paraId="55F083F8" w14:textId="77777777" w:rsidR="0003454B" w:rsidRPr="00A61110" w:rsidRDefault="0003454B" w:rsidP="004300F8">
      <w:pPr>
        <w:spacing w:after="0" w:line="360" w:lineRule="auto"/>
        <w:rPr>
          <w:rFonts w:ascii="Arial" w:hAnsi="Arial" w:cs="Arial"/>
          <w:color w:val="000000" w:themeColor="text1"/>
          <w:sz w:val="22"/>
          <w:szCs w:val="22"/>
        </w:rPr>
      </w:pPr>
    </w:p>
    <w:p w14:paraId="2F617FC0" w14:textId="77777777" w:rsidR="0003454B" w:rsidRPr="00A61110" w:rsidRDefault="0003454B" w:rsidP="004300F8">
      <w:pPr>
        <w:spacing w:after="0" w:line="360" w:lineRule="auto"/>
        <w:rPr>
          <w:rFonts w:ascii="Arial" w:hAnsi="Arial" w:cs="Arial"/>
          <w:color w:val="000000" w:themeColor="text1"/>
          <w:sz w:val="22"/>
          <w:szCs w:val="22"/>
        </w:rPr>
      </w:pPr>
    </w:p>
    <w:p w14:paraId="1257B8A1" w14:textId="77777777" w:rsidR="0003454B" w:rsidRPr="00A61110" w:rsidRDefault="0003454B" w:rsidP="004300F8">
      <w:pPr>
        <w:spacing w:after="0" w:line="360" w:lineRule="auto"/>
        <w:rPr>
          <w:rFonts w:ascii="Arial" w:hAnsi="Arial" w:cs="Arial"/>
          <w:color w:val="000000" w:themeColor="text1"/>
          <w:sz w:val="22"/>
          <w:szCs w:val="22"/>
        </w:rPr>
      </w:pPr>
    </w:p>
    <w:p w14:paraId="642B2B67" w14:textId="77777777" w:rsidR="0003454B" w:rsidRPr="00A61110" w:rsidRDefault="0003454B" w:rsidP="004300F8">
      <w:pPr>
        <w:spacing w:after="0" w:line="360" w:lineRule="auto"/>
        <w:rPr>
          <w:rFonts w:ascii="Arial" w:hAnsi="Arial" w:cs="Arial"/>
          <w:color w:val="000000" w:themeColor="text1"/>
          <w:sz w:val="22"/>
          <w:szCs w:val="22"/>
        </w:rPr>
      </w:pPr>
    </w:p>
    <w:p w14:paraId="4637DFB4" w14:textId="77777777" w:rsidR="0003454B" w:rsidRPr="00A61110" w:rsidRDefault="0003454B" w:rsidP="004300F8">
      <w:pPr>
        <w:spacing w:after="0" w:line="360" w:lineRule="auto"/>
        <w:rPr>
          <w:rFonts w:ascii="Arial" w:hAnsi="Arial" w:cs="Arial"/>
          <w:color w:val="000000" w:themeColor="text1"/>
          <w:sz w:val="22"/>
          <w:szCs w:val="22"/>
        </w:rPr>
      </w:pPr>
    </w:p>
    <w:p w14:paraId="21B16604" w14:textId="77777777" w:rsidR="0003454B" w:rsidRPr="00A61110" w:rsidRDefault="0003454B" w:rsidP="004300F8">
      <w:pPr>
        <w:spacing w:after="0" w:line="360" w:lineRule="auto"/>
        <w:rPr>
          <w:rFonts w:ascii="Arial" w:hAnsi="Arial" w:cs="Arial"/>
          <w:color w:val="000000" w:themeColor="text1"/>
          <w:sz w:val="22"/>
          <w:szCs w:val="22"/>
        </w:rPr>
      </w:pPr>
    </w:p>
    <w:p w14:paraId="72B2A24A" w14:textId="77777777" w:rsidR="0003454B" w:rsidRPr="00A61110" w:rsidRDefault="0003454B" w:rsidP="004300F8">
      <w:pPr>
        <w:spacing w:after="0" w:line="360" w:lineRule="auto"/>
        <w:rPr>
          <w:rFonts w:ascii="Arial" w:hAnsi="Arial" w:cs="Arial"/>
          <w:color w:val="000000" w:themeColor="text1"/>
          <w:sz w:val="22"/>
          <w:szCs w:val="22"/>
        </w:rPr>
      </w:pPr>
    </w:p>
    <w:p w14:paraId="33AC7D13" w14:textId="6615AE53" w:rsidR="004300F8" w:rsidRPr="00A61110" w:rsidRDefault="004300F8" w:rsidP="002B41DB">
      <w:pPr>
        <w:spacing w:after="0" w:line="360" w:lineRule="auto"/>
        <w:jc w:val="center"/>
        <w:rPr>
          <w:rFonts w:ascii="Arial" w:hAnsi="Arial" w:cs="Arial"/>
          <w:b/>
          <w:bCs/>
          <w:color w:val="000000" w:themeColor="text1"/>
          <w:sz w:val="22"/>
          <w:szCs w:val="22"/>
          <w:lang w:val="en-US"/>
        </w:rPr>
      </w:pPr>
      <w:r>
        <w:rPr>
          <w:rFonts w:ascii="Arial" w:hAnsi="Arial" w:cs="Arial"/>
          <w:b/>
          <w:bCs/>
          <w:color w:val="000000" w:themeColor="text1"/>
          <w:sz w:val="22"/>
          <w:szCs w:val="22"/>
        </w:rPr>
        <w:t>Creation of a a short, evidence-based online self</w:t>
      </w:r>
      <w:r>
        <w:rPr>
          <w:rFonts w:ascii="Arial" w:hAnsi="Arial" w:cs="Arial"/>
          <w:b/>
          <w:bCs/>
          <w:color w:val="000000" w:themeColor="text1"/>
          <w:sz w:val="22"/>
          <w:szCs w:val="22"/>
        </w:rPr>
        <w:noBreakHyphen/>
        <w:t xml:space="preserve">assessment for </w:t>
      </w:r>
      <w:r w:rsidR="002B41DB" w:rsidRPr="002B41DB">
        <w:rPr>
          <w:rFonts w:ascii="Arial" w:hAnsi="Arial" w:cs="Arial"/>
          <w:b/>
          <w:bCs/>
          <w:color w:val="000000" w:themeColor="text1"/>
          <w:sz w:val="22"/>
          <w:szCs w:val="22"/>
        </w:rPr>
        <w:t>for professional voice users in Puerto Rico</w:t>
      </w:r>
    </w:p>
    <w:p w14:paraId="7B470629" w14:textId="77777777" w:rsidR="004300F8" w:rsidRPr="00A61110" w:rsidRDefault="004300F8" w:rsidP="004300F8">
      <w:pPr>
        <w:spacing w:after="0" w:line="360" w:lineRule="auto"/>
        <w:rPr>
          <w:rFonts w:ascii="Arial" w:hAnsi="Arial" w:cs="Arial"/>
          <w:b/>
          <w:bCs/>
          <w:color w:val="000000" w:themeColor="text1"/>
          <w:sz w:val="22"/>
          <w:szCs w:val="22"/>
          <w:lang w:val="en-US"/>
        </w:rPr>
      </w:pPr>
    </w:p>
    <w:p w14:paraId="6EC43EF0" w14:textId="77777777" w:rsidR="004300F8" w:rsidRPr="00A61110" w:rsidRDefault="004300F8" w:rsidP="004300F8">
      <w:pPr>
        <w:spacing w:after="0" w:line="360" w:lineRule="auto"/>
        <w:rPr>
          <w:rFonts w:ascii="Arial" w:hAnsi="Arial" w:cs="Arial"/>
          <w:b/>
          <w:bCs/>
          <w:color w:val="000000" w:themeColor="text1"/>
          <w:sz w:val="22"/>
          <w:szCs w:val="22"/>
          <w:lang w:val="en-US"/>
        </w:rPr>
      </w:pPr>
    </w:p>
    <w:p w14:paraId="79AF7AB0" w14:textId="77777777" w:rsidR="004300F8" w:rsidRPr="00A61110" w:rsidRDefault="004300F8" w:rsidP="004300F8">
      <w:pPr>
        <w:spacing w:after="0" w:line="360" w:lineRule="auto"/>
        <w:rPr>
          <w:rFonts w:ascii="Arial" w:hAnsi="Arial" w:cs="Arial"/>
          <w:b/>
          <w:bCs/>
          <w:color w:val="000000" w:themeColor="text1"/>
          <w:sz w:val="22"/>
          <w:szCs w:val="22"/>
          <w:lang w:val="en-US"/>
        </w:rPr>
      </w:pPr>
    </w:p>
    <w:p w14:paraId="5C02BBBB" w14:textId="77777777" w:rsidR="004300F8" w:rsidRPr="00A61110" w:rsidRDefault="004300F8" w:rsidP="004300F8">
      <w:pPr>
        <w:spacing w:after="0" w:line="360" w:lineRule="auto"/>
        <w:rPr>
          <w:rFonts w:ascii="Arial" w:hAnsi="Arial" w:cs="Arial"/>
          <w:b/>
          <w:bCs/>
          <w:color w:val="000000" w:themeColor="text1"/>
          <w:sz w:val="22"/>
          <w:szCs w:val="22"/>
          <w:lang w:val="en-US"/>
        </w:rPr>
      </w:pPr>
    </w:p>
    <w:p w14:paraId="6FE8D045" w14:textId="77777777" w:rsidR="004300F8" w:rsidRPr="00A61110" w:rsidRDefault="004300F8" w:rsidP="004300F8">
      <w:pPr>
        <w:spacing w:after="0" w:line="360" w:lineRule="auto"/>
        <w:rPr>
          <w:rFonts w:ascii="Arial" w:hAnsi="Arial" w:cs="Arial"/>
          <w:b/>
          <w:bCs/>
          <w:color w:val="000000" w:themeColor="text1"/>
          <w:sz w:val="22"/>
          <w:szCs w:val="22"/>
          <w:lang w:val="en-US"/>
        </w:rPr>
      </w:pPr>
    </w:p>
    <w:p w14:paraId="518AD104" w14:textId="77777777" w:rsidR="004300F8" w:rsidRPr="00A61110" w:rsidRDefault="004300F8" w:rsidP="004300F8">
      <w:pPr>
        <w:spacing w:after="0" w:line="360" w:lineRule="auto"/>
        <w:rPr>
          <w:rFonts w:ascii="Arial" w:hAnsi="Arial" w:cs="Arial"/>
          <w:color w:val="000000" w:themeColor="text1"/>
          <w:sz w:val="22"/>
          <w:szCs w:val="22"/>
          <w:lang w:val="en-US"/>
        </w:rPr>
      </w:pPr>
    </w:p>
    <w:p w14:paraId="55815A4C" w14:textId="77777777" w:rsidR="004300F8" w:rsidRPr="00A61110" w:rsidRDefault="004300F8" w:rsidP="004300F8">
      <w:pPr>
        <w:spacing w:after="0" w:line="360" w:lineRule="auto"/>
        <w:rPr>
          <w:rFonts w:ascii="Arial" w:hAnsi="Arial" w:cs="Arial"/>
          <w:color w:val="000000" w:themeColor="text1"/>
          <w:sz w:val="22"/>
          <w:szCs w:val="22"/>
          <w:lang w:val="en-US"/>
        </w:rPr>
      </w:pPr>
    </w:p>
    <w:p w14:paraId="66DE45FF" w14:textId="77777777" w:rsidR="004300F8" w:rsidRPr="00A61110" w:rsidRDefault="004300F8" w:rsidP="004300F8">
      <w:pPr>
        <w:spacing w:after="0" w:line="360" w:lineRule="auto"/>
        <w:rPr>
          <w:rFonts w:ascii="Arial" w:hAnsi="Arial" w:cs="Arial"/>
          <w:color w:val="000000" w:themeColor="text1"/>
          <w:sz w:val="22"/>
          <w:szCs w:val="22"/>
          <w:lang w:val="en-US"/>
        </w:rPr>
      </w:pPr>
    </w:p>
    <w:p w14:paraId="78303315" w14:textId="77777777" w:rsidR="004300F8" w:rsidRPr="00A61110" w:rsidRDefault="004300F8" w:rsidP="004300F8">
      <w:pPr>
        <w:spacing w:after="0" w:line="360" w:lineRule="auto"/>
        <w:jc w:val="right"/>
        <w:rPr>
          <w:rFonts w:ascii="Arial" w:hAnsi="Arial" w:cs="Arial"/>
          <w:color w:val="000000" w:themeColor="text1"/>
          <w:sz w:val="22"/>
          <w:szCs w:val="22"/>
          <w:lang w:val="es-PR"/>
        </w:rPr>
      </w:pPr>
      <w:r>
        <w:rPr>
          <w:rFonts w:ascii="Arial" w:hAnsi="Arial" w:cs="Arial"/>
          <w:color w:val="000000" w:themeColor="text1"/>
          <w:sz w:val="22"/>
          <w:szCs w:val="22"/>
          <w:lang w:val="es-PR"/>
        </w:rPr>
        <w:t>Lourdes M. González-Caraballo</w:t>
      </w:r>
      <w:r>
        <w:rPr>
          <w:rFonts w:ascii="Arial" w:hAnsi="Arial" w:cs="Arial"/>
          <w:color w:val="000000" w:themeColor="text1"/>
          <w:sz w:val="22"/>
          <w:szCs w:val="22"/>
        </w:rPr>
        <w:br/>
        <w:t>2318051</w:t>
      </w:r>
    </w:p>
    <w:p w14:paraId="6C249899" w14:textId="55885992" w:rsidR="004300F8" w:rsidRPr="00A61110" w:rsidRDefault="004300F8" w:rsidP="004300F8">
      <w:pPr>
        <w:spacing w:after="0" w:line="360" w:lineRule="auto"/>
        <w:jc w:val="right"/>
        <w:rPr>
          <w:rFonts w:ascii="Arial" w:hAnsi="Arial" w:cs="Arial"/>
          <w:color w:val="000000" w:themeColor="text1"/>
          <w:sz w:val="22"/>
          <w:szCs w:val="22"/>
          <w:lang w:val="es-PR"/>
        </w:rPr>
      </w:pPr>
      <w:r>
        <w:rPr>
          <w:rFonts w:ascii="Arial" w:hAnsi="Arial" w:cs="Arial"/>
          <w:color w:val="000000" w:themeColor="text1"/>
          <w:sz w:val="22"/>
          <w:szCs w:val="22"/>
          <w:lang w:val="es-PR"/>
        </w:rPr>
        <w:t>Module 5 Assignment</w:t>
      </w:r>
    </w:p>
    <w:p w14:paraId="52FF1C0B" w14:textId="2E7A89D1" w:rsidR="004300F8" w:rsidRDefault="00074DAC" w:rsidP="004300F8">
      <w:pPr>
        <w:spacing w:after="0" w:line="360" w:lineRule="auto"/>
        <w:jc w:val="right"/>
        <w:rPr>
          <w:rFonts w:ascii="Arial" w:hAnsi="Arial" w:cs="Arial"/>
          <w:color w:val="000000" w:themeColor="text1"/>
          <w:sz w:val="22"/>
          <w:szCs w:val="22"/>
          <w:lang w:val="en-US"/>
        </w:rPr>
      </w:pPr>
      <w:r>
        <w:rPr>
          <w:rFonts w:ascii="Arial" w:hAnsi="Arial" w:cs="Arial"/>
          <w:color w:val="000000" w:themeColor="text1"/>
          <w:sz w:val="22"/>
          <w:szCs w:val="22"/>
          <w:lang w:val="en-US"/>
        </w:rPr>
        <w:t>Component 1: 1,</w:t>
      </w:r>
      <w:r w:rsidR="008E5DCF">
        <w:rPr>
          <w:rFonts w:ascii="Arial" w:hAnsi="Arial" w:cs="Arial"/>
          <w:color w:val="000000" w:themeColor="text1"/>
          <w:sz w:val="22"/>
          <w:szCs w:val="22"/>
          <w:lang w:val="en-US"/>
        </w:rPr>
        <w:t>629</w:t>
      </w:r>
    </w:p>
    <w:p w14:paraId="5C82392C" w14:textId="1BA5F2DA" w:rsidR="002B135F" w:rsidRPr="00A61110" w:rsidRDefault="002B135F" w:rsidP="004300F8">
      <w:pPr>
        <w:spacing w:after="0" w:line="360" w:lineRule="auto"/>
        <w:jc w:val="right"/>
        <w:rPr>
          <w:rFonts w:ascii="Arial" w:hAnsi="Arial" w:cs="Arial"/>
          <w:color w:val="000000" w:themeColor="text1"/>
          <w:sz w:val="22"/>
          <w:szCs w:val="22"/>
          <w:lang w:val="en-US"/>
        </w:rPr>
      </w:pPr>
      <w:r>
        <w:rPr>
          <w:rFonts w:ascii="Arial" w:hAnsi="Arial" w:cs="Arial"/>
          <w:color w:val="000000" w:themeColor="text1"/>
          <w:sz w:val="22"/>
          <w:szCs w:val="22"/>
          <w:lang w:val="en-US"/>
        </w:rPr>
        <w:t>Component 2: 6,</w:t>
      </w:r>
      <w:r w:rsidR="002B41DB">
        <w:rPr>
          <w:rFonts w:ascii="Arial" w:hAnsi="Arial" w:cs="Arial"/>
          <w:color w:val="000000" w:themeColor="text1"/>
          <w:sz w:val="22"/>
          <w:szCs w:val="22"/>
          <w:lang w:val="en-US"/>
        </w:rPr>
        <w:t>486</w:t>
      </w:r>
      <w:r>
        <w:rPr>
          <w:rFonts w:ascii="Arial" w:hAnsi="Arial" w:cs="Arial"/>
          <w:color w:val="000000" w:themeColor="text1"/>
          <w:sz w:val="22"/>
          <w:szCs w:val="22"/>
          <w:lang w:val="en-US"/>
        </w:rPr>
        <w:t xml:space="preserve"> (including Critical Reflection)</w:t>
      </w:r>
    </w:p>
    <w:p w14:paraId="51A026FC" w14:textId="77777777" w:rsidR="0003454B" w:rsidRPr="00A61110" w:rsidRDefault="0003454B" w:rsidP="004300F8">
      <w:pPr>
        <w:spacing w:after="0" w:line="360" w:lineRule="auto"/>
        <w:jc w:val="center"/>
        <w:rPr>
          <w:rFonts w:ascii="Arial" w:hAnsi="Arial" w:cs="Arial"/>
          <w:color w:val="000000" w:themeColor="text1"/>
          <w:sz w:val="22"/>
          <w:szCs w:val="22"/>
        </w:rPr>
      </w:pPr>
    </w:p>
    <w:p w14:paraId="5719E3C1" w14:textId="4A08E0AD" w:rsidR="004300F8" w:rsidRPr="00A61110" w:rsidRDefault="004300F8" w:rsidP="004300F8">
      <w:pPr>
        <w:spacing w:after="0" w:line="360" w:lineRule="auto"/>
        <w:jc w:val="center"/>
        <w:rPr>
          <w:rFonts w:ascii="Arial" w:hAnsi="Arial" w:cs="Arial"/>
          <w:color w:val="000000" w:themeColor="text1"/>
          <w:sz w:val="22"/>
          <w:szCs w:val="22"/>
        </w:rPr>
      </w:pPr>
      <w:r>
        <w:rPr>
          <w:rFonts w:ascii="Arial" w:hAnsi="Arial" w:cs="Arial"/>
          <w:b/>
          <w:color w:val="000000" w:themeColor="text1"/>
          <w:sz w:val="22"/>
          <w:szCs w:val="22"/>
        </w:rPr>
        <w:t>Component 1 – Project Portfolio</w:t>
      </w:r>
    </w:p>
    <w:p w14:paraId="1743565B" w14:textId="77777777" w:rsidR="004300F8" w:rsidRPr="00A61110" w:rsidRDefault="004300F8" w:rsidP="004300F8">
      <w:pPr>
        <w:pStyle w:val="Heading1"/>
        <w:spacing w:before="0" w:after="0" w:line="360" w:lineRule="auto"/>
        <w:rPr>
          <w:rFonts w:ascii="Arial" w:hAnsi="Arial" w:cs="Arial"/>
          <w:b/>
          <w:bCs/>
          <w:color w:val="000000" w:themeColor="text1"/>
          <w:sz w:val="22"/>
          <w:szCs w:val="22"/>
        </w:rPr>
      </w:pPr>
      <w:r>
        <w:rPr>
          <w:rFonts w:ascii="Arial" w:hAnsi="Arial" w:cs="Arial"/>
          <w:b/>
          <w:bCs/>
          <w:color w:val="000000" w:themeColor="text1"/>
          <w:sz w:val="22"/>
          <w:szCs w:val="22"/>
        </w:rPr>
        <w:t>1.1 Introduction</w:t>
      </w:r>
    </w:p>
    <w:p w14:paraId="0D54A279" w14:textId="66306FD8" w:rsidR="004300F8" w:rsidRPr="00A61110"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As a voice teacher in Puerto Rico speciali</w:t>
      </w:r>
      <w:r w:rsidR="00C01812">
        <w:rPr>
          <w:rFonts w:ascii="Arial" w:hAnsi="Arial" w:cs="Arial"/>
          <w:color w:val="000000" w:themeColor="text1"/>
          <w:sz w:val="22"/>
          <w:szCs w:val="22"/>
        </w:rPr>
        <w:t>z</w:t>
      </w:r>
      <w:r>
        <w:rPr>
          <w:rFonts w:ascii="Arial" w:hAnsi="Arial" w:cs="Arial"/>
          <w:color w:val="000000" w:themeColor="text1"/>
          <w:sz w:val="22"/>
          <w:szCs w:val="22"/>
        </w:rPr>
        <w:t>ing in vocal health, I have observed persistent gaps in access to specialised voice care. ENT physicians who focus on voice are few and concentrated in the metropolitan area, waiting times can extend to several months, and local speech-language pathology (SLP) programmes offer no specialised track for voice or singers. These structural limitations motivated this project. In practice, this means that many singers, teachers, and other professional voice users on the island rely on general practitioners, non-specialist ENT appointments, or word of mouth to navigate their symptoms — making a structured, evidence-informed first point of contact both practically necessary and professionally meaningful.</w:t>
      </w:r>
    </w:p>
    <w:p w14:paraId="02E9C564" w14:textId="77777777" w:rsidR="004300F8" w:rsidRPr="00A61110"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My professional background — including certification as a Vocal Habilitation Professional (VHP), ongoing training as a Vocal Rehabilitation Specialist (VRS), and visits to specialist voice centres in the United Kingdom — has shaped a long-term vision to establish Puerto Rico's first multidisciplinary voice care centre, </w:t>
      </w:r>
      <w:r>
        <w:rPr>
          <w:rFonts w:ascii="Arial" w:hAnsi="Arial" w:cs="Arial"/>
          <w:i/>
          <w:iCs/>
          <w:color w:val="000000" w:themeColor="text1"/>
          <w:sz w:val="22"/>
          <w:szCs w:val="22"/>
        </w:rPr>
        <w:t>Vocare</w:t>
      </w:r>
      <w:r>
        <w:rPr>
          <w:rFonts w:ascii="Arial" w:hAnsi="Arial" w:cs="Arial"/>
          <w:color w:val="000000" w:themeColor="text1"/>
          <w:sz w:val="22"/>
          <w:szCs w:val="22"/>
        </w:rPr>
        <w:t>. This project represents a significant step in that development, requiring the integration of clinical knowledge, evidence-based assessment, and digital literacy.</w:t>
      </w:r>
    </w:p>
    <w:p w14:paraId="5D46411A" w14:textId="0A689895" w:rsidR="004300F8" w:rsidRPr="00A61110"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The artefact is an online self-assessment questionnaire — the first point of contact on the </w:t>
      </w:r>
      <w:r>
        <w:rPr>
          <w:rFonts w:ascii="Arial" w:hAnsi="Arial" w:cs="Arial"/>
          <w:i/>
          <w:iCs/>
          <w:color w:val="000000" w:themeColor="text1"/>
          <w:sz w:val="22"/>
          <w:szCs w:val="22"/>
        </w:rPr>
        <w:t>Vocare</w:t>
      </w:r>
      <w:r>
        <w:rPr>
          <w:rFonts w:ascii="Arial" w:hAnsi="Arial" w:cs="Arial"/>
          <w:color w:val="000000" w:themeColor="text1"/>
          <w:sz w:val="22"/>
          <w:szCs w:val="22"/>
        </w:rPr>
        <w:t xml:space="preserve"> website — designed to guide users towards the category of professional care most appropriate for their presenting symptoms. Its foundation draws on validated patient-reported outcome tools, including the Voice Handicap Index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{"citationID":"KzHYmDJQ","properties":{"unsorted":false,"formattedCitation":"(Rosen {\\i{}et al.}, 2004)","plainCitation":"(Rosen et al., 2004)","noteIndex":0},"citationItems":[{"id":70,"uris":["http://zotero.org/users/20030753/items/B5K92ESA"],"itemData":{"id":70,"type":"article-journal","abstract":"Objectives/Hypothesis: The objective was to develop an abbreviated voice handicap assessment instrument and compare it with the Voice Handicap Index (VHI). Study Design: Item analysis of the VHI in individuals without voice disorders and patients with voice disorders and creation and validation of the abbreviated VHI. Methods: Clinical consensus review of the VHI items was held to prioritize the clinical value of each of the VHI items (30 items in all). Item analysis of the VHI was performed using the VHI responses of 100 patients with voice problems and 159 control subjects. The 10 most robust VHI items were selected using the item analysis and clinical consensus results to form the Voice Handicap Index-10 (VHI-10). Statistical analysis comparing the validity of the VHI-10 with the VHI was performed with 819 patients representing a wide spectrum of voice disorders. Results: Statistical analysis of the VHI and VHI-10 scores from the study group showed no statistically significant differences between the VHI and the VHI-10. Irrespective of diagnosis, the correlation between the VHI and the VHI-10 was greater than .90 (P = .01). The ratios of the VHI-10 to VHI scores for a variety of voice disorder categories were analyzed and found to be consistently greater than the expected value (33%). This suggests that the VHI-10 may be a more robust instrument than the VHI. Conclusion: The VHI-10 is a powerful representation of the VHI that takes less time for the patient to complete without loss of validity. Thus, the VHI-10 can replace the VHI as an instrument to quantify patients' perception of their voice handicap.","container-title":"The Laryngoscope","DOI":"10.1097/00005537-200409000-00009","ISSN":"1531-4995","issue":"9","language":"en","note":"_eprint: https://onlinelibrary.wiley.com/doi/pdf/10.1097/00005537-200409000-00009","page":"1549-1556","source":"Wiley Online Library","title":"Development and Validation of the Voice Handicap Index-10","volume":"114","author":[{"family":"Rosen","given":"Clark A."},{"family":"Lee","given":"Annie S."},{"family":"Osborne","given":"Jamie"},{"family":"Zullo","given":"Thomas"},{"family":"Murry","given":"Thomas"}],"issued":{"date-parts":[["2004"]]}}}],"schema":"https://github.com/citation-style-language/schema/raw/master/csl-citation.json"}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szCs w:val="22"/>
          <w:lang w:val="en-US"/>
        </w:rPr>
        <w:t xml:space="preserve">(Rosen </w:t>
      </w:r>
      <w:r>
        <w:rPr>
          <w:rFonts w:ascii="Arial" w:hAnsi="Arial" w:cs="Arial"/>
          <w:i/>
          <w:iCs/>
          <w:color w:val="000000"/>
          <w:kern w:val="0"/>
          <w:sz w:val="22"/>
          <w:szCs w:val="22"/>
          <w:lang w:val="en-US"/>
        </w:rPr>
        <w:t>et al.</w:t>
      </w:r>
      <w:r>
        <w:rPr>
          <w:rFonts w:ascii="Arial" w:hAnsi="Arial" w:cs="Arial"/>
          <w:color w:val="000000"/>
          <w:kern w:val="0"/>
          <w:sz w:val="22"/>
          <w:szCs w:val="22"/>
          <w:lang w:val="en-US"/>
        </w:rPr>
        <w:t>, 2004)</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and the Singing Voice Handicap Index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{"citationID":"C1oMu3Cg","properties":{"unsorted":false,"formattedCitation":"(Cohen {\\i{}et al.}, 2009)","plainCitation":"(Cohen et al., 2009)","noteIndex":0},"citationItems":[{"id":136,"uris":["http://zotero.org/users/20030753/items/GGZAEQJ7"],"itemData":{"id":136,"type":"article-journal","abstract":"OBJECTIVES/HYPOTHESIS: To develop a shortened version of the validated health status instrument for singers, the Singing Voice Handicap Index (SVHI).\nSTUDY DESIGN: Prospective item analysis of the SVHI in patients with singing voice problems and creation and validation of an abbreviated SVHI, the SVHI-10.\nMETHODS: Patients presenting to two tertiary care voice clinics prospectively completed the SVHI. Principal component analysis was performed. Individual item to total correlations were calculated, and individual items were also evaluated for bipolar response patterns. A clinical consensus conference prioritized each individual item. Items were then eliminated, and the internal consistency was evaluated. A second cohort of patients with singing voice problems completed the Voice Handicap Index-10 (VHI-10) and SVHI-10 at two time points. Singers without voice problems also completed the SVHI-10. SVHI-10 scores were compared between the groups, correlations between the SVHI-10 and VHI-10 were performed, and test-retest reliability of the SVHI-10 assessed.\nRESULTS: Singers with voice problems had worse SVHI-10 scores than normal singers (P &lt; .0001, t test). Test-retest reliability was high (Spearman correlation = 0.86, P &lt; .001). Internal consistency of the SVHI-10 demonstrated a Cronbach alpha of .94, and the correlation between the SVHI-10 and VHI-10 was 0.7 (P &lt; .001, Spearman correlation).\nCONCLUSIONS: The SVHI-10 is a valuable instrument to assess self-perceived handicap associated with singing voice problems with reduced patient burden.","container-title":"The Laryngoscope","DOI":"10.1002/lary.20580","ISSN":"1531-4995","issue":"9","journalAbbreviation":"Laryngoscope","language":"eng","page":"1864-1869","PMID":"19572269","source":"PubMed","title":"Development and validation of the Singing Voice Handicap-10","volume":"119","author":[{"family":"Cohen","given":"Seth M."},{"family":"Statham","given":"Melissa"},{"family":"Rosen","given":"Clark A."},{"family":"Zullo","given":"Thomas"}],"issued":{"date-parts":[["2009",9]]}}}],"schema":"https://github.com/citation-style-language/schema/raw/master/csl-citation.json"}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szCs w:val="22"/>
          <w:lang w:val="en-US"/>
        </w:rPr>
        <w:t xml:space="preserve">(Cohen </w:t>
      </w:r>
      <w:r>
        <w:rPr>
          <w:rFonts w:ascii="Arial" w:hAnsi="Arial" w:cs="Arial"/>
          <w:i/>
          <w:iCs/>
          <w:color w:val="000000"/>
          <w:kern w:val="0"/>
          <w:sz w:val="22"/>
          <w:szCs w:val="22"/>
          <w:lang w:val="en-US"/>
        </w:rPr>
        <w:t>et al.</w:t>
      </w:r>
      <w:r>
        <w:rPr>
          <w:rFonts w:ascii="Arial" w:hAnsi="Arial" w:cs="Arial"/>
          <w:color w:val="000000"/>
          <w:kern w:val="0"/>
          <w:sz w:val="22"/>
          <w:szCs w:val="22"/>
          <w:lang w:val="en-US"/>
        </w:rPr>
        <w:t>, 2009)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ensuring recommendations are grounded in peer-reviewed evidence rather than clinical opinion alone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{"citationID":"xbRIyjeN","properties":{"unsorted":false,"formattedCitation":"(Laukkanen, Lepp\\uc0\\u228{}nen and Ilomaki, 2009)","plainCitation":"(Laukkanen, Leppänen and Ilomaki, 2009)","noteIndex":0},"citationItems":[{"id":134,"uris":["http://zotero.org/users/20030753/items/XR4EJNCL"],"itemData":{"id":134,"type":"article-journal","abstract":"This study addressed two self-evaluation questionnaires in investigating the effects of voice hygiene lecture (VHL, 3 h) and additional voice training (VT) or Voice Massage (VM; both 5 h) in 90 female teachers. The subjects assessed their voice quality, ease of phonation and tiredness of throat before and after a working day at the beginning and end of the school term using a visual analogue scale (VAS) (Questionnaire 1). At the end of the term, the degree of positive influence of the interventions was reported on VAS, and the type of influence was indicated by choosing one or more of three alternatives (voice quality, audibility and endurance) or by writing a free comment (Questionnaire 2). Questionnaire 1 was pretested and found to be reliable and valid for self-evaluation of voice. At the end of term, the VM and VT groups reported more positive influence of the interventions than did the VHL group. The reported influence did not correlate with working-day-related changes in sensations. Increased difficulty of phonation and tiredness of throat was found in the VHL group at the end of the term. However, the groups did not differ significantly from each other. The challenges of self-evaluations as outcome measures are discussed.","container-title":"Folia Phoniatrica Et Logopaedica: Official Organ of the International Association of Logopedics and Phoniatrics","DOI":"10.1159/000201000","ISSN":"1421-9972","issue":"1","journalAbbreviation":"Folia Phoniatr Logop","language":"eng","page":"57-65","PMID":"19204394","publisher-place":"IALP","source":"PubMed","title":"Self-evaluation of voice as a treatment outcome measure","volume":"61","author":[{"family":"Laukkanen","given":"Anne-Maria"},{"family":"Leppänen","given":"Kirsti"},{"family":"Ilomaki","given":"Irma"}],"issued":{"date-parts":[["2009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szCs w:val="22"/>
          <w:lang w:val="en-US"/>
        </w:rPr>
        <w:t>(Laukkanen, Leppänen and Ilomaki, 2009)</w:t>
      </w:r>
      <w:r>
        <w:rPr>
          <w:rFonts w:ascii="Arial" w:hAnsi="Arial" w:cs="Arial"/>
          <w:color w:val="000000" w:themeColor="text1"/>
          <w:sz w:val="22"/>
          <w:szCs w:val="22"/>
        </w:rPr>
        <w:fldChar w:fldCharType="end"/>
      </w:r>
      <w:r>
        <w:rPr>
          <w:rFonts w:ascii="Arial" w:hAnsi="Arial" w:cs="Arial"/>
          <w:color w:val="000000" w:themeColor="text1"/>
          <w:sz w:val="22"/>
          <w:szCs w:val="22"/>
        </w:rPr>
        <w:t>.</w:t>
      </w:r>
    </w:p>
    <w:p w14:paraId="1EB33D57" w14:textId="77777777" w:rsidR="004300F8" w:rsidRPr="00A61110" w:rsidRDefault="004300F8" w:rsidP="004300F8">
      <w:pPr>
        <w:spacing w:after="0" w:line="360" w:lineRule="auto"/>
        <w:ind w:firstLine="720"/>
        <w:rPr>
          <w:rFonts w:ascii="Arial" w:hAnsi="Arial" w:cs="Arial"/>
          <w:color w:val="000000" w:themeColor="text1"/>
          <w:sz w:val="22"/>
          <w:szCs w:val="22"/>
        </w:rPr>
      </w:pPr>
    </w:p>
    <w:p w14:paraId="3713471D" w14:textId="2E05E082" w:rsidR="004300F8" w:rsidRDefault="004300F8" w:rsidP="008E5DCF">
      <w:pPr>
        <w:pStyle w:val="Heading1"/>
        <w:spacing w:before="0" w:after="0" w:line="360" w:lineRule="auto"/>
        <w:rPr>
          <w:rFonts w:ascii="Arial" w:hAnsi="Arial" w:cs="Arial"/>
          <w:b/>
          <w:bCs/>
          <w:color w:val="000000" w:themeColor="text1"/>
          <w:sz w:val="22"/>
          <w:szCs w:val="22"/>
        </w:rPr>
      </w:pPr>
      <w:r>
        <w:rPr>
          <w:rFonts w:ascii="Arial" w:hAnsi="Arial" w:cs="Arial"/>
          <w:b/>
          <w:bCs/>
          <w:color w:val="000000" w:themeColor="text1"/>
          <w:sz w:val="22"/>
          <w:szCs w:val="22"/>
        </w:rPr>
        <w:t>1.2 Planned Program of Study</w:t>
      </w:r>
    </w:p>
    <w:p w14:paraId="20369F0C" w14:textId="77777777" w:rsidR="00A15E84" w:rsidRPr="00A15E84" w:rsidRDefault="00A15E84" w:rsidP="00A15E84"/>
    <w:p w14:paraId="08A1432F" w14:textId="77777777"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t>Theoretical Influences</w:t>
      </w:r>
    </w:p>
    <w:p w14:paraId="2D9B28BC" w14:textId="66EE062A" w:rsidR="004300F8" w:rsidRDefault="004300F8" w:rsidP="00A61110">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The artefact is shaped by three interconnected theoretical frameworks. First, the biopsychosocial model understands voice disorders as products of biological, psychological, and social factors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{"citationID":"nYBVeyvT","properties":{"unsorted":false,"formattedCitation":"(Engel, 1977)","plainCitation":"(Engel, 1977)","noteIndex":0},"citationItems":[{"id":190,"uris":["http://zotero.org/users/20030753/items/7RRWHVY4"],"itemData":{"id":190,"type":"article-journal","abstract":"The dominant model of disease today is biomedical, and it leaves no room within tis framework for the social, psychological, and behavioral dimensions of illness. A biopsychosocial model is proposed that provides a blueprint for research, a framework for teaching, and a design for action in the real world of health care.","container-title":"Science","DOI":"10.1126/science.847460","ISSN":"0036-8075","issue":"4286","journalAbbreviation":"Science","language":"eng","page":"129-136","PMID":"847460","publisher-place":"New York, N.Y.","source":"PubMed","title":"The need for a new medical model: a challenge for biomedicine","title-short":"The need for a new medical model","volume":"196","author":[{"family":"Engel","given":"G. L."}],"issued":{"date-parts":[["1977",4,8]]}}}],"schema":"https://github.com/citation-style-language/schema/raw/master/csl-citation.json"}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(Engel, 1977)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t>
      </w:r>
      <w:r w:rsidR="00A15E84">
        <w:rPr>
          <w:rFonts w:ascii="Arial" w:hAnsi="Arial" w:cs="Arial"/>
          <w:color w:val="000000" w:themeColor="text1"/>
          <w:sz w:val="22"/>
          <w:szCs w:val="22"/>
        </w:rPr>
        <w:t>It includes</w:t>
      </w:r>
      <w:r>
        <w:rPr>
          <w:rFonts w:ascii="Arial" w:hAnsi="Arial" w:cs="Arial"/>
          <w:color w:val="000000" w:themeColor="text1"/>
          <w:sz w:val="22"/>
          <w:szCs w:val="22"/>
        </w:rPr>
        <w:t xml:space="preserve"> both voice-specific and anxiety screening tools reflects this multi-dimensional understanding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{"citationID":"zSrXbHra","properties":{"unsorted":false,"formattedCitation":"(Flock {\\i{}et al.}, 2025)","plainCitation":"(Flock et al., 2025)","noteIndex":0},"citationItems":[{"id":143,"uris":["http://zotero.org/users/20030753/items/5ZXZWZMB"],"itemData":{"id":143,"type":"article-journal","container-title":"Journal of Voice","DOI":"10.1016/j.jvoice.2023.02.023","ISSN":"08921997","issue":"4","journalAbbreviation":"Journal of Voice","language":"en","page":"1137.e9-1137.e17","source":"DOI.org (Crossref)","title":"Working Together to Find a Voice: Recommendations for Voice Healthcare Based on Expert-By-Experience and Practitioner Consensus","title-short":"Working Together to Find a Voice","volume":"39","author":[{"family":"Flock","given":"Lydia"},{"family":"King","given":"Stephen R."},{"family":"Williams","given":"Jenevora"},{"family":"Finlay","given":"Emma"},{"family":"Smikle","given":"Hannah"},{"family":"Benito","given":"Monica"},{"family":"Benton-Stace","given":"Francesca"},{"family":"Brown","given":"Jenna"},{"family":"Mann-Daraz","given":"Abigail J."},{"family":"Hart","given":"Lydia"},{"family":"Mclean","given":"Keesha"},{"family":"Prucnal","given":"Zofia"},{"family":"Barry","given":"Louisa"},{"family":"Lynes","given":"Rachel"},{"family":"Toy","given":"Mel"},{"family":"Valentine","given":"Kate"},{"family":"Slattery","given":"Sam"},{"family":"Aldridge-Waddon","given":"Luke"}],"issued":{"date-parts":[["2025",7]]}}}],"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szCs w:val="22"/>
          <w:lang w:val="en-US"/>
        </w:rPr>
        <w:t xml:space="preserve">(Flock </w:t>
      </w:r>
      <w:r>
        <w:rPr>
          <w:rFonts w:ascii="Arial" w:hAnsi="Arial" w:cs="Arial"/>
          <w:i/>
          <w:iCs/>
          <w:color w:val="000000"/>
          <w:kern w:val="0"/>
          <w:sz w:val="22"/>
          <w:szCs w:val="22"/>
          <w:lang w:val="en-US"/>
        </w:rPr>
        <w:t>et al.</w:t>
      </w:r>
      <w:r>
        <w:rPr>
          <w:rFonts w:ascii="Arial" w:hAnsi="Arial" w:cs="Arial"/>
          <w:color w:val="000000"/>
          <w:kern w:val="0"/>
          <w:sz w:val="22"/>
          <w:szCs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Second, patient-reported outcome measures (PROMs) theory underpins the self-assessment approach: PROMs capture the patient's lived experience of disability rather than clinician-rated severity alone, and are now </w:t>
      </w:r>
      <w:r>
        <w:rPr>
          <w:rFonts w:ascii="Arial" w:hAnsi="Arial" w:cs="Arial"/>
          <w:color w:val="000000" w:themeColor="text1"/>
          <w:sz w:val="22"/>
          <w:szCs w:val="22"/>
        </w:rPr>
        <w:lastRenderedPageBreak/>
        <w:t xml:space="preserve">embedded in voice clinic best practice guidance </w:t>
      </w:r>
      <w:r>
        <w:rPr>
          <w:rFonts w:ascii="Arial" w:hAnsi="Arial" w:cs="Arial"/>
          <w:kern w:val="0"/>
          <w:sz w:val="22"/>
          <w:szCs w:val="22"/>
          <w:lang w:val="en-US"/>
        </w:rPr>
        <w:t xml:space="preserve">(Francis </w:t>
      </w:r>
      <w:r>
        <w:rPr>
          <w:rFonts w:ascii="Arial" w:hAnsi="Arial" w:cs="Arial"/>
          <w:i/>
          <w:iCs/>
          <w:kern w:val="0"/>
          <w:sz w:val="22"/>
          <w:szCs w:val="22"/>
          <w:lang w:val="en-US"/>
        </w:rPr>
        <w:t>et al.</w:t>
      </w:r>
      <w:r>
        <w:rPr>
          <w:rFonts w:ascii="Arial" w:hAnsi="Arial" w:cs="Arial"/>
          <w:kern w:val="0"/>
          <w:sz w:val="22"/>
          <w:szCs w:val="22"/>
          <w:lang w:val="en-US"/>
        </w:rPr>
        <w:t xml:space="preserve">, 2017; Gardner </w:t>
      </w:r>
      <w:r>
        <w:rPr>
          <w:rFonts w:ascii="Arial" w:hAnsi="Arial" w:cs="Arial"/>
          <w:i/>
          <w:iCs/>
          <w:kern w:val="0"/>
          <w:sz w:val="22"/>
          <w:szCs w:val="22"/>
          <w:lang w:val="en-US"/>
        </w:rPr>
        <w:t>et al.</w:t>
      </w:r>
      <w:r>
        <w:rPr>
          <w:rFonts w:ascii="Arial" w:hAnsi="Arial" w:cs="Arial"/>
          <w:kern w:val="0"/>
          <w:sz w:val="22"/>
          <w:szCs w:val="22"/>
          <w:lang w:val="en-US"/>
        </w:rPr>
        <w:t>, 2025)</w:t>
      </w:r>
      <w:r>
        <w:rPr>
          <w:rFonts w:ascii="Arial" w:hAnsi="Arial" w:cs="Arial"/>
          <w:color w:val="000000" w:themeColor="text1"/>
          <w:sz w:val="22"/>
          <w:szCs w:val="22"/>
        </w:rPr>
        <w:fldChar w:fldCharType="begin"/>
      </w:r>
      <w:r w:rsidR="009905EA">
        <w:rPr>
          <w:rFonts w:ascii="Arial" w:hAnsi="Arial" w:cs="Arial"/>
          <w:color w:val="000000" w:themeColor="text1"/>
          <w:sz w:val="22"/>
          <w:szCs w:val="22"/>
        </w:rPr>
        <w:instrText xml:space="preserve"> ADDIN ZOTERO_ITEM CSL_CITATION {"citationID":"SeiCGNug","properties":{"unsorted":false,"formattedCitation":"(Francis {\\i{}et al.}, 2017a; Gardner {\\i{}et al.}, 2025)","plainCitation":"","noteIndex":0},"citationItems":[{"id":"J2csjAgN/2KI9wzs6","uris":["http://zotero.org/users/20030753/items/UCLEGRE4"],"itemData":{"id":"ItO4vAIl/KO3I5MK7","type":"article-journal","abstract":"Purpose\nThe purpose of this study was to perform a comprehensive systematic review of the literature on voice-related patient-reported outcome (PRO) measures in adults and to evaluate each instrument for the presence of important measurement properties.\n\nMethod\nMEDLINE, the Cumulative Index of Nursing and Allied Health Literature, and the Health and Psychosocial Instrument databases were searched using relevant vocabulary terms and key terms related to PRO measures and voice. Inclusion and exclusion criteria were developed in consultation with an expert panel. Three independent investigators assessed study methodology using criteria developed a priori. Measurement properties were examined and entered into evidence tables.\n\nResults\nA total of 3,744 studies assessing voice-related constructs were identified. This list was narrowed to 32 PRO measures on the basis of predetermined inclusion and exclusion criteria. Questionnaire measurement properties varied widely. Important thematic deficiencies were apparent: (a) lack of patient involvement in the item development process, (b) lack of robust construct validity, and (c) lack of clear interpretability and scaling.\n\nConclusions\nPRO measures are a principal means of evaluating treatment effectiveness in voice-related conditions. Despite their prominence, available PRO measures have disparate methodological rigor. Care must be taken to understand the psychometric and measurement properties and the applicability of PRO measures before advocating for their use in clinical or research applications.","container-title":"Journal of Speech, Language, and Hearing Research : JSLHR","DOI":"10.1044/2016_JSLHR-S-16-0022","ISSN":"1092-4388","issue":"1","journalAbbreviation":"J Speech Lang Hear Res","page":"62-88","PMID":"28030869","PMCID":"PMC5533561","source":"PubMed Central","title":"Voice-Related Patient-Reported Outcome Measures: A Systematic Review of Instrument Development and Validation","title-short":"Voice-Related Patient-Reported Outcome Measures","volume":"60","author":[{"family":"Francis","given":"David O."},{"family":"Daniero","given":"James J."},{"family":"Hovis","given":"Kristen L."},{"family":"Sathe","given":"Nila"},{"family":"Jacobson","given":"Barbara"},{"family":"Penson","given":"David F."},{"family":"Feurer","given":"Irene D."},{"family":"McPheeters","given":"Melissa L."}],"issued":{"date-parts":[["2017",1]]}}},{"id":153,"uris":["http://zotero.org/users/20030753/items/4GE6LLLK"],"itemData":{"id":153,"type":"article-journal","abstract":"Patient reported outcome measures (PROMs) are increasingly used to inform value-based healthcare. Within speech-language pathology (SLP), there is no synthesis of validated PROMs to guide professional practice. This scoping review systematically identifies and evaluates condition-specific PROMs across adult SLP practice. A literature search was performed to identify studies published until 18th February 2022 from MEDLINE, Embase, CINAHL, PsycInfo, Scopus, Cochrane Collaboration, and Web of Science. Abstracts and full texts were screened in Covidence. Relevant studies that validated PROMs in English were extracted and assessed using the “Checklist to operationalise measurement characteristics of PROMs” by two independent reviewers. Ninety-seven articles provided validation data for 71 PROMS across seven SLP practice areas. These included voice (n = 18), swallowing (n = 14), language (n = 11), fluency (n = 8), speech (n = 4), laryngectomy (n = 3), and cognitive-communication (n = 2). No PROMs were identified for augmentative and alternative communication (AAC) (n = 0). Quality ratings were variable on the Francis et al. checklist. A range of validated PROMs were identified to guide SLP practice in measuring patient perceptions across a range of practice areas in adults. Opportunities for further development in SLP practice areas with limited PROMs, such as speech, cognitive-communication, and AAC are also highlighted.","container-title":"International Journal of Speech-Language Pathology","DOI":"10.1080/17549507.2024.2399236","ISSN":"1754-9507","issue":"5","note":"_eprint: https://doi.org/10.1080/17549507.2024.2399236","page":"672-701","PMID":"39356797","publisher":"Taylor &amp; Francis","source":"Taylor and Francis+NEJM","title":"Validated patient reported outcome measures in speech-language pathology: A scoping review of adult practice","title-short":"Validated patient reported outcome measures in speech-language pathology","volume":"27","author":[{"family":"Gardner","given":"Danielle"},{"family":"Mitchell","given":"Verity"},{"family":"Frakking","given":"Thuy"},{"family":"Weir","given":"Kelly Ann"},{"family":"Canning","given":"Angie"},{"family":"Wenke","given":"Rachel Jane"}],"issued":{"date-parts":[["2025",9,3]]}}}],"schema":"https://github.com/citation-style-language/schema/raw/master/csl-citation.json"}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Third, symptom-severity stratification to direct users to appropriate care is well established in clinical voice practice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{"citationID":"sGMj9ip3","properties":{"unsorted":false,"formattedCitation":"(Starmer {\\i{}et al.}, 2014; Stachler {\\i{}et al.}, 2018)","plainCitation":"(Starmer et al., 2014; Stachler et al., 2018)","noteIndex":0},"citationItems":[{"id":2,"uris":["http://zotero.org/users/20030753/items/PT693X4J"],"itemData":{"id":2,"type":"article-journal","abstract":"Objectives:\n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M."},{"family":"Gourin","given":"Christine"}],"issued":{"date-parts":[["2014",2]]}}},{"id":160,"uris":["http://zotero.org/users/20030753/items/24EGSS2D"],"itemData":{"id":160,"type":"article-journal","abstract":"Objective. This guideline provides evidence-based recommendations on treating patients who present with dysphonia, which is characterized by altered vocal quality, pitch, loudness, or vocal effort that impairs communication and/or quality of life. Dysphonia affects nearly one-third of the population at some point in its life. This guideline applies to all age groups evaluated in a setting where dysphonia would be identified or managed. It is intended for all clinicians who are likely to diagnose and treat patients with dysphonia.","container-title":"Otolaryngology–Head and Neck Surgery","DOI":"10.1177/0194599817751030","ISSN":"0194-5998, 1097-6817","issue":"S1","journalAbbreviation":"Otolaryngol.--head neck surg.","language":"en","source":"DOI.org (Crossref)","title":"Clinical Practice Guideline: Hoarseness (Dysphonia) (Update)","title-short":"Clinical Practice Guideline","URL":"https://aao-hnsfjournals.onlinelibrary.wiley.com/doi/10.1177/0194599817751030","volume":"158","author":[{"family":"Stachler","given":"Robert J."},{"family":"Francis","given":"David O."},{"family":"Schwartz","given":"Seth R."},{"family":"Damask","given":"Cecelia C."},{"family":"Digoy","given":"German P."},{"family":"Krouse","given":"Helene J."},{"family":"McCoy","given":"Scott J."},{"family":"Ouellette","given":"Daniel R."},{"family":"Patel","given":"Rita R."},{"family":"Reavis","given":"Charles (Charlie) W."},{"family":"Smith","given":"Libby J."},{"family":"Smith","given":"Marshall"},{"family":"Strode","given":"Steven W."},{"family":"Woo","given":"Peak"},{"family":"Nnacheta","given":"Lorraine C."}],"accessed":{"date-parts":[["2026",5,12]]},"issued":{"date-parts":[["2018",3]]}}}],"schema":"https://github.com/citation-style-language/schema/raw/master/csl-citation.json"}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(Starmer </w:t>
      </w:r>
      <w:r>
        <w:rPr>
          <w:rFonts w:ascii="Arial" w:hAnsi="Arial" w:cs="Arial"/>
          <w:i/>
          <w:iCs/>
          <w:color w:val="000000" w:themeColor="text1"/>
          <w:sz w:val="22"/>
          <w:szCs w:val="22"/>
        </w:rPr>
        <w:t>et al.</w:t>
      </w:r>
      <w:r>
        <w:rPr>
          <w:rFonts w:ascii="Arial" w:hAnsi="Arial" w:cs="Arial"/>
          <w:color w:val="000000" w:themeColor="text1"/>
          <w:sz w:val="22"/>
          <w:szCs w:val="22"/>
        </w:rPr>
        <w:t xml:space="preserve">, 2014; Stachler </w:t>
      </w:r>
      <w:r>
        <w:rPr>
          <w:rFonts w:ascii="Arial" w:hAnsi="Arial" w:cs="Arial"/>
          <w:i/>
          <w:iCs/>
          <w:color w:val="000000" w:themeColor="text1"/>
          <w:sz w:val="22"/>
          <w:szCs w:val="22"/>
        </w:rPr>
        <w:t>et al.</w:t>
      </w:r>
      <w:r>
        <w:rPr>
          <w:rFonts w:ascii="Arial" w:hAnsi="Arial" w:cs="Arial"/>
          <w:color w:val="000000" w:themeColor="text1"/>
          <w:sz w:val="22"/>
          <w:szCs w:val="22"/>
        </w:rPr>
        <w:t>, 2018)</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informing the color-coded pathway (Green/Yellow/Orange/Red) used here, which evidence suggests improves appropriate professional allocation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{"citationID":"IEuPastD","properties":{"unsorted":false,"formattedCitation":"(Starmer {\\i{}et al.}, 2014; Misono {\\i{}et al.}, 2016)","plainCitation":"(Starmer et al., 2014; Misono et al., 2016)","noteIndex":0},"citationItems":[{"id":2,"uris":["http://zotero.org/users/20030753/items/PT693X4J"],"itemData":{"id":2,"type":"article-journal","abstract":"Objectives:\n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M."},{"family":"Gourin","given":"Christine"}],"issued":{"date-parts":[["2014",2]]}}},{"id":6,"uris":["http://zotero.org/users/20030753/items/W6ILPALJ"],"itemData":{"id":6,"type":"article-journal","abstract":"Objectives. To assess perspectives of patients with voice problems and identify factors associated with the likelihood of referral to voice therapy via the CHEER (Creating Healthcare Excellence through Education and Research) practice-based research network infrastructure. Study Design. Prospectively enrolled cross-sectional study of CHEER patients seen for a voice problem (dysphonia). Setting. The CHEER network of community and academic sites.\nMethods. Patient-reported demographic information, nature and severity of voice problems, clinical diagnoses, and proposed treatment plans were collected. The relationship between patient factors and voice therapy referral was investigated.\nResults. Patients (N = 249) were identified over 12 months from 10 sites comprising 30 otolaryngology physicians. The majority were women (68%) and white (82%). Most patients reported a recurrent voice problem (72%) and symptom duration .4 weeks (89%). The most commonly reported voicerelated diagnoses were vocal strain, reflux, and benign vocal fold lesions. Sixty-seven percent of enrolled patients reported receiving a recommendation for voice therapy. After adjusting for sociodemographic and other factors, diagnoses including vocal strain/excessive tension and vocal fold paralysis and academic practice type were associated with increased likelihood of reporting a referral for voice therapy.\nConclusions. The CHEER network successfully enrolled a representative sample of patients with dysphonia. Common diagnoses were vocal strain, reflux, and benign vocal fold lesions; commonly reported treatment recommendations included speech/voice therapy and antireflux medication. Recommendation for speech/voice therapy was associated with academic practice type.","container-title":"Otolaryngology–Head and Neck Surgery","DOI":"10.1177/0194599816639244","ISSN":"0194-5998, 1097-6817","issue":"1","journalAbbreviation":"Otolaryngol.--head neck surg.","language":"en","page":"33-41","source":"DOI.org (Crossref)","title":"Multi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institutional Study of Voice Disorders and Voice Therapy Referral: Report from the CHEER Network","title-short":"Multi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institutional Study of Voice Disorders and Voice Therapy Referral","volume":"155","author":[{"family":"Misono","given":"Stephanie"},{"family":"Marmor","given":"Schelomo"},{"family":"Roy","given":"Nelson"},{"family":"Mau","given":"Ted"},{"family":"Cohen","given":"Seth M."}],"issued":{"date-parts":[["2016",7]]}}}],"schema":"https://github.com/citation-style-language/schema/raw/master/csl-citation.json"}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(Starmer </w:t>
      </w:r>
      <w:r>
        <w:rPr>
          <w:rFonts w:ascii="Arial" w:hAnsi="Arial" w:cs="Arial"/>
          <w:i/>
          <w:iCs/>
          <w:color w:val="000000" w:themeColor="text1"/>
          <w:sz w:val="22"/>
          <w:szCs w:val="22"/>
        </w:rPr>
        <w:t>et al.</w:t>
      </w:r>
      <w:r>
        <w:rPr>
          <w:rFonts w:ascii="Arial" w:hAnsi="Arial" w:cs="Arial"/>
          <w:color w:val="000000" w:themeColor="text1"/>
          <w:sz w:val="22"/>
          <w:szCs w:val="22"/>
        </w:rPr>
        <w:t xml:space="preserve">, 2014; Misono </w:t>
      </w:r>
      <w:r>
        <w:rPr>
          <w:rFonts w:ascii="Arial" w:hAnsi="Arial" w:cs="Arial"/>
          <w:i/>
          <w:iCs/>
          <w:color w:val="000000" w:themeColor="text1"/>
          <w:sz w:val="22"/>
          <w:szCs w:val="22"/>
        </w:rPr>
        <w:t>et al.</w:t>
      </w:r>
      <w:r>
        <w:rPr>
          <w:rFonts w:ascii="Arial" w:hAnsi="Arial" w:cs="Arial"/>
          <w:color w:val="000000" w:themeColor="text1"/>
          <w:sz w:val="22"/>
          <w:szCs w:val="22"/>
        </w:rPr>
        <w:t>, 2016)</w:t>
      </w:r>
      <w:r>
        <w:rPr>
          <w:rFonts w:ascii="Arial" w:hAnsi="Arial" w:cs="Arial"/>
          <w:color w:val="000000" w:themeColor="text1"/>
          <w:sz w:val="22"/>
          <w:szCs w:val="22"/>
        </w:rPr>
        <w:fldChar w:fldCharType="end"/>
      </w:r>
      <w:r>
        <w:rPr>
          <w:rFonts w:ascii="Arial" w:hAnsi="Arial" w:cs="Arial"/>
          <w:color w:val="000000" w:themeColor="text1"/>
          <w:sz w:val="22"/>
          <w:szCs w:val="22"/>
        </w:rPr>
        <w:t>.</w:t>
      </w:r>
    </w:p>
    <w:p w14:paraId="48DA4C6A" w14:textId="77777777" w:rsidR="00FC44DF" w:rsidRPr="00A61110" w:rsidRDefault="00FC44DF" w:rsidP="00A61110">
      <w:pPr>
        <w:spacing w:after="0" w:line="360" w:lineRule="auto"/>
        <w:ind w:firstLine="720"/>
        <w:rPr>
          <w:rFonts w:ascii="Arial" w:hAnsi="Arial" w:cs="Arial"/>
          <w:color w:val="000000" w:themeColor="text1"/>
          <w:sz w:val="22"/>
          <w:szCs w:val="22"/>
        </w:rPr>
      </w:pPr>
    </w:p>
    <w:p w14:paraId="347672CA" w14:textId="77777777"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t>Best Practice Influences</w:t>
      </w:r>
    </w:p>
    <w:p w14:paraId="3F1E7597" w14:textId="77777777" w:rsidR="004300F8" w:rsidRPr="00A61110" w:rsidRDefault="004300F8" w:rsidP="007423E4">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Best practice in voice care is increasingly interdisciplinary. Evidence demonstrates that outcomes improve when laryngologists, SLPs, voice teachers, and mental health professionals collaborate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{"citationID":"W1YJu6bR","properties":{"unsorted":false,"formattedCitation":"(Starmer {\\i{}et al.}, 2014; Misono {\\i{}et al.}, 2016; Baxter {\\i{}et al.}, 2019)","plainCitation":"(Starmer et al., 2014; Misono et al., 2016; Baxter et al., 2019)","noteIndex":0},"citationItems":[{"id":2,"uris":["http://zotero.org/users/20030753/items/PT693X4J"],"itemData":{"id":2,"type":"article-journal","abstract":"Objectives:\n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M."},{"family":"Gourin","given":"Christine"}],"issued":{"date-parts":[["2014",2]]}}},{"id":6,"uris":["http://zotero.org/users/20030753/items/W6ILPALJ"],"itemData":{"id":6,"type":"article-journal","abstract":"Objectives. To assess perspectives of patients with voice problems and identify factors associated with the likelihood of referral to voice therapy via the CHEER (Creating Healthcare Excellence through Education and Research) practice-based research network infrastructure. Study Design. Prospectively enrolled cross-sectional study of CHEER patients seen for a voice problem (dysphonia). Setting. The CHEER network of community and academic sites.\nMethods. Patient-reported demographic information, nature and severity of voice problems, clinical diagnoses, and proposed treatment plans were collected. The relationship between patient factors and voice therapy referral was investigated.\nResults. Patients (N = 249) were identified over 12 months from 10 sites comprising 30 otolaryngology physicians. The majority were women (68%) and white (82%). Most patients reported a recurrent voice problem (72%) and symptom duration .4 weeks (89%). The most commonly reported voicerelated diagnoses were vocal strain, reflux, and benign vocal fold lesions. Sixty-seven percent of enrolled patients reported receiving a recommendation for voice therapy. After adjusting for sociodemographic and other factors, diagnoses including vocal strain/excessive tension and vocal fold paralysis and academic practice type were associated with increased likelihood of reporting a referral for voice therapy.\nConclusions. The CHEER network successfully enrolled a representative sample of patients with dysphonia. Common diagnoses were vocal strain, reflux, and benign vocal fold lesions; commonly reported treatment recommendations included speech/voice therapy and antireflux medication. Recommendation for speech/voice therapy was associated with academic practice type.","container-title":"Otolaryngology–Head and Neck Surgery","DOI":"10.1177/0194599816639244","ISSN":"0194-5998, 1097-6817","issue":"1","journalAbbreviation":"Otolaryngol.--head neck surg.","language":"en","page":"33-41","source":"DOI.org (Crossref)","title":"Multi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institutional Study of Voice Disorders and Voice Therapy Referral: Report from the CHEER Network","title-short":"Multi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institutional Study of Voice Disorders and Voice Therapy Referral","volume":"155","author":[{"family":"Misono","given":"Stephanie"},{"family":"Marmor","given":"Schelomo"},{"family":"Roy","given":"Nelson"},{"family":"Mau","given":"Ted"},{"family":"Cohen","given":"Seth M."}],"issued":{"date-parts":[["2016",7]]}}},{"id":161,"uris":["http://zotero.org/users/20030753/items/T7VDQHLV"],"itemData":{"id":161,"type":"article-journal","abstract":"BACKGROUND AND OBJECTIVE: Multidisciplinary team (MDT) clinics use an integrated approach to individualize care of complex medical conditions. Vocal cord dysfunction (VCD) is a challenging condition that is likely to benefit from MDT clinics but this has not been researched.\nMETHODS: A prospective observational cohort study of a novel VCD MDT clinic was conducted in patients with suspected VCD. Relevant questionnaires, medical history, physical examination, spirometry, dynamic computerized tomography (CT) larynx and laryngoscopy were utilized and patients were allocated to treatment pathways depending on putative diagnosis. Speech pathology intervention with laryngeal retraining (LR) was offered and if LR therapy failed botulinum toxin injection was offered. Primary outcome was reductions in healthcare utilization.\nRESULTS: Overall, 80 consecutive patients were included in analyses. A definitive diagnosis of VCD was made in 56 of 80 (70%) patients. After LR (n = 35), emergency department (ED)/hospital admissions declined significantly in the subsequent 12 months (P = 0.001). General practice visits also reduced (P &lt; 0.001). Botulinum toxin injections were administered in 21 patients unresponsive to LR therapy and both general practice and ED/hospital visits declined (P &lt; 0.001 and P = 0.01, respectively) after injection.\nCONCLUSION: A multidisciplinary approach to VCD confers benefit and can be used to allocate appropriate management leading to a reduction in healthcare utilization.","container-title":"Respirology","DOI":"10.1111/resp.13520","ISSN":"1440-1843","issue":"8","journalAbbreviation":"Respirology","language":"eng","page":"758-764","PMID":"30884033","publisher-place":"Carlton, Vic.","source":"PubMed","title":"Multidisciplinary team clinic for vocal cord dysfunction directs therapy and significantly reduces healthcare utilization","volume":"24","author":[{"family":"Baxter","given":"Malcolm"},{"family":"Ruane","given":"Laurence"},{"family":"Phyland","given":"Debra"},{"family":"Leahy","given":"Elizabeth"},{"family":"Heke","given":"Emily"},{"family":"Lau","given":"Kenneth K."},{"family":"Low","given":"Kathy"},{"family":"Hamza","given":"Kais"},{"family":"MacDonald","given":"Martin"},{"family":"Bardin","given":"Philip G."}],"issued":{"date-parts":[["2019",8]]}}}],"schema":"https://github.com/citation-style-language/schema/raw/master/csl-citation.json"}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(Starmer </w:t>
      </w:r>
      <w:r>
        <w:rPr>
          <w:rFonts w:ascii="Arial" w:hAnsi="Arial" w:cs="Arial"/>
          <w:i/>
          <w:iCs/>
          <w:color w:val="000000" w:themeColor="text1"/>
          <w:sz w:val="22"/>
          <w:szCs w:val="22"/>
        </w:rPr>
        <w:t>et al.</w:t>
      </w:r>
      <w:r>
        <w:rPr>
          <w:rFonts w:ascii="Arial" w:hAnsi="Arial" w:cs="Arial"/>
          <w:color w:val="000000" w:themeColor="text1"/>
          <w:sz w:val="22"/>
          <w:szCs w:val="22"/>
        </w:rPr>
        <w:t xml:space="preserve">, 2014; Misono </w:t>
      </w:r>
      <w:r>
        <w:rPr>
          <w:rFonts w:ascii="Arial" w:hAnsi="Arial" w:cs="Arial"/>
          <w:i/>
          <w:iCs/>
          <w:color w:val="000000" w:themeColor="text1"/>
          <w:sz w:val="22"/>
          <w:szCs w:val="22"/>
        </w:rPr>
        <w:t>et al.</w:t>
      </w:r>
      <w:r>
        <w:rPr>
          <w:rFonts w:ascii="Arial" w:hAnsi="Arial" w:cs="Arial"/>
          <w:color w:val="000000" w:themeColor="text1"/>
          <w:sz w:val="22"/>
          <w:szCs w:val="22"/>
        </w:rPr>
        <w:t xml:space="preserve">, 2016; Baxter </w:t>
      </w:r>
      <w:r>
        <w:rPr>
          <w:rFonts w:ascii="Arial" w:hAnsi="Arial" w:cs="Arial"/>
          <w:i/>
          <w:iCs/>
          <w:color w:val="000000" w:themeColor="text1"/>
          <w:sz w:val="22"/>
          <w:szCs w:val="22"/>
        </w:rPr>
        <w:t>et al.</w:t>
      </w:r>
      <w:r>
        <w:rPr>
          <w:rFonts w:ascii="Arial" w:hAnsi="Arial" w:cs="Arial"/>
          <w:color w:val="000000" w:themeColor="text1"/>
          <w:sz w:val="22"/>
          <w:szCs w:val="22"/>
        </w:rPr>
        <w:t>, 2019)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UK models at the Voice Care Center and Valentine Voice Care reflect this philosophy and directly inform </w:t>
      </w:r>
      <w:r>
        <w:rPr>
          <w:rFonts w:ascii="Arial" w:hAnsi="Arial" w:cs="Arial"/>
          <w:i/>
          <w:iCs/>
          <w:color w:val="000000" w:themeColor="text1"/>
          <w:sz w:val="22"/>
          <w:szCs w:val="22"/>
        </w:rPr>
        <w:t>Vocare</w:t>
      </w:r>
      <w:r>
        <w:rPr>
          <w:rFonts w:ascii="Arial" w:hAnsi="Arial" w:cs="Arial"/>
          <w:color w:val="000000" w:themeColor="text1"/>
          <w:sz w:val="22"/>
          <w:szCs w:val="22"/>
        </w:rPr>
        <w:t xml:space="preserve">'s envisioned professional network. Using validated brief instruments as first-contact screening is established practice: the VHI-10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{"citationID":"PmISWc4u","properties":{"unsorted":false,"formattedCitation":"(Rosen {\\i{}et al.}, 2004)","plainCitation":"(Rosen et al., 2004)","noteIndex":0},"citationItems":[{"id":70,"uris":["http://zotero.org/users/20030753/items/B5K92ESA"],"itemData":{"id":70,"type":"article-journal","abstract":"Objectives/Hypothesis: The objective was to develop an abbreviated voice handicap assessment instrument and compare it with the Voice Handicap Index (VHI). Study Design: Item analysis of the VHI in individuals without voice disorders and patients with voice disorders and creation and validation of the abbreviated VHI. Methods: Clinical consensus review of the VHI items was held to prioritize the clinical value of each of the VHI items (30 items in all). Item analysis of the VHI was performed using the VHI responses of 100 patients with voice problems and 159 control subjects. The 10 most robust VHI items were selected using the item analysis and clinical consensus results to form the Voice Handicap Index-10 (VHI-10). Statistical analysis comparing the validity of the VHI-10 with the VHI was performed with 819 patients representing a wide spectrum of voice disorders. Results: Statistical analysis of the VHI and VHI-10 scores from the study group showed no statistically significant differences between the VHI and the VHI-10. Irrespective of diagnosis, the correlation between the VHI and the VHI-10 was greater than .90 (P = .01). The ratios of the VHI-10 to VHI scores for a variety of voice disorder categories were analyzed and found to be consistently greater than the expected value (33%). This suggests that the VHI-10 may be a more robust instrument than the VHI. Conclusion: The VHI-10 is a powerful representation of the VHI that takes less time for the patient to complete without loss of validity. Thus, the VHI-10 can replace the VHI as an instrument to quantify patients' perception of their voice handicap.","container-title":"The Laryngoscope","DOI":"10.1097/00005537-200409000-00009","ISSN":"1531-4995","issue":"9","language":"en","note":"_eprint: https://onlinelibrary.wiley.com/doi/pdf/10.1097/00005537-200409000-00009","page":"1549-1556","source":"Wiley Online Library","title":"Development and Validation of the Voice Handicap Index-10","volume":"114","author":[{"family":"Rosen","given":"Clark A."},{"family":"Lee","given":"Annie S."},{"family":"Osborne","given":"Jamie"},{"family":"Zullo","given":"Thomas"},{"family":"Murry","given":"Thomas"}],"issued":{"date-parts":[["2004"]]}}}],"schema":"https://github.com/citation-style-language/schema/raw/master/csl-citation.json"}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(Rosen </w:t>
      </w:r>
      <w:r>
        <w:rPr>
          <w:rFonts w:ascii="Arial" w:hAnsi="Arial" w:cs="Arial"/>
          <w:i/>
          <w:iCs/>
          <w:color w:val="000000" w:themeColor="text1"/>
          <w:sz w:val="22"/>
          <w:szCs w:val="22"/>
        </w:rPr>
        <w:t>et al.</w:t>
      </w:r>
      <w:r>
        <w:rPr>
          <w:rFonts w:ascii="Arial" w:hAnsi="Arial" w:cs="Arial"/>
          <w:color w:val="000000" w:themeColor="text1"/>
          <w:sz w:val="22"/>
          <w:szCs w:val="22"/>
        </w:rPr>
        <w:t>, 2004)</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and the SVHI-10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{"citationID":"m4P4Lria","properties":{"unsorted":false,"formattedCitation":"(Cohen {\\i{}et al.}, 2009)","plainCitation":"(Cohen et al., 2009)","noteIndex":0},"citationItems":[{"id":136,"uris":["http://zotero.org/users/20030753/items/GGZAEQJ7"],"itemData":{"id":136,"type":"article-journal","abstract":"OBJECTIVES/HYPOTHESIS: To develop a shortened version of the validated health status instrument for singers, the Singing Voice Handicap Index (SVHI).\nSTUDY DESIGN: Prospective item analysis of the SVHI in patients with singing voice problems and creation and validation of an abbreviated SVHI, the SVHI-10.\nMETHODS: Patients presenting to two tertiary care voice clinics prospectively completed the SVHI. Principal component analysis was performed. Individual item to total correlations were calculated, and individual items were also evaluated for bipolar response patterns. A clinical consensus conference prioritized each individual item. Items were then eliminated, and the internal consistency was evaluated. A second cohort of patients with singing voice problems completed the Voice Handicap Index-10 (VHI-10) and SVHI-10 at two time points. Singers without voice problems also completed the SVHI-10. SVHI-10 scores were compared between the groups, correlations between the SVHI-10 and VHI-10 were performed, and test-retest reliability of the SVHI-10 assessed.\nRESULTS: Singers with voice problems had worse SVHI-10 scores than normal singers (P &lt; .0001, t test). Test-retest reliability was high (Spearman correlation = 0.86, P &lt; .001). Internal consistency of the SVHI-10 demonstrated a Cronbach alpha of .94, and the correlation between the SVHI-10 and VHI-10 was 0.7 (P &lt; .001, Spearman correlation).\nCONCLUSIONS: The SVHI-10 is a valuable instrument to assess self-perceived handicap associated with singing voice problems with reduced patient burden.","container-title":"The Laryngoscope","DOI":"10.1002/lary.20580","ISSN":"1531-4995","issue":"9","journalAbbreviation":"Laryngoscope","language":"eng","page":"1864-1869","PMID":"19572269","source":"PubMed","title":"Development and validation of the Singing Voice Handicap-10","volume":"119","author":[{"family":"Cohen","given":"Seth M."},{"family":"Statham","given":"Melissa"},{"family":"Rosen","given":"Clark A."},{"family":"Zullo","given":"Thomas"}],"issued":{"date-parts":[["2009",9]]}}}],"schema":"https://github.com/citation-style-language/schema/raw/master/csl-citation.json"}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(Cohen </w:t>
      </w:r>
      <w:r>
        <w:rPr>
          <w:rFonts w:ascii="Arial" w:hAnsi="Arial" w:cs="Arial"/>
          <w:i/>
          <w:iCs/>
          <w:color w:val="000000" w:themeColor="text1"/>
          <w:sz w:val="22"/>
          <w:szCs w:val="22"/>
        </w:rPr>
        <w:t>et al.</w:t>
      </w:r>
      <w:r>
        <w:rPr>
          <w:rFonts w:ascii="Arial" w:hAnsi="Arial" w:cs="Arial"/>
          <w:color w:val="000000" w:themeColor="text1"/>
          <w:sz w:val="22"/>
          <w:szCs w:val="22"/>
        </w:rPr>
        <w:t>, 2009)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are recommended outcome tools by ASHA and the American Academy of Otolaryngology – Head and Neck Surgery (AAO-HNS). The Reflux Symptom Index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{"citationID":"wGuXxXDO","properties":{"unsorted":false,"formattedCitation":"(Belafsky, Postma and Koufman, 2002)","plainCitation":"(Belafsky, Postma and Koufman, 2002)","noteIndex":0},"citationItems":[{"id":138,"uris":["http://zotero.org/users/20030753/items/KLU236BV"],"itemData":{"id":138,"type":"article-journal","abstract":"Laryngopharyngeal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(Belafsky, Postma and Koufman, 2002)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addresses laryngopharyngeal reflux as a frequently under-identified contributor to voice disorders, while the GAD-7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{"citationID":"Ul38SSd6","properties":{"unsorted":false,"formattedCitation":"(Spitzer {\\i{}et al.}, 2006)","plainCitation":"(Spitzer et al., 2006)","noteIndex":0},"citationItems":[{"id":133,"uris":["http://zotero.org/users/20030753/items/8B7I8ZZD"],"itemData":{"id":133,"type":"article-journal","container-title":"Archives of Internal Medicine","DOI":"10.1001/archinte.166.10.1092","ISSN":"0003-9926","issue":"10","journalAbbreviation":"Arch Intern Med","language":"en","page":"1092","source":"DOI.org (Crossref)","title":"A Brief Measure for Assessing Generalized Anxiety Disorder: The GAD-7","title-short":"A Brief Measure for Assessing Generalized Anxiety Disorder","volume":"166","author":[{"family":"Spitzer","given":"Robert L."},{"family":"Kroenke","given":"Kurt"},{"family":"Williams","given":"Janet B. W."},{"family":"Löwe","given":"Bernd"}],"issued":{"date-parts":[["2006",5,22]]}}}],"schema":"https://github.com/citation-style-language/schema/raw/master/csl-citation.json"}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(Spitzer </w:t>
      </w:r>
      <w:r>
        <w:rPr>
          <w:rFonts w:ascii="Arial" w:hAnsi="Arial" w:cs="Arial"/>
          <w:i/>
          <w:iCs/>
          <w:color w:val="000000" w:themeColor="text1"/>
          <w:sz w:val="22"/>
          <w:szCs w:val="22"/>
        </w:rPr>
        <w:t>et al.</w:t>
      </w:r>
      <w:r>
        <w:rPr>
          <w:rFonts w:ascii="Arial" w:hAnsi="Arial" w:cs="Arial"/>
          <w:color w:val="000000" w:themeColor="text1"/>
          <w:sz w:val="22"/>
          <w:szCs w:val="22"/>
        </w:rPr>
        <w:t>, 2006)</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and the Mazzarolo Music Performance Anxiety Scale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{"citationID":"62TEVQPN","properties":{"unsorted":false,"formattedCitation":"(Mazzarolo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(Mazzarolo and Schubert, 2022)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reflect growing recognition that psychological wellbeing is integral to vocal function.</w:t>
      </w:r>
    </w:p>
    <w:p w14:paraId="6D68BF2B" w14:textId="77777777" w:rsidR="004300F8" w:rsidRPr="00A61110" w:rsidRDefault="004300F8" w:rsidP="004300F8">
      <w:pPr>
        <w:spacing w:after="0" w:line="360" w:lineRule="auto"/>
        <w:rPr>
          <w:rFonts w:ascii="Arial" w:hAnsi="Arial" w:cs="Arial"/>
          <w:color w:val="000000" w:themeColor="text1"/>
          <w:sz w:val="22"/>
          <w:szCs w:val="22"/>
        </w:rPr>
      </w:pPr>
    </w:p>
    <w:p w14:paraId="0E920344" w14:textId="77777777"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t>Methodological Influences</w:t>
      </w:r>
    </w:p>
    <w:p w14:paraId="12940047" w14:textId="77777777" w:rsidR="004300F8" w:rsidRPr="00A61110"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Artefact development is guided by practice-based research methodology, in which the practitioner-researcher iteratively creates and refines a professional tool through critical engagement with the literature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{"citationID":"xI8KixCG","properties":{"unsorted":false,"formattedCitation":"(Smith and Dean, 2009; Nelson, 2022)","plainCitation":"(Smith and Dean, 2009; Nelson, 2022)","noteIndex":0},"citationItems":[{"id":165,"uris":["http://zotero.org/users/20030753/items/GRRD4D67"],"itemData":{"id":165,"type":"book","abstract":"This book addresses one of the most exciting and innovative developments within higher education: the rise in prominence of the creative arts and the accelerating recognition that creative practice is a form of research.The book considers how creative practice can lead to research insights through what is often known as practice-led research. But unlike other books on practice-led research, it balances this with discussion of how research can impact positively on creative practice through research-led practice. The editors posit an iterative and web-like relationship between practice and research. Essays within the book cover a wide range of disciplines including creative writing, dance, music, theatre, film and new media, and the contributors are from the UK, US, Canada and Australia. The subject is approached from numerous angles: the authors discuss methodologies of practice-led research and research-led practice, their own creative work as a form of research, research training for creative practitioners, researchers, students in the creative arts and university leaders.","ISBN":"978-0-7486-3629-7","language":"en","note":"Google-Books-ID: cAdcPQAACAAJ","number-of-pages":"278","publisher":"Edinburgh University Press","source":"Google Books","title":"Practice-led Research, Research-led Practice in the Creative Arts","author":[{"family":"Smith","given":"Hazel"},{"family":"Dean","given":"R. T."}],"issued":{"date-parts":[["2009"]]}}},{"id":164,"uris":["http://zotero.org/users/20030753/items/WUXZ7SXM"],"itemData":{"id":164,"type":"book","DOI":"10.1007/978-3-030-90542-2","ISBN":"978-3-030-90541-5","language":"en","license":"https://www.springer.com/tdm","publisher":"Springer International Publishing","publisher-place":"Cham","source":"DOI.org (Crossref)","title":"Practice as Research in the Arts (and Beyond): Principles, Processes, Contexts, Achievements","title-short":"Practice as Research in the Arts (and Beyond)","URL":"https://link.springer.com/10.1007/978-3-030-90542-2","author":[{"family":"Nelson","given":"Robin"}],"accessed":{"date-parts":[["2026",5,12]]},"issued":{"date-parts":[["2022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(Smith and Dean, 2009; Nelson, 2022)</w:t>
      </w:r>
      <w:r>
        <w:rPr>
          <w:rFonts w:ascii="Arial" w:hAnsi="Arial" w:cs="Arial"/>
          <w:color w:val="000000" w:themeColor="text1"/>
          <w:sz w:val="22"/>
          <w:szCs w:val="22"/>
        </w:rPr>
        <w:fldChar w:fldCharType="end"/>
      </w:r>
      <w:r>
        <w:rPr>
          <w:rFonts w:ascii="Arial" w:hAnsi="Arial" w:cs="Arial"/>
          <w:color w:val="000000" w:themeColor="text1"/>
          <w:sz w:val="22"/>
          <w:szCs w:val="22"/>
        </w:rPr>
        <w:t>. This is well suited to projects whose output is a professional resource rather than an experimental intervention. Selection and adaptation of validated instruments is further informed by patient-reported outcome methodology; adaptation is acknowledged as a limitation reflecting the tool's informational — rather than diagnostic — purpose.</w:t>
      </w:r>
    </w:p>
    <w:p w14:paraId="10D07993" w14:textId="77777777" w:rsidR="004300F8" w:rsidRDefault="004300F8" w:rsidP="004300F8">
      <w:pPr>
        <w:spacing w:after="0" w:line="360" w:lineRule="auto"/>
        <w:ind w:firstLine="720"/>
        <w:rPr>
          <w:rFonts w:ascii="Arial" w:hAnsi="Arial" w:cs="Arial"/>
          <w:color w:val="000000" w:themeColor="text1"/>
          <w:sz w:val="22"/>
          <w:szCs w:val="22"/>
        </w:rPr>
      </w:pPr>
    </w:p>
    <w:p w14:paraId="32E55413" w14:textId="77777777" w:rsidR="00602CFD" w:rsidRDefault="00602CFD" w:rsidP="004300F8">
      <w:pPr>
        <w:spacing w:after="0" w:line="360" w:lineRule="auto"/>
        <w:ind w:firstLine="720"/>
        <w:rPr>
          <w:rFonts w:ascii="Arial" w:hAnsi="Arial" w:cs="Arial"/>
          <w:color w:val="000000" w:themeColor="text1"/>
          <w:sz w:val="22"/>
          <w:szCs w:val="22"/>
        </w:rPr>
      </w:pPr>
    </w:p>
    <w:p w14:paraId="32E944E4" w14:textId="77777777" w:rsidR="00602CFD" w:rsidRDefault="00602CFD" w:rsidP="004300F8">
      <w:pPr>
        <w:spacing w:after="0" w:line="360" w:lineRule="auto"/>
        <w:ind w:firstLine="720"/>
        <w:rPr>
          <w:rFonts w:ascii="Arial" w:hAnsi="Arial" w:cs="Arial"/>
          <w:color w:val="000000" w:themeColor="text1"/>
          <w:sz w:val="22"/>
          <w:szCs w:val="22"/>
        </w:rPr>
      </w:pPr>
    </w:p>
    <w:p w14:paraId="5EC3711B" w14:textId="77777777" w:rsidR="00602CFD" w:rsidRDefault="00602CFD" w:rsidP="004300F8">
      <w:pPr>
        <w:spacing w:after="0" w:line="360" w:lineRule="auto"/>
        <w:ind w:firstLine="720"/>
        <w:rPr>
          <w:rFonts w:ascii="Arial" w:hAnsi="Arial" w:cs="Arial"/>
          <w:color w:val="000000" w:themeColor="text1"/>
          <w:sz w:val="22"/>
          <w:szCs w:val="22"/>
        </w:rPr>
      </w:pPr>
    </w:p>
    <w:p w14:paraId="76DC314C" w14:textId="77777777" w:rsidR="00602CFD" w:rsidRDefault="00602CFD" w:rsidP="004300F8">
      <w:pPr>
        <w:spacing w:after="0" w:line="360" w:lineRule="auto"/>
        <w:ind w:firstLine="720"/>
        <w:rPr>
          <w:rFonts w:ascii="Arial" w:hAnsi="Arial" w:cs="Arial"/>
          <w:color w:val="000000" w:themeColor="text1"/>
          <w:sz w:val="22"/>
          <w:szCs w:val="22"/>
        </w:rPr>
      </w:pPr>
    </w:p>
    <w:p w14:paraId="01230BD6" w14:textId="77777777" w:rsidR="00602CFD" w:rsidRDefault="00602CFD" w:rsidP="004300F8">
      <w:pPr>
        <w:spacing w:after="0" w:line="360" w:lineRule="auto"/>
        <w:ind w:firstLine="720"/>
        <w:rPr>
          <w:rFonts w:ascii="Arial" w:hAnsi="Arial" w:cs="Arial"/>
          <w:color w:val="000000" w:themeColor="text1"/>
          <w:sz w:val="22"/>
          <w:szCs w:val="22"/>
        </w:rPr>
      </w:pPr>
    </w:p>
    <w:p w14:paraId="52DB5C96" w14:textId="77777777"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lastRenderedPageBreak/>
        <w:t>Aims and Objectives</w:t>
      </w:r>
    </w:p>
    <w:p w14:paraId="2FD7FF81" w14:textId="77777777" w:rsidR="00602CFD" w:rsidRDefault="00602CFD" w:rsidP="004300F8">
      <w:pPr>
        <w:spacing w:after="0" w:line="360" w:lineRule="auto"/>
        <w:rPr>
          <w:rFonts w:ascii="Arial" w:hAnsi="Arial" w:cs="Arial"/>
          <w:i/>
          <w:iCs/>
          <w:color w:val="000000" w:themeColor="text1"/>
          <w:sz w:val="22"/>
          <w:szCs w:val="22"/>
        </w:rPr>
      </w:pPr>
    </w:p>
    <w:p w14:paraId="03DFFF4A" w14:textId="00113983" w:rsidR="00602CFD" w:rsidRPr="00602CFD" w:rsidRDefault="004300F8" w:rsidP="004300F8">
      <w:pPr>
        <w:spacing w:after="0" w:line="360" w:lineRule="auto"/>
        <w:rPr>
          <w:rFonts w:ascii="Arial" w:hAnsi="Arial" w:cs="Arial"/>
          <w:color w:val="000000" w:themeColor="text1"/>
          <w:sz w:val="22"/>
          <w:szCs w:val="22"/>
        </w:rPr>
      </w:pPr>
      <w:r>
        <w:rPr>
          <w:rFonts w:ascii="Arial" w:hAnsi="Arial" w:cs="Arial"/>
          <w:i/>
          <w:iCs/>
          <w:color w:val="000000" w:themeColor="text1"/>
          <w:sz w:val="22"/>
          <w:szCs w:val="22"/>
        </w:rPr>
        <w:t>Aim:</w:t>
      </w:r>
      <w:r>
        <w:rPr>
          <w:rFonts w:ascii="Arial" w:hAnsi="Arial" w:cs="Arial"/>
          <w:color w:val="000000" w:themeColor="text1"/>
          <w:sz w:val="22"/>
          <w:szCs w:val="22"/>
        </w:rPr>
        <w:t xml:space="preserve"> To create a short, evidence-based online self-assessment questionnaire that guides users toward appropriate professional voice care within the </w:t>
      </w:r>
      <w:r w:rsidRPr="00602CFD">
        <w:rPr>
          <w:rFonts w:ascii="Arial" w:hAnsi="Arial" w:cs="Arial"/>
          <w:i/>
          <w:iCs/>
          <w:color w:val="000000" w:themeColor="text1"/>
          <w:sz w:val="22"/>
          <w:szCs w:val="22"/>
        </w:rPr>
        <w:t>Vocare</w:t>
      </w:r>
      <w:r>
        <w:rPr>
          <w:rFonts w:ascii="Arial" w:hAnsi="Arial" w:cs="Arial"/>
          <w:color w:val="000000" w:themeColor="text1"/>
          <w:sz w:val="22"/>
          <w:szCs w:val="22"/>
        </w:rPr>
        <w:t xml:space="preserve"> network.</w:t>
      </w:r>
    </w:p>
    <w:p w14:paraId="169395BE" w14:textId="77777777" w:rsidR="00602CFD" w:rsidRDefault="00602CFD" w:rsidP="004300F8">
      <w:pPr>
        <w:spacing w:after="0" w:line="360" w:lineRule="auto"/>
        <w:rPr>
          <w:rFonts w:ascii="Arial" w:hAnsi="Arial" w:cs="Arial"/>
          <w:i/>
          <w:iCs/>
          <w:color w:val="000000" w:themeColor="text1"/>
          <w:sz w:val="22"/>
          <w:szCs w:val="22"/>
        </w:rPr>
      </w:pPr>
    </w:p>
    <w:p w14:paraId="5E7C6149" w14:textId="25E67E9A"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i/>
          <w:iCs/>
          <w:color w:val="000000" w:themeColor="text1"/>
          <w:sz w:val="22"/>
          <w:szCs w:val="22"/>
        </w:rPr>
        <w:t>Objectives:</w:t>
      </w:r>
    </w:p>
    <w:p w14:paraId="64AD1658" w14:textId="5F2CF1FB" w:rsidR="004300F8" w:rsidRPr="00A61110" w:rsidRDefault="004300F8" w:rsidP="004300F8">
      <w:pPr>
        <w:numPr>
          <w:ilvl w:val="0"/>
          <w:numId w:val="1"/>
        </w:numPr>
        <w:spacing w:after="0" w:line="360" w:lineRule="auto"/>
        <w:rPr>
          <w:rFonts w:ascii="Arial" w:hAnsi="Arial" w:cs="Arial"/>
          <w:color w:val="000000" w:themeColor="text1"/>
          <w:sz w:val="22"/>
          <w:szCs w:val="22"/>
        </w:rPr>
      </w:pPr>
      <w:r>
        <w:rPr>
          <w:rFonts w:ascii="Arial" w:hAnsi="Arial" w:cs="Arial"/>
          <w:color w:val="000000" w:themeColor="text1"/>
          <w:sz w:val="22"/>
          <w:szCs w:val="22"/>
        </w:rPr>
        <w:t>Review peer-reviewed literature on validated voice, reflux, and anxiety self-assessment tools.</w:t>
      </w:r>
    </w:p>
    <w:p w14:paraId="5F3F0C3A" w14:textId="35C72B0B" w:rsidR="004300F8" w:rsidRPr="00A61110" w:rsidRDefault="004300F8" w:rsidP="004300F8">
      <w:pPr>
        <w:numPr>
          <w:ilvl w:val="0"/>
          <w:numId w:val="1"/>
        </w:numPr>
        <w:spacing w:after="0" w:line="360" w:lineRule="auto"/>
        <w:rPr>
          <w:rFonts w:ascii="Arial" w:hAnsi="Arial" w:cs="Arial"/>
          <w:color w:val="000000" w:themeColor="text1"/>
          <w:sz w:val="22"/>
          <w:szCs w:val="22"/>
        </w:rPr>
      </w:pPr>
      <w:r>
        <w:rPr>
          <w:rFonts w:ascii="Arial" w:hAnsi="Arial" w:cs="Arial"/>
          <w:color w:val="000000" w:themeColor="text1"/>
          <w:sz w:val="22"/>
          <w:szCs w:val="22"/>
        </w:rPr>
        <w:t>Select and justify specific instruments, producing a written rationale.</w:t>
      </w:r>
    </w:p>
    <w:p w14:paraId="10C4FA3E" w14:textId="2E8DEC5C" w:rsidR="004300F8" w:rsidRPr="00A61110" w:rsidRDefault="004300F8" w:rsidP="004300F8">
      <w:pPr>
        <w:numPr>
          <w:ilvl w:val="0"/>
          <w:numId w:val="1"/>
        </w:numPr>
        <w:spacing w:after="0" w:line="360" w:lineRule="auto"/>
        <w:rPr>
          <w:rFonts w:ascii="Arial" w:hAnsi="Arial" w:cs="Arial"/>
          <w:color w:val="000000" w:themeColor="text1"/>
          <w:sz w:val="22"/>
          <w:szCs w:val="22"/>
        </w:rPr>
      </w:pPr>
      <w:r>
        <w:rPr>
          <w:rFonts w:ascii="Arial" w:hAnsi="Arial" w:cs="Arial"/>
          <w:color w:val="000000" w:themeColor="text1"/>
          <w:sz w:val="22"/>
          <w:szCs w:val="22"/>
        </w:rPr>
        <w:t>Draft the full questionnaire — including question wording, response scales, and scoring logic.</w:t>
      </w:r>
    </w:p>
    <w:p w14:paraId="6FC0E8F3" w14:textId="34CB1372" w:rsidR="004300F8" w:rsidRPr="00A61110" w:rsidRDefault="004300F8" w:rsidP="004300F8">
      <w:pPr>
        <w:numPr>
          <w:ilvl w:val="0"/>
          <w:numId w:val="1"/>
        </w:numPr>
        <w:spacing w:after="0" w:line="360" w:lineRule="auto"/>
        <w:rPr>
          <w:rFonts w:ascii="Arial" w:hAnsi="Arial" w:cs="Arial"/>
          <w:color w:val="000000" w:themeColor="text1"/>
          <w:sz w:val="22"/>
          <w:szCs w:val="22"/>
        </w:rPr>
      </w:pPr>
      <w:r>
        <w:rPr>
          <w:rFonts w:ascii="Arial" w:hAnsi="Arial" w:cs="Arial"/>
          <w:color w:val="000000" w:themeColor="text1"/>
          <w:sz w:val="22"/>
          <w:szCs w:val="22"/>
        </w:rPr>
        <w:t>Build a functional, shareable online version using an AI-assisted tool.</w:t>
      </w:r>
    </w:p>
    <w:p w14:paraId="56B5969B" w14:textId="03B2CEC9" w:rsidR="004300F8" w:rsidRPr="00A61110" w:rsidRDefault="004300F8" w:rsidP="004300F8">
      <w:pPr>
        <w:numPr>
          <w:ilvl w:val="0"/>
          <w:numId w:val="1"/>
        </w:numPr>
        <w:spacing w:after="0" w:line="360" w:lineRule="auto"/>
        <w:rPr>
          <w:rFonts w:ascii="Arial" w:hAnsi="Arial" w:cs="Arial"/>
          <w:color w:val="000000" w:themeColor="text1"/>
          <w:sz w:val="22"/>
          <w:szCs w:val="22"/>
        </w:rPr>
      </w:pPr>
      <w:r>
        <w:rPr>
          <w:rFonts w:ascii="Arial" w:hAnsi="Arial" w:cs="Arial"/>
          <w:color w:val="000000" w:themeColor="text1"/>
          <w:sz w:val="22"/>
          <w:szCs w:val="22"/>
        </w:rPr>
        <w:t>Complete functional testing of scoring, triage pathways, and referral logic, producing a brief evaluation report.</w:t>
      </w:r>
    </w:p>
    <w:p w14:paraId="0F5F9A8B" w14:textId="77777777" w:rsidR="004300F8" w:rsidRPr="00A61110" w:rsidRDefault="004300F8" w:rsidP="004300F8">
      <w:pPr>
        <w:spacing w:after="0" w:line="360" w:lineRule="auto"/>
        <w:rPr>
          <w:rFonts w:ascii="Arial" w:hAnsi="Arial" w:cs="Arial"/>
          <w:color w:val="000000" w:themeColor="text1"/>
          <w:sz w:val="22"/>
          <w:szCs w:val="22"/>
        </w:rPr>
      </w:pPr>
    </w:p>
    <w:p w14:paraId="61B87EFE" w14:textId="77777777" w:rsidR="004300F8" w:rsidRDefault="004300F8"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Expected Learning Outcomes</w:t>
      </w:r>
    </w:p>
    <w:p w14:paraId="04CB7E2F" w14:textId="77777777" w:rsidR="00602CFD" w:rsidRPr="00A61110" w:rsidRDefault="00602CFD" w:rsidP="004300F8">
      <w:pPr>
        <w:spacing w:after="0" w:line="360" w:lineRule="auto"/>
        <w:rPr>
          <w:rFonts w:ascii="Arial" w:hAnsi="Arial" w:cs="Arial"/>
          <w:b/>
          <w:color w:val="000000" w:themeColor="text1"/>
          <w:sz w:val="22"/>
          <w:szCs w:val="22"/>
        </w:rPr>
      </w:pPr>
    </w:p>
    <w:p w14:paraId="7DECAE76" w14:textId="77777777" w:rsidR="004300F8" w:rsidRPr="00A61110" w:rsidRDefault="004300F8" w:rsidP="004300F8">
      <w:pPr>
        <w:spacing w:after="0" w:line="360" w:lineRule="auto"/>
        <w:rPr>
          <w:rFonts w:ascii="Arial" w:hAnsi="Arial" w:cs="Arial"/>
          <w:bCs/>
          <w:color w:val="000000" w:themeColor="text1"/>
          <w:sz w:val="22"/>
          <w:szCs w:val="22"/>
        </w:rPr>
      </w:pPr>
      <w:r>
        <w:rPr>
          <w:rFonts w:ascii="Arial" w:hAnsi="Arial" w:cs="Arial"/>
          <w:bCs/>
          <w:color w:val="000000" w:themeColor="text1"/>
          <w:sz w:val="22"/>
          <w:szCs w:val="22"/>
        </w:rPr>
        <w:t>Upon completion, I will be able to:</w:t>
      </w:r>
    </w:p>
    <w:p w14:paraId="7BEDDD0D" w14:textId="77777777" w:rsidR="004300F8" w:rsidRPr="00A61110" w:rsidRDefault="004300F8" w:rsidP="004300F8">
      <w:pPr>
        <w:numPr>
          <w:ilvl w:val="0"/>
          <w:numId w:val="2"/>
        </w:numPr>
        <w:spacing w:after="0" w:line="360" w:lineRule="auto"/>
        <w:rPr>
          <w:rFonts w:ascii="Arial" w:hAnsi="Arial" w:cs="Arial"/>
          <w:bCs/>
          <w:color w:val="000000" w:themeColor="text1"/>
          <w:sz w:val="22"/>
          <w:szCs w:val="22"/>
        </w:rPr>
      </w:pPr>
      <w:r>
        <w:rPr>
          <w:rFonts w:ascii="Arial" w:hAnsi="Arial" w:cs="Arial"/>
          <w:bCs/>
          <w:color w:val="000000" w:themeColor="text1"/>
          <w:sz w:val="22"/>
          <w:szCs w:val="22"/>
        </w:rPr>
        <w:t>Critically evaluate the psychometric properties and clinical applications of validated voice, reflux, and anxiety tools.</w:t>
      </w:r>
    </w:p>
    <w:p w14:paraId="6F46230C" w14:textId="77777777" w:rsidR="004300F8" w:rsidRPr="00A61110" w:rsidRDefault="004300F8" w:rsidP="004300F8">
      <w:pPr>
        <w:numPr>
          <w:ilvl w:val="0"/>
          <w:numId w:val="2"/>
        </w:numPr>
        <w:spacing w:after="0" w:line="360" w:lineRule="auto"/>
        <w:rPr>
          <w:rFonts w:ascii="Arial" w:hAnsi="Arial" w:cs="Arial"/>
          <w:bCs/>
          <w:color w:val="000000" w:themeColor="text1"/>
          <w:sz w:val="22"/>
          <w:szCs w:val="22"/>
        </w:rPr>
      </w:pPr>
      <w:r>
        <w:rPr>
          <w:rFonts w:ascii="Arial" w:hAnsi="Arial" w:cs="Arial"/>
          <w:bCs/>
          <w:color w:val="000000" w:themeColor="text1"/>
          <w:sz w:val="22"/>
          <w:szCs w:val="22"/>
        </w:rPr>
        <w:t>Apply biopsychosocial and triage frameworks to multi-dimensional voice health screening design.</w:t>
      </w:r>
    </w:p>
    <w:p w14:paraId="70BB6FC7" w14:textId="77777777" w:rsidR="004300F8" w:rsidRPr="00A61110" w:rsidRDefault="004300F8" w:rsidP="004300F8">
      <w:pPr>
        <w:numPr>
          <w:ilvl w:val="0"/>
          <w:numId w:val="2"/>
        </w:numPr>
        <w:spacing w:after="0" w:line="360" w:lineRule="auto"/>
        <w:rPr>
          <w:rFonts w:ascii="Arial" w:hAnsi="Arial" w:cs="Arial"/>
          <w:bCs/>
          <w:color w:val="000000" w:themeColor="text1"/>
          <w:sz w:val="22"/>
          <w:szCs w:val="22"/>
        </w:rPr>
      </w:pPr>
      <w:r>
        <w:rPr>
          <w:rFonts w:ascii="Arial" w:hAnsi="Arial" w:cs="Arial"/>
          <w:bCs/>
          <w:color w:val="000000" w:themeColor="text1"/>
          <w:sz w:val="22"/>
          <w:szCs w:val="22"/>
        </w:rPr>
        <w:t>Synthesise peer-reviewed evidence to justify methodological decisions in artefact development.</w:t>
      </w:r>
    </w:p>
    <w:p w14:paraId="61BC1F33" w14:textId="77777777" w:rsidR="004300F8" w:rsidRPr="00A61110" w:rsidRDefault="004300F8" w:rsidP="004300F8">
      <w:pPr>
        <w:numPr>
          <w:ilvl w:val="0"/>
          <w:numId w:val="2"/>
        </w:numPr>
        <w:spacing w:after="0" w:line="360" w:lineRule="auto"/>
        <w:rPr>
          <w:rFonts w:ascii="Arial" w:hAnsi="Arial" w:cs="Arial"/>
          <w:bCs/>
          <w:color w:val="000000" w:themeColor="text1"/>
          <w:sz w:val="22"/>
          <w:szCs w:val="22"/>
        </w:rPr>
      </w:pPr>
      <w:r>
        <w:rPr>
          <w:rFonts w:ascii="Arial" w:hAnsi="Arial" w:cs="Arial"/>
          <w:bCs/>
          <w:color w:val="000000" w:themeColor="text1"/>
          <w:sz w:val="22"/>
          <w:szCs w:val="22"/>
        </w:rPr>
        <w:t>Use AI-assisted tools to create a functional, publicly accessible online questionnaire.</w:t>
      </w:r>
    </w:p>
    <w:p w14:paraId="0905D5C0" w14:textId="77777777" w:rsidR="004300F8" w:rsidRDefault="004300F8" w:rsidP="004300F8">
      <w:pPr>
        <w:numPr>
          <w:ilvl w:val="0"/>
          <w:numId w:val="2"/>
        </w:numPr>
        <w:spacing w:after="0" w:line="360" w:lineRule="auto"/>
        <w:rPr>
          <w:rFonts w:ascii="Arial" w:hAnsi="Arial" w:cs="Arial"/>
          <w:bCs/>
          <w:color w:val="000000" w:themeColor="text1"/>
          <w:sz w:val="22"/>
          <w:szCs w:val="22"/>
        </w:rPr>
      </w:pPr>
      <w:r>
        <w:rPr>
          <w:rFonts w:ascii="Arial" w:hAnsi="Arial" w:cs="Arial"/>
          <w:bCs/>
          <w:color w:val="000000" w:themeColor="text1"/>
          <w:sz w:val="22"/>
          <w:szCs w:val="22"/>
        </w:rPr>
        <w:t>Reflect critically on the limitations of adapting validated instruments for informational use.</w:t>
      </w:r>
    </w:p>
    <w:p w14:paraId="6E8DB63D" w14:textId="77777777" w:rsidR="007423E4" w:rsidRPr="00A61110" w:rsidRDefault="007423E4" w:rsidP="007423E4">
      <w:pPr>
        <w:spacing w:after="0" w:line="360" w:lineRule="auto"/>
        <w:ind w:left="720"/>
        <w:rPr>
          <w:rFonts w:ascii="Arial" w:hAnsi="Arial" w:cs="Arial"/>
          <w:bCs/>
          <w:color w:val="000000" w:themeColor="text1"/>
          <w:sz w:val="22"/>
          <w:szCs w:val="22"/>
        </w:rPr>
      </w:pPr>
    </w:p>
    <w:p w14:paraId="7714E960" w14:textId="77777777" w:rsidR="00602CFD" w:rsidRDefault="00602CFD" w:rsidP="004300F8">
      <w:pPr>
        <w:spacing w:after="0" w:line="360" w:lineRule="auto"/>
        <w:rPr>
          <w:rFonts w:ascii="Arial" w:hAnsi="Arial" w:cs="Arial"/>
          <w:b/>
          <w:color w:val="000000" w:themeColor="text1"/>
          <w:sz w:val="22"/>
          <w:szCs w:val="22"/>
        </w:rPr>
      </w:pPr>
    </w:p>
    <w:p w14:paraId="48C9142C" w14:textId="77777777" w:rsidR="00602CFD" w:rsidRDefault="00602CFD" w:rsidP="004300F8">
      <w:pPr>
        <w:spacing w:after="0" w:line="360" w:lineRule="auto"/>
        <w:rPr>
          <w:rFonts w:ascii="Arial" w:hAnsi="Arial" w:cs="Arial"/>
          <w:b/>
          <w:color w:val="000000" w:themeColor="text1"/>
          <w:sz w:val="22"/>
          <w:szCs w:val="22"/>
        </w:rPr>
      </w:pPr>
    </w:p>
    <w:p w14:paraId="581A832C" w14:textId="77777777" w:rsidR="00602CFD" w:rsidRDefault="00602CFD" w:rsidP="004300F8">
      <w:pPr>
        <w:spacing w:after="0" w:line="360" w:lineRule="auto"/>
        <w:rPr>
          <w:rFonts w:ascii="Arial" w:hAnsi="Arial" w:cs="Arial"/>
          <w:b/>
          <w:color w:val="000000" w:themeColor="text1"/>
          <w:sz w:val="22"/>
          <w:szCs w:val="22"/>
        </w:rPr>
      </w:pPr>
    </w:p>
    <w:p w14:paraId="4F7664BD" w14:textId="77777777" w:rsidR="00602CFD" w:rsidRDefault="00602CFD" w:rsidP="004300F8">
      <w:pPr>
        <w:spacing w:after="0" w:line="360" w:lineRule="auto"/>
        <w:rPr>
          <w:rFonts w:ascii="Arial" w:hAnsi="Arial" w:cs="Arial"/>
          <w:b/>
          <w:color w:val="000000" w:themeColor="text1"/>
          <w:sz w:val="22"/>
          <w:szCs w:val="22"/>
        </w:rPr>
      </w:pPr>
    </w:p>
    <w:p w14:paraId="7F202C41" w14:textId="77777777" w:rsidR="00602CFD" w:rsidRDefault="00602CFD" w:rsidP="004300F8">
      <w:pPr>
        <w:spacing w:after="0" w:line="360" w:lineRule="auto"/>
        <w:rPr>
          <w:rFonts w:ascii="Arial" w:hAnsi="Arial" w:cs="Arial"/>
          <w:b/>
          <w:color w:val="000000" w:themeColor="text1"/>
          <w:sz w:val="22"/>
          <w:szCs w:val="22"/>
        </w:rPr>
      </w:pPr>
    </w:p>
    <w:p w14:paraId="340AFD67" w14:textId="77777777" w:rsidR="00602CFD" w:rsidRDefault="00602CFD" w:rsidP="004300F8">
      <w:pPr>
        <w:spacing w:after="0" w:line="360" w:lineRule="auto"/>
        <w:rPr>
          <w:rFonts w:ascii="Arial" w:hAnsi="Arial" w:cs="Arial"/>
          <w:b/>
          <w:color w:val="000000" w:themeColor="text1"/>
          <w:sz w:val="22"/>
          <w:szCs w:val="22"/>
        </w:rPr>
      </w:pPr>
    </w:p>
    <w:p w14:paraId="3FE5E1A5" w14:textId="104EA48A"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lastRenderedPageBreak/>
        <w:t>Activities, Key Resources, and Assessment Criteria</w:t>
      </w:r>
    </w:p>
    <w:p w14:paraId="6305B31B" w14:textId="77777777" w:rsidR="00602CFD" w:rsidRDefault="00602CFD" w:rsidP="004300F8">
      <w:pPr>
        <w:spacing w:after="0" w:line="360" w:lineRule="auto"/>
        <w:rPr>
          <w:rFonts w:ascii="Arial" w:hAnsi="Arial" w:cs="Arial"/>
          <w:i/>
          <w:iCs/>
          <w:color w:val="000000" w:themeColor="text1"/>
          <w:sz w:val="22"/>
          <w:szCs w:val="22"/>
        </w:rPr>
      </w:pPr>
    </w:p>
    <w:p w14:paraId="710E47F0" w14:textId="0DB49004" w:rsidR="004300F8" w:rsidRDefault="004300F8" w:rsidP="004300F8">
      <w:pPr>
        <w:spacing w:after="0" w:line="360" w:lineRule="auto"/>
        <w:rPr>
          <w:rFonts w:ascii="Arial" w:hAnsi="Arial" w:cs="Arial"/>
          <w:color w:val="000000" w:themeColor="text1"/>
          <w:sz w:val="22"/>
          <w:szCs w:val="22"/>
        </w:rPr>
      </w:pPr>
      <w:r>
        <w:rPr>
          <w:rFonts w:ascii="Arial" w:hAnsi="Arial" w:cs="Arial"/>
          <w:i/>
          <w:iCs/>
          <w:color w:val="000000" w:themeColor="text1"/>
          <w:sz w:val="22"/>
          <w:szCs w:val="22"/>
        </w:rPr>
        <w:t>Key activities:</w:t>
      </w:r>
      <w:r>
        <w:rPr>
          <w:rFonts w:ascii="Arial" w:hAnsi="Arial" w:cs="Arial"/>
          <w:color w:val="000000" w:themeColor="text1"/>
          <w:sz w:val="22"/>
          <w:szCs w:val="22"/>
        </w:rPr>
        <w:t xml:space="preserve"> narrative literature review; critical comparison of tool length, scoring, and applicability; drafting items and triage framework; AI-assisted platform development; functional testing.</w:t>
      </w:r>
    </w:p>
    <w:p w14:paraId="61C294FC" w14:textId="77777777" w:rsidR="00602CFD" w:rsidRPr="00A61110" w:rsidRDefault="00602CFD" w:rsidP="004300F8">
      <w:pPr>
        <w:spacing w:after="0" w:line="360" w:lineRule="auto"/>
        <w:rPr>
          <w:rFonts w:ascii="Arial" w:hAnsi="Arial" w:cs="Arial"/>
          <w:color w:val="000000" w:themeColor="text1"/>
          <w:sz w:val="22"/>
          <w:szCs w:val="22"/>
        </w:rPr>
      </w:pPr>
    </w:p>
    <w:p w14:paraId="0478D2D0" w14:textId="32829CF1"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i/>
          <w:iCs/>
          <w:color w:val="000000" w:themeColor="text1"/>
          <w:sz w:val="22"/>
          <w:szCs w:val="22"/>
        </w:rPr>
        <w:t>Assessment criteria</w:t>
      </w:r>
      <w:r>
        <w:rPr>
          <w:rFonts w:ascii="Arial" w:hAnsi="Arial" w:cs="Arial"/>
          <w:color w:val="000000" w:themeColor="text1"/>
          <w:sz w:val="22"/>
          <w:szCs w:val="22"/>
        </w:rPr>
        <w:t xml:space="preserve"> — aims and objectives will be considered met when: the literature review covers all five tools with peer-reviewed sources cited; the written justification addresses length, scoring, target population, and validation status; and the completed tool is accessible via shareable link and completable in under ten minutes.</w:t>
      </w:r>
    </w:p>
    <w:p w14:paraId="140B16D0" w14:textId="77777777" w:rsidR="008E5DCF" w:rsidRDefault="008E5DCF" w:rsidP="004300F8">
      <w:pPr>
        <w:spacing w:after="0" w:line="360" w:lineRule="auto"/>
        <w:rPr>
          <w:rFonts w:ascii="Arial" w:hAnsi="Arial" w:cs="Arial"/>
          <w:b/>
          <w:color w:val="000000" w:themeColor="text1"/>
          <w:sz w:val="22"/>
          <w:szCs w:val="22"/>
        </w:rPr>
      </w:pPr>
    </w:p>
    <w:p w14:paraId="5E617470" w14:textId="38404104" w:rsidR="004300F8" w:rsidRPr="00A61110" w:rsidRDefault="004300F8" w:rsidP="004300F8">
      <w:pPr>
        <w:spacing w:after="0" w:line="360" w:lineRule="auto"/>
        <w:rPr>
          <w:rFonts w:ascii="Arial" w:hAnsi="Arial" w:cs="Arial"/>
          <w:b/>
          <w:color w:val="000000" w:themeColor="text1"/>
          <w:sz w:val="22"/>
          <w:szCs w:val="22"/>
        </w:rPr>
      </w:pPr>
      <w:r>
        <w:rPr>
          <w:rFonts w:ascii="Arial" w:hAnsi="Arial" w:cs="Arial"/>
          <w:b/>
          <w:color w:val="000000" w:themeColor="text1"/>
          <w:sz w:val="22"/>
          <w:szCs w:val="22"/>
        </w:rPr>
        <w:t>Timescales and Review Dates: Gantt Chart</w:t>
      </w:r>
    </w:p>
    <w:p w14:paraId="1920D193" w14:textId="77777777" w:rsidR="0003454B" w:rsidRPr="00A61110" w:rsidRDefault="0003454B" w:rsidP="004300F8">
      <w:pPr>
        <w:spacing w:after="0" w:line="360" w:lineRule="auto"/>
        <w:rPr>
          <w:rFonts w:ascii="Arial" w:hAnsi="Arial" w:cs="Arial"/>
          <w:b/>
          <w:color w:val="000000" w:themeColor="text1"/>
          <w:sz w:val="22"/>
          <w:szCs w:val="22"/>
        </w:rPr>
      </w:pPr>
    </w:p>
    <w:p w14:paraId="53C2A83F" w14:textId="00DA7CBD" w:rsidR="0003454B" w:rsidRPr="00A61110" w:rsidRDefault="00FB33D8" w:rsidP="004300F8">
      <w:pPr>
        <w:spacing w:after="0" w:line="360" w:lineRule="auto"/>
        <w:rPr>
          <w:rFonts w:ascii="Arial" w:hAnsi="Arial" w:cs="Arial"/>
          <w:b/>
          <w:color w:val="000000" w:themeColor="text1"/>
          <w:sz w:val="22"/>
          <w:szCs w:val="22"/>
        </w:rPr>
      </w:pPr>
      <w:r>
        <w:rPr>
          <w:rFonts w:ascii="Arial" w:hAnsi="Arial" w:cs="Arial"/>
          <w:b/>
          <w:noProof/>
          <w:color w:val="000000" w:themeColor="text1"/>
          <w:sz w:val="22"/>
          <w:szCs w:val="22"/>
        </w:rPr>
        <w:drawing>
          <wp:inline distT="0" distB="0" distL="0" distR="0" wp14:anchorId="70EEA67A" wp14:editId="48320E2C">
            <wp:extent cx="6692053" cy="1447800"/>
            <wp:effectExtent l="0" t="0" r="1270" b="0"/>
            <wp:docPr id="902274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274239" name="Picture 902274239"/>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23149" cy="1454527"/>
                    </a:xfrm>
                    <a:prstGeom prst="rect">
                      <a:avLst/>
                    </a:prstGeom>
                  </pic:spPr>
                </pic:pic>
              </a:graphicData>
            </a:graphic>
          </wp:inline>
        </w:drawing>
      </w:r>
    </w:p>
    <w:p w14:paraId="16E42FAA" w14:textId="77777777" w:rsidR="0003454B" w:rsidRPr="00A61110" w:rsidRDefault="0003454B" w:rsidP="004300F8">
      <w:pPr>
        <w:spacing w:after="0" w:line="360" w:lineRule="auto"/>
        <w:rPr>
          <w:rFonts w:ascii="Arial" w:hAnsi="Arial" w:cs="Arial"/>
          <w:b/>
          <w:color w:val="000000" w:themeColor="text1"/>
          <w:sz w:val="22"/>
          <w:szCs w:val="22"/>
        </w:rPr>
      </w:pPr>
    </w:p>
    <w:p w14:paraId="41E7E258" w14:textId="64933D6D" w:rsidR="004300F8" w:rsidRPr="00A61110" w:rsidRDefault="004300F8" w:rsidP="004300F8">
      <w:pPr>
        <w:pStyle w:val="Heading1"/>
        <w:spacing w:before="0" w:after="0" w:line="360" w:lineRule="auto"/>
        <w:rPr>
          <w:rFonts w:ascii="Arial" w:hAnsi="Arial" w:cs="Arial"/>
          <w:b/>
          <w:bCs/>
          <w:color w:val="000000" w:themeColor="text1"/>
          <w:sz w:val="22"/>
          <w:szCs w:val="22"/>
        </w:rPr>
      </w:pPr>
      <w:r>
        <w:rPr>
          <w:rFonts w:ascii="Arial" w:hAnsi="Arial" w:cs="Arial"/>
          <w:b/>
          <w:bCs/>
          <w:color w:val="000000" w:themeColor="text1"/>
          <w:sz w:val="22"/>
          <w:szCs w:val="22"/>
        </w:rPr>
        <w:t>1.3 Methodology</w:t>
      </w:r>
    </w:p>
    <w:p w14:paraId="77E32A19" w14:textId="446F2452" w:rsidR="004300F8" w:rsidRPr="00A61110"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This project combines a narrative literature review with a practice-based artefact development process. A narrative review was selected because the aim is not to produce a systematic synthesis of all existing evidence, but to survey and critically appraise a defined body of validated clinical tools relevant to a specific professional artefact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{"citationID":"zWncW8pq","properties":{"unsorted":false,"formattedCitation":"(Grant and Booth, 2009; Ferrari, 2015)","plainCitation":"(Grant and Booth, 2009; Ferrari, 2015)","noteIndex":0},"citationItems":[{"id":169,"uris":["http://zotero.org/users/20030753/items/Y4EPFGH9"],"itemData":{"id":169,"type":"article-journal","abstract":"The expansion of evidence-based practice across sectors has lead to an increasing variety of review types. However, the diversity of terminology used means that the full potential of these review types may be lost amongst a confusion of indistinct and misapplied terms. The objective of this study is to provide descriptive insight into the most common types of reviews, with illustrative examples from health and health information domains.\nFollowing scoping searches, an examination was made of the vocabulary associated with the literature of review and synthesis (literary warrant). A simple analytical framework -- Search, AppraisaL, Synthesis and Analysis (SALSA) -- was used to examine the main review types.\nFourteen review types and associated methodologies were analysed against the SALSA framework, illustrating the inputs and processes of each review type. A description of the key characteristics is given, together with perceived strengths and weaknesses. A limited number of review types are currently utilized within the health information domain.\nFew review types possess prescribed and explicit methodologies and many fall short of being mutually exclusive. Notwithstanding such limitations, this typology provides a valuable reference point for those commissioning, conducting, supporting or interpreting reviews, both within health information and the wider health care domain.","container-title":"Health information and libraries journal","DOI":"10.1111/j.1471-1842.2009.00848.x","journalAbbreviation":"Health information and libraries journal","page":"91-108","source":"ResearchGate","title":"A typology of reviews: An analysis of 14 review types and associated methologies","title-short":"A typology of reviews","volume":"26","author":[{"family":"Grant","given":"Maria"},{"family":"Booth","given":"Andrew"}],"issued":{"date-parts":[["2009",7,1]]}}},{"id":171,"uris":["http://zotero.org/users/20030753/items/Y95JI5AX"],"itemData":{"id":171,"type":"article-journal","abstrac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discussed.","container-title":"Medical Writing","DOI":"10.1179/2047480615Z.000000000329","journalAbbreviation":"Medical Writing","page":"230-235","source":"ResearchGate","title":"Writing narrative style literature reviews","volume":"24","author":[{"family":"Ferrari","given":"Rossella"}],"issued":{"date-parts":[["2015",12,1]]}}}],"schema":"https://github.com/citation-style-language/schema/raw/master/csl-citation.json"}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(Grant and Booth, 2009; Ferrari, 2015)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This approach is consistent with practice-led research paradigms in which artefact development is guided by critical engagement with the literature rather than formal experimental methods. At the same time, I am aware that this choice has real limits. Without a documented search protocol, it would be difficult for another researcher to verify exactly which sources I included or identify what I might have missed, and unlike a systematic review, a narrative approach cannot tell me the direction or size of effects across the literature as a whole </w:t>
      </w:r>
      <w:r w:rsidR="00FC44DF">
        <w:rPr>
          <w:rFonts w:ascii="Arial" w:hAnsi="Arial" w:cs="Arial"/>
          <w:color w:val="000000" w:themeColor="text1"/>
          <w:sz w:val="22"/>
          <w:szCs w:val="22"/>
        </w:rPr>
        <w:fldChar w:fldCharType="begin"/>
      </w:r>
      <w:r w:rsidR="00FC44DF">
        <w:rPr>
          <w:rFonts w:ascii="Arial" w:hAnsi="Arial" w:cs="Arial"/>
          <w:color w:val="000000" w:themeColor="text1"/>
          <w:sz w:val="22"/>
          <w:szCs w:val="22"/>
        </w:rPr>
        <w:instrText xml:space="preserve"> ADDIN ZOTERO_ITEM CSL_CITATION {"citationID":"U71LjM26","properties":{"unsorted":false,"formattedCitation":"(Grant and Booth, 2009)","plainCitation":"(Grant and Booth, 2009)","noteIndex":0},"citationItems":[{"id":169,"uris":["http://zotero.org/users/20030753/items/Y4EPFGH9"],"itemData":{"id":169,"type":"article-journal","abstract":"The expansion of evidence-based practice across sectors has lead to an increasing variety of review types. However, the diversity of terminology used means that the full potential of these review types may be lost amongst a confusion of indistinct and misapplied terms. The objective of this study is to provide descriptive insight into the most common types of reviews, with illustrative examples from health and health information domains.\nFollowing scoping searches, an examination was made of the vocabulary associated with the literature of review and synthesis (literary warrant). A simple analytical framework -- Search, AppraisaL, Synthesis and Analysis (SALSA) -- was used to examine the main review types.\nFourteen review types and associated methodologies were analysed against the SALSA framework, illustrating the inputs and processes of each review type. A description of the key characteristics is given, together with perceived strengths and weaknesses. A limited number of review types are currently utilized within the health information domain.\nFew review types possess prescribed and explicit methodologies and many fall short of being mutually exclusive. Notwithstanding such limitations, this typology provides a valuable reference point for those commissioning, conducting, supporting or interpreting reviews, both within health information and the wider health care domain.","container-title":"Health information and libraries journal","DOI":"10.1111/j.1471-1842.2009.00848.x","journalAbbreviation":"Health information and libraries journal","page":"91-108","source":"ResearchGate","title":"A typology of reviews: An analysis of 14 review types and associated methologies","title-short":"A typology of reviews","volume":"26","author":[{"family":"Grant","given":"Maria"},{"family":"Booth","given":"Andrew"}],"issued":{"date-parts":[["2009",7,1]]}}}],"schema":"https://github.com/citation-style-language/schema/raw/master/csl-citation.json"} </w:instrText>
      </w:r>
      <w:r w:rsidR="00FC44DF">
        <w:rPr>
          <w:rFonts w:ascii="Arial" w:hAnsi="Arial" w:cs="Arial"/>
          <w:color w:val="000000" w:themeColor="text1"/>
          <w:sz w:val="22"/>
          <w:szCs w:val="22"/>
        </w:rPr>
        <w:fldChar w:fldCharType="separate"/>
      </w:r>
      <w:r w:rsidR="00FC44DF">
        <w:rPr>
          <w:rFonts w:ascii="Arial" w:hAnsi="Arial" w:cs="Arial"/>
          <w:noProof/>
          <w:color w:val="000000" w:themeColor="text1"/>
          <w:sz w:val="22"/>
          <w:szCs w:val="22"/>
        </w:rPr>
        <w:t>(Grant and Booth, 2009)</w:t>
      </w:r>
      <w:r w:rsidR="00FC44DF">
        <w:rPr>
          <w:rFonts w:ascii="Arial" w:hAnsi="Arial" w:cs="Arial"/>
          <w:color w:val="000000" w:themeColor="text1"/>
          <w:sz w:val="22"/>
          <w:szCs w:val="22"/>
        </w:rPr>
        <w:fldChar w:fldCharType="end"/>
      </w:r>
      <w:r>
        <w:rPr>
          <w:rFonts w:ascii="Arial" w:hAnsi="Arial" w:cs="Arial"/>
          <w:color w:val="000000" w:themeColor="text1"/>
          <w:sz w:val="22"/>
          <w:szCs w:val="22"/>
        </w:rPr>
        <w:t xml:space="preserve">. These are constraints I accepted because the flexibility of a narrative review suited a practice-based project whose goal was artefact development rather than </w:t>
      </w:r>
      <w:r>
        <w:rPr>
          <w:rFonts w:ascii="Arial" w:hAnsi="Arial" w:cs="Arial"/>
          <w:color w:val="000000" w:themeColor="text1"/>
          <w:sz w:val="22"/>
          <w:szCs w:val="22"/>
        </w:rPr>
        <w:lastRenderedPageBreak/>
        <w:t>evidence synthesis, but I think it is important to name them rather than only explaining why I made the choice</w:t>
      </w:r>
      <w:r w:rsidR="00FC44DF">
        <w:rPr>
          <w:rFonts w:ascii="Arial" w:hAnsi="Arial" w:cs="Arial"/>
          <w:color w:val="000000" w:themeColor="text1"/>
          <w:sz w:val="22"/>
          <w:szCs w:val="22"/>
        </w:rPr>
        <w:t xml:space="preserve"> </w:t>
      </w:r>
      <w:r w:rsidR="00FC44DF">
        <w:rPr>
          <w:rFonts w:ascii="Arial" w:hAnsi="Arial" w:cs="Arial"/>
          <w:color w:val="000000" w:themeColor="text1"/>
          <w:sz w:val="22"/>
          <w:szCs w:val="22"/>
        </w:rPr>
        <w:fldChar w:fldCharType="begin"/>
      </w:r>
      <w:r w:rsidR="00FC44DF">
        <w:rPr>
          <w:rFonts w:ascii="Arial" w:hAnsi="Arial" w:cs="Arial"/>
          <w:color w:val="000000" w:themeColor="text1"/>
          <w:sz w:val="22"/>
          <w:szCs w:val="22"/>
        </w:rPr>
        <w:instrText xml:space="preserve"> ADDIN ZOTERO_ITEM CSL_CITATION {"citationID":"ettqzieY","properties":{"unsorted":false,"formattedCitation":"(Ferrari, 2015)","plainCitation":"(Ferrari, 2015)","noteIndex":0},"citationItems":[{"id":171,"uris":["http://zotero.org/users/20030753/items/Y95JI5AX"],"itemData":{"id":171,"type":"article-journal","abstract":"Reviews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discussed.","container-title":"Medical Writing","DOI":"10.1179/2047480615Z.000000000329","journalAbbreviation":"Medical Writing","page":"230-235","source":"ResearchGate","title":"Writing narrative style literature reviews","volume":"24","author":[{"family":"Ferrari","given":"Rossella"}],"issued":{"date-parts":[["2015",12,1]]}}}],"schema":"https://github.com/citation-style-language/schema/raw/master/csl-citation.json"} </w:instrText>
      </w:r>
      <w:r w:rsidR="00FC44DF">
        <w:rPr>
          <w:rFonts w:ascii="Arial" w:hAnsi="Arial" w:cs="Arial"/>
          <w:color w:val="000000" w:themeColor="text1"/>
          <w:sz w:val="22"/>
          <w:szCs w:val="22"/>
        </w:rPr>
        <w:fldChar w:fldCharType="separate"/>
      </w:r>
      <w:r w:rsidR="00FC44DF">
        <w:rPr>
          <w:rFonts w:ascii="Arial" w:hAnsi="Arial" w:cs="Arial"/>
          <w:noProof/>
          <w:color w:val="000000" w:themeColor="text1"/>
          <w:sz w:val="22"/>
          <w:szCs w:val="22"/>
        </w:rPr>
        <w:t>(Ferrari, 2015)</w:t>
      </w:r>
      <w:r w:rsidR="00FC44DF">
        <w:rPr>
          <w:rFonts w:ascii="Arial" w:hAnsi="Arial" w:cs="Arial"/>
          <w:color w:val="000000" w:themeColor="text1"/>
          <w:sz w:val="22"/>
          <w:szCs w:val="22"/>
        </w:rPr>
        <w:fldChar w:fldCharType="end"/>
      </w:r>
      <w:r>
        <w:rPr>
          <w:rFonts w:ascii="Arial" w:hAnsi="Arial" w:cs="Arial"/>
          <w:color w:val="000000" w:themeColor="text1"/>
          <w:sz w:val="22"/>
          <w:szCs w:val="22"/>
        </w:rPr>
        <w:t>.</w:t>
      </w:r>
    </w:p>
    <w:p w14:paraId="7DA8150E" w14:textId="77777777" w:rsidR="004300F8" w:rsidRPr="00A61110" w:rsidRDefault="004300F8" w:rsidP="004300F8">
      <w:pPr>
        <w:spacing w:after="0" w:line="360" w:lineRule="auto"/>
        <w:ind w:firstLine="720"/>
        <w:rPr>
          <w:rFonts w:ascii="Arial" w:hAnsi="Arial" w:cs="Arial"/>
          <w:color w:val="000000" w:themeColor="text1"/>
          <w:sz w:val="22"/>
          <w:szCs w:val="22"/>
        </w:rPr>
      </w:pPr>
    </w:p>
    <w:p w14:paraId="60D30302" w14:textId="77777777"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bCs/>
          <w:color w:val="000000" w:themeColor="text1"/>
          <w:sz w:val="22"/>
          <w:szCs w:val="22"/>
        </w:rPr>
        <w:t>Search Strategy and Inclusion/Exclusion Criteria</w:t>
      </w:r>
    </w:p>
    <w:p w14:paraId="6E43B76A" w14:textId="64D08B8B" w:rsidR="004300F8" w:rsidRPr="00A61110" w:rsidRDefault="004300F8" w:rsidP="00602CFD">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Literature searches were conducted via Google Scholar and the UWTSD library. Key search terms included: </w:t>
      </w:r>
      <w:r>
        <w:rPr>
          <w:rFonts w:ascii="Arial" w:hAnsi="Arial" w:cs="Arial"/>
          <w:i/>
          <w:iCs/>
          <w:color w:val="000000" w:themeColor="text1"/>
          <w:sz w:val="22"/>
          <w:szCs w:val="22"/>
        </w:rPr>
        <w:t>Voice Handicap Index</w:t>
      </w:r>
      <w:r>
        <w:rPr>
          <w:rFonts w:ascii="Arial" w:hAnsi="Arial" w:cs="Arial"/>
          <w:color w:val="000000" w:themeColor="text1"/>
          <w:sz w:val="22"/>
          <w:szCs w:val="22"/>
        </w:rPr>
        <w:t xml:space="preserve">, </w:t>
      </w:r>
      <w:r>
        <w:rPr>
          <w:rFonts w:ascii="Arial" w:hAnsi="Arial" w:cs="Arial"/>
          <w:i/>
          <w:iCs/>
          <w:color w:val="000000" w:themeColor="text1"/>
          <w:sz w:val="22"/>
          <w:szCs w:val="22"/>
        </w:rPr>
        <w:t>VHI-10 validation</w:t>
      </w:r>
      <w:r>
        <w:rPr>
          <w:rFonts w:ascii="Arial" w:hAnsi="Arial" w:cs="Arial"/>
          <w:color w:val="000000" w:themeColor="text1"/>
          <w:sz w:val="22"/>
          <w:szCs w:val="22"/>
        </w:rPr>
        <w:t xml:space="preserve">, </w:t>
      </w:r>
      <w:r>
        <w:rPr>
          <w:rFonts w:ascii="Arial" w:hAnsi="Arial" w:cs="Arial"/>
          <w:i/>
          <w:iCs/>
          <w:color w:val="000000" w:themeColor="text1"/>
          <w:sz w:val="22"/>
          <w:szCs w:val="22"/>
        </w:rPr>
        <w:t>Singing Voice Handicap Index</w:t>
      </w:r>
      <w:r>
        <w:rPr>
          <w:rFonts w:ascii="Arial" w:hAnsi="Arial" w:cs="Arial"/>
          <w:color w:val="000000" w:themeColor="text1"/>
          <w:sz w:val="22"/>
          <w:szCs w:val="22"/>
        </w:rPr>
        <w:t xml:space="preserve">, </w:t>
      </w:r>
      <w:r>
        <w:rPr>
          <w:rFonts w:ascii="Arial" w:hAnsi="Arial" w:cs="Arial"/>
          <w:i/>
          <w:iCs/>
          <w:color w:val="000000" w:themeColor="text1"/>
          <w:sz w:val="22"/>
          <w:szCs w:val="22"/>
        </w:rPr>
        <w:t>Reflux Symptom Index</w:t>
      </w:r>
      <w:r>
        <w:rPr>
          <w:rFonts w:ascii="Arial" w:hAnsi="Arial" w:cs="Arial"/>
          <w:color w:val="000000" w:themeColor="text1"/>
          <w:sz w:val="22"/>
          <w:szCs w:val="22"/>
        </w:rPr>
        <w:t xml:space="preserve">, </w:t>
      </w:r>
      <w:r>
        <w:rPr>
          <w:rFonts w:ascii="Arial" w:hAnsi="Arial" w:cs="Arial"/>
          <w:i/>
          <w:iCs/>
          <w:color w:val="000000" w:themeColor="text1"/>
          <w:sz w:val="22"/>
          <w:szCs w:val="22"/>
        </w:rPr>
        <w:t>laryngopharyngeal reflux questionnaire</w:t>
      </w:r>
      <w:r>
        <w:rPr>
          <w:rFonts w:ascii="Arial" w:hAnsi="Arial" w:cs="Arial"/>
          <w:color w:val="000000" w:themeColor="text1"/>
          <w:sz w:val="22"/>
          <w:szCs w:val="22"/>
        </w:rPr>
        <w:t xml:space="preserve">, </w:t>
      </w:r>
      <w:r>
        <w:rPr>
          <w:rFonts w:ascii="Arial" w:hAnsi="Arial" w:cs="Arial"/>
          <w:i/>
          <w:iCs/>
          <w:color w:val="000000" w:themeColor="text1"/>
          <w:sz w:val="22"/>
          <w:szCs w:val="22"/>
        </w:rPr>
        <w:t>GAD-7 validation</w:t>
      </w:r>
      <w:r>
        <w:rPr>
          <w:rFonts w:ascii="Arial" w:hAnsi="Arial" w:cs="Arial"/>
          <w:color w:val="000000" w:themeColor="text1"/>
          <w:sz w:val="22"/>
          <w:szCs w:val="22"/>
        </w:rPr>
        <w:t xml:space="preserve">, and </w:t>
      </w:r>
      <w:r>
        <w:rPr>
          <w:rFonts w:ascii="Arial" w:hAnsi="Arial" w:cs="Arial"/>
          <w:i/>
          <w:iCs/>
          <w:color w:val="000000" w:themeColor="text1"/>
          <w:sz w:val="22"/>
          <w:szCs w:val="22"/>
        </w:rPr>
        <w:t>short performance anxiety scale for musicians</w:t>
      </w:r>
      <w:r>
        <w:rPr>
          <w:rFonts w:ascii="Arial" w:hAnsi="Arial" w:cs="Arial"/>
          <w:color w:val="000000" w:themeColor="text1"/>
          <w:sz w:val="22"/>
          <w:szCs w:val="22"/>
        </w:rPr>
        <w:t>. No fixed date range was applied, as core validated tools span the early 2000s to the present; however, preference was given to foundational validation studies and recent systematic reviews (2010–2025). Inclusion criteria required peer-reviewed validation studies, clinical applicability to voice or anxiety screening, and availability in English and Spanish. That said, I am aware that the strength of the Spanish-language evidence is not equal across all five instruments. The VHI-10</w:t>
      </w:r>
      <w:r w:rsidR="00602CFD">
        <w:rPr>
          <w:rFonts w:ascii="Arial" w:hAnsi="Arial" w:cs="Arial"/>
          <w:color w:val="000000" w:themeColor="text1"/>
          <w:sz w:val="22"/>
          <w:szCs w:val="22"/>
        </w:rPr>
        <w:t>, SVIH-10, RSI</w:t>
      </w:r>
      <w:r>
        <w:rPr>
          <w:rFonts w:ascii="Arial" w:hAnsi="Arial" w:cs="Arial"/>
          <w:color w:val="000000" w:themeColor="text1"/>
          <w:sz w:val="22"/>
          <w:szCs w:val="22"/>
        </w:rPr>
        <w:t xml:space="preserve"> and GAD-7 both have well-established Spanish validation data</w:t>
      </w:r>
      <w:r w:rsidR="00FC44DF">
        <w:rPr>
          <w:rFonts w:ascii="Arial" w:hAnsi="Arial" w:cs="Arial"/>
          <w:color w:val="000000" w:themeColor="text1"/>
          <w:sz w:val="22"/>
          <w:szCs w:val="22"/>
        </w:rPr>
        <w:t xml:space="preserve"> </w:t>
      </w:r>
      <w:r w:rsidR="00FC44DF">
        <w:rPr>
          <w:rFonts w:ascii="Arial" w:hAnsi="Arial" w:cs="Arial"/>
          <w:color w:val="000000" w:themeColor="text1"/>
          <w:sz w:val="22"/>
          <w:szCs w:val="22"/>
        </w:rPr>
        <w:fldChar w:fldCharType="begin"/>
      </w:r>
      <w:r w:rsidR="00FE3862">
        <w:rPr>
          <w:rFonts w:ascii="Arial" w:hAnsi="Arial" w:cs="Arial"/>
          <w:color w:val="000000" w:themeColor="text1"/>
          <w:sz w:val="22"/>
          <w:szCs w:val="22"/>
        </w:rPr>
        <w:instrText xml:space="preserve"> ADDIN ZOTERO_ITEM CSL_CITATION {"citationID":"s3dIixze","properties":{"unsorted":false,"formattedCitation":"(Diez-Quevedo {\\i{}et al.}, 2001; N\\uc0\\u250{}\\uc0\\u241{}ez-Batalla {\\i{}et al.}, 2007; Garc\\uc0\\u237{}a-L\\uc0\\u243{}pez {\\i{}et al.}, 2010; Calvo-Henr\\uc0\\u237{}quez {\\i{}et al.}, 2019)","plainCitation":"(Diez-Quevedo et al., 2001; Núñez-Batalla et al., 2007; García-López et al., 2010; Calvo-Henríquez et al., 2019)","noteIndex":0},"citationItems":[{"id":214,"uris":["http://zotero.org/users/20030753/items/GVK7PRQX"],"itemData":{"id":214,"type":"article-journal","abstract":"Objective \n          To determine whether the Spanish version of the patient health questionnaire (PHQ) has validity and utility for diagnosing mental disorders in general hospital inpatients.\n          Methods \n          Participants in the study were 1003 general hospital inpatients, randomly selected from all admissions over an 18-month period. All of them completed the PHQ, the Beck Depression Inventory (BDI), and measures of functional status, disability days, and health care use, including length of hospital stay. They also had a structured interview with a mental health professional.\n          Results \n          A total of 416 (42%) of the 1003 general hospital inpatients had a PHQ diagnosis. There was good agreement between PHQ diagnoses and those of an independent mental health professional (for the diagnosis of any PHQ disorder, κ = 0.74; overall accuracy, 88%; sensitivity, 87%; specificity, 88%), similar to the original English version of the PHQ in primary care patients. Patients with PHQ diagnoses had more functional impairment, disability days, and health care use than did patients without PHQ diagnoses (group main effects for functional status measures and disability days, p &lt; .001; group main effects for health care use, p &lt; .01). The group main effect for hospital length of stay was not significant. An index of depression symptom severity calculated from the PHQ correlated significantly both with the number of depressive symptoms detected at interview and the total BDI score. PHQ administration was well accepted by patients.\n          Conclusions \n          The Spanish version of the PHQ has diagnostic validity in general hospital inpatients comparable to the original English version in primary care.","container-title":"Biopsychosocial Science and Medicine","ISSN":"2998-8748","issue":"4","language":"en-US","page":"679","source":"journals.lww.com","title":"Validation and Utility of the Patient Health Questionnaire in Diagnosing Mental Disorders in 1003 General Hospital Spanish Inpatients","volume":"63","author":[{"family":"Diez-Quevedo","given":"Crisanto"},{"family":"Rangil","given":"Teresa"},{"family":"Sanchez-Planell","given":"Luis"},{"family":"Kroenke","given":"Kurt"},{"family":"Spitzer","given":"Robert L."}],"issued":{"date-parts":[["2001",8]]}}},{"id":195,"uris":["http://zotero.org/users/20030753/items/XENVXACG"],"itemData":{"id":195,"type":"article-journal","abstract":"Introducción y objetivos: El índice de incapacidad vocal (Voice Handicap","container-title":"Acta Otorrinolaringológica Española","DOI":"10.1016/S0001-6519(07)74954-3","ISSN":"0001-6519","issue":"9","journalAbbreviation":"Acta Otorrinolaringol Esp","language":"es","page":"386-392","publisher":"Elsevier","source":"www.elsevier.es","title":"Adaptación y validación del índice de incapacidad vocal (VHI-30) y su versión abreviada (VHI-10) al español","volume":"58","author":[{"family":"Núñez-Batalla","given":"Faustino"},{"family":"Corte-Santos","given":"Paz"},{"family":"Señaris-González","given":"Blanca"},{"family":"Llorente-Pendás","given":"José L."},{"family":"Górriz-Gil","given":"Carmen"},{"family":"Suárez-Nieto","given":"Carlos"}],"issued":{"date-parts":[["2007",11,1]]}}},{"id":276,"uris":["http://zotero.org/users/20030753/items/7SRG8P7K"],"itemData":{"id":276,"type":"article-journal","abstract":"In t he quest ionnaires t hat current ly exist in Spanish t o assess t he impact on qualit y of life of voice pathology, there are no questions that refer speciically to the singing voice. We present t he result s of t he validat ion of t he Singing Voice Handicap Index (SVHI) in Spanish.","container-title":"Acta Otorrinolaringológica Española","issue":"4","language":"en","page":"247−254","source":"Zotero","title":"Validation of the Spanish version of the voice handicap index for vocal singing (SVHI)","volume":"61","author":[{"family":"García-López","given":"Isabel"},{"family":"Núñez-Batalla","given":"Faustino"},{"family":"Bouzas","given":"Javier Gavilán"},{"family":"Górriz-Gil","given":"Carmen"}],"issued":{"date-parts":[["2010"]]}}},{"id":129,"uris":["http://zotero.org/users/20030753/items/QMSLTBAF"],"itemData":{"id":129,"type":"article-journal","abstract":"Objective. In this study, we have created and validated the Spanish translation of the Reﬂux Symptom Index (Sp-RSI). Materials and Methods. RSI was translated according to the World Health Organization recommendation for the translation and adaptation of instruments. The ﬁnal version of the Sp-RSI was administered twice (day 0 and day 7) to 150 participants with and without laryngopharyngeal reﬂux symptoms. Reliability was measured with Cronbach α, and temporal stability was measured with intraclass correlation coefﬁcient.","container-title":"Journal of Voice","DOI":"10.1016/j.jvoice.2018.04.019","ISSN":"08921997","issue":"5","journalAbbreviation":"Journal of Voice","language":"en","page":"807.e1-807.e5","source":"DOI.org (Crossref)","title":"Translation and Validation of the Reflux Symptom Index to Spanish","volume":"33","author":[{"family":"Calvo-Henríquez","given":"Christian"},{"family":"Ruano-Ravina","given":"Alberto"},{"family":"Vaamonde","given":"Pedro"},{"family":"Lattomus","given":"Kaelon"},{"family":"Sebio","given":"Alicia"},{"family":"Fernández-Rodríguez","given":"Raquel"},{"family":"Martin-Martin","given":"Carlos"}],"issued":{"date-parts":[["2019",9]]}}}],"schema":"https://github.com/citation-style-language/schema/raw/master/csl-citation.json"} </w:instrText>
      </w:r>
      <w:r w:rsidR="00FC44DF">
        <w:rPr>
          <w:rFonts w:ascii="Arial" w:hAnsi="Arial" w:cs="Arial"/>
          <w:color w:val="000000" w:themeColor="text1"/>
          <w:sz w:val="22"/>
          <w:szCs w:val="22"/>
        </w:rPr>
        <w:fldChar w:fldCharType="separate"/>
      </w:r>
      <w:r w:rsidR="00FE3862" w:rsidRPr="00FE3862">
        <w:rPr>
          <w:rFonts w:ascii="Arial" w:hAnsi="Arial" w:cs="Arial"/>
          <w:color w:val="000000"/>
          <w:kern w:val="0"/>
          <w:sz w:val="22"/>
          <w:lang w:val="en-US"/>
        </w:rPr>
        <w:t xml:space="preserve">(Diez-Quevedo </w:t>
      </w:r>
      <w:r w:rsidR="00FE3862" w:rsidRPr="00FE3862">
        <w:rPr>
          <w:rFonts w:ascii="Arial" w:hAnsi="Arial" w:cs="Arial"/>
          <w:i/>
          <w:iCs/>
          <w:color w:val="000000"/>
          <w:kern w:val="0"/>
          <w:sz w:val="22"/>
          <w:lang w:val="en-US"/>
        </w:rPr>
        <w:t>et al.</w:t>
      </w:r>
      <w:r w:rsidR="00FE3862" w:rsidRPr="00FE3862">
        <w:rPr>
          <w:rFonts w:ascii="Arial" w:hAnsi="Arial" w:cs="Arial"/>
          <w:color w:val="000000"/>
          <w:kern w:val="0"/>
          <w:sz w:val="22"/>
          <w:lang w:val="en-US"/>
        </w:rPr>
        <w:t xml:space="preserve">, 2001; Núñez-Batalla </w:t>
      </w:r>
      <w:r w:rsidR="00FE3862" w:rsidRPr="00FE3862">
        <w:rPr>
          <w:rFonts w:ascii="Arial" w:hAnsi="Arial" w:cs="Arial"/>
          <w:i/>
          <w:iCs/>
          <w:color w:val="000000"/>
          <w:kern w:val="0"/>
          <w:sz w:val="22"/>
          <w:lang w:val="en-US"/>
        </w:rPr>
        <w:t>et al.</w:t>
      </w:r>
      <w:r w:rsidR="00FE3862" w:rsidRPr="00FE3862">
        <w:rPr>
          <w:rFonts w:ascii="Arial" w:hAnsi="Arial" w:cs="Arial"/>
          <w:color w:val="000000"/>
          <w:kern w:val="0"/>
          <w:sz w:val="22"/>
          <w:lang w:val="en-US"/>
        </w:rPr>
        <w:t xml:space="preserve">, 2007; García-López </w:t>
      </w:r>
      <w:r w:rsidR="00FE3862" w:rsidRPr="00FE3862">
        <w:rPr>
          <w:rFonts w:ascii="Arial" w:hAnsi="Arial" w:cs="Arial"/>
          <w:i/>
          <w:iCs/>
          <w:color w:val="000000"/>
          <w:kern w:val="0"/>
          <w:sz w:val="22"/>
          <w:lang w:val="en-US"/>
        </w:rPr>
        <w:t>et al.</w:t>
      </w:r>
      <w:r w:rsidR="00FE3862" w:rsidRPr="00FE3862">
        <w:rPr>
          <w:rFonts w:ascii="Arial" w:hAnsi="Arial" w:cs="Arial"/>
          <w:color w:val="000000"/>
          <w:kern w:val="0"/>
          <w:sz w:val="22"/>
          <w:lang w:val="en-US"/>
        </w:rPr>
        <w:t xml:space="preserve">, 2010; Calvo-Henríquez </w:t>
      </w:r>
      <w:r w:rsidR="00FE3862" w:rsidRPr="00FE3862">
        <w:rPr>
          <w:rFonts w:ascii="Arial" w:hAnsi="Arial" w:cs="Arial"/>
          <w:i/>
          <w:iCs/>
          <w:color w:val="000000"/>
          <w:kern w:val="0"/>
          <w:sz w:val="22"/>
          <w:lang w:val="en-US"/>
        </w:rPr>
        <w:t>et al.</w:t>
      </w:r>
      <w:r w:rsidR="00FE3862" w:rsidRPr="00FE3862">
        <w:rPr>
          <w:rFonts w:ascii="Arial" w:hAnsi="Arial" w:cs="Arial"/>
          <w:color w:val="000000"/>
          <w:kern w:val="0"/>
          <w:sz w:val="22"/>
          <w:lang w:val="en-US"/>
        </w:rPr>
        <w:t>, 2019)</w:t>
      </w:r>
      <w:r w:rsidR="00FC44DF">
        <w:rPr>
          <w:rFonts w:ascii="Arial" w:hAnsi="Arial" w:cs="Arial"/>
          <w:color w:val="000000" w:themeColor="text1"/>
          <w:sz w:val="22"/>
          <w:szCs w:val="22"/>
        </w:rPr>
        <w:fldChar w:fldCharType="end"/>
      </w:r>
      <w:r>
        <w:rPr>
          <w:rFonts w:ascii="Arial" w:hAnsi="Arial" w:cs="Arial"/>
          <w:color w:val="000000" w:themeColor="text1"/>
          <w:sz w:val="22"/>
          <w:szCs w:val="22"/>
        </w:rPr>
        <w:t>, but the M-MPAS has not yet been validated in a Spanish-speaking population, which means I cannot be fully confident that the tool performs in the same way across both languages. This is a limitation I would want to address directly in any future validation study. Tools of excessive length for a first-contact screening context were excluded, as was non-validated or anecdotal guidance.</w:t>
      </w:r>
      <w:r w:rsidR="00602CFD">
        <w:rPr>
          <w:rFonts w:ascii="Arial" w:hAnsi="Arial" w:cs="Arial"/>
          <w:color w:val="000000" w:themeColor="text1"/>
          <w:sz w:val="22"/>
          <w:szCs w:val="22"/>
        </w:rPr>
        <w:t xml:space="preserve"> </w:t>
      </w:r>
      <w:r>
        <w:rPr>
          <w:rFonts w:ascii="Arial" w:hAnsi="Arial" w:cs="Arial"/>
          <w:color w:val="000000" w:themeColor="text1"/>
          <w:sz w:val="22"/>
          <w:szCs w:val="22"/>
        </w:rPr>
        <w:t xml:space="preserve">Credibility was maintained by prioritising published validation studies. Grey literature included ASHA's Voice Disorders Practice Portal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{"citationID":"PKmgu75r","properties":{"unsorted":false,"formattedCitation":"({\\i{}ASHA}, 2024)","plainCitation":"(ASHA, 2024)","noteIndex":0},"citationItems":[{"id":175,"uris":["http://zotero.org/users/20030753/items/CNGQHN3U"],"itemData":{"id":175,"type":"webpage","abstract":"Voice disorders are vocal deficits that affect functional or daily communication needs.","container-title":"American Speech-Language-Hearing Association","language":"en","license":"Copyright American Speech-Language-Hearing Association","publisher":"American Speech-Language-Hearing Association","title":"ASHA","URL":"https://www.asha.org/practice-portal/clinical-topics/voice-disorders/","accessed":{"date-parts":[["2026",5,12]]},"issued":{"date-parts":[["2024"]]}}}],"schema":"https://github.com/citation-style-language/schema/raw/master/csl-citation.json"}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w:t>
      </w:r>
      <w:r>
        <w:rPr>
          <w:rFonts w:ascii="Arial" w:hAnsi="Arial" w:cs="Arial"/>
          <w:i/>
          <w:iCs/>
          <w:color w:val="000000" w:themeColor="text1"/>
          <w:sz w:val="22"/>
          <w:szCs w:val="22"/>
        </w:rPr>
        <w:t>ASHA</w:t>
      </w:r>
      <w:r>
        <w:rPr>
          <w:rFonts w:ascii="Arial" w:hAnsi="Arial" w:cs="Arial"/>
          <w:color w:val="000000" w:themeColor="text1"/>
          <w:sz w:val="22"/>
          <w:szCs w:val="22"/>
        </w:rPr>
        <w:t>, 2024)</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AAO-HNS guidelines, and the HNY Voice Hoarseness Pathway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{"citationID":"wA8B5Lcg","properties":{"unsorted":false,"formattedCitation":"({\\i{}Humber and North Yorkshire Policy and Pathway Repository}, 2024)","plainCitation":"(Humber and North Yorkshire Policy and Pathway Repository, 2024)","noteIndex":0},"citationItems":[{"id":157,"uris":["http://zotero.org/users/20030753/items/9HDQBJJV"],"itemData":{"id":157,"type":"webpage","container-title":"Humber and North Yorkshire Health and Care Partnership","language":"en-GB","title":"Humber and North Yorkshire Policy and Pathway Repository","URL":"https://hnyppr.org.uk/web/york/w/voice-problems-hoarseness-pathway","accessed":{"date-parts":[["2026",5,12]]},"issued":{"date-parts":[["2024"]]}}}],"schema":"https://github.com/citation-style-language/schema/raw/master/csl-citation.json"}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w:t>
      </w:r>
      <w:r>
        <w:rPr>
          <w:rFonts w:ascii="Arial" w:hAnsi="Arial" w:cs="Arial"/>
          <w:i/>
          <w:iCs/>
          <w:color w:val="000000" w:themeColor="text1"/>
          <w:sz w:val="22"/>
          <w:szCs w:val="22"/>
        </w:rPr>
        <w:t>Humber and North Yorkshire Policy and Pathway Repository</w:t>
      </w:r>
      <w:r>
        <w:rPr>
          <w:rFonts w:ascii="Arial" w:hAnsi="Arial" w:cs="Arial"/>
          <w:color w:val="000000" w:themeColor="text1"/>
          <w:sz w:val="22"/>
          <w:szCs w:val="22"/>
        </w:rPr>
        <w:t>, 2024)</w:t>
      </w:r>
      <w:r>
        <w:rPr>
          <w:rFonts w:ascii="Arial" w:hAnsi="Arial" w:cs="Arial"/>
          <w:color w:val="000000" w:themeColor="text1"/>
          <w:sz w:val="22"/>
          <w:szCs w:val="22"/>
        </w:rPr>
        <w:fldChar w:fldCharType="end"/>
      </w:r>
      <w:r>
        <w:rPr>
          <w:rFonts w:ascii="Arial" w:hAnsi="Arial" w:cs="Arial"/>
          <w:color w:val="000000" w:themeColor="text1"/>
          <w:sz w:val="22"/>
          <w:szCs w:val="22"/>
        </w:rPr>
        <w:t>.</w:t>
      </w:r>
    </w:p>
    <w:p w14:paraId="36E05279" w14:textId="77777777" w:rsidR="004300F8" w:rsidRPr="00A61110" w:rsidRDefault="004300F8" w:rsidP="004300F8">
      <w:pPr>
        <w:spacing w:after="0" w:line="360" w:lineRule="auto"/>
        <w:rPr>
          <w:rFonts w:ascii="Arial" w:hAnsi="Arial" w:cs="Arial"/>
          <w:color w:val="000000" w:themeColor="text1"/>
          <w:sz w:val="22"/>
          <w:szCs w:val="22"/>
        </w:rPr>
      </w:pPr>
    </w:p>
    <w:p w14:paraId="56C8B443" w14:textId="651EB716" w:rsidR="004300F8" w:rsidRPr="00A61110" w:rsidRDefault="004300F8"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Table 1. Inclusion / Exclusion Criteria</w:t>
      </w:r>
    </w:p>
    <w:tbl>
      <w:tblPr>
        <w:tblStyle w:val="TableGrid"/>
        <w:tblW w:w="0" w:type="auto"/>
        <w:tblInd w:w="-5" w:type="dxa"/>
        <w:tblLook w:val="04A0" w:firstRow="1" w:lastRow="0" w:firstColumn="1" w:lastColumn="0" w:noHBand="0" w:noVBand="1"/>
      </w:tblPr>
      <w:tblGrid>
        <w:gridCol w:w="4453"/>
        <w:gridCol w:w="4473"/>
      </w:tblGrid>
      <w:tr w:rsidR="000A0EB5" w14:paraId="12F0BC25" w14:textId="77777777" w:rsidTr="000A0EB5">
        <w:trPr>
          <w:trHeight w:val="310"/>
        </w:trPr>
        <w:tc>
          <w:tcPr>
            <w:tcW w:w="4453" w:type="dxa"/>
            <w:shd w:val="clear" w:color="auto" w:fill="1F497D"/>
          </w:tcPr>
          <w:p w14:paraId="624D004B" w14:textId="77777777" w:rsidR="000A0EB5" w:rsidRDefault="000A0EB5" w:rsidP="00F66FD9">
            <w:pPr>
              <w:jc w:val="center"/>
            </w:pPr>
            <w:r>
              <w:rPr>
                <w:b/>
                <w:color w:val="FFFFFF"/>
              </w:rPr>
              <w:t>Inclusion Criteria</w:t>
            </w:r>
          </w:p>
        </w:tc>
        <w:tc>
          <w:tcPr>
            <w:tcW w:w="4473" w:type="dxa"/>
            <w:shd w:val="clear" w:color="auto" w:fill="1F497D"/>
          </w:tcPr>
          <w:p w14:paraId="3F113A27" w14:textId="77777777" w:rsidR="000A0EB5" w:rsidRDefault="000A0EB5" w:rsidP="00F66FD9">
            <w:pPr>
              <w:jc w:val="center"/>
            </w:pPr>
            <w:r>
              <w:rPr>
                <w:b/>
                <w:color w:val="FFFFFF"/>
              </w:rPr>
              <w:t>Exclusion Criteria</w:t>
            </w:r>
          </w:p>
        </w:tc>
      </w:tr>
      <w:tr w:rsidR="000A0EB5" w14:paraId="195BBA5A" w14:textId="77777777" w:rsidTr="000A0EB5">
        <w:trPr>
          <w:trHeight w:val="1489"/>
        </w:trPr>
        <w:tc>
          <w:tcPr>
            <w:tcW w:w="4453" w:type="dxa"/>
          </w:tcPr>
          <w:p w14:paraId="386E7FFA" w14:textId="77777777" w:rsidR="000A0EB5" w:rsidRDefault="000A0EB5" w:rsidP="00F66FD9">
            <w:r>
              <w:rPr>
                <w:sz w:val="21"/>
              </w:rPr>
              <w:t>Peer-reviewed validation or normative studies of self-report instruments targeting voice disorders, laryngopharyngeal reflux, generalized anxiety, or music performance anxiety</w:t>
            </w:r>
          </w:p>
        </w:tc>
        <w:tc>
          <w:tcPr>
            <w:tcW w:w="4473" w:type="dxa"/>
          </w:tcPr>
          <w:p w14:paraId="02307DEE" w14:textId="77777777" w:rsidR="000A0EB5" w:rsidRDefault="000A0EB5" w:rsidP="00F66FD9">
            <w:r>
              <w:rPr>
                <w:sz w:val="21"/>
              </w:rPr>
              <w:t>Tools designed exclusively for pediatric populations</w:t>
            </w:r>
          </w:p>
        </w:tc>
      </w:tr>
      <w:tr w:rsidR="000A0EB5" w14:paraId="19917486" w14:textId="77777777" w:rsidTr="000A0EB5">
        <w:trPr>
          <w:trHeight w:val="589"/>
        </w:trPr>
        <w:tc>
          <w:tcPr>
            <w:tcW w:w="4453" w:type="dxa"/>
          </w:tcPr>
          <w:p w14:paraId="6F08CC96" w14:textId="77777777" w:rsidR="000A0EB5" w:rsidRDefault="000A0EB5" w:rsidP="00F66FD9">
            <w:r>
              <w:rPr>
                <w:sz w:val="21"/>
              </w:rPr>
              <w:t>Tools designed for adult populations</w:t>
            </w:r>
          </w:p>
        </w:tc>
        <w:tc>
          <w:tcPr>
            <w:tcW w:w="4473" w:type="dxa"/>
          </w:tcPr>
          <w:p w14:paraId="3F9D88AF" w14:textId="77777777" w:rsidR="000A0EB5" w:rsidRDefault="000A0EB5" w:rsidP="00F66FD9">
            <w:r>
              <w:rPr>
                <w:sz w:val="21"/>
              </w:rPr>
              <w:t>Tools with more than 15 items (impractical for an online first-contact screening tool)</w:t>
            </w:r>
          </w:p>
        </w:tc>
      </w:tr>
      <w:tr w:rsidR="000A0EB5" w14:paraId="7F60A216" w14:textId="77777777" w:rsidTr="000A0EB5">
        <w:trPr>
          <w:trHeight w:val="589"/>
        </w:trPr>
        <w:tc>
          <w:tcPr>
            <w:tcW w:w="4453" w:type="dxa"/>
          </w:tcPr>
          <w:p w14:paraId="7C2FEF13" w14:textId="77777777" w:rsidR="000A0EB5" w:rsidRDefault="000A0EB5" w:rsidP="00F66FD9">
            <w:r>
              <w:rPr>
                <w:sz w:val="21"/>
              </w:rPr>
              <w:t>Instruments available in, or adaptable to, English and/or Spanish</w:t>
            </w:r>
          </w:p>
        </w:tc>
        <w:tc>
          <w:tcPr>
            <w:tcW w:w="4473" w:type="dxa"/>
          </w:tcPr>
          <w:p w14:paraId="55F3A729" w14:textId="77777777" w:rsidR="000A0EB5" w:rsidRDefault="000A0EB5" w:rsidP="00F66FD9">
            <w:r>
              <w:rPr>
                <w:sz w:val="21"/>
              </w:rPr>
              <w:t>Diagnostic interviews requiring clinician administration</w:t>
            </w:r>
          </w:p>
        </w:tc>
      </w:tr>
    </w:tbl>
    <w:p w14:paraId="6CB8530B" w14:textId="3B12FBA7" w:rsidR="004300F8" w:rsidRPr="00A61110" w:rsidRDefault="004300F8" w:rsidP="004300F8">
      <w:pPr>
        <w:spacing w:after="0" w:line="360" w:lineRule="auto"/>
        <w:rPr>
          <w:rFonts w:ascii="Arial" w:hAnsi="Arial" w:cs="Arial"/>
          <w:color w:val="000000" w:themeColor="text1"/>
          <w:sz w:val="22"/>
          <w:szCs w:val="22"/>
        </w:rPr>
      </w:pPr>
    </w:p>
    <w:p w14:paraId="4C12908F" w14:textId="77777777" w:rsidR="00FE3862" w:rsidRDefault="00FE3862" w:rsidP="004300F8">
      <w:pPr>
        <w:spacing w:after="0" w:line="360" w:lineRule="auto"/>
        <w:rPr>
          <w:rFonts w:ascii="Arial" w:hAnsi="Arial" w:cs="Arial"/>
          <w:b/>
          <w:color w:val="000000" w:themeColor="text1"/>
          <w:sz w:val="22"/>
          <w:szCs w:val="22"/>
        </w:rPr>
      </w:pPr>
    </w:p>
    <w:p w14:paraId="7656ABA1" w14:textId="2F863E58"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lastRenderedPageBreak/>
        <w:t>Tool Selection and Adaptation</w:t>
      </w:r>
    </w:p>
    <w:p w14:paraId="76032936" w14:textId="77777777" w:rsidR="004300F8" w:rsidRPr="00A61110"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Each tool selected was adapted to fit a specific purpose. A summary of the items excluded for each one and their reasons are summarized in Table 2. The VHI-10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{"citationID":"fIcbTwMF","properties":{"unsorted":false,"formattedCitation":"(Rosen {\\i{}et al.}, 2004)","plainCitation":"(Rosen et al., 2004)","noteIndex":0},"citationItems":[{"id":70,"uris":["http://zotero.org/users/20030753/items/B5K92ESA"],"itemData":{"id":70,"type":"article-journal","abstract":"Objectives/Hypothesis: The objective was to develop an abbreviated voice handicap assessment instrument and compare it with the Voice Handicap Index (VHI). Study Design: Item analysis of the VHI in individuals without voice disorders and patients with voice disorders and creation and validation of the abbreviated VHI. Methods: Clinical consensus review of the VHI items was held to prioritize the clinical value of each of the VHI items (30 items in all). Item analysis of the VHI was performed using the VHI responses of 100 patients with voice problems and 159 control subjects. The 10 most robust VHI items were selected using the item analysis and clinical consensus results to form the Voice Handicap Index-10 (VHI-10). Statistical analysis comparing the validity of the VHI-10 with the VHI was performed with 819 patients representing a wide spectrum of voice disorders. Results: Statistical analysis of the VHI and VHI-10 scores from the study group showed no statistically significant differences between the VHI and the VHI-10. Irrespective of diagnosis, the correlation between the VHI and the VHI-10 was greater than .90 (P = .01). The ratios of the VHI-10 to VHI scores for a variety of voice disorder categories were analyzed and found to be consistently greater than the expected value (33%). This suggests that the VHI-10 may be a more robust instrument than the VHI. Conclusion: The VHI-10 is a powerful representation of the VHI that takes less time for the patient to complete without loss of validity. Thus, the VHI-10 can replace the VHI as an instrument to quantify patients' perception of their voice handicap.","container-title":"The Laryngoscope","DOI":"10.1097/00005537-200409000-00009","ISSN":"1531-4995","issue":"9","language":"en","note":"_eprint: https://onlinelibrary.wiley.com/doi/pdf/10.1097/00005537-200409000-00009","page":"1549-1556","source":"Wiley Online Library","title":"Development and Validation of the Voice Handicap Index-10","volume":"114","author":[{"family":"Rosen","given":"Clark A."},{"family":"Lee","given":"Annie S."},{"family":"Osborne","given":"Jamie"},{"family":"Zullo","given":"Thomas"},{"family":"Murry","given":"Thomas"}],"issued":{"date-parts":[["2004"]]}}}],"schema":"https://github.com/citation-style-language/schema/raw/master/csl-citation.json"}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themeColor="text1"/>
          <w:sz w:val="22"/>
          <w:szCs w:val="22"/>
        </w:rPr>
        <w:t xml:space="preserve">(Rosen </w:t>
      </w:r>
      <w:r>
        <w:rPr>
          <w:rFonts w:ascii="Arial" w:hAnsi="Arial" w:cs="Arial"/>
          <w:i/>
          <w:iCs/>
          <w:color w:val="000000" w:themeColor="text1"/>
          <w:sz w:val="22"/>
          <w:szCs w:val="22"/>
        </w:rPr>
        <w:t>et al.</w:t>
      </w:r>
      <w:r>
        <w:rPr>
          <w:rFonts w:ascii="Arial" w:hAnsi="Arial" w:cs="Arial"/>
          <w:color w:val="000000" w:themeColor="text1"/>
          <w:sz w:val="22"/>
          <w:szCs w:val="22"/>
        </w:rPr>
        <w:t>, 2004)</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was selected as the primary voice instrument; eight of its ten items were retained. The SVHI-10 was included for the singer pathway, retaining six items. The Reflux Symptom Index (RSI)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{"citationID":"qEYKDPGZ","properties":{"unsorted":false,"formattedCitation":"(Belafsky, Postma and Koufman, 2002)","plainCitation":"(Belafsky, Postma and Koufman, 2002)","noteIndex":0},"citationItems":[{"id":138,"uris":["http://zotero.org/users/20030753/items/KLU236BV"],"itemData":{"id":138,"type":"article-journal","abstract":"Laryngopharyngeal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(Belafsky, Postma and Koufman, 2002)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addresses laryngopharyngeal reflux — a frequently underdiagnosed contributor to voice disorders — with six of nine items retained. All three instruments use a unified 0–4 Likert format, enabling a consistent response interface. Reducing items from validated scales may affect psychometric properties; accordingly, the tool is framed explicitly as informational guidance rather than clinical diagnosis, and this limitation will be addressed in Component 2. For the psychological component, the GAD-7 was selected to screen for generalized anxiety. Its response scale was adapted from 0–3 to 0–4 to align with the voice items; this modification is acknowledged. The Kenny Music Performance Anxiety Inventory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{"citationID":"8KrxwVrz","properties":{"unsorted":false,"formattedCitation":"(Kenny, 2023)","plainCitation":"(Kenny, 2023)","noteIndex":0},"citationItems":[{"id":86,"uris":["http://zotero.org/users/20030753/items/NBIZ6X8D"],"itemData":{"id":86,"type":"article-journal","abstract":"I commenced my academic exploration of music performance anxiety in a study with opera chorus artists from Opera Australia in 2004. I subsequently postulated a new theory of the aetiology of music performance anxiety and began the development of the Kenny Music Performance Anxiety Inventory (K-MPAI) to assess the hypothesized theoretical constructs underpinning its diverse clinical presentations. I proposed a new definition of music performance anxiety in 2009 and revised the item content of the K-MPAI from 26 to 40 in 2011. Over the ensuing years, many researchers have used the K-MPAI in studies on a wide variety of musicians, including vocalists and instrumentalists, popular and classical musicians, tertiary music students, and professional, solo, orchestral, ensemble, band, and community musicians. To date, the K-MPAI has been reported in more than 400 studies and has been translated into 21 languages. It has been the subject of more than 39 dissertations. In this paper, I examine the research that has used the K-MPAI to ascertain how well the theory, assessment tool, and its cross-cultural validation have provided evidence for its factorial structure, robustness, and utility. The evidence indicates that the factorial structure remains consistent across cultures and different populations of musicians. It has good discriminative ability and utility for diagnostic purposes. I conclude with some reflections on how the K-MPAI can guide therapeutic interventions and with some thoughts on future directions.","container-title":"Frontiers in Psychology","DOI":"10.3389/fpsyg.2023.1143359","ISSN":"1664-1078","journalAbbreviation":"Front. Psychol.","language":"English","publisher":"Frontiers","source":"Frontiers","title":"The Kenny music performance anxiety inventory (K-MPAI): Scale construction, cross-cultural validation, theoretical underpinnings, and diagnostic and therapeutic utility","title-short":"The Kenny music performance anxiety inventory (K-MPAI)","URL":"https://www.frontiersin.org/journals/psychology/articles/10.3389/fpsyg.2023.1143359/full","volume":"14","author":[{"family":"Kenny","given":"Dianna Theadora"}],"accessed":{"date-parts":[["2026",4,15]]},"issued":{"date-parts":[["2023",5,26]]}}}],"schema":"https://github.com/citation-style-language/schema/raw/master/csl-citation.json"}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(Kenny, 2023)</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was considered but rejected due to length (40 items). The five-item Mazzarolo Music Performance Anxiety Scale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{"citationID":"Hkljffcu","properties":{"unsorted":false,"formattedCitation":"(Mazzarolo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(Mazzarolo and Schubert, 2022)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was selected as a brief, validated alternative, scored 0–6 per item.</w:t>
      </w:r>
    </w:p>
    <w:p w14:paraId="70E4955F" w14:textId="77777777" w:rsidR="004300F8" w:rsidRPr="00A61110" w:rsidRDefault="004300F8" w:rsidP="004300F8">
      <w:pPr>
        <w:spacing w:after="0" w:line="360" w:lineRule="auto"/>
        <w:rPr>
          <w:rFonts w:ascii="Arial" w:hAnsi="Arial" w:cs="Arial"/>
          <w:b/>
          <w:bCs/>
          <w:color w:val="000000" w:themeColor="text1"/>
          <w:sz w:val="22"/>
          <w:szCs w:val="22"/>
        </w:rPr>
      </w:pPr>
    </w:p>
    <w:p w14:paraId="7250E1D8" w14:textId="3201BE08" w:rsidR="004300F8" w:rsidRPr="00A61110" w:rsidRDefault="004300F8"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Table 2. Summary of Items retained and excluded.</w:t>
      </w:r>
    </w:p>
    <w:tbl>
      <w:tblPr>
        <w:tblStyle w:val="TableGrid"/>
        <w:tblW w:w="10065" w:type="dxa"/>
        <w:tblInd w:w="-5" w:type="dxa"/>
        <w:tblLook w:val="04A0" w:firstRow="1" w:lastRow="0" w:firstColumn="1" w:lastColumn="0" w:noHBand="0" w:noVBand="1"/>
      </w:tblPr>
      <w:tblGrid>
        <w:gridCol w:w="1130"/>
        <w:gridCol w:w="1008"/>
        <w:gridCol w:w="952"/>
        <w:gridCol w:w="1625"/>
        <w:gridCol w:w="2601"/>
        <w:gridCol w:w="2749"/>
      </w:tblGrid>
      <w:tr w:rsidR="000A0EB5" w14:paraId="4C039E57" w14:textId="77777777" w:rsidTr="000A0EB5">
        <w:tc>
          <w:tcPr>
            <w:tcW w:w="1130" w:type="dxa"/>
            <w:shd w:val="clear" w:color="auto" w:fill="1F497D"/>
          </w:tcPr>
          <w:p w14:paraId="504945E8" w14:textId="77777777" w:rsidR="000A0EB5" w:rsidRDefault="000A0EB5" w:rsidP="00F66FD9">
            <w:pPr>
              <w:jc w:val="center"/>
            </w:pPr>
            <w:r>
              <w:rPr>
                <w:b/>
                <w:color w:val="FFFFFF"/>
                <w:sz w:val="18"/>
              </w:rPr>
              <w:t>Instrument</w:t>
            </w:r>
          </w:p>
        </w:tc>
        <w:tc>
          <w:tcPr>
            <w:tcW w:w="1008" w:type="dxa"/>
            <w:shd w:val="clear" w:color="auto" w:fill="1F497D"/>
          </w:tcPr>
          <w:p w14:paraId="260BB438" w14:textId="77777777" w:rsidR="000A0EB5" w:rsidRDefault="000A0EB5" w:rsidP="00F66FD9">
            <w:pPr>
              <w:jc w:val="center"/>
            </w:pPr>
            <w:r>
              <w:rPr>
                <w:b/>
                <w:color w:val="FFFFFF"/>
                <w:sz w:val="18"/>
              </w:rPr>
              <w:t>Original Items</w:t>
            </w:r>
            <w:r>
              <w:rPr>
                <w:b/>
                <w:color w:val="FFFFFF"/>
                <w:sz w:val="18"/>
              </w:rPr>
              <w:br/>
              <w:t>(Scale)</w:t>
            </w:r>
          </w:p>
        </w:tc>
        <w:tc>
          <w:tcPr>
            <w:tcW w:w="952" w:type="dxa"/>
            <w:shd w:val="clear" w:color="auto" w:fill="1F497D"/>
          </w:tcPr>
          <w:p w14:paraId="2A0D8124" w14:textId="77777777" w:rsidR="000A0EB5" w:rsidRDefault="000A0EB5" w:rsidP="00F66FD9">
            <w:pPr>
              <w:jc w:val="center"/>
            </w:pPr>
            <w:r>
              <w:rPr>
                <w:b/>
                <w:color w:val="FFFFFF"/>
                <w:sz w:val="18"/>
              </w:rPr>
              <w:t>Items</w:t>
            </w:r>
            <w:r>
              <w:rPr>
                <w:b/>
                <w:color w:val="FFFFFF"/>
                <w:sz w:val="18"/>
              </w:rPr>
              <w:br/>
              <w:t>Retained</w:t>
            </w:r>
          </w:p>
        </w:tc>
        <w:tc>
          <w:tcPr>
            <w:tcW w:w="1625" w:type="dxa"/>
            <w:shd w:val="clear" w:color="auto" w:fill="1F497D"/>
          </w:tcPr>
          <w:p w14:paraId="63200FC7" w14:textId="77777777" w:rsidR="000A0EB5" w:rsidRDefault="000A0EB5" w:rsidP="00F66FD9">
            <w:pPr>
              <w:jc w:val="center"/>
            </w:pPr>
            <w:r>
              <w:rPr>
                <w:b/>
                <w:color w:val="FFFFFF"/>
                <w:sz w:val="18"/>
              </w:rPr>
              <w:t>Items Excluded — Content</w:t>
            </w:r>
          </w:p>
        </w:tc>
        <w:tc>
          <w:tcPr>
            <w:tcW w:w="2601" w:type="dxa"/>
            <w:shd w:val="clear" w:color="auto" w:fill="1F497D"/>
          </w:tcPr>
          <w:p w14:paraId="600A2CFE" w14:textId="77777777" w:rsidR="000A0EB5" w:rsidRDefault="000A0EB5" w:rsidP="00F66FD9">
            <w:pPr>
              <w:jc w:val="center"/>
            </w:pPr>
            <w:r>
              <w:rPr>
                <w:b/>
                <w:color w:val="FFFFFF"/>
                <w:sz w:val="18"/>
              </w:rPr>
              <w:t>Reason for Exclusion</w:t>
            </w:r>
          </w:p>
        </w:tc>
        <w:tc>
          <w:tcPr>
            <w:tcW w:w="2749" w:type="dxa"/>
            <w:shd w:val="clear" w:color="auto" w:fill="1F497D"/>
          </w:tcPr>
          <w:p w14:paraId="016CF51A" w14:textId="77777777" w:rsidR="000A0EB5" w:rsidRDefault="000A0EB5" w:rsidP="00F66FD9">
            <w:pPr>
              <w:jc w:val="center"/>
            </w:pPr>
            <w:r>
              <w:rPr>
                <w:b/>
                <w:color w:val="FFFFFF"/>
                <w:sz w:val="18"/>
              </w:rPr>
              <w:t>Scale Adaptation</w:t>
            </w:r>
          </w:p>
        </w:tc>
      </w:tr>
      <w:tr w:rsidR="000A0EB5" w14:paraId="067678EB" w14:textId="77777777" w:rsidTr="000A0EB5">
        <w:tc>
          <w:tcPr>
            <w:tcW w:w="1130" w:type="dxa"/>
          </w:tcPr>
          <w:p w14:paraId="41DE5CC7" w14:textId="77777777" w:rsidR="000A0EB5" w:rsidRDefault="000A0EB5" w:rsidP="00F66FD9">
            <w:r>
              <w:rPr>
                <w:sz w:val="17"/>
              </w:rPr>
              <w:t>VHI-10</w:t>
            </w:r>
            <w:r>
              <w:rPr>
                <w:sz w:val="17"/>
              </w:rPr>
              <w:br/>
              <w:t>(Rosen et al., 2004)</w:t>
            </w:r>
          </w:p>
        </w:tc>
        <w:tc>
          <w:tcPr>
            <w:tcW w:w="1008" w:type="dxa"/>
          </w:tcPr>
          <w:p w14:paraId="0A9A1630" w14:textId="77777777" w:rsidR="000A0EB5" w:rsidRDefault="000A0EB5" w:rsidP="00F66FD9">
            <w:r>
              <w:rPr>
                <w:sz w:val="17"/>
              </w:rPr>
              <w:t>10</w:t>
            </w:r>
            <w:r>
              <w:rPr>
                <w:sz w:val="17"/>
              </w:rPr>
              <w:br/>
              <w:t>(0–4 scale)</w:t>
            </w:r>
          </w:p>
        </w:tc>
        <w:tc>
          <w:tcPr>
            <w:tcW w:w="952" w:type="dxa"/>
          </w:tcPr>
          <w:p w14:paraId="5451E563" w14:textId="77777777" w:rsidR="000A0EB5" w:rsidRDefault="000A0EB5" w:rsidP="00F66FD9">
            <w:r>
              <w:rPr>
                <w:sz w:val="17"/>
              </w:rPr>
              <w:t>8</w:t>
            </w:r>
          </w:p>
        </w:tc>
        <w:tc>
          <w:tcPr>
            <w:tcW w:w="1625" w:type="dxa"/>
          </w:tcPr>
          <w:p w14:paraId="64D9D869" w14:textId="77777777" w:rsidR="000A0EB5" w:rsidRDefault="000A0EB5" w:rsidP="00F66FD9">
            <w:r>
              <w:rPr>
                <w:sz w:val="17"/>
              </w:rPr>
              <w:t>Difficulty in noisy rooms; loss of income</w:t>
            </w:r>
          </w:p>
        </w:tc>
        <w:tc>
          <w:tcPr>
            <w:tcW w:w="2601" w:type="dxa"/>
          </w:tcPr>
          <w:p w14:paraId="14501EFF" w14:textId="77777777" w:rsidR="000A0EB5" w:rsidRDefault="000A0EB5" w:rsidP="00F66FD9">
            <w:r>
              <w:rPr>
                <w:sz w:val="17"/>
              </w:rPr>
              <w:t>Noisy-room item overlaps with retained hearing item. Income-loss item is culturally specific and less applicable to Puerto Rico's mixed professional voice market.</w:t>
            </w:r>
          </w:p>
        </w:tc>
        <w:tc>
          <w:tcPr>
            <w:tcW w:w="2749" w:type="dxa"/>
          </w:tcPr>
          <w:p w14:paraId="60C1D0DC" w14:textId="77777777" w:rsidR="000A0EB5" w:rsidRDefault="000A0EB5" w:rsidP="00F66FD9">
            <w:r>
              <w:rPr>
                <w:sz w:val="17"/>
              </w:rPr>
              <w:t>None — native 0–4 scale retained. Max score adjusted 40→32; triage cutoffs recalibrated (Red ≥22; Orange ≥12; Yellow ≥6).</w:t>
            </w:r>
          </w:p>
        </w:tc>
      </w:tr>
      <w:tr w:rsidR="000A0EB5" w14:paraId="203D18A5" w14:textId="77777777" w:rsidTr="000A0EB5">
        <w:tc>
          <w:tcPr>
            <w:tcW w:w="1130" w:type="dxa"/>
          </w:tcPr>
          <w:p w14:paraId="0A097F8E" w14:textId="77777777" w:rsidR="000A0EB5" w:rsidRDefault="000A0EB5" w:rsidP="00F66FD9">
            <w:r>
              <w:rPr>
                <w:sz w:val="17"/>
              </w:rPr>
              <w:t>RSI</w:t>
            </w:r>
            <w:r>
              <w:rPr>
                <w:sz w:val="17"/>
              </w:rPr>
              <w:br/>
              <w:t>(</w:t>
            </w:r>
            <w:proofErr w:type="spellStart"/>
            <w:r>
              <w:rPr>
                <w:sz w:val="17"/>
              </w:rPr>
              <w:t>Belafsky</w:t>
            </w:r>
            <w:proofErr w:type="spellEnd"/>
            <w:r>
              <w:rPr>
                <w:sz w:val="17"/>
              </w:rPr>
              <w:t xml:space="preserve"> et al., 2002)</w:t>
            </w:r>
          </w:p>
        </w:tc>
        <w:tc>
          <w:tcPr>
            <w:tcW w:w="1008" w:type="dxa"/>
          </w:tcPr>
          <w:p w14:paraId="296F1632" w14:textId="77777777" w:rsidR="000A0EB5" w:rsidRDefault="000A0EB5" w:rsidP="00F66FD9">
            <w:r>
              <w:rPr>
                <w:sz w:val="17"/>
              </w:rPr>
              <w:t>9</w:t>
            </w:r>
            <w:r>
              <w:rPr>
                <w:sz w:val="17"/>
              </w:rPr>
              <w:br/>
              <w:t>(0–5 severity scale)</w:t>
            </w:r>
          </w:p>
        </w:tc>
        <w:tc>
          <w:tcPr>
            <w:tcW w:w="952" w:type="dxa"/>
          </w:tcPr>
          <w:p w14:paraId="25B34B11" w14:textId="77777777" w:rsidR="000A0EB5" w:rsidRDefault="000A0EB5" w:rsidP="00F66FD9">
            <w:r>
              <w:rPr>
                <w:sz w:val="17"/>
              </w:rPr>
              <w:t>6</w:t>
            </w:r>
          </w:p>
        </w:tc>
        <w:tc>
          <w:tcPr>
            <w:tcW w:w="1625" w:type="dxa"/>
          </w:tcPr>
          <w:p w14:paraId="6A5388EA" w14:textId="77777777" w:rsidR="000A0EB5" w:rsidRDefault="000A0EB5" w:rsidP="00F66FD9">
            <w:r>
              <w:rPr>
                <w:sz w:val="17"/>
              </w:rPr>
              <w:t>Difficulty swallowing; coughing after eating/lying down; breathing difficulties/choking</w:t>
            </w:r>
          </w:p>
        </w:tc>
        <w:tc>
          <w:tcPr>
            <w:tcW w:w="2601" w:type="dxa"/>
          </w:tcPr>
          <w:p w14:paraId="21B86CA0" w14:textId="77777777" w:rsidR="000A0EB5" w:rsidRDefault="000A0EB5" w:rsidP="00F66FD9">
            <w:r>
              <w:rPr>
                <w:sz w:val="17"/>
              </w:rPr>
              <w:t>Dysphagia is a medical red-flag handled by the disclaimer. Post-eating cough overlaps with retained cough item. Choking is an emergency symptom inappropriate for numeric scoring.</w:t>
            </w:r>
          </w:p>
        </w:tc>
        <w:tc>
          <w:tcPr>
            <w:tcW w:w="2749" w:type="dxa"/>
          </w:tcPr>
          <w:p w14:paraId="3B2BF404" w14:textId="77777777" w:rsidR="000A0EB5" w:rsidRDefault="000A0EB5" w:rsidP="00F66FD9">
            <w:r>
              <w:rPr>
                <w:sz w:val="17"/>
              </w:rPr>
              <w:t xml:space="preserve">Native 0–5 severity scale rescaled to 0–4 frequency to </w:t>
            </w:r>
            <w:proofErr w:type="spellStart"/>
            <w:r>
              <w:rPr>
                <w:sz w:val="17"/>
              </w:rPr>
              <w:t>harmonise</w:t>
            </w:r>
            <w:proofErr w:type="spellEnd"/>
            <w:r>
              <w:rPr>
                <w:sz w:val="17"/>
              </w:rPr>
              <w:t xml:space="preserve"> with other instruments. Clinical cutoff &gt;13 recalibrated to ≥14 on adapted scale.</w:t>
            </w:r>
          </w:p>
        </w:tc>
      </w:tr>
      <w:tr w:rsidR="000A0EB5" w14:paraId="48BD642D" w14:textId="77777777" w:rsidTr="000A0EB5">
        <w:tc>
          <w:tcPr>
            <w:tcW w:w="1130" w:type="dxa"/>
          </w:tcPr>
          <w:p w14:paraId="62E72797" w14:textId="77777777" w:rsidR="000A0EB5" w:rsidRPr="00A20C0F" w:rsidRDefault="000A0EB5" w:rsidP="00F66FD9">
            <w:pPr>
              <w:rPr>
                <w:lang w:val="es-PR"/>
              </w:rPr>
            </w:pPr>
            <w:r>
              <w:rPr>
                <w:sz w:val="17"/>
                <w:lang w:val="es-PR"/>
              </w:rPr>
              <w:t>SVHI</w:t>
            </w:r>
            <w:r>
              <w:rPr>
                <w:sz w:val="17"/>
                <w:lang w:val="es-PR"/>
              </w:rPr>
              <w:br/>
              <w:t>(Cohen et al., 2007;</w:t>
            </w:r>
            <w:r>
              <w:rPr>
                <w:sz w:val="17"/>
                <w:lang w:val="es-PR"/>
              </w:rPr>
              <w:br/>
              <w:t>SVHI-10: Cohen et al., 2009)</w:t>
            </w:r>
          </w:p>
        </w:tc>
        <w:tc>
          <w:tcPr>
            <w:tcW w:w="1008" w:type="dxa"/>
          </w:tcPr>
          <w:p w14:paraId="58E6A7CB" w14:textId="77777777" w:rsidR="000A0EB5" w:rsidRDefault="000A0EB5" w:rsidP="00F66FD9">
            <w:r>
              <w:rPr>
                <w:sz w:val="17"/>
              </w:rPr>
              <w:t>36 full / 10 short form</w:t>
            </w:r>
            <w:r>
              <w:rPr>
                <w:sz w:val="17"/>
              </w:rPr>
              <w:br/>
              <w:t>(0–4 scale)</w:t>
            </w:r>
          </w:p>
        </w:tc>
        <w:tc>
          <w:tcPr>
            <w:tcW w:w="952" w:type="dxa"/>
          </w:tcPr>
          <w:p w14:paraId="23BFEBB8" w14:textId="77777777" w:rsidR="000A0EB5" w:rsidRDefault="000A0EB5" w:rsidP="00F66FD9">
            <w:r>
              <w:rPr>
                <w:sz w:val="17"/>
              </w:rPr>
              <w:t>6</w:t>
            </w:r>
          </w:p>
        </w:tc>
        <w:tc>
          <w:tcPr>
            <w:tcW w:w="1625" w:type="dxa"/>
          </w:tcPr>
          <w:p w14:paraId="14C2A493" w14:textId="77777777" w:rsidR="000A0EB5" w:rsidRDefault="000A0EB5" w:rsidP="00F66FD9">
            <w:r>
              <w:rPr>
                <w:sz w:val="17"/>
              </w:rPr>
              <w:t>All other 30 full-scale items; SVHI-10 items duplicating VHI-10 domains; performance-specific anxiety items</w:t>
            </w:r>
          </w:p>
        </w:tc>
        <w:tc>
          <w:tcPr>
            <w:tcW w:w="2601" w:type="dxa"/>
          </w:tcPr>
          <w:p w14:paraId="0A304DC2" w14:textId="77777777" w:rsidR="000A0EB5" w:rsidRDefault="000A0EB5" w:rsidP="00F66FD9">
            <w:r>
              <w:rPr>
                <w:sz w:val="17"/>
              </w:rPr>
              <w:t>Performance anxiety items excluded to avoid construct overlap with M-MPAS. VHI-10-duplicating items excluded to prevent double-counting. Retained items capture singing-specific dimensions (range, fatigue, warm-up) absent from VHI-10.</w:t>
            </w:r>
          </w:p>
        </w:tc>
        <w:tc>
          <w:tcPr>
            <w:tcW w:w="2749" w:type="dxa"/>
          </w:tcPr>
          <w:p w14:paraId="7A23C159" w14:textId="77777777" w:rsidR="000A0EB5" w:rsidRDefault="000A0EB5" w:rsidP="00F66FD9">
            <w:r>
              <w:rPr>
                <w:sz w:val="17"/>
              </w:rPr>
              <w:t>None — native 0–4 scale retained. Items administered to all users (not only singers) as they apply to all professional voice users.</w:t>
            </w:r>
          </w:p>
        </w:tc>
      </w:tr>
      <w:tr w:rsidR="000A0EB5" w14:paraId="583E0CB8" w14:textId="77777777" w:rsidTr="000A0EB5">
        <w:tc>
          <w:tcPr>
            <w:tcW w:w="1130" w:type="dxa"/>
          </w:tcPr>
          <w:p w14:paraId="24B8DB1B" w14:textId="77777777" w:rsidR="000A0EB5" w:rsidRDefault="000A0EB5" w:rsidP="00F66FD9">
            <w:r>
              <w:rPr>
                <w:sz w:val="17"/>
              </w:rPr>
              <w:t>GAD-7</w:t>
            </w:r>
            <w:r>
              <w:rPr>
                <w:sz w:val="17"/>
              </w:rPr>
              <w:br/>
              <w:t>(Spitzer et al., 2006)</w:t>
            </w:r>
          </w:p>
        </w:tc>
        <w:tc>
          <w:tcPr>
            <w:tcW w:w="1008" w:type="dxa"/>
          </w:tcPr>
          <w:p w14:paraId="62BA5C98" w14:textId="77777777" w:rsidR="000A0EB5" w:rsidRDefault="000A0EB5" w:rsidP="00F66FD9">
            <w:r>
              <w:rPr>
                <w:sz w:val="17"/>
              </w:rPr>
              <w:t>7</w:t>
            </w:r>
            <w:r>
              <w:rPr>
                <w:sz w:val="17"/>
              </w:rPr>
              <w:br/>
              <w:t>(0–3 scale, 2-week window)</w:t>
            </w:r>
          </w:p>
        </w:tc>
        <w:tc>
          <w:tcPr>
            <w:tcW w:w="952" w:type="dxa"/>
          </w:tcPr>
          <w:p w14:paraId="227F1F7E" w14:textId="77777777" w:rsidR="000A0EB5" w:rsidRDefault="000A0EB5" w:rsidP="00F66FD9">
            <w:r>
              <w:rPr>
                <w:sz w:val="17"/>
              </w:rPr>
              <w:t>5</w:t>
            </w:r>
          </w:p>
        </w:tc>
        <w:tc>
          <w:tcPr>
            <w:tcW w:w="1625" w:type="dxa"/>
          </w:tcPr>
          <w:p w14:paraId="01E7EA50" w14:textId="77777777" w:rsidR="000A0EB5" w:rsidRDefault="000A0EB5" w:rsidP="00F66FD9">
            <w:r>
              <w:rPr>
                <w:sz w:val="17"/>
              </w:rPr>
              <w:t xml:space="preserve">Easily annoyed/irritable; feeling afraid </w:t>
            </w:r>
            <w:r>
              <w:rPr>
                <w:sz w:val="17"/>
              </w:rPr>
              <w:lastRenderedPageBreak/>
              <w:t>something awful might happen</w:t>
            </w:r>
          </w:p>
        </w:tc>
        <w:tc>
          <w:tcPr>
            <w:tcW w:w="2601" w:type="dxa"/>
          </w:tcPr>
          <w:p w14:paraId="3914A1C1" w14:textId="77777777" w:rsidR="000A0EB5" w:rsidRDefault="000A0EB5" w:rsidP="00F66FD9">
            <w:r>
              <w:rPr>
                <w:sz w:val="17"/>
              </w:rPr>
              <w:lastRenderedPageBreak/>
              <w:t xml:space="preserve">Irritability has transdiagnostic overlap with depression and ADHD, reducing anxiety specificity. 'Something awful' </w:t>
            </w:r>
            <w:r>
              <w:rPr>
                <w:sz w:val="17"/>
              </w:rPr>
              <w:lastRenderedPageBreak/>
              <w:t>item is culturally unstable in Spanish translation and has the lowest factor loading.</w:t>
            </w:r>
          </w:p>
        </w:tc>
        <w:tc>
          <w:tcPr>
            <w:tcW w:w="2749" w:type="dxa"/>
          </w:tcPr>
          <w:p w14:paraId="678E46C6" w14:textId="77777777" w:rsidR="000A0EB5" w:rsidRDefault="000A0EB5" w:rsidP="00F66FD9">
            <w:r>
              <w:rPr>
                <w:sz w:val="17"/>
              </w:rPr>
              <w:lastRenderedPageBreak/>
              <w:t xml:space="preserve">Native 0–3 scale expanded to 0–4 to add a high-frequency category and match other instruments. Cutoffs recalibrated: moderate </w:t>
            </w:r>
            <w:r>
              <w:rPr>
                <w:sz w:val="17"/>
              </w:rPr>
              <w:lastRenderedPageBreak/>
              <w:t>≥10/20; severe ≥15/20. Two-week reference window preserved in instructions.</w:t>
            </w:r>
          </w:p>
        </w:tc>
      </w:tr>
      <w:tr w:rsidR="000A0EB5" w14:paraId="4822E71C" w14:textId="77777777" w:rsidTr="000A0EB5">
        <w:tc>
          <w:tcPr>
            <w:tcW w:w="1130" w:type="dxa"/>
          </w:tcPr>
          <w:p w14:paraId="5F7AD32C" w14:textId="77777777" w:rsidR="000A0EB5" w:rsidRDefault="000A0EB5" w:rsidP="00F66FD9">
            <w:r>
              <w:rPr>
                <w:sz w:val="17"/>
              </w:rPr>
              <w:lastRenderedPageBreak/>
              <w:t>M-MPAS</w:t>
            </w:r>
            <w:r>
              <w:rPr>
                <w:sz w:val="17"/>
              </w:rPr>
              <w:br/>
              <w:t>(</w:t>
            </w:r>
            <w:proofErr w:type="spellStart"/>
            <w:r>
              <w:rPr>
                <w:sz w:val="17"/>
              </w:rPr>
              <w:t>Mazzarolo</w:t>
            </w:r>
            <w:proofErr w:type="spellEnd"/>
            <w:r>
              <w:rPr>
                <w:sz w:val="17"/>
              </w:rPr>
              <w:t xml:space="preserve"> &amp; Schubert, 2022)</w:t>
            </w:r>
            <w:r>
              <w:rPr>
                <w:sz w:val="17"/>
              </w:rPr>
              <w:br/>
              <w:t>[replaces K-MPAI subset]</w:t>
            </w:r>
          </w:p>
        </w:tc>
        <w:tc>
          <w:tcPr>
            <w:tcW w:w="1008" w:type="dxa"/>
          </w:tcPr>
          <w:p w14:paraId="06042125" w14:textId="77777777" w:rsidR="000A0EB5" w:rsidRDefault="000A0EB5" w:rsidP="00F66FD9">
            <w:r>
              <w:rPr>
                <w:sz w:val="17"/>
              </w:rPr>
              <w:t>5 items</w:t>
            </w:r>
            <w:r>
              <w:rPr>
                <w:sz w:val="17"/>
              </w:rPr>
              <w:br/>
              <w:t>(0–6 Likert agreement scale)</w:t>
            </w:r>
            <w:r>
              <w:rPr>
                <w:sz w:val="17"/>
              </w:rPr>
              <w:br/>
              <w:t>[K-MPAI original: 40 items]</w:t>
            </w:r>
          </w:p>
        </w:tc>
        <w:tc>
          <w:tcPr>
            <w:tcW w:w="952" w:type="dxa"/>
          </w:tcPr>
          <w:p w14:paraId="677839F8" w14:textId="77777777" w:rsidR="000A0EB5" w:rsidRDefault="000A0EB5" w:rsidP="00F66FD9">
            <w:r>
              <w:rPr>
                <w:sz w:val="17"/>
              </w:rPr>
              <w:t>5 (full scale)</w:t>
            </w:r>
          </w:p>
        </w:tc>
        <w:tc>
          <w:tcPr>
            <w:tcW w:w="1625" w:type="dxa"/>
          </w:tcPr>
          <w:p w14:paraId="0A54BB69" w14:textId="77777777" w:rsidR="000A0EB5" w:rsidRDefault="000A0EB5" w:rsidP="00F66FD9">
            <w:r>
              <w:rPr>
                <w:sz w:val="17"/>
              </w:rPr>
              <w:t>N/A — full published scale used. K-MPAI early relational context, depression, and cognitive/memory items not used.</w:t>
            </w:r>
          </w:p>
        </w:tc>
        <w:tc>
          <w:tcPr>
            <w:tcW w:w="2601" w:type="dxa"/>
          </w:tcPr>
          <w:p w14:paraId="6FA6563A" w14:textId="77777777" w:rsidR="000A0EB5" w:rsidRDefault="000A0EB5" w:rsidP="00F66FD9">
            <w:r>
              <w:rPr>
                <w:sz w:val="17"/>
              </w:rPr>
              <w:t xml:space="preserve">Prior version used an unvalidated 5-item K-MPAI subset. M-MPAS is the only published, validated 5-item MPA screener (α=0.894; r=0.797 vs K-MPAI). K-MPAI excluded due to length (40 items) and unvalidated </w:t>
            </w:r>
            <w:proofErr w:type="spellStart"/>
            <w:r>
              <w:rPr>
                <w:sz w:val="17"/>
              </w:rPr>
              <w:t>subsetting</w:t>
            </w:r>
            <w:proofErr w:type="spellEnd"/>
            <w:r>
              <w:rPr>
                <w:sz w:val="17"/>
              </w:rPr>
              <w:t>.</w:t>
            </w:r>
          </w:p>
        </w:tc>
        <w:tc>
          <w:tcPr>
            <w:tcW w:w="2749" w:type="dxa"/>
          </w:tcPr>
          <w:p w14:paraId="5B46D9EB" w14:textId="77777777" w:rsidR="000A0EB5" w:rsidRDefault="000A0EB5" w:rsidP="00F66FD9">
            <w:r>
              <w:rPr>
                <w:sz w:val="17"/>
              </w:rPr>
              <w:t>Native 7-point Likert scale (0–6 per item; total 0–30) retained to preserve validated cutoff (≥11 = high MPA). Item 4 is reverse scored. Administered conditionally to singers/actors/performers only.</w:t>
            </w:r>
          </w:p>
        </w:tc>
      </w:tr>
    </w:tbl>
    <w:p w14:paraId="566EB33F" w14:textId="77777777" w:rsidR="008E5DCF" w:rsidRDefault="008E5DCF" w:rsidP="004300F8">
      <w:pPr>
        <w:spacing w:after="0" w:line="360" w:lineRule="auto"/>
        <w:rPr>
          <w:rFonts w:ascii="Arial" w:hAnsi="Arial" w:cs="Arial"/>
          <w:b/>
          <w:color w:val="000000" w:themeColor="text1"/>
          <w:sz w:val="22"/>
          <w:szCs w:val="22"/>
        </w:rPr>
      </w:pPr>
    </w:p>
    <w:p w14:paraId="09BE0F11" w14:textId="0876F3AC" w:rsidR="004300F8" w:rsidRPr="00A61110" w:rsidRDefault="004300F8" w:rsidP="004300F8">
      <w:pPr>
        <w:spacing w:after="0" w:line="360" w:lineRule="auto"/>
        <w:rPr>
          <w:rFonts w:ascii="Arial" w:hAnsi="Arial" w:cs="Arial"/>
          <w:color w:val="000000" w:themeColor="text1"/>
          <w:sz w:val="22"/>
          <w:szCs w:val="22"/>
        </w:rPr>
      </w:pPr>
      <w:r>
        <w:rPr>
          <w:rFonts w:ascii="Arial" w:hAnsi="Arial" w:cs="Arial"/>
          <w:b/>
          <w:color w:val="000000" w:themeColor="text1"/>
          <w:sz w:val="22"/>
          <w:szCs w:val="22"/>
        </w:rPr>
        <w:t>Artefact Development Process</w:t>
      </w:r>
    </w:p>
    <w:p w14:paraId="5B54BC77" w14:textId="6520BEE9" w:rsidR="004300F8" w:rsidRDefault="004300F8"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Development followed an iterative, reflective process consistent with practice-based research methodology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{"citationID":"225AYiYw","properties":{"unsorted":false,"formattedCitation":"(Smith and Dean, 2009)","plainCitation":"(Smith and Dean, 2009)","noteIndex":0},"citationItems":[{"id":165,"uris":["http://zotero.org/users/20030753/items/GRRD4D67"],"itemData":{"id":165,"type":"book","abstract":"This book addresses one of the most exciting and innovative developments within higher education: the rise in prominence of the creative arts and the accelerating recognition that creative practice is a form of research.The book considers how creative practice can lead to research insights through what is often known as practice-led research. But unlike other books on practice-led research, it balances this with discussion of how research can impact positively on creative practice through research-led practice. The editors posit an iterative and web-like relationship between practice and research. Essays within the book cover a wide range of disciplines including creative writing, dance, music, theatre, film and new media, and the contributors are from the UK, US, Canada and Australia. The subject is approached from numerous angles: the authors discuss methodologies of practice-led research and research-led practice, their own creative work as a form of research, research training for creative practitioners, researchers, students in the creative arts and university leaders.","ISBN":"978-0-7486-3629-7","language":"en","note":"Google-Books-ID: cAdcPQAACAAJ","number-of-pages":"278","publisher":"Edinburgh University Press","source":"Google Books","title":"Practice-led Research, Research-led Practice in the Creative Arts","author":[{"family":"Smith","given":"Hazel"},{"family":"Dean","given":"R. T."}],"issued":{"date-parts":[["2009"]]}}}],"schema":"https://github.com/citation-style-language/schema/raw/master/csl-citation.json"}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(Smith and Dean, 2009)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 initial draft integrating voice and reflux items was created; psychological screening components were added after a gap was identified in the emerging design. The completed item set was built into a functional online tool using Claude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{"citationID":"yTR2oxNc","properties":{"unsorted":false,"formattedCitation":"(Anthropic, 2026)","plainCitation":"(Anthropic, 2026)","noteIndex":0},"citationItems":[{"id":179,"uris":["http://zotero.org/users/20030753/items/N2DSU3LB"],"itemData":{"id":179,"type":"software","collection-title":"Sonnet","title":"Claude","URL":"claude.ai","version":"4.6","author":[{"family":"Anthropic","given":""}],"issued":{"date-parts":[["2026",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(Anthropic, 2026)</w:t>
      </w:r>
      <w:r>
        <w:rPr>
          <w:rFonts w:ascii="Arial" w:hAnsi="Arial" w:cs="Arial"/>
          <w:color w:val="000000" w:themeColor="text1"/>
          <w:sz w:val="22"/>
          <w:szCs w:val="22"/>
        </w:rPr>
        <w:fldChar w:fldCharType="end"/>
      </w:r>
      <w:r>
        <w:rPr>
          <w:rFonts w:ascii="Arial" w:hAnsi="Arial" w:cs="Arial"/>
          <w:color w:val="000000" w:themeColor="text1"/>
          <w:sz w:val="22"/>
          <w:szCs w:val="22"/>
        </w:rPr>
        <w:t>, an AI platform capable of generating shareable, interactive web-based forms. AI-assisted development was a methodological choice driven by the practical constraint of no prior coding knowledge; the accuracy of scoring logic and referral pathways was reviewed and tested carefully. Results are presented as a four-tier triage system (Table 3), with psychological scores routed as additive modifiers: mild-to-moderate anxiety triggers music therapy and vocal health coaching; severe presentations prompt referral to a psychologist prior to other services.</w:t>
      </w:r>
    </w:p>
    <w:p w14:paraId="16D88F1B" w14:textId="77777777" w:rsidR="00074DAC" w:rsidRPr="00A61110" w:rsidRDefault="00074DAC" w:rsidP="004300F8">
      <w:pPr>
        <w:spacing w:after="0" w:line="360" w:lineRule="auto"/>
        <w:ind w:firstLine="720"/>
        <w:rPr>
          <w:rFonts w:ascii="Arial" w:hAnsi="Arial" w:cs="Arial"/>
          <w:color w:val="000000" w:themeColor="text1"/>
          <w:sz w:val="22"/>
          <w:szCs w:val="22"/>
        </w:rPr>
      </w:pPr>
    </w:p>
    <w:p w14:paraId="5CCF1166" w14:textId="1A79D22A" w:rsidR="004300F8" w:rsidRPr="00A61110" w:rsidRDefault="004300F8" w:rsidP="004300F8">
      <w:pPr>
        <w:spacing w:after="0" w:line="360" w:lineRule="auto"/>
        <w:rPr>
          <w:rFonts w:ascii="Arial" w:hAnsi="Arial" w:cs="Arial"/>
          <w:b/>
          <w:color w:val="000000" w:themeColor="text1"/>
          <w:sz w:val="22"/>
          <w:szCs w:val="22"/>
        </w:rPr>
      </w:pPr>
      <w:r>
        <w:rPr>
          <w:rFonts w:ascii="Arial" w:hAnsi="Arial" w:cs="Arial"/>
          <w:b/>
          <w:color w:val="000000" w:themeColor="text1"/>
          <w:sz w:val="22"/>
          <w:szCs w:val="22"/>
        </w:rPr>
        <w:t>Table 3. Four-Tier Triage System — Score Thresholds, Clinical Interpretation, and Recommended Actions</w:t>
      </w:r>
    </w:p>
    <w:tbl>
      <w:tblPr>
        <w:tblStyle w:val="TableGrid"/>
        <w:tblW w:w="9559" w:type="dxa"/>
        <w:tblLook w:val="04A0" w:firstRow="1" w:lastRow="0" w:firstColumn="1" w:lastColumn="0" w:noHBand="0" w:noVBand="1"/>
      </w:tblPr>
      <w:tblGrid>
        <w:gridCol w:w="1070"/>
        <w:gridCol w:w="1759"/>
        <w:gridCol w:w="3365"/>
        <w:gridCol w:w="3365"/>
      </w:tblGrid>
      <w:tr w:rsidR="002B135F" w14:paraId="5721AE2C" w14:textId="77777777" w:rsidTr="002B135F">
        <w:trPr>
          <w:trHeight w:val="248"/>
        </w:trPr>
        <w:tc>
          <w:tcPr>
            <w:tcW w:w="1070" w:type="dxa"/>
            <w:shd w:val="clear" w:color="auto" w:fill="1F497D"/>
          </w:tcPr>
          <w:p w14:paraId="2A1A1A7B" w14:textId="77777777" w:rsidR="002B135F" w:rsidRDefault="002B135F" w:rsidP="00F66FD9">
            <w:pPr>
              <w:jc w:val="center"/>
            </w:pPr>
            <w:r>
              <w:rPr>
                <w:b/>
                <w:color w:val="FFFFFF"/>
                <w:sz w:val="18"/>
              </w:rPr>
              <w:t>Level</w:t>
            </w:r>
          </w:p>
        </w:tc>
        <w:tc>
          <w:tcPr>
            <w:tcW w:w="1759" w:type="dxa"/>
            <w:shd w:val="clear" w:color="auto" w:fill="1F497D"/>
          </w:tcPr>
          <w:p w14:paraId="4676B3DB" w14:textId="77777777" w:rsidR="002B135F" w:rsidRDefault="002B135F" w:rsidP="00F66FD9">
            <w:pPr>
              <w:jc w:val="center"/>
            </w:pPr>
            <w:r>
              <w:rPr>
                <w:b/>
                <w:color w:val="FFFFFF"/>
                <w:sz w:val="18"/>
              </w:rPr>
              <w:t>Score Threshold</w:t>
            </w:r>
          </w:p>
        </w:tc>
        <w:tc>
          <w:tcPr>
            <w:tcW w:w="3365" w:type="dxa"/>
            <w:shd w:val="clear" w:color="auto" w:fill="1F497D"/>
          </w:tcPr>
          <w:p w14:paraId="52DEA3DC" w14:textId="77777777" w:rsidR="002B135F" w:rsidRDefault="002B135F" w:rsidP="00F66FD9">
            <w:pPr>
              <w:jc w:val="center"/>
            </w:pPr>
            <w:r>
              <w:rPr>
                <w:b/>
                <w:color w:val="FFFFFF"/>
                <w:sz w:val="18"/>
              </w:rPr>
              <w:t>Clinical Interpretation</w:t>
            </w:r>
          </w:p>
        </w:tc>
        <w:tc>
          <w:tcPr>
            <w:tcW w:w="3365" w:type="dxa"/>
            <w:shd w:val="clear" w:color="auto" w:fill="1F497D"/>
          </w:tcPr>
          <w:p w14:paraId="42411DD1" w14:textId="77777777" w:rsidR="002B135F" w:rsidRDefault="002B135F" w:rsidP="00F66FD9">
            <w:pPr>
              <w:jc w:val="center"/>
            </w:pPr>
            <w:r>
              <w:rPr>
                <w:b/>
                <w:color w:val="FFFFFF"/>
                <w:sz w:val="18"/>
              </w:rPr>
              <w:t>Recommended Action</w:t>
            </w:r>
          </w:p>
        </w:tc>
      </w:tr>
      <w:tr w:rsidR="002B135F" w14:paraId="06613EB2" w14:textId="77777777" w:rsidTr="002B135F">
        <w:trPr>
          <w:trHeight w:val="731"/>
        </w:trPr>
        <w:tc>
          <w:tcPr>
            <w:tcW w:w="1070" w:type="dxa"/>
            <w:shd w:val="clear" w:color="auto" w:fill="92D050"/>
          </w:tcPr>
          <w:p w14:paraId="4223A041" w14:textId="77777777" w:rsidR="002B135F" w:rsidRDefault="002B135F" w:rsidP="00F66FD9">
            <w:r>
              <w:rPr>
                <w:rFonts w:ascii="Apple Color Emoji" w:hAnsi="Apple Color Emoji" w:cs="Apple Color Emoji"/>
                <w:b/>
                <w:color w:val="000000"/>
                <w:sz w:val="17"/>
              </w:rPr>
              <w:t>🟢</w:t>
            </w:r>
            <w:r>
              <w:rPr>
                <w:b/>
                <w:color w:val="000000"/>
                <w:sz w:val="17"/>
              </w:rPr>
              <w:t xml:space="preserve"> Green</w:t>
            </w:r>
          </w:p>
        </w:tc>
        <w:tc>
          <w:tcPr>
            <w:tcW w:w="1759" w:type="dxa"/>
          </w:tcPr>
          <w:p w14:paraId="6BC7C862" w14:textId="77777777" w:rsidR="002B135F" w:rsidRDefault="002B135F" w:rsidP="00F66FD9">
            <w:r>
              <w:rPr>
                <w:sz w:val="17"/>
              </w:rPr>
              <w:t>VHI &lt; 6</w:t>
            </w:r>
            <w:r>
              <w:rPr>
                <w:sz w:val="17"/>
              </w:rPr>
              <w:br/>
              <w:t>Voice Total &lt; 18</w:t>
            </w:r>
          </w:p>
        </w:tc>
        <w:tc>
          <w:tcPr>
            <w:tcW w:w="3365" w:type="dxa"/>
          </w:tcPr>
          <w:p w14:paraId="6A5F5195" w14:textId="77777777" w:rsidR="002B135F" w:rsidRDefault="002B135F" w:rsidP="00F66FD9">
            <w:r>
              <w:rPr>
                <w:sz w:val="17"/>
              </w:rPr>
              <w:t>No significant vocal impairment; scores within normative range (Rosen et al., 2004)</w:t>
            </w:r>
          </w:p>
        </w:tc>
        <w:tc>
          <w:tcPr>
            <w:tcW w:w="3365" w:type="dxa"/>
          </w:tcPr>
          <w:p w14:paraId="65C9B63D" w14:textId="77777777" w:rsidR="002B135F" w:rsidRDefault="002B135F" w:rsidP="00F66FD9">
            <w:r>
              <w:rPr>
                <w:sz w:val="17"/>
              </w:rPr>
              <w:t>Vocal hygiene education; preventive resources; music therapy for wellbeing</w:t>
            </w:r>
          </w:p>
        </w:tc>
      </w:tr>
      <w:tr w:rsidR="002B135F" w14:paraId="0EC5E2B1" w14:textId="77777777" w:rsidTr="002B135F">
        <w:trPr>
          <w:trHeight w:val="481"/>
        </w:trPr>
        <w:tc>
          <w:tcPr>
            <w:tcW w:w="1070" w:type="dxa"/>
            <w:shd w:val="clear" w:color="auto" w:fill="FFFF00"/>
          </w:tcPr>
          <w:p w14:paraId="5BAEE1CB" w14:textId="77777777" w:rsidR="002B135F" w:rsidRDefault="002B135F" w:rsidP="00F66FD9">
            <w:r>
              <w:rPr>
                <w:rFonts w:ascii="Apple Color Emoji" w:hAnsi="Apple Color Emoji" w:cs="Apple Color Emoji"/>
                <w:b/>
                <w:color w:val="000000"/>
                <w:sz w:val="17"/>
              </w:rPr>
              <w:t>🟡</w:t>
            </w:r>
            <w:r>
              <w:rPr>
                <w:b/>
                <w:color w:val="000000"/>
                <w:sz w:val="17"/>
              </w:rPr>
              <w:t xml:space="preserve"> Yellow</w:t>
            </w:r>
          </w:p>
        </w:tc>
        <w:tc>
          <w:tcPr>
            <w:tcW w:w="1759" w:type="dxa"/>
          </w:tcPr>
          <w:p w14:paraId="5F190C40" w14:textId="77777777" w:rsidR="002B135F" w:rsidRDefault="002B135F" w:rsidP="00F66FD9">
            <w:r>
              <w:rPr>
                <w:sz w:val="17"/>
              </w:rPr>
              <w:t>VHI ≥ 6</w:t>
            </w:r>
            <w:r>
              <w:rPr>
                <w:sz w:val="17"/>
              </w:rPr>
              <w:br/>
              <w:t>Voice Total ≥ 18</w:t>
            </w:r>
          </w:p>
        </w:tc>
        <w:tc>
          <w:tcPr>
            <w:tcW w:w="3365" w:type="dxa"/>
          </w:tcPr>
          <w:p w14:paraId="5EF7D57B" w14:textId="77777777" w:rsidR="002B135F" w:rsidRDefault="002B135F" w:rsidP="00F66FD9">
            <w:r>
              <w:rPr>
                <w:sz w:val="17"/>
              </w:rPr>
              <w:t>Mild–moderate symptoms suggesting inefficient vocal use or early fatigue</w:t>
            </w:r>
          </w:p>
        </w:tc>
        <w:tc>
          <w:tcPr>
            <w:tcW w:w="3365" w:type="dxa"/>
          </w:tcPr>
          <w:p w14:paraId="64C5AE8A" w14:textId="77777777" w:rsidR="002B135F" w:rsidRDefault="002B135F" w:rsidP="00F66FD9">
            <w:r>
              <w:rPr>
                <w:sz w:val="17"/>
              </w:rPr>
              <w:t>Vocal coaching; hygiene program; preventive music therapy</w:t>
            </w:r>
          </w:p>
        </w:tc>
      </w:tr>
      <w:tr w:rsidR="002B135F" w14:paraId="2DE9C0AE" w14:textId="77777777" w:rsidTr="002B135F">
        <w:trPr>
          <w:trHeight w:val="964"/>
        </w:trPr>
        <w:tc>
          <w:tcPr>
            <w:tcW w:w="1070" w:type="dxa"/>
            <w:shd w:val="clear" w:color="auto" w:fill="FF6600"/>
          </w:tcPr>
          <w:p w14:paraId="58964BC2" w14:textId="77777777" w:rsidR="002B135F" w:rsidRDefault="002B135F" w:rsidP="00F66FD9">
            <w:r>
              <w:rPr>
                <w:rFonts w:ascii="Apple Color Emoji" w:hAnsi="Apple Color Emoji" w:cs="Apple Color Emoji"/>
                <w:b/>
                <w:color w:val="FFFFFF"/>
                <w:sz w:val="17"/>
              </w:rPr>
              <w:t>🟠</w:t>
            </w:r>
            <w:r>
              <w:rPr>
                <w:b/>
                <w:color w:val="FFFFFF"/>
                <w:sz w:val="17"/>
              </w:rPr>
              <w:t xml:space="preserve"> Orange</w:t>
            </w:r>
          </w:p>
        </w:tc>
        <w:tc>
          <w:tcPr>
            <w:tcW w:w="1759" w:type="dxa"/>
          </w:tcPr>
          <w:p w14:paraId="18E538CE" w14:textId="77777777" w:rsidR="002B135F" w:rsidRDefault="002B135F" w:rsidP="00F66FD9">
            <w:r>
              <w:rPr>
                <w:sz w:val="17"/>
              </w:rPr>
              <w:t>VHI ≥ 12, OR</w:t>
            </w:r>
            <w:r>
              <w:rPr>
                <w:sz w:val="17"/>
              </w:rPr>
              <w:br/>
              <w:t>RSI ≥ 14 + VHI ≥ 8, OR</w:t>
            </w:r>
            <w:r>
              <w:rPr>
                <w:sz w:val="17"/>
              </w:rPr>
              <w:br/>
              <w:t>Voice Total ≥ 30</w:t>
            </w:r>
          </w:p>
        </w:tc>
        <w:tc>
          <w:tcPr>
            <w:tcW w:w="3365" w:type="dxa"/>
          </w:tcPr>
          <w:p w14:paraId="2CC0FCD2" w14:textId="77777777" w:rsidR="002B135F" w:rsidRDefault="002B135F" w:rsidP="00F66FD9">
            <w:r>
              <w:rPr>
                <w:sz w:val="17"/>
              </w:rPr>
              <w:t xml:space="preserve">Moderate–significant handicap; possible structural pathology or </w:t>
            </w:r>
            <w:proofErr w:type="spellStart"/>
            <w:r>
              <w:rPr>
                <w:sz w:val="17"/>
              </w:rPr>
              <w:t>musculo</w:t>
            </w:r>
            <w:proofErr w:type="spellEnd"/>
            <w:r>
              <w:rPr>
                <w:sz w:val="17"/>
              </w:rPr>
              <w:t xml:space="preserve"> tensional dysphonia (Rosen et al., 2004; </w:t>
            </w:r>
            <w:proofErr w:type="spellStart"/>
            <w:r>
              <w:rPr>
                <w:sz w:val="17"/>
              </w:rPr>
              <w:t>Belafsky</w:t>
            </w:r>
            <w:proofErr w:type="spellEnd"/>
            <w:r>
              <w:rPr>
                <w:sz w:val="17"/>
              </w:rPr>
              <w:t xml:space="preserve"> et al., 2002)</w:t>
            </w:r>
          </w:p>
        </w:tc>
        <w:tc>
          <w:tcPr>
            <w:tcW w:w="3365" w:type="dxa"/>
          </w:tcPr>
          <w:p w14:paraId="02AFD0CB" w14:textId="77777777" w:rsidR="002B135F" w:rsidRDefault="002B135F" w:rsidP="00F66FD9">
            <w:r>
              <w:rPr>
                <w:sz w:val="17"/>
              </w:rPr>
              <w:t>SLP voice therapy; laryngological evaluation; reflux management</w:t>
            </w:r>
          </w:p>
        </w:tc>
      </w:tr>
      <w:tr w:rsidR="002B135F" w14:paraId="54FC861D" w14:textId="77777777" w:rsidTr="002B135F">
        <w:trPr>
          <w:trHeight w:val="948"/>
        </w:trPr>
        <w:tc>
          <w:tcPr>
            <w:tcW w:w="1070" w:type="dxa"/>
            <w:shd w:val="clear" w:color="auto" w:fill="FF0000"/>
          </w:tcPr>
          <w:p w14:paraId="7B91B13F" w14:textId="77777777" w:rsidR="002B135F" w:rsidRDefault="002B135F" w:rsidP="00F66FD9">
            <w:r>
              <w:rPr>
                <w:rFonts w:ascii="Apple Color Emoji" w:hAnsi="Apple Color Emoji" w:cs="Apple Color Emoji"/>
                <w:b/>
                <w:color w:val="FFFFFF"/>
                <w:sz w:val="17"/>
              </w:rPr>
              <w:t>🔴</w:t>
            </w:r>
            <w:r>
              <w:rPr>
                <w:b/>
                <w:color w:val="FFFFFF"/>
                <w:sz w:val="17"/>
              </w:rPr>
              <w:t xml:space="preserve"> Red</w:t>
            </w:r>
          </w:p>
        </w:tc>
        <w:tc>
          <w:tcPr>
            <w:tcW w:w="1759" w:type="dxa"/>
          </w:tcPr>
          <w:p w14:paraId="1F49AD28" w14:textId="77777777" w:rsidR="002B135F" w:rsidRDefault="002B135F" w:rsidP="00F66FD9">
            <w:r>
              <w:rPr>
                <w:sz w:val="17"/>
              </w:rPr>
              <w:t>VHI ≥ 22</w:t>
            </w:r>
            <w:r>
              <w:rPr>
                <w:sz w:val="17"/>
              </w:rPr>
              <w:br/>
              <w:t>Voice Total ≥ 45</w:t>
            </w:r>
          </w:p>
        </w:tc>
        <w:tc>
          <w:tcPr>
            <w:tcW w:w="3365" w:type="dxa"/>
          </w:tcPr>
          <w:p w14:paraId="6884A754" w14:textId="77777777" w:rsidR="002B135F" w:rsidRDefault="002B135F" w:rsidP="00F66FD9">
            <w:r>
              <w:rPr>
                <w:sz w:val="17"/>
              </w:rPr>
              <w:t>Severe handicap; consistent with established laryngeal pathology requiring differential diagnosis (Jacobson et al., 1997)</w:t>
            </w:r>
          </w:p>
        </w:tc>
        <w:tc>
          <w:tcPr>
            <w:tcW w:w="3365" w:type="dxa"/>
          </w:tcPr>
          <w:p w14:paraId="44142C83" w14:textId="77777777" w:rsidR="002B135F" w:rsidRDefault="002B135F" w:rsidP="00F66FD9">
            <w:r>
              <w:rPr>
                <w:sz w:val="17"/>
              </w:rPr>
              <w:t>Urgent ENT/laryngologist referral; video laryngoscopy before other intervention</w:t>
            </w:r>
          </w:p>
        </w:tc>
      </w:tr>
    </w:tbl>
    <w:p w14:paraId="7D99ABC0" w14:textId="13E743A0" w:rsidR="004300F8" w:rsidRPr="00A61110" w:rsidRDefault="004300F8" w:rsidP="004300F8">
      <w:pPr>
        <w:spacing w:after="0" w:line="360" w:lineRule="auto"/>
        <w:rPr>
          <w:rFonts w:ascii="Arial" w:hAnsi="Arial" w:cs="Arial"/>
          <w:color w:val="000000" w:themeColor="text1"/>
          <w:sz w:val="22"/>
          <w:szCs w:val="22"/>
        </w:rPr>
      </w:pPr>
    </w:p>
    <w:p w14:paraId="58192128" w14:textId="77777777" w:rsidR="004300F8" w:rsidRPr="00A61110" w:rsidRDefault="004300F8" w:rsidP="004300F8">
      <w:pPr>
        <w:spacing w:after="0" w:line="360" w:lineRule="auto"/>
        <w:rPr>
          <w:rFonts w:ascii="Arial" w:hAnsi="Arial" w:cs="Arial"/>
          <w:b/>
          <w:bCs/>
          <w:color w:val="000000" w:themeColor="text1"/>
          <w:sz w:val="22"/>
          <w:szCs w:val="22"/>
        </w:rPr>
      </w:pPr>
    </w:p>
    <w:p w14:paraId="24B502EA" w14:textId="77777777" w:rsidR="00FB33D8" w:rsidRPr="00A61110" w:rsidRDefault="00FB33D8" w:rsidP="004300F8">
      <w:pPr>
        <w:spacing w:after="0" w:line="360" w:lineRule="auto"/>
        <w:rPr>
          <w:rFonts w:ascii="Arial" w:hAnsi="Arial" w:cs="Arial"/>
          <w:b/>
          <w:bCs/>
          <w:color w:val="000000" w:themeColor="text1"/>
          <w:sz w:val="22"/>
          <w:szCs w:val="22"/>
        </w:rPr>
      </w:pPr>
    </w:p>
    <w:p w14:paraId="5C1F2350" w14:textId="77777777" w:rsidR="00FB33D8" w:rsidRPr="00A61110" w:rsidRDefault="00FB33D8" w:rsidP="004300F8">
      <w:pPr>
        <w:spacing w:after="0" w:line="360" w:lineRule="auto"/>
        <w:rPr>
          <w:rFonts w:ascii="Arial" w:hAnsi="Arial" w:cs="Arial"/>
          <w:b/>
          <w:bCs/>
          <w:color w:val="000000" w:themeColor="text1"/>
          <w:sz w:val="22"/>
          <w:szCs w:val="22"/>
        </w:rPr>
      </w:pPr>
    </w:p>
    <w:p w14:paraId="6353465C" w14:textId="1CC2F76F" w:rsidR="004300F8" w:rsidRPr="00A61110" w:rsidRDefault="004300F8" w:rsidP="004300F8">
      <w:pPr>
        <w:spacing w:after="0" w:line="360" w:lineRule="auto"/>
        <w:jc w:val="center"/>
        <w:rPr>
          <w:rFonts w:ascii="Arial" w:hAnsi="Arial" w:cs="Arial"/>
          <w:color w:val="000000" w:themeColor="text1"/>
          <w:sz w:val="22"/>
          <w:szCs w:val="22"/>
        </w:rPr>
      </w:pPr>
      <w:r>
        <w:rPr>
          <w:rFonts w:ascii="Arial" w:hAnsi="Arial" w:cs="Arial"/>
          <w:b/>
          <w:color w:val="000000" w:themeColor="text1"/>
          <w:sz w:val="22"/>
          <w:szCs w:val="22"/>
        </w:rPr>
        <w:lastRenderedPageBreak/>
        <w:t>Component 2 – Project Report</w:t>
      </w:r>
    </w:p>
    <w:p w14:paraId="7D320449" w14:textId="715EF5EF" w:rsidR="005E69AF" w:rsidRPr="00A61110" w:rsidRDefault="005E69AF"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 xml:space="preserve">Introduction </w:t>
      </w:r>
    </w:p>
    <w:p w14:paraId="02DB646D" w14:textId="77777777"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This project critically evaluates the development of an online self-assessment questionnaire designed as the first point of contact for </w:t>
      </w:r>
      <w:r>
        <w:rPr>
          <w:rFonts w:ascii="Arial" w:hAnsi="Arial" w:cs="Arial"/>
          <w:i/>
          <w:iCs/>
          <w:color w:val="000000" w:themeColor="text1"/>
          <w:sz w:val="22"/>
          <w:szCs w:val="22"/>
        </w:rPr>
        <w:t>Vocare</w:t>
      </w:r>
      <w:r>
        <w:rPr>
          <w:rFonts w:ascii="Arial" w:hAnsi="Arial" w:cs="Arial"/>
          <w:color w:val="000000" w:themeColor="text1"/>
          <w:sz w:val="22"/>
          <w:szCs w:val="22"/>
        </w:rPr>
        <w:t xml:space="preserve">, a proposed multidisciplinary voice care centre in Puerto Rico. The artefact was developed in response to persistent gaps in access to specialised voice care services on the island, including limited availability of voice-specialised ENT physicians, long waiting times for assessment, and the absence of specialised voice or singer-focused tracks within local speech-language pathology programmes. These structural barriers have significant implications for professional voice users, singers, teachers, and individuals experiencing voice difficulties who may struggle to identify appropriate professional support pathways. </w:t>
      </w:r>
    </w:p>
    <w:p w14:paraId="35A85F79" w14:textId="261579AB"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Rather than functioning solely as a symptom checklist, the questionnaire was designed as an evidence-based triage and educational tool intended to guide users toward the category of professional care most appropriate for their presenting symptoms. The artefact integrates validated patient-reported outcome measures (PROMs), including adaptations of the Voice Handicap Index-10 (VHI-10)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{"citationID":"2QUe54vo","properties":{"unsorted":false,"formattedCitation":"(Rosen {\\i{}et al.}, 2004)","plainCitation":"(Rosen et al., 2004)","noteIndex":0},"citationItems":[{"id":70,"uris":["http://zotero.org/users/20030753/items/B5K92ESA"],"itemData":{"id":70,"type":"article-journal","abstract":"Objectives/Hypothesis: The objective was to develop an abbreviated voice handicap assessment instrument and compare it with the Voice Handicap Index (VHI). Study Design: Item analysis of the VHI in individuals without voice disorders and patients with voice disorders and creation and validation of the abbreviated VHI. Methods: Clinical consensus review of the VHI items was held to prioritize the clinical value of each of the VHI items (30 items in all). Item analysis of the VHI was performed using the VHI responses of 100 patients with voice problems and 159 control subjects. The 10 most robust VHI items were selected using the item analysis and clinical consensus results to form the Voice Handicap Index-10 (VHI-10). Statistical analysis comparing the validity of the VHI-10 with the VHI was performed with 819 patients representing a wide spectrum of voice disorders. Results: Statistical analysis of the VHI and VHI-10 scores from the study group showed no statistically significant differences between the VHI and the VHI-10. Irrespective of diagnosis, the correlation between the VHI and the VHI-10 was greater than .90 (P = .01). The ratios of the VHI-10 to VHI scores for a variety of voice disorder categories were analyzed and found to be consistently greater than the expected value (33%). This suggests that the VHI-10 may be a more robust instrument than the VHI. Conclusion: The VHI-10 is a powerful representation of the VHI that takes less time for the patient to complete without loss of validity. Thus, the VHI-10 can replace the VHI as an instrument to quantify patients' perception of their voice handicap.","container-title":"The Laryngoscope","DOI":"10.1097/00005537-200409000-00009","ISSN":"1531-4995","issue":"9","language":"en","note":"_eprint: https://onlinelibrary.wiley.com/doi/pdf/10.1097/00005537-200409000-00009","page":"1549-1556","source":"Wiley Online Library","title":"Development and Validation of the Voice Handicap Index-10","volume":"114","author":[{"family":"Rosen","given":"Clark A."},{"family":"Lee","given":"Annie S."},{"family":"Osborne","given":"Jamie"},{"family":"Zullo","given":"Thomas"},{"family":"Murry","given":"Thomas"}],"issued":{"date-parts":[["2004"]]}}}],"schema":"https://github.com/citation-style-language/schema/raw/master/csl-citation.json"}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(Rosen </w:t>
      </w:r>
      <w:r>
        <w:rPr>
          <w:rFonts w:ascii="Arial" w:hAnsi="Arial" w:cs="Arial"/>
          <w:i/>
          <w:iCs/>
          <w:color w:val="000000"/>
          <w:kern w:val="0"/>
          <w:sz w:val="22"/>
          <w:lang w:val="en-US"/>
        </w:rPr>
        <w:t>et al.</w:t>
      </w:r>
      <w:r>
        <w:rPr>
          <w:rFonts w:ascii="Arial" w:hAnsi="Arial" w:cs="Arial"/>
          <w:color w:val="000000"/>
          <w:kern w:val="0"/>
          <w:sz w:val="22"/>
          <w:lang w:val="en-US"/>
        </w:rPr>
        <w:t>, 2004)</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Singing Voice Handicap Index-10 (SVHI-10)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{"citationID":"OlOuVOYJ","properties":{"unsorted":false,"formattedCitation":"(Cohen {\\i{}et al.}, 2009)","plainCitation":"(Cohen et al., 2009)","noteIndex":0},"citationItems":[{"id":136,"uris":["http://zotero.org/users/20030753/items/GGZAEQJ7"],"itemData":{"id":136,"type":"article-journal","abstract":"OBJECTIVES/HYPOTHESIS: To develop a shortened version of the validated health status instrument for singers, the Singing Voice Handicap Index (SVHI).\nSTUDY DESIGN: Prospective item analysis of the SVHI in patients with singing voice problems and creation and validation of an abbreviated SVHI, the SVHI-10.\nMETHODS: Patients presenting to two tertiary care voice clinics prospectively completed the SVHI. Principal component analysis was performed. Individual item to total correlations were calculated, and individual items were also evaluated for bipolar response patterns. A clinical consensus conference prioritized each individual item. Items were then eliminated, and the internal consistency was evaluated. A second cohort of patients with singing voice problems completed the Voice Handicap Index-10 (VHI-10) and SVHI-10 at two time points. Singers without voice problems also completed the SVHI-10. SVHI-10 scores were compared between the groups, correlations between the SVHI-10 and VHI-10 were performed, and test-retest reliability of the SVHI-10 assessed.\nRESULTS: Singers with voice problems had worse SVHI-10 scores than normal singers (P &lt; .0001, t test). Test-retest reliability was high (Spearman correlation = 0.86, P &lt; .001). Internal consistency of the SVHI-10 demonstrated a Cronbach alpha of .94, and the correlation between the SVHI-10 and VHI-10 was 0.7 (P &lt; .001, Spearman correlation).\nCONCLUSIONS: The SVHI-10 is a valuable instrument to assess self-perceived handicap associated with singing voice problems with reduced patient burden.","container-title":"The Laryngoscope","DOI":"10.1002/lary.20580","ISSN":"1531-4995","issue":"9","journalAbbreviation":"Laryngoscope","language":"eng","page":"1864-1869","PMID":"19572269","source":"PubMed","title":"Development and validation of the Singing Voice Handicap-10","volume":"119","author":[{"family":"Cohen","given":"Seth M."},{"family":"Statham","given":"Melissa"},{"family":"Rosen","given":"Clark A."},{"family":"Zullo","given":"Thomas"}],"issued":{"date-parts":[["2009",9]]}}}],"schema":"https://github.com/citation-style-language/schema/raw/master/csl-citation.json"}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(Cohen </w:t>
      </w:r>
      <w:r>
        <w:rPr>
          <w:rFonts w:ascii="Arial" w:hAnsi="Arial" w:cs="Arial"/>
          <w:i/>
          <w:iCs/>
          <w:color w:val="000000"/>
          <w:kern w:val="0"/>
          <w:sz w:val="22"/>
          <w:lang w:val="en-US"/>
        </w:rPr>
        <w:t>et al.</w:t>
      </w:r>
      <w:r>
        <w:rPr>
          <w:rFonts w:ascii="Arial" w:hAnsi="Arial" w:cs="Arial"/>
          <w:color w:val="000000"/>
          <w:kern w:val="0"/>
          <w:sz w:val="22"/>
          <w:lang w:val="en-US"/>
        </w:rPr>
        <w:t>, 2009)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Reflux Symptom Index (RSI)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{"citationID":"0vmnZimf","properties":{"unsorted":false,"formattedCitation":"(Belafsky, Postma and Koufman, 2002)","plainCitation":"(Belafsky, Postma and Koufman, 2002)","noteIndex":0},"citationItems":[{"id":138,"uris":["http://zotero.org/users/20030753/items/KLU236BV"],"itemData":{"id":138,"type":"article-journal","abstract":"Laryngopharyngeal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(Belafsky, Postma and Koufman, 2002)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Generalized Anxiety Disorder-7 (GAD-7)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{"citationID":"JeLXsfEK","properties":{"unsorted":false,"formattedCitation":"(Spitzer {\\i{}et al.}, 2006)","plainCitation":"(Spitzer et al., 2006)","noteIndex":0},"citationItems":[{"id":133,"uris":["http://zotero.org/users/20030753/items/8B7I8ZZD"],"itemData":{"id":133,"type":"article-journal","container-title":"Archives of Internal Medicine","DOI":"10.1001/archinte.166.10.1092","ISSN":"0003-9926","issue":"10","journalAbbreviation":"Arch Intern Med","language":"en","page":"1092","source":"DOI.org (Crossref)","title":"A Brief Measure for Assessing Generalized Anxiety Disorder: The GAD-7","title-short":"A Brief Measure for Assessing Generalized Anxiety Disorder","volume":"166","author":[{"family":"Spitzer","given":"Robert L."},{"family":"Kroenke","given":"Kurt"},{"family":"Williams","given":"Janet B. W."},{"family":"Löwe","given":"Bernd"}],"issued":{"date-parts":[["2006",5,22]]}}}],"schema":"https://github.com/citation-style-language/schema/raw/master/csl-citation.json"}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(Spitzer </w:t>
      </w:r>
      <w:r>
        <w:rPr>
          <w:rFonts w:ascii="Arial" w:hAnsi="Arial" w:cs="Arial"/>
          <w:i/>
          <w:iCs/>
          <w:color w:val="000000"/>
          <w:kern w:val="0"/>
          <w:sz w:val="22"/>
          <w:lang w:val="en-US"/>
        </w:rPr>
        <w:t>et al.</w:t>
      </w:r>
      <w:r>
        <w:rPr>
          <w:rFonts w:ascii="Arial" w:hAnsi="Arial" w:cs="Arial"/>
          <w:color w:val="000000"/>
          <w:kern w:val="0"/>
          <w:sz w:val="22"/>
          <w:lang w:val="en-US"/>
        </w:rPr>
        <w:t>, 2006)</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and the Mazzarolo Music Performance Anxiety Scale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{"citationID":"DarB0tH1","properties":{"unsorted":false,"formattedCitation":"(Mazzarolo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(Mazzarolo and Schubert, 2022)</w:t>
      </w:r>
      <w:r>
        <w:rPr>
          <w:rFonts w:ascii="Arial" w:hAnsi="Arial" w:cs="Arial"/>
          <w:color w:val="000000" w:themeColor="text1"/>
          <w:sz w:val="22"/>
          <w:szCs w:val="22"/>
        </w:rPr>
        <w:fldChar w:fldCharType="end"/>
      </w:r>
      <w:r>
        <w:rPr>
          <w:rFonts w:ascii="Arial" w:hAnsi="Arial" w:cs="Arial"/>
          <w:color w:val="000000" w:themeColor="text1"/>
          <w:sz w:val="22"/>
          <w:szCs w:val="22"/>
        </w:rPr>
        <w:t>. The project therefore sits at the intersection of vocal health, interdisciplinary voice care, psychological wellbeing, and digital accessibility.</w:t>
      </w:r>
    </w:p>
    <w:p w14:paraId="17636F71" w14:textId="2D66E377"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The significance of this study lies in the increasing recognition that voice disorders and vocal difficulties are multidimensional phenomena influenced not only by physiological factors, but also by psychological, behavioural, and social variables. The biopsychosocial model proposed by Engel </w:t>
      </w:r>
      <w:r>
        <w:rPr>
          <w:rFonts w:ascii="Arial" w:hAnsi="Arial" w:cs="Arial"/>
          <w:color w:val="000000" w:themeColor="text1"/>
          <w:sz w:val="22"/>
          <w:szCs w:val="22"/>
        </w:rPr>
        <w:fldChar w:fldCharType="begin"/>
      </w:r>
      <w:r w:rsidR="00FC44DF">
        <w:rPr>
          <w:rFonts w:ascii="Arial" w:hAnsi="Arial" w:cs="Arial"/>
          <w:color w:val="000000" w:themeColor="text1"/>
          <w:sz w:val="22"/>
          <w:szCs w:val="22"/>
        </w:rPr>
        <w:instrText xml:space="preserve"> ADDIN ZOTERO_ITEM CSL_CITATION {"citationID":"g1hZ7QDP","properties":{"unsorted":false,"formattedCitation":"(Engel, 1977)","plainCitation":"(Engel, 1977)","dontUpdate":true,"noteIndex":0},"citationItems":[{"id":190,"uris":["http://zotero.org/users/20030753/items/7RRWHVY4"],"itemData":{"id":190,"type":"article-journal","abstract":"The dominant model of disease today is biomedical, and it leaves no room within tis framework for the social, psychological, and behavioral dimensions of illness. A biopsychosocial model is proposed that provides a blueprint for research, a framework for teaching, and a design for action in the real world of health care.","container-title":"Science","DOI":"10.1126/science.847460","ISSN":"0036-8075","issue":"4286","journalAbbreviation":"Science","language":"eng","page":"129-136","PMID":"847460","publisher-place":"New York, N.Y.","source":"PubMed","title":"The need for a new medical model: a challenge for biomedicine","title-short":"The need for a new medical model","volume":"196","author":[{"family":"Engel","given":"G. L."}],"issued":{"date-parts":[["1977",4,8]]}}}],"schema":"https://github.com/citation-style-language/schema/raw/master/csl-citation.json"}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(1977)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provides an important framework for understanding voice disorders beyond purely biomedical explanations. Contemporary voice care literature increasingly advocates for interdisciplinary models in which laryngologists, speech-language pathologists, voice teachers, psychologists, and other professionals collaborate to improve patient outcomes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{"citationID":"ewBqCR3s","properties":{"unsorted":false,"formattedCitation":"(Starmer {\\i{}et al.}, 2014; Misono {\\i{}et al.}, 2016; Baxter {\\i{}et al.}, 2019)","plainCitation":"(Starmer et al., 2014; Misono et al., 2016; Baxter et al., 2019)","noteIndex":0},"citationItems":[{"id":2,"uris":["http://zotero.org/users/20030753/items/PT693X4J"],"itemData":{"id":2,"type":"article-journal","abstract":"Objectives:\n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M."},{"family":"Gourin","given":"Christine"}],"issued":{"date-parts":[["2014",2]]}}},{"id":6,"uris":["http://zotero.org/users/20030753/items/W6ILPALJ"],"itemData":{"id":6,"type":"article-journal","abstract":"Objectives. To assess perspectives of patients with voice problems and identify factors associated with the likelihood of referral to voice therapy via the CHEER (Creating Healthcare Excellence through Education and Research) practice-based research network infrastructure. Study Design. Prospectively enrolled cross-sectional study of CHEER patients seen for a voice problem (dysphonia). Setting. The CHEER network of community and academic sites.\nMethods. Patient-reported demographic information, nature and severity of voice problems, clinical diagnoses, and proposed treatment plans were collected. The relationship between patient factors and voice therapy referral was investigated.\nResults. Patients (N = 249) were identified over 12 months from 10 sites comprising 30 otolaryngology physicians. The majority were women (68%) and white (82%). Most patients reported a recurrent voice problem (72%) and symptom duration .4 weeks (89%). The most commonly reported voicerelated diagnoses were vocal strain, reflux, and benign vocal fold lesions. Sixty-seven percent of enrolled patients reported receiving a recommendation for voice therapy. After adjusting for sociodemographic and other factors, diagnoses including vocal strain/excessive tension and vocal fold paralysis and academic practice type were associated with increased likelihood of reporting a referral for voice therapy.\nConclusions. The CHEER network successfully enrolled a representative sample of patients with dysphonia. Common diagnoses were vocal strain, reflux, and benign vocal fold lesions; commonly reported treatment recommendations included speech/voice therapy and antireflux medication. Recommendation for speech/voice therapy was associated with academic practice type.","container-title":"Otolaryngology–Head and Neck Surgery","DOI":"10.1177/0194599816639244","ISSN":"0194-5998, 1097-6817","issue":"1","journalAbbreviation":"Otolaryngol.--head neck surg.","language":"en","page":"33-41","source":"DOI.org (Crossref)","title":"Multi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institutional Study of Voice Disorders and Voice Therapy Referral: Report from the CHEER Network","title-short":"Multi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institutional Study of Voice Disorders and Voice Therapy Referral","volume":"155","author":[{"family":"Misono","given":"Stephanie"},{"family":"Marmor","given":"Schelomo"},{"family":"Roy","given":"Nelson"},{"family":"Mau","given":"Ted"},{"family":"Cohen","given":"Seth M."}],"issued":{"date-parts":[["2016",7]]}}},{"id":161,"uris":["http://zotero.org/users/20030753/items/T7VDQHLV"],"itemData":{"id":161,"type":"article-journal","abstract":"BACKGROUND AND OBJECTIVE: Multidisciplinary team (MDT) clinics use an integrated approach to individualize care of complex medical conditions. Vocal cord dysfunction (VCD) is a challenging condition that is likely to benefit from MDT clinics but this has not been researched.\nMETHODS: A prospective observational cohort study of a novel VCD MDT clinic was conducted in patients with suspected VCD. Relevant questionnaires, medical history, physical examination, spirometry, dynamic computerized tomography (CT) larynx and laryngoscopy were utilized and patients were allocated to treatment pathways depending on putative diagnosis. Speech pathology intervention with laryngeal retraining (LR) was offered and if LR therapy failed botulinum toxin injection was offered. Primary outcome was reductions in healthcare utilization.\nRESULTS: Overall, 80 consecutive patients were included in analyses. A definitive diagnosis of VCD was made in 56 of 80 (70%) patients. After LR (n = 35), emergency department (ED)/hospital admissions declined significantly in the subsequent 12 months (P = 0.001). General practice visits also reduced (P &lt; 0.001). Botulinum toxin injections were administered in 21 patients unresponsive to LR therapy and both general practice and ED/hospital visits declined (P &lt; 0.001 and P = 0.01, respectively) after injection.\nCONCLUSION: A multidisciplinary approach to VCD confers benefit and can be used to allocate appropriate management leading to a reduction in healthcare utilization.","container-title":"Respirology","DOI":"10.1111/resp.13520","ISSN":"1440-1843","issue":"8","journalAbbreviation":"Respirology","language":"eng","page":"758-764","PMID":"30884033","publisher-place":"Carlton, Vic.","source":"PubMed","title":"Multidisciplinary team clinic for vocal cord dysfunction directs therapy and significantly reduces healthcare utilization","volume":"24","author":[{"family":"Baxter","given":"Malcolm"},{"family":"Ruane","given":"Laurence"},{"family":"Phyland","given":"Debra"},{"family":"Leahy","given":"Elizabeth"},{"family":"Heke","given":"Emily"},{"family":"Lau","given":"Kenneth K."},{"family":"Low","given":"Kathy"},{"family":"Hamza","given":"Kais"},{"family":"MacDonald","given":"Martin"},{"family":"Bardin","given":"Philip G."}],"issued":{"date-parts":[["2019",8]]}}}],"schema":"https://github.com/citation-style-language/schema/raw/master/csl-citation.json"}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(Starmer </w:t>
      </w:r>
      <w:r>
        <w:rPr>
          <w:rFonts w:ascii="Arial" w:hAnsi="Arial" w:cs="Arial"/>
          <w:i/>
          <w:iCs/>
          <w:color w:val="000000"/>
          <w:kern w:val="0"/>
          <w:sz w:val="22"/>
          <w:lang w:val="en-US"/>
        </w:rPr>
        <w:t>et al.</w:t>
      </w:r>
      <w:r>
        <w:rPr>
          <w:rFonts w:ascii="Arial" w:hAnsi="Arial" w:cs="Arial"/>
          <w:color w:val="000000"/>
          <w:kern w:val="0"/>
          <w:sz w:val="22"/>
          <w:lang w:val="en-US"/>
        </w:rPr>
        <w:t xml:space="preserve">, 2014; Misono </w:t>
      </w:r>
      <w:r>
        <w:rPr>
          <w:rFonts w:ascii="Arial" w:hAnsi="Arial" w:cs="Arial"/>
          <w:i/>
          <w:iCs/>
          <w:color w:val="000000"/>
          <w:kern w:val="0"/>
          <w:sz w:val="22"/>
          <w:lang w:val="en-US"/>
        </w:rPr>
        <w:t>et al.</w:t>
      </w:r>
      <w:r>
        <w:rPr>
          <w:rFonts w:ascii="Arial" w:hAnsi="Arial" w:cs="Arial"/>
          <w:color w:val="000000"/>
          <w:kern w:val="0"/>
          <w:sz w:val="22"/>
          <w:lang w:val="en-US"/>
        </w:rPr>
        <w:t xml:space="preserve">, 2016; Baxter </w:t>
      </w:r>
      <w:r>
        <w:rPr>
          <w:rFonts w:ascii="Arial" w:hAnsi="Arial" w:cs="Arial"/>
          <w:i/>
          <w:iCs/>
          <w:color w:val="000000"/>
          <w:kern w:val="0"/>
          <w:sz w:val="22"/>
          <w:lang w:val="en-US"/>
        </w:rPr>
        <w:t>et al.</w:t>
      </w:r>
      <w:r>
        <w:rPr>
          <w:rFonts w:ascii="Arial" w:hAnsi="Arial" w:cs="Arial"/>
          <w:color w:val="000000"/>
          <w:kern w:val="0"/>
          <w:sz w:val="22"/>
          <w:lang w:val="en-US"/>
        </w:rPr>
        <w:t>, 2019)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PROMs have also become increasingly central within voice assessment and treatment because they prioritise the patient’s lived experience of vocal difficulty rather than clinician-rated severity alone </w:t>
      </w:r>
      <w:r>
        <w:rPr>
          <w:rFonts w:ascii="Arial" w:hAnsi="Arial" w:cs="Arial"/>
          <w:color w:val="000000" w:themeColor="text1"/>
          <w:sz w:val="22"/>
          <w:szCs w:val="22"/>
        </w:rPr>
        <w:fldChar w:fldCharType="begin"/>
      </w:r>
      <w:r w:rsidR="009905EA">
        <w:rPr>
          <w:rFonts w:ascii="Arial" w:hAnsi="Arial" w:cs="Arial"/>
          <w:color w:val="000000" w:themeColor="text1"/>
          <w:sz w:val="22"/>
          <w:szCs w:val="22"/>
        </w:rPr>
        <w:instrText xml:space="preserve"> ADDIN ZOTERO_ITEM CSL_CITATION {"citationID":"6otQzSTG","properties":{"unsorted":false,"formattedCitation":"(Francis {\\i{}et al.}, 2017b; Gardner {\\i{}et al.}, 2025)","plainCitation":"(Francis et al., 2017b; Gardner et al., 2025)","dontUpdate":true,"noteIndex":0},"citationItems":[{"id":246,"uris":["http://zotero.org/users/20030753/items/TTBVWQMJ"],"itemData":{"id":246,"type":"article-journal","abstract":"Purpose\nThe purpose of this study was to perform a comprehensive systematic review of the literature on voice-related patient-reported outcome (PRO) measures in adults and to evaluate each instrument for the presence of important measurement properties.\n\nMethod\nMEDLINE, the Cumulative Index of Nursing and Allied Health Literature, and the Health and Psychosocial Instrument databases were searched using relevant vocabulary terms and key terms related to PRO measures and voice. Inclusion and exclusion criteria were developed in consultation with an expert panel. Three independent investigators assessed study methodology using criteria developed a priori. Measurement properties were examined and entered into evidence tables.\n\nResults\nA total of 3,744 studies assessing voice-related constructs were identified. This list was narrowed to 32 PRO measures on the basis of predetermined inclusion and exclusion criteria. Questionnaire measurement properties varied widely. Important thematic deficiencies were apparent: (a) lack of patient involvement in the item development process, (b) lack of robust construct validity, and (c) lack of clear interpretability and scaling.\n\nConclusions\nPRO measures are a principal means of evaluating treatment effectiveness in voice-related conditions. Despite their prominence, available PRO measures have disparate methodological rigor. Care must be taken to understand the psychometric and measurement properties and the applicability of PRO measures before advocating for their use in clinical or research applications.","container-title":"Journal of Speech, Language, and Hearing Research : JSLHR","DOI":"10.1044/2016_JSLHR-S-16-0022","ISSN":"1092-4388","issue":"1","journalAbbreviation":"J Speech Lang Hear Res","page":"62-88","PMID":"28030869","PMCID":"PMC5533561","source":"PubMed Central","title":"Voice-Related Patient-Reported Outcome Measures: A Systematic Review of Instrument Development and Validation","title-short":"Voice-Related Patient-Reported Outcome Measures","volume":"60","author":[{"family":"Francis","given":"David O."},{"family":"Daniero","given":"James J."},{"family":"Hovis","given":"Kristen L."},{"family":"Sathe","given":"Nila"},{"family":"Jacobson","given":"Barbara"},{"family":"Penson","given":"David F."},{"family":"Feurer","given":"Irene D."},{"family":"McPheeters","given":"Melissa L."}],"issued":{"date-parts":[["2017",1]]}}},{"id":153,"uris":["http://zotero.org/users/20030753/items/4GE6LLLK"],"itemData":{"id":153,"type":"article-journal","abstract":"Patient reported outcome measures (PROMs) are increasingly used to inform value-based healthcare. Within speech-language pathology (SLP), there is no synthesis of validated PROMs to guide professional practice. This scoping review systematically identifies and evaluates condition-specific PROMs across adult SLP practice. A literature search was performed to identify studies published until 18th February 2022 from MEDLINE, Embase, CINAHL, PsycInfo, Scopus, Cochrane Collaboration, and Web of Science. Abstracts and full texts were screened in Covidence. Relevant studies that validated PROMs in English were extracted and assessed using the “Checklist to operationalise measurement characteristics of PROMs” by two independent reviewers. Ninety-seven articles provided validation data for 71 PROMS across seven SLP practice areas. These included voice (n = 18), swallowing (n = 14), language (n = 11), fluency (n = 8), speech (n = 4), laryngectomy (n = 3), and cognitive-communication (n = 2). No PROMs were identified for augmentative and alternative communication (AAC) (n = 0). Quality ratings were variable on the Francis et al. checklist. A range of validated PROMs were identified to guide SLP practice in measuring patient perceptions across a range of practice areas in adults. Opportunities for further development in SLP practice areas with limited PROMs, such as speech, cognitive-communication, and AAC are also highlighted.","container-title":"International Journal of Speech-Language Pathology","DOI":"10.1080/17549507.2024.2399236","ISSN":"1754-9507","issue":"5","note":"_eprint: https://doi.org/10.1080/17549507.2024.2399236","page":"672-701","PMID":"39356797","publisher":"Taylor &amp; Francis","source":"Taylor and Francis+NEJM","title":"Validated patient reported outcome measures in speech-language pathology: A scoping review of adult practice","title-short":"Validated patient reported outcome measures in speech-language pathology","volume":"27","author":[{"family":"Gardner","given":"Danielle"},{"family":"Mitchell","given":"Verity"},{"family":"Frakking","given":"Thuy"},{"family":"Weir","given":"Kelly Ann"},{"family":"Canning","given":"Angie"},{"family":"Wenke","given":"Rachel Jane"}],"issued":{"date-parts":[["2025",9,3]]}}}],"schema":"https://github.com/citation-style-language/schema/raw/master/csl-citation.json"} </w:instrText>
      </w:r>
      <w:r>
        <w:rPr>
          <w:rFonts w:ascii="Arial" w:hAnsi="Arial" w:cs="Arial"/>
          <w:color w:val="000000" w:themeColor="text1"/>
          <w:sz w:val="22"/>
          <w:szCs w:val="22"/>
        </w:rPr>
        <w:fldChar w:fldCharType="separate"/>
      </w:r>
      <w:r w:rsidR="00FC44DF" w:rsidRPr="00FC44DF">
        <w:rPr>
          <w:rFonts w:ascii="Arial" w:hAnsi="Arial" w:cs="Arial"/>
          <w:color w:val="000000"/>
          <w:kern w:val="0"/>
          <w:sz w:val="22"/>
          <w:lang w:val="en-US"/>
        </w:rPr>
        <w:t xml:space="preserve">(Francis </w:t>
      </w:r>
      <w:r w:rsidR="00FC44DF" w:rsidRPr="00FC44DF">
        <w:rPr>
          <w:rFonts w:ascii="Arial" w:hAnsi="Arial" w:cs="Arial"/>
          <w:i/>
          <w:iCs/>
          <w:color w:val="000000"/>
          <w:kern w:val="0"/>
          <w:sz w:val="22"/>
          <w:lang w:val="en-US"/>
        </w:rPr>
        <w:t>et al.</w:t>
      </w:r>
      <w:r w:rsidR="00FC44DF" w:rsidRPr="00FC44DF">
        <w:rPr>
          <w:rFonts w:ascii="Arial" w:hAnsi="Arial" w:cs="Arial"/>
          <w:color w:val="000000"/>
          <w:kern w:val="0"/>
          <w:sz w:val="22"/>
          <w:lang w:val="en-US"/>
        </w:rPr>
        <w:t xml:space="preserve">, 2017; Gardner </w:t>
      </w:r>
      <w:r w:rsidR="00FC44DF" w:rsidRPr="00FC44DF">
        <w:rPr>
          <w:rFonts w:ascii="Arial" w:hAnsi="Arial" w:cs="Arial"/>
          <w:i/>
          <w:iCs/>
          <w:color w:val="000000"/>
          <w:kern w:val="0"/>
          <w:sz w:val="22"/>
          <w:lang w:val="en-US"/>
        </w:rPr>
        <w:t>et al.</w:t>
      </w:r>
      <w:r w:rsidR="00FC44DF" w:rsidRPr="00FC44DF">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However, despite these developments, accessible pathways directing individuals toward appropriate voice-related services remain limited, particularly in emerging contexts such as Puerto Rico. This project therefore attempts to address both a practical and </w:t>
      </w:r>
      <w:r>
        <w:rPr>
          <w:rFonts w:ascii="Arial" w:hAnsi="Arial" w:cs="Arial"/>
          <w:color w:val="000000" w:themeColor="text1"/>
          <w:sz w:val="22"/>
          <w:szCs w:val="22"/>
        </w:rPr>
        <w:lastRenderedPageBreak/>
        <w:t>conceptual gap by creating a tool that combines evidence-based screening principles with accessible digital guidance.</w:t>
      </w:r>
    </w:p>
    <w:p w14:paraId="5CB6FB4B" w14:textId="15B22134"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The theoretical foundation of the artefact draws primarily from the biopsychosocial model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{"citationID":"PzmIZ5Ni","properties":{"unsorted":false,"formattedCitation":"(Engel, 1977)","plainCitation":"(Engel, 1977)","noteIndex":0},"citationItems":[{"id":190,"uris":["http://zotero.org/users/20030753/items/7RRWHVY4"],"itemData":{"id":190,"type":"article-journal","abstract":"The dominant model of disease today is biomedical, and it leaves no room within tis framework for the social, psychological, and behavioral dimensions of illness. A biopsychosocial model is proposed that provides a blueprint for research, a framework for teaching, and a design for action in the real world of health care.","container-title":"Science","DOI":"10.1126/science.847460","ISSN":"0036-8075","issue":"4286","journalAbbreviation":"Science","language":"eng","page":"129-136","PMID":"847460","publisher-place":"New York, N.Y.","source":"PubMed","title":"The need for a new medical model: a challenge for biomedicine","title-short":"The need for a new medical model","volume":"196","author":[{"family":"Engel","given":"G. L."}],"issued":{"date-parts":[["1977",4,8]]}}}],"schema":"https://github.com/citation-style-language/schema/raw/master/csl-citation.json"}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(Engel, 1977)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PROMs theory, and symptom-severity stratification frameworks used in contemporary voice clinics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{"citationID":"J2HnD6H0","properties":{"unsorted":false,"formattedCitation":"(Starmer {\\i{}et al.}, 2014; Stachler {\\i{}et al.}, 2018)","plainCitation":"(Starmer et al., 2014; Stachler et al., 2018)","noteIndex":0},"citationItems":[{"id":2,"uris":["http://zotero.org/users/20030753/items/PT693X4J"],"itemData":{"id":2,"type":"article-journal","abstract":"Objectives:\n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M."},{"family":"Gourin","given":"Christine"}],"issued":{"date-parts":[["2014",2]]}}},{"id":160,"uris":["http://zotero.org/users/20030753/items/24EGSS2D"],"itemData":{"id":160,"type":"article-journal","abstract":"Objective. This guideline provides evidence-based recommendations on treating patients who present with dysphonia, which is characterized by altered vocal quality, pitch, loudness, or vocal effort that impairs communication and/or quality of life. Dysphonia affects nearly one-third of the population at some point in its life. This guideline applies to all age groups evaluated in a setting where dysphonia would be identified or managed. It is intended for all clinicians who are likely to diagnose and treat patients with dysphonia.","container-title":"Otolaryngology–Head and Neck Surgery","DOI":"10.1177/0194599817751030","ISSN":"0194-5998, 1097-6817","issue":"S1","journalAbbreviation":"Otolaryngol.--head neck surg.","language":"en","source":"DOI.org (Crossref)","title":"Clinical Practice Guideline: Hoarseness (Dysphonia) (Update)","title-short":"Clinical Practice Guideline","URL":"https://aao-hnsfjournals.onlinelibrary.wiley.com/doi/10.1177/0194599817751030","volume":"158","author":[{"family":"Stachler","given":"Robert J."},{"family":"Francis","given":"David O."},{"family":"Schwartz","given":"Seth R."},{"family":"Damask","given":"Cecelia C."},{"family":"Digoy","given":"German P."},{"family":"Krouse","given":"Helene J."},{"family":"McCoy","given":"Scott J."},{"family":"Ouellette","given":"Daniel R."},{"family":"Patel","given":"Rita R."},{"family":"Reavis","given":"Charles (Charlie) W."},{"family":"Smith","given":"Libby J."},{"family":"Smith","given":"Marshall"},{"family":"Strode","given":"Steven W."},{"family":"Woo","given":"Peak"},{"family":"Nnacheta","given":"Lorraine C."}],"accessed":{"date-parts":[["2026",5,12]]},"issued":{"date-parts":[["2018",3]]}}}],"schema":"https://github.com/citation-style-language/schema/raw/master/csl-citation.json"}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(Starmer </w:t>
      </w:r>
      <w:r>
        <w:rPr>
          <w:rFonts w:ascii="Arial" w:hAnsi="Arial" w:cs="Arial"/>
          <w:i/>
          <w:iCs/>
          <w:color w:val="000000"/>
          <w:kern w:val="0"/>
          <w:sz w:val="22"/>
          <w:lang w:val="en-US"/>
        </w:rPr>
        <w:t>et al.</w:t>
      </w:r>
      <w:r>
        <w:rPr>
          <w:rFonts w:ascii="Arial" w:hAnsi="Arial" w:cs="Arial"/>
          <w:color w:val="000000"/>
          <w:kern w:val="0"/>
          <w:sz w:val="22"/>
          <w:lang w:val="en-US"/>
        </w:rPr>
        <w:t xml:space="preserve">, 2014; Stachler </w:t>
      </w:r>
      <w:r>
        <w:rPr>
          <w:rFonts w:ascii="Arial" w:hAnsi="Arial" w:cs="Arial"/>
          <w:i/>
          <w:iCs/>
          <w:color w:val="000000"/>
          <w:kern w:val="0"/>
          <w:sz w:val="22"/>
          <w:lang w:val="en-US"/>
        </w:rPr>
        <w:t>et al.</w:t>
      </w:r>
      <w:r>
        <w:rPr>
          <w:rFonts w:ascii="Arial" w:hAnsi="Arial" w:cs="Arial"/>
          <w:color w:val="000000"/>
          <w:kern w:val="0"/>
          <w:sz w:val="22"/>
          <w:lang w:val="en-US"/>
        </w:rPr>
        <w:t>, 2018)</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The biopsychosocial framework informed the inclusion of both vocal and psychological screening elements, recognising the interaction between emotional wellbeing, anxiety, and vocal function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{"citationID":"itcB2L3I","properties":{"unsorted":false,"formattedCitation":"(Flock {\\i{}et al.}, 2025)","plainCitation":"(Flock et al., 2025)","noteIndex":0},"citationItems":[{"id":143,"uris":["http://zotero.org/users/20030753/items/5ZXZWZMB"],"itemData":{"id":143,"type":"article-journal","container-title":"Journal of Voice","DOI":"10.1016/j.jvoice.2023.02.023","ISSN":"08921997","issue":"4","journalAbbreviation":"Journal of Voice","language":"en","page":"1137.e9-1137.e17","source":"DOI.org (Crossref)","title":"Working Together to Find a Voice: Recommendations for Voice Healthcare Based on Expert-By-Experience and Practitioner Consensus","title-short":"Working Together to Find a Voice","volume":"39","author":[{"family":"Flock","given":"Lydia"},{"family":"King","given":"Stephen R."},{"family":"Williams","given":"Jenevora"},{"family":"Finlay","given":"Emma"},{"family":"Smikle","given":"Hannah"},{"family":"Benito","given":"Monica"},{"family":"Benton-Stace","given":"Francesca"},{"family":"Brown","given":"Jenna"},{"family":"Mann-Daraz","given":"Abigail J."},{"family":"Hart","given":"Lydia"},{"family":"Mclean","given":"Keesha"},{"family":"Prucnal","given":"Zofia"},{"family":"Barry","given":"Louisa"},{"family":"Lynes","given":"Rachel"},{"family":"Toy","given":"Mel"},{"family":"Valentine","given":"Kate"},{"family":"Slattery","given":"Sam"},{"family":"Aldridge-Waddon","given":"Luke"}],"issued":{"date-parts":[["2025",7]]}}}],"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(Flock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PROMs theory provided the rationale for privileging the patient’s lived experience of vocal disability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{"citationID":"XbDsYEUU","properties":{"unsorted":false,"formattedCitation":"(Francis {\\i{}et al.}, 2017b)","plainCitation":"(Francis et al., 2017b)","dontUpdate":true,"noteIndex":0},"citationItems":[{"id":246,"uris":["http://zotero.org/users/20030753/items/TTBVWQMJ"],"itemData":{"id":246,"type":"article-journal","abstract":"Purpose\nThe purpose of this study was to perform a comprehensive systematic review of the literature on voice-related patient-reported outcome (PRO) measures in adults and to evaluate each instrument for the presence of important measurement properties.\n\nMethod\nMEDLINE, the Cumulative Index of Nursing and Allied Health Literature, and the Health and Psychosocial Instrument databases were searched using relevant vocabulary terms and key terms related to PRO measures and voice. Inclusion and exclusion criteria were developed in consultation with an expert panel. Three independent investigators assessed study methodology using criteria developed a priori. Measurement properties were examined and entered into evidence tables.\n\nResults\nA total of 3,744 studies assessing voice-related constructs were identified. This list was narrowed to 32 PRO measures on the basis of predetermined inclusion and exclusion criteria. Questionnaire measurement properties varied widely. Important thematic deficiencies were apparent: (a) lack of patient involvement in the item development process, (b) lack of robust construct validity, and (c) lack of clear interpretability and scaling.\n\nConclusions\nPRO measures are a principal means of evaluating treatment effectiveness in voice-related conditions. Despite their prominence, available PRO measures have disparate methodological rigor. Care must be taken to understand the psychometric and measurement properties and the applicability of PRO measures before advocating for their use in clinical or research applications.","container-title":"Journal of Speech, Language, and Hearing Research : JSLHR","DOI":"10.1044/2016_JSLHR-S-16-0022","ISSN":"1092-4388","issue":"1","journalAbbreviation":"J Speech Lang Hear Res","page":"62-88","PMID":"28030869","PMCID":"PMC5533561","source":"PubMed Central","title":"Voice-Related Patient-Reported Outcome Measures: A Systematic Review of Instrument Development and Validation","title-short":"Voice-Related Patient-Reported Outcome Measures","volume":"60","author":[{"family":"Francis","given":"David O."},{"family":"Daniero","given":"James J."},{"family":"Hovis","given":"Kristen L."},{"family":"Sathe","given":"Nila"},{"family":"Jacobson","given":"Barbara"},{"family":"Penson","given":"David F."},{"family":"Feurer","given":"Irene D."},{"family":"McPheeters","given":"Melissa L."}],"issued":{"date-parts":[["2017",1]]}}}],"schema":"https://github.com/citation-style-language/schema/raw/master/csl-citation.json"}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(Francis </w:t>
      </w:r>
      <w:r>
        <w:rPr>
          <w:rFonts w:ascii="Arial" w:hAnsi="Arial" w:cs="Arial"/>
          <w:i/>
          <w:iCs/>
          <w:color w:val="000000"/>
          <w:kern w:val="0"/>
          <w:sz w:val="22"/>
          <w:lang w:val="en-US"/>
        </w:rPr>
        <w:t>et al.</w:t>
      </w:r>
      <w:r>
        <w:rPr>
          <w:rFonts w:ascii="Arial" w:hAnsi="Arial" w:cs="Arial"/>
          <w:color w:val="000000"/>
          <w:kern w:val="0"/>
          <w:sz w:val="22"/>
          <w:lang w:val="en-US"/>
        </w:rPr>
        <w:t>, 2017)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while symptom-severity stratification informed the development of the questionnaire’s colour-coded referral system designed to guide users toward different levels of professional intervention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{"citationID":"8OkpqCFN","properties":{"unsorted":false,"formattedCitation":"(Starmer {\\i{}et al.}, 2014; Misono {\\i{}et al.}, 2016)","plainCitation":"(Starmer et al., 2014; Misono et al., 2016)","noteIndex":0},"citationItems":[{"id":2,"uris":["http://zotero.org/users/20030753/items/PT693X4J"],"itemData":{"id":2,"type":"article-journal","abstract":"Objectives:\n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M."},{"family":"Gourin","given":"Christine"}],"issued":{"date-parts":[["2014",2]]}}},{"id":6,"uris":["http://zotero.org/users/20030753/items/W6ILPALJ"],"itemData":{"id":6,"type":"article-journal","abstract":"Objectives. To assess perspectives of patients with voice problems and identify factors associated with the likelihood of referral to voice therapy via the CHEER (Creating Healthcare Excellence through Education and Research) practice-based research network infrastructure. Study Design. Prospectively enrolled cross-sectional study of CHEER patients seen for a voice problem (dysphonia). Setting. The CHEER network of community and academic sites.\nMethods. Patient-reported demographic information, nature and severity of voice problems, clinical diagnoses, and proposed treatment plans were collected. The relationship between patient factors and voice therapy referral was investigated.\nResults. Patients (N = 249) were identified over 12 months from 10 sites comprising 30 otolaryngology physicians. The majority were women (68%) and white (82%). Most patients reported a recurrent voice problem (72%) and symptom duration .4 weeks (89%). The most commonly reported voicerelated diagnoses were vocal strain, reflux, and benign vocal fold lesions. Sixty-seven percent of enrolled patients reported receiving a recommendation for voice therapy. After adjusting for sociodemographic and other factors, diagnoses including vocal strain/excessive tension and vocal fold paralysis and academic practice type were associated with increased likelihood of reporting a referral for voice therapy.\nConclusions. The CHEER network successfully enrolled a representative sample of patients with dysphonia. Common diagnoses were vocal strain, reflux, and benign vocal fold lesions; commonly reported treatment recommendations included speech/voice therapy and antireflux medication. Recommendation for speech/voice therapy was associated with academic practice type.","container-title":"Otolaryngology–Head and Neck Surgery","DOI":"10.1177/0194599816639244","ISSN":"0194-5998, 1097-6817","issue":"1","journalAbbreviation":"Otolaryngol.--head neck surg.","language":"en","page":"33-41","source":"DOI.org (Crossref)","title":"Multi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institutional Study of Voice Disorders and Voice Therapy Referral: Report from the CHEER Network","title-short":"Multi</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institutional Study of Voice Disorders and Voice Therapy Referral","volume":"155","author":[{"family":"Misono","given":"Stephanie"},{"family":"Marmor","given":"Schelomo"},{"family":"Roy","given":"Nelson"},{"family":"Mau","given":"Ted"},{"family":"Cohen","given":"Seth M."}],"issued":{"date-parts":[["2016",7]]}}}],"schema":"https://github.com/citation-style-language/schema/raw/master/csl-citation.json"}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(Starmer </w:t>
      </w:r>
      <w:r>
        <w:rPr>
          <w:rFonts w:ascii="Arial" w:hAnsi="Arial" w:cs="Arial"/>
          <w:i/>
          <w:iCs/>
          <w:color w:val="000000"/>
          <w:kern w:val="0"/>
          <w:sz w:val="22"/>
          <w:lang w:val="en-US"/>
        </w:rPr>
        <w:t>et al.</w:t>
      </w:r>
      <w:r>
        <w:rPr>
          <w:rFonts w:ascii="Arial" w:hAnsi="Arial" w:cs="Arial"/>
          <w:color w:val="000000"/>
          <w:kern w:val="0"/>
          <w:sz w:val="22"/>
          <w:lang w:val="en-US"/>
        </w:rPr>
        <w:t xml:space="preserve">, 2014; Misono </w:t>
      </w:r>
      <w:r>
        <w:rPr>
          <w:rFonts w:ascii="Arial" w:hAnsi="Arial" w:cs="Arial"/>
          <w:i/>
          <w:iCs/>
          <w:color w:val="000000"/>
          <w:kern w:val="0"/>
          <w:sz w:val="22"/>
          <w:lang w:val="en-US"/>
        </w:rPr>
        <w:t>et al.</w:t>
      </w:r>
      <w:r>
        <w:rPr>
          <w:rFonts w:ascii="Arial" w:hAnsi="Arial" w:cs="Arial"/>
          <w:color w:val="000000"/>
          <w:kern w:val="0"/>
          <w:sz w:val="22"/>
          <w:lang w:val="en-US"/>
        </w:rPr>
        <w:t>, 2016)</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The interdisciplinary philosophy underpinning specialist centres such as the Voice Care Centre and Valentine Voice Care also informed the conceptualisation of </w:t>
      </w:r>
      <w:r>
        <w:rPr>
          <w:rFonts w:ascii="Arial" w:hAnsi="Arial" w:cs="Arial"/>
          <w:i/>
          <w:iCs/>
          <w:color w:val="000000" w:themeColor="text1"/>
          <w:sz w:val="22"/>
          <w:szCs w:val="22"/>
        </w:rPr>
        <w:t>Vocare</w:t>
      </w:r>
      <w:r>
        <w:rPr>
          <w:rFonts w:ascii="Arial" w:hAnsi="Arial" w:cs="Arial"/>
          <w:color w:val="000000" w:themeColor="text1"/>
          <w:sz w:val="22"/>
          <w:szCs w:val="22"/>
        </w:rPr>
        <w:t xml:space="preserve"> as an integrated professional network. </w:t>
      </w:r>
    </w:p>
    <w:p w14:paraId="72D363C1" w14:textId="7758DA49"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Throughout the project, my understanding of both interdisciplinary voice care and artefact development evolved significantly. Initially, the focus centred primarily on creating a straightforward voice-related screening questionnaire. However, engagement with the literature revealed the importance of incorporating psychological screening, reflux-related symptoms, and broader biopsychosocial considerations into the design. This led to iterative refinements in both the questionnaire structure and referral pathways. Additionally, the process highlighted tensions between maintaining the psychometric integrity of validated instruments and adapting them into a concise, accessible first-contact tool suitable for online use. The decision to adapt shorter versions of established scales therefore became both a practical and methodological consideration requiring critical evaluation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{"citationID":"SGmRMbsH","properties":{"unsorted":false,"formattedCitation":"(Laukkanen, Lepp\\uc0\\u228{}nen and Ilomaki, 2009)","plainCitation":"(Laukkanen, Leppänen and Ilomaki, 2009)","noteIndex":0},"citationItems":[{"id":134,"uris":["http://zotero.org/users/20030753/items/XR4EJNCL"],"itemData":{"id":134,"type":"article-journal","abstract":"This study addressed two self-evaluation questionnaires in investigating the effects of voice hygiene lecture (VHL, 3 h) and additional voice training (VT) or Voice Massage (VM; both 5 h) in 90 female teachers. The subjects assessed their voice quality, ease of phonation and tiredness of throat before and after a working day at the beginning and end of the school term using a visual analogue scale (VAS) (Questionnaire 1). At the end of the term, the degree of positive influence of the interventions was reported on VAS, and the type of influence was indicated by choosing one or more of three alternatives (voice quality, audibility and endurance) or by writing a free comment (Questionnaire 2). Questionnaire 1 was pretested and found to be reliable and valid for self-evaluation of voice. At the end of term, the VM and VT groups reported more positive influence of the interventions than did the VHL group. The reported influence did not correlate with working-day-related changes in sensations. Increased difficulty of phonation and tiredness of throat was found in the VHL group at the end of the term. However, the groups did not differ significantly from each other. The challenges of self-evaluations as outcome measures are discussed.","container-title":"Folia Phoniatrica Et Logopaedica: Official Organ of the International Association of Logopedics and Phoniatrics","DOI":"10.1159/000201000","ISSN":"1421-9972","issue":"1","journalAbbreviation":"Folia Phoniatr Logop","language":"eng","page":"57-65","PMID":"19204394","publisher-place":"IALP","source":"PubMed","title":"Self-evaluation of voice as a treatment outcome measure","volume":"61","author":[{"family":"Laukkanen","given":"Anne-Maria"},{"family":"Leppänen","given":"Kirsti"},{"family":"Ilomaki","given":"Irma"}],"issued":{"date-parts":[["2009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(Laukkanen, Leppänen and Ilomaki, 2009)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t>
      </w:r>
    </w:p>
    <w:p w14:paraId="32A6D874" w14:textId="64C07E30"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Methodologically, the project adopted a practice-based research approach informed by narrative literature review and iterative artefact development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{"citationID":"oE1KCS6R","properties":{"unsorted":false,"formattedCitation":"(Smith and Dean, 2009; Nelson, 2022)","plainCitation":"(Smith and Dean, 2009; Nelson, 2022)","noteIndex":0},"citationItems":[{"id":165,"uris":["http://zotero.org/users/20030753/items/GRRD4D67"],"itemData":{"id":165,"type":"book","abstract":"This book addresses one of the most exciting and innovative developments within higher education: the rise in prominence of the creative arts and the accelerating recognition that creative practice is a form of research.The book considers how creative practice can lead to research insights through what is often known as practice-led research. But unlike other books on practice-led research, it balances this with discussion of how research can impact positively on creative practice through research-led practice. The editors posit an iterative and web-like relationship between practice and research. Essays within the book cover a wide range of disciplines including creative writing, dance, music, theatre, film and new media, and the contributors are from the UK, US, Canada and Australia. The subject is approached from numerous angles: the authors discuss methodologies of practice-led research and research-led practice, their own creative work as a form of research, research training for creative practitioners, researchers, students in the creative arts and university leaders.","ISBN":"978-0-7486-3629-7","language":"en","note":"Google-Books-ID: cAdcPQAACAAJ","number-of-pages":"278","publisher":"Edinburgh University Press","source":"Google Books","title":"Practice-led Research, Research-led Practice in the Creative Arts","author":[{"family":"Smith","given":"Hazel"},{"family":"Dean","given":"R. T."}],"issued":{"date-parts":[["2009"]]}}},{"id":164,"uris":["http://zotero.org/users/20030753/items/WUXZ7SXM"],"itemData":{"id":164,"type":"book","DOI":"10.1007/978-3-030-90542-2","ISBN":"978-3-030-90541-5","language":"en","license":"https://www.springer.com/tdm","publisher":"Springer International Publishing","publisher-place":"Cham","source":"DOI.org (Crossref)","title":"Practice as Research in the Arts (and Beyond): Principles, Processes, Contexts, Achievements","title-short":"Practice as Research in the Arts (and Beyond)","URL":"https://link.springer.com/10.1007/978-3-030-90542-2","author":[{"family":"Nelson","given":"Robin"}],"accessed":{"date-parts":[["2026",5,12]]},"issued":{"date-parts":[["2022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(Smith and Dean, 2009; Nelson, 2022)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 narrative review was selected because the project aimed not to produce a systematic synthesis of all available evidence, but rather to critically evaluate and apply a defined body of literature relevant to the development of a professional artefact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{"citationID":"pDtG2658","properties":{"unsorted":false,"formattedCitation":"(Grant and Booth, 2009; Ferrari, 2015)","plainCitation":"(Grant and Booth, 2009; Ferrari, 2015)","noteIndex":0},"citationItems":[{"id":169,"uris":["http://zotero.org/users/20030753/items/Y4EPFGH9"],"itemData":{"id":169,"type":"article-journal","abstract":"The expansion of evidence-based practice across sectors has lead to an increasing variety of review types. However, the diversity of terminology used means that the full potential of these review types may be lost amongst a confusion of indistinct and misapplied terms. The objective of this study is to provide descriptive insight into the most common types of reviews, with illustrative examples from health and health information domains.\nFollowing scoping searches, an examination was made of the vocabulary associated with the literature of review and synthesis (literary warrant). A simple analytical framework -- Search, AppraisaL, Synthesis and Analysis (SALSA) -- was used to examine the main review types.\nFourteen review types and associated methodologies were analysed against the SALSA framework, illustrating the inputs and processes of each review type. A description of the key characteristics is given, together with perceived strengths and weaknesses. A limited number of review types are currently utilized within the health information domain.\nFew review types possess prescribed and explicit methodologies and many fall short of being mutually exclusive. Notwithstanding such limitations, this typology provides a valuable reference point for those commissioning, conducting, supporting or interpreting reviews, both within health information and the wider health care domain.","container-title":"Health information and libraries journal","DOI":"10.1111/j.1471-1842.2009.00848.x","journalAbbreviation":"Health information and libraries journal","page":"91-108","source":"ResearchGate","title":"A typology of reviews: An analysis of 14 review types and associated methologies","title-short":"A typology of reviews","volume":"26","author":[{"family":"Grant","given":"Maria"},{"family":"Booth","given":"Andrew"}],"issued":{"date-parts":[["2009",7,1]]}}},{"id":171,"uris":["http://zotero.org/users/20030753/items/Y95JI5AX"],"itemData":{"id":171,"type":"article-journal","abstract":"Reviews provide a synthesis of published literature on a topic and describe its current state-of-art. Reviews in clinical research are thus useful when designing studies or developing practice guidelines. The two standard types of reviews are (a) systematic and (b) non-systematic or narrative review. Unlike systematic reviews that benefit from guidelines such as PRISMA (Preferred Reporting Items for Systematic Reviews and Meta-Analyses) statement, there are no acknowledged guidelines for narrative reviews. I have attempted to define the best practice recommendations for the preparation of a narrative review in clinical research. The quality of a narrative review may be improved by borrowing from the systematic review methodologies that are aimed at reducing bias in the selection of articles for review and employing an effective bibliographic research strategy. The dynamics of narrative review writing, the organizational pattern of the text, the analysis, and the synthesis processes are also discussed.","container-title":"Medical Writing","DOI":"10.1179/2047480615Z.000000000329","journalAbbreviation":"Medical Writing","page":"230-235","source":"ResearchGate","title":"Writing narrative style literature reviews","volume":"24","author":[{"family":"Ferrari","given":"Rossella"}],"issued":{"date-parts":[["2015",12,1]]}}}],"schema":"https://github.com/citation-style-language/schema/raw/master/csl-citation.json"}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(Grant and Booth, 2009; Ferrari, 2015)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The artefact itself was developed using an AI-assisted platform, Claude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{"citationID":"1y13oZnR","properties":{"unsorted":false,"formattedCitation":"(Anthropic, 2026)","plainCitation":"(Anthropic, 2026)","noteIndex":0},"citationItems":[{"id":179,"uris":["http://zotero.org/users/20030753/items/N2DSU3LB"],"itemData":{"id":179,"type":"software","collection-title":"Sonnet","title":"Claude","URL":"claude.ai","version":"4.6","author":[{"family":"Anthropic","given":""}],"issued":{"date-parts":[["2026",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(Anthropic, 2026)</w:t>
      </w:r>
      <w:r>
        <w:rPr>
          <w:rFonts w:ascii="Arial" w:hAnsi="Arial" w:cs="Arial"/>
          <w:color w:val="000000" w:themeColor="text1"/>
          <w:sz w:val="22"/>
          <w:szCs w:val="22"/>
        </w:rPr>
        <w:fldChar w:fldCharType="end"/>
      </w:r>
      <w:r>
        <w:rPr>
          <w:rFonts w:ascii="Arial" w:hAnsi="Arial" w:cs="Arial"/>
          <w:color w:val="000000" w:themeColor="text1"/>
          <w:sz w:val="22"/>
          <w:szCs w:val="22"/>
        </w:rPr>
        <w:t>, to create a functional and publicly accessible questionnaire. The use of AI-assisted development introduced additional methodological considerations concerning accessibility, scoring accuracy, referral logic, and professional responsibility, all of which became central to the evaluative process.</w:t>
      </w:r>
    </w:p>
    <w:p w14:paraId="45CA9F00" w14:textId="77777777" w:rsidR="005E69AF" w:rsidRPr="00A61110" w:rsidRDefault="005E69AF"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lastRenderedPageBreak/>
        <w:t xml:space="preserve">The primary aim of this critical review is to evaluate the theoretical foundations, methodological decisions, and practical implications involved in the development of the </w:t>
      </w:r>
      <w:r>
        <w:rPr>
          <w:rFonts w:ascii="Arial" w:hAnsi="Arial" w:cs="Arial"/>
          <w:i/>
          <w:iCs/>
          <w:color w:val="000000" w:themeColor="text1"/>
          <w:sz w:val="22"/>
          <w:szCs w:val="22"/>
        </w:rPr>
        <w:t xml:space="preserve">Vocare </w:t>
      </w:r>
      <w:r>
        <w:rPr>
          <w:rFonts w:ascii="Arial" w:hAnsi="Arial" w:cs="Arial"/>
          <w:color w:val="000000" w:themeColor="text1"/>
          <w:sz w:val="22"/>
          <w:szCs w:val="22"/>
        </w:rPr>
        <w:t>online self-assessment questionnaire. Through this evaluative process, the project seeks to critically analyse the effectiveness, limitations, and interdisciplinary relevance of the artefact within the broader context of evidence-based voice care.</w:t>
      </w:r>
    </w:p>
    <w:p w14:paraId="463B300E" w14:textId="77777777" w:rsidR="004300F8" w:rsidRPr="00A61110" w:rsidRDefault="004300F8" w:rsidP="004300F8">
      <w:pPr>
        <w:spacing w:after="0" w:line="360" w:lineRule="auto"/>
        <w:rPr>
          <w:rFonts w:ascii="Arial" w:hAnsi="Arial" w:cs="Arial"/>
          <w:color w:val="000000" w:themeColor="text1"/>
          <w:sz w:val="22"/>
          <w:szCs w:val="22"/>
        </w:rPr>
      </w:pPr>
    </w:p>
    <w:p w14:paraId="02D8C928" w14:textId="3F95B3C5" w:rsidR="00C74047" w:rsidRPr="00A61110" w:rsidRDefault="005E69AF"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 xml:space="preserve">Know-That </w:t>
      </w:r>
    </w:p>
    <w:p w14:paraId="4B70102A" w14:textId="0D024F6F" w:rsidR="005E69AF" w:rsidRDefault="005E69AF" w:rsidP="001E7A00">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 xml:space="preserve">I follow a biopsychosocial model of voice care where biological, psychological and social aspects of the individual are explored and taken into account when creating a treatment or lesson plan. The biopsychosocial model was first proposed by Engel in 1977 and has since been widely accepted in healthcare systems around the world </w:t>
      </w:r>
      <w:r>
        <w:rPr>
          <w:rFonts w:ascii="Arial" w:eastAsia="Times New Roman" w:hAnsi="Arial" w:cs="Arial"/>
          <w:color w:val="000000" w:themeColor="text1"/>
          <w:kern w:val="0"/>
          <w:sz w:val="22"/>
          <w:szCs w:val="22"/>
          <w14:ligatures w14:val="none"/>
        </w:rPr>
        <w:fldChar w:fldCharType="begin"/>
      </w:r>
      <w:r w:rsidR="009905EA">
        <w:rPr>
          <w:rFonts w:ascii="Arial" w:eastAsia="Times New Roman" w:hAnsi="Arial" w:cs="Arial"/>
          <w:color w:val="000000" w:themeColor="text1"/>
          <w:kern w:val="0"/>
          <w:sz w:val="22"/>
          <w:szCs w:val="22"/>
          <w14:ligatures w14:val="none"/>
        </w:rPr>
        <w:instrText xml:space="preserve"> ADDIN ZOTERO_ITEM CSL_CITATION {"citationID":"fRyrlvjo","properties":{"unsorted":false,"formattedCitation":"(Adler, 2009; Wade and Halligan, 2017)","plainCitation":"(Adler, 2009; Wade and Halligan, 2017)","noteIndex":0},"citationItems":[{"id":"J2csjAgN/CMhzpYV3","uris":["http://zotero.org/users/20030753/items/HYRR8E6D"],"itemData":{"id":188,"type":"article-journal","abstract":"In 1977, Engel published the seminal paper, \"The Need for a New Medical Model: A Challenge for Biomedicine\" [Science 196 (1977) 129-136]. He featured a biopsychosocial (BPS) model based on systems theory and on the hierarchical organization of organisms. In this essay, the model is extended by the introduction of semiotics and constructivism. Semiotics provides the language which allows to describe the relationships between the individual and his environment. Constructivism explains how an organism perceives his environment. The impact of the BPS model on research, medical education, and application in the practice of medicine is discussed.","container-title":"Journal of Psychosomatic Research","DOI":"10.1016/j.jpsychores.2009.08.008","ISSN":"1879-1360","issue":"6","journalAbbreviation":"J Psychosom Res","language":"eng","page":"607-611","PMID":"19913665","source":"PubMed","title":"Engel's biopsychosocial model is still relevant today","volume":"67","author":[{"family":"Adler","given":"Rolf H."}],"issued":{"date-parts":[["2009",12]]}}},{"id":186,"uris":["http://zotero.org/users/20030753/items/2B7LKZAZ"],"itemData":{"id":186,"type":"article-journal","abstract":"The biopsychosocial model outlined in Engel’s classic Science paper four decades ago emerged from dissatisfaction with the biomedical model of illness, which remains the dominant healthcare model. Engel’s call to arms for a biopsychosocial model has been taken up in several healthcare fields, but it has not been accepted in the more economically dominant and politically powerful acute medical and surgical domains. It is widely used in research into complex healthcare interventions, it is the basis of the World Health Organisation’s International Classification of Functioning (WHO ICF), it is used clinically, and it is used to structure clinical guidelines. Critically, it is now generally accepted that illness and health are the result of an interaction between biological, psychological, and social factors. Despite the evidence supporting its validity and utility, the biopsychosocial model has had little influence on the larger scale organization and funding of healthcare provision. With chronic diseases now accounting for most morbidity and many deaths in Western countries, healthcare systems designed around acute biomedical care models are struggling to improve patient-reported outcomes and reduce healthcare costs. Consequently, there is now a greater need to apply the biopsychological model to healthcare management. The increasing proportion of healthcare resource devoted to chronic disorders and the accompanying need to improve patient outcomes requires action; better understanding and employment of the biopsychosocial model by those charged with healthcare funding could help improve healthcare outcome while also controlling costs.","container-title":"Clinical Rehabilitation","DOI":"10.1177/0269215517709890","journalAbbreviation":"Clinical Rehabilitation","page":"995-1004","source":"ResearchGate","title":"The biopsychosocial model of illness: a model whose time has come","title-short":"The biopsychosocial model of illness","volume":"31","author":[{"family":"Wade","given":"Derick"},{"family":"Halligan","given":"Peter"}],"issued":{"date-parts":[["2017",8,1]]}}}],"schema":"https://github.com/citation-style-language/schema/raw/master/csl-citation.json"}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eastAsia="Times New Roman" w:hAnsi="Arial" w:cs="Arial"/>
          <w:noProof/>
          <w:color w:val="000000" w:themeColor="text1"/>
          <w:kern w:val="0"/>
          <w:sz w:val="22"/>
          <w:szCs w:val="22"/>
          <w14:ligatures w14:val="none"/>
        </w:rPr>
        <w:t>(Adler, 2009; Wade and Halligan, 2017)</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Voice problems are known to have biological, social and psychological components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{"citationID":"UzNvPg35","properties":{"unsorted":false,"formattedCitation":"(Starmer {\\i{}et al.}, 2014; Flock {\\i{}et al.}, 2025)","plainCitation":"(Starmer et al., 2014; Flock et al., 2025)","noteIndex":0},"citationItems":[{"id":2,"uris":["http://zotero.org/users/20030753/items/PT693X4J"],"itemData":{"id":2,"type":"article-journal","abstract":"Objectives:\n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M."},{"family":"Gourin","given":"Christine"}],"issued":{"date-parts":[["2014",2]]}}},{"id":143,"uris":["http://zotero.org/users/20030753/items/5ZXZWZMB"],"itemData":{"id":143,"type":"article-journal","container-title":"Journal of Voice","DOI":"10.1016/j.jvoice.2023.02.023","ISSN":"08921997","issue":"4","journalAbbreviation":"Journal of Voice","language":"en","page":"1137.e9-1137.e17","source":"DOI.org (Crossref)","title":"Working Together to Find a Voice: Recommendations for Voice Healthcare Based on Expert-By-Experience and Practitioner Consensus","title-short":"Working Together to Find a Voice","volume":"39","author":[{"family":"Flock","given":"Lydia"},{"family":"King","given":"Stephen R."},{"family":"Williams","given":"Jenevora"},{"family":"Finlay","given":"Emma"},{"family":"Smikle","given":"Hannah"},{"family":"Benito","given":"Monica"},{"family":"Benton-Stace","given":"Francesca"},{"family":"Brown","given":"Jenna"},{"family":"Mann-Daraz","given":"Abigail J."},{"family":"Hart","given":"Lydia"},{"family":"Mclean","given":"Keesha"},{"family":"Prucnal","given":"Zofia"},{"family":"Barry","given":"Louisa"},{"family":"Lynes","given":"Rachel"},{"family":"Toy","given":"Mel"},{"family":"Valentine","given":"Kate"},{"family":"Slattery","given":"Sam"},{"family":"Aldridge-Waddon","given":"Luke"}],"issued":{"date-parts":[["2025",7]]}}}],"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(Starmer </w:t>
      </w:r>
      <w:r>
        <w:rPr>
          <w:rFonts w:ascii="Arial" w:hAnsi="Arial" w:cs="Arial"/>
          <w:i/>
          <w:iCs/>
          <w:color w:val="000000"/>
          <w:kern w:val="0"/>
          <w:sz w:val="22"/>
          <w:lang w:val="en-US"/>
        </w:rPr>
        <w:t>et al.</w:t>
      </w:r>
      <w:r>
        <w:rPr>
          <w:rFonts w:ascii="Arial" w:hAnsi="Arial" w:cs="Arial"/>
          <w:color w:val="000000"/>
          <w:kern w:val="0"/>
          <w:sz w:val="22"/>
          <w:lang w:val="en-US"/>
        </w:rPr>
        <w:t xml:space="preserve">, 2014; Flock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In my artefact, this orientation is operationalised through five domains: general voice handicap, reflux symptoms, singing voice handicap, generalised anxiety and music performance anxiety, which together provide a multidimensional profile of the client’s vocal health and guided the selection of assessment instruments</w:t>
      </w:r>
      <w:r w:rsidR="001E7A00">
        <w:rPr>
          <w:rFonts w:ascii="Arial" w:eastAsia="Times New Roman" w:hAnsi="Arial" w:cs="Arial"/>
          <w:color w:val="000000" w:themeColor="text1"/>
          <w:kern w:val="0"/>
          <w:sz w:val="22"/>
          <w:szCs w:val="22"/>
          <w14:ligatures w14:val="none"/>
        </w:rPr>
        <w:t xml:space="preserve"> (see picture below)</w:t>
      </w:r>
      <w:r>
        <w:rPr>
          <w:rFonts w:ascii="Arial" w:eastAsia="Times New Roman" w:hAnsi="Arial" w:cs="Arial"/>
          <w:color w:val="000000" w:themeColor="text1"/>
          <w:kern w:val="0"/>
          <w:sz w:val="22"/>
          <w:szCs w:val="22"/>
          <w14:ligatures w14:val="none"/>
        </w:rPr>
        <w:t xml:space="preserve">. </w:t>
      </w:r>
      <w:r w:rsidR="009905EA" w:rsidRPr="009905EA">
        <w:rPr>
          <w:rFonts w:ascii="Arial" w:eastAsia="Times New Roman" w:hAnsi="Arial" w:cs="Arial"/>
          <w:color w:val="000000" w:themeColor="text1"/>
          <w:kern w:val="0"/>
          <w:sz w:val="22"/>
          <w:szCs w:val="22"/>
          <w14:ligatures w14:val="none"/>
        </w:rPr>
        <w:t>One thing I have since reflected on is that including both the GAD-7 and the M-MPAS raises the question of how much these two domains actually overlap. The relationship between generalised anxiety and music performance anxiety is itself contested in the literature: Kenny</w:t>
      </w:r>
      <w:r w:rsidR="009905EA">
        <w:rPr>
          <w:rFonts w:ascii="Arial" w:eastAsia="Times New Roman" w:hAnsi="Arial" w:cs="Arial"/>
          <w:color w:val="000000" w:themeColor="text1"/>
          <w:kern w:val="0"/>
          <w:sz w:val="22"/>
          <w:szCs w:val="22"/>
          <w14:ligatures w14:val="none"/>
        </w:rPr>
        <w:t xml:space="preserve"> </w:t>
      </w:r>
      <w:r w:rsidR="009905EA">
        <w:rPr>
          <w:rFonts w:ascii="Arial" w:eastAsia="Times New Roman" w:hAnsi="Arial" w:cs="Arial"/>
          <w:color w:val="000000" w:themeColor="text1"/>
          <w:kern w:val="0"/>
          <w:sz w:val="22"/>
          <w:szCs w:val="22"/>
          <w14:ligatures w14:val="none"/>
        </w:rPr>
        <w:fldChar w:fldCharType="begin"/>
      </w:r>
      <w:r w:rsidR="009905EA">
        <w:rPr>
          <w:rFonts w:ascii="Arial" w:eastAsia="Times New Roman" w:hAnsi="Arial" w:cs="Arial"/>
          <w:color w:val="000000" w:themeColor="text1"/>
          <w:kern w:val="0"/>
          <w:sz w:val="22"/>
          <w:szCs w:val="22"/>
          <w14:ligatures w14:val="none"/>
        </w:rPr>
        <w:instrText xml:space="preserve"> ADDIN ZOTERO_ITEM CSL_CITATION {"citationID":"i7a59sv2","properties":{"unsorted":false,"formattedCitation":"(Kenny, 2023)","plainCitation":"(Kenny, 2023)","dontUpdate":true,"noteIndex":0},"citationItems":[{"id":86,"uris":["http://zotero.org/users/20030753/items/NBIZ6X8D"],"itemData":{"id":86,"type":"article-journal","abstract":"I commenced my academic exploration of music performance anxiety in a study with opera chorus artists from Opera Australia in 2004. I subsequently postulated a new theory of the aetiology of music performance anxiety and began the development of the Kenny Music Performance Anxiety Inventory (K-MPAI) to assess the hypothesized theoretical constructs underpinning its diverse clinical presentations. I proposed a new definition of music performance anxiety in 2009 and revised the item content of the K-MPAI from 26 to 40 in 2011. Over the ensuing years, many researchers have used the K-MPAI in studies on a wide variety of musicians, including vocalists and instrumentalists, popular and classical musicians, tertiary music students, and professional, solo, orchestral, ensemble, band, and community musicians. To date, the K-MPAI has been reported in more than 400 studies and has been translated into 21 languages. It has been the subject of more than 39 dissertations. In this paper, I examine the research that has used the K-MPAI to ascertain how well the theory, assessment tool, and its cross-cultural validation have provided evidence for its factorial structure, robustness, and utility. The evidence indicates that the factorial structure remains consistent across cultures and different populations of musicians. It has good discriminative ability and utility for diagnostic purposes. I conclude with some reflections on how the K-MPAI can guide therapeutic interventions and with some thoughts on future directions.","container-title":"Frontiers in Psychology","DOI":"10.3389/fpsyg.2023.1143359","ISSN":"1664-1078","journalAbbreviation":"Front. Psychol.","language":"English","publisher":"Frontiers","source":"Frontiers","title":"The Kenny music performance anxiety inventory (K-MPAI): Scale construction, cross-cultural validation, theoretical underpinnings, and diagnostic and therapeutic utility","title-short":"The Kenny music performance anxiety inventory (K-MPAI)","URL":"https://www.frontiersin.org/journals/psychology/articles/10.3389/fpsyg.2023.1143359/full","volume":"14","author":[{"family":"Kenny","given":"Dianna Theadora"}],"accessed":{"date-parts":[["2026",4,15]]},"issued":{"date-parts":[["2023",5,26]]}}}],"schema":"https://github.com/citation-style-language/schema/raw/master/csl-citation.json"} </w:instrText>
      </w:r>
      <w:r w:rsidR="009905EA">
        <w:rPr>
          <w:rFonts w:ascii="Arial" w:eastAsia="Times New Roman" w:hAnsi="Arial" w:cs="Arial"/>
          <w:color w:val="000000" w:themeColor="text1"/>
          <w:kern w:val="0"/>
          <w:sz w:val="22"/>
          <w:szCs w:val="22"/>
          <w14:ligatures w14:val="none"/>
        </w:rPr>
        <w:fldChar w:fldCharType="separate"/>
      </w:r>
      <w:r w:rsidR="009905EA">
        <w:rPr>
          <w:rFonts w:ascii="Arial" w:eastAsia="Times New Roman" w:hAnsi="Arial" w:cs="Arial"/>
          <w:noProof/>
          <w:color w:val="000000" w:themeColor="text1"/>
          <w:kern w:val="0"/>
          <w:sz w:val="22"/>
          <w:szCs w:val="22"/>
          <w14:ligatures w14:val="none"/>
        </w:rPr>
        <w:t>(2023)</w:t>
      </w:r>
      <w:r w:rsidR="009905EA">
        <w:rPr>
          <w:rFonts w:ascii="Arial" w:eastAsia="Times New Roman" w:hAnsi="Arial" w:cs="Arial"/>
          <w:color w:val="000000" w:themeColor="text1"/>
          <w:kern w:val="0"/>
          <w:sz w:val="22"/>
          <w:szCs w:val="22"/>
          <w14:ligatures w14:val="none"/>
        </w:rPr>
        <w:fldChar w:fldCharType="end"/>
      </w:r>
      <w:r w:rsidR="009905EA">
        <w:rPr>
          <w:rFonts w:ascii="Arial" w:eastAsia="Times New Roman" w:hAnsi="Arial" w:cs="Arial"/>
          <w:color w:val="000000" w:themeColor="text1"/>
          <w:kern w:val="0"/>
          <w:sz w:val="22"/>
          <w:szCs w:val="22"/>
          <w14:ligatures w14:val="none"/>
        </w:rPr>
        <w:t xml:space="preserve"> </w:t>
      </w:r>
      <w:r w:rsidR="009905EA" w:rsidRPr="009905EA">
        <w:rPr>
          <w:rFonts w:ascii="Arial" w:eastAsia="Times New Roman" w:hAnsi="Arial" w:cs="Arial"/>
          <w:color w:val="000000" w:themeColor="text1"/>
          <w:kern w:val="0"/>
          <w:sz w:val="22"/>
          <w:szCs w:val="22"/>
          <w14:ligatures w14:val="none"/>
        </w:rPr>
        <w:t xml:space="preserve">identifies GAD scores as a strong predictor of MPA severity, while Wiedemann </w:t>
      </w:r>
      <w:r w:rsidR="009905EA" w:rsidRPr="009905EA">
        <w:rPr>
          <w:rFonts w:ascii="Arial" w:eastAsia="Times New Roman" w:hAnsi="Arial" w:cs="Arial"/>
          <w:i/>
          <w:iCs/>
          <w:color w:val="000000" w:themeColor="text1"/>
          <w:kern w:val="0"/>
          <w:sz w:val="22"/>
          <w:szCs w:val="22"/>
          <w14:ligatures w14:val="none"/>
        </w:rPr>
        <w:t>et al.</w:t>
      </w:r>
      <w:r w:rsidR="009905EA" w:rsidRPr="009905EA">
        <w:rPr>
          <w:rFonts w:ascii="Arial" w:eastAsia="Times New Roman" w:hAnsi="Arial" w:cs="Arial"/>
          <w:color w:val="000000" w:themeColor="text1"/>
          <w:kern w:val="0"/>
          <w:sz w:val="22"/>
          <w:szCs w:val="22"/>
          <w14:ligatures w14:val="none"/>
        </w:rPr>
        <w:t xml:space="preserve"> </w:t>
      </w:r>
      <w:r w:rsidR="009905EA">
        <w:rPr>
          <w:rFonts w:ascii="Arial" w:eastAsia="Times New Roman" w:hAnsi="Arial" w:cs="Arial"/>
          <w:color w:val="000000" w:themeColor="text1"/>
          <w:kern w:val="0"/>
          <w:sz w:val="22"/>
          <w:szCs w:val="22"/>
          <w14:ligatures w14:val="none"/>
        </w:rPr>
        <w:fldChar w:fldCharType="begin"/>
      </w:r>
      <w:r w:rsidR="00417FC0">
        <w:rPr>
          <w:rFonts w:ascii="Arial" w:eastAsia="Times New Roman" w:hAnsi="Arial" w:cs="Arial"/>
          <w:color w:val="000000" w:themeColor="text1"/>
          <w:kern w:val="0"/>
          <w:sz w:val="22"/>
          <w:szCs w:val="22"/>
          <w14:ligatures w14:val="none"/>
        </w:rPr>
        <w:instrText xml:space="preserve"> ADDIN ZOTERO_ITEM CSL_CITATION {"citationID":"ydLVOzCg","properties":{"unsorted":false,"formattedCitation":"(Wiedemann {\\i{}et al.}, 2022)","plainCitation":"(Wiedemann et al., 2022)","dontUpdate":true,"noteIndex":0},"citationItems":[{"id":274,"uris":["http://zotero.org/users/20030753/items/CJ5AQJZ8"],"itemData":{"id":274,"type":"article-journal","abstract":"Music performance anxiety (MPA) is considered a social anxiety disorder (SAD). Recent conceptualizations, however, challenge existing MPA definitions, distinguishing MPA from SAD. In this study, we aim to provide a systematic analysis of MPA interdependencies to other anxiety disorders through graphical modeling and cluster analysis. Participants were 82 music students (Mage = 23.5 years, SD = 3.4 years; 69.5% women) with the majority being vocal (30.5%), string (24.4%), or piano (19.5%) students. MPA was measured using the German version of the Kenny Music Performance Anxiety Inventory (K-MPAI). All participants were tested for anxiety-related symptoms using the disorder-specific anxiety measures of the Diagnostic and Statistical Manual of Mental Disorders (5th ed., DSM-5), including agoraphobia (AG), generalized anxiety disorder (GAD), panic disorder (PD), separation anxiety disorder (SEP), specific phobia (SP), SAD, and illness anxiety disorder (ILL). We found no evidence of MPA being primarily connected to SAD, finding GAD acted as a full mediator between MPA and any other anxiety type. Our graphical model remained unchanged considering severe cases of MPA only (K-MPAI </w:instrText>
      </w:r>
      <w:r w:rsidR="00417FC0">
        <w:rPr>
          <w:rFonts w:ascii="Cambria Math" w:eastAsia="Times New Roman" w:hAnsi="Cambria Math" w:cs="Cambria Math"/>
          <w:color w:val="000000" w:themeColor="text1"/>
          <w:kern w:val="0"/>
          <w:sz w:val="22"/>
          <w:szCs w:val="22"/>
          <w14:ligatures w14:val="none"/>
        </w:rPr>
        <w:instrText>⩾</w:instrText>
      </w:r>
      <w:r w:rsidR="00417FC0">
        <w:rPr>
          <w:rFonts w:ascii="Arial" w:eastAsia="Times New Roman" w:hAnsi="Arial" w:cs="Arial"/>
          <w:color w:val="000000" w:themeColor="text1"/>
          <w:kern w:val="0"/>
          <w:sz w:val="22"/>
          <w:szCs w:val="22"/>
          <w14:ligatures w14:val="none"/>
        </w:rPr>
        <w:instrText xml:space="preserve"> 105). By means of cluster analysis, we identified two participant sub-groups of differing anxiety profiles. Participants with pathological anxiety consistently showed more severe MPA. Our findings suggest that GAD is the strongest predictor for MPA among all major DSM-5 anxiety types.","container-title":"Psychology of Music","DOI":"10.1177/0305735620988600","ISSN":"0305-7356, 1741-3087","issue":"1","journalAbbreviation":"Psychology of Music","language":"en","page":"204-217","source":"DOI.org (Crossref)","title":"How does music performance anxiety relate to other anxiety disorders?","volume":"50","author":[{"family":"Wiedemann","given":"Anna"},{"family":"Vogel","given":"Daniel"},{"family":"Voss","given":"Catharina"},{"family":"Hoyer","given":"Jana"}],"issued":{"date-parts":[["2022",1]]}}}],"schema":"https://github.com/citation-style-language/schema/raw/master/csl-citation.json"} </w:instrText>
      </w:r>
      <w:r w:rsidR="009905EA">
        <w:rPr>
          <w:rFonts w:ascii="Arial" w:eastAsia="Times New Roman" w:hAnsi="Arial" w:cs="Arial"/>
          <w:color w:val="000000" w:themeColor="text1"/>
          <w:kern w:val="0"/>
          <w:sz w:val="22"/>
          <w:szCs w:val="22"/>
          <w14:ligatures w14:val="none"/>
        </w:rPr>
        <w:fldChar w:fldCharType="separate"/>
      </w:r>
      <w:r w:rsidR="009905EA" w:rsidRPr="009905EA">
        <w:rPr>
          <w:rFonts w:ascii="Arial" w:hAnsi="Arial" w:cs="Arial"/>
          <w:color w:val="000000"/>
          <w:kern w:val="0"/>
          <w:sz w:val="22"/>
          <w:lang w:val="en-US"/>
        </w:rPr>
        <w:t>(2022)</w:t>
      </w:r>
      <w:r w:rsidR="009905EA">
        <w:rPr>
          <w:rFonts w:ascii="Arial" w:eastAsia="Times New Roman" w:hAnsi="Arial" w:cs="Arial"/>
          <w:color w:val="000000" w:themeColor="text1"/>
          <w:kern w:val="0"/>
          <w:sz w:val="22"/>
          <w:szCs w:val="22"/>
          <w14:ligatures w14:val="none"/>
        </w:rPr>
        <w:fldChar w:fldCharType="end"/>
      </w:r>
      <w:r w:rsidR="009905EA">
        <w:rPr>
          <w:rFonts w:ascii="Arial" w:eastAsia="Times New Roman" w:hAnsi="Arial" w:cs="Arial"/>
          <w:color w:val="000000" w:themeColor="text1"/>
          <w:kern w:val="0"/>
          <w:sz w:val="22"/>
          <w:szCs w:val="22"/>
          <w14:ligatures w14:val="none"/>
        </w:rPr>
        <w:t xml:space="preserve"> </w:t>
      </w:r>
      <w:r w:rsidR="009905EA" w:rsidRPr="009905EA">
        <w:rPr>
          <w:rFonts w:ascii="Arial" w:eastAsia="Times New Roman" w:hAnsi="Arial" w:cs="Arial"/>
          <w:color w:val="000000" w:themeColor="text1"/>
          <w:kern w:val="0"/>
          <w:sz w:val="22"/>
          <w:szCs w:val="22"/>
          <w14:ligatures w14:val="none"/>
        </w:rPr>
        <w:t>found that MPA was conditionally independent of all other anxiety disorders once GAD was accounted for — suggesting that for some users, scores on both scales may be measuring the same underlying experience rather than two genuinely distinct dimensions. This could make the composite results harder to interpret in practice, and it is something I would want to explore in a future validation study.</w:t>
      </w:r>
      <w:r w:rsidR="001E7A00">
        <w:rPr>
          <w:rFonts w:ascii="Arial" w:eastAsia="Times New Roman" w:hAnsi="Arial" w:cs="Arial"/>
          <w:color w:val="000000" w:themeColor="text1"/>
          <w:kern w:val="0"/>
          <w:sz w:val="22"/>
          <w:szCs w:val="22"/>
          <w14:ligatures w14:val="none"/>
        </w:rPr>
        <w:t xml:space="preserve"> </w:t>
      </w:r>
    </w:p>
    <w:p w14:paraId="503F91EF" w14:textId="77777777" w:rsidR="00F83747" w:rsidRDefault="00F83747" w:rsidP="004300F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p>
    <w:p w14:paraId="3FEE7C41" w14:textId="77777777" w:rsidR="00F83747" w:rsidRDefault="00F83747" w:rsidP="00F83747">
      <w:pPr>
        <w:shd w:val="clear" w:color="auto" w:fill="FFFFFF"/>
        <w:spacing w:after="0" w:line="360" w:lineRule="auto"/>
        <w:rPr>
          <w:rFonts w:ascii="Arial" w:eastAsia="Times New Roman" w:hAnsi="Arial" w:cs="Arial"/>
          <w:color w:val="000000" w:themeColor="text1"/>
          <w:kern w:val="0"/>
          <w:sz w:val="22"/>
          <w:szCs w:val="22"/>
          <w14:ligatures w14:val="none"/>
        </w:rPr>
      </w:pPr>
    </w:p>
    <w:p w14:paraId="320FC4A7" w14:textId="3F12F9E0" w:rsidR="002B135F" w:rsidRDefault="00F83747" w:rsidP="00F83747">
      <w:pPr>
        <w:shd w:val="clear" w:color="auto" w:fill="FFFFFF"/>
        <w:spacing w:after="0" w:line="360" w:lineRule="auto"/>
        <w:jc w:val="center"/>
        <w:rPr>
          <w:rFonts w:ascii="Arial" w:eastAsia="Times New Roman" w:hAnsi="Arial" w:cs="Arial"/>
          <w:color w:val="000000" w:themeColor="text1"/>
          <w:kern w:val="0"/>
          <w:sz w:val="22"/>
          <w:szCs w:val="22"/>
          <w14:ligatures w14:val="none"/>
        </w:rPr>
      </w:pPr>
      <w:r>
        <w:rPr>
          <w:rFonts w:ascii="Arial" w:eastAsia="Times New Roman" w:hAnsi="Arial" w:cs="Arial"/>
          <w:noProof/>
          <w:color w:val="000000" w:themeColor="text1"/>
          <w:kern w:val="0"/>
          <w:sz w:val="22"/>
          <w:szCs w:val="22"/>
        </w:rPr>
        <w:lastRenderedPageBreak/>
        <w:drawing>
          <wp:inline distT="0" distB="0" distL="0" distR="0" wp14:anchorId="5608D007" wp14:editId="6895ED8E">
            <wp:extent cx="5943600" cy="3186430"/>
            <wp:effectExtent l="0" t="0" r="0" b="1270"/>
            <wp:docPr id="21064675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67590" name="Picture 210646759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186430"/>
                    </a:xfrm>
                    <a:prstGeom prst="rect">
                      <a:avLst/>
                    </a:prstGeom>
                  </pic:spPr>
                </pic:pic>
              </a:graphicData>
            </a:graphic>
          </wp:inline>
        </w:drawing>
      </w:r>
    </w:p>
    <w:p w14:paraId="59B885B0" w14:textId="77777777" w:rsidR="009905EA" w:rsidRPr="00A61110" w:rsidRDefault="009905EA" w:rsidP="00F83747">
      <w:pPr>
        <w:shd w:val="clear" w:color="auto" w:fill="FFFFFF"/>
        <w:spacing w:after="0" w:line="360" w:lineRule="auto"/>
        <w:jc w:val="center"/>
        <w:rPr>
          <w:rFonts w:ascii="Arial" w:eastAsia="Times New Roman" w:hAnsi="Arial" w:cs="Arial"/>
          <w:color w:val="000000" w:themeColor="text1"/>
          <w:kern w:val="0"/>
          <w:sz w:val="22"/>
          <w:szCs w:val="22"/>
          <w14:ligatures w14:val="none"/>
        </w:rPr>
      </w:pPr>
    </w:p>
    <w:p w14:paraId="2528EA9C" w14:textId="38E296FD" w:rsidR="005E69AF" w:rsidRPr="00A61110" w:rsidRDefault="005E69AF" w:rsidP="004300F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 xml:space="preserve">Patient-Reported Outcome Measures (PROMs) are standardised, validated questionnaires that capture how a disorder impacts an individual’s daily life. They bridge the gap between clinical metrics (such as a laryngoscopy) and the patient’s subjective quality of life. In voice care, symptoms are highly multidimensional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{"citationID":"ecfxR577","properties":{"unsorted":false,"formattedCitation":"(Francis {\\i{}et al.}, 2017b)","plainCitation":"(Francis et al., 2017b)","dontUpdate":true,"noteIndex":0},"citationItems":[{"id":246,"uris":["http://zotero.org/users/20030753/items/TTBVWQMJ"],"itemData":{"id":246,"type":"article-journal","abstract":"Purpose\nThe purpose of this study was to perform a comprehensive systematic review of the literature on voice-related patient-reported outcome (PRO) measures in adults and to evaluate each instrument for the presence of important measurement properties.\n\nMethod\nMEDLINE, the Cumulative Index of Nursing and Allied Health Literature, and the Health and Psychosocial Instrument databases were searched using relevant vocabulary terms and key terms related to PRO measures and voice. Inclusion and exclusion criteria were developed in consultation with an expert panel. Three independent investigators assessed study methodology using criteria developed a priori. Measurement properties were examined and entered into evidence tables.\n\nResults\nA total of 3,744 studies assessing voice-related constructs were identified. This list was narrowed to 32 PRO measures on the basis of predetermined inclusion and exclusion criteria. Questionnaire measurement properties varied widely. Important thematic deficiencies were apparent: (a) lack of patient involvement in the item development process, (b) lack of robust construct validity, and (c) lack of clear interpretability and scaling.\n\nConclusions\nPRO measures are a principal means of evaluating treatment effectiveness in voice-related conditions. Despite their prominence, available PRO measures have disparate methodological rigor. Care must be taken to understand the psychometric and measurement properties and the applicability of PRO measures before advocating for their use in clinical or research applications.","container-title":"Journal of Speech, Language, and Hearing Research : JSLHR","DOI":"10.1044/2016_JSLHR-S-16-0022","ISSN":"1092-4388","issue":"1","journalAbbreviation":"J Speech Lang Hear Res","page":"62-88","PMID":"28030869","PMCID":"PMC5533561","source":"PubMed Central","title":"Voice-Related Patient-Reported Outcome Measures: A Systematic Review of Instrument Development and Validation","title-short":"Voice-Related Patient-Reported Outcome Measures","volume":"60","author":[{"family":"Francis","given":"David O."},{"family":"Daniero","given":"James J."},{"family":"Hovis","given":"Kristen L."},{"family":"Sathe","given":"Nila"},{"family":"Jacobson","given":"Barbara"},{"family":"Penson","given":"David F."},{"family":"Feurer","given":"Irene D."},{"family":"McPheeters","given":"Melissa L."}],"issued":{"date-parts":[["2017",1]]}}}],"schema":"https://github.com/citation-style-language/schema/raw/master/csl-citation.json"}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(Francis </w:t>
      </w:r>
      <w:r>
        <w:rPr>
          <w:rFonts w:ascii="Arial" w:hAnsi="Arial" w:cs="Arial"/>
          <w:i/>
          <w:iCs/>
          <w:color w:val="000000"/>
          <w:kern w:val="0"/>
          <w:sz w:val="22"/>
          <w:lang w:val="en-US"/>
        </w:rPr>
        <w:t>et al.</w:t>
      </w:r>
      <w:r>
        <w:rPr>
          <w:rFonts w:ascii="Arial" w:hAnsi="Arial" w:cs="Arial"/>
          <w:color w:val="000000"/>
          <w:kern w:val="0"/>
          <w:sz w:val="22"/>
          <w:lang w:val="en-US"/>
        </w:rPr>
        <w:t>, 2017)</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and a patient’s perception of their vocal handicap often differs from a clinician’s objective findings, which makes PROMs the gold standard for measuring treatment efficacy. In broad terms, a handicap is defined by the World Health Organization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{"citationID":"vxOx9jBW","properties":{"unsorted":false,"formattedCitation":"(World Health Organization, 1980)","plainCitation":"(World Health Organization, 1980)","noteIndex":0},"citationItems":[{"id":229,"uris":["http://zotero.org/users/20030753/items/D7PZ5P7V"],"itemData":{"id":229,"type":"report","genre":"Twenty-ninth World Health Assembly","number":"resolution WHA29. 35","publisher":"World Health Organization","publisher-place":"Geneva","title":"International classification of impairments, disabilities, and handicaps: a manual of classification relating to the consequences of disease","URL":"https://iris.who.int/server/api/core/bitstreams/50556222-5563-44a8-b0db-fd08c6943f29/content","author":[{"family":"World Health Organization","given":""}],"accessed":{"date-parts":[["2026",5,17]]},"issued":{"date-parts":[["1980"]]}}}],"schema":"https://github.com/citation-style-language/schema/raw/master/csl-citation.json"}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eastAsia="Times New Roman" w:hAnsi="Arial" w:cs="Arial"/>
          <w:noProof/>
          <w:color w:val="000000" w:themeColor="text1"/>
          <w:kern w:val="0"/>
          <w:sz w:val="22"/>
          <w:szCs w:val="22"/>
          <w14:ligatures w14:val="none"/>
        </w:rPr>
        <w:t>(W</w:t>
      </w:r>
      <w:r w:rsidR="001E7A00">
        <w:rPr>
          <w:rFonts w:ascii="Arial" w:eastAsia="Times New Roman" w:hAnsi="Arial" w:cs="Arial"/>
          <w:noProof/>
          <w:color w:val="000000" w:themeColor="text1"/>
          <w:kern w:val="0"/>
          <w:sz w:val="22"/>
          <w:szCs w:val="22"/>
          <w14:ligatures w14:val="none"/>
        </w:rPr>
        <w:t xml:space="preserve">HO, </w:t>
      </w:r>
      <w:r>
        <w:rPr>
          <w:rFonts w:ascii="Arial" w:eastAsia="Times New Roman" w:hAnsi="Arial" w:cs="Arial"/>
          <w:noProof/>
          <w:color w:val="000000" w:themeColor="text1"/>
          <w:kern w:val="0"/>
          <w:sz w:val="22"/>
          <w:szCs w:val="22"/>
          <w14:ligatures w14:val="none"/>
        </w:rPr>
        <w:t>1980)</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as “the social, economic, or environmental disadvantage resulting from an impairment or disability that prevents a person from fulfilling a normal social role.” Since these aspects cannot be measured clinically, it is important that the patient reports how their health problems have affected different areas of their life. In the adapted VHI</w:t>
      </w:r>
      <w:r>
        <w:rPr>
          <w:rFonts w:ascii="Arial" w:eastAsia="Times New Roman" w:hAnsi="Arial" w:cs="Arial"/>
          <w:color w:val="000000" w:themeColor="text1"/>
          <w:kern w:val="0"/>
          <w:sz w:val="22"/>
          <w:szCs w:val="22"/>
          <w14:ligatures w14:val="none"/>
        </w:rPr>
        <w:noBreakHyphen/>
        <w:t xml:space="preserve">10 block, items such as “People have difficulty hearing me because of my voice,” “My voice problem limits my personal and social life,” and “I feel my voice is not adequate for my work” explicitly reflect functional, social and occupational disadvantage in line with this definition. The use of PROMs has been widely incorporated into best practices of health care, including voice clinics </w:t>
      </w:r>
      <w:r>
        <w:rPr>
          <w:rFonts w:ascii="Arial" w:eastAsia="Times New Roman" w:hAnsi="Arial" w:cs="Arial"/>
          <w:color w:val="000000" w:themeColor="text1"/>
          <w:kern w:val="0"/>
          <w:sz w:val="22"/>
          <w:szCs w:val="22"/>
          <w14:ligatures w14:val="none"/>
        </w:rPr>
        <w:fldChar w:fldCharType="begin"/>
      </w:r>
      <w:r w:rsidR="00417FC0">
        <w:rPr>
          <w:rFonts w:ascii="Arial" w:eastAsia="Times New Roman" w:hAnsi="Arial" w:cs="Arial"/>
          <w:color w:val="000000" w:themeColor="text1"/>
          <w:kern w:val="0"/>
          <w:sz w:val="22"/>
          <w:szCs w:val="22"/>
          <w14:ligatures w14:val="none"/>
        </w:rPr>
        <w:instrText xml:space="preserve"> ADDIN ZOTERO_ITEM CSL_CITATION {"citationID":"AslewjOr","properties":{"unsorted":false,"formattedCitation":"(Francis {\\i{}et al.}, 2017b; Gardner {\\i{}et al.}, 2025)","plainCitation":"(Francis et al., 2017b; Gardner et al., 2025)","dontUpdate":true,"noteIndex":0},"citationItems":[{"id":246,"uris":["http://zotero.org/users/20030753/items/TTBVWQMJ"],"itemData":{"id":246,"type":"article-journal","abstract":"Purpose\nThe purpose of this study was to perform a comprehensive systematic review of the literature on voice-related patient-reported outcome (PRO) measures in adults and to evaluate each instrument for the presence of important measurement properties.\n\nMethod\nMEDLINE, the Cumulative Index of Nursing and Allied Health Literature, and the Health and Psychosocial Instrument databases were searched using relevant vocabulary terms and key terms related to PRO measures and voice. Inclusion and exclusion criteria were developed in consultation with an expert panel. Three independent investigators assessed study methodology using criteria developed a priori. Measurement properties were examined and entered into evidence tables.\n\nResults\nA total of 3,744 studies assessing voice-related constructs were identified. This list was narrowed to 32 PRO measures on the basis of predetermined inclusion and exclusion criteria. Questionnaire measurement properties varied widely. Important thematic deficiencies were apparent: (a) lack of patient involvement in the item development process, (b) lack of robust construct validity, and (c) lack of clear interpretability and scaling.\n\nConclusions\nPRO measures are a principal means of evaluating treatment effectiveness in voice-related conditions. Despite their prominence, available PRO measures have disparate methodological rigor. Care must be taken to understand the psychometric and measurement properties and the applicability of PRO measures before advocating for their use in clinical or research applications.","container-title":"Journal of Speech, Language, and Hearing Research : JSLHR","DOI":"10.1044/2016_JSLHR-S-16-0022","ISSN":"1092-4388","issue":"1","journalAbbreviation":"J Speech Lang Hear Res","page":"62-88","PMID":"28030869","PMCID":"PMC5533561","source":"PubMed Central","title":"Voice-Related Patient-Reported Outcome Measures: A Systematic Review of Instrument Development and Validation","title-short":"Voice-Related Patient-Reported Outcome Measures","volume":"60","author":[{"family":"Francis","given":"David O."},{"family":"Daniero","given":"James J."},{"family":"Hovis","given":"Kristen L."},{"family":"Sathe","given":"Nila"},{"family":"Jacobson","given":"Barbara"},{"family":"Penson","given":"David F."},{"family":"Feurer","given":"Irene D."},{"family":"McPheeters","given":"Melissa L."}],"issued":{"date-parts":[["2017",1]]}}},{"id":153,"uris":["http://zotero.org/users/20030753/items/4GE6LLLK"],"itemData":{"id":153,"type":"article-journal","abstract":"Patient reported outcome measures (PROMs) are increasingly used to inform value-based healthcare. Within speech-language pathology (SLP), there is no synthesis of validated PROMs to guide professional practice. This scoping review systematically identifies and evaluates condition-specific PROMs across adult SLP practice. A literature search was performed to identify studies published until 18th February 2022 from MEDLINE, Embase, CINAHL, PsycInfo, Scopus, Cochrane Collaboration, and Web of Science. Abstracts and full texts were screened in Covidence. Relevant studies that validated PROMs in English were extracted and assessed using the “Checklist to operationalise measurement characteristics of PROMs” by two independent reviewers. Ninety-seven articles provided validation data for 71 PROMS across seven SLP practice areas. These included voice (n = 18), swallowing (n = 14), language (n = 11), fluency (n = 8), speech (n = 4), laryngectomy (n = 3), and cognitive-communication (n = 2). No PROMs were identified for augmentative and alternative communication (AAC) (n = 0). Quality ratings were variable on the Francis et al. checklist. A range of validated PROMs were identified to guide SLP practice in measuring patient perceptions across a range of practice areas in adults. Opportunities for further development in SLP practice areas with limited PROMs, such as speech, cognitive-communication, and AAC are also highlighted.","container-title":"International Journal of Speech-Language Pathology","DOI":"10.1080/17549507.2024.2399236","ISSN":"1754-9507","issue":"5","note":"_eprint: https://doi.org/10.1080/17549507.2024.2399236","page":"672-701","PMID":"39356797","publisher":"Taylor &amp; Francis","source":"Taylor and Francis+NEJM","title":"Validated patient reported outcome measures in speech-language pathology: A scoping review of adult practice","title-short":"Validated patient reported outcome measures in speech-language pathology","volume":"27","author":[{"family":"Gardner","given":"Danielle"},{"family":"Mitchell","given":"Verity"},{"family":"Frakking","given":"Thuy"},{"family":"Weir","given":"Kelly Ann"},{"family":"Canning","given":"Angie"},{"family":"Wenke","given":"Rachel Jane"}],"issued":{"date-parts":[["2025",9,3]]}}}],"schema":"https://github.com/citation-style-language/schema/raw/master/csl-citation.json"}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(Francis </w:t>
      </w:r>
      <w:r>
        <w:rPr>
          <w:rFonts w:ascii="Arial" w:hAnsi="Arial" w:cs="Arial"/>
          <w:i/>
          <w:iCs/>
          <w:color w:val="000000"/>
          <w:kern w:val="0"/>
          <w:sz w:val="22"/>
          <w:lang w:val="en-US"/>
        </w:rPr>
        <w:t>et al.</w:t>
      </w:r>
      <w:r>
        <w:rPr>
          <w:rFonts w:ascii="Arial" w:hAnsi="Arial" w:cs="Arial"/>
          <w:color w:val="000000"/>
          <w:kern w:val="0"/>
          <w:sz w:val="22"/>
          <w:lang w:val="en-US"/>
        </w:rPr>
        <w:t xml:space="preserve">, 2017; Gardner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Both the VHI</w:t>
      </w:r>
      <w:r>
        <w:rPr>
          <w:rFonts w:ascii="Arial" w:eastAsia="Times New Roman" w:hAnsi="Arial" w:cs="Arial"/>
          <w:color w:val="000000" w:themeColor="text1"/>
          <w:kern w:val="0"/>
          <w:sz w:val="22"/>
          <w:szCs w:val="22"/>
          <w14:ligatures w14:val="none"/>
        </w:rPr>
        <w:noBreakHyphen/>
        <w:t>10 and S</w:t>
      </w:r>
      <w:r>
        <w:rPr>
          <w:rFonts w:ascii="Arial" w:eastAsia="Times New Roman" w:hAnsi="Arial" w:cs="Arial"/>
          <w:color w:val="000000" w:themeColor="text1"/>
          <w:kern w:val="0"/>
          <w:sz w:val="22"/>
          <w:szCs w:val="22"/>
          <w14:ligatures w14:val="none"/>
        </w:rPr>
        <w:noBreakHyphen/>
        <w:t>VHI</w:t>
      </w:r>
      <w:r>
        <w:rPr>
          <w:rFonts w:ascii="Arial" w:eastAsia="Times New Roman" w:hAnsi="Arial" w:cs="Arial"/>
          <w:color w:val="000000" w:themeColor="text1"/>
          <w:kern w:val="0"/>
          <w:sz w:val="22"/>
          <w:szCs w:val="22"/>
          <w14:ligatures w14:val="none"/>
        </w:rPr>
        <w:noBreakHyphen/>
        <w:t>10 include questions related to physical symptoms of the voice and how these affect quality of life, which aligns directly with my biopsychosocial approach. Placing these PROMs at the very start of the online journey signals to the client that their own perception of difficulty and impact is central.</w:t>
      </w:r>
    </w:p>
    <w:p w14:paraId="2DBD23DC" w14:textId="762AFB76" w:rsidR="005E69AF" w:rsidRDefault="005E69AF" w:rsidP="004300F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lastRenderedPageBreak/>
        <w:t xml:space="preserve">Singers are often more sensitive to changes in the quality of their voice, and these changes have a higher impact on their quality of life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{"citationID":"8YfABFcO","properties":{"unsorted":false,"formattedCitation":"(Sobol, Sielska-Badurek and Osuch-W\\uc0\\u243{}jcikiewicz, 2019)","plainCitation":"(Sobol, Sielska-Badurek and Osuch-Wójcikiewicz, 2019)","noteIndex":0},"citationItems":[{"id":83,"uris":["http://zotero.org/users/20030753/items/5K4ED37X"],"itemData":{"id":83,"type":"article-journal","abstract":"Introduction: There are no ofﬁcial diagnostic protocols for singing voice assessment. In this publication, on the basis of a literature review, standards for the singing voice handicap index exclusively dedicated to voice disorders in singing have been given.\nObjective: The study aims to determine the normative values for the singing voice handicap index.\nMethods: The study is a systematic review and a meta-analysis. A systematic literature search was performed using PubMed to access relevant databases and to locate outcome studies. The ‘‘inclusion’’ criteria were as follows: English language, original papers and human studies retrospective and prospective papers, cross-sectional and case-control studies.\nResults: Eight articles were included for the ﬁnal analysis. The normative value for the singing voice handicap index was 20.35 with a conﬁdential range of 10.6---30.1 for a group of 729 healthy subjects whose voices were judged as normal, with an age range of 16---64 years.\nConclusion: The mean normative value of the singing voice handicap index was 20.35 with the conﬁdence levels between 10.6 and 30.1. © 2019 Associac¸a˜o Brasileira de Otorrinolaringologia e Cirurgia Ce´rvico-Facial. Published by Elsevier Editora Ltda. This is an open access article under the CC BY license (http:// creativecommons.org/licenses/by/4.0/).","container-title":"Brazilian Journal of Otorhinolaryngology","DOI":"10.1016/j.bjorl.2018.12.004","ISSN":"18088694","issue":"4","journalAbbreviation":"Brazilian Journal of Otorhinolaryngology","language":"en","page":"497-501","source":"DOI.org (Crossref)","title":"Normative values for singing voice handicap index – systematic review and meta-analysis","volume":"86","author":[{"family":"Sobol","given":"Maria"},{"family":"Sielska-Badurek","given":"Ewelina M."},{"family":"Osuch-Wójcikiewicz","given":"Ewa"}],"issued":{"date-parts":[["2019"]]}}}],"schema":"https://github.com/citation-style-language/schema/raw/master/csl-citation.json"}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(Sobol, Sielska-Badurek and Osuch-Wójcikiewicz, 2019)</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This is why including the S</w:t>
      </w:r>
      <w:r>
        <w:rPr>
          <w:rFonts w:ascii="Arial" w:eastAsia="Times New Roman" w:hAnsi="Arial" w:cs="Arial"/>
          <w:color w:val="000000" w:themeColor="text1"/>
          <w:kern w:val="0"/>
          <w:sz w:val="22"/>
          <w:szCs w:val="22"/>
          <w14:ligatures w14:val="none"/>
        </w:rPr>
        <w:noBreakHyphen/>
        <w:t>VHI</w:t>
      </w:r>
      <w:r>
        <w:rPr>
          <w:rFonts w:ascii="Arial" w:eastAsia="Times New Roman" w:hAnsi="Arial" w:cs="Arial"/>
          <w:color w:val="000000" w:themeColor="text1"/>
          <w:kern w:val="0"/>
          <w:sz w:val="22"/>
          <w:szCs w:val="22"/>
          <w14:ligatures w14:val="none"/>
        </w:rPr>
        <w:noBreakHyphen/>
        <w:t>10, a singer</w:t>
      </w:r>
      <w:r>
        <w:rPr>
          <w:rFonts w:ascii="Arial" w:eastAsia="Times New Roman" w:hAnsi="Arial" w:cs="Arial"/>
          <w:color w:val="000000" w:themeColor="text1"/>
          <w:kern w:val="0"/>
          <w:sz w:val="22"/>
          <w:szCs w:val="22"/>
          <w14:ligatures w14:val="none"/>
        </w:rPr>
        <w:noBreakHyphen/>
        <w:t>specific PROM, was an important part of my artefact development. As shown below, I prioritised items that capture subtle but professionally significant changes, such as vocal fatigue, loss of range, increased warm</w:t>
      </w:r>
      <w:r>
        <w:rPr>
          <w:rFonts w:ascii="Arial" w:eastAsia="Times New Roman" w:hAnsi="Arial" w:cs="Arial"/>
          <w:color w:val="000000" w:themeColor="text1"/>
          <w:kern w:val="0"/>
          <w:sz w:val="22"/>
          <w:szCs w:val="22"/>
          <w14:ligatures w14:val="none"/>
        </w:rPr>
        <w:noBreakHyphen/>
        <w:t>up time, avoidance of situations because of the voice and worry about the future of the voice and career. These aspects recognise that for singers, even early or “invisible” vocal changes can have serious occupational and emotional consequences and therefore require a tailored measure rather than relying only on a general voice handicap scale.</w:t>
      </w:r>
    </w:p>
    <w:p w14:paraId="55272079" w14:textId="66AB023C" w:rsidR="00F83747" w:rsidRDefault="00F83747" w:rsidP="00F83747">
      <w:pPr>
        <w:shd w:val="clear" w:color="auto" w:fill="FFFFFF"/>
        <w:spacing w:after="0" w:line="360" w:lineRule="auto"/>
        <w:jc w:val="center"/>
        <w:rPr>
          <w:rFonts w:ascii="Arial" w:eastAsia="Times New Roman" w:hAnsi="Arial" w:cs="Arial"/>
          <w:color w:val="000000" w:themeColor="text1"/>
          <w:kern w:val="0"/>
          <w:sz w:val="22"/>
          <w:szCs w:val="22"/>
          <w14:ligatures w14:val="none"/>
        </w:rPr>
      </w:pPr>
      <w:r>
        <w:rPr>
          <w:rFonts w:ascii="Arial" w:eastAsia="Times New Roman" w:hAnsi="Arial" w:cs="Arial"/>
          <w:noProof/>
          <w:color w:val="000000" w:themeColor="text1"/>
          <w:kern w:val="0"/>
          <w:sz w:val="22"/>
          <w:szCs w:val="22"/>
        </w:rPr>
        <w:drawing>
          <wp:inline distT="0" distB="0" distL="0" distR="0" wp14:anchorId="49819575" wp14:editId="06ABA6D8">
            <wp:extent cx="3949751" cy="4468761"/>
            <wp:effectExtent l="0" t="0" r="0" b="1905"/>
            <wp:docPr id="15588559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855943" name="Picture 1558855943"/>
                    <pic:cNvPicPr/>
                  </pic:nvPicPr>
                  <pic:blipFill>
                    <a:blip r:embed="rId9">
                      <a:extLst>
                        <a:ext uri="{28A0092B-C50C-407E-A947-70E740481C1C}">
                          <a14:useLocalDpi xmlns:a14="http://schemas.microsoft.com/office/drawing/2010/main" val="0"/>
                        </a:ext>
                      </a:extLst>
                    </a:blip>
                    <a:stretch>
                      <a:fillRect/>
                    </a:stretch>
                  </pic:blipFill>
                  <pic:spPr>
                    <a:xfrm>
                      <a:off x="0" y="0"/>
                      <a:ext cx="3953449" cy="4472945"/>
                    </a:xfrm>
                    <a:prstGeom prst="rect">
                      <a:avLst/>
                    </a:prstGeom>
                  </pic:spPr>
                </pic:pic>
              </a:graphicData>
            </a:graphic>
          </wp:inline>
        </w:drawing>
      </w:r>
    </w:p>
    <w:p w14:paraId="7B1EDBF2" w14:textId="77777777" w:rsidR="001E7A00" w:rsidRPr="00A61110" w:rsidRDefault="001E7A00" w:rsidP="00F83747">
      <w:pPr>
        <w:shd w:val="clear" w:color="auto" w:fill="FFFFFF"/>
        <w:spacing w:after="0" w:line="360" w:lineRule="auto"/>
        <w:jc w:val="center"/>
        <w:rPr>
          <w:rFonts w:ascii="Arial" w:eastAsia="Times New Roman" w:hAnsi="Arial" w:cs="Arial"/>
          <w:color w:val="000000" w:themeColor="text1"/>
          <w:kern w:val="0"/>
          <w:sz w:val="22"/>
          <w:szCs w:val="22"/>
          <w14:ligatures w14:val="none"/>
        </w:rPr>
      </w:pPr>
    </w:p>
    <w:p w14:paraId="4C1589CF" w14:textId="033688E7" w:rsidR="005E69AF" w:rsidRDefault="005E69AF" w:rsidP="004300F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Reflux has been associated with hoarseness, sore throat, laryngitis and other voice</w:t>
      </w:r>
      <w:r>
        <w:rPr>
          <w:rFonts w:ascii="Arial" w:eastAsia="Times New Roman" w:hAnsi="Arial" w:cs="Arial"/>
          <w:color w:val="000000" w:themeColor="text1"/>
          <w:kern w:val="0"/>
          <w:sz w:val="22"/>
          <w:szCs w:val="22"/>
          <w14:ligatures w14:val="none"/>
        </w:rPr>
        <w:noBreakHyphen/>
        <w:t xml:space="preserve">related symptoms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{"citationID":"3FTameqG","properties":{"unsorted":false,"formattedCitation":"(Delahunty, 1972; Braghetto {\\i{}et al.}, 2003; Handa, 2005)","plainCitation":"(Delahunty, 1972; Braghetto et al., 2003; Handa, 2005)","noteIndex":0},"citationItems":[{"id":196,"uris":["http://zotero.org/users/20030753/items/UVCG3FR9"],"itemData":{"id":196,"type":"article-journal","container-title":"The Journal of Laryngology and Otology","DOI":"10.1017/s0022215100075356","ISSN":"0022-2151","issue":"4","journalAbbreviation":"J Laryngol Otol","language":"eng","page":"335-342","PMID":"5021719","source":"PubMed","title":"Acid laryngitis","volume":"86","author":[{"family":"Delahunty","given":"J. E."}],"issued":{"date-parts":[["1972",4]]}}},{"id":205,"uris":["http://zotero.org/users/20030753/items/Q5CDQAGW"],"itemData":{"id":205,"type":"article-journal","container-title":"Revista de otorrinolaringología y cirugía de cabeza y cuello","page":"173-180","title":"Enfermedad por reflujo gastroesofágico como causa de daño laríngeo","volume":"63","author":[{"family":"Braghetto","given":"Italo"},{"family":"Brunetto","given":"Beatriz"},{"family":"Maass","given":"Juan C."},{"family":"Henríquez","given":"Ana"}],"issued":{"date-parts":[["2003"]]}}},{"id":200,"uris":["http://zotero.org/users/20030753/items/N3M6ACML"],"itemData":{"id":200,"type":"article-journal","abstract":"The increasing importance of LPR is being recognized day by day in ENT practice. LPR has a significant negative impact in the quality of lives of the patients. Although its impact is similar in some respects to that of laryngopharyngeal disease, LPR has a more significant impact on patient’s social functioning and vitality.[23] All ear, nose and throat practitioners need to be sensitised to the presence of LPR and the need for starting treatment wherever required. Lot of hitherto symptoms of unknown aetiology are being increasingly of treating patients with atypical reflux symptoms such as hoarseness (unexplained cause), globus, throat clearing, cough, etc., with antireflux therapy.[24]","container-title":"Indian Journal of Otolaryngology and Head and Neck Surgery","DOI":"10.1007/BF03008032","ISSN":"0973-7707","issue":"3","journalAbbreviation":"Indian J Otolaryngol Head Neck Surg","language":"en","page":"267-270","source":"Springer Link","title":"Laryngopharyngeal reflux: Current opinion","title-short":"Laryngopharyngeal reflux","volume":"57","author":[{"family":"Handa","given":"K. K."}],"issued":{"date-parts":[["2005",7,1]]}}}],"schema":"https://github.com/citation-style-language/schema/raw/master/csl-citation.json"}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(Delahunty, 1972; Braghetto </w:t>
      </w:r>
      <w:r>
        <w:rPr>
          <w:rFonts w:ascii="Arial" w:hAnsi="Arial" w:cs="Arial"/>
          <w:i/>
          <w:iCs/>
          <w:color w:val="000000"/>
          <w:kern w:val="0"/>
          <w:sz w:val="22"/>
          <w:lang w:val="en-US"/>
        </w:rPr>
        <w:t>et al.</w:t>
      </w:r>
      <w:r>
        <w:rPr>
          <w:rFonts w:ascii="Arial" w:hAnsi="Arial" w:cs="Arial"/>
          <w:color w:val="000000"/>
          <w:kern w:val="0"/>
          <w:sz w:val="22"/>
          <w:lang w:val="en-US"/>
        </w:rPr>
        <w:t>, 2003; Handa, 2005)</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Although the strength of this correlation has been questioned in recent years, reflux remains a probable contributor to some voice problems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{"citationID":"1Y8raSoy","properties":{"unsorted":false,"formattedCitation":"(Schneider, Vaezi and Francis, 2016; Korsunsky {\\i{}et al.}, 2023)","plainCitation":"(Schneider, Vaezi and Francis, 2016; Korsunsky et al., 2023)","noteIndex":0},"citationItems":[{"id":206,"uris":["http://zotero.org/users/20030753/items/NK7LX89G"],"itemData":{"id":206,"type":"article-journal","abstract":"A trend of attributing abnormal voice changes to reflux has gained momentum among medical professionals over the last few decades. Evidence supporting the connection between reflux and voice and the use of anti-reflux medication in patients with dysphonia is conflicting and deserves careful examination. In the current health care environment, it is important that medical decisions be based on science rather than anecdote and practice patterns. The goal of this review is to investigate the evidence linking reflux and voice changes. Specifically, this association will be examined in the context of the Bradford-Hill criteria to determine what evidence exists for a causal relationship between this exposure (reflux) and outcome (voice change).","container-title":"Current otorhinolaryngology reports","DOI":"10.1007/s40136-016-0121-5","ISSN":"2167-583X","issue":"3","journalAbbreviation":"Curr Otorhinolaryngol Rep","page":"157-167","PMID":"28163985","PMCID":"PMC5283836","source":"PubMed Central","title":"Reflux and Voice Disorders: Have We Established Causality?","title-short":"Reflux and Voice Disorders","volume":"4","author":[{"family":"Schneider","given":"G. Todd"},{"family":"Vaezi","given":"Michael F."},{"family":"Francis","given":"David O."}],"issued":{"date-parts":[["2016",9]]}}},{"id":209,"uris":["http://zotero.org/users/20030753/items/YFJWQR6X"],"itemData":{"id":209,"type":"article-journal","abstract":"Purpose: \nTo describe the clinical evaluation course, treatments, and outcomes of patients with a primary complaint of hoarseness due to suspected laryngopharyngeal reflux (LPR).\n\nMethods:\nA retrospective chart review was conducted of patients with a primary complaint of hoarseness with acid reflux as the suspected cause at a single institution between October 2011 and March 2020 who underwent clinical evaluation, treatment, and follow-up. Data collected included diagnostic procedures and treatments received, subjective symptom outcomes, and final diagnosis as determined by the treating physician.\n\nResults:\nA total of 134 patients met the inclusion criteria. Videostroboscopy was the most performed procedure (n = 59, 44%) followed by endoscopy (n = 38, 28%) and pH monitoring (n = 28, 21%). Three patients were removed for statistical analysis of treatment differences and outcomes due to variant treatment plans. Most patients received sole medical management (n = 86, 66%), 7 patients received only voice therapy (5%), and 10 patients underwent surgical management (8%). Several patients received combined medical management and voice therapy (n = 21, 16%). Final diagnoses included gastroesophageal reflux disease (GERD) (25%), followed by multifactorial causes (17%) and dysphonia with unclear etiology (13%). Among all patients, 82 (61%) reported symptom improvement. Twenty-eight patients were diagnosed with LPR or LPR with GERD (21%), and 22 reported symptom improvement (79%). There was a statistically significant relationship between a final diagnosis with a reflux component and symptom improvement (p = .038). There was no statistically significant difference between treatment types and symptom outcomes both within the total patient population (p = .051) and patients diagnosed with a reflux condition (p = .572).\n\nConclusion:\nLPR remains a difficult diagnosis to establish and represents a minority of patients with voice complaints. Despite varying evaluation and treatment modalities, most patients with LPR improved during their treatment and evaluation period without a clear association with any specific type of treatment. Further studies should explore diagnostic criteria for LPR, the necessary and efficient clinical evaluation to establish a diagnosis, and possible beneficial treatments.","container-title":"Journal of Gastrointestinal Surgery","DOI":"10.1007/s11605-022-05574-9","journalAbbreviation":"Journal of Gastrointestinal Surgery","source":"ResearchGate","title":"Voice Hoarseness with Reflux as a Suspected Etiology: Incidence, Evaluation, Treatment, and Symptom Outcomes","title-short":"Voice Hoarseness with Reflux as a Suspected Etiology","volume":"27","author":[{"family":"Korsunsky","given":"Sydney"},{"family":"Camejo","given":"Leonel"},{"family":"Nguyen","given":"Diep"},{"family":"Mhaskar","given":"Rahul"},{"family":"Chharath","given":"Khattiya"},{"family":"Gaziano","given":"Joy"},{"family":"Richter","given":"Joel"},{"family":"Velanovich","given":"Vic"}],"issued":{"date-parts":[["2023",1,18]]}}}],"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(Schneider, Vaezi and Francis, 2016; Korsunsky </w:t>
      </w:r>
      <w:r>
        <w:rPr>
          <w:rFonts w:ascii="Arial" w:hAnsi="Arial" w:cs="Arial"/>
          <w:i/>
          <w:iCs/>
          <w:color w:val="000000"/>
          <w:kern w:val="0"/>
          <w:sz w:val="22"/>
          <w:lang w:val="en-US"/>
        </w:rPr>
        <w:t>et al.</w:t>
      </w:r>
      <w:r>
        <w:rPr>
          <w:rFonts w:ascii="Arial" w:hAnsi="Arial" w:cs="Arial"/>
          <w:color w:val="000000"/>
          <w:kern w:val="0"/>
          <w:sz w:val="22"/>
          <w:lang w:val="en-US"/>
        </w:rPr>
        <w:t>, 2023)</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and treating acid reflux has been observed to alleviate voice symptoms in some patients </w:t>
      </w:r>
      <w:r>
        <w:rPr>
          <w:rFonts w:ascii="Arial" w:eastAsia="Times New Roman" w:hAnsi="Arial" w:cs="Arial"/>
          <w:color w:val="000000" w:themeColor="text1"/>
          <w:kern w:val="0"/>
          <w:sz w:val="22"/>
          <w:szCs w:val="22"/>
          <w14:ligatures w14:val="none"/>
        </w:rPr>
        <w:lastRenderedPageBreak/>
        <w:fldChar w:fldCharType="begin"/>
      </w:r>
      <w:r>
        <w:rPr>
          <w:rFonts w:ascii="Arial" w:eastAsia="Times New Roman" w:hAnsi="Arial" w:cs="Arial"/>
          <w:color w:val="000000" w:themeColor="text1"/>
          <w:kern w:val="0"/>
          <w:sz w:val="22"/>
          <w:szCs w:val="22"/>
          <w14:ligatures w14:val="none"/>
        </w:rPr>
        <w:instrText xml:space="preserve"> ADDIN ZOTERO_ITEM CSL_CITATION {"citationID":"TdJr2lfw","properties":{"unsorted":false,"formattedCitation":"(Rajput {\\i{}et al.}, 2025)","plainCitation":"(Rajput et al., 2025)","noteIndex":0},"citationItems":[{"id":211,"uris":["http://zotero.org/users/20030753/items/EP4RWLLK"],"itemData":{"id":211,"type":"article-journal","abstract":"Laryngopharyngeal reflux (LPR) commonly causes voice disturbances, yet treatment efficacy remains debated. This review synthesizes evidence on voice outcomes in patients with LPR. A Preferred Reporting Items for Systematic reviews and Meta-Analyses (PRISMA)-guided systematic review (2000-2024) identified eight studies evaluating pharmacological, behavioral, and diagnostic approaches. Random-effects meta-analyses were conducted to assess effect sizes (ES), heterogeneity (I²), and subgroup differences. Behavioral interventions (e.g., Lee Silverman Voice Treatment {LSVT}, voice therapy) demonstrated robust efficacy (ES=0.60, 95% CI: 0.45-0.76, I²=0%), whereas proton pump inhibitors (PPIs) showed negligible effects (ES = -0.15). Adjunctive rikkunshito significantly improved outcomes in refractory LPR cases (ES=0.82). Diagnostic methods based on acoustic analysis or the Voice Handicap Index (VHI) yielded more reliable outcomes (ES=0.56) than those based on clinical symptoms or the Reflux Symptom Index (RSI) (ES=0.32, I²=94.45%). Long-term benefits beyond six months were inconsistent (ES=0.25, I²=97.47%). Behavioral therapies outperform pharmacological treatments in managing LPR-related voice dysfunction, though diagnostic precision and long-term adherence remain critical. Future studies should prioritize standardized diagnostic protocols and investigate multimodal therapeutic strategies.","container-title":"Cureus","DOI":"10.7759/cureus.90357","ISSN":"2168-8184","issue":"8","journalAbbreviation":"Cureus","page":"e90357","PMID":"40970052","PMCID":"PMC12441754","source":"PubMed Central","title":"Voice Outcomes in Patients With Laryngopharyngeal Reflux: A Systematic Review and Meta-Analysis","title-short":"Voice Outcomes in Patients With Laryngopharyngeal Reflux","volume":"17","author":[{"family":"Rajput","given":"Jaisingh"},{"family":"Mballo","given":"Cheikh S"},{"family":"Elahtem","given":"Mohamed"},{"family":"Malik","given":"Amal"},{"family":"Mahmood","given":"Abdul Rafay"},{"family":"Ahmed","given":"Salman Niaz"},{"family":"Singla","given":"Bhavna"},{"family":"Cherukuri","given":"Sri Pranita"}],"issued":{"date-parts":[["2025"]]}}}],"schema":"https://github.com/citation-style-language/schema/raw/master/csl-citation.json"}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(Rajput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Within the artefact, I therefore included the Reflux Symptom Index (RSI)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{"citationID":"DJ1S4eF0","properties":{"unsorted":false,"formattedCitation":"(Belafsky, Postma and Koufman, 2002)","plainCitation":"(Belafsky, Postma and Koufman, 2002)","noteIndex":0},"citationItems":[{"id":138,"uris":["http://zotero.org/users/20030753/items/KLU236BV"],"itemData":{"id":138,"type":"article-journal","abstract":"Laryngopharyngeal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eastAsia="Times New Roman" w:hAnsi="Arial" w:cs="Arial"/>
          <w:noProof/>
          <w:color w:val="000000" w:themeColor="text1"/>
          <w:kern w:val="0"/>
          <w:sz w:val="22"/>
          <w:szCs w:val="22"/>
          <w14:ligatures w14:val="none"/>
        </w:rPr>
        <w:t>(Belafsky, Postma and Koufman, 2002)</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as one component of a broader biopsychosocial profile rather than as a stand</w:t>
      </w:r>
      <w:r>
        <w:rPr>
          <w:rFonts w:ascii="Arial" w:eastAsia="Times New Roman" w:hAnsi="Arial" w:cs="Arial"/>
          <w:color w:val="000000" w:themeColor="text1"/>
          <w:kern w:val="0"/>
          <w:sz w:val="22"/>
          <w:szCs w:val="22"/>
          <w14:ligatures w14:val="none"/>
        </w:rPr>
        <w:noBreakHyphen/>
        <w:t xml:space="preserve">alone diagnostic tool. The retained RSI items focus on symptoms directly tied to vocal function, such as frequent throat clearing, excess mucus, globus sensation, heartburn or indigestion, hoarseness worse in the morning or after eating, and persistent cough (see </w:t>
      </w:r>
      <w:r w:rsidR="001E7A00">
        <w:rPr>
          <w:rFonts w:ascii="Arial" w:eastAsia="Times New Roman" w:hAnsi="Arial" w:cs="Arial"/>
          <w:color w:val="000000" w:themeColor="text1"/>
          <w:kern w:val="0"/>
          <w:sz w:val="22"/>
          <w:szCs w:val="22"/>
          <w14:ligatures w14:val="none"/>
        </w:rPr>
        <w:t>picture</w:t>
      </w:r>
      <w:r>
        <w:rPr>
          <w:rFonts w:ascii="Arial" w:eastAsia="Times New Roman" w:hAnsi="Arial" w:cs="Arial"/>
          <w:color w:val="000000" w:themeColor="text1"/>
          <w:kern w:val="0"/>
          <w:sz w:val="22"/>
          <w:szCs w:val="22"/>
          <w14:ligatures w14:val="none"/>
        </w:rPr>
        <w:t xml:space="preserve"> below). A raised RSI score does not label the client as having reflux; instead, it flags the need to explore behavioural and medical factors that might be contributing to laryngeal irritation, balancing the risk of over</w:t>
      </w:r>
      <w:r>
        <w:rPr>
          <w:rFonts w:ascii="Arial" w:eastAsia="Times New Roman" w:hAnsi="Arial" w:cs="Arial"/>
          <w:color w:val="000000" w:themeColor="text1"/>
          <w:kern w:val="0"/>
          <w:sz w:val="22"/>
          <w:szCs w:val="22"/>
          <w14:ligatures w14:val="none"/>
        </w:rPr>
        <w:noBreakHyphen/>
        <w:t>attributing symptoms to reflux with the responsibility not to overlook a modifiable factor in voice care.</w:t>
      </w:r>
    </w:p>
    <w:p w14:paraId="44EF4D83" w14:textId="77777777" w:rsidR="00F83747" w:rsidRDefault="00F83747" w:rsidP="004300F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p>
    <w:p w14:paraId="1215E29A" w14:textId="7A9543F5" w:rsidR="00F83747" w:rsidRPr="00A61110" w:rsidRDefault="00F83747" w:rsidP="00F83747">
      <w:pPr>
        <w:shd w:val="clear" w:color="auto" w:fill="FFFFFF"/>
        <w:spacing w:after="0" w:line="360" w:lineRule="auto"/>
        <w:jc w:val="center"/>
        <w:rPr>
          <w:rFonts w:ascii="Arial" w:eastAsia="Times New Roman" w:hAnsi="Arial" w:cs="Arial"/>
          <w:color w:val="000000" w:themeColor="text1"/>
          <w:kern w:val="0"/>
          <w:sz w:val="22"/>
          <w:szCs w:val="22"/>
          <w14:ligatures w14:val="none"/>
        </w:rPr>
      </w:pPr>
      <w:r>
        <w:rPr>
          <w:rFonts w:ascii="Arial" w:eastAsia="Times New Roman" w:hAnsi="Arial" w:cs="Arial"/>
          <w:noProof/>
          <w:color w:val="000000" w:themeColor="text1"/>
          <w:kern w:val="0"/>
          <w:sz w:val="22"/>
          <w:szCs w:val="22"/>
        </w:rPr>
        <w:drawing>
          <wp:inline distT="0" distB="0" distL="0" distR="0" wp14:anchorId="4B5D16D3" wp14:editId="3BE11548">
            <wp:extent cx="5021826" cy="5423680"/>
            <wp:effectExtent l="0" t="0" r="0" b="0"/>
            <wp:docPr id="20658474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847450" name="Picture 2065847450"/>
                    <pic:cNvPicPr/>
                  </pic:nvPicPr>
                  <pic:blipFill>
                    <a:blip r:embed="rId10">
                      <a:extLst>
                        <a:ext uri="{28A0092B-C50C-407E-A947-70E740481C1C}">
                          <a14:useLocalDpi xmlns:a14="http://schemas.microsoft.com/office/drawing/2010/main" val="0"/>
                        </a:ext>
                      </a:extLst>
                    </a:blip>
                    <a:stretch>
                      <a:fillRect/>
                    </a:stretch>
                  </pic:blipFill>
                  <pic:spPr>
                    <a:xfrm>
                      <a:off x="0" y="0"/>
                      <a:ext cx="5042377" cy="5445876"/>
                    </a:xfrm>
                    <a:prstGeom prst="rect">
                      <a:avLst/>
                    </a:prstGeom>
                  </pic:spPr>
                </pic:pic>
              </a:graphicData>
            </a:graphic>
          </wp:inline>
        </w:drawing>
      </w:r>
    </w:p>
    <w:p w14:paraId="3F1679DF" w14:textId="12207276" w:rsidR="00F06EDC" w:rsidRPr="00A61110" w:rsidRDefault="005E69AF" w:rsidP="0000738A">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lastRenderedPageBreak/>
        <w:t>The psychological dimension of my artefact is grounded in evidence regarding anxiety and voice</w:t>
      </w:r>
      <w:r w:rsidR="00E02AAA">
        <w:rPr>
          <w:rFonts w:ascii="Arial" w:eastAsia="Times New Roman" w:hAnsi="Arial" w:cs="Arial"/>
          <w:color w:val="000000" w:themeColor="text1"/>
          <w:kern w:val="0"/>
          <w:sz w:val="22"/>
          <w:szCs w:val="22"/>
          <w14:ligatures w14:val="none"/>
        </w:rPr>
        <w:t xml:space="preserve"> (see pictures below)</w:t>
      </w:r>
      <w:r>
        <w:rPr>
          <w:rFonts w:ascii="Arial" w:eastAsia="Times New Roman" w:hAnsi="Arial" w:cs="Arial"/>
          <w:color w:val="000000" w:themeColor="text1"/>
          <w:kern w:val="0"/>
          <w:sz w:val="22"/>
          <w:szCs w:val="22"/>
          <w14:ligatures w14:val="none"/>
        </w:rPr>
        <w:t>. To keep the assessment brief while relying on validated tools, I used the GAD</w:t>
      </w:r>
      <w:r>
        <w:rPr>
          <w:rFonts w:ascii="Arial" w:eastAsia="Times New Roman" w:hAnsi="Arial" w:cs="Arial"/>
          <w:color w:val="000000" w:themeColor="text1"/>
          <w:kern w:val="0"/>
          <w:sz w:val="22"/>
          <w:szCs w:val="22"/>
          <w14:ligatures w14:val="none"/>
        </w:rPr>
        <w:noBreakHyphen/>
        <w:t xml:space="preserve">7, available in both English and Spanish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{"citationID":"OKYzElFr","properties":{"unsorted":false,"formattedCitation":"(Diez-Quevedo {\\i{}et al.}, 2001; Spitzer {\\i{}et al.}, 2006)","plainCitation":"(Diez-Quevedo et al., 2001; Spitzer et al., 2006)","noteIndex":0},"citationItems":[{"id":214,"uris":["http://zotero.org/users/20030753/items/GVK7PRQX"],"itemData":{"id":214,"type":"article-journal","abstract":"Objective \n          To determine whether the Spanish version of the patient health questionnaire (PHQ) has validity and utility for diagnosing mental disorders in general hospital inpatients.\n          Methods \n          Participants in the study were 1003 general hospital inpatients, randomly selected from all admissions over an 18-month period. All of them completed the PHQ, the Beck Depression Inventory (BDI), and measures of functional status, disability days, and health care use, including length of hospital stay. They also had a structured interview with a mental health professional.\n          Results \n          A total of 416 (42%) of the 1003 general hospital inpatients had a PHQ diagnosis. There was good agreement between PHQ diagnoses and those of an independent mental health professional (for the diagnosis of any PHQ disorder, κ = 0.74; overall accuracy, 88%; sensitivity, 87%; specificity, 88%), similar to the original English version of the PHQ in primary care patients. Patients with PHQ diagnoses had more functional impairment, disability days, and health care use than did patients without PHQ diagnoses (group main effects for functional status measures and disability days, p &lt; .001; group main effects for health care use, p &lt; .01). The group main effect for hospital length of stay was not significant. An index of depression symptom severity calculated from the PHQ correlated significantly both with the number of depressive symptoms detected at interview and the total BDI score. PHQ administration was well accepted by patients.\n          Conclusions \n          The Spanish version of the PHQ has diagnostic validity in general hospital inpatients comparable to the original English version in primary care.","container-title":"Biopsychosocial Science and Medicine","ISSN":"2998-8748","issue":"4","language":"en-US","page":"679","source":"journals.lww.com","title":"Validation and Utility of the Patient Health Questionnaire in Diagnosing Mental Disorders in 1003 General Hospital Spanish Inpatients","volume":"63","author":[{"family":"Diez-Quevedo","given":"Crisanto"},{"family":"Rangil","given":"Teresa"},{"family":"Sanchez-Planell","given":"Luis"},{"family":"Kroenke","given":"Kurt"},{"family":"Spitzer","given":"Robert L."}],"issued":{"date-parts":[["2001",8]]}}},{"id":133,"uris":["http://zotero.org/users/20030753/items/8B7I8ZZD"],"itemData":{"id":133,"type":"article-journal","container-title":"Archives of Internal Medicine","DOI":"10.1001/archinte.166.10.1092","ISSN":"0003-9926","issue":"10","journalAbbreviation":"Arch Intern Med","language":"en","page":"1092","source":"DOI.org (Crossref)","title":"A Brief Measure for Assessing Generalized Anxiety Disorder: The GAD-7","title-short":"A Brief Measure for Assessing Generalized Anxiety Disorder","volume":"166","author":[{"family":"Spitzer","given":"Robert L."},{"family":"Kroenke","given":"Kurt"},{"family":"Williams","given":"Janet B. W."},{"family":"Löwe","given":"Bernd"}],"issued":{"date-parts":[["2006",5,22]]}}}],"schema":"https://github.com/citation-style-language/schema/raw/master/csl-citation.json"}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(Diez-Quevedo </w:t>
      </w:r>
      <w:r>
        <w:rPr>
          <w:rFonts w:ascii="Arial" w:hAnsi="Arial" w:cs="Arial"/>
          <w:i/>
          <w:iCs/>
          <w:color w:val="000000"/>
          <w:kern w:val="0"/>
          <w:sz w:val="22"/>
          <w:lang w:val="en-US"/>
        </w:rPr>
        <w:t>et al.</w:t>
      </w:r>
      <w:r>
        <w:rPr>
          <w:rFonts w:ascii="Arial" w:hAnsi="Arial" w:cs="Arial"/>
          <w:color w:val="000000"/>
          <w:kern w:val="0"/>
          <w:sz w:val="22"/>
          <w:lang w:val="en-US"/>
        </w:rPr>
        <w:t xml:space="preserve">, 2001; Spitzer </w:t>
      </w:r>
      <w:r>
        <w:rPr>
          <w:rFonts w:ascii="Arial" w:hAnsi="Arial" w:cs="Arial"/>
          <w:i/>
          <w:iCs/>
          <w:color w:val="000000"/>
          <w:kern w:val="0"/>
          <w:sz w:val="22"/>
          <w:lang w:val="en-US"/>
        </w:rPr>
        <w:t>et al.</w:t>
      </w:r>
      <w:r>
        <w:rPr>
          <w:rFonts w:ascii="Arial" w:hAnsi="Arial" w:cs="Arial"/>
          <w:color w:val="000000"/>
          <w:kern w:val="0"/>
          <w:sz w:val="22"/>
          <w:lang w:val="en-US"/>
        </w:rPr>
        <w:t>, 2006)</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and the Mazzarolo Music Performance Anxiety Scale (M</w:t>
      </w:r>
      <w:r>
        <w:rPr>
          <w:rFonts w:ascii="Arial" w:eastAsia="Times New Roman" w:hAnsi="Arial" w:cs="Arial"/>
          <w:color w:val="000000" w:themeColor="text1"/>
          <w:kern w:val="0"/>
          <w:sz w:val="22"/>
          <w:szCs w:val="22"/>
          <w14:ligatures w14:val="none"/>
        </w:rPr>
        <w:noBreakHyphen/>
        <w:t>MPAS), a five</w:t>
      </w:r>
      <w:r>
        <w:rPr>
          <w:rFonts w:ascii="Arial" w:eastAsia="Times New Roman" w:hAnsi="Arial" w:cs="Arial"/>
          <w:color w:val="000000" w:themeColor="text1"/>
          <w:kern w:val="0"/>
          <w:sz w:val="22"/>
          <w:szCs w:val="22"/>
          <w14:ligatures w14:val="none"/>
        </w:rPr>
        <w:noBreakHyphen/>
        <w:t xml:space="preserve">item screener for music performance anxiety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{"citationID":"7QIC6qY8","properties":{"unsorted":false,"formattedCitation":"(Mazzarolo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eastAsia="Times New Roman" w:hAnsi="Arial" w:cs="Arial"/>
          <w:noProof/>
          <w:color w:val="000000" w:themeColor="text1"/>
          <w:kern w:val="0"/>
          <w:sz w:val="22"/>
          <w:szCs w:val="22"/>
          <w14:ligatures w14:val="none"/>
        </w:rPr>
        <w:t>(Mazzarolo and Schubert, 2022)</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Short, validated instruments are particularly suited to an online, self</w:t>
      </w:r>
      <w:r>
        <w:rPr>
          <w:rFonts w:ascii="Arial" w:eastAsia="Times New Roman" w:hAnsi="Arial" w:cs="Arial"/>
          <w:color w:val="000000" w:themeColor="text1"/>
          <w:kern w:val="0"/>
          <w:sz w:val="22"/>
          <w:szCs w:val="22"/>
          <w14:ligatures w14:val="none"/>
        </w:rPr>
        <w:noBreakHyphen/>
        <w:t xml:space="preserve">administered artefact, where longer questionnaires may deter users who are already overwhelmed by their symptoms. General anxiety can trigger voice changes such as shakiness, shallow breathing, muscle tension and hoarseness, and voice problems in professional voice users can threaten their ability to work and disrupt their sense of identity, exacerbating distress and anxiety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{"citationID":"Qi8ls89d","properties":{"unsorted":false,"formattedCitation":"(Aremu, 2026; Bingaman, Mauger and Cantor-Cutiva, 2026)","plainCitation":"(Aremu, 2026; Bingaman, Mauger and Cantor-Cutiva, 2026)","noteIndex":0},"citationItems":[{"id":239,"uris":["http://zotero.org/users/20030753/items/QPJMP7S9"],"itemData":{"id":239,"type":"article-journal","container-title":"Journal of African Tropical Medicine and Health","DOI":"10.5281/zenodo.19681983","issue":"2","page":"112-131","publisher":"Pan</w:instrText>
      </w:r>
      <w:r>
        <w:rPr>
          <w:rFonts w:ascii="Cambria Math" w:eastAsia="Times New Roman" w:hAnsi="Cambria Math" w:cs="Cambria Math"/>
          <w:color w:val="000000" w:themeColor="text1"/>
          <w:kern w:val="0"/>
          <w:sz w:val="22"/>
          <w:szCs w:val="22"/>
          <w14:ligatures w14:val="none"/>
        </w:rPr>
        <w:instrText>‑</w:instrText>
      </w:r>
      <w:r>
        <w:rPr>
          <w:rFonts w:ascii="Arial" w:eastAsia="Times New Roman" w:hAnsi="Arial" w:cs="Arial"/>
          <w:color w:val="000000" w:themeColor="text1"/>
          <w:kern w:val="0"/>
          <w:sz w:val="22"/>
          <w:szCs w:val="22"/>
          <w14:ligatures w14:val="none"/>
        </w:rPr>
        <w:instrText xml:space="preserve">African Research Journals","source":"ResearchGate","title":"Psychophysiological Mechanisms Linking Psychological Stress to Functional Otolaryngological Symptoms: A Systematic Review and Meta-Analysis","volume":"7","author":[{"family":"Aremu","given":"Shuaib"}],"issued":{"date-parts":[["2026",4,16]]}}},{"id":233,"uris":["http://zotero.org/users/20030753/items/BL7MWSZ6"],"itemData":{"id":233,"type":"article-journal","abstract":"Aims\nIdentify the trends in research related to bibliometric analysis and investigate the bidirectional impact of mental health concerns and vocal health issues.\nMethods\nSystematic literature review following the Preferred Reporting Items for Systematic reviews and Meta-Analyses 2020 statement. Six computerized databases were searched independently by three authors through February 2025 using MESH terms. Bibliometric analysis was completed using VOSviewer software to analyze co-occurrence in key terms. We used the Quality Assessment Tool for Quantitative Studies to rate the methodological quality of each included publication.\nResults\nIn total, 181 records were retrieved. After removing duplicates, non-indexed manuscripts, and book chapters, 147 records were retained. Titles and abstracts were screened, and after applying the inclusion criteria, 49 publications were included for full-text review. After full-text screening, 20 manuscripts were retained for this systematic review. Among the included publications, 75% focused on school teachers, one on teachers, two on university teachers, and one on religious officials. The most common voice assessment tool was the Voice Handicap Index. Eleven publications reported anxiety as the mental health outcome, 50% reported stress, and 45% reported depression. Voice problems were often related to emotional factors. Teachers experiencing voice problems reported a lower quality of life, more stress, fatigue, and exhaustion, while those with an experienced or physiologic voice problem scored significantly lower on both physical and mental health scales compared to those without problems. Burnout syndrome was associated with the likelihood of having a voice disorder.\nConclusion\nThis review highlights the intricate and reciprocal relationship between vocal and mental health among occupational voice users and teachers in particular. The findings underscore the need for interdisciplinary approaches that address both physical and psychological dimensions of occupational health. By integrating preventive strategies, clinical screening, and workplace interventions, stakeholders can promote well-being and sustainability in the teaching profession.","container-title":"Journal of Voice","DOI":"10.1016/j.jvoice.2026.03.039","ISSN":"0892-1997","journalAbbreviation":"Journal of Voice","source":"ScienceDirect","title":"Relationship between Mental and Vocal Health in Occupational Voice Users: A Systematic Literature Review","title-short":"Relationship between Mental and Vocal Health in Occupational Voice Users","URL":"https://www.sciencedirect.com/science/article/pii/S0892199726001578","author":[{"family":"Bingaman","given":"Heather Marie"},{"family":"Mauger","given":"Rachel Elaine"},{"family":"Cantor-Cutiva","given":"Lady Catherine"}],"accessed":{"date-parts":[["2026",5,17]]},"issued":{"date-parts":[["2026",5,5]]}}}],"schema":"https://github.com/citation-style-language/schema/raw/master/csl-citation.json"}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eastAsia="Times New Roman" w:hAnsi="Arial" w:cs="Arial"/>
          <w:noProof/>
          <w:color w:val="000000" w:themeColor="text1"/>
          <w:kern w:val="0"/>
          <w:sz w:val="22"/>
          <w:szCs w:val="22"/>
          <w14:ligatures w14:val="none"/>
        </w:rPr>
        <w:t>(Aremu, 2026; Bingaman, Mauger and Cantor-Cutiva, 2026)</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The GAD</w:t>
      </w:r>
      <w:r>
        <w:rPr>
          <w:rFonts w:ascii="Arial" w:eastAsia="Times New Roman" w:hAnsi="Arial" w:cs="Arial"/>
          <w:color w:val="000000" w:themeColor="text1"/>
          <w:kern w:val="0"/>
          <w:sz w:val="22"/>
          <w:szCs w:val="22"/>
          <w14:ligatures w14:val="none"/>
        </w:rPr>
        <w:noBreakHyphen/>
        <w:t>related items in my artefact focus on feeling nervous, being unable to control worrying, worrying excessively about different things, difficulty relaxing and restlessness, all of which are relevant to breath support, laryngeal tension and autonomic regulation in voice use. The performance</w:t>
      </w:r>
      <w:r>
        <w:rPr>
          <w:rFonts w:ascii="Arial" w:eastAsia="Times New Roman" w:hAnsi="Arial" w:cs="Arial"/>
          <w:color w:val="000000" w:themeColor="text1"/>
          <w:kern w:val="0"/>
          <w:sz w:val="22"/>
          <w:szCs w:val="22"/>
          <w14:ligatures w14:val="none"/>
        </w:rPr>
        <w:noBreakHyphen/>
        <w:t>anxiety component is behaviourally grounded through M</w:t>
      </w:r>
      <w:r>
        <w:rPr>
          <w:rFonts w:ascii="Arial" w:eastAsia="Times New Roman" w:hAnsi="Arial" w:cs="Arial"/>
          <w:color w:val="000000" w:themeColor="text1"/>
          <w:kern w:val="0"/>
          <w:sz w:val="22"/>
          <w:szCs w:val="22"/>
          <w14:ligatures w14:val="none"/>
        </w:rPr>
        <w:noBreakHyphen/>
        <w:t>MPAS items that ask about strong pre</w:t>
      </w:r>
      <w:r>
        <w:rPr>
          <w:rFonts w:ascii="Arial" w:eastAsia="Times New Roman" w:hAnsi="Arial" w:cs="Arial"/>
          <w:color w:val="000000" w:themeColor="text1"/>
          <w:kern w:val="0"/>
          <w:sz w:val="22"/>
          <w:szCs w:val="22"/>
          <w14:ligatures w14:val="none"/>
        </w:rPr>
        <w:noBreakHyphen/>
        <w:t>performance anxiety, frequent nerves, avoidance of performing and reluctance to proceed with performances because of anxiety. Combining general and performance</w:t>
      </w:r>
      <w:r>
        <w:rPr>
          <w:rFonts w:ascii="Arial" w:eastAsia="Times New Roman" w:hAnsi="Arial" w:cs="Arial"/>
          <w:color w:val="000000" w:themeColor="text1"/>
          <w:kern w:val="0"/>
          <w:sz w:val="22"/>
          <w:szCs w:val="22"/>
          <w14:ligatures w14:val="none"/>
        </w:rPr>
        <w:noBreakHyphen/>
        <w:t>specific anxiety measures acknowledges that a singer may present with mild vocal symptoms but severe anticipatory anxiety, or the reverse, and that both patterns have implications for care.</w:t>
      </w:r>
    </w:p>
    <w:p w14:paraId="0FF57B61" w14:textId="4A30BC37" w:rsidR="004300F8" w:rsidRDefault="009256D5" w:rsidP="009256D5">
      <w:pPr>
        <w:shd w:val="clear" w:color="auto" w:fill="FFFFFF"/>
        <w:spacing w:after="0" w:line="360" w:lineRule="auto"/>
        <w:rPr>
          <w:rFonts w:ascii="Arial" w:eastAsia="Times New Roman" w:hAnsi="Arial" w:cs="Arial"/>
          <w:color w:val="000000" w:themeColor="text1"/>
          <w:kern w:val="0"/>
          <w:sz w:val="22"/>
          <w:szCs w:val="22"/>
          <w14:ligatures w14:val="none"/>
        </w:rPr>
      </w:pPr>
      <w:r>
        <w:rPr>
          <w:rFonts w:ascii="Arial" w:eastAsia="Times New Roman" w:hAnsi="Arial" w:cs="Arial"/>
          <w:noProof/>
          <w:color w:val="000000" w:themeColor="text1"/>
          <w:kern w:val="0"/>
          <w:sz w:val="22"/>
          <w:szCs w:val="22"/>
        </w:rPr>
        <w:drawing>
          <wp:inline distT="0" distB="0" distL="0" distR="0" wp14:anchorId="4AB17760" wp14:editId="697B30CA">
            <wp:extent cx="3012569" cy="3279504"/>
            <wp:effectExtent l="0" t="0" r="0" b="0"/>
            <wp:docPr id="1708104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0418" name="Picture 17081041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70889" cy="3342991"/>
                    </a:xfrm>
                    <a:prstGeom prst="rect">
                      <a:avLst/>
                    </a:prstGeom>
                  </pic:spPr>
                </pic:pic>
              </a:graphicData>
            </a:graphic>
          </wp:inline>
        </w:drawing>
      </w:r>
      <w:r>
        <w:rPr>
          <w:rFonts w:ascii="Arial" w:eastAsia="Times New Roman" w:hAnsi="Arial" w:cs="Arial"/>
          <w:noProof/>
          <w:color w:val="000000" w:themeColor="text1"/>
          <w:kern w:val="0"/>
          <w:sz w:val="22"/>
          <w:szCs w:val="22"/>
        </w:rPr>
        <w:drawing>
          <wp:inline distT="0" distB="0" distL="0" distR="0" wp14:anchorId="22C6B52A" wp14:editId="71E930A0">
            <wp:extent cx="2759881" cy="3273741"/>
            <wp:effectExtent l="0" t="0" r="0" b="3175"/>
            <wp:docPr id="6177889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88989" name="Picture 617788989"/>
                    <pic:cNvPicPr/>
                  </pic:nvPicPr>
                  <pic:blipFill rotWithShape="1">
                    <a:blip r:embed="rId12" cstate="print">
                      <a:extLst>
                        <a:ext uri="{28A0092B-C50C-407E-A947-70E740481C1C}">
                          <a14:useLocalDpi xmlns:a14="http://schemas.microsoft.com/office/drawing/2010/main" val="0"/>
                        </a:ext>
                      </a:extLst>
                    </a:blip>
                    <a:srcRect l="7503" r="3960"/>
                    <a:stretch>
                      <a:fillRect/>
                    </a:stretch>
                  </pic:blipFill>
                  <pic:spPr bwMode="auto">
                    <a:xfrm>
                      <a:off x="0" y="0"/>
                      <a:ext cx="2787972" cy="3307062"/>
                    </a:xfrm>
                    <a:prstGeom prst="rect">
                      <a:avLst/>
                    </a:prstGeom>
                    <a:ln>
                      <a:noFill/>
                    </a:ln>
                    <a:extLst>
                      <a:ext uri="{53640926-AAD7-44D8-BBD7-CCE9431645EC}">
                        <a14:shadowObscured xmlns:a14="http://schemas.microsoft.com/office/drawing/2010/main"/>
                      </a:ext>
                    </a:extLst>
                  </pic:spPr>
                </pic:pic>
              </a:graphicData>
            </a:graphic>
          </wp:inline>
        </w:drawing>
      </w:r>
    </w:p>
    <w:p w14:paraId="5FCA2262" w14:textId="77777777" w:rsidR="00F83747" w:rsidRPr="00A61110" w:rsidRDefault="00F83747" w:rsidP="004300F8">
      <w:pPr>
        <w:shd w:val="clear" w:color="auto" w:fill="FFFFFF"/>
        <w:spacing w:after="0" w:line="360" w:lineRule="auto"/>
        <w:rPr>
          <w:rFonts w:ascii="Arial" w:eastAsia="Times New Roman" w:hAnsi="Arial" w:cs="Arial"/>
          <w:color w:val="000000" w:themeColor="text1"/>
          <w:kern w:val="0"/>
          <w:sz w:val="22"/>
          <w:szCs w:val="22"/>
          <w14:ligatures w14:val="none"/>
        </w:rPr>
      </w:pPr>
    </w:p>
    <w:p w14:paraId="1AE147E4" w14:textId="77777777" w:rsidR="00E02AAA" w:rsidRPr="00A61110" w:rsidRDefault="00E02AAA" w:rsidP="00E02AAA">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lastRenderedPageBreak/>
        <w:t>Reflecting, revising and adapting my artefact demonstrates the use of practice</w:t>
      </w:r>
      <w:r>
        <w:rPr>
          <w:rFonts w:ascii="Arial" w:eastAsia="Times New Roman" w:hAnsi="Arial" w:cs="Arial"/>
          <w:color w:val="000000" w:themeColor="text1"/>
          <w:kern w:val="0"/>
          <w:sz w:val="22"/>
          <w:szCs w:val="22"/>
          <w14:ligatures w14:val="none"/>
        </w:rPr>
        <w:noBreakHyphen/>
        <w:t xml:space="preserve">based research (PBR) methodology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{"citationID":"MGFfsXrv","properties":{"unsorted":false,"formattedCitation":"(Marshall, 2010; Nelson, 2022)","plainCitation":"(Marshall, 2010; Nelson, 2022)","noteIndex":0},"citationItems":[{"id":224,"uris":["http://zotero.org/users/20030753/items/96J87CKH"],"itemData":{"id":224,"type":"article-journal","abstract":"Studio-based research is rich with possibilities for contributing to the body of knowledge concerning creative processes, primarily because it has at its core the \"making\" disciplines. Nonetheless, for those who teach graduate research courses, this relative new mode of research can be challenging. In this article, the author discusses the connections that link theory and practice in studio-based research, describes the characteristics of studio-based research, and presents a research design for studio-based research. The research design posits the connections between praxis and the exegesis in studio-based research as coreferential and attempts to trans-illuminate that relationship. In the research design presented, the author examines three methods that she argues are particularly suited for studio-based research: (1) Aesthetico-Action Research; (2) Hermeneutic Phenomenology; and (3) Thematic Analysis. The author concludes that inquiry in art is fully realized when the synergy of word and art, theory and practice, and praxis and exegesis comes together in helical processes of making, reflecting, and writing.","container-title":"Teaching Artist Journal","DOI":"10.1080/15411791003618597","ISSN":"1541-1796","issue":"2","language":"en","note":"ERIC Number: EJ880647","page":"77-87","publisher":"Routledge","source":"ERIC","title":"A Research Design for Studio-Based Research in Art","volume":"8","author":[{"family":"Marshall","given":"Cora"}],"issued":{"date-parts":[["2010"]]}}},{"id":164,"uris":["http://zotero.org/users/20030753/items/WUXZ7SXM"],"itemData":{"id":164,"type":"book","DOI":"10.1007/978-3-030-90542-2","ISBN":"978-3-030-90541-5","language":"en","license":"https://www.springer.com/tdm","publisher":"Springer International Publishing","publisher-place":"Cham","source":"DOI.org (Crossref)","title":"Practice as Research in the Arts (and Beyond): Principles, Processes, Contexts, Achievements","title-short":"Practice as Research in the Arts (and Beyond)","URL":"https://link.springer.com/10.1007/978-3-030-90542-2","author":[{"family":"Nelson","given":"Robin"}],"accessed":{"date-parts":[["2026",5,12]]},"issued":{"date-parts":[["2022"]]}}}],"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eastAsia="Times New Roman" w:hAnsi="Arial" w:cs="Arial"/>
          <w:noProof/>
          <w:color w:val="000000" w:themeColor="text1"/>
          <w:kern w:val="0"/>
          <w:sz w:val="22"/>
          <w:szCs w:val="22"/>
          <w14:ligatures w14:val="none"/>
        </w:rPr>
        <w:t>(Marshall, 2010; Nelson, 2022)</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xml:space="preserve">. PBR emphasises the dual nature of creating and analysing an artefact, where practice and reflection are interwoven to generate knowledge </w:t>
      </w:r>
      <w:r>
        <w:rPr>
          <w:rFonts w:ascii="Arial" w:eastAsia="Times New Roman" w:hAnsi="Arial" w:cs="Arial"/>
          <w:color w:val="000000" w:themeColor="text1"/>
          <w:kern w:val="0"/>
          <w:sz w:val="22"/>
          <w:szCs w:val="22"/>
          <w14:ligatures w14:val="none"/>
        </w:rPr>
        <w:fldChar w:fldCharType="begin"/>
      </w:r>
      <w:r>
        <w:rPr>
          <w:rFonts w:ascii="Arial" w:eastAsia="Times New Roman" w:hAnsi="Arial" w:cs="Arial"/>
          <w:color w:val="000000" w:themeColor="text1"/>
          <w:kern w:val="0"/>
          <w:sz w:val="22"/>
          <w:szCs w:val="22"/>
          <w14:ligatures w14:val="none"/>
        </w:rPr>
        <w:instrText xml:space="preserve"> ADDIN ZOTERO_ITEM CSL_CITATION {"citationID":"lzhs6SMy","properties":{"unsorted":false,"formattedCitation":"(Pariser, 2009; Gilbert {\\i{}et al.}, 2022)","plainCitation":"(Pariser, 2009; Gilbert et al., 2022)","noteIndex":0},"citationItems":[{"id":220,"uris":["http://zotero.org/users/20030753/items/GQQYPELA"],"itemData":{"id":220,"type":"article-journal","abstract":"The term \"arts-based research\" has been debated for some time now. In an article strongly in favor of this approach Bean (2007) identifies three species: \"Research on the arts (italics in the original) (art history, visual and cultural studies, media studies etc.)...Research for the arts, refers to research into applied techniques, materials and tools used in the creation of art...Research in the arts, or practice-based research...\" (p. 81). In this essay the author proposes to continue the debate on the third species of arts-based research by pointing out that there is a fundamental disjunction between the research that artists do and the research that social scientists do, and that to call both activities \"research\" does a disservice to both groups of practitioners. The ultimate irony is that although arts-based research is supposed to question the standard scholarly research practice of the academy, it originated in that very same academy. The author supports his claim with reference to the foundational work of Eisner. He suggests that Eisner envisioned and promoted the model of arts-based research not so much as a subversion of scholarly research practice, but as a way of helping fine arts practitioners and educators to achieve legitimacy in the academy.","container-title":"Canadian Review of Art Education: Research and Issues","ISSN":"0706-8107","language":"en","note":"ERIC Number: EJ867346","page":"1-18","publisher":"Canadian Society for Education through Art","source":"ERIC","title":"Arts-Based Research: Trojan Horses and Shibboleths. The Liabilities of a Hybrid Research Approach","title-short":"Arts-Based Research","volume":"36","author":[{"family":"Pariser","given":"David"}],"issued":{"date-parts":[["2009"]]}}},{"id":222,"uris":["http://zotero.org/users/20030753/items/5BSWHSIH"],"itemData":{"id":222,"type":"article-journal","abstract":"In arts-based-research","container-title":"AMA Journal of Ethics","DOI":"10.1001/amajethics.2022.646","ISSN":"2376-6980","issue":"7","language":"en","page":"646-656","publisher":"American Medical Association","source":"journalofethics.ama-assn.org","title":"What Lawrence’s Story Tells Health Researchers About Arts-Based Interactions","volume":"24","author":[{"family":"Gilbert","given":"Mark"},{"family":"Idoate","given":"Regina"},{"family":"Ryan","given":"Anthony"},{"family":"Rockwood","given":"Kenneth"}],"issued":{"date-parts":[["2022",7,1]]}}}],"schema":"https://github.com/citation-style-language/schema/raw/master/csl-citation.json"} </w:instrText>
      </w:r>
      <w:r>
        <w:rPr>
          <w:rFonts w:ascii="Arial" w:eastAsia="Times New Roman" w:hAnsi="Arial" w:cs="Arial"/>
          <w:color w:val="000000" w:themeColor="text1"/>
          <w:kern w:val="0"/>
          <w:sz w:val="22"/>
          <w:szCs w:val="22"/>
          <w14:ligatures w14:val="none"/>
        </w:rPr>
        <w:fldChar w:fldCharType="separate"/>
      </w:r>
      <w:r>
        <w:rPr>
          <w:rFonts w:ascii="Arial" w:hAnsi="Arial" w:cs="Arial"/>
          <w:color w:val="000000"/>
          <w:kern w:val="0"/>
          <w:sz w:val="22"/>
          <w:lang w:val="en-US"/>
        </w:rPr>
        <w:t xml:space="preserve">(Pariser, 2009; Gilbert </w:t>
      </w:r>
      <w:r>
        <w:rPr>
          <w:rFonts w:ascii="Arial" w:hAnsi="Arial" w:cs="Arial"/>
          <w:i/>
          <w:iCs/>
          <w:color w:val="000000"/>
          <w:kern w:val="0"/>
          <w:sz w:val="22"/>
          <w:lang w:val="en-US"/>
        </w:rPr>
        <w:t>et al.</w:t>
      </w:r>
      <w:r>
        <w:rPr>
          <w:rFonts w:ascii="Arial" w:hAnsi="Arial" w:cs="Arial"/>
          <w:color w:val="000000"/>
          <w:kern w:val="0"/>
          <w:sz w:val="22"/>
          <w:lang w:val="en-US"/>
        </w:rPr>
        <w:t>, 2022)</w:t>
      </w:r>
      <w:r>
        <w:rPr>
          <w:rFonts w:ascii="Arial" w:eastAsia="Times New Roman" w:hAnsi="Arial" w:cs="Arial"/>
          <w:color w:val="000000" w:themeColor="text1"/>
          <w:kern w:val="0"/>
          <w:sz w:val="22"/>
          <w:szCs w:val="22"/>
          <w14:ligatures w14:val="none"/>
        </w:rPr>
        <w:fldChar w:fldCharType="end"/>
      </w:r>
      <w:r>
        <w:rPr>
          <w:rFonts w:ascii="Arial" w:eastAsia="Times New Roman" w:hAnsi="Arial" w:cs="Arial"/>
          <w:color w:val="000000" w:themeColor="text1"/>
          <w:kern w:val="0"/>
          <w:sz w:val="22"/>
          <w:szCs w:val="22"/>
          <w14:ligatures w14:val="none"/>
        </w:rPr>
        <w:t>. In developing the questionnaire, I engaged in cycles of design, testing and revision, selecting and adapting items so that they could function together in one brief web</w:t>
      </w:r>
      <w:r>
        <w:rPr>
          <w:rFonts w:ascii="Arial" w:eastAsia="Times New Roman" w:hAnsi="Arial" w:cs="Arial"/>
          <w:color w:val="000000" w:themeColor="text1"/>
          <w:kern w:val="0"/>
          <w:sz w:val="22"/>
          <w:szCs w:val="22"/>
          <w14:ligatures w14:val="none"/>
        </w:rPr>
        <w:noBreakHyphen/>
        <w:t>based screener while still preserving their core constructs. This included decisions such as harmonising most response formats into a shared 0–4 scale for usability, conditionally presenting performance</w:t>
      </w:r>
      <w:r>
        <w:rPr>
          <w:rFonts w:ascii="Arial" w:eastAsia="Times New Roman" w:hAnsi="Arial" w:cs="Arial"/>
          <w:color w:val="000000" w:themeColor="text1"/>
          <w:kern w:val="0"/>
          <w:sz w:val="22"/>
          <w:szCs w:val="22"/>
          <w14:ligatures w14:val="none"/>
        </w:rPr>
        <w:noBreakHyphen/>
        <w:t>anxiety questions only to singers or performers, and preserving the M</w:t>
      </w:r>
      <w:r>
        <w:rPr>
          <w:rFonts w:ascii="Arial" w:eastAsia="Times New Roman" w:hAnsi="Arial" w:cs="Arial"/>
          <w:color w:val="000000" w:themeColor="text1"/>
          <w:kern w:val="0"/>
          <w:sz w:val="22"/>
          <w:szCs w:val="22"/>
          <w14:ligatures w14:val="none"/>
        </w:rPr>
        <w:noBreakHyphen/>
        <w:t>MPAS structure because its published cutoff depends on its original scoring format. Through this iterative process, theoretical understandings of biopsychosocial voice care were reflected upon and recontextualised in the practical realities of designing a user</w:t>
      </w:r>
      <w:r>
        <w:rPr>
          <w:rFonts w:ascii="Arial" w:eastAsia="Times New Roman" w:hAnsi="Arial" w:cs="Arial"/>
          <w:color w:val="000000" w:themeColor="text1"/>
          <w:kern w:val="0"/>
          <w:sz w:val="22"/>
          <w:szCs w:val="22"/>
          <w14:ligatures w14:val="none"/>
        </w:rPr>
        <w:noBreakHyphen/>
        <w:t>friendly tool. The artefact thus becomes not only a screening resource for patients and practitioners, but also a site of knowledge production about how biopsychosocial principles can be translated into an accessible digital assessment.</w:t>
      </w:r>
    </w:p>
    <w:p w14:paraId="491A8EB3" w14:textId="77777777" w:rsidR="00E02AAA" w:rsidRDefault="00E02AAA" w:rsidP="004300F8">
      <w:pPr>
        <w:spacing w:after="0" w:line="360" w:lineRule="auto"/>
        <w:rPr>
          <w:rFonts w:ascii="Arial" w:hAnsi="Arial" w:cs="Arial"/>
          <w:b/>
          <w:bCs/>
          <w:color w:val="000000" w:themeColor="text1"/>
          <w:sz w:val="22"/>
          <w:szCs w:val="22"/>
        </w:rPr>
      </w:pPr>
    </w:p>
    <w:p w14:paraId="5AB7777E" w14:textId="5E71A6D8" w:rsidR="005E69AF" w:rsidRPr="00A61110" w:rsidRDefault="00B95F99"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 xml:space="preserve">Know-How </w:t>
      </w:r>
    </w:p>
    <w:p w14:paraId="111A730D" w14:textId="77777777"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My idea of creating a voice care center in Puerto Rico comes directly from my own voice teaching and music therapy practice. Working with singers, teachers and other professional voice users, I repeatedly saw how fragmented local services were and how difficult it was for clients to know where to start. When I started to create my artefact, I therefore wanted to design a questionnaire that would be the first interaction that clients have with the website and would gently guide them towards appropriate care. Practically, this led me to structure the tool as a three</w:t>
      </w:r>
      <w:r>
        <w:rPr>
          <w:rFonts w:ascii="Arial" w:hAnsi="Arial" w:cs="Arial"/>
          <w:color w:val="000000" w:themeColor="text1"/>
          <w:sz w:val="22"/>
          <w:szCs w:val="22"/>
        </w:rPr>
        <w:noBreakHyphen/>
        <w:t>step, web</w:t>
      </w:r>
      <w:r>
        <w:rPr>
          <w:rFonts w:ascii="Arial" w:hAnsi="Arial" w:cs="Arial"/>
          <w:color w:val="000000" w:themeColor="text1"/>
          <w:sz w:val="22"/>
          <w:szCs w:val="22"/>
        </w:rPr>
        <w:noBreakHyphen/>
        <w:t>based flow: first a short demographics screen, then the main questionnaire, and finally a colour</w:t>
      </w:r>
      <w:r>
        <w:rPr>
          <w:rFonts w:ascii="Arial" w:hAnsi="Arial" w:cs="Arial"/>
          <w:color w:val="000000" w:themeColor="text1"/>
          <w:sz w:val="22"/>
          <w:szCs w:val="22"/>
        </w:rPr>
        <w:noBreakHyphen/>
        <w:t>coded results page with recommendations. When choosing my assessment tools, it was important to me that they had been validated both in English and Spanish, as my main target is the Puerto Rican population and I wanted clients to be able to move naturally between languages without losing nuance.</w:t>
      </w:r>
    </w:p>
    <w:p w14:paraId="3EBC6FF9" w14:textId="1784E901"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I started constructing my artefact with the most well-known assessment tool for voice: the Voice Handicap Index (VHI). Since my artefact is meant to be a short, informative tool, I used the VHI</w:t>
      </w:r>
      <w:r>
        <w:rPr>
          <w:rFonts w:ascii="Arial" w:hAnsi="Arial" w:cs="Arial"/>
          <w:color w:val="000000" w:themeColor="text1"/>
          <w:sz w:val="22"/>
          <w:szCs w:val="22"/>
        </w:rPr>
        <w:noBreakHyphen/>
        <w:t xml:space="preserve">10 in English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{"citationID":"qEX7PVCB","properties":{"unsorted":false,"formattedCitation":"(Rosen {\\i{}et al.}, 2004)","plainCitation":"(Rosen et al., 2004)","noteIndex":0},"citationItems":[{"id":70,"uris":["http://zotero.org/users/20030753/items/B5K92ESA"],"itemData":{"id":70,"type":"article-journal","abstract":"Objectives/Hypothesis: The objective was to develop an abbreviated voice handicap assessment instrument and compare it with the Voice Handicap Index (VHI). Study Design: Item analysis of the VHI in individuals without voice disorders and patients with voice disorders and creation and validation of the abbreviated VHI. Methods: Clinical consensus review of the VHI items was held to prioritize the clinical value of each of the VHI items (30 items in all). Item analysis of the VHI was performed using the VHI responses of 100 patients with voice problems and 159 control subjects. The 10 most robust VHI items were selected using the item analysis and clinical consensus results to form the Voice Handicap Index-10 (VHI-10). Statistical analysis comparing the validity of the VHI-10 with the VHI was performed with 819 patients representing a wide spectrum of voice disorders. Results: Statistical analysis of the VHI and VHI-10 scores from the study group showed no statistically significant differences between the VHI and the VHI-10. Irrespective of diagnosis, the correlation between the VHI and the VHI-10 was greater than .90 (P = .01). The ratios of the VHI-10 to VHI scores for a variety of voice disorder categories were analyzed and found to be consistently greater than the expected value (33%). This suggests that the VHI-10 may be a more robust instrument than the VHI. Conclusion: The VHI-10 is a powerful representation of the VHI that takes less time for the patient to complete without loss of validity. Thus, the VHI-10 can replace the VHI as an instrument to quantify patients' perception of their voice handicap.","container-title":"The Laryngoscope","DOI":"10.1097/00005537-200409000-00009","ISSN":"1531-4995","issue":"9","language":"en","note":"_eprint: https://onlinelibrary.wiley.com/doi/pdf/10.1097/00005537-200409000-00009","page":"1549-1556","source":"Wiley Online Library","title":"Development and Validation of the Voice Handicap Index-10","volume":"114","author":[{"family":"Rosen","given":"Clark A."},{"family":"Lee","given":"Annie S."},{"family":"Osborne","given":"Jamie"},{"family":"Zullo","given":"Thomas"},{"family":"Murry","given":"Thomas"}],"issued":{"date-parts":[["2004"]]}}}],"schema":"https://github.com/citation-style-language/schema/raw/master/csl-citation.json"}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(Rosen </w:t>
      </w:r>
      <w:r>
        <w:rPr>
          <w:rFonts w:ascii="Arial" w:hAnsi="Arial" w:cs="Arial"/>
          <w:i/>
          <w:iCs/>
          <w:color w:val="000000"/>
          <w:kern w:val="0"/>
          <w:sz w:val="22"/>
          <w:lang w:val="en-US"/>
        </w:rPr>
        <w:t>et al.</w:t>
      </w:r>
      <w:r>
        <w:rPr>
          <w:rFonts w:ascii="Arial" w:hAnsi="Arial" w:cs="Arial"/>
          <w:color w:val="000000"/>
          <w:kern w:val="0"/>
          <w:sz w:val="22"/>
          <w:lang w:val="en-US"/>
        </w:rPr>
        <w:t>, 2004)</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and Spanish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{"citationID":"gGLQHeWc","properties":{"unsorted":false,"formattedCitation":"(N\\uc0\\u250{}\\uc0\\u241{}ez-Batalla {\\i{}et al.}, 2007)","plainCitation":"(Núñez-Batalla et al., 2007)","noteIndex":0},"citationItems":[{"id":195,"uris":["http://zotero.org/users/20030753/items/XENVXACG"],"itemData":{"id":195,"type":"article-journal","abstract":"Introducción y objetivos: El índice de incapacidad vocal (Voice Handicap","container-title":"Acta Otorrinolaringológica Española","DOI":"10.1016/S0001-6519(07)74954-3","ISSN":"0001-6519","issue":"9","journalAbbreviation":"Acta Otorrinolaringol Esp","language":"es","page":"386-392","publisher":"Elsevier","source":"www.elsevier.es","title":"Adaptación y validación del índice de incapacidad vocal (VHI-30) y su versión abreviada (VHI-10) al español","volume":"58","author":[{"family":"Núñez-Batalla","given":"Faustino"},{"family":"Corte-Santos","given":"Paz"},{"family":"Señaris-González","given":"Blanca"},{"family":"Llorente-Pendás","given":"José L."},{"family":"Górriz-Gil","given":"Carmen"},{"family":"Suárez-Nieto","given":"Carlos"}],"issued":{"date-parts":[["2007",11,1]]}}}],"schema":"https://github.com/citation-style-language/schema/raw/master/csl-citation.json"}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(Núñez-Batalla </w:t>
      </w:r>
      <w:r>
        <w:rPr>
          <w:rFonts w:ascii="Arial" w:hAnsi="Arial" w:cs="Arial"/>
          <w:i/>
          <w:iCs/>
          <w:color w:val="000000"/>
          <w:kern w:val="0"/>
          <w:sz w:val="22"/>
          <w:lang w:val="en-US"/>
        </w:rPr>
        <w:t>et al.</w:t>
      </w:r>
      <w:r>
        <w:rPr>
          <w:rFonts w:ascii="Arial" w:hAnsi="Arial" w:cs="Arial"/>
          <w:color w:val="000000"/>
          <w:kern w:val="0"/>
          <w:sz w:val="22"/>
          <w:lang w:val="en-US"/>
        </w:rPr>
        <w:t>, 2007)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instead of the original 30</w:t>
      </w:r>
      <w:r>
        <w:rPr>
          <w:rFonts w:ascii="Arial" w:hAnsi="Arial" w:cs="Arial"/>
          <w:color w:val="000000" w:themeColor="text1"/>
          <w:sz w:val="22"/>
          <w:szCs w:val="22"/>
        </w:rPr>
        <w:noBreakHyphen/>
        <w:t xml:space="preserve">question assessment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{"citationID":"vcuUTAzX","properties":{"unsorted":false,"formattedCitation":"(Jacobson {\\i{}et al.}, 1997)","plainCitation":"(Jacobson et al., 1997)","noteIndex":0},"citationItems":[{"id":194,"uris":["http://zotero.org/users/20030753/items/HWZ5TQ4Z"],"itemData":{"id":194,"type":"article-journal","abstract":"To date, no instruments exist to quantify the psychosocial consequences of voice disorders. The aim of the present investigation was the development of a statistically robust Voice Handicap Index (VHI). An 85-item version of this instrument was administered to 65 consecutive patients seen in the Voice Clinic at Henry Ford Hospital. The data were subjected to measures of internal consistency reliability and the initial 85-item version was reduced to a 30-item final version. This final version was administered to 63 consecutive patients on two occasions in an attempt to assess test-retest stability, which proved to be strong. The findings of the latter analysis demonstrated that a change between two administrations of 18 points represents a significant shift in psychosocial function.","container-title":"American Journal of Speech-Language Pathology","DOI":"10.1044/1058-0360.0603.66","issue":"3","page":"66-70","publisher":"American Speech-Language-Hearing Association","source":"pubs.asha.org (Atypon)","title":"The Voice Handicap Index (VHI)","volume":"6","author":[{"family":"Jacobson","given":"Barbara H."},{"family":"Johnson","given":"Alex"},{"family":"Grywalski","given":"Cynthia"},{"family":"Silbergleit","given":"Alice"},{"family":"Jacobson","given":"Gary"},{"family":"Benninger","given":"Michael S."},{"family":"Newman","given":"Craig W."}],"issued":{"date-parts":[["1997",8]]}}}],"schema":"https://github.com/citation-style-language/schema/raw/master/csl-citation.json"}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(Jacobson </w:t>
      </w:r>
      <w:r>
        <w:rPr>
          <w:rFonts w:ascii="Arial" w:hAnsi="Arial" w:cs="Arial"/>
          <w:i/>
          <w:iCs/>
          <w:color w:val="000000"/>
          <w:kern w:val="0"/>
          <w:sz w:val="22"/>
          <w:lang w:val="en-US"/>
        </w:rPr>
        <w:t>et al.</w:t>
      </w:r>
      <w:r>
        <w:rPr>
          <w:rFonts w:ascii="Arial" w:hAnsi="Arial" w:cs="Arial"/>
          <w:color w:val="000000"/>
          <w:kern w:val="0"/>
          <w:sz w:val="22"/>
          <w:lang w:val="en-US"/>
        </w:rPr>
        <w:t>, 1997)</w:t>
      </w:r>
      <w:r>
        <w:rPr>
          <w:rFonts w:ascii="Arial" w:hAnsi="Arial" w:cs="Arial"/>
          <w:color w:val="000000" w:themeColor="text1"/>
          <w:sz w:val="22"/>
          <w:szCs w:val="22"/>
        </w:rPr>
        <w:fldChar w:fldCharType="end"/>
      </w:r>
      <w:r>
        <w:rPr>
          <w:rFonts w:ascii="Arial" w:hAnsi="Arial" w:cs="Arial"/>
          <w:color w:val="000000" w:themeColor="text1"/>
          <w:sz w:val="22"/>
          <w:szCs w:val="22"/>
        </w:rPr>
        <w:t>. One of the main populations that I aim to serve in my voice care center are singers. Because singers often have singing</w:t>
      </w:r>
      <w:r>
        <w:rPr>
          <w:rFonts w:ascii="Arial" w:hAnsi="Arial" w:cs="Arial"/>
          <w:color w:val="000000" w:themeColor="text1"/>
          <w:sz w:val="22"/>
          <w:szCs w:val="22"/>
        </w:rPr>
        <w:noBreakHyphen/>
        <w:t>voice</w:t>
      </w:r>
      <w:r>
        <w:rPr>
          <w:rFonts w:ascii="Arial" w:hAnsi="Arial" w:cs="Arial"/>
          <w:color w:val="000000" w:themeColor="text1"/>
          <w:sz w:val="22"/>
          <w:szCs w:val="22"/>
        </w:rPr>
        <w:noBreakHyphen/>
        <w:t>specific problems, I also incorporated the Singing Voice Handicap Index in its shortened ten</w:t>
      </w:r>
      <w:r>
        <w:rPr>
          <w:rFonts w:ascii="Arial" w:hAnsi="Arial" w:cs="Arial"/>
          <w:color w:val="000000" w:themeColor="text1"/>
          <w:sz w:val="22"/>
          <w:szCs w:val="22"/>
        </w:rPr>
        <w:noBreakHyphen/>
        <w:t xml:space="preserve">item version into my artefact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{"citationID":"ErybQrkq","properties":{"unsorted":false,"formattedCitation":"(Cohen {\\i{}et al.}, 2007, 2009; Garc\\uc0\\u237{}a-L\\uc0\\u243{}pez {\\i{}et al.}, 2010; Spuler Fern\\uc0\\u225{}ndez, Correa Forno and Azevedo, 2023)","plainCitation":"(Cohen et al., 2007, 2009; García-López et al., 2010; Spuler Fernández, Correa Forno and Azevedo, 2023)","noteIndex":0},"citationItems":[{"id":60,"uris":["http://zotero.org/users/20030753/items/5ARKC69G"],"itemData":{"id":60,"type":"article-journal","abstract":"Objectives: We developed and validated a disorder-specific health status instrument (Singing Voice Handicap Index; SVHI) for use in patients with singing problems.\nMethods: Prospective instrument validation was performed. Of 81 original items, those with poor statistical validity were eliminated, resulting in 36 items. The ability to discriminate dysphonic from normal singers, test-retest reliability, internal consistency, and construct validity were assessed.\nResults: We included 112 dysphonic and 129 normal singers, professional and nonprofessional, of classical, country, rock, choral, and gospel repertoire. Dysphonic singers had worse SVHI scores than normal singers (p ≤ .001, rank sum test). Test-retest reliability was high (Spearman correlation, 0.92; p ≤ .001). Internal consistency demonstrated a Cronbach’s α of .97, and the correlation between the SVHI and self-rated singing voice impairment was .63 (p ≤ .001, Spearman correlation).\nConclusions: The SVHI is a reliable and valid tool for assessing self-perceived handicap associated with singing problems.","container-title":"Annals of Otology, Rhinology &amp; Laryngology","DOI":"10.1177/000348940711600602","ISSN":"0003-4894, 1943-572X","issue":"6","journalAbbreviation":"Ann Otol Rhinol Laryngol","language":"en","license":"https://journals.sagepub.com/page/policies/text-and-data-mining-license","page":"402-406","source":"DOI.org (Crossref)","title":"Creation and Validation of the Singing Voice Handicap Index","volume":"116","author":[{"family":"Cohen","given":"Seth M."},{"family":"Jacobson","given":"Barbara H."},{"family":"Garrett","given":"C. Gaelyn"},{"family":"Noordzij","given":"J. Pieter"},{"family":"Stewart","given":"Michael G."},{"family":"Attia","given":"Albert"},{"family":"Ossoff","given":"Robert H."},{"family":"Cleveland","given":"Thomas F."}],"issued":{"date-parts":[["2007",6]]}}},{"id":136,"uris":["http://zotero.org/users/20030753/items/GGZAEQJ7"],"itemData":{"id":136,"type":"article-journal","abstract":"OBJECTIVES/HYPOTHESIS: To develop a shortened version of the validated health status instrument for singers, the Singing Voice Handicap Index (SVHI).\nSTUDY DESIGN: Prospective item analysis of the SVHI in patients with singing voice problems and creation and validation of an abbreviated SVHI, the SVHI-10.\nMETHODS: Patients presenting to two tertiary care voice clinics prospectively completed the SVHI. Principal component analysis was performed. Individual item to total correlations were calculated, and individual items were also evaluated for bipolar response patterns. A clinical consensus conference prioritized each individual item. Items were then eliminated, and the internal consistency was evaluated. A second cohort of patients with singing voice problems completed the Voice Handicap Index-10 (VHI-10) and SVHI-10 at two time points. Singers without voice problems also completed the SVHI-10. SVHI-10 scores were compared between the groups, correlations between the SVHI-10 and VHI-10 were performed, and test-retest reliability of the SVHI-10 assessed.\nRESULTS: Singers with voice problems had worse SVHI-10 scores than normal singers (P &lt; .0001, t test). Test-retest reliability was high (Spearman correlation = 0.86, P &lt; .001). Internal consistency of the SVHI-10 demonstrated a Cronbach alpha of .94, and the correlation between the SVHI-10 and VHI-10 was 0.7 (P &lt; .001, Spearman correlation).\nCONCLUSIONS: The SVHI-10 is a valuable instrument to assess self-perceived handicap associated with singing voice problems with reduced patient burden.","container-title":"The Laryngoscope","DOI":"10.1002/lary.20580","ISSN":"1531-4995","issue":"9","journalAbbreviation":"Laryngoscope","language":"eng","page":"1864-1869","PMID":"19572269","source":"PubMed","title":"Development and validation of the Singing Voice Handicap-10","volume":"119","author":[{"family":"Cohen","given":"Seth M."},{"family":"Statham","given":"Melissa"},{"family":"Rosen","given":"Clark A."},{"family":"Zullo","given":"Thomas"}],"issued":{"date-parts":[["2009",9]]}}},{"id":62,"uris":["http://zotero.org/users/20030753/items/3Q4UBT5A"],"itemData":{"id":62,"type":"article-journal","abstract":"In the questionnaires that currently exist in Spanish to assess the impact on quality of life of voice pathology, there are no questions that refer specifically to the singing voice. We present the results of the validation of the Singing Voice Handicap Index (SVHI) in Spanish.","container-title":"Acta Otorrinolaringologica (English Edition)","DOI":"10.1016/S2173-5735(10)70045-4","ISSN":"21735735","issue":"4","journalAbbreviation":"Acta Otorrinolaringologica (English Edition)","language":"en","license":"https://www.elsevier.com/tdm/userlicense/1.0/","page":"247-254","source":"DOI.org (Crossref)","title":"Validation of the Spanish version of the voice handicap index for vocal singing (SVHI)","volume":"61","author":[{"family":"García-López","given":"Isabel"},{"family":"Núñez-Batalla","given":"Faustino"},{"family":"Gavilán Bouzas","given":"Javier"},{"family":"Górriz-Gil","given":"Carmen"}],"issued":{"date-parts":[["2010",1]]}}},{"id":67,"uris":["http://zotero.org/users/20030753/items/RWYWW53F"],"itemData":{"id":67,"type":"article-journal","abstract":"Purpose. To adapt the Singing Voice Handicap Index (SVHI) questionnaire linguistically and culturally to Chilean Spanish.\nMethodology. The SVHI was directly translated into Chilean Spanish and later back-translated into the original English language; both translations were reviewed by a judgment of bilingual experts, who defined which items would make up the first version of the translated tool. This version was answered by 15 Chilean singers with a diagnosis of dysphonia, with the aim of identifying discrepancies, which were reviewed and agreed upon by the committee of experts; a second modified version was applied to 5 more singers with a diagnosis of dysphonia, not finding misunderstood or inappropriate questions for Chilean culture at this stage.\nResults. 5 of the 9 items questioned were modified to reach the final version that reflects the original English version, both in the number of items and in the domains of the survey. Limitations. Due to the number of participating people, only the cultural adaptation could be carried out and not the validation of the instrument that considers cut-off scores for the population studied. Therefore, the tool can be used to carry out a qualitative and not quantitative analysis. Value. Having this survey translated, following a rigorous methodological process, allows Chilean singers to express their singing-related vocal disadvantage and identify the most affected domains and, thus, plan the vocal intervention more specifically.\nConclusion. The Singing Voice Disadvantage Index questionnaire for Chilean Spanish is available for its application to the Chilean language and culture.","container-title":"Revista de Investigación e Innovación en Ciencias de la Salud","DOI":"10.46634/riics.242","ISSN":"2665-2056","issue":"2","journalAbbreviation":"Rev. Investig. Innov. Cienc. Salud","language":"es","page":"129-148","source":"DOI.org (Crossref)","title":"Adaptación lingüística y cultural al español chileno del cuestionario de autovaloración vocal para cantantes Singing Voice Handicap Index (S-VHI)","volume":"5","author":[{"family":"Spuler Fernández","given":"Ingrid"},{"family":"Correa Forno","given":"Soledad"},{"family":"Azevedo","given":"Renata Rangel"}],"issued":{"date-parts":[["2023",12,20]]}}}],"schema":"https://github.com/citation-style-language/schema/raw/master/csl-citation.json"}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s-PR"/>
        </w:rPr>
        <w:t xml:space="preserve">(Cohen </w:t>
      </w:r>
      <w:r>
        <w:rPr>
          <w:rFonts w:ascii="Arial" w:hAnsi="Arial" w:cs="Arial"/>
          <w:i/>
          <w:iCs/>
          <w:color w:val="000000"/>
          <w:kern w:val="0"/>
          <w:sz w:val="22"/>
          <w:lang w:val="es-PR"/>
        </w:rPr>
        <w:t>et al.</w:t>
      </w:r>
      <w:r>
        <w:rPr>
          <w:rFonts w:ascii="Arial" w:hAnsi="Arial" w:cs="Arial"/>
          <w:color w:val="000000"/>
          <w:kern w:val="0"/>
          <w:sz w:val="22"/>
          <w:lang w:val="es-PR"/>
        </w:rPr>
        <w:t xml:space="preserve">, 2007, 2009; García-López </w:t>
      </w:r>
      <w:r>
        <w:rPr>
          <w:rFonts w:ascii="Arial" w:hAnsi="Arial" w:cs="Arial"/>
          <w:i/>
          <w:iCs/>
          <w:color w:val="000000"/>
          <w:kern w:val="0"/>
          <w:sz w:val="22"/>
          <w:lang w:val="es-PR"/>
        </w:rPr>
        <w:t>et al.</w:t>
      </w:r>
      <w:r>
        <w:rPr>
          <w:rFonts w:ascii="Arial" w:hAnsi="Arial" w:cs="Arial"/>
          <w:color w:val="000000"/>
          <w:kern w:val="0"/>
          <w:sz w:val="22"/>
          <w:lang w:val="es-PR"/>
        </w:rPr>
        <w:t xml:space="preserve">, </w:t>
      </w:r>
      <w:r>
        <w:rPr>
          <w:rFonts w:ascii="Arial" w:hAnsi="Arial" w:cs="Arial"/>
          <w:color w:val="000000"/>
          <w:kern w:val="0"/>
          <w:sz w:val="22"/>
          <w:lang w:val="es-PR"/>
        </w:rPr>
        <w:lastRenderedPageBreak/>
        <w:t>2010; Spuler Fernández, Correa Forno and Azevedo, 2023)</w:t>
      </w:r>
      <w:r>
        <w:rPr>
          <w:rFonts w:ascii="Arial" w:hAnsi="Arial" w:cs="Arial"/>
          <w:color w:val="000000" w:themeColor="text1"/>
          <w:sz w:val="22"/>
          <w:szCs w:val="22"/>
        </w:rPr>
        <w:fldChar w:fldCharType="end"/>
      </w:r>
      <w:r>
        <w:rPr>
          <w:rFonts w:ascii="Arial" w:hAnsi="Arial" w:cs="Arial"/>
          <w:color w:val="000000" w:themeColor="text1"/>
          <w:sz w:val="22"/>
          <w:szCs w:val="22"/>
        </w:rPr>
        <w:t>. In the first prototype, these two sets of items were presented together on a single questionnaire page so that users could see both general and singing</w:t>
      </w:r>
      <w:r>
        <w:rPr>
          <w:rFonts w:ascii="Arial" w:hAnsi="Arial" w:cs="Arial"/>
          <w:color w:val="000000" w:themeColor="text1"/>
          <w:sz w:val="22"/>
          <w:szCs w:val="22"/>
        </w:rPr>
        <w:noBreakHyphen/>
        <w:t>specific impacts side by side. This layout was a deliberate practical choice based on my teaching experience: singers often talk about their “speaking voice” and “singing voice” as interconnected, and I wanted the interface to reflect that continuity rather than splitting them into separate tools.</w:t>
      </w:r>
    </w:p>
    <w:p w14:paraId="5E206A6A" w14:textId="598B68B7"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Version 1 of the artefact only included the two VHI’s. Very quickly, my clinical intuition told me that this was not enough, because many of my clients complain about symptoms such as throat clearing, mucus or heartburn alongside hoarseness. Another factor that I therefore wanted to include in my assessment was acid reflux symptoms. After reviewing the literature and reflecting on my own experience with clients who present with possible laryngopharyngeal reflux, I decided to include the Reflux Symptom Index (RSI)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{"citationID":"W37bEYc2","properties":{"unsorted":false,"formattedCitation":"(Belafsky, Postma and Koufman, 2002)","plainCitation":"(Belafsky, Postma and Koufman, 2002)","noteIndex":0},"citationItems":[{"id":138,"uris":["http://zotero.org/users/20030753/items/KLU236BV"],"itemData":{"id":138,"type":"article-journal","abstract":"Laryngopharyngeal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(Belafsky, Postma and Koufman, 2002)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as the most appropriate short measure. I selected the six items most directly linked to vocal function, rather than importing the full scale, so that the questionnaire would stay within a realistic online completion time. These three tools constituted Version 2 of my artefact and represented my first concrete attempt to operationalise a biopsychosocial view of voice problems.</w:t>
      </w:r>
    </w:p>
    <w:p w14:paraId="1C9F3EE0" w14:textId="6595EED5"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 xml:space="preserve">After </w:t>
      </w:r>
      <w:r w:rsidR="00E02AAA">
        <w:rPr>
          <w:rFonts w:ascii="Arial" w:hAnsi="Arial" w:cs="Arial"/>
          <w:color w:val="000000" w:themeColor="text1"/>
          <w:sz w:val="22"/>
          <w:szCs w:val="22"/>
        </w:rPr>
        <w:t>reflecting on</w:t>
      </w:r>
      <w:r>
        <w:rPr>
          <w:rFonts w:ascii="Arial" w:hAnsi="Arial" w:cs="Arial"/>
          <w:color w:val="000000" w:themeColor="text1"/>
          <w:sz w:val="22"/>
          <w:szCs w:val="22"/>
        </w:rPr>
        <w:t xml:space="preserve"> this preliminary questionnaire, I realised that I had left out an important factor that is part of my holistic view: anxiety. In both my studio and clinical work I had often seen how anxiety, especially performance</w:t>
      </w:r>
      <w:r>
        <w:rPr>
          <w:rFonts w:ascii="Arial" w:hAnsi="Arial" w:cs="Arial"/>
          <w:color w:val="000000" w:themeColor="text1"/>
          <w:sz w:val="22"/>
          <w:szCs w:val="22"/>
        </w:rPr>
        <w:noBreakHyphen/>
        <w:t>related anxiety, could tighten the voice or reduce breath support even when the vocal folds were structurally healthy. Since my target audience consists of both performers and non</w:t>
      </w:r>
      <w:r>
        <w:rPr>
          <w:rFonts w:ascii="Arial" w:hAnsi="Arial" w:cs="Arial"/>
          <w:color w:val="000000" w:themeColor="text1"/>
          <w:sz w:val="22"/>
          <w:szCs w:val="22"/>
        </w:rPr>
        <w:noBreakHyphen/>
        <w:t>performers, I decided to include a generalised anxiety assessment and a music performance anxiety (MPA) assessment. To keep it short, I used the GAD</w:t>
      </w:r>
      <w:r>
        <w:rPr>
          <w:rFonts w:ascii="Arial" w:hAnsi="Arial" w:cs="Arial"/>
          <w:color w:val="000000" w:themeColor="text1"/>
          <w:sz w:val="22"/>
          <w:szCs w:val="22"/>
        </w:rPr>
        <w:noBreakHyphen/>
        <w:t>7, a seven</w:t>
      </w:r>
      <w:r>
        <w:rPr>
          <w:rFonts w:ascii="Arial" w:hAnsi="Arial" w:cs="Arial"/>
          <w:color w:val="000000" w:themeColor="text1"/>
          <w:sz w:val="22"/>
          <w:szCs w:val="22"/>
        </w:rPr>
        <w:noBreakHyphen/>
        <w:t xml:space="preserve">item validated tool available in both English and Spanish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{"citationID":"sg1sjM8g","properties":{"unsorted":false,"formattedCitation":"(Diez-Quevedo {\\i{}et al.}, 2001; Spitzer {\\i{}et al.}, 2006)","plainCitation":"(Diez-Quevedo et al., 2001; Spitzer et al., 2006)","noteIndex":0},"citationItems":[{"id":214,"uris":["http://zotero.org/users/20030753/items/GVK7PRQX"],"itemData":{"id":214,"type":"article-journal","abstract":"Objective \n          To determine whether the Spanish version of the patient health questionnaire (PHQ) has validity and utility for diagnosing mental disorders in general hospital inpatients.\n          Methods \n          Participants in the study were 1003 general hospital inpatients, randomly selected from all admissions over an 18-month period. All of them completed the PHQ, the Beck Depression Inventory (BDI), and measures of functional status, disability days, and health care use, including length of hospital stay. They also had a structured interview with a mental health professional.\n          Results \n          A total of 416 (42%) of the 1003 general hospital inpatients had a PHQ diagnosis. There was good agreement between PHQ diagnoses and those of an independent mental health professional (for the diagnosis of any PHQ disorder, κ = 0.74; overall accuracy, 88%; sensitivity, 87%; specificity, 88%), similar to the original English version of the PHQ in primary care patients. Patients with PHQ diagnoses had more functional impairment, disability days, and health care use than did patients without PHQ diagnoses (group main effects for functional status measures and disability days, p &lt; .001; group main effects for health care use, p &lt; .01). The group main effect for hospital length of stay was not significant. An index of depression symptom severity calculated from the PHQ correlated significantly both with the number of depressive symptoms detected at interview and the total BDI score. PHQ administration was well accepted by patients.\n          Conclusions \n          The Spanish version of the PHQ has diagnostic validity in general hospital inpatients comparable to the original English version in primary care.","container-title":"Biopsychosocial Science and Medicine","ISSN":"2998-8748","issue":"4","language":"en-US","page":"679","source":"journals.lww.com","title":"Validation and Utility of the Patient Health Questionnaire in Diagnosing Mental Disorders in 1003 General Hospital Spanish Inpatients","volume":"63","author":[{"family":"Diez-Quevedo","given":"Crisanto"},{"family":"Rangil","given":"Teresa"},{"family":"Sanchez-Planell","given":"Luis"},{"family":"Kroenke","given":"Kurt"},{"family":"Spitzer","given":"Robert L."}],"issued":{"date-parts":[["2001",8]]}}},{"id":133,"uris":["http://zotero.org/users/20030753/items/8B7I8ZZD"],"itemData":{"id":133,"type":"article-journal","container-title":"Archives of Internal Medicine","DOI":"10.1001/archinte.166.10.1092","ISSN":"0003-9926","issue":"10","journalAbbreviation":"Arch Intern Med","language":"en","page":"1092","source":"DOI.org (Crossref)","title":"A Brief Measure for Assessing Generalized Anxiety Disorder: The GAD-7","title-short":"A Brief Measure for Assessing Generalized Anxiety Disorder","volume":"166","author":[{"family":"Spitzer","given":"Robert L."},{"family":"Kroenke","given":"Kurt"},{"family":"Williams","given":"Janet B. W."},{"family":"Löwe","given":"Bernd"}],"issued":{"date-parts":[["2006",5,22]]}}}],"schema":"https://github.com/citation-style-language/schema/raw/master/csl-citation.json"}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(Diez-Quevedo </w:t>
      </w:r>
      <w:r>
        <w:rPr>
          <w:rFonts w:ascii="Arial" w:hAnsi="Arial" w:cs="Arial"/>
          <w:i/>
          <w:iCs/>
          <w:color w:val="000000"/>
          <w:kern w:val="0"/>
          <w:sz w:val="22"/>
          <w:lang w:val="en-US"/>
        </w:rPr>
        <w:t>et al.</w:t>
      </w:r>
      <w:r>
        <w:rPr>
          <w:rFonts w:ascii="Arial" w:hAnsi="Arial" w:cs="Arial"/>
          <w:color w:val="000000"/>
          <w:kern w:val="0"/>
          <w:sz w:val="22"/>
          <w:lang w:val="en-US"/>
        </w:rPr>
        <w:t xml:space="preserve">, 2001; Spitzer </w:t>
      </w:r>
      <w:r>
        <w:rPr>
          <w:rFonts w:ascii="Arial" w:hAnsi="Arial" w:cs="Arial"/>
          <w:i/>
          <w:iCs/>
          <w:color w:val="000000"/>
          <w:kern w:val="0"/>
          <w:sz w:val="22"/>
          <w:lang w:val="en-US"/>
        </w:rPr>
        <w:t>et al.</w:t>
      </w:r>
      <w:r>
        <w:rPr>
          <w:rFonts w:ascii="Arial" w:hAnsi="Arial" w:cs="Arial"/>
          <w:color w:val="000000"/>
          <w:kern w:val="0"/>
          <w:sz w:val="22"/>
          <w:lang w:val="en-US"/>
        </w:rPr>
        <w:t>, 2006)</w:t>
      </w:r>
      <w:r>
        <w:rPr>
          <w:rFonts w:ascii="Arial" w:hAnsi="Arial" w:cs="Arial"/>
          <w:color w:val="000000" w:themeColor="text1"/>
          <w:sz w:val="22"/>
          <w:szCs w:val="22"/>
        </w:rPr>
        <w:fldChar w:fldCharType="end"/>
      </w:r>
      <w:r>
        <w:rPr>
          <w:rFonts w:ascii="Arial" w:hAnsi="Arial" w:cs="Arial"/>
          <w:color w:val="000000" w:themeColor="text1"/>
          <w:sz w:val="22"/>
          <w:szCs w:val="22"/>
        </w:rPr>
        <w:t>. When looking at MPA assessments, I first considered the Kenny Music Performance Anxiety Inventory (K</w:t>
      </w:r>
      <w:r>
        <w:rPr>
          <w:rFonts w:ascii="Arial" w:hAnsi="Arial" w:cs="Arial"/>
          <w:color w:val="000000" w:themeColor="text1"/>
          <w:sz w:val="22"/>
          <w:szCs w:val="22"/>
        </w:rPr>
        <w:noBreakHyphen/>
        <w:t xml:space="preserve">MPAI)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{"citationID":"R7qcVuLL","properties":{"unsorted":false,"formattedCitation":"(Kenny, 2023)","plainCitation":"(Kenny, 2023)","noteIndex":0},"citationItems":[{"id":86,"uris":["http://zotero.org/users/20030753/items/NBIZ6X8D"],"itemData":{"id":86,"type":"article-journal","abstract":"I commenced my academic exploration of music performance anxiety in a study with opera chorus artists from Opera Australia in 2004. I subsequently postulated a new theory of the aetiology of music performance anxiety and began the development of the Kenny Music Performance Anxiety Inventory (K-MPAI) to assess the hypothesized theoretical constructs underpinning its diverse clinical presentations. I proposed a new definition of music performance anxiety in 2009 and revised the item content of the K-MPAI from 26 to 40 in 2011. Over the ensuing years, many researchers have used the K-MPAI in studies on a wide variety of musicians, including vocalists and instrumentalists, popular and classical musicians, tertiary music students, and professional, solo, orchestral, ensemble, band, and community musicians. To date, the K-MPAI has been reported in more than 400 studies and has been translated into 21 languages. It has been the subject of more than 39 dissertations. In this paper, I examine the research that has used the K-MPAI to ascertain how well the theory, assessment tool, and its cross-cultural validation have provided evidence for its factorial structure, robustness, and utility. The evidence indicates that the factorial structure remains consistent across cultures and different populations of musicians. It has good discriminative ability and utility for diagnostic purposes. I conclude with some reflections on how the K-MPAI can guide therapeutic interventions and with some thoughts on future directions.","container-title":"Frontiers in Psychology","DOI":"10.3389/fpsyg.2023.1143359","ISSN":"1664-1078","journalAbbreviation":"Front. Psychol.","language":"English","publisher":"Frontiers","source":"Frontiers","title":"The Kenny music performance anxiety inventory (K-MPAI): Scale construction, cross-cultural validation, theoretical underpinnings, and diagnostic and therapeutic utility","title-short":"The Kenny music performance anxiety inventory (K-MPAI)","URL":"https://www.frontiersin.org/journals/psychology/articles/10.3389/fpsyg.2023.1143359/full","volume":"14","author":[{"family":"Kenny","given":"Dianna Theadora"}],"accessed":{"date-parts":[["2026",4,15]]},"issued":{"date-parts":[["2023",5,26]]}}}],"schema":"https://github.com/citation-style-language/schema/raw/master/csl-citation.json"}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(Kenny, 2023)</w:t>
      </w:r>
      <w:r>
        <w:rPr>
          <w:rFonts w:ascii="Arial" w:hAnsi="Arial" w:cs="Arial"/>
          <w:color w:val="000000" w:themeColor="text1"/>
          <w:sz w:val="22"/>
          <w:szCs w:val="22"/>
        </w:rPr>
        <w:fldChar w:fldCharType="end"/>
      </w:r>
      <w:r>
        <w:rPr>
          <w:rFonts w:ascii="Arial" w:hAnsi="Arial" w:cs="Arial"/>
          <w:color w:val="000000" w:themeColor="text1"/>
          <w:sz w:val="22"/>
          <w:szCs w:val="22"/>
        </w:rPr>
        <w:t>. While I could find evidence of it being a very robust tool, reducing its 40 items to 5–10 would greatly affect its validity, and including all 40 items conflicted with my aim of accessibility. In response, I decided to use the five</w:t>
      </w:r>
      <w:r>
        <w:rPr>
          <w:rFonts w:ascii="Arial" w:hAnsi="Arial" w:cs="Arial"/>
          <w:color w:val="000000" w:themeColor="text1"/>
          <w:sz w:val="22"/>
          <w:szCs w:val="22"/>
        </w:rPr>
        <w:noBreakHyphen/>
        <w:t>item Mazzarolo Music Performance Anxiety Scale (M</w:t>
      </w:r>
      <w:r>
        <w:rPr>
          <w:rFonts w:ascii="Arial" w:hAnsi="Arial" w:cs="Arial"/>
          <w:color w:val="000000" w:themeColor="text1"/>
          <w:sz w:val="22"/>
          <w:szCs w:val="22"/>
        </w:rPr>
        <w:noBreakHyphen/>
        <w:t xml:space="preserve">MPAS)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{"citationID":"W6T5YOGt","properties":{"unsorted":false,"formattedCitation":"(Mazzarolo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(Mazzarolo and Schubert, 2022)</w:t>
      </w:r>
      <w:r>
        <w:rPr>
          <w:rFonts w:ascii="Arial" w:hAnsi="Arial" w:cs="Arial"/>
          <w:color w:val="000000" w:themeColor="text1"/>
          <w:sz w:val="22"/>
          <w:szCs w:val="22"/>
        </w:rPr>
        <w:fldChar w:fldCharType="end"/>
      </w:r>
      <w:r>
        <w:rPr>
          <w:rFonts w:ascii="Arial" w:hAnsi="Arial" w:cs="Arial"/>
          <w:color w:val="000000" w:themeColor="text1"/>
          <w:sz w:val="22"/>
          <w:szCs w:val="22"/>
        </w:rPr>
        <w:t>, which was specifically designed as a brief screener. This decision reflects my ongoing negotiation between psychometric rigour and the practical constraint of keeping the tool under approximately 30 questions.</w:t>
      </w:r>
    </w:p>
    <w:p w14:paraId="243BCD1A" w14:textId="3662450E" w:rsidR="00B95F99"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As the content grew, I also needed to make decisions about </w:t>
      </w:r>
      <w:r>
        <w:rPr>
          <w:rFonts w:ascii="Arial" w:hAnsi="Arial" w:cs="Arial"/>
          <w:i/>
          <w:iCs/>
          <w:color w:val="000000" w:themeColor="text1"/>
          <w:sz w:val="22"/>
          <w:szCs w:val="22"/>
        </w:rPr>
        <w:t>who</w:t>
      </w:r>
      <w:r>
        <w:rPr>
          <w:rFonts w:ascii="Arial" w:hAnsi="Arial" w:cs="Arial"/>
          <w:color w:val="000000" w:themeColor="text1"/>
          <w:sz w:val="22"/>
          <w:szCs w:val="22"/>
        </w:rPr>
        <w:t> would see </w:t>
      </w:r>
      <w:r>
        <w:rPr>
          <w:rFonts w:ascii="Arial" w:hAnsi="Arial" w:cs="Arial"/>
          <w:i/>
          <w:iCs/>
          <w:color w:val="000000" w:themeColor="text1"/>
          <w:sz w:val="22"/>
          <w:szCs w:val="22"/>
        </w:rPr>
        <w:t>which</w:t>
      </w:r>
      <w:r>
        <w:rPr>
          <w:rFonts w:ascii="Arial" w:hAnsi="Arial" w:cs="Arial"/>
          <w:color w:val="000000" w:themeColor="text1"/>
          <w:sz w:val="22"/>
          <w:szCs w:val="22"/>
        </w:rPr>
        <w:t xml:space="preserve"> questions. In my early drafts, all users saw all scales, but I intuited that this could be </w:t>
      </w:r>
      <w:r>
        <w:rPr>
          <w:rFonts w:ascii="Arial" w:hAnsi="Arial" w:cs="Arial"/>
          <w:color w:val="000000" w:themeColor="text1"/>
          <w:sz w:val="22"/>
          <w:szCs w:val="22"/>
        </w:rPr>
        <w:lastRenderedPageBreak/>
        <w:t>confusing for non</w:t>
      </w:r>
      <w:r>
        <w:rPr>
          <w:rFonts w:ascii="Arial" w:hAnsi="Arial" w:cs="Arial"/>
          <w:color w:val="000000" w:themeColor="text1"/>
          <w:sz w:val="22"/>
          <w:szCs w:val="22"/>
        </w:rPr>
        <w:noBreakHyphen/>
        <w:t>singers. Drawing on my experience with intake forms in studio settings, I implemented conditional branching: in the online artefact, both the S</w:t>
      </w:r>
      <w:r>
        <w:rPr>
          <w:rFonts w:ascii="Arial" w:hAnsi="Arial" w:cs="Arial"/>
          <w:color w:val="000000" w:themeColor="text1"/>
          <w:sz w:val="22"/>
          <w:szCs w:val="22"/>
        </w:rPr>
        <w:noBreakHyphen/>
        <w:t>VHI</w:t>
      </w:r>
      <w:r>
        <w:rPr>
          <w:rFonts w:ascii="Arial" w:hAnsi="Arial" w:cs="Arial"/>
          <w:color w:val="000000" w:themeColor="text1"/>
          <w:sz w:val="22"/>
          <w:szCs w:val="22"/>
        </w:rPr>
        <w:noBreakHyphen/>
        <w:t>10 and the M</w:t>
      </w:r>
      <w:r>
        <w:rPr>
          <w:rFonts w:ascii="Arial" w:hAnsi="Arial" w:cs="Arial"/>
          <w:color w:val="000000" w:themeColor="text1"/>
          <w:sz w:val="22"/>
          <w:szCs w:val="22"/>
        </w:rPr>
        <w:noBreakHyphen/>
        <w:t>MPAS blocks only appear if the client indicates on the first screen that they sing regularly or identify as a performer. The user must check a box on the ‘basic information’ page if they sing regularly as a work or hobby (see picture below). This branching required additional programming effort, but it allowed me to keep the questionnaire relevant and reduced the risk of non</w:t>
      </w:r>
      <w:r>
        <w:rPr>
          <w:rFonts w:ascii="Arial" w:hAnsi="Arial" w:cs="Arial"/>
          <w:color w:val="000000" w:themeColor="text1"/>
          <w:sz w:val="22"/>
          <w:szCs w:val="22"/>
        </w:rPr>
        <w:noBreakHyphen/>
        <w:t>performers disengaging when faced with items that did not apply to their voice use. After this stage, I considered that these five tools together provided the biopsychosocial discernment I wanted: general voice handicap, singing voice handicap, reflux symptoms, general anxiety and performance anxiety.</w:t>
      </w:r>
    </w:p>
    <w:p w14:paraId="5EAF9A4A" w14:textId="5E60F4E0" w:rsidR="0087171D" w:rsidRPr="00A61110" w:rsidRDefault="0087171D" w:rsidP="00EA40D0">
      <w:pPr>
        <w:spacing w:after="0" w:line="360" w:lineRule="auto"/>
        <w:jc w:val="cente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489F2DBF" wp14:editId="71EBD47C">
            <wp:extent cx="4492025" cy="558800"/>
            <wp:effectExtent l="0" t="0" r="3810" b="0"/>
            <wp:docPr id="66137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3704" name="Picture 6613704"/>
                    <pic:cNvPicPr/>
                  </pic:nvPicPr>
                  <pic:blipFill rotWithShape="1">
                    <a:blip r:embed="rId13" cstate="print">
                      <a:extLst>
                        <a:ext uri="{28A0092B-C50C-407E-A947-70E740481C1C}">
                          <a14:useLocalDpi xmlns:a14="http://schemas.microsoft.com/office/drawing/2010/main" val="0"/>
                        </a:ext>
                      </a:extLst>
                    </a:blip>
                    <a:srcRect l="2707" t="81770" r="1407" b="1166"/>
                    <a:stretch>
                      <a:fillRect/>
                    </a:stretch>
                  </pic:blipFill>
                  <pic:spPr bwMode="auto">
                    <a:xfrm>
                      <a:off x="0" y="0"/>
                      <a:ext cx="4585925" cy="570481"/>
                    </a:xfrm>
                    <a:prstGeom prst="rect">
                      <a:avLst/>
                    </a:prstGeom>
                    <a:ln>
                      <a:noFill/>
                    </a:ln>
                    <a:extLst>
                      <a:ext uri="{53640926-AAD7-44D8-BBD7-CCE9431645EC}">
                        <a14:shadowObscured xmlns:a14="http://schemas.microsoft.com/office/drawing/2010/main"/>
                      </a:ext>
                    </a:extLst>
                  </pic:spPr>
                </pic:pic>
              </a:graphicData>
            </a:graphic>
          </wp:inline>
        </w:drawing>
      </w:r>
    </w:p>
    <w:p w14:paraId="703A59D8" w14:textId="77777777" w:rsidR="0087171D" w:rsidRDefault="0087171D" w:rsidP="004300F8">
      <w:pPr>
        <w:spacing w:after="0" w:line="360" w:lineRule="auto"/>
        <w:ind w:firstLine="720"/>
        <w:rPr>
          <w:rFonts w:ascii="Arial" w:hAnsi="Arial" w:cs="Arial"/>
          <w:color w:val="000000" w:themeColor="text1"/>
          <w:sz w:val="22"/>
          <w:szCs w:val="22"/>
        </w:rPr>
      </w:pPr>
    </w:p>
    <w:p w14:paraId="25381AFD" w14:textId="6DD8AF54"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Designing the results page required another set of procedural decisions. After completing the questionnaire, the person receives their results as a colour</w:t>
      </w:r>
      <w:r>
        <w:rPr>
          <w:rFonts w:ascii="Arial" w:hAnsi="Arial" w:cs="Arial"/>
          <w:color w:val="000000" w:themeColor="text1"/>
          <w:sz w:val="22"/>
          <w:szCs w:val="22"/>
        </w:rPr>
        <w:noBreakHyphen/>
        <w:t xml:space="preserve">coded score: green, yellow, orange or red, in order of severity (see picture below). I used Claude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{"citationID":"EkKm665O","properties":{"unsorted":false,"formattedCitation":"(Anthropic, 2026)","plainCitation":"(Anthropic, 2026)","noteIndex":0},"citationItems":[{"id":179,"uris":["http://zotero.org/users/20030753/items/N2DSU3LB"],"itemData":{"id":179,"type":"software","collection-title":"Sonnet","title":"Claude","URL":"claude.ai","version":"4.6","author":[{"family":"Anthropic","given":""}],"issued":{"date-parts":[["2026",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(Anthropic, 2026)</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to develop a simple algorithm that sums the item scores within each scale, calculates a composite “voice total”, and then maps this to the four levels using thresholds adapted from the original VHI and RSI cut</w:t>
      </w:r>
      <w:r>
        <w:rPr>
          <w:rFonts w:ascii="Arial" w:hAnsi="Arial" w:cs="Arial"/>
          <w:color w:val="000000" w:themeColor="text1"/>
          <w:sz w:val="22"/>
          <w:szCs w:val="22"/>
        </w:rPr>
        <w:noBreakHyphen/>
        <w:t>offs. I chose a colour</w:t>
      </w:r>
      <w:r>
        <w:rPr>
          <w:rFonts w:ascii="Arial" w:hAnsi="Arial" w:cs="Arial"/>
          <w:color w:val="000000" w:themeColor="text1"/>
          <w:sz w:val="22"/>
          <w:szCs w:val="22"/>
        </w:rPr>
        <w:noBreakHyphen/>
        <w:t>coded system because, in my teaching and therapy work, I have found that clients respond better to simple visual feedback than to raw numbers alone. Each colour is accompanied by a short description in plain language and a series of recommendations (for example, preventive tips for green, vocal coaching for yellow, voice therapy for orange and ENT referral for red), which transforms abstract scores into concrete next steps. This structure was not simply a visual preference: the green-to-red progression directly reflects the symptom-severity stratification framework I described in the Know-That section, where the evidence shows that matching intervention intensity to clinical need improves appropriate professional allocation</w:t>
      </w:r>
      <w:r w:rsidR="009905EA">
        <w:rPr>
          <w:rFonts w:ascii="Arial" w:hAnsi="Arial" w:cs="Arial"/>
          <w:color w:val="000000" w:themeColor="text1"/>
          <w:sz w:val="22"/>
          <w:szCs w:val="22"/>
        </w:rPr>
        <w:t xml:space="preserve"> </w:t>
      </w:r>
      <w:r w:rsidR="009905EA">
        <w:rPr>
          <w:rFonts w:ascii="Arial" w:hAnsi="Arial" w:cs="Arial"/>
          <w:color w:val="000000" w:themeColor="text1"/>
          <w:sz w:val="22"/>
          <w:szCs w:val="22"/>
        </w:rPr>
        <w:fldChar w:fldCharType="begin"/>
      </w:r>
      <w:r w:rsidR="009905EA">
        <w:rPr>
          <w:rFonts w:ascii="Arial" w:hAnsi="Arial" w:cs="Arial"/>
          <w:color w:val="000000" w:themeColor="text1"/>
          <w:sz w:val="22"/>
          <w:szCs w:val="22"/>
        </w:rPr>
        <w:instrText xml:space="preserve"> ADDIN ZOTERO_ITEM CSL_CITATION {"citationID":"IQ1AT0bR","properties":{"unsorted":false,"formattedCitation":"(Starmer {\\i{}et al.}, 2014; Misono {\\i{}et al.}, 2016)","plainCitation":"(Starmer et al., 2014; Misono et al., 2016)","noteIndex":0},"citationItems":[{"id":2,"uris":["http://zotero.org/users/20030753/items/PT693X4J"],"itemData":{"id":2,"type":"article-journal","abstract":"Objectives:\n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M."},{"family":"Gourin","given":"Christine"}],"issued":{"date-parts":[["2014",2]]}}},{"id":6,"uris":["http://zotero.org/users/20030753/items/W6ILPALJ"],"itemData":{"id":6,"type":"article-journal","abstract":"Objectives. To assess perspectives of patients with voice problems and identify factors associated with the likelihood of referral to voice therapy via the CHEER (Creating Healthcare Excellence through Education and Research) practice-based research network infrastructure. Study Design. Prospectively enrolled cross-sectional study of CHEER patients seen for a voice problem (dysphonia). Setting. The CHEER network of community and academic sites.\nMethods. Patient-reported demographic information, nature and severity of voice problems, clinical diagnoses, and proposed treatment plans were collected. The relationship between patient factors and voice therapy referral was investigated.\nResults. Patients (N = 249) were identified over 12 months from 10 sites comprising 30 otolaryngology physicians. The majority were women (68%) and white (82%). Most patients reported a recurrent voice problem (72%) and symptom duration .4 weeks (89%). The most commonly reported voicerelated diagnoses were vocal strain, reflux, and benign vocal fold lesions. Sixty-seven percent of enrolled patients reported receiving a recommendation for voice therapy. After adjusting for sociodemographic and other factors, diagnoses including vocal strain/excessive tension and vocal fold paralysis and academic practice type were associated with increased likelihood of reporting a referral for voice therapy.\nConclusions. The CHEER network successfully enrolled a representative sample of patients with dysphonia. Common diagnoses were vocal strain, reflux, and benign vocal fold lesions; commonly reported treatment recommendations included speech/voice therapy and antireflux medication. Recommendation for speech/voice therapy was associated with academic practice type.","container-title":"Otolaryngology–Head and Neck Surgery","DOI":"10.1177/0194599816639244","ISSN":"0194-5998, 1097-6817","issue":"1","journalAbbreviation":"Otolaryngol.--head neck surg.","language":"en","page":"33-41","source":"DOI.org (Crossref)","title":"Multi</w:instrText>
      </w:r>
      <w:r w:rsidR="009905EA">
        <w:rPr>
          <w:rFonts w:ascii="Cambria Math" w:hAnsi="Cambria Math" w:cs="Cambria Math"/>
          <w:color w:val="000000" w:themeColor="text1"/>
          <w:sz w:val="22"/>
          <w:szCs w:val="22"/>
        </w:rPr>
        <w:instrText>‐</w:instrText>
      </w:r>
      <w:r w:rsidR="009905EA">
        <w:rPr>
          <w:rFonts w:ascii="Arial" w:hAnsi="Arial" w:cs="Arial"/>
          <w:color w:val="000000" w:themeColor="text1"/>
          <w:sz w:val="22"/>
          <w:szCs w:val="22"/>
        </w:rPr>
        <w:instrText>institutional Study of Voice Disorders and Voice Therapy Referral: Report from the CHEER Network","title-short":"Multi</w:instrText>
      </w:r>
      <w:r w:rsidR="009905EA">
        <w:rPr>
          <w:rFonts w:ascii="Cambria Math" w:hAnsi="Cambria Math" w:cs="Cambria Math"/>
          <w:color w:val="000000" w:themeColor="text1"/>
          <w:sz w:val="22"/>
          <w:szCs w:val="22"/>
        </w:rPr>
        <w:instrText>‐</w:instrText>
      </w:r>
      <w:r w:rsidR="009905EA">
        <w:rPr>
          <w:rFonts w:ascii="Arial" w:hAnsi="Arial" w:cs="Arial"/>
          <w:color w:val="000000" w:themeColor="text1"/>
          <w:sz w:val="22"/>
          <w:szCs w:val="22"/>
        </w:rPr>
        <w:instrText xml:space="preserve">institutional Study of Voice Disorders and Voice Therapy Referral","volume":"155","author":[{"family":"Misono","given":"Stephanie"},{"family":"Marmor","given":"Schelomo"},{"family":"Roy","given":"Nelson"},{"family":"Mau","given":"Ted"},{"family":"Cohen","given":"Seth M."}],"issued":{"date-parts":[["2016",7]]}}}],"schema":"https://github.com/citation-style-language/schema/raw/master/csl-citation.json"} </w:instrText>
      </w:r>
      <w:r w:rsidR="009905EA">
        <w:rPr>
          <w:rFonts w:ascii="Arial" w:hAnsi="Arial" w:cs="Arial"/>
          <w:color w:val="000000" w:themeColor="text1"/>
          <w:sz w:val="22"/>
          <w:szCs w:val="22"/>
        </w:rPr>
        <w:fldChar w:fldCharType="separate"/>
      </w:r>
      <w:r w:rsidR="009905EA" w:rsidRPr="00276A99">
        <w:rPr>
          <w:rFonts w:ascii="Arial" w:hAnsi="Arial" w:cs="Arial"/>
          <w:color w:val="000000"/>
          <w:kern w:val="0"/>
          <w:sz w:val="22"/>
          <w:lang w:val="en-US"/>
        </w:rPr>
        <w:t xml:space="preserve">(Starmer </w:t>
      </w:r>
      <w:r w:rsidR="009905EA" w:rsidRPr="00276A99">
        <w:rPr>
          <w:rFonts w:ascii="Arial" w:hAnsi="Arial" w:cs="Arial"/>
          <w:i/>
          <w:iCs/>
          <w:color w:val="000000"/>
          <w:kern w:val="0"/>
          <w:sz w:val="22"/>
          <w:lang w:val="en-US"/>
        </w:rPr>
        <w:t>et al.</w:t>
      </w:r>
      <w:r w:rsidR="009905EA" w:rsidRPr="00276A99">
        <w:rPr>
          <w:rFonts w:ascii="Arial" w:hAnsi="Arial" w:cs="Arial"/>
          <w:color w:val="000000"/>
          <w:kern w:val="0"/>
          <w:sz w:val="22"/>
          <w:lang w:val="en-US"/>
        </w:rPr>
        <w:t xml:space="preserve">, 2014; Misono </w:t>
      </w:r>
      <w:r w:rsidR="009905EA" w:rsidRPr="00276A99">
        <w:rPr>
          <w:rFonts w:ascii="Arial" w:hAnsi="Arial" w:cs="Arial"/>
          <w:i/>
          <w:iCs/>
          <w:color w:val="000000"/>
          <w:kern w:val="0"/>
          <w:sz w:val="22"/>
          <w:lang w:val="en-US"/>
        </w:rPr>
        <w:t>et al.</w:t>
      </w:r>
      <w:r w:rsidR="009905EA" w:rsidRPr="00276A99">
        <w:rPr>
          <w:rFonts w:ascii="Arial" w:hAnsi="Arial" w:cs="Arial"/>
          <w:color w:val="000000"/>
          <w:kern w:val="0"/>
          <w:sz w:val="22"/>
          <w:lang w:val="en-US"/>
        </w:rPr>
        <w:t>, 2016)</w:t>
      </w:r>
      <w:r w:rsidR="009905EA">
        <w:rPr>
          <w:rFonts w:ascii="Arial" w:hAnsi="Arial" w:cs="Arial"/>
          <w:color w:val="000000" w:themeColor="text1"/>
          <w:sz w:val="22"/>
          <w:szCs w:val="22"/>
        </w:rPr>
        <w:fldChar w:fldCharType="end"/>
      </w:r>
      <w:r>
        <w:rPr>
          <w:rFonts w:ascii="Arial" w:hAnsi="Arial" w:cs="Arial"/>
          <w:color w:val="000000" w:themeColor="text1"/>
          <w:sz w:val="22"/>
          <w:szCs w:val="22"/>
        </w:rPr>
        <w:t>. Grounding the colour-coded design in that literature was a deliberate choice to ensure the results page functioned as an evidence-based triage tool rather than an aesthetic feature.</w:t>
      </w:r>
    </w:p>
    <w:p w14:paraId="74702CC1" w14:textId="77777777"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Multiple versions of the artefact were created and refined. After adding the GAD</w:t>
      </w:r>
      <w:r>
        <w:rPr>
          <w:rFonts w:ascii="Arial" w:hAnsi="Arial" w:cs="Arial"/>
          <w:color w:val="000000" w:themeColor="text1"/>
          <w:sz w:val="22"/>
          <w:szCs w:val="22"/>
        </w:rPr>
        <w:noBreakHyphen/>
        <w:t>7 and M</w:t>
      </w:r>
      <w:r>
        <w:rPr>
          <w:rFonts w:ascii="Arial" w:hAnsi="Arial" w:cs="Arial"/>
          <w:color w:val="000000" w:themeColor="text1"/>
          <w:sz w:val="22"/>
          <w:szCs w:val="22"/>
        </w:rPr>
        <w:noBreakHyphen/>
        <w:t>MPAS, I realised that, despite using short forms, the questionnaire felt too long and dense on screen. Some items overlapped in meaning or were worded in ways that sounded too clinical. Drawing on my day</w:t>
      </w:r>
      <w:r>
        <w:rPr>
          <w:rFonts w:ascii="Arial" w:hAnsi="Arial" w:cs="Arial"/>
          <w:color w:val="000000" w:themeColor="text1"/>
          <w:sz w:val="22"/>
          <w:szCs w:val="22"/>
        </w:rPr>
        <w:noBreakHyphen/>
        <w:t>to</w:t>
      </w:r>
      <w:r>
        <w:rPr>
          <w:rFonts w:ascii="Arial" w:hAnsi="Arial" w:cs="Arial"/>
          <w:color w:val="000000" w:themeColor="text1"/>
          <w:sz w:val="22"/>
          <w:szCs w:val="22"/>
        </w:rPr>
        <w:noBreakHyphen/>
        <w:t xml:space="preserve">day experience of how clients talk about their voices, I revised the </w:t>
      </w:r>
      <w:r>
        <w:rPr>
          <w:rFonts w:ascii="Arial" w:hAnsi="Arial" w:cs="Arial"/>
          <w:color w:val="000000" w:themeColor="text1"/>
          <w:sz w:val="22"/>
          <w:szCs w:val="22"/>
        </w:rPr>
        <w:lastRenderedPageBreak/>
        <w:t>wording for clarity, removed questions that seemed repetitive or inconsequential to my judgement and adjusted the order of items to create a more intuitive flow. For example, I grouped all symptom</w:t>
      </w:r>
      <w:r>
        <w:rPr>
          <w:rFonts w:ascii="Arial" w:hAnsi="Arial" w:cs="Arial"/>
          <w:color w:val="000000" w:themeColor="text1"/>
          <w:sz w:val="22"/>
          <w:szCs w:val="22"/>
        </w:rPr>
        <w:noBreakHyphen/>
        <w:t>based items before those dealing with emotional or social impact so that users could move from “what I feel in my throat” to “how this affects my life” in a logical progression. This iterative editing process is where my experiential knowledge as a practitioner was most visible: I continually weighed what would be ideal from a research perspective against what I knew real people would actually complete and understand.</w:t>
      </w:r>
    </w:p>
    <w:p w14:paraId="0E71E7F2" w14:textId="17E87098" w:rsidR="00B95F99" w:rsidRPr="00A61110" w:rsidRDefault="00B95F99"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Through these cycles of building, reflecting and refining the artefact, I learned to translate broad concepts such as the biopsychosocial model and practice</w:t>
      </w:r>
      <w:r>
        <w:rPr>
          <w:rFonts w:ascii="Arial" w:hAnsi="Arial" w:cs="Arial"/>
          <w:color w:val="000000" w:themeColor="text1"/>
          <w:sz w:val="22"/>
          <w:szCs w:val="22"/>
        </w:rPr>
        <w:noBreakHyphen/>
        <w:t>based research into very concrete design choices: which items to keep, how many pages to use, what colours to assign to each triage level, and when to hide or show certain scales. The final version of the questionnaire reflects not only published evidence but also my accumulated hands</w:t>
      </w:r>
      <w:r>
        <w:rPr>
          <w:rFonts w:ascii="Arial" w:hAnsi="Arial" w:cs="Arial"/>
          <w:color w:val="000000" w:themeColor="text1"/>
          <w:sz w:val="22"/>
          <w:szCs w:val="22"/>
        </w:rPr>
        <w:noBreakHyphen/>
        <w:t>on experience working with voice clients in Puerto Rico, and it is this combination of procedural skill and embodied knowledge that underpins the Know</w:t>
      </w:r>
      <w:r>
        <w:rPr>
          <w:rFonts w:ascii="Arial" w:hAnsi="Arial" w:cs="Arial"/>
          <w:color w:val="000000" w:themeColor="text1"/>
          <w:sz w:val="22"/>
          <w:szCs w:val="22"/>
        </w:rPr>
        <w:noBreakHyphen/>
        <w:t>How dimension of my project.</w:t>
      </w:r>
    </w:p>
    <w:p w14:paraId="08C66E8B" w14:textId="77777777" w:rsidR="004300F8" w:rsidRPr="00A61110" w:rsidRDefault="004300F8" w:rsidP="004300F8">
      <w:pPr>
        <w:spacing w:after="0" w:line="360" w:lineRule="auto"/>
        <w:ind w:firstLine="720"/>
        <w:rPr>
          <w:rFonts w:ascii="Arial" w:hAnsi="Arial" w:cs="Arial"/>
          <w:color w:val="000000" w:themeColor="text1"/>
          <w:sz w:val="22"/>
          <w:szCs w:val="22"/>
        </w:rPr>
      </w:pPr>
    </w:p>
    <w:p w14:paraId="4A210C83" w14:textId="402C2DE5" w:rsidR="00B95F99" w:rsidRPr="00A61110" w:rsidRDefault="00B95F99"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 xml:space="preserve">Know-What </w:t>
      </w:r>
    </w:p>
    <w:p w14:paraId="03B87B39" w14:textId="4934B353" w:rsidR="00D75891" w:rsidRDefault="00D75891" w:rsidP="004300F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My overall aim was to create a short, evidence-based online self</w:t>
      </w:r>
      <w:r>
        <w:rPr>
          <w:rFonts w:ascii="Arial" w:hAnsi="Arial" w:cs="Arial"/>
          <w:color w:val="000000" w:themeColor="text1"/>
          <w:sz w:val="22"/>
          <w:szCs w:val="22"/>
        </w:rPr>
        <w:noBreakHyphen/>
        <w:t xml:space="preserve">assessment questionnaire that guides users toward appropriate professional voice care within the </w:t>
      </w:r>
      <w:r>
        <w:rPr>
          <w:rFonts w:ascii="Arial" w:hAnsi="Arial" w:cs="Arial"/>
          <w:i/>
          <w:iCs/>
          <w:color w:val="000000" w:themeColor="text1"/>
          <w:sz w:val="22"/>
          <w:szCs w:val="22"/>
        </w:rPr>
        <w:t xml:space="preserve">Vocare </w:t>
      </w:r>
      <w:r>
        <w:rPr>
          <w:rFonts w:ascii="Arial" w:hAnsi="Arial" w:cs="Arial"/>
          <w:color w:val="000000" w:themeColor="text1"/>
          <w:sz w:val="22"/>
          <w:szCs w:val="22"/>
        </w:rPr>
        <w:t>network. This aim is directly reflected in the content of the artefact: the questionnaire gathers self</w:t>
      </w:r>
      <w:r>
        <w:rPr>
          <w:rFonts w:ascii="Arial" w:hAnsi="Arial" w:cs="Arial"/>
          <w:color w:val="000000" w:themeColor="text1"/>
          <w:sz w:val="22"/>
          <w:szCs w:val="22"/>
        </w:rPr>
        <w:noBreakHyphen/>
        <w:t>reported information across five domains—general voice handicap, singing</w:t>
      </w:r>
      <w:r>
        <w:rPr>
          <w:rFonts w:ascii="Arial" w:hAnsi="Arial" w:cs="Arial"/>
          <w:color w:val="000000" w:themeColor="text1"/>
          <w:sz w:val="22"/>
          <w:szCs w:val="22"/>
        </w:rPr>
        <w:noBreakHyphen/>
        <w:t>voice handicap, reflux</w:t>
      </w:r>
      <w:r>
        <w:rPr>
          <w:rFonts w:ascii="Arial" w:hAnsi="Arial" w:cs="Arial"/>
          <w:color w:val="000000" w:themeColor="text1"/>
          <w:sz w:val="22"/>
          <w:szCs w:val="22"/>
        </w:rPr>
        <w:noBreakHyphen/>
        <w:t>related symptoms, generalised anxiety and music performance anxiety—and then converts these data into a four</w:t>
      </w:r>
      <w:r>
        <w:rPr>
          <w:rFonts w:ascii="Arial" w:hAnsi="Arial" w:cs="Arial"/>
          <w:color w:val="000000" w:themeColor="text1"/>
          <w:sz w:val="22"/>
          <w:szCs w:val="22"/>
        </w:rPr>
        <w:noBreakHyphen/>
        <w:t xml:space="preserve">level triage outcome (green, yellow, orange, red) with associated recommendations. On the first screen, the demographic items (see picture below) on hours of daily voice use and primary voice role embed knowledge about vocal load as a risk factor for dysphonia, which has been highlighted in studies of occupational voice users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{"citationID":"3ZPTowoy","properties":{"unsorted":false,"formattedCitation":"(Spina {\\i{}et al.}, 2015)","plainCitation":"(Spina et al., 2015)","noteIndex":0},"citationItems":[{"id":241,"uris":["http://zotero.org/users/20030753/items/ALGRBBTJ"],"itemData":{"id":241,"type":"article-journal","abstract":"null\nDysphonia may impair the quality of communication and social relations of people, thereby directly affecting quality of life. It is common knowledge amongst professionals involved with the treatment of voice disorders the need for objective protocols to evaluate voice quality and measure its impact on the individual's quality of life.\n\nAim\nTo associate life quality with the degree of dysphonia and professional voice use in a group of dysphonic patients.\n\nMaterials and Methods\nA prospective clinical study was undertaken with a group of dysphonic patients using an internationally validated voice-related quality-of-life protocol. A statistical analysis of the results was carried out, not distinguishing between those who use their voices professionally and those who don't.\n\nResults\ndysphonia had an impact on the quality of life of all patients. There was no statistically significant difference between the groups - professional users and non-users of their voices; however, considering the groups separately, this correlation was significant only in the group of patients who do not use their voices professionally.\n\nConclusion\nDysphonia affected the quality of life of all subjects regardless of their voice use.","container-title":"Brazilian Journal of Otorhinolaryngology","DOI":"10.1016/S1808-8694(15)30790-4","ISSN":"1808-8694","issue":"2","journalAbbreviation":"Braz J Otorhinolaryngol","page":"275-279","PMID":"19575116","PMCID":"PMC9450618","source":"PubMed Central","title":"Correlation between voice and life quality and occupation","volume":"75","author":[{"family":"Spina","given":"Ana Lúcia"},{"family":"Maunsell","given":"Rebecca"},{"family":"Sandalo","given":"Karine"},{"family":"Gusmão","given":"Reinaldo"},{"family":"Crespo","given":"Agrício"}],"issued":{"date-parts":[["2015",10,19]]}}}],"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(Spina </w:t>
      </w:r>
      <w:r>
        <w:rPr>
          <w:rFonts w:ascii="Arial" w:hAnsi="Arial" w:cs="Arial"/>
          <w:i/>
          <w:iCs/>
          <w:color w:val="000000"/>
          <w:kern w:val="0"/>
          <w:sz w:val="22"/>
          <w:lang w:val="en-US"/>
        </w:rPr>
        <w:t>et al.</w:t>
      </w:r>
      <w:r>
        <w:rPr>
          <w:rFonts w:ascii="Arial" w:hAnsi="Arial" w:cs="Arial"/>
          <w:color w:val="000000"/>
          <w:kern w:val="0"/>
          <w:sz w:val="22"/>
          <w:lang w:val="en-US"/>
        </w:rPr>
        <w:t>, 2015)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Together, these domains capture the biological, psychological and social aspects of vocal health that underpin Engel’s biopsychosocial model of illness and its later applications in voice care </w:t>
      </w:r>
      <w:r>
        <w:rPr>
          <w:rFonts w:ascii="Arial" w:hAnsi="Arial" w:cs="Arial"/>
          <w:color w:val="000000" w:themeColor="text1"/>
          <w:sz w:val="22"/>
          <w:szCs w:val="22"/>
        </w:rPr>
        <w:fldChar w:fldCharType="begin"/>
      </w:r>
      <w:r w:rsidR="009905EA">
        <w:rPr>
          <w:rFonts w:ascii="Arial" w:hAnsi="Arial" w:cs="Arial"/>
          <w:color w:val="000000" w:themeColor="text1"/>
          <w:sz w:val="22"/>
          <w:szCs w:val="22"/>
        </w:rPr>
        <w:instrText xml:space="preserve"> ADDIN ZOTERO_ITEM CSL_CITATION {"citationID":"dEnzjOu8","properties":{"unsorted":false,"formattedCitation":"(Engel, 1977; Adler, 2009)","plainCitation":"(Engel, 1977; Adler, 2009)","noteIndex":0},"citationItems":[{"id":190,"uris":["http://zotero.org/users/20030753/items/7RRWHVY4"],"itemData":{"id":190,"type":"article-journal","abstract":"The dominant model of disease today is biomedical, and it leaves no room within tis framework for the social, psychological, and behavioral dimensions of illness. A biopsychosocial model is proposed that provides a blueprint for research, a framework for teaching, and a design for action in the real world of health care.","container-title":"Science","DOI":"10.1126/science.847460","ISSN":"0036-8075","issue":"4286","journalAbbreviation":"Science","language":"eng","page":"129-136","PMID":"847460","publisher-place":"New York, N.Y.","source":"PubMed","title":"The need for a new medical model: a challenge for biomedicine","title-short":"The need for a new medical model","volume":"196","author":[{"family":"Engel","given":"G. L."}],"issued":{"date-parts":[["1977",4,8]]}}},{"id":"J2csjAgN/CMhzpYV3","uris":["http://zotero.org/users/20030753/items/HYRR8E6D"],"itemData":{"id":188,"type":"article-journal","abstract":"In 1977, Engel published the seminal paper, \"The Need for a New Medical Model: A Challenge for Biomedicine\" [Science 196 (1977) 129-136]. He featured a biopsychosocial (BPS) model based on systems theory and on the hierarchical organization of organisms. In this essay, the model is extended by the introduction of semiotics and constructivism. Semiotics provides the language which allows to describe the relationships between the individual and his environment. Constructivism explains how an organism perceives his environment. The impact of the BPS model on research, medical education, and application in the practice of medicine is discussed.","container-title":"Journal of Psychosomatic Research","DOI":"10.1016/j.jpsychores.2009.08.008","ISSN":"1879-1360","issue":"6","journalAbbreviation":"J Psychosom Res","language":"eng","page":"607-611","PMID":"19913665","source":"PubMed","title":"Engel's biopsychosocial model is still relevant today","volume":"67","author":[{"family":"Adler","given":"Rolf H."}],"issued":{"date-parts":[["2009",12]]}}}],"schema":"https://github.com/citation-style-language/schema/raw/master/csl-citation.json"}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(Engel, 1977; Adler, 2009)</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The triage outcome embodies the guiding function of the tool by signalling how urgently, and what kind of, professional support the user might need, in line with calls for structured referral pathways in voice services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{"citationID":"e16dQ2nf","properties":{"unsorted":false,"formattedCitation":"(Starmer {\\i{}et al.}, 2014; Flock {\\i{}et al.}, 2025)","plainCitation":"(Starmer et al., 2014; Flock et al., 2025)","noteIndex":0},"citationItems":[{"id":2,"uris":["http://zotero.org/users/20030753/items/PT693X4J"],"itemData":{"id":2,"type":"article-journal","abstract":"Objectives:\n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M."},{"family":"Gourin","given":"Christine"}],"issued":{"date-parts":[["2014",2]]}}},{"id":143,"uris":["http://zotero.org/users/20030753/items/5ZXZWZMB"],"itemData":{"id":143,"type":"article-journal","container-title":"Journal of Voice","DOI":"10.1016/j.jvoice.2023.02.023","ISSN":"08921997","issue":"4","journalAbbreviation":"Journal of Voice","language":"en","page":"1137.e9-1137.e17","source":"DOI.org (Crossref)","title":"Working Together to Find a Voice: Recommendations for Voice Healthcare Based on Expert-By-Experience and Practitioner Consensus","title-short":"Working Together to Find a Voice","volume":"39","author":[{"family":"Flock","given":"Lydia"},{"family":"King","given":"Stephen R."},{"family":"Williams","given":"Jenevora"},{"family":"Finlay","given":"Emma"},{"family":"Smikle","given":"Hannah"},{"family":"Benito","given":"Monica"},{"family":"Benton-Stace","given":"Francesca"},{"family":"Brown","given":"Jenna"},{"family":"Mann-Daraz","given":"Abigail J."},{"family":"Hart","given":"Lydia"},{"family":"Mclean","given":"Keesha"},{"family":"Prucnal","given":"Zofia"},{"family":"Barry","given":"Louisa"},{"family":"Lynes","given":"Rachel"},{"family":"Toy","given":"Mel"},{"family":"Valentine","given":"Kate"},{"family":"Slattery","given":"Sam"},{"family":"Aldridge-Waddon","given":"Luke"}],"issued":{"date-parts":[["2025",7]]}}}],"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(Starmer </w:t>
      </w:r>
      <w:r>
        <w:rPr>
          <w:rFonts w:ascii="Arial" w:hAnsi="Arial" w:cs="Arial"/>
          <w:i/>
          <w:iCs/>
          <w:color w:val="000000"/>
          <w:kern w:val="0"/>
          <w:sz w:val="22"/>
          <w:lang w:val="en-US"/>
        </w:rPr>
        <w:t>et al.</w:t>
      </w:r>
      <w:r>
        <w:rPr>
          <w:rFonts w:ascii="Arial" w:hAnsi="Arial" w:cs="Arial"/>
          <w:color w:val="000000"/>
          <w:kern w:val="0"/>
          <w:sz w:val="22"/>
          <w:lang w:val="en-US"/>
        </w:rPr>
        <w:t xml:space="preserve">, 2014; Flock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w:t>
      </w:r>
    </w:p>
    <w:p w14:paraId="284BAE44" w14:textId="04C3B42C" w:rsidR="0087171D" w:rsidRPr="00A61110" w:rsidRDefault="0087171D" w:rsidP="0087171D">
      <w:pPr>
        <w:spacing w:after="0" w:line="360" w:lineRule="auto"/>
        <w:jc w:val="center"/>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62E3A199" wp14:editId="0AF17F7A">
            <wp:extent cx="3149476" cy="1865671"/>
            <wp:effectExtent l="0" t="0" r="635" b="1270"/>
            <wp:docPr id="1941988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8837" name="Picture 194198837"/>
                    <pic:cNvPicPr/>
                  </pic:nvPicPr>
                  <pic:blipFill rotWithShape="1">
                    <a:blip r:embed="rId14" cstate="print">
                      <a:extLst>
                        <a:ext uri="{28A0092B-C50C-407E-A947-70E740481C1C}">
                          <a14:useLocalDpi xmlns:a14="http://schemas.microsoft.com/office/drawing/2010/main" val="0"/>
                        </a:ext>
                      </a:extLst>
                    </a:blip>
                    <a:srcRect b="15259"/>
                    <a:stretch>
                      <a:fillRect/>
                    </a:stretch>
                  </pic:blipFill>
                  <pic:spPr bwMode="auto">
                    <a:xfrm>
                      <a:off x="0" y="0"/>
                      <a:ext cx="3181623" cy="1884714"/>
                    </a:xfrm>
                    <a:prstGeom prst="rect">
                      <a:avLst/>
                    </a:prstGeom>
                    <a:ln>
                      <a:noFill/>
                    </a:ln>
                    <a:extLst>
                      <a:ext uri="{53640926-AAD7-44D8-BBD7-CCE9431645EC}">
                        <a14:shadowObscured xmlns:a14="http://schemas.microsoft.com/office/drawing/2010/main"/>
                      </a:ext>
                    </a:extLst>
                  </pic:spPr>
                </pic:pic>
              </a:graphicData>
            </a:graphic>
          </wp:inline>
        </w:drawing>
      </w:r>
    </w:p>
    <w:p w14:paraId="575BF400" w14:textId="4A0EFECF" w:rsidR="00D75891" w:rsidRPr="00A61110" w:rsidRDefault="00D75891" w:rsidP="00FB33D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The first objective was to review peer</w:t>
      </w:r>
      <w:r>
        <w:rPr>
          <w:rFonts w:ascii="Arial" w:hAnsi="Arial" w:cs="Arial"/>
          <w:color w:val="000000" w:themeColor="text1"/>
          <w:sz w:val="22"/>
          <w:szCs w:val="22"/>
        </w:rPr>
        <w:noBreakHyphen/>
        <w:t>reviewed literature on validated voice, reflux and anxiety self</w:t>
      </w:r>
      <w:r>
        <w:rPr>
          <w:rFonts w:ascii="Arial" w:hAnsi="Arial" w:cs="Arial"/>
          <w:color w:val="000000" w:themeColor="text1"/>
          <w:sz w:val="22"/>
          <w:szCs w:val="22"/>
        </w:rPr>
        <w:noBreakHyphen/>
        <w:t>assessment tools, and this factual work is visible in the specific instruments embedded in the artefact. The Voice Handicap Index was originally developed and validated as a 30</w:t>
      </w:r>
      <w:r>
        <w:rPr>
          <w:rFonts w:ascii="Arial" w:hAnsi="Arial" w:cs="Arial"/>
          <w:color w:val="000000" w:themeColor="text1"/>
          <w:sz w:val="22"/>
          <w:szCs w:val="22"/>
        </w:rPr>
        <w:noBreakHyphen/>
        <w:t xml:space="preserve">item measure of functional, physical and emotional impact of dysphonia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{"citationID":"jOQ6kqZd","properties":{"unsorted":false,"formattedCitation":"(Jacobson {\\i{}et al.}, 1997)","plainCitation":"(Jacobson et al., 1997)","noteIndex":0},"citationItems":[{"id":194,"uris":["http://zotero.org/users/20030753/items/HWZ5TQ4Z"],"itemData":{"id":194,"type":"article-journal","abstract":"To date, no instruments exist to quantify the psychosocial consequences of voice disorders. The aim of the present investigation was the development of a statistically robust Voice Handicap Index (VHI). An 85-item version of this instrument was administered to 65 consecutive patients seen in the Voice Clinic at Henry Ford Hospital. The data were subjected to measures of internal consistency reliability and the initial 85-item version was reduced to a 30-item final version. This final version was administered to 63 consecutive patients on two occasions in an attempt to assess test-retest stability, which proved to be strong. The findings of the latter analysis demonstrated that a change between two administrations of 18 points represents a significant shift in psychosocial function.","container-title":"American Journal of Speech-Language Pathology","DOI":"10.1044/1058-0360.0603.66","issue":"3","page":"66-70","publisher":"American Speech-Language-Hearing Association","source":"pubs.asha.org (Atypon)","title":"The Voice Handicap Index (VHI)","volume":"6","author":[{"family":"Jacobson","given":"Barbara H."},{"family":"Johnson","given":"Alex"},{"family":"Grywalski","given":"Cynthia"},{"family":"Silbergleit","given":"Alice"},{"family":"Jacobson","given":"Gary"},{"family":"Benninger","given":"Michael S."},{"family":"Newman","given":"Craig W."}],"issued":{"date-parts":[["1997",8]]}}}],"schema":"https://github.com/citation-style-language/schema/raw/master/csl-citation.json"}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(Jacobson </w:t>
      </w:r>
      <w:r>
        <w:rPr>
          <w:rFonts w:ascii="Arial" w:hAnsi="Arial" w:cs="Arial"/>
          <w:i/>
          <w:iCs/>
          <w:color w:val="000000"/>
          <w:kern w:val="0"/>
          <w:sz w:val="22"/>
          <w:lang w:val="en-US"/>
        </w:rPr>
        <w:t>et al.</w:t>
      </w:r>
      <w:r>
        <w:rPr>
          <w:rFonts w:ascii="Arial" w:hAnsi="Arial" w:cs="Arial"/>
          <w:color w:val="000000"/>
          <w:kern w:val="0"/>
          <w:sz w:val="22"/>
          <w:lang w:val="en-US"/>
        </w:rPr>
        <w:t>, 1997)</w:t>
      </w:r>
      <w:r>
        <w:rPr>
          <w:rFonts w:ascii="Arial" w:hAnsi="Arial" w:cs="Arial"/>
          <w:color w:val="000000" w:themeColor="text1"/>
          <w:sz w:val="22"/>
          <w:szCs w:val="22"/>
        </w:rPr>
        <w:fldChar w:fldCharType="end"/>
      </w:r>
      <w:r>
        <w:rPr>
          <w:rFonts w:ascii="Arial" w:hAnsi="Arial" w:cs="Arial"/>
          <w:color w:val="000000" w:themeColor="text1"/>
          <w:sz w:val="22"/>
          <w:szCs w:val="22"/>
        </w:rPr>
        <w:t>, and subsequent research supported a ten</w:t>
      </w:r>
      <w:r>
        <w:rPr>
          <w:rFonts w:ascii="Arial" w:hAnsi="Arial" w:cs="Arial"/>
          <w:color w:val="000000" w:themeColor="text1"/>
          <w:sz w:val="22"/>
          <w:szCs w:val="22"/>
        </w:rPr>
        <w:noBreakHyphen/>
        <w:t>item short form, the VHI</w:t>
      </w:r>
      <w:r>
        <w:rPr>
          <w:rFonts w:ascii="Arial" w:hAnsi="Arial" w:cs="Arial"/>
          <w:color w:val="000000" w:themeColor="text1"/>
          <w:sz w:val="22"/>
          <w:szCs w:val="22"/>
        </w:rPr>
        <w:noBreakHyphen/>
        <w:t xml:space="preserve">10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{"citationID":"BFxAJKAt","properties":{"unsorted":false,"formattedCitation":"(Rosen {\\i{}et al.}, 2004)","plainCitation":"(Rosen et al., 2004)","noteIndex":0},"citationItems":[{"id":70,"uris":["http://zotero.org/users/20030753/items/B5K92ESA"],"itemData":{"id":70,"type":"article-journal","abstract":"Objectives/Hypothesis: The objective was to develop an abbreviated voice handicap assessment instrument and compare it with the Voice Handicap Index (VHI). Study Design: Item analysis of the VHI in individuals without voice disorders and patients with voice disorders and creation and validation of the abbreviated VHI. Methods: Clinical consensus review of the VHI items was held to prioritize the clinical value of each of the VHI items (30 items in all). Item analysis of the VHI was performed using the VHI responses of 100 patients with voice problems and 159 control subjects. The 10 most robust VHI items were selected using the item analysis and clinical consensus results to form the Voice Handicap Index-10 (VHI-10). Statistical analysis comparing the validity of the VHI-10 with the VHI was performed with 819 patients representing a wide spectrum of voice disorders. Results: Statistical analysis of the VHI and VHI-10 scores from the study group showed no statistically significant differences between the VHI and the VHI-10. Irrespective of diagnosis, the correlation between the VHI and the VHI-10 was greater than .90 (P = .01). The ratios of the VHI-10 to VHI scores for a variety of voice disorder categories were analyzed and found to be consistently greater than the expected value (33%). This suggests that the VHI-10 may be a more robust instrument than the VHI. Conclusion: The VHI-10 is a powerful representation of the VHI that takes less time for the patient to complete without loss of validity. Thus, the VHI-10 can replace the VHI as an instrument to quantify patients' perception of their voice handicap.","container-title":"The Laryngoscope","DOI":"10.1097/00005537-200409000-00009","ISSN":"1531-4995","issue":"9","language":"en","note":"_eprint: https://onlinelibrary.wiley.com/doi/pdf/10.1097/00005537-200409000-00009","page":"1549-1556","source":"Wiley Online Library","title":"Development and Validation of the Voice Handicap Index-10","volume":"114","author":[{"family":"Rosen","given":"Clark A."},{"family":"Lee","given":"Annie S."},{"family":"Osborne","given":"Jamie"},{"family":"Zullo","given":"Thomas"},{"family":"Murry","given":"Thomas"}],"issued":{"date-parts":[["2004"]]}}}],"schema":"https://github.com/citation-style-language/schema/raw/master/csl-citation.json"}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(Rosen </w:t>
      </w:r>
      <w:r>
        <w:rPr>
          <w:rFonts w:ascii="Arial" w:hAnsi="Arial" w:cs="Arial"/>
          <w:i/>
          <w:iCs/>
          <w:color w:val="000000"/>
          <w:kern w:val="0"/>
          <w:sz w:val="22"/>
          <w:lang w:val="en-US"/>
        </w:rPr>
        <w:t>et al.</w:t>
      </w:r>
      <w:r>
        <w:rPr>
          <w:rFonts w:ascii="Arial" w:hAnsi="Arial" w:cs="Arial"/>
          <w:color w:val="000000"/>
          <w:kern w:val="0"/>
          <w:sz w:val="22"/>
          <w:lang w:val="en-US"/>
        </w:rPr>
        <w:t>, 2004)</w:t>
      </w:r>
      <w:r>
        <w:rPr>
          <w:rFonts w:ascii="Arial" w:hAnsi="Arial" w:cs="Arial"/>
          <w:color w:val="000000" w:themeColor="text1"/>
          <w:sz w:val="22"/>
          <w:szCs w:val="22"/>
        </w:rPr>
        <w:fldChar w:fldCharType="end"/>
      </w:r>
      <w:r>
        <w:rPr>
          <w:rFonts w:ascii="Arial" w:hAnsi="Arial" w:cs="Arial"/>
          <w:color w:val="000000" w:themeColor="text1"/>
          <w:sz w:val="22"/>
          <w:szCs w:val="22"/>
        </w:rPr>
        <w:t>. The Singing Voice Handicap Index and its ten</w:t>
      </w:r>
      <w:r>
        <w:rPr>
          <w:rFonts w:ascii="Arial" w:hAnsi="Arial" w:cs="Arial"/>
          <w:color w:val="000000" w:themeColor="text1"/>
          <w:sz w:val="22"/>
          <w:szCs w:val="22"/>
        </w:rPr>
        <w:noBreakHyphen/>
        <w:t>item version were created specifically for singers and shown to capture singing</w:t>
      </w:r>
      <w:r>
        <w:rPr>
          <w:rFonts w:ascii="Arial" w:hAnsi="Arial" w:cs="Arial"/>
          <w:color w:val="000000" w:themeColor="text1"/>
          <w:sz w:val="22"/>
          <w:szCs w:val="22"/>
        </w:rPr>
        <w:noBreakHyphen/>
        <w:t xml:space="preserve">voice handicap as a distinct construct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{"citationID":"ZgGvm4kc","properties":{"unsorted":false,"formattedCitation":"(Cohen {\\i{}et al.}, 2007, 2009; Renk {\\i{}et al.}, 2017)","plainCitation":"(Cohen et al., 2007, 2009; Renk et al., 2017)","noteIndex":0},"citationItems":[{"id":60,"uris":["http://zotero.org/users/20030753/items/5ARKC69G"],"itemData":{"id":60,"type":"article-journal","abstract":"Objectives: We developed and validated a disorder-specific health status instrument (Singing Voice Handicap Index; SVHI) for use in patients with singing problems.\nMethods: Prospective instrument validation was performed. Of 81 original items, those with poor statistical validity were eliminated, resulting in 36 items. The ability to discriminate dysphonic from normal singers, test-retest reliability, internal consistency, and construct validity were assessed.\nResults: We included 112 dysphonic and 129 normal singers, professional and nonprofessional, of classical, country, rock, choral, and gospel repertoire. Dysphonic singers had worse SVHI scores than normal singers (p ≤ .001, rank sum test). Test-retest reliability was high (Spearman correlation, 0.92; p ≤ .001). Internal consistency demonstrated a Cronbach’s α of .97, and the correlation between the SVHI and self-rated singing voice impairment was .63 (p ≤ .001, Spearman correlation).\nConclusions: The SVHI is a reliable and valid tool for assessing self-perceived handicap associated with singing problems.","container-title":"Annals of Otology, Rhinology &amp; Laryngology","DOI":"10.1177/000348940711600602","ISSN":"0003-4894, 1943-572X","issue":"6","journalAbbreviation":"Ann Otol Rhinol Laryngol","language":"en","license":"https://journals.sagepub.com/page/policies/text-and-data-mining-license","page":"402-406","source":"DOI.org (Crossref)","title":"Creation and Validation of the Singing Voice Handicap Index","volume":"116","author":[{"family":"Cohen","given":"Seth M."},{"family":"Jacobson","given":"Barbara H."},{"family":"Garrett","given":"C. Gaelyn"},{"family":"Noordzij","given":"J. Pieter"},{"family":"Stewart","given":"Michael G."},{"family":"Attia","given":"Albert"},{"family":"Ossoff","given":"Robert H."},{"family":"Cleveland","given":"Thomas F."}],"issued":{"date-parts":[["2007",6]]}}},{"id":136,"uris":["http://zotero.org/users/20030753/items/GGZAEQJ7"],"itemData":{"id":136,"type":"article-journal","abstract":"OBJECTIVES/HYPOTHESIS: To develop a shortened version of the validated health status instrument for singers, the Singing Voice Handicap Index (SVHI).\nSTUDY DESIGN: Prospective item analysis of the SVHI in patients with singing voice problems and creation and validation of an abbreviated SVHI, the SVHI-10.\nMETHODS: Patients presenting to two tertiary care voice clinics prospectively completed the SVHI. Principal component analysis was performed. Individual item to total correlations were calculated, and individual items were also evaluated for bipolar response patterns. A clinical consensus conference prioritized each individual item. Items were then eliminated, and the internal consistency was evaluated. A second cohort of patients with singing voice problems completed the Voice Handicap Index-10 (VHI-10) and SVHI-10 at two time points. Singers without voice problems also completed the SVHI-10. SVHI-10 scores were compared between the groups, correlations between the SVHI-10 and VHI-10 were performed, and test-retest reliability of the SVHI-10 assessed.\nRESULTS: Singers with voice problems had worse SVHI-10 scores than normal singers (P &lt; .0001, t test). Test-retest reliability was high (Spearman correlation = 0.86, P &lt; .001). Internal consistency of the SVHI-10 demonstrated a Cronbach alpha of .94, and the correlation between the SVHI-10 and VHI-10 was 0.7 (P &lt; .001, Spearman correlation).\nCONCLUSIONS: The SVHI-10 is a valuable instrument to assess self-perceived handicap associated with singing voice problems with reduced patient burden.","container-title":"The Laryngoscope","DOI":"10.1002/lary.20580","ISSN":"1531-4995","issue":"9","journalAbbreviation":"Laryngoscope","language":"eng","page":"1864-1869","PMID":"19572269","source":"PubMed","title":"Development and validation of the Singing Voice Handicap-10","volume":"119","author":[{"family":"Cohen","given":"Seth M."},{"family":"Statham","given":"Melissa"},{"family":"Rosen","given":"Clark A."},{"family":"Zullo","given":"Thomas"}],"issued":{"date-parts":[["2009",9]]}}},{"id":75,"uris":["http://zotero.org/users/20030753/items/PL98X6VJ"],"itemData":{"id":75,"type":"article-journal","abstract":"Methods. A retrospective chart review of 50 singers (26 women, 24 men) was performed between June 2014 and November 2014 at Weill Cornell Medical College, New York. Subjects completed both the VHI-10 and the SVHI-10 at their initial evaluation. The results from the VHI-10 and the SVHI-10 were then compared using paired t test and two-way analysis of variance.\nResults. The SVHI-10 scores from the performers were signiﬁcantly higher than those of the VHI-10 (P &lt; 0.0001). The mean score on the VHI-10 was 12.1 compared with 20.4 on the SVHI-10 (maximum score for each questionnaire is 40). There were no signiﬁcant gender differences when comparing the VHI-10 and the SVHI-10 on the overall scores or for individual items. The analysis of variance also found no signiﬁcant gender difference (P = 0.865) and conﬁrmed a signiﬁcant difference between VHI-10 and SVHI-10 (P = 0.0003).\nConclusion. Whereas singers may have general complaints about their voice, they also have speciﬁc complaints that relate only to their singing voice. Finding a signiﬁcant difference between the scores of the VHI-10 and the SVHI-10 suggests the importance of assessing the singer’s perception of voice severity using a tool that focuses on the singing voice.","container-title":"Journal of Voice","DOI":"10.1016/j.jvoice.2016.08.017","ISSN":"08921997","issue":"3","journalAbbreviation":"Journal of Voice","language":"en","license":"https://www.elsevier.com/tdm/userlicense/1.0/","page":"383.e1-383.e4","source":"DOI.org (Crossref)","title":"VHI-10 and SVHI-10 Differences in Singers' Self-perception of Dysphonia Severity","volume":"31","author":[{"family":"Renk","given":"Elizabeth"},{"family":"Sulica","given":"Lucian"},{"family":"Grossman","given":"Chad"},{"family":"Georges","given":"Jenny"},{"family":"Murry","given":"Thomas"}],"issued":{"date-parts":[["2017",5]]}}}],"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(Cohen </w:t>
      </w:r>
      <w:r>
        <w:rPr>
          <w:rFonts w:ascii="Arial" w:hAnsi="Arial" w:cs="Arial"/>
          <w:i/>
          <w:iCs/>
          <w:color w:val="000000"/>
          <w:kern w:val="0"/>
          <w:sz w:val="22"/>
          <w:lang w:val="en-US"/>
        </w:rPr>
        <w:t>et al.</w:t>
      </w:r>
      <w:r>
        <w:rPr>
          <w:rFonts w:ascii="Arial" w:hAnsi="Arial" w:cs="Arial"/>
          <w:color w:val="000000"/>
          <w:kern w:val="0"/>
          <w:sz w:val="22"/>
          <w:lang w:val="en-US"/>
        </w:rPr>
        <w:t xml:space="preserve">, 2007, 2009; Renk </w:t>
      </w:r>
      <w:r>
        <w:rPr>
          <w:rFonts w:ascii="Arial" w:hAnsi="Arial" w:cs="Arial"/>
          <w:i/>
          <w:iCs/>
          <w:color w:val="000000"/>
          <w:kern w:val="0"/>
          <w:sz w:val="22"/>
          <w:lang w:val="en-US"/>
        </w:rPr>
        <w:t>et al.</w:t>
      </w:r>
      <w:r>
        <w:rPr>
          <w:rFonts w:ascii="Arial" w:hAnsi="Arial" w:cs="Arial"/>
          <w:color w:val="000000"/>
          <w:kern w:val="0"/>
          <w:sz w:val="22"/>
          <w:lang w:val="en-US"/>
        </w:rPr>
        <w:t>, 2017)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t>
      </w:r>
      <w:r w:rsidR="00201074">
        <w:rPr>
          <w:rFonts w:ascii="Arial" w:hAnsi="Arial" w:cs="Arial"/>
          <w:color w:val="000000" w:themeColor="text1"/>
          <w:sz w:val="22"/>
          <w:szCs w:val="22"/>
        </w:rPr>
        <w:t>Spanish adaptations of the VHI</w:t>
      </w:r>
      <w:r w:rsidR="00201074">
        <w:rPr>
          <w:rFonts w:ascii="Arial" w:hAnsi="Arial" w:cs="Arial"/>
          <w:color w:val="000000" w:themeColor="text1"/>
          <w:sz w:val="22"/>
          <w:szCs w:val="22"/>
        </w:rPr>
        <w:noBreakHyphen/>
        <w:t>10 and SVHI</w:t>
      </w:r>
      <w:r w:rsidR="00201074">
        <w:rPr>
          <w:rFonts w:ascii="Arial" w:hAnsi="Arial" w:cs="Arial"/>
          <w:color w:val="000000" w:themeColor="text1"/>
          <w:sz w:val="22"/>
          <w:szCs w:val="22"/>
        </w:rPr>
        <w:noBreakHyphen/>
        <w:t>10 further established their reliability and cultural applicability in Spanish</w:t>
      </w:r>
      <w:r w:rsidR="00201074">
        <w:rPr>
          <w:rFonts w:ascii="Arial" w:hAnsi="Arial" w:cs="Arial"/>
          <w:color w:val="000000" w:themeColor="text1"/>
          <w:sz w:val="22"/>
          <w:szCs w:val="22"/>
        </w:rPr>
        <w:noBreakHyphen/>
        <w:t xml:space="preserve">speaking populations </w:t>
      </w:r>
      <w:r w:rsidR="00201074">
        <w:rPr>
          <w:rFonts w:ascii="Arial" w:hAnsi="Arial" w:cs="Arial"/>
          <w:color w:val="000000" w:themeColor="text1"/>
          <w:sz w:val="22"/>
          <w:szCs w:val="22"/>
        </w:rPr>
        <w:fldChar w:fldCharType="begin"/>
      </w:r>
      <w:r w:rsidR="00201074">
        <w:rPr>
          <w:rFonts w:ascii="Arial" w:hAnsi="Arial" w:cs="Arial"/>
          <w:color w:val="000000" w:themeColor="text1"/>
          <w:sz w:val="22"/>
          <w:szCs w:val="22"/>
        </w:rPr>
        <w:instrText xml:space="preserve"> ADDIN ZOTERO_ITEM CSL_CITATION {"citationID":"VJlQOiEo","properties":{"unsorted":false,"formattedCitation":"(N\\uc0\\u250{}\\uc0\\u241{}ez-Batalla {\\i{}et al.}, 2007; Garc\\uc0\\u237{}a-L\\uc0\\u243{}pez {\\i{}et al.}, 2010)","plainCitation":"(Núñez-Batalla et al., 2007; García-López et al., 2010)","noteIndex":0},"citationItems":[{"id":195,"uris":["http://zotero.org/users/20030753/items/XENVXACG"],"itemData":{"id":195,"type":"article-journal","abstract":"Introducción y objetivos: El índice de incapacidad vocal (Voice Handicap","container-title":"Acta Otorrinolaringológica Española","DOI":"10.1016/S0001-6519(07)74954-3","ISSN":"0001-6519","issue":"9","journalAbbreviation":"Acta Otorrinolaringol Esp","language":"es","page":"386-392","publisher":"Elsevier","source":"www.elsevier.es","title":"Adaptación y validación del índice de incapacidad vocal (VHI-30) y su versión abreviada (VHI-10) al español","volume":"58","author":[{"family":"Núñez-Batalla","given":"Faustino"},{"family":"Corte-Santos","given":"Paz"},{"family":"Señaris-González","given":"Blanca"},{"family":"Llorente-Pendás","given":"José L."},{"family":"Górriz-Gil","given":"Carmen"},{"family":"Suárez-Nieto","given":"Carlos"}],"issued":{"date-parts":[["2007",11,1]]}}},{"id":62,"uris":["http://zotero.org/users/20030753/items/3Q4UBT5A"],"itemData":{"id":62,"type":"article-journal","abstract":"In the questionnaires that currently exist in Spanish to assess the impact on quality of life of voice pathology, there are no questions that refer specifically to the singing voice. We present the results of the validation of the Singing Voice Handicap Index (SVHI) in Spanish.","container-title":"Acta Otorrinolaringologica (English Edition)","DOI":"10.1016/S2173-5735(10)70045-4","ISSN":"21735735","issue":"4","journalAbbreviation":"Acta Otorrinolaringologica (English Edition)","language":"en","license":"https://www.elsevier.com/tdm/userlicense/1.0/","page":"247-254","source":"DOI.org (Crossref)","title":"Validation of the Spanish version of the voice handicap index for vocal singing (SVHI)","volume":"61","author":[{"family":"García-López","given":"Isabel"},{"family":"Núñez-Batalla","given":"Faustino"},{"family":"Gavilán Bouzas","given":"Javier"},{"family":"Górriz-Gil","given":"Carmen"}],"issued":{"date-parts":[["2010",1]]}}}],"schema":"https://github.com/citation-style-language/schema/raw/master/csl-citation.json"} </w:instrText>
      </w:r>
      <w:r w:rsidR="00201074">
        <w:rPr>
          <w:rFonts w:ascii="Arial" w:hAnsi="Arial" w:cs="Arial"/>
          <w:color w:val="000000" w:themeColor="text1"/>
          <w:sz w:val="22"/>
          <w:szCs w:val="22"/>
        </w:rPr>
        <w:fldChar w:fldCharType="separate"/>
      </w:r>
      <w:r w:rsidR="00201074">
        <w:rPr>
          <w:rFonts w:ascii="Arial" w:hAnsi="Arial" w:cs="Arial"/>
          <w:color w:val="000000"/>
          <w:kern w:val="0"/>
          <w:sz w:val="22"/>
          <w:lang w:val="en-US"/>
        </w:rPr>
        <w:t xml:space="preserve">(Núñez-Batalla </w:t>
      </w:r>
      <w:r w:rsidR="00201074">
        <w:rPr>
          <w:rFonts w:ascii="Arial" w:hAnsi="Arial" w:cs="Arial"/>
          <w:i/>
          <w:iCs/>
          <w:color w:val="000000"/>
          <w:kern w:val="0"/>
          <w:sz w:val="22"/>
          <w:lang w:val="en-US"/>
        </w:rPr>
        <w:t>et al.</w:t>
      </w:r>
      <w:r w:rsidR="00201074">
        <w:rPr>
          <w:rFonts w:ascii="Arial" w:hAnsi="Arial" w:cs="Arial"/>
          <w:color w:val="000000"/>
          <w:kern w:val="0"/>
          <w:sz w:val="22"/>
          <w:lang w:val="en-US"/>
        </w:rPr>
        <w:t xml:space="preserve">, 2007; García-López </w:t>
      </w:r>
      <w:r w:rsidR="00201074">
        <w:rPr>
          <w:rFonts w:ascii="Arial" w:hAnsi="Arial" w:cs="Arial"/>
          <w:i/>
          <w:iCs/>
          <w:color w:val="000000"/>
          <w:kern w:val="0"/>
          <w:sz w:val="22"/>
          <w:lang w:val="en-US"/>
        </w:rPr>
        <w:t>et al.</w:t>
      </w:r>
      <w:r w:rsidR="00201074">
        <w:rPr>
          <w:rFonts w:ascii="Arial" w:hAnsi="Arial" w:cs="Arial"/>
          <w:color w:val="000000"/>
          <w:kern w:val="0"/>
          <w:sz w:val="22"/>
          <w:lang w:val="en-US"/>
        </w:rPr>
        <w:t>, 2010)</w:t>
      </w:r>
      <w:r w:rsidR="00201074">
        <w:rPr>
          <w:rFonts w:ascii="Arial" w:hAnsi="Arial" w:cs="Arial"/>
          <w:color w:val="000000" w:themeColor="text1"/>
          <w:sz w:val="22"/>
          <w:szCs w:val="22"/>
        </w:rPr>
        <w:fldChar w:fldCharType="end"/>
      </w:r>
      <w:r w:rsidR="00201074">
        <w:rPr>
          <w:rFonts w:ascii="Arial" w:hAnsi="Arial" w:cs="Arial"/>
          <w:color w:val="000000" w:themeColor="text1"/>
          <w:sz w:val="22"/>
          <w:szCs w:val="22"/>
        </w:rPr>
        <w:t>.</w:t>
      </w:r>
      <w:r w:rsidR="00201074">
        <w:rPr>
          <w:rFonts w:ascii="Arial" w:hAnsi="Arial" w:cs="Arial"/>
          <w:color w:val="000000" w:themeColor="text1"/>
          <w:sz w:val="22"/>
          <w:szCs w:val="22"/>
        </w:rPr>
        <w:t xml:space="preserve"> </w:t>
      </w:r>
      <w:r>
        <w:rPr>
          <w:rFonts w:ascii="Arial" w:hAnsi="Arial" w:cs="Arial"/>
          <w:color w:val="000000" w:themeColor="text1"/>
          <w:sz w:val="22"/>
          <w:szCs w:val="22"/>
        </w:rPr>
        <w:t>For reflux, the Reflux Symptom Index has been validated</w:t>
      </w:r>
      <w:r w:rsidR="00201074">
        <w:rPr>
          <w:rFonts w:ascii="Arial" w:hAnsi="Arial" w:cs="Arial"/>
          <w:color w:val="000000" w:themeColor="text1"/>
          <w:sz w:val="22"/>
          <w:szCs w:val="22"/>
        </w:rPr>
        <w:t xml:space="preserve"> (in both English and Spanish)</w:t>
      </w:r>
      <w:r>
        <w:rPr>
          <w:rFonts w:ascii="Arial" w:hAnsi="Arial" w:cs="Arial"/>
          <w:color w:val="000000" w:themeColor="text1"/>
          <w:sz w:val="22"/>
          <w:szCs w:val="22"/>
        </w:rPr>
        <w:t xml:space="preserve"> as a reliable self</w:t>
      </w:r>
      <w:r>
        <w:rPr>
          <w:rFonts w:ascii="Arial" w:hAnsi="Arial" w:cs="Arial"/>
          <w:color w:val="000000" w:themeColor="text1"/>
          <w:sz w:val="22"/>
          <w:szCs w:val="22"/>
        </w:rPr>
        <w:noBreakHyphen/>
        <w:t xml:space="preserve">report measure of laryngopharyngeal reflux symptoms and is widely used in clinical practice </w:t>
      </w:r>
      <w:r>
        <w:rPr>
          <w:rFonts w:ascii="Arial" w:hAnsi="Arial" w:cs="Arial"/>
          <w:color w:val="000000" w:themeColor="text1"/>
          <w:sz w:val="22"/>
          <w:szCs w:val="22"/>
        </w:rPr>
        <w:fldChar w:fldCharType="begin"/>
      </w:r>
      <w:r w:rsidR="00201074">
        <w:rPr>
          <w:rFonts w:ascii="Arial" w:hAnsi="Arial" w:cs="Arial"/>
          <w:color w:val="000000" w:themeColor="text1"/>
          <w:sz w:val="22"/>
          <w:szCs w:val="22"/>
        </w:rPr>
        <w:instrText xml:space="preserve"> ADDIN ZOTERO_ITEM CSL_CITATION {"citationID":"VwJYe9Qz","properties":{"unsorted":false,"formattedCitation":"(Belafsky, Postma and Koufman, 2002; Calvo-Henr\\uc0\\u237{}quez {\\i{}et al.}, 2019; Lechien {\\i{}et al.}, 2020)","plainCitation":"(Belafsky, Postma and Koufman, 2002; Calvo-Henríquez et al., 2019; Lechien et al., 2020)","noteIndex":0},"citationItems":[{"id":138,"uris":["http://zotero.org/users/20030753/items/KLU236BV"],"itemData":{"id":138,"type":"article-journal","abstract":"Laryngopharyngeal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A."}],"issued":{"date-parts":[["2002",6]]}}},{"id":129,"uris":["http://zotero.org/users/20030753/items/QMSLTBAF"],"itemData":{"id":129,"type":"article-journal","abstract":"Objective. In this study, we have created and validated the Spanish translation of the Reﬂux Symptom Index (Sp-RSI). Materials and Methods. RSI was translated according to the World Health Organization recommendation for the translation and adaptation of instruments. The ﬁnal version of the Sp-RSI was administered twice (day 0 and day 7) to 150 participants with and without laryngopharyngeal reﬂux symptoms. Reliability was measured with Cronbach α, and temporal stability was measured with intraclass correlation coefﬁcient.","container-title":"Journal of Voice","DOI":"10.1016/j.jvoice.2018.04.019","ISSN":"08921997","issue":"5","journalAbbreviation":"Journal of Voice","language":"en","page":"807.e1-807.e5","source":"DOI.org (Crossref)","title":"Translation and Validation of the Reflux Symptom Index to Spanish","volume":"33","author":[{"family":"Calvo-Henríquez","given":"Christian"},{"family":"Ruano-Ravina","given":"Alberto"},{"family":"Vaamonde","given":"Pedro"},{"family":"Lattomus","given":"Kaelon"},{"family":"Sebio","given":"Alicia"},{"family":"Fernández-Rodríguez","given":"Raquel"},{"family":"Martin-Martin","given":"Carlos"}],"issued":{"date-parts":[["2019",9]]}}},{"id":131,"uris":["http://zotero.org/users/20030753/items/R6GF23Z4"],"itemData":{"id":131,"type":"article-journal","abstract":"Objectives/Hypothesis: To develop and validate the Reﬂux Symptom Score (RSS), a self-administered patient-reported outcome questionnaire for patients with laryngopharyngeal reﬂux (LPR). Study Design: Prospective controlled study.\nMethods: A total of 113 patients with LPR were enrolled and treated with diet and 3 months of pantoprazole, alginate, and/or magaldrate depending on the LPR characteristics (acid, nonacid, or mixed). Eighty asymptomatic individuals completed the study. Patients and controls completed the RSS twice within a 7-day period to assess test-retest reliability. Internal consistency was measured using Cronbach’s α for the RSS items in patients and controls. Validity was assessed by comparing the baseline RSS with the Reﬂux Symptom Index (RSI) and Voice Handicap Index (VHI). Seventy-seven patients completed the RSS at baseline and after 6 and 12 weeks of treatment to assess responsiveness to change. The RSS cutoff for determining the presence and absence of LPR was examined by receiver operating characteristic analysis.\nResults: Test-retest reliability (rs = 0.921) and internal consistency reliability (α = 0.969) were high. RSS exhibited high external validity indicated by a signiﬁcant correlation with the RSI (rs = 0.831). Internal validity was excellent based on the higher RSS in patients compared with controls (P = .001). RSS, RSI, and VHI scores signiﬁcantly improved from pre- to posttreatment, indicating a high responsiveness to change. RSS &gt;13 can be considered suggestive of LPR-related symptoms. RSS was not inﬂuenced by the occurrence of gastroesophageal reﬂux disease, LPR subtypes, or patient characteristics.\nConclusions: RSS is a self-administered patient-reported outcome questionnaire that demonstrates high reliability and excellent criterion-based validity. RSS can be used in diagnosing and monitoring LPR disease.","container-title":"The Laryngoscope","DOI":"10.1002/lary.28017","ISSN":"0023-852X, 1531-4995","issue":"3","journalAbbreviation":"The Laryngoscope","language":"en","source":"DOI.org (Crossref)","title":"Validity and reliability of the reflux symptom score","URL":"https://onlinelibrary.wiley.com/doi/10.1002/lary.28017","volume":"130","author":[{"family":"Lechien","given":"Jérôme R."},{"family":"Bobin","given":"Francois"},{"family":"Muls","given":"Vinciane"},{"family":"Thill","given":"Marie</w:instrText>
      </w:r>
      <w:r w:rsidR="00201074">
        <w:rPr>
          <w:rFonts w:ascii="Cambria Math" w:hAnsi="Cambria Math" w:cs="Cambria Math"/>
          <w:color w:val="000000" w:themeColor="text1"/>
          <w:sz w:val="22"/>
          <w:szCs w:val="22"/>
        </w:rPr>
        <w:instrText>‐</w:instrText>
      </w:r>
      <w:r w:rsidR="00201074">
        <w:rPr>
          <w:rFonts w:ascii="Arial" w:hAnsi="Arial" w:cs="Arial"/>
          <w:color w:val="000000" w:themeColor="text1"/>
          <w:sz w:val="22"/>
          <w:szCs w:val="22"/>
        </w:rPr>
        <w:instrText>Paule"},{"family":"Horoi","given":"Mihaela"},{"family":"Ostermann","given":"Katharina"},{"family":"Huet","given":"Kathy"},{"family":"Harmegnies","given":"Bernard"},{"family":"Dequanter","given":"Didier"},{"family":"Dapri","given":"Giovanni"},{"family":"Maréchal","given":"Marie</w:instrText>
      </w:r>
      <w:r w:rsidR="00201074">
        <w:rPr>
          <w:rFonts w:ascii="Cambria Math" w:hAnsi="Cambria Math" w:cs="Cambria Math"/>
          <w:color w:val="000000" w:themeColor="text1"/>
          <w:sz w:val="22"/>
          <w:szCs w:val="22"/>
        </w:rPr>
        <w:instrText>‐</w:instrText>
      </w:r>
      <w:r w:rsidR="00201074">
        <w:rPr>
          <w:rFonts w:ascii="Arial" w:hAnsi="Arial" w:cs="Arial"/>
          <w:color w:val="000000" w:themeColor="text1"/>
          <w:sz w:val="22"/>
          <w:szCs w:val="22"/>
        </w:rPr>
        <w:instrText xml:space="preserve">Therese"},{"family":"Finck","given":"Camille"},{"family":"Rodriguez Ruiz","given":"Alexandra"},{"family":"Saussez","given":"Sven"}],"accessed":{"date-parts":[["2026",4,28]]},"issued":{"date-parts":[["2020",3]]}}}],"schema":"https://github.com/citation-style-language/schema/raw/master/csl-citation.json"} </w:instrText>
      </w:r>
      <w:r>
        <w:rPr>
          <w:rFonts w:ascii="Arial" w:hAnsi="Arial" w:cs="Arial"/>
          <w:color w:val="000000" w:themeColor="text1"/>
          <w:sz w:val="22"/>
          <w:szCs w:val="22"/>
        </w:rPr>
        <w:fldChar w:fldCharType="separate"/>
      </w:r>
      <w:r w:rsidR="00201074" w:rsidRPr="00201074">
        <w:rPr>
          <w:rFonts w:ascii="Arial" w:hAnsi="Arial" w:cs="Arial"/>
          <w:color w:val="000000"/>
          <w:kern w:val="0"/>
          <w:sz w:val="22"/>
          <w:lang w:val="es-PR"/>
        </w:rPr>
        <w:t xml:space="preserve">(Belafsky, Postma and Koufman, 2002; Calvo-Henríquez </w:t>
      </w:r>
      <w:r w:rsidR="00201074" w:rsidRPr="00201074">
        <w:rPr>
          <w:rFonts w:ascii="Arial" w:hAnsi="Arial" w:cs="Arial"/>
          <w:i/>
          <w:iCs/>
          <w:color w:val="000000"/>
          <w:kern w:val="0"/>
          <w:sz w:val="22"/>
          <w:lang w:val="es-PR"/>
        </w:rPr>
        <w:t>et al.</w:t>
      </w:r>
      <w:r w:rsidR="00201074" w:rsidRPr="00201074">
        <w:rPr>
          <w:rFonts w:ascii="Arial" w:hAnsi="Arial" w:cs="Arial"/>
          <w:color w:val="000000"/>
          <w:kern w:val="0"/>
          <w:sz w:val="22"/>
          <w:lang w:val="es-PR"/>
        </w:rPr>
        <w:t xml:space="preserve">, 2019; Lechien </w:t>
      </w:r>
      <w:r w:rsidR="00201074" w:rsidRPr="00201074">
        <w:rPr>
          <w:rFonts w:ascii="Arial" w:hAnsi="Arial" w:cs="Arial"/>
          <w:i/>
          <w:iCs/>
          <w:color w:val="000000"/>
          <w:kern w:val="0"/>
          <w:sz w:val="22"/>
          <w:lang w:val="es-PR"/>
        </w:rPr>
        <w:t>et al.</w:t>
      </w:r>
      <w:r w:rsidR="00201074" w:rsidRPr="00201074">
        <w:rPr>
          <w:rFonts w:ascii="Arial" w:hAnsi="Arial" w:cs="Arial"/>
          <w:color w:val="000000"/>
          <w:kern w:val="0"/>
          <w:sz w:val="22"/>
          <w:lang w:val="es-PR"/>
        </w:rPr>
        <w:t>, 2020)</w:t>
      </w:r>
      <w:r>
        <w:rPr>
          <w:rFonts w:ascii="Arial" w:hAnsi="Arial" w:cs="Arial"/>
          <w:color w:val="000000" w:themeColor="text1"/>
          <w:sz w:val="22"/>
          <w:szCs w:val="22"/>
        </w:rPr>
        <w:fldChar w:fldCharType="end"/>
      </w:r>
      <w:r>
        <w:rPr>
          <w:rFonts w:ascii="Arial" w:hAnsi="Arial" w:cs="Arial"/>
          <w:color w:val="000000" w:themeColor="text1"/>
          <w:sz w:val="22"/>
          <w:szCs w:val="22"/>
        </w:rPr>
        <w:t>. Generalised anxiety is assessed with the GAD</w:t>
      </w:r>
      <w:r>
        <w:rPr>
          <w:rFonts w:ascii="Arial" w:hAnsi="Arial" w:cs="Arial"/>
          <w:color w:val="000000" w:themeColor="text1"/>
          <w:sz w:val="22"/>
          <w:szCs w:val="22"/>
        </w:rPr>
        <w:noBreakHyphen/>
        <w:t>7, a brief tool with good sensitivity and specificity, including in Spanish</w:t>
      </w:r>
      <w:r>
        <w:rPr>
          <w:rFonts w:ascii="Arial" w:hAnsi="Arial" w:cs="Arial"/>
          <w:color w:val="000000" w:themeColor="text1"/>
          <w:sz w:val="22"/>
          <w:szCs w:val="22"/>
        </w:rPr>
        <w:noBreakHyphen/>
        <w:t xml:space="preserve">speaking hospital samples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{"citationID":"0xgV6aid","properties":{"unsorted":false,"formattedCitation":"(Diez-Quevedo {\\i{}et al.}, 2001; Spitzer {\\i{}et al.}, 2006)","plainCitation":"(Diez-Quevedo et al., 2001; Spitzer et al., 2006)","noteIndex":0},"citationItems":[{"id":214,"uris":["http://zotero.org/users/20030753/items/GVK7PRQX"],"itemData":{"id":214,"type":"article-journal","abstract":"Objective \n          To determine whether the Spanish version of the patient health questionnaire (PHQ) has validity and utility for diagnosing mental disorders in general hospital inpatients.\n          Methods \n          Participants in the study were 1003 general hospital inpatients, randomly selected from all admissions over an 18-month period. All of them completed the PHQ, the Beck Depression Inventory (BDI), and measures of functional status, disability days, and health care use, including length of hospital stay. They also had a structured interview with a mental health professional.\n          Results \n          A total of 416 (42%) of the 1003 general hospital inpatients had a PHQ diagnosis. There was good agreement between PHQ diagnoses and those of an independent mental health professional (for the diagnosis of any PHQ disorder, κ = 0.74; overall accuracy, 88%; sensitivity, 87%; specificity, 88%), similar to the original English version of the PHQ in primary care patients. Patients with PHQ diagnoses had more functional impairment, disability days, and health care use than did patients without PHQ diagnoses (group main effects for functional status measures and disability days, p &lt; .001; group main effects for health care use, p &lt; .01). The group main effect for hospital length of stay was not significant. An index of depression symptom severity calculated from the PHQ correlated significantly both with the number of depressive symptoms detected at interview and the total BDI score. PHQ administration was well accepted by patients.\n          Conclusions \n          The Spanish version of the PHQ has diagnostic validity in general hospital inpatients comparable to the original English version in primary care.","container-title":"Biopsychosocial Science and Medicine","ISSN":"2998-8748","issue":"4","language":"en-US","page":"679","source":"journals.lww.com","title":"Validation and Utility of the Patient Health Questionnaire in Diagnosing Mental Disorders in 1003 General Hospital Spanish Inpatients","volume":"63","author":[{"family":"Diez-Quevedo","given":"Crisanto"},{"family":"Rangil","given":"Teresa"},{"family":"Sanchez-Planell","given":"Luis"},{"family":"Kroenke","given":"Kurt"},{"family":"Spitzer","given":"Robert L."}],"issued":{"date-parts":[["2001",8]]}}},{"id":133,"uris":["http://zotero.org/users/20030753/items/8B7I8ZZD"],"itemData":{"id":133,"type":"article-journal","container-title":"Archives of Internal Medicine","DOI":"10.1001/archinte.166.10.1092","ISSN":"0003-9926","issue":"10","journalAbbreviation":"Arch Intern Med","language":"en","page":"1092","source":"DOI.org (Crossref)","title":"A Brief Measure for Assessing Generalized Anxiety Disorder: The GAD-7","title-short":"A Brief Measure for Assessing Generalized Anxiety Disorder","volume":"166","author":[{"family":"Spitzer","given":"Robert L."},{"family":"Kroenke","given":"Kurt"},{"family":"Williams","given":"Janet B. W."},{"family":"Löwe","given":"Bernd"}],"issued":{"date-parts":[["2006",5,22]]}}}],"schema":"https://github.com/citation-style-language/schema/raw/master/csl-citation.json"}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(Diez-Quevedo </w:t>
      </w:r>
      <w:r>
        <w:rPr>
          <w:rFonts w:ascii="Arial" w:hAnsi="Arial" w:cs="Arial"/>
          <w:i/>
          <w:iCs/>
          <w:color w:val="000000"/>
          <w:kern w:val="0"/>
          <w:sz w:val="22"/>
          <w:lang w:val="en-US"/>
        </w:rPr>
        <w:t>et al.</w:t>
      </w:r>
      <w:r>
        <w:rPr>
          <w:rFonts w:ascii="Arial" w:hAnsi="Arial" w:cs="Arial"/>
          <w:color w:val="000000"/>
          <w:kern w:val="0"/>
          <w:sz w:val="22"/>
          <w:lang w:val="en-US"/>
        </w:rPr>
        <w:t xml:space="preserve">, 2001; Spitzer </w:t>
      </w:r>
      <w:r>
        <w:rPr>
          <w:rFonts w:ascii="Arial" w:hAnsi="Arial" w:cs="Arial"/>
          <w:i/>
          <w:iCs/>
          <w:color w:val="000000"/>
          <w:kern w:val="0"/>
          <w:sz w:val="22"/>
          <w:lang w:val="en-US"/>
        </w:rPr>
        <w:t>et al.</w:t>
      </w:r>
      <w:r>
        <w:rPr>
          <w:rFonts w:ascii="Arial" w:hAnsi="Arial" w:cs="Arial"/>
          <w:color w:val="000000"/>
          <w:kern w:val="0"/>
          <w:sz w:val="22"/>
          <w:lang w:val="en-US"/>
        </w:rPr>
        <w:t>, 2006)</w:t>
      </w:r>
      <w:r>
        <w:rPr>
          <w:rFonts w:ascii="Arial" w:hAnsi="Arial" w:cs="Arial"/>
          <w:color w:val="000000" w:themeColor="text1"/>
          <w:sz w:val="22"/>
          <w:szCs w:val="22"/>
        </w:rPr>
        <w:fldChar w:fldCharType="end"/>
      </w:r>
      <w:r>
        <w:rPr>
          <w:rFonts w:ascii="Arial" w:hAnsi="Arial" w:cs="Arial"/>
          <w:color w:val="000000" w:themeColor="text1"/>
          <w:sz w:val="22"/>
          <w:szCs w:val="22"/>
        </w:rPr>
        <w:t>. Music performance anxiety is measured using the five</w:t>
      </w:r>
      <w:r>
        <w:rPr>
          <w:rFonts w:ascii="Arial" w:hAnsi="Arial" w:cs="Arial"/>
          <w:color w:val="000000" w:themeColor="text1"/>
          <w:sz w:val="22"/>
          <w:szCs w:val="22"/>
        </w:rPr>
        <w:noBreakHyphen/>
        <w:t>item Mazzarolo Music Performance Anxiety Scale</w:t>
      </w:r>
      <w:r w:rsidR="00201074">
        <w:rPr>
          <w:rFonts w:ascii="Arial" w:hAnsi="Arial" w:cs="Arial"/>
          <w:color w:val="000000" w:themeColor="text1"/>
          <w:sz w:val="22"/>
          <w:szCs w:val="22"/>
        </w:rPr>
        <w:t xml:space="preserve"> (M-MPAS)</w:t>
      </w:r>
      <w:r>
        <w:rPr>
          <w:rFonts w:ascii="Arial" w:hAnsi="Arial" w:cs="Arial"/>
          <w:color w:val="000000" w:themeColor="text1"/>
          <w:sz w:val="22"/>
          <w:szCs w:val="22"/>
        </w:rPr>
        <w:t xml:space="preserve">, which was designed and validated as a short screener for musicians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{"citationID":"u6JpZ6K8","properties":{"unsorted":false,"formattedCitation":"(Mazzarolo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(Mazzarolo and Schubert, 2022)</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t>
      </w:r>
      <w:r w:rsidR="00201074">
        <w:rPr>
          <w:rFonts w:ascii="Arial" w:hAnsi="Arial" w:cs="Arial"/>
          <w:color w:val="000000" w:themeColor="text1"/>
          <w:sz w:val="22"/>
          <w:szCs w:val="22"/>
        </w:rPr>
        <w:t xml:space="preserve">Contrary to the other tools used in the questionnaire, the M-MPAS has not been validated in Spanish. </w:t>
      </w:r>
      <w:r>
        <w:rPr>
          <w:rFonts w:ascii="Arial" w:hAnsi="Arial" w:cs="Arial"/>
          <w:color w:val="000000" w:themeColor="text1"/>
          <w:sz w:val="22"/>
          <w:szCs w:val="22"/>
        </w:rPr>
        <w:t>Section 2 of the questionnaire therefore combines items adapted from the VHI</w:t>
      </w:r>
      <w:r>
        <w:rPr>
          <w:rFonts w:ascii="Arial" w:hAnsi="Arial" w:cs="Arial"/>
          <w:color w:val="000000" w:themeColor="text1"/>
          <w:sz w:val="22"/>
          <w:szCs w:val="22"/>
        </w:rPr>
        <w:noBreakHyphen/>
        <w:t>10 and SVHI</w:t>
      </w:r>
      <w:r>
        <w:rPr>
          <w:rFonts w:ascii="Arial" w:hAnsi="Arial" w:cs="Arial"/>
          <w:color w:val="000000" w:themeColor="text1"/>
          <w:sz w:val="22"/>
          <w:szCs w:val="22"/>
        </w:rPr>
        <w:noBreakHyphen/>
        <w:t>10 to address general and singing</w:t>
      </w:r>
      <w:r>
        <w:rPr>
          <w:rFonts w:ascii="Arial" w:hAnsi="Arial" w:cs="Arial"/>
          <w:color w:val="000000" w:themeColor="text1"/>
          <w:sz w:val="22"/>
          <w:szCs w:val="22"/>
        </w:rPr>
        <w:noBreakHyphen/>
        <w:t>voice handicap, from the RSI to cover reflux symptoms, and from the GAD</w:t>
      </w:r>
      <w:r>
        <w:rPr>
          <w:rFonts w:ascii="Arial" w:hAnsi="Arial" w:cs="Arial"/>
          <w:color w:val="000000" w:themeColor="text1"/>
          <w:sz w:val="22"/>
          <w:szCs w:val="22"/>
        </w:rPr>
        <w:noBreakHyphen/>
        <w:t>7 and M</w:t>
      </w:r>
      <w:r>
        <w:rPr>
          <w:rFonts w:ascii="Arial" w:hAnsi="Arial" w:cs="Arial"/>
          <w:color w:val="000000" w:themeColor="text1"/>
          <w:sz w:val="22"/>
          <w:szCs w:val="22"/>
        </w:rPr>
        <w:noBreakHyphen/>
        <w:t>MPAS to capture general and performance anxiety.</w:t>
      </w:r>
    </w:p>
    <w:p w14:paraId="7DAC89F9" w14:textId="1E76B437" w:rsidR="00D75891" w:rsidRPr="00A61110" w:rsidRDefault="00D75891" w:rsidP="00FB33D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The final item set is also the outcome of two further objectives: selecting instruments and drafting the questionnaire. Reviews of patient</w:t>
      </w:r>
      <w:r>
        <w:rPr>
          <w:rFonts w:ascii="Arial" w:hAnsi="Arial" w:cs="Arial"/>
          <w:color w:val="000000" w:themeColor="text1"/>
          <w:sz w:val="22"/>
          <w:szCs w:val="22"/>
        </w:rPr>
        <w:noBreakHyphen/>
        <w:t xml:space="preserve">reported outcome measures in voice emphasise that tools must balance psychometric robustness with brevity, readability and clinical usefulness </w:t>
      </w:r>
      <w:r>
        <w:rPr>
          <w:rFonts w:ascii="Arial" w:hAnsi="Arial" w:cs="Arial"/>
          <w:color w:val="000000" w:themeColor="text1"/>
          <w:sz w:val="22"/>
          <w:szCs w:val="22"/>
        </w:rPr>
        <w:fldChar w:fldCharType="begin"/>
      </w:r>
      <w:r w:rsidR="00417FC0">
        <w:rPr>
          <w:rFonts w:ascii="Arial" w:hAnsi="Arial" w:cs="Arial"/>
          <w:color w:val="000000" w:themeColor="text1"/>
          <w:sz w:val="22"/>
          <w:szCs w:val="22"/>
        </w:rPr>
        <w:instrText xml:space="preserve"> ADDIN ZOTERO_ITEM CSL_CITATION {"citationID":"8zFINvrK","properties":{"unsorted":false,"formattedCitation":"(Francis {\\i{}et al.}, 2017b; Gardner {\\i{}et al.}, 2025)","plainCitation":"(Francis et al., 2017b; Gardner et al., 2025)","dontUpdate":true,"noteIndex":0},"citationItems":[{"id":246,"uris":["http://zotero.org/users/20030753/items/TTBVWQMJ"],"itemData":{"id":246,"type":"article-journal","abstract":"Purpose\nThe purpose of this study was to perform a comprehensive systematic review of the literature on voice-related patient-reported outcome (PRO) measures in adults and to evaluate each instrument for the presence of important measurement properties.\n\nMethod\nMEDLINE, the Cumulative Index of Nursing and Allied Health Literature, and the Health and Psychosocial Instrument databases were searched using relevant vocabulary terms and key terms related to PRO measures and voice. Inclusion and exclusion criteria were developed in consultation with an expert panel. Three independent investigators assessed study methodology using criteria developed a priori. Measurement properties were examined and entered into evidence tables.\n\nResults\nA total of 3,744 studies assessing voice-related constructs were identified. This list was narrowed to 32 PRO measures on the basis of predetermined inclusion and exclusion criteria. Questionnaire measurement properties varied widely. Important thematic deficiencies were apparent: (a) lack of patient involvement in the item development process, (b) lack of robust construct validity, and (c) lack of clear interpretability and scaling.\n\nConclusions\nPRO measures are a principal means of evaluating treatment effectiveness in voice-related conditions. Despite their prominence, available PRO measures have disparate methodological rigor. Care must be taken to understand the psychometric and measurement properties and the applicability of PRO measures before advocating for their use in clinical or research applications.","container-title":"Journal of Speech, Language, and Hearing Research : JSLHR","DOI":"10.1044/2016_JSLHR-S-16-0022","ISSN":"1092-4388","issue":"1","journalAbbreviation":"J Speech Lang Hear Res","page":"62-88","PMID":"28030869","PMCID":"PMC5533561","source":"PubMed Central","title":"Voice-Related Patient-Reported Outcome Measures: A Systematic Review of Instrument Development and Validation","title-short":"Voice-Related Patient-Reported Outcome Measures","volume":"60","author":[{"family":"Francis","given":"David O."},{"family":"Daniero","given":"James J."},{"family":"Hovis","given":"Kristen L."},{"family":"Sathe","given":"Nila"},{"family":"Jacobson","given":"Barbara"},{"family":"Penson","given":"David F."},{"family":"Feurer","given":"Irene D."},{"family":"McPheeters","given":"Melissa L."}],"issued":{"date-parts":[["2017",1]]}}},{"id":153,"uris":["http://zotero.org/users/20030753/items/4GE6LLLK"],"itemData":{"id":153,"type":"article-journal","abstract":"Patient reported outcome measures (PROMs) are increasingly used to inform value-based healthcare. Within speech-language pathology (SLP), there is no synthesis of validated PROMs to guide professional practice. This scoping review systematically identifies and evaluates condition-specific PROMs across adult SLP practice. A literature search was performed to identify studies published until 18th February 2022 from MEDLINE, Embase, CINAHL, PsycInfo, Scopus, Cochrane Collaboration, and Web of Science. Abstracts and full texts were screened in Covidence. Relevant studies that validated PROMs in English were extracted and assessed using the “Checklist to operationalise measurement characteristics of PROMs” by two independent reviewers. Ninety-seven articles provided validation data for 71 PROMS across seven SLP practice areas. These included voice (n = 18), swallowing (n = 14), language (n = 11), fluency (n = 8), speech (n = 4), laryngectomy (n = 3), and cognitive-communication (n = 2). No PROMs were identified for augmentative and alternative communication (AAC) (n = 0). Quality ratings were variable on the Francis et al. checklist. A range of validated PROMs were identified to guide SLP practice in measuring patient perceptions across a range of practice areas in adults. Opportunities for further development in SLP practice areas with limited PROMs, such as speech, cognitive-communication, and AAC are also highlighted.","container-title":"International Journal of Speech-Language Pathology","DOI":"10.1080/17549507.2024.2399236","ISSN":"1754-9507","issue":"5","note":"_eprint: https://doi.org/10.1080/17549507.2024.2399236","page":"672-701","PMID":"39356797","publisher":"Taylor &amp; Francis","source":"Taylor and Francis+NEJM","title":"Validated patient reported outcome measures in speech-language pathology: A scoping review of adult practice","title-short":"Validated patient reported outcome measures in speech-language pathology","volume":"27","author":[{"family":"Gardner","given":"Danielle"},{"family":"Mitchell","given":"Verity"},{"family":"Frakking","given":"Thuy"},{"family":"Weir","given":"Kelly Ann"},{"family":"Canning","given":"Angie"},{"family":"Wenke","given":"Rachel Jane"}],"issued":{"date-parts":[["2025",9,3]]}}}],"schema":"https://github.com/citation-style-language/schema/raw/master/csl-citation.json"}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(Francis </w:t>
      </w:r>
      <w:r>
        <w:rPr>
          <w:rFonts w:ascii="Arial" w:hAnsi="Arial" w:cs="Arial"/>
          <w:i/>
          <w:iCs/>
          <w:color w:val="000000"/>
          <w:kern w:val="0"/>
          <w:sz w:val="22"/>
          <w:lang w:val="en-US"/>
        </w:rPr>
        <w:t>et al.</w:t>
      </w:r>
      <w:r>
        <w:rPr>
          <w:rFonts w:ascii="Arial" w:hAnsi="Arial" w:cs="Arial"/>
          <w:color w:val="000000"/>
          <w:kern w:val="0"/>
          <w:sz w:val="22"/>
          <w:lang w:val="en-US"/>
        </w:rPr>
        <w:t xml:space="preserve">, 2017; Gardner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In line with this, I reduced longer scales to a total of approximately 25–30 questions by excluding items that were repetitive, poorly suited to the </w:t>
      </w:r>
      <w:r>
        <w:rPr>
          <w:rFonts w:ascii="Arial" w:hAnsi="Arial" w:cs="Arial"/>
          <w:color w:val="000000" w:themeColor="text1"/>
          <w:sz w:val="22"/>
          <w:szCs w:val="22"/>
        </w:rPr>
        <w:lastRenderedPageBreak/>
        <w:t>Puerto Rican context or less directly related to vocal functioning—for example</w:t>
      </w:r>
      <w:r>
        <w:rPr>
          <w:rFonts w:ascii="pplxSerif" w:hAnsi="pplxSerif"/>
          <w:color w:val="27251E"/>
        </w:rPr>
        <w:t xml:space="preserve"> </w:t>
      </w:r>
      <w:r>
        <w:rPr>
          <w:rFonts w:ascii="Arial" w:hAnsi="Arial" w:cs="Arial"/>
          <w:color w:val="000000" w:themeColor="text1"/>
          <w:sz w:val="22"/>
          <w:szCs w:val="22"/>
        </w:rPr>
        <w:t xml:space="preserve">VHI items about income and RSI items about dysphagia have been treated as psychometrically peripheral in several shortening and revision studies, contributing less to overall scale performance in adult dysphonic samples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{"citationID":"vFZ7fMsr","properties":{"unsorted":false,"formattedCitation":"(Roy {\\i{}et al.}, 2013; Demirci, \\uc0\\u304{}ncebay and K\\uc0\\u246{}se, 2024)","plainCitation":"(Roy et al., 2013; Demirci, İncebay and Köse, 2024)","noteIndex":0},"citationItems":[{"id":180,"uris":["http://zotero.org/users/20030753/items/WCNGSX6Y"],"itemData":{"id":180,"type":"article-journal","abstract":"PURPOSE: To determine what research evidence exists to support the use of voice measures in the clinical assessment of patients with voice disorders.\nMETHOD: The American Speech-Language-Hearing Association (ASHA) National Center for Evidence-Based Practice in Communication Disorders staff searched 29 databases for peer-reviewed English-language articles between January 1930 and April 2009 that included key words pertaining to objective and subjective voice measures, voice disorders, and diagnostic accuracy. The identified articles were systematically assessed by an ASHA-appointed committee employing a modification of the critical appraisal of diagnostic evidence rating system.\nRESULTS: One hundred articles met the search criteria. The majority of studies investigated acoustic measures (60%) and focused on how well a test method identified the presence or absence of a voice disorder (78%). Only 17 of the 100 articles were judged to contain adequate evidence for the measures studied to be formally considered for inclusion in clinical voice assessment.\nCONCLUSION: Results provide evidence for selected acoustic, laryngeal imaging-based, auditory-perceptual, functional, and aerodynamic measures to be used as effective components in a clinical voice evaluation. However, there is clearly a pressing need for further high-quality research to produce sufficient evidence on which to recommend a comprehensive set of methods for a standard clinical voice evaluation.","container-title":"American Journal of Speech-Language Pathology","DOI":"10.1044/1058-0360(2012/12-0014)","ISSN":"1558-9110","issue":"2","journalAbbreviation":"Am J Speech Lang Pathol","language":"eng","page":"212-226","PMID":"23184134","source":"PubMed","title":"Evidence-based clinical voice assessment: a systematic review","title-short":"Evidence-based clinical voice assessment","volume":"22","author":[{"family":"Roy","given":"Nelson"},{"family":"Barkmeier-Kraemer","given":"Julie"},{"family":"Eadie","given":"Tanya"},{"family":"Sivasankar","given":"M. Preeti"},{"family":"Mehta","given":"Daryush"},{"family":"Paul","given":"Diane"},{"family":"Hillman","given":"Robert"}],"issued":{"date-parts":[["2013",5]]}}},{"id":192,"uris":["http://zotero.org/users/20030753/items/8H47PK74"],"itemData":{"id":192,"type":"article-journal","abstract":"Objectives\nThis study aims to evaluate Turkish patient-reported outcome measures (PROM) used in voice disorders using different readability formulas and to examine the relationship between text-based features and readability values.\nStudy Design\nA search was conducted to identify published Turkish PRO questionnaires related to dysphonia that are completed by patients.\nMethods\nA search was conducted to identify published PROM related to dysphonia that are completed by patients in a self-administered format. Reading grade levels were analyzed for voice-related PROM using the Ateşman readability and the Bezirci-Yılmaz new readability formulas as computed by a readability calculations software package. Text-based quantitative features are obtained. Descriptive statistics were also computed across the questionnaires.\nResults\nA total of 14 PROMs were found. In the analysis, the mean of the Ateşman readability values of the PROM was calculated as 70.66 (±5.55). This value is defined as “easy,” according to the Ateşman readability measures. The average Bezirci-Yılmaz new readability value is 6.03 (±1.07). This value corresponds to the sixth-grade reading level in the Turkish education system.\nConclusions\nResults show that more than half of the PROMs in the Turkish language have the recommended reading level. PROMs allow health care professionals to objectively understand the patient's symptoms, both qualitatively and quantitatively. Therefore, it is critical that patients accurately understand and respond to these outcome measures. This is why developers should consider reading as a testable structure. Speech and language therapists should consider the reading level required to understand a specific PROM to obtain the most useful information for treatment planning and outcome assessments.","container-title":"Journal of Voice","DOI":"10.1016/j.jvoice.2024.09.014","ISSN":"0892-1997","journalAbbreviation":"Journal of Voice","source":"ScienceDirect","title":"Readability of Patient-Reported Outcome Measures Used in Voice Disorders","URL":"https://www.sciencedirect.com/science/article/pii/S0892199724003059","author":[{"family":"Demirci","given":"Ayşe Nur"},{"family":"İncebay","given":"Önal"},{"family":"Köse","given":"Ayşen"}],"accessed":{"date-parts":[["2026",5,16]]},"issued":{"date-parts":[["2024",10,24]]}}}],"schema":"https://github.com/citation-style-language/schema/raw/master/csl-citation.json"}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(Roy </w:t>
      </w:r>
      <w:r>
        <w:rPr>
          <w:rFonts w:ascii="Arial" w:hAnsi="Arial" w:cs="Arial"/>
          <w:i/>
          <w:iCs/>
          <w:color w:val="000000"/>
          <w:kern w:val="0"/>
          <w:sz w:val="22"/>
          <w:lang w:val="en-US"/>
        </w:rPr>
        <w:t>et al.</w:t>
      </w:r>
      <w:r>
        <w:rPr>
          <w:rFonts w:ascii="Arial" w:hAnsi="Arial" w:cs="Arial"/>
          <w:color w:val="000000"/>
          <w:kern w:val="0"/>
          <w:sz w:val="22"/>
          <w:lang w:val="en-US"/>
        </w:rPr>
        <w:t>, 2013; Demirci, İncebay and Köse, 2024)</w:t>
      </w:r>
      <w:r>
        <w:rPr>
          <w:rFonts w:ascii="Arial" w:hAnsi="Arial" w:cs="Arial"/>
          <w:color w:val="000000" w:themeColor="text1"/>
          <w:sz w:val="22"/>
          <w:szCs w:val="22"/>
        </w:rPr>
        <w:fldChar w:fldCharType="end"/>
      </w:r>
      <w:r>
        <w:rPr>
          <w:rFonts w:ascii="Arial" w:hAnsi="Arial" w:cs="Arial"/>
          <w:color w:val="000000" w:themeColor="text1"/>
          <w:sz w:val="22"/>
          <w:szCs w:val="22"/>
        </w:rPr>
        <w:t>. This editing reflects broader guidance that PROMs intended for routine clinical use should be fit</w:t>
      </w:r>
      <w:r>
        <w:rPr>
          <w:rFonts w:ascii="Arial" w:hAnsi="Arial" w:cs="Arial"/>
          <w:color w:val="000000" w:themeColor="text1"/>
          <w:sz w:val="22"/>
          <w:szCs w:val="22"/>
        </w:rPr>
        <w:noBreakHyphen/>
        <w:t>for</w:t>
      </w:r>
      <w:r>
        <w:rPr>
          <w:rFonts w:ascii="Arial" w:hAnsi="Arial" w:cs="Arial"/>
          <w:color w:val="000000" w:themeColor="text1"/>
          <w:sz w:val="22"/>
          <w:szCs w:val="22"/>
        </w:rPr>
        <w:noBreakHyphen/>
        <w:t xml:space="preserve">purpose and minimise patient and clinician burden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{"citationID":"3n72SO46","properties":{"unsorted":false,"formattedCitation":"(Churruca {\\i{}et al.}, 2021)","plainCitation":"(Churruca et al., 2021)","noteIndex":0},"citationItems":[{"id":147,"uris":["http://zotero.org/users/20030753/items/TJU6LJX3"],"itemData":{"id":147,"type":"article-journal","abstract":"Background\nPatient</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reported outcome measures (PROMs) are questionnaires that collect health outcomes directly from the people who experience them. This review critically synthesizes information on generic and selected condition</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specific PROMs to describe trends and contemporary issues regarding their development, validation and application.\n\nMethods\nWe reviewed academic and grey literature on validated PROMs by searching databases, prominent websites, Google Scholar and Google Search. The identification of condition</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specific PROMs was limited to common conditions and those with a high burden of disease (eg cancers, cardiovascular disorders). Trends and contemporary issues in the development, validation and application of PROMs were critically evaluated.\n\nResults\nThe search yielded 315 generic and condition</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specific PROMs. The largest numbers of measures were identified for generic PROMs, musculoskeletal conditions and cancers. The earliest published PROMs were in mental health</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related conditions. The number of PROMs grew substantially between 1980s and 2000s but slowed more recently. The number of publications discussing PROMs continues to increase. Issues identified include the use of computer</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adaptive testing and increasing concerns about the appropriateness of using PROMs developed and validated for specific purposes (eg research) for other reasons (eg clinical decision making).\n\nConclusions\nThe term PROM is a relatively new designation for a range of measures that have existed since at least the 1960s. Although literature on PROMs continues to expand, challenges remain in selecting reliable and valid tools that are fit</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for</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purpose from the many existing instruments.\n\nPatient or public contribution\nConsumers were not directly involved in this review; however, its outcome will be used in programmes that engage and partner with consumers.","container-title":"Health Expectations : An International Journal of Public Participation in Health Care and Health Policy","DOI":"10.1111/hex.13254","ISSN":"1369-6513","issue":"4","journalAbbreviation":"Health Expect","page":"1015-1024","PMID":"33949755","PMCID":"PMC8369118","source":"PubMed Central","title":"Patient</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reported outcome measures (PROMs): A review of generic and condition</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specific measures and a discussion of trends and issues","title-short":"Patient</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reported outcome measures (PROMs)","volume":"24","author":[{"family":"Churruca","given":"Kate"},{"family":"Pomare","given":"Chiara"},{"family":"Ellis","given":"Louise A."},{"family":"Long","given":"Janet C."},{"family":"Henderson","given":"Suzanna B."},{"family":"Murphy","given":"Lisa E. D."},{"family":"Leahy","given":"Christopher J."},{"family":"Braithwaite","given":"Jeffrey"}],"issued":{"date-parts":[["2021",8]]}}}],"schema":"https://github.com/citation-style-language/schema/raw/master/csl-citation.json"}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(Churruca </w:t>
      </w:r>
      <w:r>
        <w:rPr>
          <w:rFonts w:ascii="Arial" w:hAnsi="Arial" w:cs="Arial"/>
          <w:i/>
          <w:iCs/>
          <w:color w:val="000000"/>
          <w:kern w:val="0"/>
          <w:sz w:val="22"/>
          <w:lang w:val="en-US"/>
        </w:rPr>
        <w:t>et al.</w:t>
      </w:r>
      <w:r>
        <w:rPr>
          <w:rFonts w:ascii="Arial" w:hAnsi="Arial" w:cs="Arial"/>
          <w:color w:val="000000"/>
          <w:kern w:val="0"/>
          <w:sz w:val="22"/>
          <w:lang w:val="en-US"/>
        </w:rPr>
        <w:t>, 2021)</w:t>
      </w:r>
      <w:r>
        <w:rPr>
          <w:rFonts w:ascii="Arial" w:hAnsi="Arial" w:cs="Arial"/>
          <w:color w:val="000000" w:themeColor="text1"/>
          <w:sz w:val="22"/>
          <w:szCs w:val="22"/>
        </w:rPr>
        <w:fldChar w:fldCharType="end"/>
      </w:r>
      <w:r>
        <w:rPr>
          <w:rFonts w:ascii="Arial" w:hAnsi="Arial" w:cs="Arial"/>
          <w:color w:val="000000" w:themeColor="text1"/>
          <w:sz w:val="22"/>
          <w:szCs w:val="22"/>
        </w:rPr>
        <w:t>. A table with the specific items selected and excluded can be found in Component 1 (Table 2). The resulting questionnaire focuses on observable symptoms and everyday impact while remaining feasible for online completion, showing that I met my objectives of instrument selection and questionnaire drafting while accepting some compromises between construct coverage and brevity.</w:t>
      </w:r>
    </w:p>
    <w:p w14:paraId="5F361DD3" w14:textId="69E218A8" w:rsidR="00D75891" w:rsidRDefault="00D75891" w:rsidP="00FB33D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The final objectives—building a functional online version and testing its scoring and triage logic—are embodied in the behaviour and structure of the results page. After users complete the questionnaire, the artefact computes subscores for each domain and a composite “voice total”, then maps these values to four triage levels that appear as colour</w:t>
      </w:r>
      <w:r>
        <w:rPr>
          <w:rFonts w:ascii="Arial" w:hAnsi="Arial" w:cs="Arial"/>
          <w:color w:val="000000" w:themeColor="text1"/>
          <w:sz w:val="22"/>
          <w:szCs w:val="22"/>
        </w:rPr>
        <w:noBreakHyphen/>
        <w:t>coded badges with brief explanations</w:t>
      </w:r>
      <w:r w:rsidR="00201074">
        <w:rPr>
          <w:rFonts w:ascii="Arial" w:hAnsi="Arial" w:cs="Arial"/>
          <w:color w:val="000000" w:themeColor="text1"/>
          <w:sz w:val="22"/>
          <w:szCs w:val="22"/>
        </w:rPr>
        <w:t xml:space="preserve"> (see example below)</w:t>
      </w:r>
      <w:r>
        <w:rPr>
          <w:rFonts w:ascii="Arial" w:hAnsi="Arial" w:cs="Arial"/>
          <w:color w:val="000000" w:themeColor="text1"/>
          <w:sz w:val="22"/>
          <w:szCs w:val="22"/>
        </w:rPr>
        <w:t>. The use of algorithmic mapping from user</w:t>
      </w:r>
      <w:r>
        <w:rPr>
          <w:rFonts w:ascii="Arial" w:hAnsi="Arial" w:cs="Arial"/>
          <w:color w:val="000000" w:themeColor="text1"/>
          <w:sz w:val="22"/>
          <w:szCs w:val="22"/>
        </w:rPr>
        <w:noBreakHyphen/>
        <w:t>reported symptoms to triage categories and recommended actions mirrors recent digital self</w:t>
      </w:r>
      <w:r>
        <w:rPr>
          <w:rFonts w:ascii="Arial" w:hAnsi="Arial" w:cs="Arial"/>
          <w:color w:val="000000" w:themeColor="text1"/>
          <w:sz w:val="22"/>
          <w:szCs w:val="22"/>
        </w:rPr>
        <w:noBreakHyphen/>
        <w:t>triage tools in health care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{"citationID":"1TdN4APg","properties":{"unsorted":false,"formattedCitation":"(Judson {\\i{}et al.}, 2020)","plainCitation":"(Judson et al., 2020)","noteIndex":0},"citationItems":[{"id":154,"uris":["http://zotero.org/users/20030753/items/VWRPCVTQ"],"itemData":{"id":154,"type":"article-journal","abstract":"Objective\nTo rapidly deploy a digital patient-facing self-triage and self-scheduling tool in a large academic health system to address the COVID-19 pandemic.\n\nMaterials and Methods\nWe created a patient portal-based COVID-19 self-triage and self-scheduling tool and made it available to all primary care patients at the University of California, San Francisco Health, a large academic health system. Asymptomatic patients were asked about exposure history and were then provided relevant information. Symptomatic patients were triaged into 1 of 4 categories—emergent, urgent, nonurgent, or self-care—and then connected with the appropriate level of care via direct scheduling or telephone hotline.\n\nResults\nThis self-triage and self-scheduling tool was designed and implemented in under 2 weeks. During the first 16 days of use, it was completed 1129 times by 950 unique patients. Of completed sessions, 315 (28%) were by asymptomatic patients, and 814 (72%) were by symptomatic patients. Symptomatic patient triage dispositions were as follows: 193 emergent (24%), 193 urgent (24%), 99 nonurgent (12%), 329 self-care (40%). Sensitivity for detecting emergency-level care was 87.5% (95% CI 61.7–98.5%).\n\nDiscussion\nThis self-triage and self-scheduling tool has been widely used by patients and is being rapidly expanded to other populations and health systems. The tool has recommended emergency-level care with high sensitivity, and decreased triage time for patients with less severe illness. The data suggests it also prevents unnecessary triage messages, phone calls, and in-person visits.\n\nConclusion\nPatient self-triage tools integrated into electronic health record systems have the potential to greatly improve triage efficiency and prevent unnecessary visits during the COVID-19 pandemic.","container-title":"Journal of the American Medical Informatics Association : JAMIA","DOI":"10.1093/jamia/ocaa051","ISSN":"1067-5027","issue":"6","journalAbbreviation":"J Am Med Inform Assoc","page":"860-866","PMID":"32267928","PMCID":"PMC7184478","source":"PubMed Central","title":"Rapid design and implementation of an integrated patient self-triage and self-scheduling tool for COVID-19","volume":"27","author":[{"family":"Judson","given":"Timothy J"},{"family":"Odisho","given":"Anobel Y"},{"family":"Neinstein","given":"Aaron B"},{"family":"Chao","given":"Jessica"},{"family":"Williams","given":"Aimee"},{"family":"Miller","given":"Christopher"},{"family":"Moriarty","given":"Tim"},{"family":"Gleason","given":"Nathaniel"},{"family":"Intinarelli","given":"Gina"},{"family":"Gonzales","given":"Ralph"}],"issued":{"date-parts":[["2020",5,13]]}}}],"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(Judson </w:t>
      </w:r>
      <w:r>
        <w:rPr>
          <w:rFonts w:ascii="Arial" w:hAnsi="Arial" w:cs="Arial"/>
          <w:i/>
          <w:iCs/>
          <w:color w:val="000000"/>
          <w:kern w:val="0"/>
          <w:sz w:val="22"/>
          <w:lang w:val="en-US"/>
        </w:rPr>
        <w:t>et al.</w:t>
      </w:r>
      <w:r>
        <w:rPr>
          <w:rFonts w:ascii="Arial" w:hAnsi="Arial" w:cs="Arial"/>
          <w:color w:val="000000"/>
          <w:kern w:val="0"/>
          <w:sz w:val="22"/>
          <w:lang w:val="en-US"/>
        </w:rPr>
        <w:t>, 2020)</w:t>
      </w:r>
      <w:r>
        <w:rPr>
          <w:rFonts w:ascii="Arial" w:hAnsi="Arial" w:cs="Arial"/>
          <w:color w:val="000000" w:themeColor="text1"/>
          <w:sz w:val="22"/>
          <w:szCs w:val="22"/>
        </w:rPr>
        <w:fldChar w:fldCharType="end"/>
      </w:r>
      <w:r>
        <w:rPr>
          <w:rFonts w:ascii="Arial" w:hAnsi="Arial" w:cs="Arial"/>
          <w:color w:val="000000" w:themeColor="text1"/>
          <w:sz w:val="22"/>
          <w:szCs w:val="22"/>
        </w:rPr>
        <w:t>. The cut</w:t>
      </w:r>
      <w:r>
        <w:rPr>
          <w:rFonts w:ascii="Arial" w:hAnsi="Arial" w:cs="Arial"/>
          <w:color w:val="000000" w:themeColor="text1"/>
          <w:sz w:val="22"/>
          <w:szCs w:val="22"/>
        </w:rPr>
        <w:noBreakHyphen/>
        <w:t>offs used for this mapping are proportionally based on published VHI</w:t>
      </w:r>
      <w:r>
        <w:rPr>
          <w:rFonts w:ascii="Arial" w:hAnsi="Arial" w:cs="Arial"/>
          <w:color w:val="000000" w:themeColor="text1"/>
          <w:sz w:val="22"/>
          <w:szCs w:val="22"/>
        </w:rPr>
        <w:noBreakHyphen/>
        <w:t>10 and SVHI</w:t>
      </w:r>
      <w:r>
        <w:rPr>
          <w:rFonts w:ascii="Arial" w:hAnsi="Arial" w:cs="Arial"/>
          <w:color w:val="000000" w:themeColor="text1"/>
          <w:sz w:val="22"/>
          <w:szCs w:val="22"/>
        </w:rPr>
        <w:noBreakHyphen/>
        <w:t xml:space="preserve">10 thresholds for clinically meaningful change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{"citationID":"ECYaBjCO","properties":{"unsorted":false,"formattedCitation":"(Perrin {\\i{}et al.}, 2025)","plainCitation":"(Perrin et al., 2025)","noteIndex":0},"citationItems":[{"id":167,"uris":["http://zotero.org/users/20030753/items/GRGWPGMQ"],"itemData":{"id":167,"type":"article-journal","abstract":"BACKGROUND/OBJECTIVES: The Singing Voice Handicap Index-10 (SVHI-10) is a validated patient-reported outcome measure (PROM) that assesses patients' perception of handicap related to singing voice. A normative value has been established with a score ≥20 being abnormal. However, there is no defined minimal clinically important difference (MCID). This study prospectively determines the MCID of SVHI-10 among a diverse group of singers.\nMETHODS: 103 adult singers with and without voice complaints completed SVHI-10 twice, 30 days apart. MCID for the SVHI-10 was determined using distribution-based receiver-operating characteristic (ROC) curve analysis.\nRESULTS: Twenty-two men (1 transgender), 75 women (1 transgender), and 6 nonbinary individuals participated. The most frequently reported singing genres were classical (44.7%), musical theater (17.5%), and pop (10.7%). Mean initial SVHI-10 score was 13.05 (standard deviation 7.397), and mean follow-up SVHI-10 was 13.13 (7.994). There was a significant positive correlation between initial and follow-up SVHI-10 scores (r = 0.879, p &lt; 0.001). SVHI-10 scores were significantly higher among participants who reported voice changes in the past year (p &lt; 0.001) or sought voice treatment (p = 0.001) compared with participants who did not. SVHI-10 scores varied significantly based on singing type. The area under the ROC curve for SVHI-10 was 0.700 (p = 0.003). The SVHI-10 MCID was determined to be 9.5.\nCONCLUSIONS: An SVHI-10 score change ≥10 should be considered clinically meaningful. This definition has been missing from the literature and will improve understanding of patients' responses to treatment, which will help advance clinical care and track research outcomes.\nLEVEL OF EVIDENCE: 4 Laryngoscope, 135:752-757, 2025.","container-title":"The Laryngoscope","DOI":"10.1002/lary.31808","ISSN":"1531-4995","issue":"2","journalAbbreviation":"Laryngoscope","language":"eng","page":"752-757","PMID":"39363621","source":"PubMed","title":"Singing Voice Handicap Index-10 Minimal Clinically Important Difference: A Prospective Determination","title-short":"Singing Voice Handicap Index-10 Minimal Clinically Important Difference","volume":"135","author":[{"family":"Perrin","given":"Claire E."},{"family":"Young","given":"VyVy N."},{"family":"Ma","given":"Yue"},{"family":"Rosen","given":"Clark A."},{"family":"Stockton","given":"Steven D."},{"family":"Schneider","given":"Sarah L."}],"issued":{"date-parts":[["2025",2]]}}}],"schema":"https://github.com/citation-style-language/schema/raw/master/csl-citation.json"}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(Perrin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and on RSI scores commonly used to indicate clinically significant reflux symptomatology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{"citationID":"ofCxeqm0","properties":{"unsorted":false,"formattedCitation":"(Belafsky, Postma and Koufman, 2002; Lechien {\\i{}et al.}, 2020)","plainCitation":"(Belafsky, Postma and Koufman, 2002; Lechien et al., 2020)","noteIndex":0},"citationItems":[{"id":138,"uris":["http://zotero.org/users/20030753/items/KLU236BV"],"itemData":{"id":138,"type":"article-journal","abstract":"Laryngopharyngeal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A."}],"issued":{"date-parts":[["2002",6]]}}},{"id":131,"uris":["http://zotero.org/users/20030753/items/R6GF23Z4"],"itemData":{"id":131,"type":"article-journal","abstract":"Objectives/Hypothesis: To develop and validate the Reﬂux Symptom Score (RSS), a self-administered patient-reported outcome questionnaire for patients with laryngopharyngeal reﬂux (LPR). Study Design: Prospective controlled study.\nMethods: A total of 113 patients with LPR were enrolled and treated with diet and 3 months of pantoprazole, alginate, and/or magaldrate depending on the LPR characteristics (acid, nonacid, or mixed). Eighty asymptomatic individuals completed the study. Patients and controls completed the RSS twice within a 7-day period to assess test-retest reliability. Internal consistency was measured using Cronbach’s α for the RSS items in patients and controls. Validity was assessed by comparing the baseline RSS with the Reﬂux Symptom Index (RSI) and Voice Handicap Index (VHI). Seventy-seven patients completed the RSS at baseline and after 6 and 12 weeks of treatment to assess responsiveness to change. The RSS cutoff for determining the presence and absence of LPR was examined by receiver operating characteristic analysis.\nResults: Test-retest reliability (rs = 0.921) and internal consistency reliability (α = 0.969) were high. RSS exhibited high external validity indicated by a signiﬁcant correlation with the RSI (rs = 0.831). Internal validity was excellent based on the higher RSS in patients compared with controls (P = .001). RSS, RSI, and VHI scores signiﬁcantly improved from pre- to posttreatment, indicating a high responsiveness to change. RSS &gt;13 can be considered suggestive of LPR-related symptoms. RSS was not inﬂuenced by the occurrence of gastroesophageal reﬂux disease, LPR subtypes, or patient characteristics.\nConclusions: RSS is a self-administered patient-reported outcome questionnaire that demonstrates high reliability and excellent criterion-based validity. RSS can be used in diagnosing and monitoring LPR disease.","container-title":"The Laryngoscope","DOI":"10.1002/lary.28017","ISSN":"0023-852X, 1531-4995","issue":"3","journalAbbreviation":"The Laryngoscope","language":"en","source":"DOI.org (Crossref)","title":"Validity and reliability of the reflux symptom score","URL":"https://onlinelibrary.wiley.com/doi/10.1002/lary.28017","volume":"130","author":[{"family":"Lechien","given":"Jérôme R."},{"family":"Bobin","given":"Francois"},{"family":"Muls","given":"Vinciane"},{"family":"Thill","given":"Marie</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Paule"},{"family":"Horoi","given":"Mihaela"},{"family":"Ostermann","given":"Katharina"},{"family":"Huet","given":"Kathy"},{"family":"Harmegnies","given":"Bernard"},{"family":"Dequanter","given":"Didier"},{"family":"Dapri","given":"Giovanni"},{"family":"Maréchal","given":"Marie</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Therese"},{"family":"Finck","given":"Camille"},{"family":"Rodriguez Ruiz","given":"Alexandra"},{"family":"Saussez","given":"Sven"}],"accessed":{"date-parts":[["2026",4,28]]},"issued":{"date-parts":[["2020",3]]}}}],"schema":"https://github.com/citation-style-language/schema/raw/master/csl-citation.json"}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(Belafsky, Postma and Koufman, 2002; Lechien </w:t>
      </w:r>
      <w:r>
        <w:rPr>
          <w:rFonts w:ascii="Arial" w:hAnsi="Arial" w:cs="Arial"/>
          <w:i/>
          <w:iCs/>
          <w:color w:val="000000"/>
          <w:kern w:val="0"/>
          <w:sz w:val="22"/>
          <w:lang w:val="en-US"/>
        </w:rPr>
        <w:t>et al.</w:t>
      </w:r>
      <w:r>
        <w:rPr>
          <w:rFonts w:ascii="Arial" w:hAnsi="Arial" w:cs="Arial"/>
          <w:color w:val="000000"/>
          <w:kern w:val="0"/>
          <w:sz w:val="22"/>
          <w:lang w:val="en-US"/>
        </w:rPr>
        <w:t>, 2020)</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Anxiety scores modulate rather than dictate triage, reflecting evidence that psychological factors influence vocal symptoms and treatment outcomes but do not always map directly onto structural laryngeal pathology </w:t>
      </w:r>
      <w:r>
        <w:rPr>
          <w:rFonts w:ascii="Arial" w:hAnsi="Arial" w:cs="Arial"/>
          <w:color w:val="000000" w:themeColor="text1"/>
          <w:sz w:val="22"/>
          <w:szCs w:val="22"/>
        </w:rPr>
        <w:fldChar w:fldCharType="begin"/>
      </w:r>
      <w:r w:rsidR="00201074">
        <w:rPr>
          <w:rFonts w:ascii="Arial" w:hAnsi="Arial" w:cs="Arial"/>
          <w:color w:val="000000" w:themeColor="text1"/>
          <w:sz w:val="22"/>
          <w:szCs w:val="22"/>
        </w:rPr>
        <w:instrText xml:space="preserve"> ADDIN ZOTERO_ITEM CSL_CITATION {"citationID":"MPdgYNqQ","properties":{"unsorted":false,"formattedCitation":"(Aldridge-Waddon {\\i{}et al.}, 2026; Aremu, 2026)","plainCitation":"(Aldridge-Waddon et al., 2026; Aremu, 2026)","noteIndex":0},"citationItems":[{"id":"J2csjAgN/stLfzJll","uris":["http://zotero.org/users/20030753/items/JWWB4QYY"],"itemData":{"id":140,"type":"article-journal","abstract":"OBJECTIVES: Clinical voice disorders are heterogenous conditions capturing problems with voice production and control. Psychological conceptualizations of voice disorders posit that mood, anxiety, and personality characteristics contribute to the development and maintenance of voice symptoms. This review brings together research comparing these psychological characteristics across groups with and without voice disorders, with the aim of profiling group differences.\nMETHODS: A systematic search of PubMed, CINAHL, Ovid (PsycInfo, MEDLINE, Embase), and Web of Science databases was conducted, with studies required to assess psychological characteristics between samples with and without voice disorders. Relative study quality and risk of bias were formally evaluated, synthesizing results via meta-analysis (estimating standardized mean difference; SMD) and narrative synthesis.\nRESULTS: Thirty-nine studies (N = 4740) were reviewed. Marked psychological differences were observed between case-control groups, including significantly higher self-reported features of depression (SMD = 0.50), state anxiety (SMD = 0.58), trait anxiety (SMD = 0.52), health anxiety (SMD = 0.57), and neuroticism (SMD = 0.47) in voice disorder groups. However, less consistent patterns of difference were observed between voice disorder types, including minimal quantitative differences between functional and organic diagnoses.\nCONCLUSIONS: Findings underline and formulate the psychological features associated with experiencing a voice disorder, indicating individuals with voice disorders present with considerable psychological needs that may benefit from clinical psychology input.","container-title":"Journal of Voice: Official Journal of the Voice Foundation","DOI":"10.1016/j.jvoice.2023.09.012","ISSN":"1873-4588","issue":"2","journalAbbreviation":"J Voice","language":"eng","page":"386-399","PMID":"37806904","source":"PubMed","title":"Clinical Psychology and Voice Disorders: A Meta-Analytic Review of Studies Assessing Psychological Characteristics Across Individuals With and Without Voice Disorders","title-short":"Clinical Psychology and Voice Disorders","volume":"40","author":[{"family":"Aldridge-Waddon","given":"Luke"},{"family":"Hiles","given":"Chloe"},{"family":"Spence","given":"Victoria"},{"family":"Hotton","given":"Matthew"}],"issued":{"date-parts":[["2026",3]]}}},{"id":239,"uris":["http://zotero.org/users/20030753/items/QPJMP7S9"],"itemData":{"id":239,"type":"article-journal","container-title":"Journal of African Tropical Medicine and Health","DOI":"10.5281/zenodo.19681983","issue":"2","page":"112-131","publisher":"Pan</w:instrText>
      </w:r>
      <w:r w:rsidR="00201074">
        <w:rPr>
          <w:rFonts w:ascii="Cambria Math" w:hAnsi="Cambria Math" w:cs="Cambria Math"/>
          <w:color w:val="000000" w:themeColor="text1"/>
          <w:sz w:val="22"/>
          <w:szCs w:val="22"/>
        </w:rPr>
        <w:instrText>‑</w:instrText>
      </w:r>
      <w:r w:rsidR="00201074">
        <w:rPr>
          <w:rFonts w:ascii="Arial" w:hAnsi="Arial" w:cs="Arial"/>
          <w:color w:val="000000" w:themeColor="text1"/>
          <w:sz w:val="22"/>
          <w:szCs w:val="22"/>
        </w:rPr>
        <w:instrText xml:space="preserve">African Research Journals","source":"ResearchGate","title":"Psychophysiological Mechanisms Linking Psychological Stress to Functional Otolaryngological Symptoms: A Systematic Review and Meta-Analysis","volume":"7","author":[{"family":"Aremu","given":"Shuaib"}],"issued":{"date-parts":[["2026",4,16]]}}}],"schema":"https://github.com/citation-style-language/schema/raw/master/csl-citation.json"} </w:instrText>
      </w:r>
      <w:r>
        <w:rPr>
          <w:rFonts w:ascii="Arial" w:hAnsi="Arial" w:cs="Arial"/>
          <w:color w:val="000000" w:themeColor="text1"/>
          <w:sz w:val="22"/>
          <w:szCs w:val="22"/>
        </w:rPr>
        <w:fldChar w:fldCharType="separate"/>
      </w:r>
      <w:r w:rsidR="00201074" w:rsidRPr="00201074">
        <w:rPr>
          <w:rFonts w:ascii="Arial" w:hAnsi="Arial" w:cs="Arial"/>
          <w:color w:val="000000"/>
          <w:kern w:val="0"/>
          <w:sz w:val="22"/>
          <w:lang w:val="en-US"/>
        </w:rPr>
        <w:t>(Aldridge-</w:t>
      </w:r>
      <w:proofErr w:type="spellStart"/>
      <w:r w:rsidR="00201074" w:rsidRPr="00201074">
        <w:rPr>
          <w:rFonts w:ascii="Arial" w:hAnsi="Arial" w:cs="Arial"/>
          <w:color w:val="000000"/>
          <w:kern w:val="0"/>
          <w:sz w:val="22"/>
          <w:lang w:val="en-US"/>
        </w:rPr>
        <w:t>Waddon</w:t>
      </w:r>
      <w:proofErr w:type="spellEnd"/>
      <w:r w:rsidR="00201074" w:rsidRPr="00201074">
        <w:rPr>
          <w:rFonts w:ascii="Arial" w:hAnsi="Arial" w:cs="Arial"/>
          <w:color w:val="000000"/>
          <w:kern w:val="0"/>
          <w:sz w:val="22"/>
          <w:lang w:val="en-US"/>
        </w:rPr>
        <w:t xml:space="preserve"> </w:t>
      </w:r>
      <w:r w:rsidR="00201074" w:rsidRPr="00201074">
        <w:rPr>
          <w:rFonts w:ascii="Arial" w:hAnsi="Arial" w:cs="Arial"/>
          <w:i/>
          <w:iCs/>
          <w:color w:val="000000"/>
          <w:kern w:val="0"/>
          <w:sz w:val="22"/>
          <w:lang w:val="en-US"/>
        </w:rPr>
        <w:t>et al.</w:t>
      </w:r>
      <w:r w:rsidR="00201074" w:rsidRPr="00201074">
        <w:rPr>
          <w:rFonts w:ascii="Arial" w:hAnsi="Arial" w:cs="Arial"/>
          <w:color w:val="000000"/>
          <w:kern w:val="0"/>
          <w:sz w:val="22"/>
          <w:lang w:val="en-US"/>
        </w:rPr>
        <w:t>, 2026; Aremu, 2026)</w:t>
      </w:r>
      <w:r>
        <w:rPr>
          <w:rFonts w:ascii="Arial" w:hAnsi="Arial" w:cs="Arial"/>
          <w:color w:val="000000" w:themeColor="text1"/>
          <w:sz w:val="22"/>
          <w:szCs w:val="22"/>
        </w:rPr>
        <w:fldChar w:fldCharType="end"/>
      </w:r>
      <w:r>
        <w:rPr>
          <w:rFonts w:ascii="Arial" w:hAnsi="Arial" w:cs="Arial"/>
          <w:color w:val="000000" w:themeColor="text1"/>
          <w:sz w:val="22"/>
          <w:szCs w:val="22"/>
        </w:rPr>
        <w:t>. Beneath the color badge, the tool lists suggested services—such as ENT evaluation, speech–language pathology, vocal coaching or music therapy—along with profession</w:t>
      </w:r>
      <w:r>
        <w:rPr>
          <w:rFonts w:ascii="Arial" w:hAnsi="Arial" w:cs="Arial"/>
          <w:color w:val="000000" w:themeColor="text1"/>
          <w:sz w:val="22"/>
          <w:szCs w:val="22"/>
        </w:rPr>
        <w:noBreakHyphen/>
        <w:t xml:space="preserve">specific tips, echoing recommendations that professional voice users benefit from coordinated medical, behavioural and pedagogical interventions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{"citationID":"coygym3u","properties":{"unsorted":false,"formattedCitation":"(Sataloff, Hawkshaw and Sataloff, 2022; Ramachandran {\\i{}et al.}, 2025)","plainCitation":"(Sataloff, Hawkshaw and Sataloff, 2022; Ramachandran et al., 2025)","noteIndex":0},"citationItems":[{"id":235,"uris":["http://zotero.org/users/20030753/items/8WYPUVZ4"],"itemData":{"id":235,"type":"chapter","abstract":"Numerous medical conditions occur in patients with or without dentofacial anomalies and may affect voice. Such medical conditions create voice and whole-body performance difficulties. Common medical conditions include infection and inflammation, sinusitis, allergy, respiratory tract infection, autoimmune disease, obesity, aging, hearing loss, respiratory dysfunction, endocrine and neurologic disorders, psychological impairment, structural lesions of the larynx, and others. Practitioners and performers, including athletes and coaches, should be familiar with these conditions and their implications when evaluating, treating, and training performers such as athletes.","container-title":"Office-Based Laryngeal Surgery","DOI":"10.1007/978-3-030-91936-8_4","ISBN":"978-3-030-91936-8","language":"en","page":"59-97","publisher":"Springer International Publishing","publisher-place":"Cham","source":"Springer Link","title":"Professional Voice Users: An Overview of Medical Disorders and Treatments","title-short":"Professional Voice Users","URL":"https://doi.org/10.1007/978-3-030-91936-8_4","author":[{"family":"Sataloff","given":"Robert Thayer"},{"family":"Hawkshaw","given":"Mary J."},{"family":"Sataloff","given":"Johnathan Brandon"}],"editor":[{"family":"Hamdan","given":"Abdul-latif"},{"family":"Sataloff","given":"Robert Thayer"},{"family":"Hawkshaw","given":"Mary J."}],"accessed":{"date-parts":[["2026",5,17]]},"issued":{"date-parts":[["2022"]]}}},{"id":236,"uris":["http://zotero.org/users/20030753/items/9HNGB7L7"],"itemData":{"id":236,"type":"article-journal","abstract":"Objectives\nThis systematic review explored coping with voice problems in professional voice users. The objectives were to: 1) evaluate how voice-related coping is assessed in professional voice users 2) investigate how they cope with voice problems, and 3) identify factors associated with voice-related coping.\nDesign\nSystematic review.\nMethods\nA systematic literature search of ten electronic databases using both EBSCOhost and OVID online platforms was conducted following the Preferred Reporting Items for Systematic Reviews (PRISMA) guidelines. Only peer-reviewed articles which assessed coping in the context of voice problems in professional voice users were included. Methodological quality was assessed using Johanna-Briggs Institute Critical Appraisal checklists. Data analysis was conducted using narrative synthesis.\nResults\nFollowing deduplication, abstract and full-text screening, seven articles were included in the review. All participants (n=2484) were teachers; no other professional voice users were covered. 98% of the cases studied were females. The tools used to assess voice-related coping were Utrecht Coping List (UCL) and Voice Disability Coping Questionnaire (VDCQ). Studies which used UCL reported a passive coping pattern in teachers with high vocal handicap whereas VDCQ showed increased use of social support. Factors associated with coping were not examined by any of the studies.\nConclusion\nSeeking social support was highlighted as a frequently used coping strategy across studies and measures. Teachers with high vocal handicap used a passive coping pattern and active coping styles were not significantly used. Current evidence does not sufficiently specify factors affecting coping in professional voice users. More research on voice-related coping involving all professional voice users is warranted to identify associated factors and further ascertain its influence on vocal health.","container-title":"Journal of Voice","DOI":"10.1016/j.jvoice.2022.08.024","ISSN":"0892-1997","issue":"2","journalAbbreviation":"Journal of Voice","page":"562.e17-562.e31","source":"ScienceDirect","title":"Voice Related Coping in Professional Voice Users-A Systematic Review","volume":"39","author":[{"family":"Ramachandran","given":"Aparna"},{"family":"Hilari","given":"Katerina"},{"family":"Epstein","given":"Ruth"},{"family":"Devane","given":"Niamh"},{"family":"Hirani","given":"Shashivadan P."}],"issued":{"date-parts":[["2025",3,1]]}}}],"schema":"https://github.com/citation-style-language/schema/raw/master/csl-citation.json"}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(Sataloff, Hawkshaw and Sataloff, 2022; Ramachandran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While this structure meets my original aim of guiding users toward appropriate voice care, its current limitation is that the recommendations remain relatively brief</w:t>
      </w:r>
      <w:r w:rsidR="00201074">
        <w:rPr>
          <w:rFonts w:ascii="Arial" w:hAnsi="Arial" w:cs="Arial"/>
          <w:color w:val="000000" w:themeColor="text1"/>
          <w:sz w:val="22"/>
          <w:szCs w:val="22"/>
        </w:rPr>
        <w:t>. B</w:t>
      </w:r>
      <w:r>
        <w:rPr>
          <w:rFonts w:ascii="Arial" w:hAnsi="Arial" w:cs="Arial"/>
          <w:color w:val="000000" w:themeColor="text1"/>
          <w:sz w:val="22"/>
          <w:szCs w:val="22"/>
        </w:rPr>
        <w:t>est</w:t>
      </w:r>
      <w:r>
        <w:rPr>
          <w:rFonts w:ascii="Arial" w:hAnsi="Arial" w:cs="Arial"/>
          <w:color w:val="000000" w:themeColor="text1"/>
          <w:sz w:val="22"/>
          <w:szCs w:val="22"/>
        </w:rPr>
        <w:noBreakHyphen/>
        <w:t xml:space="preserve">practice models describe more detailed, stepwise care pathways that could inform future iterations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{"citationID":"zwLl4syF","properties":{"unsorted":false,"formattedCitation":"(Starmer {\\i{}et al.}, 2014; Ring {\\i{}et al.}, 2025)","plainCitation":"(Starmer et al., 2014; Ring et al., 2025)","noteIndex":0},"citationItems":[{"id":2,"uris":["http://zotero.org/users/20030753/items/PT693X4J"],"itemData":{"id":2,"type":"article-journal","abstract":"Objectives:\n              We sought to determine the effect of referral patterns on attendance in voice therapy.\n            \n            \n              Methods:\n              Patients who were seen by a laryngologist for vocal concerns and referred for voice therapy comprised the study population. Outcomes were compared between those who were initially evaluated through the interdisciplinary voice clinic (IDC), which combined speech-language pathology and laryngology care, and those who were evaluated by a laryngologist alone. Adherence was measured by completion of the plan of care.\n            \n            \n              Results:\n              There were 79 patients evaluated through the IDC and 100 patients evaluated initially by a laryngologist. Patients evaluated through the IDC had more visits with the speech-language pathologist (mean, 3.1 versus 1.24; p &lt; 0.0001). Those initially evaluated through the IDC were more likely to complete their plan of care (p = 0.02). Completion of voice therapy was significantly more likely for individuals coded as being of “other” race (odds ratio, 7.98; p = 0.002) and for patients who participated in the IDC (odds ratio, 2.56; p = 0.018). The cause of dysphonia, sex, marital status, insurance status, days from laryngology referral to the initial speech-language pathologist consultation, the initial Voice-Related Quality of Life score, and distance to the clinic were not associated with patient attendance.\n            \n            \n              Conclusions:\n              Patients evaluated in a coordinated IDC should be more likely to attend voice therapy and complete their plan of care, regardless of other factors.","container-title":"Annals of Otology, Rhinology &amp; Laryngology","DOI":"10.1177/0003489414523708","ISSN":"0003-4894, 1943-572X","issue":"2","journalAbbreviation":"Ann Otol Rhinol Laryngol","language":"en","page":"117-123","source":"DOI.org (Crossref)","title":"Attendance in Voice Therapy: Can an Interdisciplinary Care Model Have an Impact?","title-short":"Attendance in Voice Therapy","volume":"123","author":[{"family":"Starmer","given":"Heather M."},{"family":"Liu","given":"Zaneta"},{"family":"Akst","given":"Lee M."},{"family":"Gourin","given":"Christine"}],"issued":{"date-parts":[["2014",2]]}}},{"id":16,"uris":["http://zotero.org/users/20030753/items/QFQRSS9C"],"itemData":{"id":16,"type":"article-journal","abstract":"Acute unilateral vocal fold paralysis (UVFP) management differs across the United States. This study aims to characterize current trends in UVFP treatment at US tertiary care voice centers.\nA survey was distributed to laryngologists at 51 tertiary care voice centers within the CoPE (Vocal Cord Paralysis Experience) Collaborative.\nParticipants provided information on voice center, laryngologist, and speech</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language pathologist (SLP) characteristics, diagnostic practices, treatment decision</w:instrText>
      </w:r>
      <w:r>
        <w:rPr>
          <w:rFonts w:ascii="Cambria Math" w:hAnsi="Cambria Math" w:cs="Cambria Math"/>
          <w:color w:val="000000" w:themeColor="text1"/>
          <w:sz w:val="22"/>
          <w:szCs w:val="22"/>
        </w:rPr>
        <w:instrText>‐</w:instrText>
      </w:r>
      <w:r>
        <w:rPr>
          <w:rFonts w:ascii="Arial" w:hAnsi="Arial" w:cs="Arial"/>
          <w:color w:val="000000" w:themeColor="text1"/>
          <w:sz w:val="22"/>
          <w:szCs w:val="22"/>
        </w:rPr>
        <w:instrText xml:space="preserve">making, and therapies offered for acute UVFP (symptoms present for ≤ 6 months). National trends in diagnostic and treatment practices were evaluated.\nAmong the 51 CoPE centers, 48 completed the questionnaire (17% Northeast, 33% South, 35% Midwest, 15% West). Most centers (77%) had 1–2 laryngologists managing acute UVFP, with SLP availability varying widely (0–8+ per site). Diagnostic practices varied significantly: only 26% of centers routinely measured mean airflow during phonation, 47% recorded maximum phonation time (MPT), and 53% assessed GRBAS. Treatment commonly included vocal fold injection augmentation, alone or combined with voice therapy, with injections typically administered 3–4 weeks after diagnosis (83%). Hyaluronic acid (95%), PROLARYN GEL (60%), and calcium hydroxyapatite (56%) were the most frequently used materials. Injection procedures were performed “often” in clinic settings (90%) and “rarely” or “never” in the operating room (42%) and hospital bedside (56%).\nSignificant variability exists in the diagnostic testing, evaluation, and treatment of acute UVFP across tertiary care centers. Future studies are warranted to explore the causes of these variations and assess the role of multidisciplinary approaches in optimizing UVFP care.\n3.","container-title":"Laryngoscope Investigative Otolaryngology","DOI":"10.1002/lio2.70135","issue":"2","language":"English","license":"© 2025. This work is published under http://creativecommons.org/licenses/by-nc-nd/4.0/ (the \"License\").  Notwithstanding the ProQuest Terms and Conditions, you may use this content in accordance with the terms of the License.","publisher":"John Wiley &amp; Sons, Inc.","publisher-place":"Hoboken, United States","section":"ORIGINAL RESEARCH","source":"ProQuest","title":"National Trends in Treatment of Acute Unilateral Vocal Fold Paralysis at Tertiary Care Voice Centers","URL":"https://www.proquest.com/docview/3195457967/abstract/1EB8E67E58B4189PQ/1","volume":"10","author":[{"family":"Ring","given":"Sydney"},{"family":"Colwell","given":"Nicholas"},{"family":"Bowen","given":"Andrew J."},{"family":"Arroyo","given":"Natalia"},{"family":"Lakpa","given":"Koffi L."},{"family":"Faus","given":"Jaime"},{"family":"Rasmussen","given":"Miranda"},{"family":"Nordby","given":"Peter"},{"family":"Zhao","given":"Jiwei"},{"family":"Francis","given":"David O."}],"accessed":{"date-parts":[["2026",3,23]]},"issued":{"date-parts":[["2025",4,1]]}}}],"schema":"https://github.com/citation-style-language/schema/raw/master/csl-citation.json"}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(Starmer </w:t>
      </w:r>
      <w:r>
        <w:rPr>
          <w:rFonts w:ascii="Arial" w:hAnsi="Arial" w:cs="Arial"/>
          <w:i/>
          <w:iCs/>
          <w:color w:val="000000"/>
          <w:kern w:val="0"/>
          <w:sz w:val="22"/>
          <w:lang w:val="en-US"/>
        </w:rPr>
        <w:t>et al.</w:t>
      </w:r>
      <w:r>
        <w:rPr>
          <w:rFonts w:ascii="Arial" w:hAnsi="Arial" w:cs="Arial"/>
          <w:color w:val="000000"/>
          <w:kern w:val="0"/>
          <w:sz w:val="22"/>
          <w:lang w:val="en-US"/>
        </w:rPr>
        <w:t xml:space="preserve">, 2014; Ring </w:t>
      </w:r>
      <w:r>
        <w:rPr>
          <w:rFonts w:ascii="Arial" w:hAnsi="Arial" w:cs="Arial"/>
          <w:i/>
          <w:iCs/>
          <w:color w:val="000000"/>
          <w:kern w:val="0"/>
          <w:sz w:val="22"/>
          <w:lang w:val="en-US"/>
        </w:rPr>
        <w:t>et al.</w:t>
      </w:r>
      <w:r>
        <w:rPr>
          <w:rFonts w:ascii="Arial" w:hAnsi="Arial" w:cs="Arial"/>
          <w:color w:val="000000"/>
          <w:kern w:val="0"/>
          <w:sz w:val="22"/>
          <w:lang w:val="en-US"/>
        </w:rPr>
        <w:t>,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w:t>
      </w:r>
    </w:p>
    <w:p w14:paraId="6C1B9ACD" w14:textId="597F79C0" w:rsidR="00EA40D0" w:rsidRPr="00A61110" w:rsidRDefault="00EA40D0" w:rsidP="00EA40D0">
      <w:pPr>
        <w:spacing w:after="0" w:line="360" w:lineRule="auto"/>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26A25FBC" wp14:editId="22CFB770">
            <wp:extent cx="2426110" cy="2854569"/>
            <wp:effectExtent l="0" t="0" r="0" b="3175"/>
            <wp:docPr id="47497055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70550" name="Picture 47497055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77052" cy="2914507"/>
                    </a:xfrm>
                    <a:prstGeom prst="rect">
                      <a:avLst/>
                    </a:prstGeom>
                  </pic:spPr>
                </pic:pic>
              </a:graphicData>
            </a:graphic>
          </wp:inline>
        </w:drawing>
      </w:r>
      <w:r>
        <w:rPr>
          <w:rFonts w:ascii="Arial" w:hAnsi="Arial" w:cs="Arial"/>
          <w:color w:val="000000" w:themeColor="text1"/>
          <w:sz w:val="22"/>
          <w:szCs w:val="22"/>
        </w:rPr>
        <w:t xml:space="preserve">      </w:t>
      </w:r>
      <w:r>
        <w:rPr>
          <w:rFonts w:ascii="Arial" w:hAnsi="Arial" w:cs="Arial"/>
          <w:noProof/>
          <w:color w:val="000000" w:themeColor="text1"/>
          <w:sz w:val="22"/>
          <w:szCs w:val="22"/>
        </w:rPr>
        <w:drawing>
          <wp:inline distT="0" distB="0" distL="0" distR="0" wp14:anchorId="283A07A4" wp14:editId="03968F7A">
            <wp:extent cx="2993922" cy="2323807"/>
            <wp:effectExtent l="0" t="0" r="3810" b="635"/>
            <wp:docPr id="99120520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05204" name="Picture 99120520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67220" cy="2380699"/>
                    </a:xfrm>
                    <a:prstGeom prst="rect">
                      <a:avLst/>
                    </a:prstGeom>
                  </pic:spPr>
                </pic:pic>
              </a:graphicData>
            </a:graphic>
          </wp:inline>
        </w:drawing>
      </w:r>
    </w:p>
    <w:p w14:paraId="7BAC6E71" w14:textId="77777777" w:rsidR="00EA40D0" w:rsidRDefault="00EA40D0" w:rsidP="00FB33D8">
      <w:pPr>
        <w:spacing w:after="0" w:line="360" w:lineRule="auto"/>
        <w:ind w:firstLine="720"/>
        <w:rPr>
          <w:rFonts w:ascii="Arial" w:hAnsi="Arial" w:cs="Arial"/>
          <w:color w:val="000000" w:themeColor="text1"/>
          <w:sz w:val="22"/>
          <w:szCs w:val="22"/>
        </w:rPr>
      </w:pPr>
    </w:p>
    <w:p w14:paraId="3A2317F8" w14:textId="32BC44E9" w:rsidR="00D75891" w:rsidRPr="00A61110" w:rsidRDefault="00D75891" w:rsidP="00FB33D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The presence of multiple domains in the questionnaire demonstrates how I applied biopsychosocial and triage frameworks to multidimensional voice</w:t>
      </w:r>
      <w:r>
        <w:rPr>
          <w:rFonts w:ascii="Arial" w:hAnsi="Arial" w:cs="Arial"/>
          <w:color w:val="000000" w:themeColor="text1"/>
          <w:sz w:val="22"/>
          <w:szCs w:val="22"/>
        </w:rPr>
        <w:noBreakHyphen/>
        <w:t xml:space="preserve">health screening, aligning with calls to move beyond purely biomedical models in chronic voice disorders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{"citationID":"BV5WRxq7","properties":{"unsorted":false,"formattedCitation":"(Schneider, Vaezi and Francis, 2016; Wade and Halligan, 2017)","plainCitation":"(Schneider, Vaezi and Francis, 2016; Wade and Halligan, 2017)","noteIndex":0},"citationItems":[{"id":206,"uris":["http://zotero.org/users/20030753/items/NK7LX89G"],"itemData":{"id":206,"type":"article-journal","abstract":"A trend of attributing abnormal voice changes to reflux has gained momentum among medical professionals over the last few decades. Evidence supporting the connection between reflux and voice and the use of anti-reflux medication in patients with dysphonia is conflicting and deserves careful examination. In the current health care environment, it is important that medical decisions be based on science rather than anecdote and practice patterns. The goal of this review is to investigate the evidence linking reflux and voice changes. Specifically, this association will be examined in the context of the Bradford-Hill criteria to determine what evidence exists for a causal relationship between this exposure (reflux) and outcome (voice change).","container-title":"Current otorhinolaryngology reports","DOI":"10.1007/s40136-016-0121-5","ISSN":"2167-583X","issue":"3","journalAbbreviation":"Curr Otorhinolaryngol Rep","page":"157-167","PMID":"28163985","PMCID":"PMC5283836","source":"PubMed Central","title":"Reflux and Voice Disorders: Have We Established Causality?","title-short":"Reflux and Voice Disorders","volume":"4","author":[{"family":"Schneider","given":"G. Todd"},{"family":"Vaezi","given":"Michael F."},{"family":"Francis","given":"David O."}],"issued":{"date-parts":[["2016",9]]}}},{"id":186,"uris":["http://zotero.org/users/20030753/items/2B7LKZAZ"],"itemData":{"id":186,"type":"article-journal","abstract":"The biopsychosocial model outlined in Engel’s classic Science paper four decades ago emerged from dissatisfaction with the biomedical model of illness, which remains the dominant healthcare model. Engel’s call to arms for a biopsychosocial model has been taken up in several healthcare fields, but it has not been accepted in the more economically dominant and politically powerful acute medical and surgical domains. It is widely used in research into complex healthcare interventions, it is the basis of the World Health Organisation’s International Classification of Functioning (WHO ICF), it is used clinically, and it is used to structure clinical guidelines. Critically, it is now generally accepted that illness and health are the result of an interaction between biological, psychological, and social factors. Despite the evidence supporting its validity and utility, the biopsychosocial model has had little influence on the larger scale organization and funding of healthcare provision. With chronic diseases now accounting for most morbidity and many deaths in Western countries, healthcare systems designed around acute biomedical care models are struggling to improve patient-reported outcomes and reduce healthcare costs. Consequently, there is now a greater need to apply the biopsychological model to healthcare management. The increasing proportion of healthcare resource devoted to chronic disorders and the accompanying need to improve patient outcomes requires action; better understanding and employment of the biopsychosocial model by those charged with healthcare funding could help improve healthcare outcome while also controlling costs.","container-title":"Clinical Rehabilitation","DOI":"10.1177/0269215517709890","journalAbbreviation":"Clinical Rehabilitation","page":"995-1004","source":"ResearchGate","title":"The biopsychosocial model of illness: a model whose time has come","title-short":"The biopsychosocial model of illness","volume":"31","author":[{"family":"Wade","given":"Derick"},{"family":"Halligan","given":"Peter"}],"issued":{"date-parts":[["2017",8,1]]}}}],"schema":"https://github.com/citation-style-language/schema/raw/master/csl-citation.json"}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noProof/>
          <w:color w:val="000000" w:themeColor="text1"/>
          <w:sz w:val="22"/>
          <w:szCs w:val="22"/>
        </w:rPr>
        <w:t>(Schneider, Vaezi and Francis, 2016; Wade and Halligan, 2017)</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The way I selected and adapted items from each instrument shows critical engagement with their psychometric properties and with their applicability to a bilingual Puerto Rican population, consistent with recommendations for culturally sensitive adaptation of PROMs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{"citationID":"KsCemLiG","properties":{"unsorted":false,"formattedCitation":"(Calvo-Henr\\uc0\\u237{}quez {\\i{}et al.}, 2019; Spuler Fern\\uc0\\u225{}ndez, Correa Forno and Azevedo, 2023)","plainCitation":"(Calvo-Henríquez et al., 2019; Spuler Fernández, Correa Forno and Azevedo, 2023)","noteIndex":0},"citationItems":[{"id":129,"uris":["http://zotero.org/users/20030753/items/QMSLTBAF"],"itemData":{"id":129,"type":"article-journal","abstract":"Objective. In this study, we have created and validated the Spanish translation of the Reﬂux Symptom Index (Sp-RSI). Materials and Methods. RSI was translated according to the World Health Organization recommendation for the translation and adaptation of instruments. The ﬁnal version of the Sp-RSI was administered twice (day 0 and day 7) to 150 participants with and without laryngopharyngeal reﬂux symptoms. Reliability was measured with Cronbach α, and temporal stability was measured with intraclass correlation coefﬁcient.","container-title":"Journal of Voice","DOI":"10.1016/j.jvoice.2018.04.019","ISSN":"08921997","issue":"5","journalAbbreviation":"Journal of Voice","language":"en","page":"807.e1-807.e5","source":"DOI.org (Crossref)","title":"Translation and Validation of the Reflux Symptom Index to Spanish","volume":"33","author":[{"family":"Calvo-Henríquez","given":"Christian"},{"family":"Ruano-Ravina","given":"Alberto"},{"family":"Vaamonde","given":"Pedro"},{"family":"Lattomus","given":"Kaelon"},{"family":"Sebio","given":"Alicia"},{"family":"Fernández-Rodríguez","given":"Raquel"},{"family":"Martin-Martin","given":"Carlos"}],"issued":{"date-parts":[["2019",9]]}}},{"id":67,"uris":["http://zotero.org/users/20030753/items/RWYWW53F"],"itemData":{"id":67,"type":"article-journal","abstract":"Purpose. To adapt the Singing Voice Handicap Index (SVHI) questionnaire linguistically and culturally to Chilean Spanish.\nMethodology. The SVHI was directly translated into Chilean Spanish and later back-translated into the original English language; both translations were reviewed by a judgment of bilingual experts, who defined which items would make up the first version of the translated tool. This version was answered by 15 Chilean singers with a diagnosis of dysphonia, with the aim of identifying discrepancies, which were reviewed and agreed upon by the committee of experts; a second modified version was applied to 5 more singers with a diagnosis of dysphonia, not finding misunderstood or inappropriate questions for Chilean culture at this stage.\nResults. 5 of the 9 items questioned were modified to reach the final version that reflects the original English version, both in the number of items and in the domains of the survey. Limitations. Due to the number of participating people, only the cultural adaptation could be carried out and not the validation of the instrument that considers cut-off scores for the population studied. Therefore, the tool can be used to carry out a qualitative and not quantitative analysis. Value. Having this survey translated, following a rigorous methodological process, allows Chilean singers to express their singing-related vocal disadvantage and identify the most affected domains and, thus, plan the vocal intervention more specifically.\nConclusion. The Singing Voice Disadvantage Index questionnaire for Chilean Spanish is available for its application to the Chilean language and culture.","container-title":"Revista de Investigación e Innovación en Ciencias de la Salud","DOI":"10.46634/riics.242","ISSN":"2665-2056","issue":"2","journalAbbreviation":"Rev. Investig. Innov. Cienc. Salud","language":"es","page":"129-148","source":"DOI.org (Crossref)","title":"Adaptación lingüística y cultural al español chileno del cuestionario de autovaloración vocal para cantantes Singing Voice Handicap Index (S-VHI)","volume":"5","author":[{"family":"Spuler Fernández","given":"Ingrid"},{"family":"Correa Forno","given":"Soledad"},{"family":"Azevedo","given":"Renata Rangel"}],"issued":{"date-parts":[["2023",12,20]]}}}],"schema":"https://github.com/citation-style-language/schema/raw/master/csl-citation.json"}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s-PR"/>
        </w:rPr>
        <w:t xml:space="preserve">(Calvo-Henríquez </w:t>
      </w:r>
      <w:r>
        <w:rPr>
          <w:rFonts w:ascii="Arial" w:hAnsi="Arial" w:cs="Arial"/>
          <w:i/>
          <w:iCs/>
          <w:color w:val="000000"/>
          <w:kern w:val="0"/>
          <w:sz w:val="22"/>
          <w:lang w:val="es-PR"/>
        </w:rPr>
        <w:t>et al.</w:t>
      </w:r>
      <w:r>
        <w:rPr>
          <w:rFonts w:ascii="Arial" w:hAnsi="Arial" w:cs="Arial"/>
          <w:color w:val="000000"/>
          <w:kern w:val="0"/>
          <w:sz w:val="22"/>
          <w:lang w:val="es-PR"/>
        </w:rPr>
        <w:t>, 2019; Spuler Fernández, Correa Forno and Azevedo, 2023)</w:t>
      </w:r>
      <w:r>
        <w:rPr>
          <w:rFonts w:ascii="Arial" w:hAnsi="Arial" w:cs="Arial"/>
          <w:color w:val="000000" w:themeColor="text1"/>
          <w:sz w:val="22"/>
          <w:szCs w:val="22"/>
        </w:rPr>
        <w:fldChar w:fldCharType="end"/>
      </w:r>
      <w:r>
        <w:rPr>
          <w:rFonts w:ascii="Arial" w:hAnsi="Arial" w:cs="Arial"/>
          <w:color w:val="000000" w:themeColor="text1"/>
          <w:sz w:val="22"/>
          <w:szCs w:val="22"/>
        </w:rPr>
        <w:t>. The finished artefact also illustrates the potential clinical use of validated voice, reflux and anxiety tools when they are combined into a single, user</w:t>
      </w:r>
      <w:r>
        <w:rPr>
          <w:rFonts w:ascii="Arial" w:hAnsi="Arial" w:cs="Arial"/>
          <w:color w:val="000000" w:themeColor="text1"/>
          <w:sz w:val="22"/>
          <w:szCs w:val="22"/>
        </w:rPr>
        <w:noBreakHyphen/>
        <w:t>friendly platform, and it highlights how AI</w:t>
      </w:r>
      <w:r>
        <w:rPr>
          <w:rFonts w:ascii="Arial" w:hAnsi="Arial" w:cs="Arial"/>
          <w:color w:val="000000" w:themeColor="text1"/>
          <w:sz w:val="22"/>
          <w:szCs w:val="22"/>
        </w:rPr>
        <w:noBreakHyphen/>
        <w:t>assisted tools can support practice</w:t>
      </w:r>
      <w:r>
        <w:rPr>
          <w:rFonts w:ascii="Arial" w:hAnsi="Arial" w:cs="Arial"/>
          <w:color w:val="000000" w:themeColor="text1"/>
          <w:sz w:val="22"/>
          <w:szCs w:val="22"/>
        </w:rPr>
        <w:noBreakHyphen/>
        <w:t>based and arts</w:t>
      </w:r>
      <w:r>
        <w:rPr>
          <w:rFonts w:ascii="Arial" w:hAnsi="Arial" w:cs="Arial"/>
          <w:color w:val="000000" w:themeColor="text1"/>
          <w:sz w:val="22"/>
          <w:szCs w:val="22"/>
        </w:rPr>
        <w:noBreakHyphen/>
        <w:t>based research by enabling non</w:t>
      </w:r>
      <w:r>
        <w:rPr>
          <w:rFonts w:ascii="Arial" w:hAnsi="Arial" w:cs="Arial"/>
          <w:color w:val="000000" w:themeColor="text1"/>
          <w:sz w:val="22"/>
          <w:szCs w:val="22"/>
        </w:rPr>
        <w:noBreakHyphen/>
        <w:t xml:space="preserve">programmers to create and share functional digital questionnaires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{"citationID":"HpqUDHVI","properties":{"unsorted":false,"formattedCitation":"(Marshall, 2010; Candy and Edmonds, 2018; Unsworth {\\i{}et al.}, 2021; Nelson, 2022)","plainCitation":"(Marshall, 2010; Candy and Edmonds, 2018; Unsworth et al., 2021; Nelson, 2022)","noteIndex":0},"citationItems":[{"id":224,"uris":["http://zotero.org/users/20030753/items/96J87CKH"],"itemData":{"id":224,"type":"article-journal","abstract":"Studio-based research is rich with possibilities for contributing to the body of knowledge concerning creative processes, primarily because it has at its core the \"making\" disciplines. Nonetheless, for those who teach graduate research courses, this relative new mode of research can be challenging. In this article, the author discusses the connections that link theory and practice in studio-based research, describes the characteristics of studio-based research, and presents a research design for studio-based research. The research design posits the connections between praxis and the exegesis in studio-based research as coreferential and attempts to trans-illuminate that relationship. In the research design presented, the author examines three methods that she argues are particularly suited for studio-based research: (1) Aesthetico-Action Research; (2) Hermeneutic Phenomenology; and (3) Thematic Analysis. The author concludes that inquiry in art is fully realized when the synergy of word and art, theory and practice, and praxis and exegesis comes together in helical processes of making, reflecting, and writing.","container-title":"Teaching Artist Journal","DOI":"10.1080/15411791003618597","ISSN":"1541-1796","issue":"2","language":"en","note":"ERIC Number: EJ880647","page":"77-87","publisher":"Routledge","source":"ERIC","title":"A Research Design for Studio-Based Research in Art","volume":"8","author":[{"family":"Marshall","given":"Cora"}],"issued":{"date-parts":[["2010"]]}}},{"id":216,"uris":["http://zotero.org/users/20030753/items/RADCP3G6"],"itemData":{"id":216,"type":"article-journal","abstract":"This article explores the subject of practice-based research, its application in\nthe creative arts and its role in generating new forms of knowledge in the\ncontext of the PhD. Our aim is to provide more clarity about the nature of\npractice-based research, the approach we advocate and how it contributes to new\nknowledge that can be shared and scrutinized in a form that is both accessible\nand rich in its representation of the full scope of creative arts research. We\ndraw on examples spanning over 35 years of experience in supervising\ninterdisciplinary PhD research programs in the arts, design and digital\nmedia.","container-title":"Leonardo","DOI":"10.1162/LEON_a_01471","ISSN":"0024-094X","issue":"1","journalAbbreviation":"Leonardo","page":"63-69","source":"Silverchair","title":"Practice-Based Research in the Creative Arts: Foundations and Futures from the Front Line","title-short":"Practice-Based Research in the Creative Arts","volume":"51","author":[{"family":"Candy","given":"Linda"},{"family":"Edmonds","given":"Ernest"}],"issued":{"date-parts":[["2018",2,1]]}}},{"id":251,"uris":["http://zotero.org/users/20030753/items/WXAWBETC"],"itemData":{"id":251,"type":"article-journal","abstract":"OBJECTIVE: In 2018, the UK National Institute for Health and Care Excellence (NICE), in partnership with Public Health England, NHS England, NHS Improvement and others, developed an evidence standards framework (ESF) for digital health and care technologies (DHTs). The ESF was designed to provide a standardised approach to guide developers and commissioners on the levels of evidence needed for the clinical and economic evaluation of DHTs by health and care systems.\nMETHODS: The framework was developed using an agile and iterative methodology that included a literature review of existing initiatives and comparison of these against the requirements set by NHS England; iterative consultation with stakeholders through an expert working group and workshops; and questionnaire-based stakeholder input on a publicly available draft document.\nRESULTS: The evidence standards framework has been well-received and to date the ESF has been viewed online over 55,000 times and downloaded over 19,000 times.\nCONCLUSIONS: In April 2021 we published an update to the ESF. Here, we summarise the process through which the ESF was developed, reflect on its global impact to date, and describe NICE's ongoing work to maintain and improve the framework in the context for a fast moving, innovative field.","container-title":"Digital Health","DOI":"10.1177/20552076211018617","ISSN":"2055-2076","journalAbbreviation":"Digit Health","language":"eng","page":"20552076211018617","PMID":"34249371","PMCID":"PMC8236783","source":"PubMed","title":"The NICE Evidence Standards Framework for digital health and care technologies - Developing and maintaining an innovative evidence framework with global impact","volume":"7","author":[{"family":"Unsworth","given":"Harriet"},{"family":"Dillon","given":"Bernice"},{"family":"Collinson","given":"Lucie"},{"family":"Powell","given":"Helen"},{"family":"Salmon","given":"Mark"},{"family":"Oladapo","given":"Tosin"},{"family":"Ayiku","given":"Lynda"},{"family":"Shield","given":"Gary"},{"family":"Holden","given":"Joanne"},{"family":"Patel","given":"Neelam"},{"family":"Campbell","given":"Mark"},{"family":"Greaves","given":"Felix"},{"family":"Joshi","given":"Indra"},{"family":"Powell","given":"John"},{"family":"Tonnel","given":"Alexia"}],"issued":{"date-parts":[["2021"]]}}},{"id":164,"uris":["http://zotero.org/users/20030753/items/WUXZ7SXM"],"itemData":{"id":164,"type":"book","DOI":"10.1007/978-3-030-90542-2","ISBN":"978-3-030-90541-5","language":"en","license":"https://www.springer.com/tdm","publisher":"Springer International Publishing","publisher-place":"Cham","source":"DOI.org (Crossref)","title":"Practice as Research in the Arts (and Beyond): Principles, Processes, Contexts, Achievements","title-short":"Practice as Research in the Arts (and Beyond)","URL":"https://link.springer.com/10.1007/978-3-030-90542-2","author":[{"family":"Nelson","given":"Robin"}],"accessed":{"date-parts":[["2026",5,12]]},"issued":{"date-parts":[["2022"]]}}}],"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(Marshall, 2010; Candy and Edmonds, 2018; Unsworth </w:t>
      </w:r>
      <w:r>
        <w:rPr>
          <w:rFonts w:ascii="Arial" w:hAnsi="Arial" w:cs="Arial"/>
          <w:i/>
          <w:iCs/>
          <w:color w:val="000000"/>
          <w:kern w:val="0"/>
          <w:sz w:val="22"/>
          <w:lang w:val="en-US"/>
        </w:rPr>
        <w:t>et al.</w:t>
      </w:r>
      <w:r>
        <w:rPr>
          <w:rFonts w:ascii="Arial" w:hAnsi="Arial" w:cs="Arial"/>
          <w:color w:val="000000"/>
          <w:kern w:val="0"/>
          <w:sz w:val="22"/>
          <w:lang w:val="en-US"/>
        </w:rPr>
        <w:t>, 2021; Nelson, 2022)</w:t>
      </w:r>
      <w:r>
        <w:rPr>
          <w:rFonts w:ascii="Arial" w:hAnsi="Arial" w:cs="Arial"/>
          <w:color w:val="000000" w:themeColor="text1"/>
          <w:sz w:val="22"/>
          <w:szCs w:val="22"/>
        </w:rPr>
        <w:fldChar w:fldCharType="end"/>
      </w:r>
      <w:r>
        <w:rPr>
          <w:rFonts w:ascii="Arial" w:hAnsi="Arial" w:cs="Arial"/>
          <w:color w:val="000000" w:themeColor="text1"/>
          <w:sz w:val="22"/>
          <w:szCs w:val="22"/>
        </w:rPr>
        <w:t>.</w:t>
      </w:r>
    </w:p>
    <w:p w14:paraId="6F5B69A5" w14:textId="1B55C23B" w:rsidR="00D75891" w:rsidRPr="00A61110" w:rsidRDefault="00D75891" w:rsidP="00FB33D8">
      <w:pPr>
        <w:spacing w:after="0" w:line="360" w:lineRule="auto"/>
        <w:ind w:firstLine="720"/>
        <w:rPr>
          <w:rFonts w:ascii="Arial" w:hAnsi="Arial" w:cs="Arial"/>
          <w:color w:val="000000" w:themeColor="text1"/>
          <w:sz w:val="22"/>
          <w:szCs w:val="22"/>
        </w:rPr>
      </w:pPr>
      <w:r>
        <w:rPr>
          <w:rFonts w:ascii="Arial" w:hAnsi="Arial" w:cs="Arial"/>
          <w:color w:val="000000" w:themeColor="text1"/>
          <w:sz w:val="22"/>
          <w:szCs w:val="22"/>
        </w:rPr>
        <w:t>At the same time, this artefact should be regarded as a first</w:t>
      </w:r>
      <w:r>
        <w:rPr>
          <w:rFonts w:ascii="Arial" w:hAnsi="Arial" w:cs="Arial"/>
          <w:color w:val="000000" w:themeColor="text1"/>
          <w:sz w:val="22"/>
          <w:szCs w:val="22"/>
        </w:rPr>
        <w:noBreakHyphen/>
        <w:t>generation screening tool rather than a finished clinical instrument. A formal validation study will be required to assess its reliability, responsiveness and diagnostic accuracy, particularly given the item reductions and response</w:t>
      </w:r>
      <w:r>
        <w:rPr>
          <w:rFonts w:ascii="Arial" w:hAnsi="Arial" w:cs="Arial"/>
          <w:color w:val="000000" w:themeColor="text1"/>
          <w:sz w:val="22"/>
          <w:szCs w:val="22"/>
        </w:rPr>
        <w:noBreakHyphen/>
        <w:t>scale harmonisations I introduce</w:t>
      </w:r>
      <w:r w:rsidR="00201074">
        <w:rPr>
          <w:rFonts w:ascii="Arial" w:hAnsi="Arial" w:cs="Arial"/>
          <w:color w:val="000000" w:themeColor="text1"/>
          <w:sz w:val="22"/>
          <w:szCs w:val="22"/>
        </w:rPr>
        <w:t>d. E</w:t>
      </w:r>
      <w:r>
        <w:rPr>
          <w:rFonts w:ascii="Arial" w:hAnsi="Arial" w:cs="Arial"/>
          <w:color w:val="000000" w:themeColor="text1"/>
          <w:sz w:val="22"/>
          <w:szCs w:val="22"/>
        </w:rPr>
        <w:t>experience with other shortened instruments suggests that such changes can alter factor structure and cut</w:t>
      </w:r>
      <w:r>
        <w:rPr>
          <w:rFonts w:ascii="Arial" w:hAnsi="Arial" w:cs="Arial"/>
          <w:color w:val="000000" w:themeColor="text1"/>
          <w:sz w:val="22"/>
          <w:szCs w:val="22"/>
        </w:rPr>
        <w:noBreakHyphen/>
        <w:t xml:space="preserve">off behaviour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{"citationID":"pNU1V3HC","properties":{"unsorted":false,"formattedCitation":"(Kilmen and Bulut, 2025; \\uc0\\u199{}\\uc0\\u305{}rako\\uc0\\u287{}lu, 2025)","plainCitation":"(Kilmen and Bulut, 2025; Çırakoğlu, 2025)","noteIndex":0},"citationItems":[{"id":257,"uris":["http://zotero.org/users/20030753/items/27Y3F39U"],"itemData":{"id":257,"type":"article-journal","abstract":"In this study, we proposed a novel scale abbreviation method based on sentence embeddings and compared it to two established automatic scale abbreviation techniques. Scale abbreviation methods typically rely on administering the full scale to a large representative sample, which is often impractical in certain settings. Our approach leverages the semantic similarity among the items to select abbreviated versions of scales without requiring response data, offering a practical alternative for scale development. We found that the sentence embedding method performs comparably to the data-driven scale abbreviation approaches in terms of model fit, measurement accuracy, and ability estimates. In addition, our results reveal a moderate negative correlation between item discrimination parameters and semantic similarity indices, suggesting that semantically unique items may result in a higher discrimination power. This supports the notion that semantic features can be predictive of psychometric properties. However, this relationship was not observed for reverse-scored items, which may require further investigation. Overall, our findings suggest that the sentence embedding approach offers a promising solution for scale abbreviation, particularly in situations where large sample sizes are unavailable, and may eventually serve as an alternative to traditional data-driven methods.","container-title":"Educational and Psychological Measurement","DOI":"10.1177/00131644251319047","ISSN":"1552-3888","issue":"5","journalAbbreviation":"Educ Psychol Meas","language":"eng","page":"910-934","PMID":"40012764","PMCID":"PMC11851598","source":"PubMed","title":"Shortening Psychological Scales: Semantic Similarity Matters","title-short":"Shortening Psychological Scales","volume":"85","author":[{"family":"Kilmen","given":"Sevilay"},{"family":"Bulut","given":"Okan"}],"issued":{"date-parts":[["2025",10]]}}},{"id":92,"uris":["http://zotero.org/users/20030753/items/PM4YR7ZI"],"itemData":{"id":92,"type":"article-journal","abstract":"In the present research, the Performance Anxiety Scale for Music Students (PASMS) was developed in three successive studies. In Study 1, the factor structure of PASMS was explored and three components were found: fear of stage (FES), avoidance (AVD)","source":"www.academia.edu","title":"Development of a performance anxiety scale for music students","URL":"https://www.academia.edu/9581340/Development_of_a_performance_anxiety_scale_for_music_students","author":[{"family":"Çırakoğlu","given":"Okan Cem"}],"accessed":{"date-parts":[["2026",4,15]]},"issued":{"date-parts":[["2025",10,11]]}}}],"schema":"https://github.com/citation-style-language/schema/raw/master/csl-citation.json"}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(Kilmen and Bulut, 2025; Çırakoğlu, 2025)</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 Other factors known to affect voice, such as depression, occupational stress and environmental noise, are not yet represented in the content despite evidence that they influence vocal outcomes in professional voice users </w:t>
      </w:r>
      <w:r>
        <w:rPr>
          <w:rFonts w:ascii="Arial" w:hAnsi="Arial" w:cs="Arial"/>
          <w:color w:val="000000" w:themeColor="text1"/>
          <w:sz w:val="22"/>
          <w:szCs w:val="22"/>
        </w:rPr>
        <w:fldChar w:fldCharType="begin"/>
      </w:r>
      <w:r>
        <w:rPr>
          <w:rFonts w:ascii="Arial" w:hAnsi="Arial" w:cs="Arial"/>
          <w:color w:val="000000" w:themeColor="text1"/>
          <w:sz w:val="22"/>
          <w:szCs w:val="22"/>
        </w:rPr>
        <w:instrText xml:space="preserve"> ADDIN ZOTERO_ITEM CSL_CITATION {"citationID":"uRekZS52","properties":{"unsorted":false,"formattedCitation":"(Spina {\\i{}et al.}, 2015; Bingaman, Mauger and Cantor-Cutiva, 2026)","plainCitation":"(Spina et al., 2015; Bingaman, Mauger and Cantor-Cutiva, 2026)","noteIndex":0},"citationItems":[{"id":241,"uris":["http://zotero.org/users/20030753/items/ALGRBBTJ"],"itemData":{"id":241,"type":"article-journal","abstract":"null\nDysphonia may impair the quality of communication and social relations of people, thereby directly affecting quality of life. It is common knowledge amongst professionals involved with the treatment of voice disorders the need for objective protocols to evaluate voice quality and measure its impact on the individual's quality of life.\n\nAim\nTo associate life quality with the degree of dysphonia and professional voice use in a group of dysphonic patients.\n\nMaterials and Methods\nA prospective clinical study was undertaken with a group of dysphonic patients using an internationally validated voice-related quality-of-life protocol. A statistical analysis of the results was carried out, not distinguishing between those who use their voices professionally and those who don't.\n\nResults\ndysphonia had an impact on the quality of life of all patients. There was no statistically significant difference between the groups - professional users and non-users of their voices; however, considering the groups separately, this correlation was significant only in the group of patients who do not use their voices professionally.\n\nConclusion\nDysphonia affected the quality of life of all subjects regardless of their voice use.","container-title":"Brazilian Journal of Otorhinolaryngology","DOI":"10.1016/S1808-8694(15)30790-4","ISSN":"1808-8694","issue":"2","journalAbbreviation":"Braz J Otorhinolaryngol","page":"275-279","PMID":"19575116","PMCID":"PMC9450618","source":"PubMed Central","title":"Correlation between voice and life quality and occupation","volume":"75","author":[{"family":"Spina","given":"Ana Lúcia"},{"family":"Maunsell","given":"Rebecca"},{"family":"Sandalo","given":"Karine"},{"family":"Gusmão","given":"Reinaldo"},{"family":"Crespo","given":"Agrício"}],"issued":{"date-parts":[["2015",10,19]]}}},{"id":233,"uris":["http://zotero.org/users/20030753/items/BL7MWSZ6"],"itemData":{"id":233,"type":"article-journal","abstract":"Aims\nIdentify the trends in research related to bibliometric analysis and investigate the bidirectional impact of mental health concerns and vocal health issues.\nMethods\nSystematic literature review following the Preferred Reporting Items for Systematic reviews and Meta-Analyses 2020 statement. Six computerized databases were searched independently by three authors through February 2025 using MESH terms. Bibliometric analysis was completed using VOSviewer software to analyze co-occurrence in key terms. We used the Quality Assessment Tool for Quantitative Studies to rate the methodological quality of each included publication.\nResults\nIn total, 181 records were retrieved. After removing duplicates, non-indexed manuscripts, and book chapters, 147 records were retained. Titles and abstracts were screened, and after applying the inclusion criteria, 49 publications were included for full-text review. After full-text screening, 20 manuscripts were retained for this systematic review. Among the included publications, 75% focused on school teachers, one on teachers, two on university teachers, and one on religious officials. The most common voice assessment tool was the Voice Handicap Index. Eleven publications reported anxiety as the mental health outcome, 50% reported stress, and 45% reported depression. Voice problems were often related to emotional factors. Teachers experiencing voice problems reported a lower quality of life, more stress, fatigue, and exhaustion, while those with an experienced or physiologic voice problem scored significantly lower on both physical and mental health scales compared to those without problems. Burnout syndrome was associated with the likelihood of having a voice disorder.\nConclusion\nThis review highlights the intricate and reciprocal relationship between vocal and mental health among occupational voice users and teachers in particular. The findings underscore the need for interdisciplinary approaches that address both physical and psychological dimensions of occupational health. By integrating preventive strategies, clinical screening, and workplace interventions, stakeholders can promote well-being and sustainability in the teaching profession.","container-title":"Journal of Voice","DOI":"10.1016/j.jvoice.2026.03.039","ISSN":"0892-1997","journalAbbreviation":"Journal of Voice","source":"ScienceDirect","title":"Relationship between Mental and Vocal Health in Occupational Voice Users: A Systematic Literature Review","title-short":"Relationship between Mental and Vocal Health in Occupational Voice Users","URL":"https://www.sciencedirect.com/science/article/pii/S0892199726001578","author":[{"family":"Bingaman","given":"Heather Marie"},{"family":"Mauger","given":"Rachel Elaine"},{"family":"Cantor-Cutiva","given":"Lady Catherine"}],"accessed":{"date-parts":[["2026",5,17]]},"issued":{"date-parts":[["2026",5,5]]}}}],"schema":"https://github.com/citation-style-language/schema/raw/master/csl-citation.json"} </w:instrText>
      </w:r>
      <w:r>
        <w:rPr>
          <w:rFonts w:ascii="Arial" w:hAnsi="Arial" w:cs="Arial"/>
          <w:color w:val="000000" w:themeColor="text1"/>
          <w:sz w:val="22"/>
          <w:szCs w:val="22"/>
        </w:rPr>
        <w:fldChar w:fldCharType="separate"/>
      </w:r>
      <w:r>
        <w:rPr>
          <w:rFonts w:ascii="Arial" w:hAnsi="Arial" w:cs="Arial"/>
          <w:color w:val="000000"/>
          <w:kern w:val="0"/>
          <w:sz w:val="22"/>
          <w:lang w:val="en-US"/>
        </w:rPr>
        <w:t xml:space="preserve">(Spina </w:t>
      </w:r>
      <w:r>
        <w:rPr>
          <w:rFonts w:ascii="Arial" w:hAnsi="Arial" w:cs="Arial"/>
          <w:i/>
          <w:iCs/>
          <w:color w:val="000000"/>
          <w:kern w:val="0"/>
          <w:sz w:val="22"/>
          <w:lang w:val="en-US"/>
        </w:rPr>
        <w:t>et al.</w:t>
      </w:r>
      <w:r>
        <w:rPr>
          <w:rFonts w:ascii="Arial" w:hAnsi="Arial" w:cs="Arial"/>
          <w:color w:val="000000"/>
          <w:kern w:val="0"/>
          <w:sz w:val="22"/>
          <w:lang w:val="en-US"/>
        </w:rPr>
        <w:t>, 2015; Bingaman, Mauger and Cantor-Cutiva, 2026)</w:t>
      </w:r>
      <w:r>
        <w:rPr>
          <w:rFonts w:ascii="Arial" w:hAnsi="Arial" w:cs="Arial"/>
          <w:color w:val="000000" w:themeColor="text1"/>
          <w:sz w:val="22"/>
          <w:szCs w:val="22"/>
        </w:rPr>
        <w:fldChar w:fldCharType="end"/>
      </w:r>
      <w:r>
        <w:rPr>
          <w:rFonts w:ascii="Arial" w:hAnsi="Arial" w:cs="Arial"/>
          <w:color w:val="000000" w:themeColor="text1"/>
          <w:sz w:val="22"/>
          <w:szCs w:val="22"/>
        </w:rPr>
        <w:t xml:space="preserve">. These omissions and the absence of external validation are </w:t>
      </w:r>
      <w:r>
        <w:rPr>
          <w:rFonts w:ascii="Arial" w:hAnsi="Arial" w:cs="Arial"/>
          <w:color w:val="000000" w:themeColor="text1"/>
          <w:sz w:val="22"/>
          <w:szCs w:val="22"/>
        </w:rPr>
        <w:lastRenderedPageBreak/>
        <w:t xml:space="preserve">part of the factual and conceptual landscape of the artefact and indicate where further development is needed for the </w:t>
      </w:r>
      <w:r>
        <w:rPr>
          <w:rFonts w:ascii="Arial" w:hAnsi="Arial" w:cs="Arial"/>
          <w:i/>
          <w:iCs/>
          <w:color w:val="000000" w:themeColor="text1"/>
          <w:sz w:val="22"/>
          <w:szCs w:val="22"/>
        </w:rPr>
        <w:t>Vocare</w:t>
      </w:r>
      <w:r>
        <w:rPr>
          <w:rFonts w:ascii="Arial" w:hAnsi="Arial" w:cs="Arial"/>
          <w:color w:val="000000" w:themeColor="text1"/>
          <w:sz w:val="22"/>
          <w:szCs w:val="22"/>
        </w:rPr>
        <w:t xml:space="preserve"> questionnaire to reach its full clinical potential.</w:t>
      </w:r>
    </w:p>
    <w:p w14:paraId="3BE12AC1" w14:textId="77777777" w:rsidR="00FB33D8" w:rsidRPr="00A61110" w:rsidRDefault="00FB33D8" w:rsidP="00FB33D8">
      <w:pPr>
        <w:spacing w:after="0" w:line="360" w:lineRule="auto"/>
        <w:ind w:firstLine="720"/>
        <w:rPr>
          <w:rFonts w:ascii="Arial" w:hAnsi="Arial" w:cs="Arial"/>
          <w:color w:val="000000" w:themeColor="text1"/>
          <w:sz w:val="22"/>
          <w:szCs w:val="22"/>
        </w:rPr>
      </w:pPr>
    </w:p>
    <w:p w14:paraId="130C6359" w14:textId="79E98F44" w:rsidR="00B95F99" w:rsidRPr="00A61110" w:rsidRDefault="00D75891"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 xml:space="preserve">Conclusion </w:t>
      </w:r>
    </w:p>
    <w:p w14:paraId="5A990AF2" w14:textId="77777777" w:rsidR="00D75891" w:rsidRPr="00A61110" w:rsidRDefault="00D75891" w:rsidP="00FB33D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This project has taken me through a full cycle of planning, creating and evaluating an artefact within a practice</w:t>
      </w:r>
      <w:r>
        <w:rPr>
          <w:rFonts w:ascii="Arial" w:eastAsia="Times New Roman" w:hAnsi="Arial" w:cs="Arial"/>
          <w:color w:val="000000" w:themeColor="text1"/>
          <w:kern w:val="0"/>
          <w:sz w:val="22"/>
          <w:szCs w:val="22"/>
          <w14:ligatures w14:val="none"/>
        </w:rPr>
        <w:noBreakHyphen/>
        <w:t>based framework. In the planning phase, the narrative literature review and portfolio work clarified that any meaningful screening tool for professional voice users in Puerto Rico had to be biopsychosocial, bilingual and genuinely brief. The development phase then translated these principles into a concrete questionnaire that integrates VHI</w:t>
      </w:r>
      <w:r>
        <w:rPr>
          <w:rFonts w:ascii="Arial" w:eastAsia="Times New Roman" w:hAnsi="Arial" w:cs="Arial"/>
          <w:color w:val="000000" w:themeColor="text1"/>
          <w:kern w:val="0"/>
          <w:sz w:val="22"/>
          <w:szCs w:val="22"/>
          <w14:ligatures w14:val="none"/>
        </w:rPr>
        <w:noBreakHyphen/>
        <w:t>10/SVHI</w:t>
      </w:r>
      <w:r>
        <w:rPr>
          <w:rFonts w:ascii="Arial" w:eastAsia="Times New Roman" w:hAnsi="Arial" w:cs="Arial"/>
          <w:color w:val="000000" w:themeColor="text1"/>
          <w:kern w:val="0"/>
          <w:sz w:val="22"/>
          <w:szCs w:val="22"/>
          <w14:ligatures w14:val="none"/>
        </w:rPr>
        <w:noBreakHyphen/>
        <w:t>10, RSI, GAD</w:t>
      </w:r>
      <w:r>
        <w:rPr>
          <w:rFonts w:ascii="Arial" w:eastAsia="Times New Roman" w:hAnsi="Arial" w:cs="Arial"/>
          <w:color w:val="000000" w:themeColor="text1"/>
          <w:kern w:val="0"/>
          <w:sz w:val="22"/>
          <w:szCs w:val="22"/>
          <w14:ligatures w14:val="none"/>
        </w:rPr>
        <w:noBreakHyphen/>
        <w:t>7 and M</w:t>
      </w:r>
      <w:r>
        <w:rPr>
          <w:rFonts w:ascii="Arial" w:eastAsia="Times New Roman" w:hAnsi="Arial" w:cs="Arial"/>
          <w:color w:val="000000" w:themeColor="text1"/>
          <w:kern w:val="0"/>
          <w:sz w:val="22"/>
          <w:szCs w:val="22"/>
          <w14:ligatures w14:val="none"/>
        </w:rPr>
        <w:noBreakHyphen/>
        <w:t>MPAS items into a single, web</w:t>
      </w:r>
      <w:r>
        <w:rPr>
          <w:rFonts w:ascii="Arial" w:eastAsia="Times New Roman" w:hAnsi="Arial" w:cs="Arial"/>
          <w:color w:val="000000" w:themeColor="text1"/>
          <w:kern w:val="0"/>
          <w:sz w:val="22"/>
          <w:szCs w:val="22"/>
          <w14:ligatures w14:val="none"/>
        </w:rPr>
        <w:noBreakHyphen/>
        <w:t>based journey, while the evaluation phase—structured through Nelson’s Know</w:t>
      </w:r>
      <w:r>
        <w:rPr>
          <w:rFonts w:ascii="Arial" w:eastAsia="Times New Roman" w:hAnsi="Arial" w:cs="Arial"/>
          <w:color w:val="000000" w:themeColor="text1"/>
          <w:kern w:val="0"/>
          <w:sz w:val="22"/>
          <w:szCs w:val="22"/>
          <w14:ligatures w14:val="none"/>
        </w:rPr>
        <w:noBreakHyphen/>
        <w:t>that, Know</w:t>
      </w:r>
      <w:r>
        <w:rPr>
          <w:rFonts w:ascii="Arial" w:eastAsia="Times New Roman" w:hAnsi="Arial" w:cs="Arial"/>
          <w:color w:val="000000" w:themeColor="text1"/>
          <w:kern w:val="0"/>
          <w:sz w:val="22"/>
          <w:szCs w:val="22"/>
          <w14:ligatures w14:val="none"/>
        </w:rPr>
        <w:noBreakHyphen/>
        <w:t>how and Know</w:t>
      </w:r>
      <w:r>
        <w:rPr>
          <w:rFonts w:ascii="Arial" w:eastAsia="Times New Roman" w:hAnsi="Arial" w:cs="Arial"/>
          <w:color w:val="000000" w:themeColor="text1"/>
          <w:kern w:val="0"/>
          <w:sz w:val="22"/>
          <w:szCs w:val="22"/>
          <w14:ligatures w14:val="none"/>
        </w:rPr>
        <w:noBreakHyphen/>
        <w:t>what lenses—revealed both the strengths of this integration and the compromises required to make it usable in real clinical and educational settings.</w:t>
      </w:r>
    </w:p>
    <w:p w14:paraId="3C45D2EF" w14:textId="55ED7519" w:rsidR="00D75891" w:rsidRPr="00A61110" w:rsidRDefault="00D75891" w:rsidP="00FB33D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In relation to my aims and learning outcomes, I consider the core goals to have been largely achieved. I set out to design a short, evidence</w:t>
      </w:r>
      <w:r>
        <w:rPr>
          <w:rFonts w:ascii="Arial" w:eastAsia="Times New Roman" w:hAnsi="Arial" w:cs="Arial"/>
          <w:color w:val="000000" w:themeColor="text1"/>
          <w:kern w:val="0"/>
          <w:sz w:val="22"/>
          <w:szCs w:val="22"/>
          <w14:ligatures w14:val="none"/>
        </w:rPr>
        <w:noBreakHyphen/>
        <w:t>based, bilingual self</w:t>
      </w:r>
      <w:r>
        <w:rPr>
          <w:rFonts w:ascii="Arial" w:eastAsia="Times New Roman" w:hAnsi="Arial" w:cs="Arial"/>
          <w:color w:val="000000" w:themeColor="text1"/>
          <w:kern w:val="0"/>
          <w:sz w:val="22"/>
          <w:szCs w:val="22"/>
          <w14:ligatures w14:val="none"/>
        </w:rPr>
        <w:noBreakHyphen/>
        <w:t xml:space="preserve">assessment that could triage users to appropriate services within the </w:t>
      </w:r>
      <w:r>
        <w:rPr>
          <w:rFonts w:ascii="Arial" w:eastAsia="Times New Roman" w:hAnsi="Arial" w:cs="Arial"/>
          <w:i/>
          <w:iCs/>
          <w:color w:val="000000" w:themeColor="text1"/>
          <w:kern w:val="0"/>
          <w:sz w:val="22"/>
          <w:szCs w:val="22"/>
          <w14:ligatures w14:val="none"/>
        </w:rPr>
        <w:t>Vocare</w:t>
      </w:r>
      <w:r>
        <w:rPr>
          <w:rFonts w:ascii="Arial" w:eastAsia="Times New Roman" w:hAnsi="Arial" w:cs="Arial"/>
          <w:color w:val="000000" w:themeColor="text1"/>
          <w:kern w:val="0"/>
          <w:sz w:val="22"/>
          <w:szCs w:val="22"/>
          <w14:ligatures w14:val="none"/>
        </w:rPr>
        <w:t xml:space="preserve"> network, and the current artefact does this by offering a colour</w:t>
      </w:r>
      <w:r>
        <w:rPr>
          <w:rFonts w:ascii="Arial" w:eastAsia="Times New Roman" w:hAnsi="Arial" w:cs="Arial"/>
          <w:color w:val="000000" w:themeColor="text1"/>
          <w:kern w:val="0"/>
          <w:sz w:val="22"/>
          <w:szCs w:val="22"/>
          <w14:ligatures w14:val="none"/>
        </w:rPr>
        <w:noBreakHyphen/>
        <w:t>coded outcome grounded in published cut</w:t>
      </w:r>
      <w:r>
        <w:rPr>
          <w:rFonts w:ascii="Arial" w:eastAsia="Times New Roman" w:hAnsi="Arial" w:cs="Arial"/>
          <w:color w:val="000000" w:themeColor="text1"/>
          <w:kern w:val="0"/>
          <w:sz w:val="22"/>
          <w:szCs w:val="22"/>
          <w14:ligatures w14:val="none"/>
        </w:rPr>
        <w:noBreakHyphen/>
        <w:t>offs and linked to concrete next steps. The process of selecting and adapting instruments required me to engage critically with psychometric evidence, and the final questionnaire demonstrates that I can apply biopsychosocial and triage frameworks to multi</w:t>
      </w:r>
      <w:r>
        <w:rPr>
          <w:rFonts w:ascii="Arial" w:eastAsia="Times New Roman" w:hAnsi="Arial" w:cs="Arial"/>
          <w:color w:val="000000" w:themeColor="text1"/>
          <w:kern w:val="0"/>
          <w:sz w:val="22"/>
          <w:szCs w:val="22"/>
          <w14:ligatures w14:val="none"/>
        </w:rPr>
        <w:noBreakHyphen/>
        <w:t>dimensional voice</w:t>
      </w:r>
      <w:r>
        <w:rPr>
          <w:rFonts w:ascii="Arial" w:eastAsia="Times New Roman" w:hAnsi="Arial" w:cs="Arial"/>
          <w:color w:val="000000" w:themeColor="text1"/>
          <w:kern w:val="0"/>
          <w:sz w:val="22"/>
          <w:szCs w:val="22"/>
          <w14:ligatures w14:val="none"/>
        </w:rPr>
        <w:noBreakHyphen/>
        <w:t>health screening. Learning to construct and deploy the tool with AI</w:t>
      </w:r>
      <w:r>
        <w:rPr>
          <w:rFonts w:ascii="Arial" w:eastAsia="Times New Roman" w:hAnsi="Arial" w:cs="Arial"/>
          <w:color w:val="000000" w:themeColor="text1"/>
          <w:kern w:val="0"/>
          <w:sz w:val="22"/>
          <w:szCs w:val="22"/>
          <w14:ligatures w14:val="none"/>
        </w:rPr>
        <w:noBreakHyphen/>
        <w:t>assisted platforms has also fulfilled the outcome of using digital tools to produce a functional, publicly accessible artefact, something that would not have been possible for me using traditional programming alone.</w:t>
      </w:r>
    </w:p>
    <w:p w14:paraId="5DB9FFAD" w14:textId="1C0353FE" w:rsidR="00D75891" w:rsidRPr="00A61110" w:rsidRDefault="00D75891" w:rsidP="00FB33D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At the same time, the study exposed significant limitations that temper these achievements. Methodologically, the reliance on a narrative review means that the evidence base is curated rather than exhaustive, and item reduction and response</w:t>
      </w:r>
      <w:r>
        <w:rPr>
          <w:rFonts w:ascii="Arial" w:eastAsia="Times New Roman" w:hAnsi="Arial" w:cs="Arial"/>
          <w:color w:val="000000" w:themeColor="text1"/>
          <w:kern w:val="0"/>
          <w:sz w:val="22"/>
          <w:szCs w:val="22"/>
          <w14:ligatures w14:val="none"/>
        </w:rPr>
        <w:noBreakHyphen/>
        <w:t>scale harmonisation were driven as much by usability constraints as by formal psychometric analysis. Of all the adaptations I made, the one I feel least certain about is the GAD-7 response scale change from 0–3 to 0–4. Expanding the scale affects both the maximum possible score and what each response option means, so the recalibrated cut-offs I used (moderate ≥10/20; severe ≥15/20) are based on proportional reasoning rather than re-tested norms, and I have no way of knowing whether they perform in the same way as the validated original. This is the kind of modification that would need to be examined empirically before the tool could be used with any clinical confidence. The tool has so far only undergone internal, researcher</w:t>
      </w:r>
      <w:r>
        <w:rPr>
          <w:rFonts w:ascii="Arial" w:eastAsia="Times New Roman" w:hAnsi="Arial" w:cs="Arial"/>
          <w:color w:val="000000" w:themeColor="text1"/>
          <w:kern w:val="0"/>
          <w:sz w:val="22"/>
          <w:szCs w:val="22"/>
          <w14:ligatures w14:val="none"/>
        </w:rPr>
        <w:noBreakHyphen/>
        <w:t xml:space="preserve">led testing, so its reliability, </w:t>
      </w:r>
      <w:r>
        <w:rPr>
          <w:rFonts w:ascii="Arial" w:eastAsia="Times New Roman" w:hAnsi="Arial" w:cs="Arial"/>
          <w:color w:val="000000" w:themeColor="text1"/>
          <w:kern w:val="0"/>
          <w:sz w:val="22"/>
          <w:szCs w:val="22"/>
          <w14:ligatures w14:val="none"/>
        </w:rPr>
        <w:lastRenderedPageBreak/>
        <w:t xml:space="preserve">sensitivity to change and diagnostic accuracy remain unknown. Conceptually, important aspects of vocal health—such as depression, occupational stress, environmental noise and cultural attitudes to illness—are not yet directly assessed, even though the literature suggests that they interact with voice, reflux and anxiety in complex ways. </w:t>
      </w:r>
      <w:r w:rsidR="00790100">
        <w:rPr>
          <w:rFonts w:ascii="Arial" w:eastAsia="Times New Roman" w:hAnsi="Arial" w:cs="Arial"/>
          <w:color w:val="000000" w:themeColor="text1"/>
          <w:kern w:val="0"/>
          <w:sz w:val="22"/>
          <w:szCs w:val="22"/>
          <w14:ligatures w14:val="none"/>
        </w:rPr>
        <w:t xml:space="preserve">Also, the fact that the M-MPAS has not been validated in Spanish, means that a language-specific variation might be needed as well. </w:t>
      </w:r>
      <w:r>
        <w:rPr>
          <w:rFonts w:ascii="Arial" w:eastAsia="Times New Roman" w:hAnsi="Arial" w:cs="Arial"/>
          <w:color w:val="000000" w:themeColor="text1"/>
          <w:kern w:val="0"/>
          <w:sz w:val="22"/>
          <w:szCs w:val="22"/>
          <w14:ligatures w14:val="none"/>
        </w:rPr>
        <w:t>These gaps do not invalidate the artefact, but they highlight that its current role is that of an informative screener and educational prompt rather than a definitive diagnostic instrument.</w:t>
      </w:r>
    </w:p>
    <w:p w14:paraId="65BBF647" w14:textId="5B7C11A8" w:rsidR="00D75891" w:rsidRPr="00A61110" w:rsidRDefault="00D75891" w:rsidP="00907CE7">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Reflecting on the project, the concrete experience of building and using the tool has been as instructive as the literature review. The greatest personal learning has been recognising that practice</w:t>
      </w:r>
      <w:r>
        <w:rPr>
          <w:rFonts w:ascii="Arial" w:eastAsia="Times New Roman" w:hAnsi="Arial" w:cs="Arial"/>
          <w:color w:val="000000" w:themeColor="text1"/>
          <w:kern w:val="0"/>
          <w:sz w:val="22"/>
          <w:szCs w:val="22"/>
          <w14:ligatures w14:val="none"/>
        </w:rPr>
        <w:noBreakHyphen/>
        <w:t xml:space="preserve">based research is inherently iterative; each design decision opens up new questions about validity, equity and accessibility that require further cycles of reflection and adjustment. Future work therefore needs to move in two parallel directions. First, the current version of </w:t>
      </w:r>
      <w:r w:rsidRPr="00790100">
        <w:rPr>
          <w:rFonts w:ascii="Arial" w:eastAsia="Times New Roman" w:hAnsi="Arial" w:cs="Arial"/>
          <w:i/>
          <w:iCs/>
          <w:color w:val="000000" w:themeColor="text1"/>
          <w:kern w:val="0"/>
          <w:sz w:val="22"/>
          <w:szCs w:val="22"/>
          <w14:ligatures w14:val="none"/>
        </w:rPr>
        <w:t>Vocare</w:t>
      </w:r>
      <w:r>
        <w:rPr>
          <w:rFonts w:ascii="Arial" w:eastAsia="Times New Roman" w:hAnsi="Arial" w:cs="Arial"/>
          <w:color w:val="000000" w:themeColor="text1"/>
          <w:kern w:val="0"/>
          <w:sz w:val="22"/>
          <w:szCs w:val="22"/>
          <w14:ligatures w14:val="none"/>
        </w:rPr>
        <w:t xml:space="preserve"> should undergo formal validation, ideally through collaboration with voice clinics and music institutions in Puerto Rico, to test its reliability, factor structure and predictive value for clinical outcomes. This would include pilot data collection, statistical analysis of the shortened scales and possible recalibration of triage thresholds. Second, the content of the questionnaire and the recommendations could be expanded to incorporate additional psychosocial factors, more detailed guidance linked to each colour band, and perhaps adaptive questioning that responds dynamically to user profiles. More broadly, the project suggests that AI</w:t>
      </w:r>
      <w:r>
        <w:rPr>
          <w:rFonts w:ascii="Arial" w:eastAsia="Times New Roman" w:hAnsi="Arial" w:cs="Arial"/>
          <w:color w:val="000000" w:themeColor="text1"/>
          <w:kern w:val="0"/>
          <w:sz w:val="22"/>
          <w:szCs w:val="22"/>
          <w14:ligatures w14:val="none"/>
        </w:rPr>
        <w:noBreakHyphen/>
        <w:t>assisted, practice</w:t>
      </w:r>
      <w:r>
        <w:rPr>
          <w:rFonts w:ascii="Arial" w:eastAsia="Times New Roman" w:hAnsi="Arial" w:cs="Arial"/>
          <w:color w:val="000000" w:themeColor="text1"/>
          <w:kern w:val="0"/>
          <w:sz w:val="22"/>
          <w:szCs w:val="22"/>
          <w14:ligatures w14:val="none"/>
        </w:rPr>
        <w:noBreakHyphen/>
        <w:t>based development of digital assessment tools can be a powerful approach for clinicians and educators who lack coding expertise, and it invites further research into how such tools can be co</w:t>
      </w:r>
      <w:r>
        <w:rPr>
          <w:rFonts w:ascii="Arial" w:eastAsia="Times New Roman" w:hAnsi="Arial" w:cs="Arial"/>
          <w:color w:val="000000" w:themeColor="text1"/>
          <w:kern w:val="0"/>
          <w:sz w:val="22"/>
          <w:szCs w:val="22"/>
          <w14:ligatures w14:val="none"/>
        </w:rPr>
        <w:noBreakHyphen/>
        <w:t>designed and evaluated with users rather than for them.</w:t>
      </w:r>
    </w:p>
    <w:p w14:paraId="76E3E0B9" w14:textId="77777777" w:rsidR="00D75891" w:rsidRPr="00A61110" w:rsidRDefault="00D75891" w:rsidP="00FB33D8">
      <w:pPr>
        <w:shd w:val="clear" w:color="auto" w:fill="FFFFFF"/>
        <w:spacing w:after="0" w:line="360" w:lineRule="auto"/>
        <w:ind w:firstLine="720"/>
        <w:rPr>
          <w:rFonts w:ascii="Arial" w:eastAsia="Times New Roman" w:hAnsi="Arial" w:cs="Arial"/>
          <w:color w:val="000000" w:themeColor="text1"/>
          <w:kern w:val="0"/>
          <w:sz w:val="22"/>
          <w:szCs w:val="22"/>
          <w14:ligatures w14:val="none"/>
        </w:rPr>
      </w:pPr>
      <w:r>
        <w:rPr>
          <w:rFonts w:ascii="Arial" w:eastAsia="Times New Roman" w:hAnsi="Arial" w:cs="Arial"/>
          <w:color w:val="000000" w:themeColor="text1"/>
          <w:kern w:val="0"/>
          <w:sz w:val="22"/>
          <w:szCs w:val="22"/>
          <w14:ligatures w14:val="none"/>
        </w:rPr>
        <w:t>Overall, this project has strengthened my identity as a practitioner</w:t>
      </w:r>
      <w:r>
        <w:rPr>
          <w:rFonts w:ascii="Arial" w:eastAsia="Times New Roman" w:hAnsi="Arial" w:cs="Arial"/>
          <w:color w:val="000000" w:themeColor="text1"/>
          <w:kern w:val="0"/>
          <w:sz w:val="22"/>
          <w:szCs w:val="22"/>
          <w14:ligatures w14:val="none"/>
        </w:rPr>
        <w:noBreakHyphen/>
        <w:t>researcher: someone who not only applies evidence</w:t>
      </w:r>
      <w:r>
        <w:rPr>
          <w:rFonts w:ascii="Arial" w:eastAsia="Times New Roman" w:hAnsi="Arial" w:cs="Arial"/>
          <w:color w:val="000000" w:themeColor="text1"/>
          <w:kern w:val="0"/>
          <w:sz w:val="22"/>
          <w:szCs w:val="22"/>
          <w14:ligatures w14:val="none"/>
        </w:rPr>
        <w:noBreakHyphen/>
        <w:t xml:space="preserve">based tools but also participates in shaping them for a specific cultural and professional context. The </w:t>
      </w:r>
      <w:r>
        <w:rPr>
          <w:rFonts w:ascii="Arial" w:eastAsia="Times New Roman" w:hAnsi="Arial" w:cs="Arial"/>
          <w:i/>
          <w:iCs/>
          <w:color w:val="000000" w:themeColor="text1"/>
          <w:kern w:val="0"/>
          <w:sz w:val="22"/>
          <w:szCs w:val="22"/>
          <w14:ligatures w14:val="none"/>
        </w:rPr>
        <w:t>Vocare</w:t>
      </w:r>
      <w:r>
        <w:rPr>
          <w:rFonts w:ascii="Arial" w:eastAsia="Times New Roman" w:hAnsi="Arial" w:cs="Arial"/>
          <w:color w:val="000000" w:themeColor="text1"/>
          <w:kern w:val="0"/>
          <w:sz w:val="22"/>
          <w:szCs w:val="22"/>
          <w14:ligatures w14:val="none"/>
        </w:rPr>
        <w:t xml:space="preserve"> questionnaire is still a work in progress, but it already functions as a bridge between theory and practice, offering singers and other professional voice users in Puerto Rico a structured first step toward understanding their vocal health and seeking appropriate care.</w:t>
      </w:r>
    </w:p>
    <w:p w14:paraId="2B68CB2D"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40676F70"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1C4D745F"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6687E6FA"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677DA0A5"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70BB5F68"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6935ECD9"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p>
    <w:p w14:paraId="2085D839" w14:textId="77777777" w:rsidR="00A95750" w:rsidRDefault="00A95750" w:rsidP="00907CE7">
      <w:pPr>
        <w:spacing w:after="0" w:line="360" w:lineRule="auto"/>
        <w:rPr>
          <w:rFonts w:ascii="Arial" w:eastAsiaTheme="majorEastAsia" w:hAnsi="Arial" w:cs="Arial"/>
          <w:b/>
          <w:bCs/>
          <w:color w:val="000000" w:themeColor="text1"/>
          <w:sz w:val="22"/>
          <w:szCs w:val="22"/>
        </w:rPr>
      </w:pPr>
    </w:p>
    <w:p w14:paraId="7434407E" w14:textId="728506FC" w:rsidR="007952AC" w:rsidRPr="00A61110" w:rsidRDefault="007952AC" w:rsidP="007952AC">
      <w:pPr>
        <w:spacing w:after="0" w:line="360" w:lineRule="auto"/>
        <w:jc w:val="center"/>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t>Critical Reflection</w:t>
      </w:r>
    </w:p>
    <w:p w14:paraId="139B1697" w14:textId="5694663C" w:rsidR="007952AC" w:rsidRPr="00A61110" w:rsidRDefault="007952AC" w:rsidP="00907CE7">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This critical reflection analy</w:t>
      </w:r>
      <w:r w:rsidR="00D5209E">
        <w:rPr>
          <w:rFonts w:ascii="Arial" w:eastAsiaTheme="majorEastAsia" w:hAnsi="Arial" w:cs="Arial"/>
          <w:color w:val="000000" w:themeColor="text1"/>
          <w:sz w:val="22"/>
          <w:szCs w:val="22"/>
        </w:rPr>
        <w:t>z</w:t>
      </w:r>
      <w:r>
        <w:rPr>
          <w:rFonts w:ascii="Arial" w:eastAsiaTheme="majorEastAsia" w:hAnsi="Arial" w:cs="Arial"/>
          <w:color w:val="000000" w:themeColor="text1"/>
          <w:sz w:val="22"/>
          <w:szCs w:val="22"/>
        </w:rPr>
        <w:t xml:space="preserve">es my learning across the study and artefact development process using Kolb’s reflective model, which I chose because it offers a clear structure for moving from experience to reflection, conceptual understanding, and future action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{"citationID":"fAKmw7LK","properties":{"unsorted":false,"formattedCitation":"(Kolb, 1984)","plainCitation":"(Kolb, 1984)","noteIndex":0},"citationItems":[{"id":244,"uris":["http://zotero.org/users/20030753/items/B54IDJZL"],"itemData":{"id":244,"type":"book","ISBN":"978-0-13-295261-3","note":"journalAbbreviation: Journal of Business Ethics\ncontainer-title: Journal of Business Ethics","source":"ResearchGate","title":"Experiential Learning: Experience As The Source Of Learning And Development","title-short":"Experiential Learning","volume":"1","author":[{"family":"Kolb","given":"David"}],"issued":{"date-parts":[["1984",1,1]]}}}],"schema":"https://github.com/citation-style-language/schema/raw/master/csl-citation.json"}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eastAsiaTheme="majorEastAsia" w:hAnsi="Arial" w:cs="Arial"/>
          <w:noProof/>
          <w:color w:val="000000" w:themeColor="text1"/>
          <w:sz w:val="22"/>
          <w:szCs w:val="22"/>
        </w:rPr>
        <w:t>(Kolb, 1984)</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I found this model especially useful because the project was not only an academic task but also connected to my longer-term goal of creating the first voice care centre in Puerto Rico. I had held this goal for several years but struggled to define how to begin and what resources would be needed. This module gave me a practical starting point by allowing me to transform that broad ambition into an online assessment designed to guide potential clients towards relevant services.</w:t>
      </w:r>
    </w:p>
    <w:p w14:paraId="3FBE593A" w14:textId="77777777" w:rsidR="007952AC" w:rsidRPr="00A61110" w:rsidRDefault="007952AC" w:rsidP="007952AC">
      <w:pPr>
        <w:spacing w:after="0" w:line="360" w:lineRule="auto"/>
        <w:rPr>
          <w:rFonts w:ascii="Arial" w:eastAsiaTheme="majorEastAsia" w:hAnsi="Arial" w:cs="Arial"/>
          <w:color w:val="000000" w:themeColor="text1"/>
          <w:sz w:val="22"/>
          <w:szCs w:val="22"/>
        </w:rPr>
      </w:pPr>
    </w:p>
    <w:p w14:paraId="0471CCA8" w14:textId="77777777" w:rsidR="007952AC" w:rsidRPr="00A61110" w:rsidRDefault="007952AC" w:rsidP="007952AC">
      <w:pPr>
        <w:spacing w:after="0" w:line="360" w:lineRule="auto"/>
        <w:jc w:val="center"/>
        <w:rPr>
          <w:rFonts w:ascii="Arial" w:eastAsiaTheme="majorEastAsia" w:hAnsi="Arial" w:cs="Arial"/>
          <w:color w:val="000000" w:themeColor="text1"/>
          <w:sz w:val="22"/>
          <w:szCs w:val="22"/>
        </w:rPr>
      </w:pPr>
      <w:r>
        <w:rPr>
          <w:rFonts w:ascii="Arial" w:eastAsiaTheme="majorEastAsia" w:hAnsi="Arial" w:cs="Arial"/>
          <w:noProof/>
          <w:color w:val="000000" w:themeColor="text1"/>
          <w:sz w:val="22"/>
          <w:szCs w:val="22"/>
        </w:rPr>
        <w:drawing>
          <wp:inline distT="0" distB="0" distL="0" distR="0" wp14:anchorId="60DAAA35" wp14:editId="3FE5AF19">
            <wp:extent cx="3412067" cy="2559050"/>
            <wp:effectExtent l="0" t="0" r="4445" b="0"/>
            <wp:docPr id="83071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1360" name="Picture 8307136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15930" cy="2561947"/>
                    </a:xfrm>
                    <a:prstGeom prst="rect">
                      <a:avLst/>
                    </a:prstGeom>
                  </pic:spPr>
                </pic:pic>
              </a:graphicData>
            </a:graphic>
          </wp:inline>
        </w:drawing>
      </w:r>
    </w:p>
    <w:p w14:paraId="1CC5008E" w14:textId="77777777" w:rsidR="007952AC" w:rsidRPr="00A61110" w:rsidRDefault="007952AC" w:rsidP="002F1145">
      <w:pPr>
        <w:spacing w:after="0" w:line="360" w:lineRule="auto"/>
        <w:jc w:val="center"/>
        <w:rPr>
          <w:rFonts w:ascii="Arial" w:eastAsiaTheme="majorEastAsia" w:hAnsi="Arial" w:cs="Arial"/>
          <w:color w:val="000000" w:themeColor="text1"/>
          <w:sz w:val="22"/>
          <w:szCs w:val="22"/>
        </w:rPr>
      </w:pPr>
      <w:r>
        <w:rPr>
          <w:rFonts w:ascii="Arial" w:eastAsiaTheme="majorEastAsia" w:hAnsi="Arial" w:cs="Arial"/>
          <w:b/>
          <w:bCs/>
          <w:color w:val="000000" w:themeColor="text1"/>
          <w:sz w:val="22"/>
          <w:szCs w:val="22"/>
        </w:rPr>
        <w:t xml:space="preserve">Figure 1. </w:t>
      </w:r>
      <w:r>
        <w:rPr>
          <w:rFonts w:ascii="Arial" w:eastAsiaTheme="majorEastAsia" w:hAnsi="Arial" w:cs="Arial"/>
          <w:color w:val="000000" w:themeColor="text1"/>
          <w:sz w:val="22"/>
          <w:szCs w:val="22"/>
        </w:rPr>
        <w:t>Kolb’s reflective cycle (Kolb, 1984)</w:t>
      </w:r>
    </w:p>
    <w:p w14:paraId="4CB311EA" w14:textId="77777777" w:rsidR="007952AC" w:rsidRPr="00A61110" w:rsidRDefault="007952AC" w:rsidP="007952AC">
      <w:pPr>
        <w:spacing w:after="0" w:line="360" w:lineRule="auto"/>
        <w:rPr>
          <w:rFonts w:ascii="Arial" w:eastAsiaTheme="majorEastAsia" w:hAnsi="Arial" w:cs="Arial"/>
          <w:color w:val="000000" w:themeColor="text1"/>
          <w:sz w:val="22"/>
          <w:szCs w:val="22"/>
        </w:rPr>
      </w:pPr>
    </w:p>
    <w:p w14:paraId="0CC31F0B"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t>Concrete Experience</w:t>
      </w:r>
    </w:p>
    <w:p w14:paraId="348AA517" w14:textId="7E35AF65" w:rsidR="007952AC" w:rsidRPr="00A61110" w:rsidRDefault="007952AC" w:rsidP="007952AC">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The artefact emerged from my attempt to define what the first phase of a future voice care centre might realistically involve. After brainstorming and consulting with colleagues, I decided that an online hub would be the most achievable starting point, with the assessment serving as the client’s first interaction with the service. This decision also aligned with the process of obtaining Vocal Rehabilitation Professional certification, giving the project importance beyond the module itself. Once I had identified the need for an assessment, I began reviewing literature on validated tools for voice, anxiety, and music performance anxiety.</w:t>
      </w:r>
    </w:p>
    <w:p w14:paraId="45EC30C2" w14:textId="228DDF7F" w:rsidR="007952AC" w:rsidRPr="00A61110" w:rsidRDefault="007952AC" w:rsidP="007952AC">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lastRenderedPageBreak/>
        <w:t xml:space="preserve">This stage was both exciting and unsettling. I felt curious because I could see the potential value of the artefact, but I also felt overwhelmed because many of the tools were rooted in medical or speech-language pathology contexts that were less familiar to me. At the same time, I wanted the tool to reflect my biopsychosocial approach to practice, which recognises that vocal difficulties are shaped by psychological and social as well as physical factors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{"citationID":"qeZdxgIU","properties":{"unsorted":false,"formattedCitation":"(Engel, 1977)","plainCitation":"(Engel, 1977)","noteIndex":0},"citationItems":[{"id":190,"uris":["http://zotero.org/users/20030753/items/7RRWHVY4"],"itemData":{"id":190,"type":"article-journal","abstract":"The dominant model of disease today is biomedical, and it leaves no room within tis framework for the social, psychological, and behavioral dimensions of illness. A biopsychosocial model is proposed that provides a blueprint for research, a framework for teaching, and a design for action in the real world of health care.","container-title":"Science","DOI":"10.1126/science.847460","ISSN":"0036-8075","issue":"4286","journalAbbreviation":"Science","language":"eng","page":"129-136","PMID":"847460","publisher-place":"New York, N.Y.","source":"PubMed","title":"The need for a new medical model: a challenge for biomedicine","title-short":"The need for a new medical model","volume":"196","author":[{"family":"Engel","given":"G. L."}],"issued":{"date-parts":[["1977",4,8]]}}}],"schema":"https://github.com/citation-style-language/schema/raw/master/csl-citation.json"}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eastAsiaTheme="majorEastAsia" w:hAnsi="Arial" w:cs="Arial"/>
          <w:noProof/>
          <w:color w:val="000000" w:themeColor="text1"/>
          <w:sz w:val="22"/>
          <w:szCs w:val="22"/>
        </w:rPr>
        <w:t>(Engel, 1977)</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I therefore did not want to focus only on voice symptoms. I also wanted to include anxiety and music performance anxiety because these are highly relevant in my work as a music therapist. However, I knew the questionnaire had to remain short enough to encourage completion, so I had to balance validity, relevance, and accessibility.</w:t>
      </w:r>
    </w:p>
    <w:p w14:paraId="11174E4F" w14:textId="77777777" w:rsidR="007952AC" w:rsidRPr="00A61110" w:rsidRDefault="007952AC" w:rsidP="007952AC">
      <w:pPr>
        <w:spacing w:after="0" w:line="360" w:lineRule="auto"/>
        <w:rPr>
          <w:rFonts w:ascii="Arial" w:eastAsiaTheme="majorEastAsia" w:hAnsi="Arial" w:cs="Arial"/>
          <w:color w:val="000000" w:themeColor="text1"/>
          <w:sz w:val="22"/>
          <w:szCs w:val="22"/>
        </w:rPr>
      </w:pPr>
    </w:p>
    <w:p w14:paraId="4623D948"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t>Reflective Observation</w:t>
      </w:r>
    </w:p>
    <w:p w14:paraId="68537BEA" w14:textId="77777777" w:rsidR="007952AC" w:rsidRPr="00A61110" w:rsidRDefault="007952AC" w:rsidP="007952AC">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Looking back, the main tension in the project was between my desire for a holistic tool and the practical need for a concise one. My instinct was to include the many factors I know can affect the voice, including reflux, anxiety, and performance-related pressures. This was shaped by both literature and experience. Before training as a music therapist, I had already worked with voice students and had often seen how singing could bring them into contact with deep feelings and vulnerabilities. I realised that technical vocal work alone was not always enough, and not every student was willing or able to seek mental health support elsewhere. My decision to study Music Therapy came directly from those experiences and from a desire to respond more ethically and competently to what was happening in practice.</w:t>
      </w:r>
    </w:p>
    <w:p w14:paraId="1F28D811" w14:textId="4A7FCCE3" w:rsidR="00B9255E" w:rsidRPr="00B70529" w:rsidRDefault="007952AC" w:rsidP="00B70529">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 xml:space="preserve">That journey influenced the structure of the artefact. I chose to include the VHI and the SVHI so the tool could be relevant to both general voice users and singers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{"citationID":"Jn4wPvig","properties":{"unsorted":false,"formattedCitation":"(Jacobson {\\i{}et al.}, 1997; Cohen {\\i{}et al.}, 2007)","plainCitation":"(Jacobson et al., 1997; Cohen et al., 2007)","noteIndex":0},"citationItems":[{"id":194,"uris":["http://zotero.org/users/20030753/items/HWZ5TQ4Z"],"itemData":{"id":194,"type":"article-journal","abstract":"To date, no instruments exist to quantify the psychosocial consequences of voice disorders. The aim of the present investigation was the development of a statistically robust Voice Handicap Index (VHI). An 85-item version of this instrument was administered to 65 consecutive patients seen in the Voice Clinic at Henry Ford Hospital. The data were subjected to measures of internal consistency reliability and the initial 85-item version was reduced to a 30-item final version. This final version was administered to 63 consecutive patients on two occasions in an attempt to assess test-retest stability, which proved to be strong. The findings of the latter analysis demonstrated that a change between two administrations of 18 points represents a significant shift in psychosocial function.","container-title":"American Journal of Speech-Language Pathology","DOI":"10.1044/1058-0360.0603.66","issue":"3","page":"66-70","publisher":"American Speech-Language-Hearing Association","source":"pubs.asha.org (Atypon)","title":"The Voice Handicap Index (VHI)","volume":"6","author":[{"family":"Jacobson","given":"Barbara H."},{"family":"Johnson","given":"Alex"},{"family":"Grywalski","given":"Cynthia"},{"family":"Silbergleit","given":"Alice"},{"family":"Jacobson","given":"Gary"},{"family":"Benninger","given":"Michael S."},{"family":"Newman","given":"Craig W."}],"issued":{"date-parts":[["1997",8]]}}},{"id":60,"uris":["http://zotero.org/users/20030753/items/5ARKC69G"],"itemData":{"id":60,"type":"article-journal","abstract":"Objectives: We developed and validated a disorder-specific health status instrument (Singing Voice Handicap Index; SVHI) for use in patients with singing problems.\nMethods: Prospective instrument validation was performed. Of 81 original items, those with poor statistical validity were eliminated, resulting in 36 items. The ability to discriminate dysphonic from normal singers, test-retest reliability, internal consistency, and construct validity were assessed.\nResults: We included 112 dysphonic and 129 normal singers, professional and nonprofessional, of classical, country, rock, choral, and gospel repertoire. Dysphonic singers had worse SVHI scores than normal singers (p ≤ .001, rank sum test). Test-retest reliability was high (Spearman correlation, 0.92; p ≤ .001). Internal consistency demonstrated a Cronbach’s α of .97, and the correlation between the SVHI and self-rated singing voice impairment was .63 (p ≤ .001, Spearman correlation).\nConclusions: The SVHI is a reliable and valid tool for assessing self-perceived handicap associated with singing problems.","container-title":"Annals of Otology, Rhinology &amp; Laryngology","DOI":"10.1177/000348940711600602","ISSN":"0003-4894, 1943-572X","issue":"6","journalAbbreviation":"Ann Otol Rhinol Laryngol","language":"en","license":"https://journals.sagepub.com/page/policies/text-and-data-mining-license","page":"402-406","source":"DOI.org (Crossref)","title":"Creation and Validation of the Singing Voice Handicap Index","volume":"116","author":[{"family":"Cohen","given":"Seth M."},{"family":"Jacobson","given":"Barbara H."},{"family":"Garrett","given":"C. Gaelyn"},{"family":"Noordzij","given":"J. Pieter"},{"family":"Stewart","given":"Michael G."},{"family":"Attia","given":"Albert"},{"family":"Ossoff","given":"Robert H."},{"family":"Cleveland","given":"Thomas F."}],"issued":{"date-parts":[["2007",6]]}}}],"schema":"https://github.com/citation-style-language/schema/raw/master/csl-citation.json"}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hAnsi="Arial" w:cs="Arial"/>
          <w:color w:val="000000"/>
          <w:kern w:val="0"/>
          <w:sz w:val="22"/>
          <w:lang w:val="en-US"/>
        </w:rPr>
        <w:t xml:space="preserve">(Jacobson </w:t>
      </w:r>
      <w:r>
        <w:rPr>
          <w:rFonts w:ascii="Arial" w:hAnsi="Arial" w:cs="Arial"/>
          <w:i/>
          <w:iCs/>
          <w:color w:val="000000"/>
          <w:kern w:val="0"/>
          <w:sz w:val="22"/>
          <w:lang w:val="en-US"/>
        </w:rPr>
        <w:t>et al.</w:t>
      </w:r>
      <w:r>
        <w:rPr>
          <w:rFonts w:ascii="Arial" w:hAnsi="Arial" w:cs="Arial"/>
          <w:color w:val="000000"/>
          <w:kern w:val="0"/>
          <w:sz w:val="22"/>
          <w:lang w:val="en-US"/>
        </w:rPr>
        <w:t xml:space="preserve">, 1997; Cohen </w:t>
      </w:r>
      <w:r>
        <w:rPr>
          <w:rFonts w:ascii="Arial" w:hAnsi="Arial" w:cs="Arial"/>
          <w:i/>
          <w:iCs/>
          <w:color w:val="000000"/>
          <w:kern w:val="0"/>
          <w:sz w:val="22"/>
          <w:lang w:val="en-US"/>
        </w:rPr>
        <w:t>et al.</w:t>
      </w:r>
      <w:r>
        <w:rPr>
          <w:rFonts w:ascii="Arial" w:hAnsi="Arial" w:cs="Arial"/>
          <w:color w:val="000000"/>
          <w:kern w:val="0"/>
          <w:sz w:val="22"/>
          <w:lang w:val="en-US"/>
        </w:rPr>
        <w:t>, 2007)</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xml:space="preserve">. I also included the RSI because reflux is a recognised factor in many voice complaints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{"citationID":"JnduOqrl","properties":{"unsorted":false,"formattedCitation":"(Belafsky, Postma and Koufman, 2002)","plainCitation":"(Belafsky, Postma and Koufman, 2002)","noteIndex":0},"citationItems":[{"id":138,"uris":["http://zotero.org/users/20030753/items/KLU236BV"],"itemData":{"id":138,"type":"article-journal","abstract":"Laryngopharyngeal reflux (LPR) is present in up to 50% of patients with voice disorders. Currently, there is no validated instrument that documents symptom severity in LPR. We developed the reflux symptom index (RSI), a self-administered nine-item outcomes instrument for LPR. The purpose of this investigation was to evaluate the psychometric properties of the RSI. For validity assessment, 25 patients with LPR were evaluated prospectively before and six months after b.i.d. treatment with proton pump inhibitors (PPI). Each patient completed the RSI as well as the 30-item voice handicap index (VHI). For reliability assessment, the study patients were given the RSI on two separate occasions before the initiation of treatment. Normative RSI data were derived from 25 age-matched and gender-matched controls taken from an existing database of asymptomatic individuals without any evidence of LPR. The mean RSI (+/- standard deviation) of patients with LPR improved from 21.2 (+/- 10.7) to 12.8 (+/- 10.0), and the mean VHI improved from 52.2 (+/- 24.7) to 41.5 (+/- 25.0) after 6 months of therapy (p = 0.001 and 0.065, respectively). Of the three VHI subscales (emotional, physical, functional), only the functional subscale improved significantly (p = 0.037). Patients who experienced a five point or better improvement in RSI were 11 times more likely to experience a five-point improvement in VHI (95% confidence interval = 1.7, 76.8). For reliability assessment, the first and second pretreatment RSIs were 19.9 (+/- 11.1) and 20.9 (+/- 9.6), respectively (correlation coefficient = 0.81, p &lt; 0.001). The single-item correlation coefficients ranged from 0.41 to 0.91 (p &lt; 0.05 for all items). The mean pretreatment RSI in patients with LPR was significantly higher than controls (21.2 versus 11.6; p &lt; 0.001). The mean RSI of patients with LPR after 6 months of PPI therapy approached that of asymptomatic controls (p &gt; 0.05). The RSI is easily administered, highly reproducible, and exhibits excellent construct and criterion-based validity.","container-title":"Journal of Voice: Official Journal of the Voice Foundation","DOI":"10.1016/s0892-1997(02)00097-8","ISSN":"0892-1997","issue":"2","journalAbbreviation":"J Voice","language":"eng","page":"274-277","PMID":"12150380","source":"PubMed","title":"Validity and reliability of the reflux symptom index (RSI)","volume":"16","author":[{"family":"Belafsky","given":"Peter C."},{"family":"Postma","given":"Gregory N."},{"family":"Koufman","given":"James A."}],"issued":{"date-parts":[["2002",6]]}}}],"schema":"https://github.com/citation-style-language/schema/raw/master/csl-citation.json"}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eastAsiaTheme="majorEastAsia" w:hAnsi="Arial" w:cs="Arial"/>
          <w:noProof/>
          <w:color w:val="000000" w:themeColor="text1"/>
          <w:sz w:val="22"/>
          <w:szCs w:val="22"/>
        </w:rPr>
        <w:t>(Belafsky, Postma and Koufman, 2002)</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xml:space="preserve">. The GAD-7 was selected because it is brief and widely used as a screening measure for anxiety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{"citationID":"rbuofyi0","properties":{"unsorted":false,"formattedCitation":"(Spitzer {\\i{}et al.}, 2006)","plainCitation":"(Spitzer et al., 2006)","noteIndex":0},"citationItems":[{"id":133,"uris":["http://zotero.org/users/20030753/items/8B7I8ZZD"],"itemData":{"id":133,"type":"article-journal","container-title":"Archives of Internal Medicine","DOI":"10.1001/archinte.166.10.1092","ISSN":"0003-9926","issue":"10","journalAbbreviation":"Arch Intern Med","language":"en","page":"1092","source":"DOI.org (Crossref)","title":"A Brief Measure for Assessing Generalized Anxiety Disorder: The GAD-7","title-short":"A Brief Measure for Assessing Generalized Anxiety Disorder","volume":"166","author":[{"family":"Spitzer","given":"Robert L."},{"family":"Kroenke","given":"Kurt"},{"family":"Williams","given":"Janet B. W."},{"family":"Löwe","given":"Bernd"}],"issued":{"date-parts":[["2006",5,22]]}}}],"schema":"https://github.com/citation-style-language/schema/raw/master/csl-citation.json"}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hAnsi="Arial" w:cs="Arial"/>
          <w:color w:val="000000"/>
          <w:kern w:val="0"/>
          <w:sz w:val="22"/>
          <w:lang w:val="en-US"/>
        </w:rPr>
        <w:t xml:space="preserve">(Spitzer </w:t>
      </w:r>
      <w:r>
        <w:rPr>
          <w:rFonts w:ascii="Arial" w:hAnsi="Arial" w:cs="Arial"/>
          <w:i/>
          <w:iCs/>
          <w:color w:val="000000"/>
          <w:kern w:val="0"/>
          <w:sz w:val="22"/>
          <w:lang w:val="en-US"/>
        </w:rPr>
        <w:t>et al.</w:t>
      </w:r>
      <w:r>
        <w:rPr>
          <w:rFonts w:ascii="Arial" w:hAnsi="Arial" w:cs="Arial"/>
          <w:color w:val="000000"/>
          <w:kern w:val="0"/>
          <w:sz w:val="22"/>
          <w:lang w:val="en-US"/>
        </w:rPr>
        <w:t>, 2006)</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xml:space="preserve">. I also included M-MPA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{"citationID":"tSfLIZ9t","properties":{"unsorted":false,"formattedCitation":"(Mazzarolo and Schubert, 2022)","plainCitation":"(Mazzarolo and Schubert, 2022)","noteIndex":0},"citationItems":[{"id":88,"uris":["http://zotero.org/users/20030753/items/FDGJD3KY"],"itemData":{"id":88,"type":"article-journal","abstract":"Given the prevalence of debilitating anxiety associated with music performance, there is a need for rapid, pinpointed assessment of the extent to which an individual experiences music performance anxiety (MPA). A short, five item scale, the Mazzarolo Music Performance Anxiety Scale (M-MPAS), was developed to capture retrospective self-reported estimates of the frequency, intensity and aversion tendency associated with performing music. 102 musicians completed the scale, as well as an established MPA inventory. The M-MPAS was found to be internally reliable (Cronbach’s alpha = 0.894) with all items being statistically relevant to the overall scale. Furthermore, the M-MPAS was correlated with the relevant factors of an established MPA measure (r = 0.791), suggesting that the new scale exhibited good construct validity. M-MPAS is easy to score, with a scale range of 0–30. A score of 11 or above is suggested as the range in which a diagnosis of potential high MPA can be made, but more research into this and the psychometric robustness of the scale is called for. Nevertheless, the reliability and validity demonstrated in the present study, along with the brevity of the M-MPAS suggest that the newly proposed scale may offer considerable triaging benefits for pinpointed assessment of the extent to which an individual experiences MPA.","container-title":"Frontiers in Psychology","DOI":"10.3389/fpsyg.2021.781262","journalAbbreviation":"Frontiers in Psychology","source":"ResearchGate","title":"A Short Performance Anxiety Scale for Musicians","volume":"12","author":[{"family":"Mazzarolo","given":"Isabella"},{"family":"Schubert","given":"Emery"}],"issued":{"date-parts":[["2022",1,26]]}}}],"schema":"https://github.com/citation-style-language/schema/raw/master/csl-citation.json"}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eastAsiaTheme="majorEastAsia" w:hAnsi="Arial" w:cs="Arial"/>
          <w:noProof/>
          <w:color w:val="000000" w:themeColor="text1"/>
          <w:sz w:val="22"/>
          <w:szCs w:val="22"/>
        </w:rPr>
        <w:t>(Mazzarolo and Schubert, 2022)</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xml:space="preserve"> because I expect many potential clients to be performers, and this is well established in the literature. What worked well was that the final tool reflected my multidisciplinary philosophy and highlighted the importance of considering both voice and emotional wellbeing. What was more difficult was working across disciplinary boundaries while staying aware of my scope of practice.</w:t>
      </w:r>
    </w:p>
    <w:p w14:paraId="7B1761E1" w14:textId="77777777" w:rsidR="00B9255E" w:rsidRDefault="00B9255E" w:rsidP="007952AC">
      <w:pPr>
        <w:spacing w:after="0" w:line="360" w:lineRule="auto"/>
        <w:rPr>
          <w:rFonts w:ascii="Arial" w:eastAsiaTheme="majorEastAsia" w:hAnsi="Arial" w:cs="Arial"/>
          <w:b/>
          <w:bCs/>
          <w:color w:val="000000" w:themeColor="text1"/>
          <w:sz w:val="22"/>
          <w:szCs w:val="22"/>
        </w:rPr>
      </w:pPr>
    </w:p>
    <w:p w14:paraId="4523087D" w14:textId="7CF5C1C3" w:rsidR="007952AC" w:rsidRPr="00A61110" w:rsidRDefault="007952AC" w:rsidP="007952AC">
      <w:pPr>
        <w:spacing w:after="0" w:line="360" w:lineRule="auto"/>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t>Abstract Conceptualisation</w:t>
      </w:r>
    </w:p>
    <w:p w14:paraId="6C097F58" w14:textId="564E932D" w:rsidR="007952AC" w:rsidRPr="00A61110" w:rsidRDefault="007952AC" w:rsidP="007952AC">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One of the most important things I learned is that critical reflection requires more than describing a process; it requires analy</w:t>
      </w:r>
      <w:r w:rsidR="00D5209E">
        <w:rPr>
          <w:rFonts w:ascii="Arial" w:eastAsiaTheme="majorEastAsia" w:hAnsi="Arial" w:cs="Arial"/>
          <w:color w:val="000000" w:themeColor="text1"/>
          <w:sz w:val="22"/>
          <w:szCs w:val="22"/>
        </w:rPr>
        <w:t>z</w:t>
      </w:r>
      <w:r>
        <w:rPr>
          <w:rFonts w:ascii="Arial" w:eastAsiaTheme="majorEastAsia" w:hAnsi="Arial" w:cs="Arial"/>
          <w:color w:val="000000" w:themeColor="text1"/>
          <w:sz w:val="22"/>
          <w:szCs w:val="22"/>
        </w:rPr>
        <w:t xml:space="preserve">ing how decisions are shaped by evidence, assumptions, </w:t>
      </w:r>
      <w:r>
        <w:rPr>
          <w:rFonts w:ascii="Arial" w:eastAsiaTheme="majorEastAsia" w:hAnsi="Arial" w:cs="Arial"/>
          <w:color w:val="000000" w:themeColor="text1"/>
          <w:sz w:val="22"/>
          <w:szCs w:val="22"/>
        </w:rPr>
        <w:lastRenderedPageBreak/>
        <w:t xml:space="preserve">and professional values </w:t>
      </w:r>
      <w:r>
        <w:rPr>
          <w:rFonts w:ascii="Arial" w:eastAsiaTheme="majorEastAsia" w:hAnsi="Arial" w:cs="Arial"/>
          <w:color w:val="000000" w:themeColor="text1"/>
          <w:sz w:val="22"/>
          <w:szCs w:val="22"/>
        </w:rPr>
        <w:fldChar w:fldCharType="begin"/>
      </w:r>
      <w:r w:rsidR="00417FC0">
        <w:rPr>
          <w:rFonts w:ascii="Arial" w:eastAsiaTheme="majorEastAsia" w:hAnsi="Arial" w:cs="Arial"/>
          <w:color w:val="000000" w:themeColor="text1"/>
          <w:sz w:val="22"/>
          <w:szCs w:val="22"/>
        </w:rPr>
        <w:instrText xml:space="preserve"> ADDIN ZOTERO_ITEM CSL_CITATION {"citationID":"UJQeICEB","properties":{"unsorted":false,"formattedCitation":"(Moon, 1999; Schon, 2011)","plainCitation":"(Moon, 1999; Schon, 2011)","noteIndex":0},"citationItems":[{"id":263,"uris":["http://zotero.org/users/20030753/items/SIB4NVYN"],"itemData":{"id":263,"type":"book","edition":"1st","original-publisher-place":"London","publisher":"Routledge","source":"ResearchGate","title":"Reflection in learning &amp; professional development","author":[{"family":"Moon","given":"Jenny"}],"issued":{"date-parts":[["1999"]]}}},{"id":"J2csjAgN/KwMKTubu","uris":["http://zotero.org/users/20030753/items/LWQNI55N"],"itemData":{"id":262,"type":"article-journal","abstract":"Contents: Professional Knowledge and Reflection-in-Action: The crisis of confidence in professional knowledge From technical rationality to reflection-in-action. Professional Contexts for Reflection-in-Action: Design as a reflective conversation with the situation Psychotherapy: The patient as a universe of one The structure of reflection-in-action Reflective practice in the science-based professions Town planning: Limits to reflection-in-action The art of managing: Reflection-in-action within an organizational learning system Patterns and limits of reflection-in-action across the professions. Conclusion: Implications for the professions and their place in society.","container-title":"The Journal of Continuing Higher Education","DOI":"10.1080/07377366.1986.10401080","journalAbbreviation":"The Journal of Continuing Higher Education","source":"ResearchGate","title":"The Reflective Practitioner: How Professionals Think In Action","title-short":"The Reflective Practitioner","volume":"34","author":[{"family":"Schon","given":"Donald"}],"issued":{"date-parts":[["2011",10,5]]}}}],"schema":"https://github.com/citation-style-language/schema/raw/master/csl-citation.json"} </w:instrText>
      </w:r>
      <w:r>
        <w:rPr>
          <w:rFonts w:ascii="Arial" w:eastAsiaTheme="majorEastAsia" w:hAnsi="Arial" w:cs="Arial"/>
          <w:color w:val="000000" w:themeColor="text1"/>
          <w:sz w:val="22"/>
          <w:szCs w:val="22"/>
        </w:rPr>
        <w:fldChar w:fldCharType="separate"/>
      </w:r>
      <w:r w:rsidR="00417FC0">
        <w:rPr>
          <w:rFonts w:ascii="Arial" w:eastAsiaTheme="majorEastAsia" w:hAnsi="Arial" w:cs="Arial"/>
          <w:noProof/>
          <w:color w:val="000000" w:themeColor="text1"/>
          <w:sz w:val="22"/>
          <w:szCs w:val="22"/>
        </w:rPr>
        <w:t>(Moon, 1999; Schon, 2011)</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I began the project wanting to capture the complexity of vocal health, but I gradually realised that a useful artefact is not necessarily the most comprehensive one. In this case, the questionnaire is designed as an initial screening and signposting mechanism, not as a diagnostic instrument. That distinction has become central to my understanding of ethical practice within interdisciplinary work.</w:t>
      </w:r>
    </w:p>
    <w:p w14:paraId="43674E4D" w14:textId="16633A6B" w:rsidR="007952AC" w:rsidRPr="00A61110" w:rsidRDefault="007952AC" w:rsidP="007952AC">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 xml:space="preserve">The process also helped me see how my professional identity is becoming more integrated. The artefact brought together my background in voice teaching, my development as a music therapist, and my ambition to create a collaborative model of vocal care in Puerto Rico. At the same time, it revealed limitations in my current work. I can now see that I might have explored depression screening, expanded the literature search further, and improved the visual design of the tool with specialist support. These limitations matter because they remind me that reflective practice involves acknowledging not only what has been achieved, but also where further development is needed </w:t>
      </w:r>
      <w:r>
        <w:rPr>
          <w:rFonts w:ascii="Arial" w:eastAsiaTheme="majorEastAsia" w:hAnsi="Arial" w:cs="Arial"/>
          <w:color w:val="000000" w:themeColor="text1"/>
          <w:sz w:val="22"/>
          <w:szCs w:val="22"/>
        </w:rPr>
        <w:fldChar w:fldCharType="begin"/>
      </w:r>
      <w:r w:rsidR="00417FC0">
        <w:rPr>
          <w:rFonts w:ascii="Arial" w:eastAsiaTheme="majorEastAsia" w:hAnsi="Arial" w:cs="Arial"/>
          <w:color w:val="000000" w:themeColor="text1"/>
          <w:sz w:val="22"/>
          <w:szCs w:val="22"/>
        </w:rPr>
        <w:instrText xml:space="preserve"> ADDIN ZOTERO_ITEM CSL_CITATION {"citationID":"dfnu7LNf","properties":{"unsorted":false,"formattedCitation":"(Moon, 1999; Sch\\uc0\\u246{}n, 2009)","plainCitation":"(Moon, 1999; Schön, 2009)","noteIndex":0},"citationItems":[{"id":263,"uris":["http://zotero.org/users/20030753/items/SIB4NVYN"],"itemData":{"id":263,"type":"book","edition":"1st","original-publisher-place":"London","publisher":"Routledge","source":"ResearchGate","title":"Reflection in learning &amp; professional development","author":[{"family":"Moon","given":"Jenny"}],"issued":{"date-parts":[["1999"]]}}},{"id":261,"uris":["http://zotero.org/users/20030753/items/ELB8SE2V"],"itemData":{"id":261,"type":"book","ISBN":"978-0-465-06874-6","language":"en","number-of-pages":"374","publisher":"Basic Books","publisher-place":"New York","source":"K10plus ISBN","title":"The reflective practitioner: how professionals think in action","title-short":"The reflective practitioner","author":[{"family":"Schön","given":"Donald A."}],"issued":{"date-parts":[["2009"]]}}}],"schema":"https://github.com/citation-style-language/schema/raw/master/csl-citation.json"} </w:instrText>
      </w:r>
      <w:r>
        <w:rPr>
          <w:rFonts w:ascii="Arial" w:eastAsiaTheme="majorEastAsia" w:hAnsi="Arial" w:cs="Arial"/>
          <w:color w:val="000000" w:themeColor="text1"/>
          <w:sz w:val="22"/>
          <w:szCs w:val="22"/>
        </w:rPr>
        <w:fldChar w:fldCharType="separate"/>
      </w:r>
      <w:r w:rsidR="00417FC0" w:rsidRPr="00417FC0">
        <w:rPr>
          <w:rFonts w:ascii="Arial" w:hAnsi="Arial" w:cs="Arial"/>
          <w:color w:val="000000"/>
          <w:kern w:val="0"/>
          <w:sz w:val="22"/>
          <w:lang w:val="en-US"/>
        </w:rPr>
        <w:t>(Moon, 1999; Schön, 2009)</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w:t>
      </w:r>
    </w:p>
    <w:p w14:paraId="6D33B936" w14:textId="77777777" w:rsidR="007952AC" w:rsidRPr="00A61110" w:rsidRDefault="007952AC" w:rsidP="007952AC">
      <w:pPr>
        <w:spacing w:after="0" w:line="360" w:lineRule="auto"/>
        <w:ind w:firstLine="720"/>
        <w:rPr>
          <w:rFonts w:ascii="Arial" w:eastAsiaTheme="majorEastAsia" w:hAnsi="Arial" w:cs="Arial"/>
          <w:color w:val="000000" w:themeColor="text1"/>
          <w:sz w:val="22"/>
          <w:szCs w:val="22"/>
        </w:rPr>
      </w:pPr>
    </w:p>
    <w:p w14:paraId="74553344" w14:textId="77777777" w:rsidR="007952AC" w:rsidRPr="00A61110" w:rsidRDefault="007952AC" w:rsidP="007952AC">
      <w:pPr>
        <w:spacing w:after="0" w:line="360" w:lineRule="auto"/>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t>Active Experimentation</w:t>
      </w:r>
    </w:p>
    <w:p w14:paraId="039CB237" w14:textId="77777777" w:rsidR="007952AC" w:rsidRPr="00A61110" w:rsidRDefault="007952AC" w:rsidP="007952AC">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The project has given me a clearer direction for future action. My next step is not simply to expand the questionnaire, but to strengthen its evidence base and practical reliability. One priority would be to explore a validation study for the online tool. I also need to validate the Spanish translations within the Puerto Rican population, since linguistic and cultural relevance will be essential if the tool is to serve the community I aim to support. Another useful step would be to compare the tool’s recommendations with those made by a voice care professional to assess how closely the online screening aligns with expert judgement.</w:t>
      </w:r>
    </w:p>
    <w:p w14:paraId="2D6D9ADC" w14:textId="070410CF" w:rsidR="007952AC" w:rsidRDefault="007952AC" w:rsidP="00B9255E">
      <w:pPr>
        <w:spacing w:after="0" w:line="360" w:lineRule="auto"/>
        <w:ind w:firstLine="720"/>
        <w:rPr>
          <w:rFonts w:ascii="Arial" w:eastAsiaTheme="majorEastAsia" w:hAnsi="Arial" w:cs="Arial"/>
          <w:color w:val="000000" w:themeColor="text1"/>
          <w:sz w:val="22"/>
          <w:szCs w:val="22"/>
        </w:rPr>
      </w:pPr>
      <w:r>
        <w:rPr>
          <w:rFonts w:ascii="Arial" w:eastAsiaTheme="majorEastAsia" w:hAnsi="Arial" w:cs="Arial"/>
          <w:color w:val="000000" w:themeColor="text1"/>
          <w:sz w:val="22"/>
          <w:szCs w:val="22"/>
        </w:rPr>
        <w:t xml:space="preserve">More broadly, this artefact has turned a long-held aspiration into something more concrete. It has shown me that the vision of a voice care centre can begin with a carefully considered, ethically bounded, and evidence-informed first step. Kolb’s model helped me understand that the value of the process lies not only in the artefact itself, but in how the cycle of experience, reflection, conceptualisation, and experimentation has clarified my professional goals and next steps </w:t>
      </w:r>
      <w:r>
        <w:rPr>
          <w:rFonts w:ascii="Arial" w:eastAsiaTheme="majorEastAsia" w:hAnsi="Arial" w:cs="Arial"/>
          <w:color w:val="000000" w:themeColor="text1"/>
          <w:sz w:val="22"/>
          <w:szCs w:val="22"/>
        </w:rPr>
        <w:fldChar w:fldCharType="begin"/>
      </w:r>
      <w:r>
        <w:rPr>
          <w:rFonts w:ascii="Arial" w:eastAsiaTheme="majorEastAsia" w:hAnsi="Arial" w:cs="Arial"/>
          <w:color w:val="000000" w:themeColor="text1"/>
          <w:sz w:val="22"/>
          <w:szCs w:val="22"/>
        </w:rPr>
        <w:instrText xml:space="preserve"> ADDIN ZOTERO_ITEM CSL_CITATION {"citationID":"lEquXQUC","properties":{"unsorted":false,"formattedCitation":"(Kolb, 1984)","plainCitation":"(Kolb, 1984)","noteIndex":0},"citationItems":[{"id":244,"uris":["http://zotero.org/users/20030753/items/B54IDJZL"],"itemData":{"id":244,"type":"book","ISBN":"978-0-13-295261-3","note":"journalAbbreviation: Journal of Business Ethics\ncontainer-title: Journal of Business Ethics","source":"ResearchGate","title":"Experiential Learning: Experience As The Source Of Learning And Development","title-short":"Experiential Learning","volume":"1","author":[{"family":"Kolb","given":"David"}],"issued":{"date-parts":[["1984",1,1]]}}}],"schema":"https://github.com/citation-style-language/schema/raw/master/csl-citation.json"} </w:instrText>
      </w:r>
      <w:r>
        <w:rPr>
          <w:rFonts w:ascii="Arial" w:eastAsiaTheme="majorEastAsia" w:hAnsi="Arial" w:cs="Arial"/>
          <w:color w:val="000000" w:themeColor="text1"/>
          <w:sz w:val="22"/>
          <w:szCs w:val="22"/>
        </w:rPr>
        <w:fldChar w:fldCharType="separate"/>
      </w:r>
      <w:r>
        <w:rPr>
          <w:rFonts w:ascii="Arial" w:eastAsiaTheme="majorEastAsia" w:hAnsi="Arial" w:cs="Arial"/>
          <w:noProof/>
          <w:color w:val="000000" w:themeColor="text1"/>
          <w:sz w:val="22"/>
          <w:szCs w:val="22"/>
        </w:rPr>
        <w:t>(Kolb, 1984)</w:t>
      </w:r>
      <w:r>
        <w:rPr>
          <w:rFonts w:ascii="Arial" w:eastAsiaTheme="majorEastAsia" w:hAnsi="Arial" w:cs="Arial"/>
          <w:color w:val="000000" w:themeColor="text1"/>
          <w:sz w:val="22"/>
          <w:szCs w:val="22"/>
        </w:rPr>
        <w:fldChar w:fldCharType="end"/>
      </w:r>
      <w:r>
        <w:rPr>
          <w:rFonts w:ascii="Arial" w:eastAsiaTheme="majorEastAsia" w:hAnsi="Arial" w:cs="Arial"/>
          <w:color w:val="000000" w:themeColor="text1"/>
          <w:sz w:val="22"/>
          <w:szCs w:val="22"/>
        </w:rPr>
        <w:t xml:space="preserve">. Looking back, I do think the model has limitations that are worth naming. Kolb presents the four stages as a tidy sequence, but my experience of this project was not like that: I was reflecting and reconceptualising throughout the making process, not after it. The Abstract Conceptualisation stage, in particular, felt less like a distinct phase and more like something that was happening constantly alongside everything else. </w:t>
      </w:r>
      <w:r w:rsidR="00481E91" w:rsidRPr="00481E91">
        <w:rPr>
          <w:rFonts w:ascii="Arial" w:eastAsiaTheme="majorEastAsia" w:hAnsi="Arial" w:cs="Arial"/>
          <w:color w:val="000000" w:themeColor="text1"/>
          <w:sz w:val="22"/>
          <w:szCs w:val="22"/>
        </w:rPr>
        <w:t>If I were to revisit this project, I would consider using a more cyclical model alongside Kolb to capture the way reflection and making were happening at the same time rather than in sequence.</w:t>
      </w:r>
      <w:r>
        <w:rPr>
          <w:rFonts w:ascii="Arial" w:eastAsiaTheme="majorEastAsia" w:hAnsi="Arial" w:cs="Arial"/>
          <w:color w:val="000000" w:themeColor="text1"/>
          <w:sz w:val="22"/>
          <w:szCs w:val="22"/>
        </w:rPr>
        <w:t xml:space="preserve"> Overall, this </w:t>
      </w:r>
      <w:r>
        <w:rPr>
          <w:rFonts w:ascii="Arial" w:eastAsiaTheme="majorEastAsia" w:hAnsi="Arial" w:cs="Arial"/>
          <w:color w:val="000000" w:themeColor="text1"/>
          <w:sz w:val="22"/>
          <w:szCs w:val="22"/>
        </w:rPr>
        <w:lastRenderedPageBreak/>
        <w:t>project has strengthened my confidence in developing an interdisciplinary model of care while also reminding me that responsible innovation requires further research, collaboration, and evaluation.</w:t>
      </w:r>
    </w:p>
    <w:p w14:paraId="33B2DF49" w14:textId="77777777" w:rsidR="00B9255E" w:rsidRDefault="00B9255E" w:rsidP="00B9255E">
      <w:pPr>
        <w:spacing w:after="0" w:line="360" w:lineRule="auto"/>
        <w:ind w:firstLine="720"/>
        <w:rPr>
          <w:rFonts w:ascii="Arial" w:eastAsiaTheme="majorEastAsia" w:hAnsi="Arial" w:cs="Arial"/>
          <w:color w:val="000000" w:themeColor="text1"/>
          <w:sz w:val="22"/>
          <w:szCs w:val="22"/>
        </w:rPr>
      </w:pPr>
    </w:p>
    <w:p w14:paraId="56890A47" w14:textId="77777777" w:rsidR="00B70529" w:rsidRDefault="00B70529" w:rsidP="00B9255E">
      <w:pPr>
        <w:spacing w:after="0" w:line="360" w:lineRule="auto"/>
        <w:ind w:firstLine="720"/>
        <w:rPr>
          <w:rFonts w:ascii="Arial" w:eastAsiaTheme="majorEastAsia" w:hAnsi="Arial" w:cs="Arial"/>
          <w:color w:val="000000" w:themeColor="text1"/>
          <w:sz w:val="22"/>
          <w:szCs w:val="22"/>
        </w:rPr>
      </w:pPr>
    </w:p>
    <w:p w14:paraId="03645975" w14:textId="77777777" w:rsidR="00B70529" w:rsidRDefault="00B70529" w:rsidP="00B9255E">
      <w:pPr>
        <w:spacing w:after="0" w:line="360" w:lineRule="auto"/>
        <w:ind w:firstLine="720"/>
        <w:rPr>
          <w:rFonts w:ascii="Arial" w:eastAsiaTheme="majorEastAsia" w:hAnsi="Arial" w:cs="Arial"/>
          <w:color w:val="000000" w:themeColor="text1"/>
          <w:sz w:val="22"/>
          <w:szCs w:val="22"/>
        </w:rPr>
      </w:pPr>
    </w:p>
    <w:p w14:paraId="19FB6D03" w14:textId="77777777" w:rsidR="00B70529" w:rsidRDefault="00B70529" w:rsidP="00B9255E">
      <w:pPr>
        <w:spacing w:after="0" w:line="360" w:lineRule="auto"/>
        <w:ind w:firstLine="720"/>
        <w:rPr>
          <w:rFonts w:ascii="Arial" w:eastAsiaTheme="majorEastAsia" w:hAnsi="Arial" w:cs="Arial"/>
          <w:color w:val="000000" w:themeColor="text1"/>
          <w:sz w:val="22"/>
          <w:szCs w:val="22"/>
        </w:rPr>
      </w:pPr>
    </w:p>
    <w:p w14:paraId="3C60647C" w14:textId="77777777" w:rsidR="00B70529" w:rsidRDefault="00B70529" w:rsidP="00B9255E">
      <w:pPr>
        <w:spacing w:after="0" w:line="360" w:lineRule="auto"/>
        <w:ind w:firstLine="720"/>
        <w:rPr>
          <w:rFonts w:ascii="Arial" w:eastAsiaTheme="majorEastAsia" w:hAnsi="Arial" w:cs="Arial"/>
          <w:color w:val="000000" w:themeColor="text1"/>
          <w:sz w:val="22"/>
          <w:szCs w:val="22"/>
        </w:rPr>
      </w:pPr>
    </w:p>
    <w:p w14:paraId="4D3C9277" w14:textId="77777777" w:rsidR="00B70529" w:rsidRDefault="00B70529" w:rsidP="00B9255E">
      <w:pPr>
        <w:spacing w:after="0" w:line="360" w:lineRule="auto"/>
        <w:ind w:firstLine="720"/>
        <w:rPr>
          <w:rFonts w:ascii="Arial" w:eastAsiaTheme="majorEastAsia" w:hAnsi="Arial" w:cs="Arial"/>
          <w:color w:val="000000" w:themeColor="text1"/>
          <w:sz w:val="22"/>
          <w:szCs w:val="22"/>
        </w:rPr>
      </w:pPr>
    </w:p>
    <w:p w14:paraId="2BEE008A"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23ACF41D"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3B7F8084"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3217D477"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1A491825"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2C5376AD"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2E32DD87"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13705DCB"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7AEB27FF"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4E32871C"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6693E648"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4EA8BE9A"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6850F359"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534A0F81"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7EF6B2CB"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0A680371"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0B9BFB32"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7C659B4A"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58D23E5C"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227AB6B9"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7288D436"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2EFBD297"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341CF28A"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464A2096"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020BB218" w14:textId="77777777" w:rsidR="00481E91" w:rsidRDefault="00481E91" w:rsidP="00B9255E">
      <w:pPr>
        <w:spacing w:after="0" w:line="360" w:lineRule="auto"/>
        <w:rPr>
          <w:rFonts w:ascii="Arial" w:eastAsiaTheme="majorEastAsia" w:hAnsi="Arial" w:cs="Arial"/>
          <w:b/>
          <w:bCs/>
          <w:color w:val="000000" w:themeColor="text1"/>
          <w:sz w:val="22"/>
          <w:szCs w:val="22"/>
        </w:rPr>
      </w:pPr>
    </w:p>
    <w:p w14:paraId="2970AB1B" w14:textId="3C72C03D" w:rsidR="00D35FDF" w:rsidRDefault="00D35FDF" w:rsidP="00B9255E">
      <w:pPr>
        <w:spacing w:after="0" w:line="360" w:lineRule="auto"/>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lastRenderedPageBreak/>
        <w:t>Bibliography:</w:t>
      </w:r>
    </w:p>
    <w:p w14:paraId="7E4605AE" w14:textId="77777777" w:rsidR="00D5209E" w:rsidRPr="00D5209E" w:rsidRDefault="00D5209E" w:rsidP="00D5209E">
      <w:pPr>
        <w:pStyle w:val="Bibliography"/>
        <w:rPr>
          <w:rFonts w:ascii="Arial" w:hAnsi="Arial" w:cs="Arial"/>
          <w:color w:val="000000"/>
          <w:sz w:val="22"/>
          <w:lang w:val="en-US"/>
        </w:rPr>
      </w:pPr>
      <w:r>
        <w:rPr>
          <w:rFonts w:ascii="Arial" w:eastAsiaTheme="majorEastAsia" w:hAnsi="Arial" w:cs="Arial"/>
          <w:b/>
          <w:bCs/>
          <w:color w:val="000000" w:themeColor="text1"/>
          <w:sz w:val="22"/>
          <w:szCs w:val="22"/>
        </w:rPr>
        <w:fldChar w:fldCharType="begin"/>
      </w:r>
      <w:r>
        <w:rPr>
          <w:rFonts w:ascii="Arial" w:eastAsiaTheme="majorEastAsia" w:hAnsi="Arial" w:cs="Arial"/>
          <w:b/>
          <w:bCs/>
          <w:color w:val="000000" w:themeColor="text1"/>
          <w:sz w:val="22"/>
          <w:szCs w:val="22"/>
        </w:rPr>
        <w:instrText xml:space="preserve"> ADDIN ZOTERO_BIBL {"uncited":[],"omitted":[],"custom":[]} CSL_BIBLIOGRAPHY </w:instrText>
      </w:r>
      <w:r>
        <w:rPr>
          <w:rFonts w:ascii="Arial" w:eastAsiaTheme="majorEastAsia" w:hAnsi="Arial" w:cs="Arial"/>
          <w:b/>
          <w:bCs/>
          <w:color w:val="000000" w:themeColor="text1"/>
          <w:sz w:val="22"/>
          <w:szCs w:val="22"/>
        </w:rPr>
        <w:fldChar w:fldCharType="separate"/>
      </w:r>
      <w:r w:rsidRPr="00D5209E">
        <w:rPr>
          <w:rFonts w:ascii="Arial" w:hAnsi="Arial" w:cs="Arial"/>
          <w:color w:val="000000"/>
          <w:sz w:val="22"/>
          <w:lang w:val="en-US"/>
        </w:rPr>
        <w:t xml:space="preserve">Adler, R.H. (2009) “Engel’s biopsychosocial model is still relevant today,” </w:t>
      </w:r>
      <w:r w:rsidRPr="00D5209E">
        <w:rPr>
          <w:rFonts w:ascii="Arial" w:hAnsi="Arial" w:cs="Arial"/>
          <w:i/>
          <w:iCs/>
          <w:color w:val="000000"/>
          <w:sz w:val="22"/>
          <w:lang w:val="en-US"/>
        </w:rPr>
        <w:t>Journal of Psychosomatic Research</w:t>
      </w:r>
      <w:r w:rsidRPr="00D5209E">
        <w:rPr>
          <w:rFonts w:ascii="Arial" w:hAnsi="Arial" w:cs="Arial"/>
          <w:color w:val="000000"/>
          <w:sz w:val="22"/>
          <w:lang w:val="en-US"/>
        </w:rPr>
        <w:t>, 67(6), pp. 607–611. Available at: https://doi.org/10.1016/j.jpsychores.2009.08.008.</w:t>
      </w:r>
    </w:p>
    <w:p w14:paraId="5F54E34A"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Aldridge-</w:t>
      </w:r>
      <w:proofErr w:type="spellStart"/>
      <w:r w:rsidRPr="00D5209E">
        <w:rPr>
          <w:rFonts w:ascii="Arial" w:hAnsi="Arial" w:cs="Arial"/>
          <w:color w:val="000000"/>
          <w:sz w:val="22"/>
          <w:lang w:val="en-US"/>
        </w:rPr>
        <w:t>Waddon</w:t>
      </w:r>
      <w:proofErr w:type="spellEnd"/>
      <w:r w:rsidRPr="00D5209E">
        <w:rPr>
          <w:rFonts w:ascii="Arial" w:hAnsi="Arial" w:cs="Arial"/>
          <w:color w:val="000000"/>
          <w:sz w:val="22"/>
          <w:lang w:val="en-US"/>
        </w:rPr>
        <w:t xml:space="preserve">, L.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(2026) “Clinical Psychology and Voice Disorders: A Meta-Analytic Review of Studies Assessing Psychological Characteristics Across Individuals </w:t>
      </w:r>
      <w:proofErr w:type="gramStart"/>
      <w:r w:rsidRPr="00D5209E">
        <w:rPr>
          <w:rFonts w:ascii="Arial" w:hAnsi="Arial" w:cs="Arial"/>
          <w:color w:val="000000"/>
          <w:sz w:val="22"/>
          <w:lang w:val="en-US"/>
        </w:rPr>
        <w:t>With</w:t>
      </w:r>
      <w:proofErr w:type="gramEnd"/>
      <w:r w:rsidRPr="00D5209E">
        <w:rPr>
          <w:rFonts w:ascii="Arial" w:hAnsi="Arial" w:cs="Arial"/>
          <w:color w:val="000000"/>
          <w:sz w:val="22"/>
          <w:lang w:val="en-US"/>
        </w:rPr>
        <w:t xml:space="preserve"> and Without Voice Disorders,” </w:t>
      </w:r>
      <w:r w:rsidRPr="00D5209E">
        <w:rPr>
          <w:rFonts w:ascii="Arial" w:hAnsi="Arial" w:cs="Arial"/>
          <w:i/>
          <w:iCs/>
          <w:color w:val="000000"/>
          <w:sz w:val="22"/>
          <w:lang w:val="en-US"/>
        </w:rPr>
        <w:t>Journal of Voice: Official Journal of the Voice Foundation</w:t>
      </w:r>
      <w:r w:rsidRPr="00D5209E">
        <w:rPr>
          <w:rFonts w:ascii="Arial" w:hAnsi="Arial" w:cs="Arial"/>
          <w:color w:val="000000"/>
          <w:sz w:val="22"/>
          <w:lang w:val="en-US"/>
        </w:rPr>
        <w:t>, 40(2), pp. 386–399. Available at: https://doi.org/10.1016/j.jvoice.2023.09.012.</w:t>
      </w:r>
    </w:p>
    <w:p w14:paraId="56A06A1E"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Anthropic (2026) “Claude.” (Sonnet). Available at: claude.ai.</w:t>
      </w:r>
    </w:p>
    <w:p w14:paraId="6313F1BD"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Aremu, S. (2026) “Psychophysiological Mechanisms Linking Psychological Stress to Functional Otolaryngological Symptoms: A Systematic Review and Meta-Analysis,” </w:t>
      </w:r>
      <w:r w:rsidRPr="00D5209E">
        <w:rPr>
          <w:rFonts w:ascii="Arial" w:hAnsi="Arial" w:cs="Arial"/>
          <w:i/>
          <w:iCs/>
          <w:color w:val="000000"/>
          <w:sz w:val="22"/>
          <w:lang w:val="en-US"/>
        </w:rPr>
        <w:t>Journal of African Tropical Medicine and Health</w:t>
      </w:r>
      <w:r w:rsidRPr="00D5209E">
        <w:rPr>
          <w:rFonts w:ascii="Arial" w:hAnsi="Arial" w:cs="Arial"/>
          <w:color w:val="000000"/>
          <w:sz w:val="22"/>
          <w:lang w:val="en-US"/>
        </w:rPr>
        <w:t>, 7(2), pp. 112–131. Available at: https://doi.org/10.5281/zenodo.19681983.</w:t>
      </w:r>
    </w:p>
    <w:p w14:paraId="0F2DCEA2"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i/>
          <w:iCs/>
          <w:color w:val="000000"/>
          <w:sz w:val="22"/>
          <w:lang w:val="en-US"/>
        </w:rPr>
        <w:t>ASHA</w:t>
      </w:r>
      <w:r w:rsidRPr="00D5209E">
        <w:rPr>
          <w:rFonts w:ascii="Arial" w:hAnsi="Arial" w:cs="Arial"/>
          <w:color w:val="000000"/>
          <w:sz w:val="22"/>
          <w:lang w:val="en-US"/>
        </w:rPr>
        <w:t xml:space="preserve"> (2024) </w:t>
      </w:r>
      <w:r w:rsidRPr="00D5209E">
        <w:rPr>
          <w:rFonts w:ascii="Arial" w:hAnsi="Arial" w:cs="Arial"/>
          <w:i/>
          <w:iCs/>
          <w:color w:val="000000"/>
          <w:sz w:val="22"/>
          <w:lang w:val="en-US"/>
        </w:rPr>
        <w:t>American Speech-Language-Hearing Association</w:t>
      </w:r>
      <w:r w:rsidRPr="00D5209E">
        <w:rPr>
          <w:rFonts w:ascii="Arial" w:hAnsi="Arial" w:cs="Arial"/>
          <w:color w:val="000000"/>
          <w:sz w:val="22"/>
          <w:lang w:val="en-US"/>
        </w:rPr>
        <w:t>. American Speech-Language-Hearing Association. Available at: https://www.asha.org/practice-portal/clinical-topics/voice-disorders/ (Accessed: May 12, 2026).</w:t>
      </w:r>
    </w:p>
    <w:p w14:paraId="6B5CD0B3"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Baxter, M.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(2019) “Multidisciplinary team clinic for vocal cord dysfunction directs therapy and significantly reduces healthcare utilization,” </w:t>
      </w:r>
      <w:r w:rsidRPr="00D5209E">
        <w:rPr>
          <w:rFonts w:ascii="Arial" w:hAnsi="Arial" w:cs="Arial"/>
          <w:i/>
          <w:iCs/>
          <w:color w:val="000000"/>
          <w:sz w:val="22"/>
          <w:lang w:val="en-US"/>
        </w:rPr>
        <w:t>Respirology</w:t>
      </w:r>
      <w:r w:rsidRPr="00D5209E">
        <w:rPr>
          <w:rFonts w:ascii="Arial" w:hAnsi="Arial" w:cs="Arial"/>
          <w:color w:val="000000"/>
          <w:sz w:val="22"/>
          <w:lang w:val="en-US"/>
        </w:rPr>
        <w:t>, 24(8), pp. 758–764. Available at: https://doi.org/10.1111/resp.13520.</w:t>
      </w:r>
    </w:p>
    <w:p w14:paraId="62BF578A"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Belafsky, P.C., Postma, G.N. and </w:t>
      </w:r>
      <w:proofErr w:type="spellStart"/>
      <w:r w:rsidRPr="00D5209E">
        <w:rPr>
          <w:rFonts w:ascii="Arial" w:hAnsi="Arial" w:cs="Arial"/>
          <w:color w:val="000000"/>
          <w:sz w:val="22"/>
          <w:lang w:val="en-US"/>
        </w:rPr>
        <w:t>Koufman</w:t>
      </w:r>
      <w:proofErr w:type="spellEnd"/>
      <w:r w:rsidRPr="00D5209E">
        <w:rPr>
          <w:rFonts w:ascii="Arial" w:hAnsi="Arial" w:cs="Arial"/>
          <w:color w:val="000000"/>
          <w:sz w:val="22"/>
          <w:lang w:val="en-US"/>
        </w:rPr>
        <w:t xml:space="preserve">, J.A. (2002) “Validity and reliability of the reflux symptom index (RSI),” </w:t>
      </w:r>
      <w:r w:rsidRPr="00D5209E">
        <w:rPr>
          <w:rFonts w:ascii="Arial" w:hAnsi="Arial" w:cs="Arial"/>
          <w:i/>
          <w:iCs/>
          <w:color w:val="000000"/>
          <w:sz w:val="22"/>
          <w:lang w:val="en-US"/>
        </w:rPr>
        <w:t>Journal of Voice: Official Journal of the Voice Foundation</w:t>
      </w:r>
      <w:r w:rsidRPr="00D5209E">
        <w:rPr>
          <w:rFonts w:ascii="Arial" w:hAnsi="Arial" w:cs="Arial"/>
          <w:color w:val="000000"/>
          <w:sz w:val="22"/>
          <w:lang w:val="en-US"/>
        </w:rPr>
        <w:t>, 16(2), pp. 274–277. Available at: https://doi.org/10.1016/s0892-1997(02)00097-8.</w:t>
      </w:r>
    </w:p>
    <w:p w14:paraId="618E345A"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Bingaman, H.M., Mauger, R.E. and Cantor-</w:t>
      </w:r>
      <w:proofErr w:type="spellStart"/>
      <w:r w:rsidRPr="00D5209E">
        <w:rPr>
          <w:rFonts w:ascii="Arial" w:hAnsi="Arial" w:cs="Arial"/>
          <w:color w:val="000000"/>
          <w:sz w:val="22"/>
          <w:lang w:val="en-US"/>
        </w:rPr>
        <w:t>Cutiva</w:t>
      </w:r>
      <w:proofErr w:type="spellEnd"/>
      <w:r w:rsidRPr="00D5209E">
        <w:rPr>
          <w:rFonts w:ascii="Arial" w:hAnsi="Arial" w:cs="Arial"/>
          <w:color w:val="000000"/>
          <w:sz w:val="22"/>
          <w:lang w:val="en-US"/>
        </w:rPr>
        <w:t xml:space="preserve">, L.C. (2026) “Relationship between Mental and Vocal Health in Occupational Voice Users: A Systematic Literature Review,” </w:t>
      </w:r>
      <w:r w:rsidRPr="00D5209E">
        <w:rPr>
          <w:rFonts w:ascii="Arial" w:hAnsi="Arial" w:cs="Arial"/>
          <w:i/>
          <w:iCs/>
          <w:color w:val="000000"/>
          <w:sz w:val="22"/>
          <w:lang w:val="en-US"/>
        </w:rPr>
        <w:t>Journal of Voice</w:t>
      </w:r>
      <w:r w:rsidRPr="00D5209E">
        <w:rPr>
          <w:rFonts w:ascii="Arial" w:hAnsi="Arial" w:cs="Arial"/>
          <w:color w:val="000000"/>
          <w:sz w:val="22"/>
          <w:lang w:val="en-US"/>
        </w:rPr>
        <w:t xml:space="preserve"> [Preprint]. Available at: https://doi.org/10.1016/j.jvoice.2026.03.039.</w:t>
      </w:r>
    </w:p>
    <w:p w14:paraId="277B5E21" w14:textId="77777777" w:rsidR="00D5209E" w:rsidRPr="00D5209E" w:rsidRDefault="00D5209E" w:rsidP="00D5209E">
      <w:pPr>
        <w:pStyle w:val="Bibliography"/>
        <w:rPr>
          <w:rFonts w:ascii="Arial" w:hAnsi="Arial" w:cs="Arial"/>
          <w:color w:val="000000"/>
          <w:sz w:val="22"/>
          <w:lang w:val="es-PR"/>
        </w:rPr>
      </w:pPr>
      <w:proofErr w:type="spellStart"/>
      <w:r w:rsidRPr="00D5209E">
        <w:rPr>
          <w:rFonts w:ascii="Arial" w:hAnsi="Arial" w:cs="Arial"/>
          <w:color w:val="000000"/>
          <w:sz w:val="22"/>
          <w:lang w:val="en-US"/>
        </w:rPr>
        <w:t>Braghetto</w:t>
      </w:r>
      <w:proofErr w:type="spellEnd"/>
      <w:r w:rsidRPr="00D5209E">
        <w:rPr>
          <w:rFonts w:ascii="Arial" w:hAnsi="Arial" w:cs="Arial"/>
          <w:color w:val="000000"/>
          <w:sz w:val="22"/>
          <w:lang w:val="en-US"/>
        </w:rPr>
        <w:t xml:space="preserve">, I. </w:t>
      </w:r>
      <w:r w:rsidRPr="00D5209E">
        <w:rPr>
          <w:rFonts w:ascii="Arial" w:hAnsi="Arial" w:cs="Arial"/>
          <w:i/>
          <w:iCs/>
          <w:color w:val="000000"/>
          <w:sz w:val="22"/>
          <w:lang w:val="en-US"/>
        </w:rPr>
        <w:t>et al.</w:t>
      </w:r>
      <w:r w:rsidRPr="00D5209E">
        <w:rPr>
          <w:rFonts w:ascii="Arial" w:hAnsi="Arial" w:cs="Arial"/>
          <w:color w:val="000000"/>
          <w:sz w:val="22"/>
          <w:lang w:val="en-US"/>
        </w:rPr>
        <w:t xml:space="preserve"> </w:t>
      </w:r>
      <w:r w:rsidRPr="00D5209E">
        <w:rPr>
          <w:rFonts w:ascii="Arial" w:hAnsi="Arial" w:cs="Arial"/>
          <w:color w:val="000000"/>
          <w:sz w:val="22"/>
          <w:lang w:val="es-PR"/>
        </w:rPr>
        <w:t xml:space="preserve">(2003) “Enfermedad por reflujo gastroesofágico como causa de daño laríngeo,” </w:t>
      </w:r>
      <w:r w:rsidRPr="00D5209E">
        <w:rPr>
          <w:rFonts w:ascii="Arial" w:hAnsi="Arial" w:cs="Arial"/>
          <w:i/>
          <w:iCs/>
          <w:color w:val="000000"/>
          <w:sz w:val="22"/>
          <w:lang w:val="es-PR"/>
        </w:rPr>
        <w:t>Revista de otorrinolaringología y cirugía de cabeza y cuello</w:t>
      </w:r>
      <w:r w:rsidRPr="00D5209E">
        <w:rPr>
          <w:rFonts w:ascii="Arial" w:hAnsi="Arial" w:cs="Arial"/>
          <w:color w:val="000000"/>
          <w:sz w:val="22"/>
          <w:lang w:val="es-PR"/>
        </w:rPr>
        <w:t>, 63, pp. 173–180.</w:t>
      </w:r>
    </w:p>
    <w:p w14:paraId="42D6CE03"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s-PR"/>
        </w:rPr>
        <w:t xml:space="preserve">Calvo-Henríquez, C. </w:t>
      </w:r>
      <w:r w:rsidRPr="00D5209E">
        <w:rPr>
          <w:rFonts w:ascii="Arial" w:hAnsi="Arial" w:cs="Arial"/>
          <w:i/>
          <w:iCs/>
          <w:color w:val="000000"/>
          <w:sz w:val="22"/>
          <w:lang w:val="es-PR"/>
        </w:rPr>
        <w:t>et al.</w:t>
      </w:r>
      <w:r w:rsidRPr="00D5209E">
        <w:rPr>
          <w:rFonts w:ascii="Arial" w:hAnsi="Arial" w:cs="Arial"/>
          <w:color w:val="000000"/>
          <w:sz w:val="22"/>
          <w:lang w:val="es-PR"/>
        </w:rPr>
        <w:t xml:space="preserve"> </w:t>
      </w:r>
      <w:r w:rsidRPr="00D5209E">
        <w:rPr>
          <w:rFonts w:ascii="Arial" w:hAnsi="Arial" w:cs="Arial"/>
          <w:color w:val="000000"/>
          <w:sz w:val="22"/>
          <w:lang w:val="en-US"/>
        </w:rPr>
        <w:t xml:space="preserve">(2019) “Translation and Validation of the Reflux Symptom Index to Spanish,” </w:t>
      </w:r>
      <w:r w:rsidRPr="00D5209E">
        <w:rPr>
          <w:rFonts w:ascii="Arial" w:hAnsi="Arial" w:cs="Arial"/>
          <w:i/>
          <w:iCs/>
          <w:color w:val="000000"/>
          <w:sz w:val="22"/>
          <w:lang w:val="en-US"/>
        </w:rPr>
        <w:t>Journal of Voice</w:t>
      </w:r>
      <w:r w:rsidRPr="00D5209E">
        <w:rPr>
          <w:rFonts w:ascii="Arial" w:hAnsi="Arial" w:cs="Arial"/>
          <w:color w:val="000000"/>
          <w:sz w:val="22"/>
          <w:lang w:val="en-US"/>
        </w:rPr>
        <w:t>, 33(5), p. 807.e1-807.e5. Available at: https://doi.org/10.1016/j.jvoice.2018.04.019.</w:t>
      </w:r>
    </w:p>
    <w:p w14:paraId="45AA2181"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Candy, L. and Edmonds, E. (2018) “Practice-Based Research in the Creative Arts: Foundations and Futures from the Front Line,” </w:t>
      </w:r>
      <w:r w:rsidRPr="00D5209E">
        <w:rPr>
          <w:rFonts w:ascii="Arial" w:hAnsi="Arial" w:cs="Arial"/>
          <w:i/>
          <w:iCs/>
          <w:color w:val="000000"/>
          <w:sz w:val="22"/>
          <w:lang w:val="en-US"/>
        </w:rPr>
        <w:t>Leonardo</w:t>
      </w:r>
      <w:r w:rsidRPr="00D5209E">
        <w:rPr>
          <w:rFonts w:ascii="Arial" w:hAnsi="Arial" w:cs="Arial"/>
          <w:color w:val="000000"/>
          <w:sz w:val="22"/>
          <w:lang w:val="en-US"/>
        </w:rPr>
        <w:t>, 51(1), pp. 63–69. Available at: https://doi.org/10.1162/LEON_a_01471.</w:t>
      </w:r>
    </w:p>
    <w:p w14:paraId="2AD43897" w14:textId="77777777" w:rsidR="00D5209E" w:rsidRDefault="00D5209E" w:rsidP="00D5209E">
      <w:pPr>
        <w:pStyle w:val="Bibliography"/>
        <w:rPr>
          <w:rFonts w:ascii="Arial" w:hAnsi="Arial" w:cs="Arial"/>
          <w:color w:val="000000"/>
          <w:sz w:val="22"/>
          <w:lang w:val="en-US"/>
        </w:rPr>
      </w:pPr>
      <w:proofErr w:type="spellStart"/>
      <w:r w:rsidRPr="00D5209E">
        <w:rPr>
          <w:rFonts w:ascii="Arial" w:hAnsi="Arial" w:cs="Arial"/>
          <w:color w:val="000000"/>
          <w:sz w:val="22"/>
          <w:lang w:val="en-US"/>
        </w:rPr>
        <w:t>Churruca</w:t>
      </w:r>
      <w:proofErr w:type="spellEnd"/>
      <w:r w:rsidRPr="00D5209E">
        <w:rPr>
          <w:rFonts w:ascii="Arial" w:hAnsi="Arial" w:cs="Arial"/>
          <w:color w:val="000000"/>
          <w:sz w:val="22"/>
          <w:lang w:val="en-US"/>
        </w:rPr>
        <w:t xml:space="preserve">, K.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(2021) “Patient‐reported outcome measures (PROMs): A review of generic and condition‐specific measures and a discussion of trends and issues,” </w:t>
      </w:r>
      <w:r w:rsidRPr="00D5209E">
        <w:rPr>
          <w:rFonts w:ascii="Arial" w:hAnsi="Arial" w:cs="Arial"/>
          <w:i/>
          <w:iCs/>
          <w:color w:val="000000"/>
          <w:sz w:val="22"/>
          <w:lang w:val="en-US"/>
        </w:rPr>
        <w:t xml:space="preserve">Health </w:t>
      </w:r>
      <w:proofErr w:type="gramStart"/>
      <w:r w:rsidRPr="00D5209E">
        <w:rPr>
          <w:rFonts w:ascii="Arial" w:hAnsi="Arial" w:cs="Arial"/>
          <w:i/>
          <w:iCs/>
          <w:color w:val="000000"/>
          <w:sz w:val="22"/>
          <w:lang w:val="en-US"/>
        </w:rPr>
        <w:t>Expectations :</w:t>
      </w:r>
      <w:proofErr w:type="gramEnd"/>
      <w:r w:rsidRPr="00D5209E">
        <w:rPr>
          <w:rFonts w:ascii="Arial" w:hAnsi="Arial" w:cs="Arial"/>
          <w:i/>
          <w:iCs/>
          <w:color w:val="000000"/>
          <w:sz w:val="22"/>
          <w:lang w:val="en-US"/>
        </w:rPr>
        <w:t xml:space="preserve"> An International Journal of Public Participation in Health Care and Health Policy</w:t>
      </w:r>
      <w:r w:rsidRPr="00D5209E">
        <w:rPr>
          <w:rFonts w:ascii="Arial" w:hAnsi="Arial" w:cs="Arial"/>
          <w:color w:val="000000"/>
          <w:sz w:val="22"/>
          <w:lang w:val="en-US"/>
        </w:rPr>
        <w:t>, 24(4), pp. 1015–1024. Available at: https://doi.org/10.1111/hex.13254.</w:t>
      </w:r>
    </w:p>
    <w:p w14:paraId="40CCFCE0" w14:textId="77777777" w:rsidR="00D5209E" w:rsidRPr="00D5209E" w:rsidRDefault="00D5209E" w:rsidP="00D5209E">
      <w:pPr>
        <w:rPr>
          <w:lang w:val="en-US"/>
        </w:rPr>
      </w:pPr>
    </w:p>
    <w:p w14:paraId="2A8BD3D2" w14:textId="77777777" w:rsidR="00D5209E" w:rsidRPr="00D5209E" w:rsidRDefault="00D5209E" w:rsidP="00D5209E">
      <w:pPr>
        <w:pStyle w:val="Bibliography"/>
        <w:rPr>
          <w:rFonts w:ascii="Arial" w:hAnsi="Arial" w:cs="Arial"/>
          <w:color w:val="000000"/>
          <w:sz w:val="22"/>
          <w:lang w:val="en-US"/>
        </w:rPr>
      </w:pPr>
      <w:proofErr w:type="spellStart"/>
      <w:r w:rsidRPr="00D5209E">
        <w:rPr>
          <w:rFonts w:ascii="Arial" w:hAnsi="Arial" w:cs="Arial"/>
          <w:color w:val="000000"/>
          <w:sz w:val="22"/>
          <w:lang w:val="en-US"/>
        </w:rPr>
        <w:lastRenderedPageBreak/>
        <w:t>Çırakoğlu</w:t>
      </w:r>
      <w:proofErr w:type="spellEnd"/>
      <w:r w:rsidRPr="00D5209E">
        <w:rPr>
          <w:rFonts w:ascii="Arial" w:hAnsi="Arial" w:cs="Arial"/>
          <w:color w:val="000000"/>
          <w:sz w:val="22"/>
          <w:lang w:val="en-US"/>
        </w:rPr>
        <w:t>, O.C. (2025) “Development of a performance anxiety scale for music students.” Available at: https://www.academia.edu/9581340/Development_of_a_performance_anxiety_scale_for_music_students (Accessed: April 15, 2026).</w:t>
      </w:r>
    </w:p>
    <w:p w14:paraId="5149E665"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Cohen, S.M.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(2007) “Creation and Validation of the Singing Voice Handicap Index,” </w:t>
      </w:r>
      <w:r w:rsidRPr="00D5209E">
        <w:rPr>
          <w:rFonts w:ascii="Arial" w:hAnsi="Arial" w:cs="Arial"/>
          <w:i/>
          <w:iCs/>
          <w:color w:val="000000"/>
          <w:sz w:val="22"/>
          <w:lang w:val="en-US"/>
        </w:rPr>
        <w:t>Annals of Otology, Rhinology &amp; Laryngology</w:t>
      </w:r>
      <w:r w:rsidRPr="00D5209E">
        <w:rPr>
          <w:rFonts w:ascii="Arial" w:hAnsi="Arial" w:cs="Arial"/>
          <w:color w:val="000000"/>
          <w:sz w:val="22"/>
          <w:lang w:val="en-US"/>
        </w:rPr>
        <w:t>, 116(6), pp. 402–406. Available at: https://doi.org/10.1177/000348940711600602.</w:t>
      </w:r>
    </w:p>
    <w:p w14:paraId="1B1898FF"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Cohen, S.M.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(2009) “Development and validation of the Singing Voice Handicap-10,” </w:t>
      </w:r>
      <w:r w:rsidRPr="00D5209E">
        <w:rPr>
          <w:rFonts w:ascii="Arial" w:hAnsi="Arial" w:cs="Arial"/>
          <w:i/>
          <w:iCs/>
          <w:color w:val="000000"/>
          <w:sz w:val="22"/>
          <w:lang w:val="en-US"/>
        </w:rPr>
        <w:t>The Laryngoscope</w:t>
      </w:r>
      <w:r w:rsidRPr="00D5209E">
        <w:rPr>
          <w:rFonts w:ascii="Arial" w:hAnsi="Arial" w:cs="Arial"/>
          <w:color w:val="000000"/>
          <w:sz w:val="22"/>
          <w:lang w:val="en-US"/>
        </w:rPr>
        <w:t>, 119(9), pp. 1864–1869. Available at: https://doi.org/10.1002/lary.20580.</w:t>
      </w:r>
    </w:p>
    <w:p w14:paraId="19B21C1F"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Delahunty, J.E. (1972) “Acid laryngitis,” </w:t>
      </w:r>
      <w:r w:rsidRPr="00D5209E">
        <w:rPr>
          <w:rFonts w:ascii="Arial" w:hAnsi="Arial" w:cs="Arial"/>
          <w:i/>
          <w:iCs/>
          <w:color w:val="000000"/>
          <w:sz w:val="22"/>
          <w:lang w:val="en-US"/>
        </w:rPr>
        <w:t>The Journal of Laryngology and Otology</w:t>
      </w:r>
      <w:r w:rsidRPr="00D5209E">
        <w:rPr>
          <w:rFonts w:ascii="Arial" w:hAnsi="Arial" w:cs="Arial"/>
          <w:color w:val="000000"/>
          <w:sz w:val="22"/>
          <w:lang w:val="en-US"/>
        </w:rPr>
        <w:t>, 86(4), pp. 335–342. Available at: https://doi.org/10.1017/s0022215100075356.</w:t>
      </w:r>
    </w:p>
    <w:p w14:paraId="60ED8E8D"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Demirci, A.N., </w:t>
      </w:r>
      <w:proofErr w:type="spellStart"/>
      <w:r w:rsidRPr="00D5209E">
        <w:rPr>
          <w:rFonts w:ascii="Arial" w:hAnsi="Arial" w:cs="Arial"/>
          <w:color w:val="000000"/>
          <w:sz w:val="22"/>
          <w:lang w:val="en-US"/>
        </w:rPr>
        <w:t>İncebay</w:t>
      </w:r>
      <w:proofErr w:type="spellEnd"/>
      <w:r w:rsidRPr="00D5209E">
        <w:rPr>
          <w:rFonts w:ascii="Arial" w:hAnsi="Arial" w:cs="Arial"/>
          <w:color w:val="000000"/>
          <w:sz w:val="22"/>
          <w:lang w:val="en-US"/>
        </w:rPr>
        <w:t xml:space="preserve">, Ö. and Köse, A. (2024) “Readability of Patient-Reported Outcome Measures Used in Voice Disorders,” </w:t>
      </w:r>
      <w:r w:rsidRPr="00D5209E">
        <w:rPr>
          <w:rFonts w:ascii="Arial" w:hAnsi="Arial" w:cs="Arial"/>
          <w:i/>
          <w:iCs/>
          <w:color w:val="000000"/>
          <w:sz w:val="22"/>
          <w:lang w:val="en-US"/>
        </w:rPr>
        <w:t>Journal of Voice</w:t>
      </w:r>
      <w:r w:rsidRPr="00D5209E">
        <w:rPr>
          <w:rFonts w:ascii="Arial" w:hAnsi="Arial" w:cs="Arial"/>
          <w:color w:val="000000"/>
          <w:sz w:val="22"/>
          <w:lang w:val="en-US"/>
        </w:rPr>
        <w:t xml:space="preserve"> [Preprint]. Available at: https://doi.org/10.1016/j.jvoice.2024.09.014.</w:t>
      </w:r>
    </w:p>
    <w:p w14:paraId="1482A765"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Diez-Quevedo, C.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(2001) “Validation and Utility of the Patient Health Questionnaire in Diagnosing Mental Disorders in 1003 General Hospital Spanish Inpatients,” </w:t>
      </w:r>
      <w:r w:rsidRPr="00D5209E">
        <w:rPr>
          <w:rFonts w:ascii="Arial" w:hAnsi="Arial" w:cs="Arial"/>
          <w:i/>
          <w:iCs/>
          <w:color w:val="000000"/>
          <w:sz w:val="22"/>
          <w:lang w:val="en-US"/>
        </w:rPr>
        <w:t>Biopsychosocial Science and Medicine</w:t>
      </w:r>
      <w:r w:rsidRPr="00D5209E">
        <w:rPr>
          <w:rFonts w:ascii="Arial" w:hAnsi="Arial" w:cs="Arial"/>
          <w:color w:val="000000"/>
          <w:sz w:val="22"/>
          <w:lang w:val="en-US"/>
        </w:rPr>
        <w:t>, 63(4), p. 679.</w:t>
      </w:r>
    </w:p>
    <w:p w14:paraId="735C7DF1"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Engel, G.L. (1977) “The need for a new medical model: a challenge for biomedicine,” </w:t>
      </w:r>
      <w:r w:rsidRPr="00D5209E">
        <w:rPr>
          <w:rFonts w:ascii="Arial" w:hAnsi="Arial" w:cs="Arial"/>
          <w:i/>
          <w:iCs/>
          <w:color w:val="000000"/>
          <w:sz w:val="22"/>
          <w:lang w:val="en-US"/>
        </w:rPr>
        <w:t>Science</w:t>
      </w:r>
      <w:r w:rsidRPr="00D5209E">
        <w:rPr>
          <w:rFonts w:ascii="Arial" w:hAnsi="Arial" w:cs="Arial"/>
          <w:color w:val="000000"/>
          <w:sz w:val="22"/>
          <w:lang w:val="en-US"/>
        </w:rPr>
        <w:t>, 196(4286), pp. 129–136. Available at: https://doi.org/10.1126/science.847460.</w:t>
      </w:r>
    </w:p>
    <w:p w14:paraId="3E5885DB"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Ferrari, R. (2015) “Writing narrative style literature reviews,” </w:t>
      </w:r>
      <w:r w:rsidRPr="00D5209E">
        <w:rPr>
          <w:rFonts w:ascii="Arial" w:hAnsi="Arial" w:cs="Arial"/>
          <w:i/>
          <w:iCs/>
          <w:color w:val="000000"/>
          <w:sz w:val="22"/>
          <w:lang w:val="en-US"/>
        </w:rPr>
        <w:t>Medical Writing</w:t>
      </w:r>
      <w:r w:rsidRPr="00D5209E">
        <w:rPr>
          <w:rFonts w:ascii="Arial" w:hAnsi="Arial" w:cs="Arial"/>
          <w:color w:val="000000"/>
          <w:sz w:val="22"/>
          <w:lang w:val="en-US"/>
        </w:rPr>
        <w:t>, 24, pp. 230–235. Available at: https://doi.org/10.1179/2047480615Z.000000000329.</w:t>
      </w:r>
    </w:p>
    <w:p w14:paraId="6513ED69"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Flock, L.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(2025) “Working Together to Find a Voice: Recommendations for Voice Healthcare Based on Expert-By-Experience and Practitioner Consensus,” </w:t>
      </w:r>
      <w:r w:rsidRPr="00D5209E">
        <w:rPr>
          <w:rFonts w:ascii="Arial" w:hAnsi="Arial" w:cs="Arial"/>
          <w:i/>
          <w:iCs/>
          <w:color w:val="000000"/>
          <w:sz w:val="22"/>
          <w:lang w:val="en-US"/>
        </w:rPr>
        <w:t>Journal of Voice</w:t>
      </w:r>
      <w:r w:rsidRPr="00D5209E">
        <w:rPr>
          <w:rFonts w:ascii="Arial" w:hAnsi="Arial" w:cs="Arial"/>
          <w:color w:val="000000"/>
          <w:sz w:val="22"/>
          <w:lang w:val="en-US"/>
        </w:rPr>
        <w:t>, 39(4), p. 1137.e9-1137.e17. Available at: https://doi.org/10.1016/j.jvoice.2023.02.023.</w:t>
      </w:r>
    </w:p>
    <w:p w14:paraId="4887C097" w14:textId="422C0E2C"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Francis, D.O.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(2017) “Voice-Related Patient-Reported Outcome Measures: A Systematic Review of Instrument Development and Validation,” </w:t>
      </w:r>
      <w:r w:rsidRPr="00D5209E">
        <w:rPr>
          <w:rFonts w:ascii="Arial" w:hAnsi="Arial" w:cs="Arial"/>
          <w:i/>
          <w:iCs/>
          <w:color w:val="000000"/>
          <w:sz w:val="22"/>
          <w:lang w:val="en-US"/>
        </w:rPr>
        <w:t xml:space="preserve">Journal of Speech, Language, and Hearing </w:t>
      </w:r>
      <w:proofErr w:type="gramStart"/>
      <w:r w:rsidRPr="00D5209E">
        <w:rPr>
          <w:rFonts w:ascii="Arial" w:hAnsi="Arial" w:cs="Arial"/>
          <w:i/>
          <w:iCs/>
          <w:color w:val="000000"/>
          <w:sz w:val="22"/>
          <w:lang w:val="en-US"/>
        </w:rPr>
        <w:t>Research :</w:t>
      </w:r>
      <w:proofErr w:type="gramEnd"/>
      <w:r w:rsidRPr="00D5209E">
        <w:rPr>
          <w:rFonts w:ascii="Arial" w:hAnsi="Arial" w:cs="Arial"/>
          <w:i/>
          <w:iCs/>
          <w:color w:val="000000"/>
          <w:sz w:val="22"/>
          <w:lang w:val="en-US"/>
        </w:rPr>
        <w:t xml:space="preserve"> JSLHR</w:t>
      </w:r>
      <w:r w:rsidRPr="00D5209E">
        <w:rPr>
          <w:rFonts w:ascii="Arial" w:hAnsi="Arial" w:cs="Arial"/>
          <w:color w:val="000000"/>
          <w:sz w:val="22"/>
          <w:lang w:val="en-US"/>
        </w:rPr>
        <w:t>, 60(1), pp. 62–88. Available at: https://doi.org/10.1044/2016_JSLHR-S-16-0022.</w:t>
      </w:r>
    </w:p>
    <w:p w14:paraId="2934310A"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s-PR"/>
        </w:rPr>
        <w:t xml:space="preserve">García-López, I. </w:t>
      </w:r>
      <w:r w:rsidRPr="00D5209E">
        <w:rPr>
          <w:rFonts w:ascii="Arial" w:hAnsi="Arial" w:cs="Arial"/>
          <w:i/>
          <w:iCs/>
          <w:color w:val="000000"/>
          <w:sz w:val="22"/>
          <w:lang w:val="es-PR"/>
        </w:rPr>
        <w:t>et al.</w:t>
      </w:r>
      <w:r w:rsidRPr="00D5209E">
        <w:rPr>
          <w:rFonts w:ascii="Arial" w:hAnsi="Arial" w:cs="Arial"/>
          <w:color w:val="000000"/>
          <w:sz w:val="22"/>
          <w:lang w:val="es-PR"/>
        </w:rPr>
        <w:t xml:space="preserve"> </w:t>
      </w:r>
      <w:r w:rsidRPr="00D5209E">
        <w:rPr>
          <w:rFonts w:ascii="Arial" w:hAnsi="Arial" w:cs="Arial"/>
          <w:color w:val="000000"/>
          <w:sz w:val="22"/>
          <w:lang w:val="en-US"/>
        </w:rPr>
        <w:t xml:space="preserve">(2010) “Validation of the Spanish version of the voice handicap index for vocal singing (SVHI),” </w:t>
      </w:r>
      <w:r w:rsidRPr="00D5209E">
        <w:rPr>
          <w:rFonts w:ascii="Arial" w:hAnsi="Arial" w:cs="Arial"/>
          <w:i/>
          <w:iCs/>
          <w:color w:val="000000"/>
          <w:sz w:val="22"/>
          <w:lang w:val="en-US"/>
        </w:rPr>
        <w:t xml:space="preserve">Acta </w:t>
      </w:r>
      <w:proofErr w:type="spellStart"/>
      <w:r w:rsidRPr="00D5209E">
        <w:rPr>
          <w:rFonts w:ascii="Arial" w:hAnsi="Arial" w:cs="Arial"/>
          <w:i/>
          <w:iCs/>
          <w:color w:val="000000"/>
          <w:sz w:val="22"/>
          <w:lang w:val="en-US"/>
        </w:rPr>
        <w:t>Otorrinolaringológica</w:t>
      </w:r>
      <w:proofErr w:type="spellEnd"/>
      <w:r w:rsidRPr="00D5209E">
        <w:rPr>
          <w:rFonts w:ascii="Arial" w:hAnsi="Arial" w:cs="Arial"/>
          <w:i/>
          <w:iCs/>
          <w:color w:val="000000"/>
          <w:sz w:val="22"/>
          <w:lang w:val="en-US"/>
        </w:rPr>
        <w:t xml:space="preserve"> Española</w:t>
      </w:r>
      <w:r w:rsidRPr="00D5209E">
        <w:rPr>
          <w:rFonts w:ascii="Arial" w:hAnsi="Arial" w:cs="Arial"/>
          <w:color w:val="000000"/>
          <w:sz w:val="22"/>
          <w:lang w:val="en-US"/>
        </w:rPr>
        <w:t>, 61(4), p. 247−254.</w:t>
      </w:r>
    </w:p>
    <w:p w14:paraId="01A74226"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Gardner, D.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(2025) “Validated patient reported outcome measures in speech-language pathology: A scoping review of adult practice,” </w:t>
      </w:r>
      <w:r w:rsidRPr="00D5209E">
        <w:rPr>
          <w:rFonts w:ascii="Arial" w:hAnsi="Arial" w:cs="Arial"/>
          <w:i/>
          <w:iCs/>
          <w:color w:val="000000"/>
          <w:sz w:val="22"/>
          <w:lang w:val="en-US"/>
        </w:rPr>
        <w:t>International Journal of Speech-Language Pathology</w:t>
      </w:r>
      <w:r w:rsidRPr="00D5209E">
        <w:rPr>
          <w:rFonts w:ascii="Arial" w:hAnsi="Arial" w:cs="Arial"/>
          <w:color w:val="000000"/>
          <w:sz w:val="22"/>
          <w:lang w:val="en-US"/>
        </w:rPr>
        <w:t>, 27(5), pp. 672–701. Available at: https://doi.org/10.1080/17549507.2024.2399236.</w:t>
      </w:r>
    </w:p>
    <w:p w14:paraId="08A16F52"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Gilbert, M.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(2022) “What Lawrence’s Story Tells Health Researchers About Arts-Based Interactions,” </w:t>
      </w:r>
      <w:r w:rsidRPr="00D5209E">
        <w:rPr>
          <w:rFonts w:ascii="Arial" w:hAnsi="Arial" w:cs="Arial"/>
          <w:i/>
          <w:iCs/>
          <w:color w:val="000000"/>
          <w:sz w:val="22"/>
          <w:lang w:val="en-US"/>
        </w:rPr>
        <w:t>AMA Journal of Ethics</w:t>
      </w:r>
      <w:r w:rsidRPr="00D5209E">
        <w:rPr>
          <w:rFonts w:ascii="Arial" w:hAnsi="Arial" w:cs="Arial"/>
          <w:color w:val="000000"/>
          <w:sz w:val="22"/>
          <w:lang w:val="en-US"/>
        </w:rPr>
        <w:t>, 24(7), pp. 646–656. Available at: https://doi.org/10.1001/amajethics.2022.646.</w:t>
      </w:r>
    </w:p>
    <w:p w14:paraId="34384328"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lastRenderedPageBreak/>
        <w:t xml:space="preserve">Grant, M. and Booth, A. (2009) “A typology of reviews: An analysis of 14 review types and associated </w:t>
      </w:r>
      <w:proofErr w:type="spellStart"/>
      <w:r w:rsidRPr="00D5209E">
        <w:rPr>
          <w:rFonts w:ascii="Arial" w:hAnsi="Arial" w:cs="Arial"/>
          <w:color w:val="000000"/>
          <w:sz w:val="22"/>
          <w:lang w:val="en-US"/>
        </w:rPr>
        <w:t>methologies</w:t>
      </w:r>
      <w:proofErr w:type="spellEnd"/>
      <w:r w:rsidRPr="00D5209E">
        <w:rPr>
          <w:rFonts w:ascii="Arial" w:hAnsi="Arial" w:cs="Arial"/>
          <w:color w:val="000000"/>
          <w:sz w:val="22"/>
          <w:lang w:val="en-US"/>
        </w:rPr>
        <w:t xml:space="preserve">,” </w:t>
      </w:r>
      <w:r w:rsidRPr="00D5209E">
        <w:rPr>
          <w:rFonts w:ascii="Arial" w:hAnsi="Arial" w:cs="Arial"/>
          <w:i/>
          <w:iCs/>
          <w:color w:val="000000"/>
          <w:sz w:val="22"/>
          <w:lang w:val="en-US"/>
        </w:rPr>
        <w:t>Health information and libraries journal</w:t>
      </w:r>
      <w:r w:rsidRPr="00D5209E">
        <w:rPr>
          <w:rFonts w:ascii="Arial" w:hAnsi="Arial" w:cs="Arial"/>
          <w:color w:val="000000"/>
          <w:sz w:val="22"/>
          <w:lang w:val="en-US"/>
        </w:rPr>
        <w:t>, 26, pp. 91–108. Available at: https://doi.org/10.1111/j.1471-1842.2009.00848.x.</w:t>
      </w:r>
    </w:p>
    <w:p w14:paraId="6D751482"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Handa, K.K. (2005) “Laryngopharyngeal reflux: Current opinion,” </w:t>
      </w:r>
      <w:r w:rsidRPr="00D5209E">
        <w:rPr>
          <w:rFonts w:ascii="Arial" w:hAnsi="Arial" w:cs="Arial"/>
          <w:i/>
          <w:iCs/>
          <w:color w:val="000000"/>
          <w:sz w:val="22"/>
          <w:lang w:val="en-US"/>
        </w:rPr>
        <w:t>Indian Journal of Otolaryngology and Head and Neck Surgery</w:t>
      </w:r>
      <w:r w:rsidRPr="00D5209E">
        <w:rPr>
          <w:rFonts w:ascii="Arial" w:hAnsi="Arial" w:cs="Arial"/>
          <w:color w:val="000000"/>
          <w:sz w:val="22"/>
          <w:lang w:val="en-US"/>
        </w:rPr>
        <w:t>, 57(3), pp. 267–270. Available at: https://doi.org/10.1007/BF03008032.</w:t>
      </w:r>
    </w:p>
    <w:p w14:paraId="3FA09F8C"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i/>
          <w:iCs/>
          <w:color w:val="000000"/>
          <w:sz w:val="22"/>
          <w:lang w:val="en-US"/>
        </w:rPr>
        <w:t>Humber and North Yorkshire Policy and Pathway Repository</w:t>
      </w:r>
      <w:r w:rsidRPr="00D5209E">
        <w:rPr>
          <w:rFonts w:ascii="Arial" w:hAnsi="Arial" w:cs="Arial"/>
          <w:color w:val="000000"/>
          <w:sz w:val="22"/>
          <w:lang w:val="en-US"/>
        </w:rPr>
        <w:t xml:space="preserve"> (2024) </w:t>
      </w:r>
      <w:r w:rsidRPr="00D5209E">
        <w:rPr>
          <w:rFonts w:ascii="Arial" w:hAnsi="Arial" w:cs="Arial"/>
          <w:i/>
          <w:iCs/>
          <w:color w:val="000000"/>
          <w:sz w:val="22"/>
          <w:lang w:val="en-US"/>
        </w:rPr>
        <w:t>Humber and North Yorkshire Health and Care Partnership</w:t>
      </w:r>
      <w:r w:rsidRPr="00D5209E">
        <w:rPr>
          <w:rFonts w:ascii="Arial" w:hAnsi="Arial" w:cs="Arial"/>
          <w:color w:val="000000"/>
          <w:sz w:val="22"/>
          <w:lang w:val="en-US"/>
        </w:rPr>
        <w:t>. Available at: https://hnyppr.org.uk/web/york/w/voice-problems-hoarseness-pathway (Accessed: May 12, 2026).</w:t>
      </w:r>
    </w:p>
    <w:p w14:paraId="101597B4"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Jacobson, B.H. </w:t>
      </w:r>
      <w:r w:rsidRPr="00D5209E">
        <w:rPr>
          <w:rFonts w:ascii="Arial" w:hAnsi="Arial" w:cs="Arial"/>
          <w:i/>
          <w:iCs/>
          <w:color w:val="000000"/>
          <w:sz w:val="22"/>
          <w:lang w:val="en-US"/>
        </w:rPr>
        <w:t>et al.</w:t>
      </w:r>
      <w:r w:rsidRPr="00D5209E">
        <w:rPr>
          <w:rFonts w:ascii="Arial" w:hAnsi="Arial" w:cs="Arial"/>
          <w:color w:val="000000"/>
          <w:sz w:val="22"/>
          <w:lang w:val="en-US"/>
        </w:rPr>
        <w:t xml:space="preserve"> (1997) “The Voice Handicap Index (VHI),” </w:t>
      </w:r>
      <w:r w:rsidRPr="00D5209E">
        <w:rPr>
          <w:rFonts w:ascii="Arial" w:hAnsi="Arial" w:cs="Arial"/>
          <w:i/>
          <w:iCs/>
          <w:color w:val="000000"/>
          <w:sz w:val="22"/>
          <w:lang w:val="en-US"/>
        </w:rPr>
        <w:t>American Journal of Speech-Language Pathology</w:t>
      </w:r>
      <w:r w:rsidRPr="00D5209E">
        <w:rPr>
          <w:rFonts w:ascii="Arial" w:hAnsi="Arial" w:cs="Arial"/>
          <w:color w:val="000000"/>
          <w:sz w:val="22"/>
          <w:lang w:val="en-US"/>
        </w:rPr>
        <w:t>, 6(3), pp. 66–70. Available at: https://doi.org/10.1044/1058-0360.0603.66.</w:t>
      </w:r>
    </w:p>
    <w:p w14:paraId="27697FB3"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Judson, T.J.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(2020) “Rapid design and implementation of an integrated patient self-triage and self-scheduling tool for COVID-19,” </w:t>
      </w:r>
      <w:r w:rsidRPr="00D5209E">
        <w:rPr>
          <w:rFonts w:ascii="Arial" w:hAnsi="Arial" w:cs="Arial"/>
          <w:i/>
          <w:iCs/>
          <w:color w:val="000000"/>
          <w:sz w:val="22"/>
          <w:lang w:val="en-US"/>
        </w:rPr>
        <w:t xml:space="preserve">Journal of the American Medical Informatics </w:t>
      </w:r>
      <w:proofErr w:type="gramStart"/>
      <w:r w:rsidRPr="00D5209E">
        <w:rPr>
          <w:rFonts w:ascii="Arial" w:hAnsi="Arial" w:cs="Arial"/>
          <w:i/>
          <w:iCs/>
          <w:color w:val="000000"/>
          <w:sz w:val="22"/>
          <w:lang w:val="en-US"/>
        </w:rPr>
        <w:t>Association :</w:t>
      </w:r>
      <w:proofErr w:type="gramEnd"/>
      <w:r w:rsidRPr="00D5209E">
        <w:rPr>
          <w:rFonts w:ascii="Arial" w:hAnsi="Arial" w:cs="Arial"/>
          <w:i/>
          <w:iCs/>
          <w:color w:val="000000"/>
          <w:sz w:val="22"/>
          <w:lang w:val="en-US"/>
        </w:rPr>
        <w:t xml:space="preserve"> JAMIA</w:t>
      </w:r>
      <w:r w:rsidRPr="00D5209E">
        <w:rPr>
          <w:rFonts w:ascii="Arial" w:hAnsi="Arial" w:cs="Arial"/>
          <w:color w:val="000000"/>
          <w:sz w:val="22"/>
          <w:lang w:val="en-US"/>
        </w:rPr>
        <w:t>, 27(6), pp. 860–866. Available at: https://doi.org/10.1093/jamia/ocaa051.</w:t>
      </w:r>
    </w:p>
    <w:p w14:paraId="1554CF6B"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Kenny, D.T. (2023) “The Kenny music performance anxiety inventory (K-MPAI): Scale construction, cross-cultural validation, theoretical underpinnings, and diagnostic and therapeutic utility,” </w:t>
      </w:r>
      <w:r w:rsidRPr="00D5209E">
        <w:rPr>
          <w:rFonts w:ascii="Arial" w:hAnsi="Arial" w:cs="Arial"/>
          <w:i/>
          <w:iCs/>
          <w:color w:val="000000"/>
          <w:sz w:val="22"/>
          <w:lang w:val="en-US"/>
        </w:rPr>
        <w:t>Frontiers in Psychology</w:t>
      </w:r>
      <w:r w:rsidRPr="00D5209E">
        <w:rPr>
          <w:rFonts w:ascii="Arial" w:hAnsi="Arial" w:cs="Arial"/>
          <w:color w:val="000000"/>
          <w:sz w:val="22"/>
          <w:lang w:val="en-US"/>
        </w:rPr>
        <w:t>, 14. Available at: https://doi.org/10.3389/fpsyg.2023.1143359.</w:t>
      </w:r>
    </w:p>
    <w:p w14:paraId="71A60A18" w14:textId="77777777" w:rsidR="00D5209E" w:rsidRPr="00D5209E" w:rsidRDefault="00D5209E" w:rsidP="00D5209E">
      <w:pPr>
        <w:pStyle w:val="Bibliography"/>
        <w:rPr>
          <w:rFonts w:ascii="Arial" w:hAnsi="Arial" w:cs="Arial"/>
          <w:color w:val="000000"/>
          <w:sz w:val="22"/>
          <w:lang w:val="en-US"/>
        </w:rPr>
      </w:pPr>
      <w:proofErr w:type="spellStart"/>
      <w:r w:rsidRPr="00D5209E">
        <w:rPr>
          <w:rFonts w:ascii="Arial" w:hAnsi="Arial" w:cs="Arial"/>
          <w:color w:val="000000"/>
          <w:sz w:val="22"/>
          <w:lang w:val="en-US"/>
        </w:rPr>
        <w:t>Kilmen</w:t>
      </w:r>
      <w:proofErr w:type="spellEnd"/>
      <w:r w:rsidRPr="00D5209E">
        <w:rPr>
          <w:rFonts w:ascii="Arial" w:hAnsi="Arial" w:cs="Arial"/>
          <w:color w:val="000000"/>
          <w:sz w:val="22"/>
          <w:lang w:val="en-US"/>
        </w:rPr>
        <w:t xml:space="preserve">, S. and Bulut, O. (2025) “Shortening Psychological Scales: Semantic Similarity Matters,” </w:t>
      </w:r>
      <w:r w:rsidRPr="00D5209E">
        <w:rPr>
          <w:rFonts w:ascii="Arial" w:hAnsi="Arial" w:cs="Arial"/>
          <w:i/>
          <w:iCs/>
          <w:color w:val="000000"/>
          <w:sz w:val="22"/>
          <w:lang w:val="en-US"/>
        </w:rPr>
        <w:t>Educational and Psychological Measurement</w:t>
      </w:r>
      <w:r w:rsidRPr="00D5209E">
        <w:rPr>
          <w:rFonts w:ascii="Arial" w:hAnsi="Arial" w:cs="Arial"/>
          <w:color w:val="000000"/>
          <w:sz w:val="22"/>
          <w:lang w:val="en-US"/>
        </w:rPr>
        <w:t>, 85(5), pp. 910–934. Available at: https://doi.org/10.1177/00131644251319047.</w:t>
      </w:r>
    </w:p>
    <w:p w14:paraId="09DE2CD7"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Kolb, D. (1984) </w:t>
      </w:r>
      <w:r w:rsidRPr="00D5209E">
        <w:rPr>
          <w:rFonts w:ascii="Arial" w:hAnsi="Arial" w:cs="Arial"/>
          <w:i/>
          <w:iCs/>
          <w:color w:val="000000"/>
          <w:sz w:val="22"/>
          <w:lang w:val="en-US"/>
        </w:rPr>
        <w:t xml:space="preserve">Experiential Learning: Experience </w:t>
      </w:r>
      <w:proofErr w:type="gramStart"/>
      <w:r w:rsidRPr="00D5209E">
        <w:rPr>
          <w:rFonts w:ascii="Arial" w:hAnsi="Arial" w:cs="Arial"/>
          <w:i/>
          <w:iCs/>
          <w:color w:val="000000"/>
          <w:sz w:val="22"/>
          <w:lang w:val="en-US"/>
        </w:rPr>
        <w:t>As</w:t>
      </w:r>
      <w:proofErr w:type="gramEnd"/>
      <w:r w:rsidRPr="00D5209E">
        <w:rPr>
          <w:rFonts w:ascii="Arial" w:hAnsi="Arial" w:cs="Arial"/>
          <w:i/>
          <w:iCs/>
          <w:color w:val="000000"/>
          <w:sz w:val="22"/>
          <w:lang w:val="en-US"/>
        </w:rPr>
        <w:t xml:space="preserve"> </w:t>
      </w:r>
      <w:proofErr w:type="gramStart"/>
      <w:r w:rsidRPr="00D5209E">
        <w:rPr>
          <w:rFonts w:ascii="Arial" w:hAnsi="Arial" w:cs="Arial"/>
          <w:i/>
          <w:iCs/>
          <w:color w:val="000000"/>
          <w:sz w:val="22"/>
          <w:lang w:val="en-US"/>
        </w:rPr>
        <w:t>The</w:t>
      </w:r>
      <w:proofErr w:type="gramEnd"/>
      <w:r w:rsidRPr="00D5209E">
        <w:rPr>
          <w:rFonts w:ascii="Arial" w:hAnsi="Arial" w:cs="Arial"/>
          <w:i/>
          <w:iCs/>
          <w:color w:val="000000"/>
          <w:sz w:val="22"/>
          <w:lang w:val="en-US"/>
        </w:rPr>
        <w:t xml:space="preserve"> Source </w:t>
      </w:r>
      <w:proofErr w:type="gramStart"/>
      <w:r w:rsidRPr="00D5209E">
        <w:rPr>
          <w:rFonts w:ascii="Arial" w:hAnsi="Arial" w:cs="Arial"/>
          <w:i/>
          <w:iCs/>
          <w:color w:val="000000"/>
          <w:sz w:val="22"/>
          <w:lang w:val="en-US"/>
        </w:rPr>
        <w:t>Of</w:t>
      </w:r>
      <w:proofErr w:type="gramEnd"/>
      <w:r w:rsidRPr="00D5209E">
        <w:rPr>
          <w:rFonts w:ascii="Arial" w:hAnsi="Arial" w:cs="Arial"/>
          <w:i/>
          <w:iCs/>
          <w:color w:val="000000"/>
          <w:sz w:val="22"/>
          <w:lang w:val="en-US"/>
        </w:rPr>
        <w:t xml:space="preserve"> Learning </w:t>
      </w:r>
      <w:proofErr w:type="gramStart"/>
      <w:r w:rsidRPr="00D5209E">
        <w:rPr>
          <w:rFonts w:ascii="Arial" w:hAnsi="Arial" w:cs="Arial"/>
          <w:i/>
          <w:iCs/>
          <w:color w:val="000000"/>
          <w:sz w:val="22"/>
          <w:lang w:val="en-US"/>
        </w:rPr>
        <w:t>And</w:t>
      </w:r>
      <w:proofErr w:type="gramEnd"/>
      <w:r w:rsidRPr="00D5209E">
        <w:rPr>
          <w:rFonts w:ascii="Arial" w:hAnsi="Arial" w:cs="Arial"/>
          <w:i/>
          <w:iCs/>
          <w:color w:val="000000"/>
          <w:sz w:val="22"/>
          <w:lang w:val="en-US"/>
        </w:rPr>
        <w:t xml:space="preserve"> Development</w:t>
      </w:r>
      <w:r w:rsidRPr="00D5209E">
        <w:rPr>
          <w:rFonts w:ascii="Arial" w:hAnsi="Arial" w:cs="Arial"/>
          <w:color w:val="000000"/>
          <w:sz w:val="22"/>
          <w:lang w:val="en-US"/>
        </w:rPr>
        <w:t xml:space="preserve">, </w:t>
      </w:r>
      <w:r w:rsidRPr="00D5209E">
        <w:rPr>
          <w:rFonts w:ascii="Arial" w:hAnsi="Arial" w:cs="Arial"/>
          <w:i/>
          <w:iCs/>
          <w:color w:val="000000"/>
          <w:sz w:val="22"/>
          <w:lang w:val="en-US"/>
        </w:rPr>
        <w:t>Journal of Business Ethics</w:t>
      </w:r>
      <w:r w:rsidRPr="00D5209E">
        <w:rPr>
          <w:rFonts w:ascii="Arial" w:hAnsi="Arial" w:cs="Arial"/>
          <w:color w:val="000000"/>
          <w:sz w:val="22"/>
          <w:lang w:val="en-US"/>
        </w:rPr>
        <w:t>.</w:t>
      </w:r>
    </w:p>
    <w:p w14:paraId="2B6AD9CC"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Korsunsky, S.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(2023) “Voice Hoarseness with Reflux as a Suspected Etiology: Incidence, Evaluation, Treatment, and Symptom Outcomes,” </w:t>
      </w:r>
      <w:r w:rsidRPr="00D5209E">
        <w:rPr>
          <w:rFonts w:ascii="Arial" w:hAnsi="Arial" w:cs="Arial"/>
          <w:i/>
          <w:iCs/>
          <w:color w:val="000000"/>
          <w:sz w:val="22"/>
          <w:lang w:val="en-US"/>
        </w:rPr>
        <w:t>Journal of Gastrointestinal Surgery</w:t>
      </w:r>
      <w:r w:rsidRPr="00D5209E">
        <w:rPr>
          <w:rFonts w:ascii="Arial" w:hAnsi="Arial" w:cs="Arial"/>
          <w:color w:val="000000"/>
          <w:sz w:val="22"/>
          <w:lang w:val="en-US"/>
        </w:rPr>
        <w:t>, 27. Available at: https://doi.org/10.1007/s11605-022-05574-9.</w:t>
      </w:r>
    </w:p>
    <w:p w14:paraId="3D322899"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Laukkanen, A.-M., Leppänen, K. and </w:t>
      </w:r>
      <w:proofErr w:type="spellStart"/>
      <w:r w:rsidRPr="00D5209E">
        <w:rPr>
          <w:rFonts w:ascii="Arial" w:hAnsi="Arial" w:cs="Arial"/>
          <w:color w:val="000000"/>
          <w:sz w:val="22"/>
          <w:lang w:val="en-US"/>
        </w:rPr>
        <w:t>Ilomaki</w:t>
      </w:r>
      <w:proofErr w:type="spellEnd"/>
      <w:r w:rsidRPr="00D5209E">
        <w:rPr>
          <w:rFonts w:ascii="Arial" w:hAnsi="Arial" w:cs="Arial"/>
          <w:color w:val="000000"/>
          <w:sz w:val="22"/>
          <w:lang w:val="en-US"/>
        </w:rPr>
        <w:t xml:space="preserve">, I. (2009) “Self-evaluation of voice as a treatment outcome measure,” </w:t>
      </w:r>
      <w:r w:rsidRPr="00D5209E">
        <w:rPr>
          <w:rFonts w:ascii="Arial" w:hAnsi="Arial" w:cs="Arial"/>
          <w:i/>
          <w:iCs/>
          <w:color w:val="000000"/>
          <w:sz w:val="22"/>
          <w:lang w:val="en-US"/>
        </w:rPr>
        <w:t xml:space="preserve">Folia </w:t>
      </w:r>
      <w:proofErr w:type="spellStart"/>
      <w:r w:rsidRPr="00D5209E">
        <w:rPr>
          <w:rFonts w:ascii="Arial" w:hAnsi="Arial" w:cs="Arial"/>
          <w:i/>
          <w:iCs/>
          <w:color w:val="000000"/>
          <w:sz w:val="22"/>
          <w:lang w:val="en-US"/>
        </w:rPr>
        <w:t>Phoniatrica</w:t>
      </w:r>
      <w:proofErr w:type="spellEnd"/>
      <w:r w:rsidRPr="00D5209E">
        <w:rPr>
          <w:rFonts w:ascii="Arial" w:hAnsi="Arial" w:cs="Arial"/>
          <w:i/>
          <w:iCs/>
          <w:color w:val="000000"/>
          <w:sz w:val="22"/>
          <w:lang w:val="en-US"/>
        </w:rPr>
        <w:t xml:space="preserve"> Et </w:t>
      </w:r>
      <w:proofErr w:type="spellStart"/>
      <w:r w:rsidRPr="00D5209E">
        <w:rPr>
          <w:rFonts w:ascii="Arial" w:hAnsi="Arial" w:cs="Arial"/>
          <w:i/>
          <w:iCs/>
          <w:color w:val="000000"/>
          <w:sz w:val="22"/>
          <w:lang w:val="en-US"/>
        </w:rPr>
        <w:t>Logopaedica</w:t>
      </w:r>
      <w:proofErr w:type="spellEnd"/>
      <w:r w:rsidRPr="00D5209E">
        <w:rPr>
          <w:rFonts w:ascii="Arial" w:hAnsi="Arial" w:cs="Arial"/>
          <w:i/>
          <w:iCs/>
          <w:color w:val="000000"/>
          <w:sz w:val="22"/>
          <w:lang w:val="en-US"/>
        </w:rPr>
        <w:t>: Official Organ of the International Association of Logopedics and Phoniatrics</w:t>
      </w:r>
      <w:r w:rsidRPr="00D5209E">
        <w:rPr>
          <w:rFonts w:ascii="Arial" w:hAnsi="Arial" w:cs="Arial"/>
          <w:color w:val="000000"/>
          <w:sz w:val="22"/>
          <w:lang w:val="en-US"/>
        </w:rPr>
        <w:t>, 61(1), pp. 57–65. Available at: https://doi.org/10.1159/000201000.</w:t>
      </w:r>
    </w:p>
    <w:p w14:paraId="484C45FB"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Lechien, J.R.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(2020) “Validity and reliability of the reflux symptom score,” </w:t>
      </w:r>
      <w:r w:rsidRPr="00D5209E">
        <w:rPr>
          <w:rFonts w:ascii="Arial" w:hAnsi="Arial" w:cs="Arial"/>
          <w:i/>
          <w:iCs/>
          <w:color w:val="000000"/>
          <w:sz w:val="22"/>
          <w:lang w:val="en-US"/>
        </w:rPr>
        <w:t>The Laryngoscope</w:t>
      </w:r>
      <w:r w:rsidRPr="00D5209E">
        <w:rPr>
          <w:rFonts w:ascii="Arial" w:hAnsi="Arial" w:cs="Arial"/>
          <w:color w:val="000000"/>
          <w:sz w:val="22"/>
          <w:lang w:val="en-US"/>
        </w:rPr>
        <w:t>, 130(3). Available at: https://doi.org/10.1002/lary.28017.</w:t>
      </w:r>
    </w:p>
    <w:p w14:paraId="31258434"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Marshall, C. (2010) “A Research Design for Studio-Based Research in Art,” </w:t>
      </w:r>
      <w:r w:rsidRPr="00D5209E">
        <w:rPr>
          <w:rFonts w:ascii="Arial" w:hAnsi="Arial" w:cs="Arial"/>
          <w:i/>
          <w:iCs/>
          <w:color w:val="000000"/>
          <w:sz w:val="22"/>
          <w:lang w:val="en-US"/>
        </w:rPr>
        <w:t>Teaching Artist Journal</w:t>
      </w:r>
      <w:r w:rsidRPr="00D5209E">
        <w:rPr>
          <w:rFonts w:ascii="Arial" w:hAnsi="Arial" w:cs="Arial"/>
          <w:color w:val="000000"/>
          <w:sz w:val="22"/>
          <w:lang w:val="en-US"/>
        </w:rPr>
        <w:t>, 8(2), pp. 77–87. Available at: https://doi.org/10.1080/15411791003618597.</w:t>
      </w:r>
    </w:p>
    <w:p w14:paraId="074D8673" w14:textId="77777777" w:rsidR="00D5209E" w:rsidRPr="00D5209E" w:rsidRDefault="00D5209E" w:rsidP="00D5209E">
      <w:pPr>
        <w:pStyle w:val="Bibliography"/>
        <w:rPr>
          <w:rFonts w:ascii="Arial" w:hAnsi="Arial" w:cs="Arial"/>
          <w:color w:val="000000"/>
          <w:sz w:val="22"/>
          <w:lang w:val="en-US"/>
        </w:rPr>
      </w:pPr>
      <w:proofErr w:type="spellStart"/>
      <w:r w:rsidRPr="00D5209E">
        <w:rPr>
          <w:rFonts w:ascii="Arial" w:hAnsi="Arial" w:cs="Arial"/>
          <w:color w:val="000000"/>
          <w:sz w:val="22"/>
          <w:lang w:val="en-US"/>
        </w:rPr>
        <w:t>Mazzarolo</w:t>
      </w:r>
      <w:proofErr w:type="spellEnd"/>
      <w:r w:rsidRPr="00D5209E">
        <w:rPr>
          <w:rFonts w:ascii="Arial" w:hAnsi="Arial" w:cs="Arial"/>
          <w:color w:val="000000"/>
          <w:sz w:val="22"/>
          <w:lang w:val="en-US"/>
        </w:rPr>
        <w:t xml:space="preserve">, I. and Schubert, E. (2022) “A Short Performance Anxiety Scale for Musicians,” </w:t>
      </w:r>
      <w:r w:rsidRPr="00D5209E">
        <w:rPr>
          <w:rFonts w:ascii="Arial" w:hAnsi="Arial" w:cs="Arial"/>
          <w:i/>
          <w:iCs/>
          <w:color w:val="000000"/>
          <w:sz w:val="22"/>
          <w:lang w:val="en-US"/>
        </w:rPr>
        <w:t>Frontiers in Psychology</w:t>
      </w:r>
      <w:r w:rsidRPr="00D5209E">
        <w:rPr>
          <w:rFonts w:ascii="Arial" w:hAnsi="Arial" w:cs="Arial"/>
          <w:color w:val="000000"/>
          <w:sz w:val="22"/>
          <w:lang w:val="en-US"/>
        </w:rPr>
        <w:t>, 12. Available at: https://doi.org/10.3389/fpsyg.2021.781262.</w:t>
      </w:r>
    </w:p>
    <w:p w14:paraId="442BAF29"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Misono, S.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(2016) “Multi</w:t>
      </w:r>
      <w:r w:rsidRPr="00D5209E">
        <w:rPr>
          <w:rFonts w:ascii="Cambria Math" w:hAnsi="Cambria Math" w:cs="Cambria Math"/>
          <w:color w:val="000000"/>
          <w:sz w:val="22"/>
          <w:lang w:val="en-US"/>
        </w:rPr>
        <w:t>‐</w:t>
      </w:r>
      <w:r w:rsidRPr="00D5209E">
        <w:rPr>
          <w:rFonts w:ascii="Arial" w:hAnsi="Arial" w:cs="Arial"/>
          <w:color w:val="000000"/>
          <w:sz w:val="22"/>
          <w:lang w:val="en-US"/>
        </w:rPr>
        <w:t xml:space="preserve">institutional Study of Voice Disorders and Voice Therapy Referral: Report from the CHEER Network,” </w:t>
      </w:r>
      <w:r w:rsidRPr="00D5209E">
        <w:rPr>
          <w:rFonts w:ascii="Arial" w:hAnsi="Arial" w:cs="Arial"/>
          <w:i/>
          <w:iCs/>
          <w:color w:val="000000"/>
          <w:sz w:val="22"/>
          <w:lang w:val="en-US"/>
        </w:rPr>
        <w:t>Otolaryngology–Head and Neck Surgery</w:t>
      </w:r>
      <w:r w:rsidRPr="00D5209E">
        <w:rPr>
          <w:rFonts w:ascii="Arial" w:hAnsi="Arial" w:cs="Arial"/>
          <w:color w:val="000000"/>
          <w:sz w:val="22"/>
          <w:lang w:val="en-US"/>
        </w:rPr>
        <w:t>, 155(1), pp. 33–41. Available at: https://doi.org/10.1177/0194599816639244.</w:t>
      </w:r>
    </w:p>
    <w:p w14:paraId="5AEB9960"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lastRenderedPageBreak/>
        <w:t xml:space="preserve">Moon, J. (1999) </w:t>
      </w:r>
      <w:r w:rsidRPr="00D5209E">
        <w:rPr>
          <w:rFonts w:ascii="Arial" w:hAnsi="Arial" w:cs="Arial"/>
          <w:i/>
          <w:iCs/>
          <w:color w:val="000000"/>
          <w:sz w:val="22"/>
          <w:lang w:val="en-US"/>
        </w:rPr>
        <w:t>Reflection in learning &amp; professional development</w:t>
      </w:r>
      <w:r w:rsidRPr="00D5209E">
        <w:rPr>
          <w:rFonts w:ascii="Arial" w:hAnsi="Arial" w:cs="Arial"/>
          <w:color w:val="000000"/>
          <w:sz w:val="22"/>
          <w:lang w:val="en-US"/>
        </w:rPr>
        <w:t>. 1st ed. Routledge.</w:t>
      </w:r>
    </w:p>
    <w:p w14:paraId="1B67DDC8"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Nelson, R. (2022) </w:t>
      </w:r>
      <w:r w:rsidRPr="00D5209E">
        <w:rPr>
          <w:rFonts w:ascii="Arial" w:hAnsi="Arial" w:cs="Arial"/>
          <w:i/>
          <w:iCs/>
          <w:color w:val="000000"/>
          <w:sz w:val="22"/>
          <w:lang w:val="en-US"/>
        </w:rPr>
        <w:t xml:space="preserve">Practice as Research in the Arts (and </w:t>
      </w:r>
      <w:proofErr w:type="gramStart"/>
      <w:r w:rsidRPr="00D5209E">
        <w:rPr>
          <w:rFonts w:ascii="Arial" w:hAnsi="Arial" w:cs="Arial"/>
          <w:i/>
          <w:iCs/>
          <w:color w:val="000000"/>
          <w:sz w:val="22"/>
          <w:lang w:val="en-US"/>
        </w:rPr>
        <w:t>Beyond</w:t>
      </w:r>
      <w:proofErr w:type="gramEnd"/>
      <w:r w:rsidRPr="00D5209E">
        <w:rPr>
          <w:rFonts w:ascii="Arial" w:hAnsi="Arial" w:cs="Arial"/>
          <w:i/>
          <w:iCs/>
          <w:color w:val="000000"/>
          <w:sz w:val="22"/>
          <w:lang w:val="en-US"/>
        </w:rPr>
        <w:t>): Principles, Processes, Contexts, Achievements</w:t>
      </w:r>
      <w:r w:rsidRPr="00D5209E">
        <w:rPr>
          <w:rFonts w:ascii="Arial" w:hAnsi="Arial" w:cs="Arial"/>
          <w:color w:val="000000"/>
          <w:sz w:val="22"/>
          <w:lang w:val="en-US"/>
        </w:rPr>
        <w:t>. Cham: Springer International Publishing. Available at: https://doi.org/10.1007/978-3-030-90542-2.</w:t>
      </w:r>
    </w:p>
    <w:p w14:paraId="7AB3F654" w14:textId="77777777" w:rsidR="00D5209E" w:rsidRPr="00D5209E" w:rsidRDefault="00D5209E" w:rsidP="00D5209E">
      <w:pPr>
        <w:pStyle w:val="Bibliography"/>
        <w:rPr>
          <w:rFonts w:ascii="Arial" w:hAnsi="Arial" w:cs="Arial"/>
          <w:color w:val="000000"/>
          <w:sz w:val="22"/>
          <w:lang w:val="es-PR"/>
        </w:rPr>
      </w:pPr>
      <w:r w:rsidRPr="00D5209E">
        <w:rPr>
          <w:rFonts w:ascii="Arial" w:hAnsi="Arial" w:cs="Arial"/>
          <w:color w:val="000000"/>
          <w:sz w:val="22"/>
          <w:lang w:val="en-US"/>
        </w:rPr>
        <w:t xml:space="preserve">Núñez-Batalla, F. </w:t>
      </w:r>
      <w:r w:rsidRPr="00D5209E">
        <w:rPr>
          <w:rFonts w:ascii="Arial" w:hAnsi="Arial" w:cs="Arial"/>
          <w:i/>
          <w:iCs/>
          <w:color w:val="000000"/>
          <w:sz w:val="22"/>
          <w:lang w:val="en-US"/>
        </w:rPr>
        <w:t>et al.</w:t>
      </w:r>
      <w:r w:rsidRPr="00D5209E">
        <w:rPr>
          <w:rFonts w:ascii="Arial" w:hAnsi="Arial" w:cs="Arial"/>
          <w:color w:val="000000"/>
          <w:sz w:val="22"/>
          <w:lang w:val="en-US"/>
        </w:rPr>
        <w:t xml:space="preserve"> </w:t>
      </w:r>
      <w:r w:rsidRPr="00D5209E">
        <w:rPr>
          <w:rFonts w:ascii="Arial" w:hAnsi="Arial" w:cs="Arial"/>
          <w:color w:val="000000"/>
          <w:sz w:val="22"/>
          <w:lang w:val="es-PR"/>
        </w:rPr>
        <w:t xml:space="preserve">(2007) “Adaptación y validación del índice de incapacidad vocal (VHI-30) y su versión abreviada (VHI-10) al español,” </w:t>
      </w:r>
      <w:r w:rsidRPr="00D5209E">
        <w:rPr>
          <w:rFonts w:ascii="Arial" w:hAnsi="Arial" w:cs="Arial"/>
          <w:i/>
          <w:iCs/>
          <w:color w:val="000000"/>
          <w:sz w:val="22"/>
          <w:lang w:val="es-PR"/>
        </w:rPr>
        <w:t>Acta Otorrinolaringológica Española</w:t>
      </w:r>
      <w:r w:rsidRPr="00D5209E">
        <w:rPr>
          <w:rFonts w:ascii="Arial" w:hAnsi="Arial" w:cs="Arial"/>
          <w:color w:val="000000"/>
          <w:sz w:val="22"/>
          <w:lang w:val="es-PR"/>
        </w:rPr>
        <w:t>, 58(9), pp. 386–392. Available at: https://doi.org/10.1016/S0001-6519(07)74954-3.</w:t>
      </w:r>
    </w:p>
    <w:p w14:paraId="64FDE8F4"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Pariser, D. (2009) “Arts-Based Research: Trojan Horses and Shibboleths. The Liabilities of a Hybrid Research Approach,” </w:t>
      </w:r>
      <w:r w:rsidRPr="00D5209E">
        <w:rPr>
          <w:rFonts w:ascii="Arial" w:hAnsi="Arial" w:cs="Arial"/>
          <w:i/>
          <w:iCs/>
          <w:color w:val="000000"/>
          <w:sz w:val="22"/>
          <w:lang w:val="en-US"/>
        </w:rPr>
        <w:t>Canadian Review of Art Education: Research and Issues</w:t>
      </w:r>
      <w:r w:rsidRPr="00D5209E">
        <w:rPr>
          <w:rFonts w:ascii="Arial" w:hAnsi="Arial" w:cs="Arial"/>
          <w:color w:val="000000"/>
          <w:sz w:val="22"/>
          <w:lang w:val="en-US"/>
        </w:rPr>
        <w:t>, 36, pp. 1–18.</w:t>
      </w:r>
    </w:p>
    <w:p w14:paraId="7BDEBCF7"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s-PR"/>
        </w:rPr>
        <w:t xml:space="preserve">Perrin, C.E. </w:t>
      </w:r>
      <w:r w:rsidRPr="00D5209E">
        <w:rPr>
          <w:rFonts w:ascii="Arial" w:hAnsi="Arial" w:cs="Arial"/>
          <w:i/>
          <w:iCs/>
          <w:color w:val="000000"/>
          <w:sz w:val="22"/>
          <w:lang w:val="es-PR"/>
        </w:rPr>
        <w:t>et al.</w:t>
      </w:r>
      <w:r w:rsidRPr="00D5209E">
        <w:rPr>
          <w:rFonts w:ascii="Arial" w:hAnsi="Arial" w:cs="Arial"/>
          <w:color w:val="000000"/>
          <w:sz w:val="22"/>
          <w:lang w:val="es-PR"/>
        </w:rPr>
        <w:t xml:space="preserve"> </w:t>
      </w:r>
      <w:r w:rsidRPr="00D5209E">
        <w:rPr>
          <w:rFonts w:ascii="Arial" w:hAnsi="Arial" w:cs="Arial"/>
          <w:color w:val="000000"/>
          <w:sz w:val="22"/>
          <w:lang w:val="en-US"/>
        </w:rPr>
        <w:t xml:space="preserve">(2025) “Singing Voice Handicap Index-10 Minimal Clinically Important Difference: A Prospective Determination,” </w:t>
      </w:r>
      <w:r w:rsidRPr="00D5209E">
        <w:rPr>
          <w:rFonts w:ascii="Arial" w:hAnsi="Arial" w:cs="Arial"/>
          <w:i/>
          <w:iCs/>
          <w:color w:val="000000"/>
          <w:sz w:val="22"/>
          <w:lang w:val="en-US"/>
        </w:rPr>
        <w:t>The Laryngoscope</w:t>
      </w:r>
      <w:r w:rsidRPr="00D5209E">
        <w:rPr>
          <w:rFonts w:ascii="Arial" w:hAnsi="Arial" w:cs="Arial"/>
          <w:color w:val="000000"/>
          <w:sz w:val="22"/>
          <w:lang w:val="en-US"/>
        </w:rPr>
        <w:t>, 135(2), pp. 752–757. Available at: https://doi.org/10.1002/lary.31808.</w:t>
      </w:r>
    </w:p>
    <w:p w14:paraId="2B045840"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Rajput, J.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(2025) “Voice Outcomes in Patients </w:t>
      </w:r>
      <w:proofErr w:type="gramStart"/>
      <w:r w:rsidRPr="00D5209E">
        <w:rPr>
          <w:rFonts w:ascii="Arial" w:hAnsi="Arial" w:cs="Arial"/>
          <w:color w:val="000000"/>
          <w:sz w:val="22"/>
          <w:lang w:val="en-US"/>
        </w:rPr>
        <w:t>With</w:t>
      </w:r>
      <w:proofErr w:type="gramEnd"/>
      <w:r w:rsidRPr="00D5209E">
        <w:rPr>
          <w:rFonts w:ascii="Arial" w:hAnsi="Arial" w:cs="Arial"/>
          <w:color w:val="000000"/>
          <w:sz w:val="22"/>
          <w:lang w:val="en-US"/>
        </w:rPr>
        <w:t xml:space="preserve"> Laryngopharyngeal Reflux: A Systematic Review and Meta-Analysis,” </w:t>
      </w:r>
      <w:proofErr w:type="spellStart"/>
      <w:r w:rsidRPr="00D5209E">
        <w:rPr>
          <w:rFonts w:ascii="Arial" w:hAnsi="Arial" w:cs="Arial"/>
          <w:i/>
          <w:iCs/>
          <w:color w:val="000000"/>
          <w:sz w:val="22"/>
          <w:lang w:val="en-US"/>
        </w:rPr>
        <w:t>Cureus</w:t>
      </w:r>
      <w:proofErr w:type="spellEnd"/>
      <w:r w:rsidRPr="00D5209E">
        <w:rPr>
          <w:rFonts w:ascii="Arial" w:hAnsi="Arial" w:cs="Arial"/>
          <w:color w:val="000000"/>
          <w:sz w:val="22"/>
          <w:lang w:val="en-US"/>
        </w:rPr>
        <w:t>, 17(8), p. e90357. Available at: https://doi.org/10.7759/cureus.90357.</w:t>
      </w:r>
    </w:p>
    <w:p w14:paraId="60BA674A"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Ramachandran, A.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(2025) “Voice Related Coping in Professional Voice Users-A Systematic Review,” </w:t>
      </w:r>
      <w:r w:rsidRPr="00D5209E">
        <w:rPr>
          <w:rFonts w:ascii="Arial" w:hAnsi="Arial" w:cs="Arial"/>
          <w:i/>
          <w:iCs/>
          <w:color w:val="000000"/>
          <w:sz w:val="22"/>
          <w:lang w:val="en-US"/>
        </w:rPr>
        <w:t>Journal of Voice</w:t>
      </w:r>
      <w:r w:rsidRPr="00D5209E">
        <w:rPr>
          <w:rFonts w:ascii="Arial" w:hAnsi="Arial" w:cs="Arial"/>
          <w:color w:val="000000"/>
          <w:sz w:val="22"/>
          <w:lang w:val="en-US"/>
        </w:rPr>
        <w:t>, 39(2), p. 562.e17-562.e31. Available at: https://doi.org/10.1016/j.jvoice.2022.08.024.</w:t>
      </w:r>
    </w:p>
    <w:p w14:paraId="6A196C21"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Renk, E.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(2017) “VHI-10 and SVHI-10 Differences in Singers’ Self-perception of Dysphonia Severity,” </w:t>
      </w:r>
      <w:r w:rsidRPr="00D5209E">
        <w:rPr>
          <w:rFonts w:ascii="Arial" w:hAnsi="Arial" w:cs="Arial"/>
          <w:i/>
          <w:iCs/>
          <w:color w:val="000000"/>
          <w:sz w:val="22"/>
          <w:lang w:val="en-US"/>
        </w:rPr>
        <w:t>Journal of Voice</w:t>
      </w:r>
      <w:r w:rsidRPr="00D5209E">
        <w:rPr>
          <w:rFonts w:ascii="Arial" w:hAnsi="Arial" w:cs="Arial"/>
          <w:color w:val="000000"/>
          <w:sz w:val="22"/>
          <w:lang w:val="en-US"/>
        </w:rPr>
        <w:t>, 31(3), p. 383.e1-383.e4. Available at: https://doi.org/10.1016/j.jvoice.2016.08.017.</w:t>
      </w:r>
    </w:p>
    <w:p w14:paraId="6C561D8E"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Ring, S.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(2025) “National Trends in Treatment of Acute Unilateral Vocal Fold Paralysis at Tertiary Care Voice Centers,” </w:t>
      </w:r>
      <w:r w:rsidRPr="00D5209E">
        <w:rPr>
          <w:rFonts w:ascii="Arial" w:hAnsi="Arial" w:cs="Arial"/>
          <w:i/>
          <w:iCs/>
          <w:color w:val="000000"/>
          <w:sz w:val="22"/>
          <w:lang w:val="en-US"/>
        </w:rPr>
        <w:t>Laryngoscope Investigative Otolaryngology</w:t>
      </w:r>
      <w:r w:rsidRPr="00D5209E">
        <w:rPr>
          <w:rFonts w:ascii="Arial" w:hAnsi="Arial" w:cs="Arial"/>
          <w:color w:val="000000"/>
          <w:sz w:val="22"/>
          <w:lang w:val="en-US"/>
        </w:rPr>
        <w:t>, 10(2). Available at: https://doi.org/10.1002/lio2.70135.</w:t>
      </w:r>
    </w:p>
    <w:p w14:paraId="3EB8BC2F"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Rosen, C.A.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(2004) “Development and Validation of the Voice Handicap Index-10,” </w:t>
      </w:r>
      <w:r w:rsidRPr="00D5209E">
        <w:rPr>
          <w:rFonts w:ascii="Arial" w:hAnsi="Arial" w:cs="Arial"/>
          <w:i/>
          <w:iCs/>
          <w:color w:val="000000"/>
          <w:sz w:val="22"/>
          <w:lang w:val="en-US"/>
        </w:rPr>
        <w:t>The Laryngoscope</w:t>
      </w:r>
      <w:r w:rsidRPr="00D5209E">
        <w:rPr>
          <w:rFonts w:ascii="Arial" w:hAnsi="Arial" w:cs="Arial"/>
          <w:color w:val="000000"/>
          <w:sz w:val="22"/>
          <w:lang w:val="en-US"/>
        </w:rPr>
        <w:t>, 114(9), pp. 1549–1556. Available at: https://doi.org/10.1097/00005537-200409000-00009.</w:t>
      </w:r>
    </w:p>
    <w:p w14:paraId="50182A9E"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Roy, N.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(2013) “Evidence-based clinical voice assessment: a systematic review,” </w:t>
      </w:r>
      <w:r w:rsidRPr="00D5209E">
        <w:rPr>
          <w:rFonts w:ascii="Arial" w:hAnsi="Arial" w:cs="Arial"/>
          <w:i/>
          <w:iCs/>
          <w:color w:val="000000"/>
          <w:sz w:val="22"/>
          <w:lang w:val="en-US"/>
        </w:rPr>
        <w:t>American Journal of Speech-Language Pathology</w:t>
      </w:r>
      <w:r w:rsidRPr="00D5209E">
        <w:rPr>
          <w:rFonts w:ascii="Arial" w:hAnsi="Arial" w:cs="Arial"/>
          <w:color w:val="000000"/>
          <w:sz w:val="22"/>
          <w:lang w:val="en-US"/>
        </w:rPr>
        <w:t>, 22(2), pp. 212–226. Available at: https://doi.org/10.1044/1058-0360(2012/12-0014).</w:t>
      </w:r>
    </w:p>
    <w:p w14:paraId="4A27DD8B"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Sataloff, R.T., Hawkshaw, M.J. and Sataloff, J.B. (2022) “Professional Voice Users: An Overview of Medical Disorders and Treatments,” in A. Hamdan, R.T. Sataloff, and M.J. Hawkshaw (eds.) </w:t>
      </w:r>
      <w:r w:rsidRPr="00D5209E">
        <w:rPr>
          <w:rFonts w:ascii="Arial" w:hAnsi="Arial" w:cs="Arial"/>
          <w:i/>
          <w:iCs/>
          <w:color w:val="000000"/>
          <w:sz w:val="22"/>
          <w:lang w:val="en-US"/>
        </w:rPr>
        <w:t>Office-Based Laryngeal Surgery</w:t>
      </w:r>
      <w:r w:rsidRPr="00D5209E">
        <w:rPr>
          <w:rFonts w:ascii="Arial" w:hAnsi="Arial" w:cs="Arial"/>
          <w:color w:val="000000"/>
          <w:sz w:val="22"/>
          <w:lang w:val="en-US"/>
        </w:rPr>
        <w:t>. Cham: Springer International Publishing, pp. 59–97. Available at: https://doi.org/10.1007/978-3-030-91936-8_4.</w:t>
      </w:r>
    </w:p>
    <w:p w14:paraId="766AF7C8"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Schneider, G.T., </w:t>
      </w:r>
      <w:proofErr w:type="spellStart"/>
      <w:r w:rsidRPr="00D5209E">
        <w:rPr>
          <w:rFonts w:ascii="Arial" w:hAnsi="Arial" w:cs="Arial"/>
          <w:color w:val="000000"/>
          <w:sz w:val="22"/>
          <w:lang w:val="en-US"/>
        </w:rPr>
        <w:t>Vaezi</w:t>
      </w:r>
      <w:proofErr w:type="spellEnd"/>
      <w:r w:rsidRPr="00D5209E">
        <w:rPr>
          <w:rFonts w:ascii="Arial" w:hAnsi="Arial" w:cs="Arial"/>
          <w:color w:val="000000"/>
          <w:sz w:val="22"/>
          <w:lang w:val="en-US"/>
        </w:rPr>
        <w:t xml:space="preserve">, M.F. and Francis, D.O. (2016) “Reflux and Voice Disorders: Have We Established </w:t>
      </w:r>
      <w:proofErr w:type="gramStart"/>
      <w:r w:rsidRPr="00D5209E">
        <w:rPr>
          <w:rFonts w:ascii="Arial" w:hAnsi="Arial" w:cs="Arial"/>
          <w:color w:val="000000"/>
          <w:sz w:val="22"/>
          <w:lang w:val="en-US"/>
        </w:rPr>
        <w:t>Causality?,</w:t>
      </w:r>
      <w:proofErr w:type="gramEnd"/>
      <w:r w:rsidRPr="00D5209E">
        <w:rPr>
          <w:rFonts w:ascii="Arial" w:hAnsi="Arial" w:cs="Arial"/>
          <w:color w:val="000000"/>
          <w:sz w:val="22"/>
          <w:lang w:val="en-US"/>
        </w:rPr>
        <w:t xml:space="preserve">” </w:t>
      </w:r>
      <w:r w:rsidRPr="00D5209E">
        <w:rPr>
          <w:rFonts w:ascii="Arial" w:hAnsi="Arial" w:cs="Arial"/>
          <w:i/>
          <w:iCs/>
          <w:color w:val="000000"/>
          <w:sz w:val="22"/>
          <w:lang w:val="en-US"/>
        </w:rPr>
        <w:t>Current otorhinolaryngology reports</w:t>
      </w:r>
      <w:r w:rsidRPr="00D5209E">
        <w:rPr>
          <w:rFonts w:ascii="Arial" w:hAnsi="Arial" w:cs="Arial"/>
          <w:color w:val="000000"/>
          <w:sz w:val="22"/>
          <w:lang w:val="en-US"/>
        </w:rPr>
        <w:t>, 4(3), pp. 157–167. Available at: https://doi.org/10.1007/s40136-016-0121-5.</w:t>
      </w:r>
    </w:p>
    <w:p w14:paraId="00B0AF24"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lastRenderedPageBreak/>
        <w:t xml:space="preserve">Schon, D. (2011) “The Reflective Practitioner: How Professionals Think </w:t>
      </w:r>
      <w:proofErr w:type="gramStart"/>
      <w:r w:rsidRPr="00D5209E">
        <w:rPr>
          <w:rFonts w:ascii="Arial" w:hAnsi="Arial" w:cs="Arial"/>
          <w:color w:val="000000"/>
          <w:sz w:val="22"/>
          <w:lang w:val="en-US"/>
        </w:rPr>
        <w:t>In</w:t>
      </w:r>
      <w:proofErr w:type="gramEnd"/>
      <w:r w:rsidRPr="00D5209E">
        <w:rPr>
          <w:rFonts w:ascii="Arial" w:hAnsi="Arial" w:cs="Arial"/>
          <w:color w:val="000000"/>
          <w:sz w:val="22"/>
          <w:lang w:val="en-US"/>
        </w:rPr>
        <w:t xml:space="preserve"> Action,” </w:t>
      </w:r>
      <w:r w:rsidRPr="00D5209E">
        <w:rPr>
          <w:rFonts w:ascii="Arial" w:hAnsi="Arial" w:cs="Arial"/>
          <w:i/>
          <w:iCs/>
          <w:color w:val="000000"/>
          <w:sz w:val="22"/>
          <w:lang w:val="en-US"/>
        </w:rPr>
        <w:t>The Journal of Continuing Higher Education</w:t>
      </w:r>
      <w:r w:rsidRPr="00D5209E">
        <w:rPr>
          <w:rFonts w:ascii="Arial" w:hAnsi="Arial" w:cs="Arial"/>
          <w:color w:val="000000"/>
          <w:sz w:val="22"/>
          <w:lang w:val="en-US"/>
        </w:rPr>
        <w:t>, 34. Available at: https://doi.org/10.1080/07377366.1986.10401080.</w:t>
      </w:r>
    </w:p>
    <w:p w14:paraId="153BB8BF"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Schön, D.A. (2009) </w:t>
      </w:r>
      <w:r w:rsidRPr="00D5209E">
        <w:rPr>
          <w:rFonts w:ascii="Arial" w:hAnsi="Arial" w:cs="Arial"/>
          <w:i/>
          <w:iCs/>
          <w:color w:val="000000"/>
          <w:sz w:val="22"/>
          <w:lang w:val="en-US"/>
        </w:rPr>
        <w:t>The reflective practitioner: how professionals think in action</w:t>
      </w:r>
      <w:r w:rsidRPr="00D5209E">
        <w:rPr>
          <w:rFonts w:ascii="Arial" w:hAnsi="Arial" w:cs="Arial"/>
          <w:color w:val="000000"/>
          <w:sz w:val="22"/>
          <w:lang w:val="en-US"/>
        </w:rPr>
        <w:t>. New York: Basic Books.</w:t>
      </w:r>
    </w:p>
    <w:p w14:paraId="2F2B2180"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Smith, H. and Dean, R.T. (2009) </w:t>
      </w:r>
      <w:r w:rsidRPr="00D5209E">
        <w:rPr>
          <w:rFonts w:ascii="Arial" w:hAnsi="Arial" w:cs="Arial"/>
          <w:i/>
          <w:iCs/>
          <w:color w:val="000000"/>
          <w:sz w:val="22"/>
          <w:lang w:val="en-US"/>
        </w:rPr>
        <w:t>Practice-led Research, Research-led Practice in the Creative Arts</w:t>
      </w:r>
      <w:r w:rsidRPr="00D5209E">
        <w:rPr>
          <w:rFonts w:ascii="Arial" w:hAnsi="Arial" w:cs="Arial"/>
          <w:color w:val="000000"/>
          <w:sz w:val="22"/>
          <w:lang w:val="en-US"/>
        </w:rPr>
        <w:t>. Edinburgh University Press.</w:t>
      </w:r>
    </w:p>
    <w:p w14:paraId="24B0EDA0"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Sobol, M., Sielska-</w:t>
      </w:r>
      <w:proofErr w:type="spellStart"/>
      <w:r w:rsidRPr="00D5209E">
        <w:rPr>
          <w:rFonts w:ascii="Arial" w:hAnsi="Arial" w:cs="Arial"/>
          <w:color w:val="000000"/>
          <w:sz w:val="22"/>
          <w:lang w:val="en-US"/>
        </w:rPr>
        <w:t>Badurek</w:t>
      </w:r>
      <w:proofErr w:type="spellEnd"/>
      <w:r w:rsidRPr="00D5209E">
        <w:rPr>
          <w:rFonts w:ascii="Arial" w:hAnsi="Arial" w:cs="Arial"/>
          <w:color w:val="000000"/>
          <w:sz w:val="22"/>
          <w:lang w:val="en-US"/>
        </w:rPr>
        <w:t>, E.M. and Osuch-</w:t>
      </w:r>
      <w:proofErr w:type="spellStart"/>
      <w:r w:rsidRPr="00D5209E">
        <w:rPr>
          <w:rFonts w:ascii="Arial" w:hAnsi="Arial" w:cs="Arial"/>
          <w:color w:val="000000"/>
          <w:sz w:val="22"/>
          <w:lang w:val="en-US"/>
        </w:rPr>
        <w:t>Wójcikiewicz</w:t>
      </w:r>
      <w:proofErr w:type="spellEnd"/>
      <w:r w:rsidRPr="00D5209E">
        <w:rPr>
          <w:rFonts w:ascii="Arial" w:hAnsi="Arial" w:cs="Arial"/>
          <w:color w:val="000000"/>
          <w:sz w:val="22"/>
          <w:lang w:val="en-US"/>
        </w:rPr>
        <w:t xml:space="preserve">, E. (2019) “Normative values for singing voice handicap index – systematic review and meta-analysis,” </w:t>
      </w:r>
      <w:r w:rsidRPr="00D5209E">
        <w:rPr>
          <w:rFonts w:ascii="Arial" w:hAnsi="Arial" w:cs="Arial"/>
          <w:i/>
          <w:iCs/>
          <w:color w:val="000000"/>
          <w:sz w:val="22"/>
          <w:lang w:val="en-US"/>
        </w:rPr>
        <w:t>Brazilian Journal of Otorhinolaryngology</w:t>
      </w:r>
      <w:r w:rsidRPr="00D5209E">
        <w:rPr>
          <w:rFonts w:ascii="Arial" w:hAnsi="Arial" w:cs="Arial"/>
          <w:color w:val="000000"/>
          <w:sz w:val="22"/>
          <w:lang w:val="en-US"/>
        </w:rPr>
        <w:t>, 86(4), pp. 497–501. Available at: https://doi.org/10.1016/j.bjorl.2018.12.004.</w:t>
      </w:r>
    </w:p>
    <w:p w14:paraId="3298E536"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Spina, A.L.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(2015) “Correlation between voice and life quality and occupation,” </w:t>
      </w:r>
      <w:r w:rsidRPr="00D5209E">
        <w:rPr>
          <w:rFonts w:ascii="Arial" w:hAnsi="Arial" w:cs="Arial"/>
          <w:i/>
          <w:iCs/>
          <w:color w:val="000000"/>
          <w:sz w:val="22"/>
          <w:lang w:val="en-US"/>
        </w:rPr>
        <w:t>Brazilian Journal of Otorhinolaryngology</w:t>
      </w:r>
      <w:r w:rsidRPr="00D5209E">
        <w:rPr>
          <w:rFonts w:ascii="Arial" w:hAnsi="Arial" w:cs="Arial"/>
          <w:color w:val="000000"/>
          <w:sz w:val="22"/>
          <w:lang w:val="en-US"/>
        </w:rPr>
        <w:t>, 75(2), pp. 275–279. Available at: https://doi.org/10.1016/S1808-8694(15)30790-4.</w:t>
      </w:r>
    </w:p>
    <w:p w14:paraId="2E9E0ECA" w14:textId="77777777" w:rsidR="00D5209E" w:rsidRPr="00D5209E" w:rsidRDefault="00D5209E" w:rsidP="00D5209E">
      <w:pPr>
        <w:pStyle w:val="Bibliography"/>
        <w:rPr>
          <w:rFonts w:ascii="Arial" w:hAnsi="Arial" w:cs="Arial"/>
          <w:color w:val="000000"/>
          <w:sz w:val="22"/>
          <w:lang w:val="es-PR"/>
        </w:rPr>
      </w:pPr>
      <w:r w:rsidRPr="00D5209E">
        <w:rPr>
          <w:rFonts w:ascii="Arial" w:hAnsi="Arial" w:cs="Arial"/>
          <w:color w:val="000000"/>
          <w:sz w:val="22"/>
          <w:lang w:val="en-US"/>
        </w:rPr>
        <w:t xml:space="preserve">Spitzer, R.L.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(2006) “A Brief Measure for Assessing Generalized Anxiety Disorder: The GAD-7,” </w:t>
      </w:r>
      <w:r w:rsidRPr="00D5209E">
        <w:rPr>
          <w:rFonts w:ascii="Arial" w:hAnsi="Arial" w:cs="Arial"/>
          <w:i/>
          <w:iCs/>
          <w:color w:val="000000"/>
          <w:sz w:val="22"/>
          <w:lang w:val="en-US"/>
        </w:rPr>
        <w:t>Archives of Internal Medicine</w:t>
      </w:r>
      <w:r w:rsidRPr="00D5209E">
        <w:rPr>
          <w:rFonts w:ascii="Arial" w:hAnsi="Arial" w:cs="Arial"/>
          <w:color w:val="000000"/>
          <w:sz w:val="22"/>
          <w:lang w:val="en-US"/>
        </w:rPr>
        <w:t xml:space="preserve">, 166(10), p. 1092. </w:t>
      </w:r>
      <w:r w:rsidRPr="00D5209E">
        <w:rPr>
          <w:rFonts w:ascii="Arial" w:hAnsi="Arial" w:cs="Arial"/>
          <w:color w:val="000000"/>
          <w:sz w:val="22"/>
          <w:lang w:val="es-PR"/>
        </w:rPr>
        <w:t>Available at: https://doi.org/10.1001/archinte.166.10.1092.</w:t>
      </w:r>
    </w:p>
    <w:p w14:paraId="00AA2621"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s-PR"/>
        </w:rPr>
        <w:t xml:space="preserve">Spuler Fernández, I., Correa Forno, S. and Azevedo, R.R. (2023) “Adaptación lingüística y cultural al español chileno del cuestionario de autovaloración vocal para cantantes Singing Voice Handicap Index (S-VHI),” </w:t>
      </w:r>
      <w:r w:rsidRPr="00D5209E">
        <w:rPr>
          <w:rFonts w:ascii="Arial" w:hAnsi="Arial" w:cs="Arial"/>
          <w:i/>
          <w:iCs/>
          <w:color w:val="000000"/>
          <w:sz w:val="22"/>
          <w:lang w:val="es-PR"/>
        </w:rPr>
        <w:t>Revista de Investigación e Innovación en Ciencias de la Salud</w:t>
      </w:r>
      <w:r w:rsidRPr="00D5209E">
        <w:rPr>
          <w:rFonts w:ascii="Arial" w:hAnsi="Arial" w:cs="Arial"/>
          <w:color w:val="000000"/>
          <w:sz w:val="22"/>
          <w:lang w:val="es-PR"/>
        </w:rPr>
        <w:t xml:space="preserve">, 5(2), pp. 129–148. </w:t>
      </w:r>
      <w:r w:rsidRPr="00D5209E">
        <w:rPr>
          <w:rFonts w:ascii="Arial" w:hAnsi="Arial" w:cs="Arial"/>
          <w:color w:val="000000"/>
          <w:sz w:val="22"/>
          <w:lang w:val="en-US"/>
        </w:rPr>
        <w:t>Available at: https://doi.org/10.46634/riics.242.</w:t>
      </w:r>
    </w:p>
    <w:p w14:paraId="1A856771"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Stachler, R.J.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(2018) “Clinical Practice Guideline: Hoarseness (Dysphonia) (Update),” </w:t>
      </w:r>
      <w:r w:rsidRPr="00D5209E">
        <w:rPr>
          <w:rFonts w:ascii="Arial" w:hAnsi="Arial" w:cs="Arial"/>
          <w:i/>
          <w:iCs/>
          <w:color w:val="000000"/>
          <w:sz w:val="22"/>
          <w:lang w:val="en-US"/>
        </w:rPr>
        <w:t>Otolaryngology–Head and Neck Surgery</w:t>
      </w:r>
      <w:r w:rsidRPr="00D5209E">
        <w:rPr>
          <w:rFonts w:ascii="Arial" w:hAnsi="Arial" w:cs="Arial"/>
          <w:color w:val="000000"/>
          <w:sz w:val="22"/>
          <w:lang w:val="en-US"/>
        </w:rPr>
        <w:t>, 158(S1). Available at: https://doi.org/10.1177/0194599817751030.</w:t>
      </w:r>
    </w:p>
    <w:p w14:paraId="0ADE12AA"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Starmer, H.M.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(2014) “Attendance in Voice Therapy: Can an Interdisciplinary Care Model Have an </w:t>
      </w:r>
      <w:proofErr w:type="gramStart"/>
      <w:r w:rsidRPr="00D5209E">
        <w:rPr>
          <w:rFonts w:ascii="Arial" w:hAnsi="Arial" w:cs="Arial"/>
          <w:color w:val="000000"/>
          <w:sz w:val="22"/>
          <w:lang w:val="en-US"/>
        </w:rPr>
        <w:t>Impact?,</w:t>
      </w:r>
      <w:proofErr w:type="gramEnd"/>
      <w:r w:rsidRPr="00D5209E">
        <w:rPr>
          <w:rFonts w:ascii="Arial" w:hAnsi="Arial" w:cs="Arial"/>
          <w:color w:val="000000"/>
          <w:sz w:val="22"/>
          <w:lang w:val="en-US"/>
        </w:rPr>
        <w:t xml:space="preserve">” </w:t>
      </w:r>
      <w:r w:rsidRPr="00D5209E">
        <w:rPr>
          <w:rFonts w:ascii="Arial" w:hAnsi="Arial" w:cs="Arial"/>
          <w:i/>
          <w:iCs/>
          <w:color w:val="000000"/>
          <w:sz w:val="22"/>
          <w:lang w:val="en-US"/>
        </w:rPr>
        <w:t>Annals of Otology, Rhinology &amp; Laryngology</w:t>
      </w:r>
      <w:r w:rsidRPr="00D5209E">
        <w:rPr>
          <w:rFonts w:ascii="Arial" w:hAnsi="Arial" w:cs="Arial"/>
          <w:color w:val="000000"/>
          <w:sz w:val="22"/>
          <w:lang w:val="en-US"/>
        </w:rPr>
        <w:t>, 123(2), pp. 117–123. Available at: https://doi.org/10.1177/0003489414523708.</w:t>
      </w:r>
    </w:p>
    <w:p w14:paraId="047EB85D"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Unsworth, H.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(2021) “The NICE Evidence Standards Framework for digital health and care technologies - Developing and maintaining an innovative evidence framework with global impact,” </w:t>
      </w:r>
      <w:r w:rsidRPr="00D5209E">
        <w:rPr>
          <w:rFonts w:ascii="Arial" w:hAnsi="Arial" w:cs="Arial"/>
          <w:i/>
          <w:iCs/>
          <w:color w:val="000000"/>
          <w:sz w:val="22"/>
          <w:lang w:val="en-US"/>
        </w:rPr>
        <w:t>Digital Health</w:t>
      </w:r>
      <w:r w:rsidRPr="00D5209E">
        <w:rPr>
          <w:rFonts w:ascii="Arial" w:hAnsi="Arial" w:cs="Arial"/>
          <w:color w:val="000000"/>
          <w:sz w:val="22"/>
          <w:lang w:val="en-US"/>
        </w:rPr>
        <w:t>, 7, p. 20552076211018617. Available at: https://doi.org/10.1177/20552076211018617.</w:t>
      </w:r>
    </w:p>
    <w:p w14:paraId="0C736888"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Wade, D. and Halligan, P. (2017) “The biopsychosocial model of illness: a model whose time has come,” </w:t>
      </w:r>
      <w:r w:rsidRPr="00D5209E">
        <w:rPr>
          <w:rFonts w:ascii="Arial" w:hAnsi="Arial" w:cs="Arial"/>
          <w:i/>
          <w:iCs/>
          <w:color w:val="000000"/>
          <w:sz w:val="22"/>
          <w:lang w:val="en-US"/>
        </w:rPr>
        <w:t>Clinical Rehabilitation</w:t>
      </w:r>
      <w:r w:rsidRPr="00D5209E">
        <w:rPr>
          <w:rFonts w:ascii="Arial" w:hAnsi="Arial" w:cs="Arial"/>
          <w:color w:val="000000"/>
          <w:sz w:val="22"/>
          <w:lang w:val="en-US"/>
        </w:rPr>
        <w:t>, 31, pp. 995–1004. Available at: https://doi.org/10.1177/0269215517709890.</w:t>
      </w:r>
    </w:p>
    <w:p w14:paraId="427DEB58"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Wiedemann, A. </w:t>
      </w:r>
      <w:r w:rsidRPr="00D5209E">
        <w:rPr>
          <w:rFonts w:ascii="Arial" w:hAnsi="Arial" w:cs="Arial"/>
          <w:i/>
          <w:iCs/>
          <w:color w:val="000000"/>
          <w:sz w:val="22"/>
          <w:lang w:val="en-US"/>
        </w:rPr>
        <w:t>et al.</w:t>
      </w:r>
      <w:r w:rsidRPr="00D5209E">
        <w:rPr>
          <w:rFonts w:ascii="Arial" w:hAnsi="Arial" w:cs="Arial"/>
          <w:color w:val="000000"/>
          <w:sz w:val="22"/>
          <w:lang w:val="en-US"/>
        </w:rPr>
        <w:t xml:space="preserve"> (2022) “How does music performance anxiety relate to other anxiety </w:t>
      </w:r>
      <w:proofErr w:type="gramStart"/>
      <w:r w:rsidRPr="00D5209E">
        <w:rPr>
          <w:rFonts w:ascii="Arial" w:hAnsi="Arial" w:cs="Arial"/>
          <w:color w:val="000000"/>
          <w:sz w:val="22"/>
          <w:lang w:val="en-US"/>
        </w:rPr>
        <w:t>disorders?,</w:t>
      </w:r>
      <w:proofErr w:type="gramEnd"/>
      <w:r w:rsidRPr="00D5209E">
        <w:rPr>
          <w:rFonts w:ascii="Arial" w:hAnsi="Arial" w:cs="Arial"/>
          <w:color w:val="000000"/>
          <w:sz w:val="22"/>
          <w:lang w:val="en-US"/>
        </w:rPr>
        <w:t xml:space="preserve">” </w:t>
      </w:r>
      <w:r w:rsidRPr="00D5209E">
        <w:rPr>
          <w:rFonts w:ascii="Arial" w:hAnsi="Arial" w:cs="Arial"/>
          <w:i/>
          <w:iCs/>
          <w:color w:val="000000"/>
          <w:sz w:val="22"/>
          <w:lang w:val="en-US"/>
        </w:rPr>
        <w:t>Psychology of Music</w:t>
      </w:r>
      <w:r w:rsidRPr="00D5209E">
        <w:rPr>
          <w:rFonts w:ascii="Arial" w:hAnsi="Arial" w:cs="Arial"/>
          <w:color w:val="000000"/>
          <w:sz w:val="22"/>
          <w:lang w:val="en-US"/>
        </w:rPr>
        <w:t>, 50(1), pp. 204–217. Available at: https://doi.org/10.1177/0305735620988600.</w:t>
      </w:r>
    </w:p>
    <w:p w14:paraId="73BA62D0" w14:textId="77777777" w:rsidR="00D5209E" w:rsidRPr="00D5209E" w:rsidRDefault="00D5209E" w:rsidP="00D5209E">
      <w:pPr>
        <w:pStyle w:val="Bibliography"/>
        <w:rPr>
          <w:rFonts w:ascii="Arial" w:hAnsi="Arial" w:cs="Arial"/>
          <w:color w:val="000000"/>
          <w:sz w:val="22"/>
          <w:lang w:val="en-US"/>
        </w:rPr>
      </w:pPr>
      <w:r w:rsidRPr="00D5209E">
        <w:rPr>
          <w:rFonts w:ascii="Arial" w:hAnsi="Arial" w:cs="Arial"/>
          <w:color w:val="000000"/>
          <w:sz w:val="22"/>
          <w:lang w:val="en-US"/>
        </w:rPr>
        <w:t xml:space="preserve">World Health Organization (1980) </w:t>
      </w:r>
      <w:r w:rsidRPr="00D5209E">
        <w:rPr>
          <w:rFonts w:ascii="Arial" w:hAnsi="Arial" w:cs="Arial"/>
          <w:i/>
          <w:iCs/>
          <w:color w:val="000000"/>
          <w:sz w:val="22"/>
          <w:lang w:val="en-US"/>
        </w:rPr>
        <w:t>International classification of impairments, disabilities, and handicaps: a manual of classification relating to the consequences of disease</w:t>
      </w:r>
      <w:r w:rsidRPr="00D5209E">
        <w:rPr>
          <w:rFonts w:ascii="Arial" w:hAnsi="Arial" w:cs="Arial"/>
          <w:color w:val="000000"/>
          <w:sz w:val="22"/>
          <w:lang w:val="en-US"/>
        </w:rPr>
        <w:t xml:space="preserve">. Twenty-ninth </w:t>
      </w:r>
      <w:r w:rsidRPr="00D5209E">
        <w:rPr>
          <w:rFonts w:ascii="Arial" w:hAnsi="Arial" w:cs="Arial"/>
          <w:color w:val="000000"/>
          <w:sz w:val="22"/>
          <w:lang w:val="en-US"/>
        </w:rPr>
        <w:lastRenderedPageBreak/>
        <w:t>World Health Assembly resolution WHA29. 35. Geneva: World Health Organization. Available at: https://iris.who.int/server/api/core/bitstreams/50556222-5563-44a8-b0db-fd08c6943f29/content (Accessed: May 17, 2026).</w:t>
      </w:r>
    </w:p>
    <w:p w14:paraId="623F6610" w14:textId="506DA937" w:rsidR="00550EF6" w:rsidRDefault="00D5209E" w:rsidP="00201074">
      <w:pPr>
        <w:pStyle w:val="Bibliography"/>
        <w:rPr>
          <w:rFonts w:ascii="Arial" w:eastAsiaTheme="majorEastAsia" w:hAnsi="Arial" w:cs="Arial"/>
          <w:b/>
          <w:bCs/>
          <w:color w:val="000000" w:themeColor="text1"/>
          <w:sz w:val="22"/>
          <w:szCs w:val="22"/>
        </w:rPr>
      </w:pPr>
      <w:r>
        <w:rPr>
          <w:rFonts w:ascii="Arial" w:eastAsiaTheme="majorEastAsia" w:hAnsi="Arial" w:cs="Arial"/>
          <w:b/>
          <w:bCs/>
          <w:color w:val="000000" w:themeColor="text1"/>
          <w:sz w:val="22"/>
          <w:szCs w:val="22"/>
        </w:rPr>
        <w:fldChar w:fldCharType="end"/>
      </w:r>
    </w:p>
    <w:p w14:paraId="3F04F281" w14:textId="77777777" w:rsidR="00550EF6" w:rsidRDefault="00550EF6" w:rsidP="00B9255E">
      <w:pPr>
        <w:spacing w:after="0" w:line="360" w:lineRule="auto"/>
        <w:rPr>
          <w:rFonts w:ascii="Arial" w:eastAsiaTheme="majorEastAsia" w:hAnsi="Arial" w:cs="Arial"/>
          <w:b/>
          <w:bCs/>
          <w:color w:val="000000" w:themeColor="text1"/>
          <w:sz w:val="22"/>
          <w:szCs w:val="22"/>
        </w:rPr>
      </w:pPr>
    </w:p>
    <w:p w14:paraId="7F831695" w14:textId="153464D1" w:rsidR="00D35FDF" w:rsidRDefault="00D35FDF" w:rsidP="004300F8">
      <w:pPr>
        <w:spacing w:after="0" w:line="360" w:lineRule="auto"/>
        <w:rPr>
          <w:rFonts w:ascii="Arial" w:hAnsi="Arial" w:cs="Arial"/>
          <w:b/>
          <w:bCs/>
          <w:color w:val="000000" w:themeColor="text1"/>
          <w:sz w:val="22"/>
          <w:szCs w:val="22"/>
        </w:rPr>
      </w:pPr>
      <w:r>
        <w:rPr>
          <w:rFonts w:ascii="Arial" w:hAnsi="Arial" w:cs="Arial"/>
          <w:b/>
          <w:bCs/>
          <w:color w:val="000000" w:themeColor="text1"/>
          <w:sz w:val="22"/>
          <w:szCs w:val="22"/>
        </w:rPr>
        <w:t>Appendix</w:t>
      </w:r>
      <w:r w:rsidR="00FE472D">
        <w:rPr>
          <w:rFonts w:ascii="Arial" w:hAnsi="Arial" w:cs="Arial"/>
          <w:b/>
          <w:bCs/>
          <w:color w:val="000000" w:themeColor="text1"/>
          <w:sz w:val="22"/>
          <w:szCs w:val="22"/>
        </w:rPr>
        <w:t xml:space="preserve"> 1</w:t>
      </w:r>
      <w:r>
        <w:rPr>
          <w:rFonts w:ascii="Arial" w:hAnsi="Arial" w:cs="Arial"/>
          <w:b/>
          <w:bCs/>
          <w:color w:val="000000" w:themeColor="text1"/>
          <w:sz w:val="22"/>
          <w:szCs w:val="22"/>
        </w:rPr>
        <w:t xml:space="preserve">: </w:t>
      </w:r>
      <w:r w:rsidR="00FE472D" w:rsidRPr="00FE472D">
        <w:rPr>
          <w:rFonts w:ascii="Arial" w:hAnsi="Arial" w:cs="Arial"/>
          <w:b/>
          <w:bCs/>
          <w:i/>
          <w:iCs/>
          <w:color w:val="000000" w:themeColor="text1"/>
          <w:sz w:val="22"/>
          <w:szCs w:val="22"/>
        </w:rPr>
        <w:t>Vocare</w:t>
      </w:r>
      <w:r w:rsidR="00FE472D">
        <w:rPr>
          <w:rFonts w:ascii="Arial" w:hAnsi="Arial" w:cs="Arial"/>
          <w:b/>
          <w:bCs/>
          <w:color w:val="000000" w:themeColor="text1"/>
          <w:sz w:val="22"/>
          <w:szCs w:val="22"/>
        </w:rPr>
        <w:t xml:space="preserve"> questionnaire</w:t>
      </w:r>
    </w:p>
    <w:p w14:paraId="10F6CA85" w14:textId="3876FD09" w:rsidR="00FE472D" w:rsidRDefault="00550EF6" w:rsidP="004300F8">
      <w:pPr>
        <w:spacing w:after="0" w:line="360" w:lineRule="auto"/>
      </w:pPr>
      <w:hyperlink r:id="rId18" w:history="1">
        <w:r w:rsidRPr="0081418F">
          <w:rPr>
            <w:rStyle w:val="Hyperlink"/>
          </w:rPr>
          <w:t>https://claude.ai/public/artifacts/28172a5e-18d9-4ec1-b27b-c6d397323349</w:t>
        </w:r>
      </w:hyperlink>
    </w:p>
    <w:p w14:paraId="128B5BE2" w14:textId="77777777" w:rsidR="00550EF6" w:rsidRDefault="00550EF6" w:rsidP="004300F8">
      <w:pPr>
        <w:spacing w:after="0" w:line="360" w:lineRule="auto"/>
        <w:rPr>
          <w:rFonts w:ascii="Arial" w:hAnsi="Arial" w:cs="Arial"/>
          <w:b/>
          <w:bCs/>
          <w:color w:val="000000" w:themeColor="text1"/>
          <w:sz w:val="22"/>
          <w:szCs w:val="22"/>
        </w:rPr>
      </w:pPr>
    </w:p>
    <w:p w14:paraId="542C1C01" w14:textId="62D556E5" w:rsidR="00FE472D" w:rsidRDefault="00FE472D" w:rsidP="00FE472D">
      <w:pPr>
        <w:spacing w:after="0"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w:drawing>
          <wp:inline distT="0" distB="0" distL="0" distR="0" wp14:anchorId="2D73716D" wp14:editId="4756B320">
            <wp:extent cx="4247535" cy="3390767"/>
            <wp:effectExtent l="0" t="0" r="0" b="635"/>
            <wp:docPr id="2126416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16962" name="Picture 212641696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98161" cy="3431181"/>
                    </a:xfrm>
                    <a:prstGeom prst="rect">
                      <a:avLst/>
                    </a:prstGeom>
                  </pic:spPr>
                </pic:pic>
              </a:graphicData>
            </a:graphic>
          </wp:inline>
        </w:drawing>
      </w:r>
    </w:p>
    <w:p w14:paraId="36FBA00D" w14:textId="5D3D531B" w:rsidR="00FE472D" w:rsidRDefault="00FE472D" w:rsidP="00FE472D">
      <w:pPr>
        <w:spacing w:after="0"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w:lastRenderedPageBreak/>
        <w:drawing>
          <wp:inline distT="0" distB="0" distL="0" distR="0" wp14:anchorId="14AA2560" wp14:editId="25C9BCA4">
            <wp:extent cx="4247515" cy="2969176"/>
            <wp:effectExtent l="0" t="0" r="0" b="3175"/>
            <wp:docPr id="7429702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970290" name="Picture 74297029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84653" cy="2995137"/>
                    </a:xfrm>
                    <a:prstGeom prst="rect">
                      <a:avLst/>
                    </a:prstGeom>
                  </pic:spPr>
                </pic:pic>
              </a:graphicData>
            </a:graphic>
          </wp:inline>
        </w:drawing>
      </w:r>
    </w:p>
    <w:p w14:paraId="6AB3B629" w14:textId="77777777" w:rsidR="00FE472D" w:rsidRDefault="00FE472D" w:rsidP="00FE472D">
      <w:pPr>
        <w:spacing w:after="0" w:line="360" w:lineRule="auto"/>
        <w:jc w:val="center"/>
        <w:rPr>
          <w:rFonts w:ascii="Arial" w:hAnsi="Arial" w:cs="Arial"/>
          <w:b/>
          <w:bCs/>
          <w:color w:val="000000" w:themeColor="text1"/>
          <w:sz w:val="22"/>
          <w:szCs w:val="22"/>
        </w:rPr>
      </w:pPr>
    </w:p>
    <w:p w14:paraId="01F041D3" w14:textId="77777777" w:rsidR="00FE472D" w:rsidRDefault="00FE472D" w:rsidP="00FE472D">
      <w:pPr>
        <w:spacing w:after="0" w:line="360" w:lineRule="auto"/>
        <w:jc w:val="center"/>
        <w:rPr>
          <w:rFonts w:ascii="Arial" w:hAnsi="Arial" w:cs="Arial"/>
          <w:b/>
          <w:bCs/>
          <w:color w:val="000000" w:themeColor="text1"/>
          <w:sz w:val="22"/>
          <w:szCs w:val="22"/>
        </w:rPr>
      </w:pPr>
    </w:p>
    <w:p w14:paraId="743C680C" w14:textId="77777777" w:rsidR="00FE472D" w:rsidRDefault="00FE472D" w:rsidP="00FE472D">
      <w:pPr>
        <w:spacing w:after="0" w:line="360" w:lineRule="auto"/>
        <w:jc w:val="center"/>
        <w:rPr>
          <w:rFonts w:ascii="Arial" w:hAnsi="Arial" w:cs="Arial"/>
          <w:b/>
          <w:bCs/>
          <w:color w:val="000000" w:themeColor="text1"/>
          <w:sz w:val="22"/>
          <w:szCs w:val="22"/>
        </w:rPr>
      </w:pPr>
    </w:p>
    <w:p w14:paraId="12D58E88" w14:textId="7E1F4085" w:rsidR="00FE472D" w:rsidRDefault="003B0E1C" w:rsidP="00FE472D">
      <w:pPr>
        <w:spacing w:after="0" w:line="360" w:lineRule="auto"/>
        <w:jc w:val="center"/>
        <w:rPr>
          <w:rFonts w:ascii="Arial" w:hAnsi="Arial" w:cs="Arial"/>
          <w:b/>
          <w:bCs/>
          <w:color w:val="000000" w:themeColor="text1"/>
          <w:sz w:val="22"/>
          <w:szCs w:val="22"/>
        </w:rPr>
      </w:pPr>
      <w:r>
        <w:rPr>
          <w:rFonts w:ascii="Arial" w:hAnsi="Arial" w:cs="Arial"/>
          <w:b/>
          <w:bCs/>
          <w:noProof/>
          <w:color w:val="000000" w:themeColor="text1"/>
          <w:sz w:val="22"/>
          <w:szCs w:val="22"/>
        </w:rPr>
        <w:lastRenderedPageBreak/>
        <w:drawing>
          <wp:inline distT="0" distB="0" distL="0" distR="0" wp14:anchorId="0FFB2B73" wp14:editId="785E0E85">
            <wp:extent cx="3860800" cy="6769100"/>
            <wp:effectExtent l="0" t="0" r="0" b="0"/>
            <wp:docPr id="580547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54719" name="Picture 58054719"/>
                    <pic:cNvPicPr/>
                  </pic:nvPicPr>
                  <pic:blipFill>
                    <a:blip r:embed="rId21">
                      <a:extLst>
                        <a:ext uri="{28A0092B-C50C-407E-A947-70E740481C1C}">
                          <a14:useLocalDpi xmlns:a14="http://schemas.microsoft.com/office/drawing/2010/main" val="0"/>
                        </a:ext>
                      </a:extLst>
                    </a:blip>
                    <a:stretch>
                      <a:fillRect/>
                    </a:stretch>
                  </pic:blipFill>
                  <pic:spPr>
                    <a:xfrm>
                      <a:off x="0" y="0"/>
                      <a:ext cx="3860800" cy="6769100"/>
                    </a:xfrm>
                    <a:prstGeom prst="rect">
                      <a:avLst/>
                    </a:prstGeom>
                  </pic:spPr>
                </pic:pic>
              </a:graphicData>
            </a:graphic>
          </wp:inline>
        </w:drawing>
      </w:r>
    </w:p>
    <w:p w14:paraId="3E12EEA2" w14:textId="77777777" w:rsidR="003B0E1C" w:rsidRDefault="003B0E1C" w:rsidP="00FE472D">
      <w:pPr>
        <w:spacing w:after="0" w:line="360" w:lineRule="auto"/>
        <w:jc w:val="center"/>
        <w:rPr>
          <w:rFonts w:ascii="Arial" w:hAnsi="Arial" w:cs="Arial"/>
          <w:b/>
          <w:bCs/>
          <w:color w:val="000000" w:themeColor="text1"/>
          <w:sz w:val="22"/>
          <w:szCs w:val="22"/>
        </w:rPr>
      </w:pPr>
    </w:p>
    <w:p w14:paraId="40FFCC9B" w14:textId="77777777" w:rsidR="003B0E1C" w:rsidRDefault="003B0E1C" w:rsidP="00FE472D">
      <w:pPr>
        <w:spacing w:after="0" w:line="360" w:lineRule="auto"/>
        <w:jc w:val="center"/>
        <w:rPr>
          <w:rFonts w:ascii="Arial" w:hAnsi="Arial" w:cs="Arial"/>
          <w:b/>
          <w:bCs/>
          <w:color w:val="000000" w:themeColor="text1"/>
          <w:sz w:val="22"/>
          <w:szCs w:val="22"/>
        </w:rPr>
      </w:pPr>
    </w:p>
    <w:p w14:paraId="67628171" w14:textId="77777777" w:rsidR="003B0E1C" w:rsidRDefault="003B0E1C" w:rsidP="00FE472D">
      <w:pPr>
        <w:spacing w:after="0" w:line="360" w:lineRule="auto"/>
        <w:jc w:val="center"/>
        <w:rPr>
          <w:rFonts w:ascii="Arial" w:hAnsi="Arial" w:cs="Arial"/>
          <w:b/>
          <w:bCs/>
          <w:color w:val="000000" w:themeColor="text1"/>
          <w:sz w:val="22"/>
          <w:szCs w:val="22"/>
        </w:rPr>
      </w:pPr>
    </w:p>
    <w:p w14:paraId="08A90672" w14:textId="77777777" w:rsidR="003B0E1C" w:rsidRDefault="003B0E1C" w:rsidP="00FE472D">
      <w:pPr>
        <w:spacing w:after="0" w:line="360" w:lineRule="auto"/>
        <w:jc w:val="center"/>
        <w:rPr>
          <w:rFonts w:ascii="Arial" w:hAnsi="Arial" w:cs="Arial"/>
          <w:b/>
          <w:bCs/>
          <w:color w:val="000000" w:themeColor="text1"/>
          <w:sz w:val="22"/>
          <w:szCs w:val="22"/>
        </w:rPr>
      </w:pPr>
    </w:p>
    <w:p w14:paraId="73F93649" w14:textId="77777777" w:rsidR="003B0E1C" w:rsidRDefault="003B0E1C" w:rsidP="00FE472D">
      <w:pPr>
        <w:spacing w:after="0" w:line="360" w:lineRule="auto"/>
        <w:jc w:val="center"/>
        <w:rPr>
          <w:rFonts w:ascii="Arial" w:hAnsi="Arial" w:cs="Arial"/>
          <w:b/>
          <w:bCs/>
          <w:color w:val="000000" w:themeColor="text1"/>
          <w:sz w:val="22"/>
          <w:szCs w:val="22"/>
        </w:rPr>
      </w:pPr>
    </w:p>
    <w:p w14:paraId="557FE6E7" w14:textId="77777777" w:rsidR="003B0E1C" w:rsidRDefault="003B0E1C" w:rsidP="00FE472D">
      <w:pPr>
        <w:spacing w:after="0" w:line="360" w:lineRule="auto"/>
        <w:jc w:val="center"/>
        <w:rPr>
          <w:rFonts w:ascii="Arial" w:hAnsi="Arial" w:cs="Arial"/>
          <w:b/>
          <w:bCs/>
          <w:color w:val="000000" w:themeColor="text1"/>
          <w:sz w:val="22"/>
          <w:szCs w:val="22"/>
        </w:rPr>
      </w:pPr>
    </w:p>
    <w:p w14:paraId="2FEF8DC7" w14:textId="3A138492" w:rsidR="003B0E1C" w:rsidRDefault="00550EF6" w:rsidP="00550EF6">
      <w:pPr>
        <w:spacing w:after="0" w:line="360" w:lineRule="auto"/>
        <w:rPr>
          <w:rFonts w:ascii="Arial" w:hAnsi="Arial" w:cs="Arial"/>
          <w:b/>
          <w:bCs/>
          <w:color w:val="000000" w:themeColor="text1"/>
          <w:sz w:val="22"/>
          <w:szCs w:val="22"/>
        </w:rPr>
      </w:pPr>
      <w:r>
        <w:rPr>
          <w:rFonts w:ascii="Arial" w:hAnsi="Arial" w:cs="Arial"/>
          <w:b/>
          <w:bCs/>
          <w:noProof/>
          <w:color w:val="000000" w:themeColor="text1"/>
          <w:sz w:val="22"/>
          <w:szCs w:val="22"/>
        </w:rPr>
        <w:lastRenderedPageBreak/>
        <w:drawing>
          <wp:inline distT="0" distB="0" distL="0" distR="0" wp14:anchorId="4A5B2CFF" wp14:editId="5533229A">
            <wp:extent cx="2933662" cy="3907708"/>
            <wp:effectExtent l="0" t="0" r="635" b="4445"/>
            <wp:docPr id="45197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97936" name="Picture 45197936"/>
                    <pic:cNvPicPr/>
                  </pic:nvPicPr>
                  <pic:blipFill rotWithShape="1">
                    <a:blip r:embed="rId22" cstate="print">
                      <a:extLst>
                        <a:ext uri="{28A0092B-C50C-407E-A947-70E740481C1C}">
                          <a14:useLocalDpi xmlns:a14="http://schemas.microsoft.com/office/drawing/2010/main" val="0"/>
                        </a:ext>
                      </a:extLst>
                    </a:blip>
                    <a:srcRect l="3593" t="1819" r="7042" b="1786"/>
                    <a:stretch>
                      <a:fillRect/>
                    </a:stretch>
                  </pic:blipFill>
                  <pic:spPr bwMode="auto">
                    <a:xfrm>
                      <a:off x="0" y="0"/>
                      <a:ext cx="2940287" cy="3916532"/>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b/>
          <w:bCs/>
          <w:noProof/>
          <w:color w:val="000000" w:themeColor="text1"/>
          <w:sz w:val="22"/>
          <w:szCs w:val="22"/>
        </w:rPr>
        <w:drawing>
          <wp:inline distT="0" distB="0" distL="0" distR="0" wp14:anchorId="19D1B480" wp14:editId="66B552B7">
            <wp:extent cx="2926107" cy="3870512"/>
            <wp:effectExtent l="0" t="0" r="0" b="3175"/>
            <wp:docPr id="71560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0873" name="Picture 7156087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50662" cy="3902993"/>
                    </a:xfrm>
                    <a:prstGeom prst="rect">
                      <a:avLst/>
                    </a:prstGeom>
                  </pic:spPr>
                </pic:pic>
              </a:graphicData>
            </a:graphic>
          </wp:inline>
        </w:drawing>
      </w:r>
    </w:p>
    <w:p w14:paraId="79FE1F10" w14:textId="77777777" w:rsidR="00550EF6" w:rsidRDefault="00550EF6" w:rsidP="00550EF6">
      <w:pPr>
        <w:spacing w:after="0" w:line="360" w:lineRule="auto"/>
        <w:rPr>
          <w:rFonts w:ascii="Arial" w:hAnsi="Arial" w:cs="Arial"/>
          <w:b/>
          <w:bCs/>
          <w:color w:val="000000" w:themeColor="text1"/>
          <w:sz w:val="22"/>
          <w:szCs w:val="22"/>
        </w:rPr>
      </w:pPr>
    </w:p>
    <w:p w14:paraId="3C8C6EB9" w14:textId="77777777" w:rsidR="00550EF6" w:rsidRDefault="00550EF6" w:rsidP="00550EF6">
      <w:pPr>
        <w:spacing w:after="0" w:line="360" w:lineRule="auto"/>
        <w:rPr>
          <w:rFonts w:ascii="Arial" w:hAnsi="Arial" w:cs="Arial"/>
          <w:b/>
          <w:bCs/>
          <w:color w:val="000000" w:themeColor="text1"/>
          <w:sz w:val="22"/>
          <w:szCs w:val="22"/>
        </w:rPr>
      </w:pPr>
    </w:p>
    <w:p w14:paraId="455622B7" w14:textId="77777777" w:rsidR="00550EF6" w:rsidRDefault="00550EF6" w:rsidP="00550EF6">
      <w:pPr>
        <w:spacing w:after="0" w:line="360" w:lineRule="auto"/>
        <w:rPr>
          <w:rFonts w:ascii="Arial" w:hAnsi="Arial" w:cs="Arial"/>
          <w:b/>
          <w:bCs/>
          <w:color w:val="000000" w:themeColor="text1"/>
          <w:sz w:val="22"/>
          <w:szCs w:val="22"/>
        </w:rPr>
      </w:pPr>
    </w:p>
    <w:p w14:paraId="5A9F6707" w14:textId="77777777" w:rsidR="00550EF6" w:rsidRDefault="00550EF6" w:rsidP="00550EF6">
      <w:pPr>
        <w:spacing w:after="0" w:line="360" w:lineRule="auto"/>
        <w:rPr>
          <w:rFonts w:ascii="Arial" w:hAnsi="Arial" w:cs="Arial"/>
          <w:b/>
          <w:bCs/>
          <w:color w:val="000000" w:themeColor="text1"/>
          <w:sz w:val="22"/>
          <w:szCs w:val="22"/>
        </w:rPr>
      </w:pPr>
    </w:p>
    <w:p w14:paraId="2E95ED3D" w14:textId="232900CD" w:rsidR="00550EF6" w:rsidRDefault="00550EF6" w:rsidP="00550EF6">
      <w:pPr>
        <w:spacing w:after="0" w:line="360" w:lineRule="auto"/>
        <w:rPr>
          <w:rFonts w:ascii="Arial" w:hAnsi="Arial" w:cs="Arial"/>
          <w:b/>
          <w:bCs/>
          <w:color w:val="000000" w:themeColor="text1"/>
          <w:sz w:val="22"/>
          <w:szCs w:val="22"/>
        </w:rPr>
      </w:pPr>
      <w:r>
        <w:rPr>
          <w:rFonts w:ascii="Arial" w:hAnsi="Arial" w:cs="Arial"/>
          <w:b/>
          <w:bCs/>
          <w:noProof/>
          <w:color w:val="000000" w:themeColor="text1"/>
          <w:sz w:val="22"/>
          <w:szCs w:val="22"/>
        </w:rPr>
        <w:lastRenderedPageBreak/>
        <w:drawing>
          <wp:inline distT="0" distB="0" distL="0" distR="0" wp14:anchorId="651E3A65" wp14:editId="6BF66609">
            <wp:extent cx="2853813" cy="3270605"/>
            <wp:effectExtent l="0" t="0" r="3810" b="6350"/>
            <wp:docPr id="13937759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775914" name="Picture 139377591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80717" cy="3301438"/>
                    </a:xfrm>
                    <a:prstGeom prst="rect">
                      <a:avLst/>
                    </a:prstGeom>
                  </pic:spPr>
                </pic:pic>
              </a:graphicData>
            </a:graphic>
          </wp:inline>
        </w:drawing>
      </w:r>
      <w:r>
        <w:rPr>
          <w:rFonts w:ascii="Arial" w:hAnsi="Arial" w:cs="Arial"/>
          <w:b/>
          <w:bCs/>
          <w:noProof/>
          <w:color w:val="000000" w:themeColor="text1"/>
          <w:sz w:val="22"/>
          <w:szCs w:val="22"/>
        </w:rPr>
        <w:drawing>
          <wp:inline distT="0" distB="0" distL="0" distR="0" wp14:anchorId="77106AAC" wp14:editId="3BD816FB">
            <wp:extent cx="2765151" cy="3259393"/>
            <wp:effectExtent l="0" t="0" r="3810" b="5080"/>
            <wp:docPr id="406452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52160" name="Picture 40645216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65151" cy="3259393"/>
                    </a:xfrm>
                    <a:prstGeom prst="rect">
                      <a:avLst/>
                    </a:prstGeom>
                  </pic:spPr>
                </pic:pic>
              </a:graphicData>
            </a:graphic>
          </wp:inline>
        </w:drawing>
      </w:r>
    </w:p>
    <w:p w14:paraId="4D2BE423" w14:textId="77777777" w:rsidR="00550EF6" w:rsidRDefault="00550EF6" w:rsidP="00550EF6">
      <w:pPr>
        <w:spacing w:after="0" w:line="360" w:lineRule="auto"/>
        <w:rPr>
          <w:rFonts w:ascii="Arial" w:hAnsi="Arial" w:cs="Arial"/>
          <w:b/>
          <w:bCs/>
          <w:color w:val="000000" w:themeColor="text1"/>
          <w:sz w:val="22"/>
          <w:szCs w:val="22"/>
        </w:rPr>
      </w:pPr>
    </w:p>
    <w:p w14:paraId="3A795BFC" w14:textId="77777777" w:rsidR="00550EF6" w:rsidRDefault="00550EF6" w:rsidP="00550EF6">
      <w:pPr>
        <w:spacing w:after="0" w:line="360" w:lineRule="auto"/>
        <w:rPr>
          <w:rFonts w:ascii="Arial" w:hAnsi="Arial" w:cs="Arial"/>
          <w:b/>
          <w:bCs/>
          <w:color w:val="000000" w:themeColor="text1"/>
          <w:sz w:val="22"/>
          <w:szCs w:val="22"/>
        </w:rPr>
      </w:pPr>
    </w:p>
    <w:p w14:paraId="63D17FD4" w14:textId="77777777" w:rsidR="00550EF6" w:rsidRDefault="00550EF6" w:rsidP="00550EF6">
      <w:pPr>
        <w:spacing w:after="0" w:line="360" w:lineRule="auto"/>
        <w:rPr>
          <w:rFonts w:ascii="Arial" w:hAnsi="Arial" w:cs="Arial"/>
          <w:b/>
          <w:bCs/>
          <w:color w:val="000000" w:themeColor="text1"/>
          <w:sz w:val="22"/>
          <w:szCs w:val="22"/>
        </w:rPr>
      </w:pPr>
    </w:p>
    <w:p w14:paraId="676CA554" w14:textId="77777777" w:rsidR="00550EF6" w:rsidRDefault="00550EF6" w:rsidP="00550EF6">
      <w:pPr>
        <w:spacing w:after="0" w:line="360" w:lineRule="auto"/>
        <w:rPr>
          <w:rFonts w:ascii="Arial" w:hAnsi="Arial" w:cs="Arial"/>
          <w:b/>
          <w:bCs/>
          <w:color w:val="000000" w:themeColor="text1"/>
          <w:sz w:val="22"/>
          <w:szCs w:val="22"/>
        </w:rPr>
      </w:pPr>
    </w:p>
    <w:p w14:paraId="42D106CB" w14:textId="77777777" w:rsidR="00550EF6" w:rsidRDefault="00550EF6" w:rsidP="00550EF6">
      <w:pPr>
        <w:spacing w:after="0" w:line="360" w:lineRule="auto"/>
        <w:rPr>
          <w:rFonts w:ascii="Arial" w:hAnsi="Arial" w:cs="Arial"/>
          <w:b/>
          <w:bCs/>
          <w:color w:val="000000" w:themeColor="text1"/>
          <w:sz w:val="22"/>
          <w:szCs w:val="22"/>
        </w:rPr>
      </w:pPr>
    </w:p>
    <w:p w14:paraId="29823DB3" w14:textId="77777777" w:rsidR="00550EF6" w:rsidRDefault="00550EF6" w:rsidP="00550EF6">
      <w:pPr>
        <w:spacing w:after="0" w:line="360" w:lineRule="auto"/>
        <w:rPr>
          <w:rFonts w:ascii="Arial" w:hAnsi="Arial" w:cs="Arial"/>
          <w:b/>
          <w:bCs/>
          <w:color w:val="000000" w:themeColor="text1"/>
          <w:sz w:val="22"/>
          <w:szCs w:val="22"/>
        </w:rPr>
      </w:pPr>
    </w:p>
    <w:p w14:paraId="1890AF31" w14:textId="77777777" w:rsidR="00550EF6" w:rsidRDefault="00550EF6" w:rsidP="00550EF6">
      <w:pPr>
        <w:spacing w:after="0" w:line="360" w:lineRule="auto"/>
        <w:rPr>
          <w:rFonts w:ascii="Arial" w:hAnsi="Arial" w:cs="Arial"/>
          <w:b/>
          <w:bCs/>
          <w:color w:val="000000" w:themeColor="text1"/>
          <w:sz w:val="22"/>
          <w:szCs w:val="22"/>
        </w:rPr>
      </w:pPr>
    </w:p>
    <w:p w14:paraId="19128158" w14:textId="77777777" w:rsidR="00550EF6" w:rsidRDefault="00550EF6" w:rsidP="00550EF6">
      <w:pPr>
        <w:spacing w:after="0" w:line="360" w:lineRule="auto"/>
        <w:rPr>
          <w:rFonts w:ascii="Arial" w:hAnsi="Arial" w:cs="Arial"/>
          <w:b/>
          <w:bCs/>
          <w:color w:val="000000" w:themeColor="text1"/>
          <w:sz w:val="22"/>
          <w:szCs w:val="22"/>
        </w:rPr>
      </w:pPr>
    </w:p>
    <w:p w14:paraId="64A51F72" w14:textId="77777777" w:rsidR="00550EF6" w:rsidRDefault="00550EF6" w:rsidP="00550EF6">
      <w:pPr>
        <w:spacing w:after="0" w:line="360" w:lineRule="auto"/>
        <w:rPr>
          <w:rFonts w:ascii="Arial" w:hAnsi="Arial" w:cs="Arial"/>
          <w:b/>
          <w:bCs/>
          <w:color w:val="000000" w:themeColor="text1"/>
          <w:sz w:val="22"/>
          <w:szCs w:val="22"/>
        </w:rPr>
      </w:pPr>
    </w:p>
    <w:p w14:paraId="77B059FC" w14:textId="77777777" w:rsidR="00550EF6" w:rsidRDefault="00550EF6" w:rsidP="00550EF6">
      <w:pPr>
        <w:spacing w:after="0" w:line="360" w:lineRule="auto"/>
        <w:rPr>
          <w:rFonts w:ascii="Arial" w:hAnsi="Arial" w:cs="Arial"/>
          <w:b/>
          <w:bCs/>
          <w:color w:val="000000" w:themeColor="text1"/>
          <w:sz w:val="22"/>
          <w:szCs w:val="22"/>
        </w:rPr>
      </w:pPr>
    </w:p>
    <w:p w14:paraId="17ABD004" w14:textId="77777777" w:rsidR="00550EF6" w:rsidRDefault="00550EF6" w:rsidP="00550EF6">
      <w:pPr>
        <w:spacing w:after="0" w:line="360" w:lineRule="auto"/>
        <w:rPr>
          <w:rFonts w:ascii="Arial" w:hAnsi="Arial" w:cs="Arial"/>
          <w:b/>
          <w:bCs/>
          <w:color w:val="000000" w:themeColor="text1"/>
          <w:sz w:val="22"/>
          <w:szCs w:val="22"/>
        </w:rPr>
      </w:pPr>
    </w:p>
    <w:p w14:paraId="0A35E06F" w14:textId="77777777" w:rsidR="00550EF6" w:rsidRPr="00D35FDF" w:rsidRDefault="00550EF6" w:rsidP="00550EF6">
      <w:pPr>
        <w:spacing w:after="0" w:line="360" w:lineRule="auto"/>
        <w:rPr>
          <w:rFonts w:ascii="Arial" w:hAnsi="Arial" w:cs="Arial"/>
          <w:b/>
          <w:bCs/>
          <w:color w:val="000000" w:themeColor="text1"/>
          <w:sz w:val="22"/>
          <w:szCs w:val="22"/>
        </w:rPr>
      </w:pPr>
    </w:p>
    <w:sectPr w:rsidR="00550EF6" w:rsidRPr="00D35FD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4E781" w14:textId="77777777" w:rsidR="00C079AB" w:rsidRDefault="00C079AB" w:rsidP="00D5209E">
      <w:pPr>
        <w:spacing w:after="0" w:line="240" w:lineRule="auto"/>
      </w:pPr>
      <w:r>
        <w:separator/>
      </w:r>
    </w:p>
  </w:endnote>
  <w:endnote w:type="continuationSeparator" w:id="0">
    <w:p w14:paraId="46C13B69" w14:textId="77777777" w:rsidR="00C079AB" w:rsidRDefault="00C079AB" w:rsidP="00D52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pplxSerif">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F74D" w14:textId="77777777" w:rsidR="00C079AB" w:rsidRDefault="00C079AB" w:rsidP="00D5209E">
      <w:pPr>
        <w:spacing w:after="0" w:line="240" w:lineRule="auto"/>
      </w:pPr>
      <w:r>
        <w:separator/>
      </w:r>
    </w:p>
  </w:footnote>
  <w:footnote w:type="continuationSeparator" w:id="0">
    <w:p w14:paraId="65F8D7DA" w14:textId="77777777" w:rsidR="00C079AB" w:rsidRDefault="00C079AB" w:rsidP="00D520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07D7B"/>
    <w:multiLevelType w:val="multilevel"/>
    <w:tmpl w:val="47702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1011EC"/>
    <w:multiLevelType w:val="multilevel"/>
    <w:tmpl w:val="58B6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643785">
    <w:abstractNumId w:val="0"/>
  </w:num>
  <w:num w:numId="2" w16cid:durableId="20385831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87C"/>
    <w:rsid w:val="0000738A"/>
    <w:rsid w:val="0003454B"/>
    <w:rsid w:val="00074DAC"/>
    <w:rsid w:val="000A0EB5"/>
    <w:rsid w:val="000E15B8"/>
    <w:rsid w:val="00110A1A"/>
    <w:rsid w:val="0018587C"/>
    <w:rsid w:val="001E7A00"/>
    <w:rsid w:val="00201074"/>
    <w:rsid w:val="002366C3"/>
    <w:rsid w:val="00245D9B"/>
    <w:rsid w:val="00276A99"/>
    <w:rsid w:val="002A0308"/>
    <w:rsid w:val="002A33EB"/>
    <w:rsid w:val="002B135F"/>
    <w:rsid w:val="002B3F9D"/>
    <w:rsid w:val="002B41DB"/>
    <w:rsid w:val="002F1145"/>
    <w:rsid w:val="003B068B"/>
    <w:rsid w:val="003B0E1C"/>
    <w:rsid w:val="003E43F2"/>
    <w:rsid w:val="00417FC0"/>
    <w:rsid w:val="004300F8"/>
    <w:rsid w:val="00481E91"/>
    <w:rsid w:val="0049224A"/>
    <w:rsid w:val="005072CB"/>
    <w:rsid w:val="00550EF6"/>
    <w:rsid w:val="00592582"/>
    <w:rsid w:val="005C295A"/>
    <w:rsid w:val="005E69AF"/>
    <w:rsid w:val="00602CFD"/>
    <w:rsid w:val="00604279"/>
    <w:rsid w:val="00611ADC"/>
    <w:rsid w:val="0064006D"/>
    <w:rsid w:val="007423E4"/>
    <w:rsid w:val="00790100"/>
    <w:rsid w:val="007952AC"/>
    <w:rsid w:val="0081029F"/>
    <w:rsid w:val="0087171D"/>
    <w:rsid w:val="00884097"/>
    <w:rsid w:val="008E5DCF"/>
    <w:rsid w:val="00907CE7"/>
    <w:rsid w:val="009256D5"/>
    <w:rsid w:val="00984696"/>
    <w:rsid w:val="009905EA"/>
    <w:rsid w:val="009933EB"/>
    <w:rsid w:val="009B394C"/>
    <w:rsid w:val="009C2DC8"/>
    <w:rsid w:val="009C5978"/>
    <w:rsid w:val="00A15E84"/>
    <w:rsid w:val="00A21B40"/>
    <w:rsid w:val="00A61110"/>
    <w:rsid w:val="00A95750"/>
    <w:rsid w:val="00AC66CE"/>
    <w:rsid w:val="00B157F4"/>
    <w:rsid w:val="00B70529"/>
    <w:rsid w:val="00B9255E"/>
    <w:rsid w:val="00B95F99"/>
    <w:rsid w:val="00C01812"/>
    <w:rsid w:val="00C079AB"/>
    <w:rsid w:val="00C74047"/>
    <w:rsid w:val="00C77E5B"/>
    <w:rsid w:val="00C965EF"/>
    <w:rsid w:val="00CC06EE"/>
    <w:rsid w:val="00D236B2"/>
    <w:rsid w:val="00D35FDF"/>
    <w:rsid w:val="00D5209E"/>
    <w:rsid w:val="00D5535C"/>
    <w:rsid w:val="00D662E8"/>
    <w:rsid w:val="00D75891"/>
    <w:rsid w:val="00D93CF0"/>
    <w:rsid w:val="00DF19DC"/>
    <w:rsid w:val="00E02AAA"/>
    <w:rsid w:val="00E17209"/>
    <w:rsid w:val="00E423F9"/>
    <w:rsid w:val="00EA40D0"/>
    <w:rsid w:val="00F06EDC"/>
    <w:rsid w:val="00F83747"/>
    <w:rsid w:val="00FB33D8"/>
    <w:rsid w:val="00FC44DF"/>
    <w:rsid w:val="00FD0EB0"/>
    <w:rsid w:val="00FE2C64"/>
    <w:rsid w:val="00FE3862"/>
    <w:rsid w:val="00FE472D"/>
  </w:rsids>
  <m:mathPr>
    <m:mathFont m:val="Cambria Math"/>
    <m:brkBin m:val="before"/>
    <m:brkBinSub m:val="--"/>
    <m:smallFrac m:val="0"/>
    <m:dispDef/>
    <m:lMargin m:val="0"/>
    <m:rMargin m:val="0"/>
    <m:defJc m:val="centerGroup"/>
    <m:wrapIndent m:val="1440"/>
    <m:intLim m:val="subSup"/>
    <m:naryLim m:val="undOvr"/>
  </m:mathPr>
  <w:themeFontLang w:val="en-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3702D"/>
  <w15:chartTrackingRefBased/>
  <w15:docId w15:val="{2139A657-3615-4F48-BC46-C20F1941C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9AF"/>
  </w:style>
  <w:style w:type="paragraph" w:styleId="Heading1">
    <w:name w:val="heading 1"/>
    <w:basedOn w:val="Normal"/>
    <w:next w:val="Normal"/>
    <w:link w:val="Heading1Char"/>
    <w:uiPriority w:val="9"/>
    <w:qFormat/>
    <w:rsid w:val="00185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85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8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8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8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8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5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5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5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5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5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87C"/>
    <w:rPr>
      <w:rFonts w:eastAsiaTheme="majorEastAsia" w:cstheme="majorBidi"/>
      <w:color w:val="272727" w:themeColor="text1" w:themeTint="D8"/>
    </w:rPr>
  </w:style>
  <w:style w:type="paragraph" w:styleId="Title">
    <w:name w:val="Title"/>
    <w:basedOn w:val="Normal"/>
    <w:next w:val="Normal"/>
    <w:link w:val="TitleChar"/>
    <w:uiPriority w:val="10"/>
    <w:qFormat/>
    <w:rsid w:val="001858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87C"/>
    <w:pPr>
      <w:spacing w:before="160"/>
      <w:jc w:val="center"/>
    </w:pPr>
    <w:rPr>
      <w:i/>
      <w:iCs/>
      <w:color w:val="404040" w:themeColor="text1" w:themeTint="BF"/>
    </w:rPr>
  </w:style>
  <w:style w:type="character" w:customStyle="1" w:styleId="QuoteChar">
    <w:name w:val="Quote Char"/>
    <w:basedOn w:val="DefaultParagraphFont"/>
    <w:link w:val="Quote"/>
    <w:uiPriority w:val="29"/>
    <w:rsid w:val="0018587C"/>
    <w:rPr>
      <w:i/>
      <w:iCs/>
      <w:color w:val="404040" w:themeColor="text1" w:themeTint="BF"/>
    </w:rPr>
  </w:style>
  <w:style w:type="paragraph" w:styleId="ListParagraph">
    <w:name w:val="List Paragraph"/>
    <w:basedOn w:val="Normal"/>
    <w:uiPriority w:val="34"/>
    <w:qFormat/>
    <w:rsid w:val="0018587C"/>
    <w:pPr>
      <w:ind w:left="720"/>
      <w:contextualSpacing/>
    </w:pPr>
  </w:style>
  <w:style w:type="character" w:styleId="IntenseEmphasis">
    <w:name w:val="Intense Emphasis"/>
    <w:basedOn w:val="DefaultParagraphFont"/>
    <w:uiPriority w:val="21"/>
    <w:qFormat/>
    <w:rsid w:val="0018587C"/>
    <w:rPr>
      <w:i/>
      <w:iCs/>
      <w:color w:val="0F4761" w:themeColor="accent1" w:themeShade="BF"/>
    </w:rPr>
  </w:style>
  <w:style w:type="paragraph" w:styleId="IntenseQuote">
    <w:name w:val="Intense Quote"/>
    <w:basedOn w:val="Normal"/>
    <w:next w:val="Normal"/>
    <w:link w:val="IntenseQuoteChar"/>
    <w:uiPriority w:val="30"/>
    <w:qFormat/>
    <w:rsid w:val="00185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587C"/>
    <w:rPr>
      <w:i/>
      <w:iCs/>
      <w:color w:val="0F4761" w:themeColor="accent1" w:themeShade="BF"/>
    </w:rPr>
  </w:style>
  <w:style w:type="character" w:styleId="IntenseReference">
    <w:name w:val="Intense Reference"/>
    <w:basedOn w:val="DefaultParagraphFont"/>
    <w:uiPriority w:val="32"/>
    <w:qFormat/>
    <w:rsid w:val="0018587C"/>
    <w:rPr>
      <w:b/>
      <w:bCs/>
      <w:smallCaps/>
      <w:color w:val="0F4761" w:themeColor="accent1" w:themeShade="BF"/>
      <w:spacing w:val="5"/>
    </w:rPr>
  </w:style>
  <w:style w:type="table" w:styleId="TableGrid">
    <w:name w:val="Table Grid"/>
    <w:basedOn w:val="TableNormal"/>
    <w:uiPriority w:val="59"/>
    <w:rsid w:val="004300F8"/>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9255E"/>
    <w:pPr>
      <w:spacing w:after="240" w:line="240" w:lineRule="auto"/>
    </w:pPr>
  </w:style>
  <w:style w:type="character" w:styleId="Hyperlink">
    <w:name w:val="Hyperlink"/>
    <w:basedOn w:val="DefaultParagraphFont"/>
    <w:uiPriority w:val="99"/>
    <w:unhideWhenUsed/>
    <w:rsid w:val="00A95750"/>
    <w:rPr>
      <w:color w:val="467886" w:themeColor="hyperlink"/>
      <w:u w:val="single"/>
    </w:rPr>
  </w:style>
  <w:style w:type="character" w:styleId="UnresolvedMention">
    <w:name w:val="Unresolved Mention"/>
    <w:basedOn w:val="DefaultParagraphFont"/>
    <w:uiPriority w:val="99"/>
    <w:semiHidden/>
    <w:unhideWhenUsed/>
    <w:rsid w:val="00A95750"/>
    <w:rPr>
      <w:color w:val="605E5C"/>
      <w:shd w:val="clear" w:color="auto" w:fill="E1DFDD"/>
    </w:rPr>
  </w:style>
  <w:style w:type="character" w:styleId="FollowedHyperlink">
    <w:name w:val="FollowedHyperlink"/>
    <w:basedOn w:val="DefaultParagraphFont"/>
    <w:uiPriority w:val="99"/>
    <w:semiHidden/>
    <w:unhideWhenUsed/>
    <w:rsid w:val="00A95750"/>
    <w:rPr>
      <w:color w:val="96607D" w:themeColor="followedHyperlink"/>
      <w:u w:val="single"/>
    </w:rPr>
  </w:style>
  <w:style w:type="character" w:styleId="Emphasis">
    <w:name w:val="Emphasis"/>
    <w:basedOn w:val="DefaultParagraphFont"/>
    <w:uiPriority w:val="20"/>
    <w:qFormat/>
    <w:rsid w:val="00A95750"/>
    <w:rPr>
      <w:i/>
      <w:iCs/>
    </w:rPr>
  </w:style>
  <w:style w:type="character" w:styleId="Strong">
    <w:name w:val="Strong"/>
    <w:basedOn w:val="DefaultParagraphFont"/>
    <w:uiPriority w:val="22"/>
    <w:qFormat/>
    <w:rsid w:val="00A95750"/>
    <w:rPr>
      <w:b/>
      <w:bCs/>
    </w:rPr>
  </w:style>
  <w:style w:type="paragraph" w:customStyle="1" w:styleId="sub">
    <w:name w:val="sub"/>
    <w:basedOn w:val="Normal"/>
    <w:rsid w:val="00A95750"/>
    <w:pPr>
      <w:spacing w:before="100" w:beforeAutospacing="1" w:after="480" w:line="240" w:lineRule="auto"/>
    </w:pPr>
    <w:rPr>
      <w:rFonts w:ascii="Times New Roman" w:eastAsiaTheme="minorEastAsia" w:hAnsi="Times New Roman" w:cs="Times New Roman"/>
      <w:kern w:val="0"/>
      <w14:ligatures w14:val="none"/>
    </w:rPr>
  </w:style>
  <w:style w:type="paragraph" w:customStyle="1" w:styleId="sub1">
    <w:name w:val="sub1"/>
    <w:basedOn w:val="Normal"/>
    <w:rsid w:val="00A95750"/>
    <w:pPr>
      <w:spacing w:after="450" w:line="240" w:lineRule="auto"/>
    </w:pPr>
    <w:rPr>
      <w:rFonts w:ascii="Times New Roman" w:eastAsiaTheme="minorEastAsia" w:hAnsi="Times New Roman" w:cs="Times New Roman"/>
      <w:kern w:val="0"/>
      <w14:ligatures w14:val="none"/>
    </w:rPr>
  </w:style>
  <w:style w:type="character" w:customStyle="1" w:styleId="sdesc1">
    <w:name w:val="sdesc1"/>
    <w:basedOn w:val="DefaultParagraphFont"/>
    <w:rsid w:val="00A95750"/>
    <w:rPr>
      <w:b w:val="0"/>
      <w:bCs w:val="0"/>
    </w:rPr>
  </w:style>
  <w:style w:type="character" w:customStyle="1" w:styleId="cbadge1">
    <w:name w:val="cbadge1"/>
    <w:basedOn w:val="DefaultParagraphFont"/>
    <w:rsid w:val="00A95750"/>
    <w:rPr>
      <w:b/>
      <w:bCs/>
    </w:rPr>
  </w:style>
  <w:style w:type="character" w:customStyle="1" w:styleId="cbadge2">
    <w:name w:val="cbadge2"/>
    <w:basedOn w:val="DefaultParagraphFont"/>
    <w:rsid w:val="00A95750"/>
    <w:rPr>
      <w:b/>
      <w:bCs/>
    </w:rPr>
  </w:style>
  <w:style w:type="character" w:customStyle="1" w:styleId="arr">
    <w:name w:val="arr"/>
    <w:basedOn w:val="DefaultParagraphFont"/>
    <w:rsid w:val="00A95750"/>
  </w:style>
  <w:style w:type="character" w:styleId="CommentReference">
    <w:name w:val="annotation reference"/>
    <w:basedOn w:val="DefaultParagraphFont"/>
    <w:uiPriority w:val="99"/>
    <w:semiHidden/>
    <w:unhideWhenUsed/>
    <w:rsid w:val="00245D9B"/>
    <w:rPr>
      <w:sz w:val="16"/>
      <w:szCs w:val="16"/>
    </w:rPr>
  </w:style>
  <w:style w:type="paragraph" w:styleId="CommentText">
    <w:name w:val="annotation text"/>
    <w:basedOn w:val="Normal"/>
    <w:link w:val="CommentTextChar"/>
    <w:uiPriority w:val="99"/>
    <w:semiHidden/>
    <w:unhideWhenUsed/>
    <w:rsid w:val="00245D9B"/>
    <w:pPr>
      <w:spacing w:line="240" w:lineRule="auto"/>
    </w:pPr>
    <w:rPr>
      <w:sz w:val="20"/>
      <w:szCs w:val="20"/>
    </w:rPr>
  </w:style>
  <w:style w:type="character" w:customStyle="1" w:styleId="CommentTextChar">
    <w:name w:val="Comment Text Char"/>
    <w:basedOn w:val="DefaultParagraphFont"/>
    <w:link w:val="CommentText"/>
    <w:uiPriority w:val="99"/>
    <w:semiHidden/>
    <w:rsid w:val="00245D9B"/>
    <w:rPr>
      <w:sz w:val="20"/>
      <w:szCs w:val="20"/>
    </w:rPr>
  </w:style>
  <w:style w:type="paragraph" w:styleId="CommentSubject">
    <w:name w:val="annotation subject"/>
    <w:basedOn w:val="CommentText"/>
    <w:next w:val="CommentText"/>
    <w:link w:val="CommentSubjectChar"/>
    <w:uiPriority w:val="99"/>
    <w:semiHidden/>
    <w:unhideWhenUsed/>
    <w:rsid w:val="00245D9B"/>
    <w:rPr>
      <w:b/>
      <w:bCs/>
    </w:rPr>
  </w:style>
  <w:style w:type="character" w:customStyle="1" w:styleId="CommentSubjectChar">
    <w:name w:val="Comment Subject Char"/>
    <w:basedOn w:val="CommentTextChar"/>
    <w:link w:val="CommentSubject"/>
    <w:uiPriority w:val="99"/>
    <w:semiHidden/>
    <w:rsid w:val="00245D9B"/>
    <w:rPr>
      <w:b/>
      <w:bCs/>
      <w:sz w:val="20"/>
      <w:szCs w:val="20"/>
    </w:rPr>
  </w:style>
  <w:style w:type="paragraph" w:styleId="Header">
    <w:name w:val="header"/>
    <w:basedOn w:val="Normal"/>
    <w:link w:val="HeaderChar"/>
    <w:uiPriority w:val="99"/>
    <w:unhideWhenUsed/>
    <w:rsid w:val="00D520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09E"/>
  </w:style>
  <w:style w:type="paragraph" w:styleId="Footer">
    <w:name w:val="footer"/>
    <w:basedOn w:val="Normal"/>
    <w:link w:val="FooterChar"/>
    <w:uiPriority w:val="99"/>
    <w:unhideWhenUsed/>
    <w:rsid w:val="00D520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0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181911">
      <w:bodyDiv w:val="1"/>
      <w:marLeft w:val="0"/>
      <w:marRight w:val="0"/>
      <w:marTop w:val="0"/>
      <w:marBottom w:val="0"/>
      <w:divBdr>
        <w:top w:val="none" w:sz="0" w:space="0" w:color="auto"/>
        <w:left w:val="none" w:sz="0" w:space="0" w:color="auto"/>
        <w:bottom w:val="none" w:sz="0" w:space="0" w:color="auto"/>
        <w:right w:val="none" w:sz="0" w:space="0" w:color="auto"/>
      </w:divBdr>
      <w:divsChild>
        <w:div w:id="1009335025">
          <w:marLeft w:val="0"/>
          <w:marRight w:val="0"/>
          <w:marTop w:val="0"/>
          <w:marBottom w:val="0"/>
          <w:divBdr>
            <w:top w:val="none" w:sz="0" w:space="0" w:color="auto"/>
            <w:left w:val="none" w:sz="0" w:space="0" w:color="auto"/>
            <w:bottom w:val="none" w:sz="0" w:space="0" w:color="auto"/>
            <w:right w:val="none" w:sz="0" w:space="0" w:color="auto"/>
          </w:divBdr>
        </w:div>
        <w:div w:id="1135295583">
          <w:marLeft w:val="0"/>
          <w:marRight w:val="0"/>
          <w:marTop w:val="0"/>
          <w:marBottom w:val="0"/>
          <w:divBdr>
            <w:top w:val="none" w:sz="0" w:space="0" w:color="auto"/>
            <w:left w:val="none" w:sz="0" w:space="0" w:color="auto"/>
            <w:bottom w:val="none" w:sz="0" w:space="0" w:color="auto"/>
            <w:right w:val="none" w:sz="0" w:space="0" w:color="auto"/>
          </w:divBdr>
        </w:div>
        <w:div w:id="533346126">
          <w:marLeft w:val="0"/>
          <w:marRight w:val="0"/>
          <w:marTop w:val="0"/>
          <w:marBottom w:val="0"/>
          <w:divBdr>
            <w:top w:val="none" w:sz="0" w:space="0" w:color="auto"/>
            <w:left w:val="none" w:sz="0" w:space="0" w:color="auto"/>
            <w:bottom w:val="none" w:sz="0" w:space="0" w:color="auto"/>
            <w:right w:val="none" w:sz="0" w:space="0" w:color="auto"/>
          </w:divBdr>
          <w:divsChild>
            <w:div w:id="117846771">
              <w:marLeft w:val="0"/>
              <w:marRight w:val="0"/>
              <w:marTop w:val="0"/>
              <w:marBottom w:val="0"/>
              <w:divBdr>
                <w:top w:val="none" w:sz="0" w:space="0" w:color="auto"/>
                <w:left w:val="none" w:sz="0" w:space="0" w:color="auto"/>
                <w:bottom w:val="none" w:sz="0" w:space="0" w:color="auto"/>
                <w:right w:val="none" w:sz="0" w:space="0" w:color="auto"/>
              </w:divBdr>
              <w:divsChild>
                <w:div w:id="664822231">
                  <w:marLeft w:val="0"/>
                  <w:marRight w:val="0"/>
                  <w:marTop w:val="0"/>
                  <w:marBottom w:val="90"/>
                  <w:divBdr>
                    <w:top w:val="none" w:sz="0" w:space="0" w:color="auto"/>
                    <w:left w:val="none" w:sz="0" w:space="0" w:color="auto"/>
                    <w:bottom w:val="none" w:sz="0" w:space="0" w:color="auto"/>
                    <w:right w:val="none" w:sz="0" w:space="0" w:color="auto"/>
                  </w:divBdr>
                </w:div>
                <w:div w:id="1027564959">
                  <w:marLeft w:val="0"/>
                  <w:marRight w:val="0"/>
                  <w:marTop w:val="390"/>
                  <w:marBottom w:val="510"/>
                  <w:divBdr>
                    <w:top w:val="none" w:sz="0" w:space="0" w:color="auto"/>
                    <w:left w:val="none" w:sz="0" w:space="0" w:color="auto"/>
                    <w:bottom w:val="none" w:sz="0" w:space="0" w:color="auto"/>
                    <w:right w:val="none" w:sz="0" w:space="0" w:color="auto"/>
                  </w:divBdr>
                  <w:divsChild>
                    <w:div w:id="633414614">
                      <w:marLeft w:val="0"/>
                      <w:marRight w:val="0"/>
                      <w:marTop w:val="0"/>
                      <w:marBottom w:val="60"/>
                      <w:divBdr>
                        <w:top w:val="none" w:sz="0" w:space="0" w:color="auto"/>
                        <w:left w:val="none" w:sz="0" w:space="0" w:color="auto"/>
                        <w:bottom w:val="none" w:sz="0" w:space="0" w:color="auto"/>
                        <w:right w:val="none" w:sz="0" w:space="0" w:color="auto"/>
                      </w:divBdr>
                    </w:div>
                    <w:div w:id="1590502179">
                      <w:marLeft w:val="0"/>
                      <w:marRight w:val="0"/>
                      <w:marTop w:val="0"/>
                      <w:marBottom w:val="0"/>
                      <w:divBdr>
                        <w:top w:val="none" w:sz="0" w:space="0" w:color="auto"/>
                        <w:left w:val="none" w:sz="0" w:space="0" w:color="auto"/>
                        <w:bottom w:val="none" w:sz="0" w:space="0" w:color="auto"/>
                        <w:right w:val="none" w:sz="0" w:space="0" w:color="auto"/>
                      </w:divBdr>
                    </w:div>
                    <w:div w:id="2147241206">
                      <w:marLeft w:val="0"/>
                      <w:marRight w:val="0"/>
                      <w:marTop w:val="30"/>
                      <w:marBottom w:val="0"/>
                      <w:divBdr>
                        <w:top w:val="none" w:sz="0" w:space="0" w:color="auto"/>
                        <w:left w:val="none" w:sz="0" w:space="0" w:color="auto"/>
                        <w:bottom w:val="none" w:sz="0" w:space="0" w:color="auto"/>
                        <w:right w:val="none" w:sz="0" w:space="0" w:color="auto"/>
                      </w:divBdr>
                    </w:div>
                    <w:div w:id="244804040">
                      <w:marLeft w:val="0"/>
                      <w:marRight w:val="0"/>
                      <w:marTop w:val="0"/>
                      <w:marBottom w:val="60"/>
                      <w:divBdr>
                        <w:top w:val="none" w:sz="0" w:space="0" w:color="auto"/>
                        <w:left w:val="none" w:sz="0" w:space="0" w:color="auto"/>
                        <w:bottom w:val="none" w:sz="0" w:space="0" w:color="auto"/>
                        <w:right w:val="none" w:sz="0" w:space="0" w:color="auto"/>
                      </w:divBdr>
                    </w:div>
                    <w:div w:id="1095324047">
                      <w:marLeft w:val="0"/>
                      <w:marRight w:val="0"/>
                      <w:marTop w:val="0"/>
                      <w:marBottom w:val="0"/>
                      <w:divBdr>
                        <w:top w:val="none" w:sz="0" w:space="0" w:color="auto"/>
                        <w:left w:val="none" w:sz="0" w:space="0" w:color="auto"/>
                        <w:bottom w:val="none" w:sz="0" w:space="0" w:color="auto"/>
                        <w:right w:val="none" w:sz="0" w:space="0" w:color="auto"/>
                      </w:divBdr>
                    </w:div>
                    <w:div w:id="1807889906">
                      <w:marLeft w:val="0"/>
                      <w:marRight w:val="0"/>
                      <w:marTop w:val="30"/>
                      <w:marBottom w:val="0"/>
                      <w:divBdr>
                        <w:top w:val="none" w:sz="0" w:space="0" w:color="auto"/>
                        <w:left w:val="none" w:sz="0" w:space="0" w:color="auto"/>
                        <w:bottom w:val="none" w:sz="0" w:space="0" w:color="auto"/>
                        <w:right w:val="none" w:sz="0" w:space="0" w:color="auto"/>
                      </w:divBdr>
                    </w:div>
                    <w:div w:id="735205326">
                      <w:marLeft w:val="0"/>
                      <w:marRight w:val="0"/>
                      <w:marTop w:val="0"/>
                      <w:marBottom w:val="60"/>
                      <w:divBdr>
                        <w:top w:val="none" w:sz="0" w:space="0" w:color="auto"/>
                        <w:left w:val="none" w:sz="0" w:space="0" w:color="auto"/>
                        <w:bottom w:val="none" w:sz="0" w:space="0" w:color="auto"/>
                        <w:right w:val="none" w:sz="0" w:space="0" w:color="auto"/>
                      </w:divBdr>
                    </w:div>
                    <w:div w:id="370690862">
                      <w:marLeft w:val="0"/>
                      <w:marRight w:val="0"/>
                      <w:marTop w:val="0"/>
                      <w:marBottom w:val="0"/>
                      <w:divBdr>
                        <w:top w:val="none" w:sz="0" w:space="0" w:color="auto"/>
                        <w:left w:val="none" w:sz="0" w:space="0" w:color="auto"/>
                        <w:bottom w:val="none" w:sz="0" w:space="0" w:color="auto"/>
                        <w:right w:val="none" w:sz="0" w:space="0" w:color="auto"/>
                      </w:divBdr>
                    </w:div>
                    <w:div w:id="1302035756">
                      <w:marLeft w:val="0"/>
                      <w:marRight w:val="0"/>
                      <w:marTop w:val="30"/>
                      <w:marBottom w:val="0"/>
                      <w:divBdr>
                        <w:top w:val="none" w:sz="0" w:space="0" w:color="auto"/>
                        <w:left w:val="none" w:sz="0" w:space="0" w:color="auto"/>
                        <w:bottom w:val="none" w:sz="0" w:space="0" w:color="auto"/>
                        <w:right w:val="none" w:sz="0" w:space="0" w:color="auto"/>
                      </w:divBdr>
                    </w:div>
                    <w:div w:id="936594946">
                      <w:marLeft w:val="0"/>
                      <w:marRight w:val="0"/>
                      <w:marTop w:val="0"/>
                      <w:marBottom w:val="60"/>
                      <w:divBdr>
                        <w:top w:val="none" w:sz="0" w:space="0" w:color="auto"/>
                        <w:left w:val="none" w:sz="0" w:space="0" w:color="auto"/>
                        <w:bottom w:val="none" w:sz="0" w:space="0" w:color="auto"/>
                        <w:right w:val="none" w:sz="0" w:space="0" w:color="auto"/>
                      </w:divBdr>
                    </w:div>
                    <w:div w:id="1354304284">
                      <w:marLeft w:val="0"/>
                      <w:marRight w:val="0"/>
                      <w:marTop w:val="0"/>
                      <w:marBottom w:val="0"/>
                      <w:divBdr>
                        <w:top w:val="none" w:sz="0" w:space="0" w:color="auto"/>
                        <w:left w:val="none" w:sz="0" w:space="0" w:color="auto"/>
                        <w:bottom w:val="none" w:sz="0" w:space="0" w:color="auto"/>
                        <w:right w:val="none" w:sz="0" w:space="0" w:color="auto"/>
                      </w:divBdr>
                    </w:div>
                    <w:div w:id="1061640525">
                      <w:marLeft w:val="0"/>
                      <w:marRight w:val="0"/>
                      <w:marTop w:val="30"/>
                      <w:marBottom w:val="0"/>
                      <w:divBdr>
                        <w:top w:val="none" w:sz="0" w:space="0" w:color="auto"/>
                        <w:left w:val="none" w:sz="0" w:space="0" w:color="auto"/>
                        <w:bottom w:val="none" w:sz="0" w:space="0" w:color="auto"/>
                        <w:right w:val="none" w:sz="0" w:space="0" w:color="auto"/>
                      </w:divBdr>
                    </w:div>
                    <w:div w:id="344593769">
                      <w:marLeft w:val="0"/>
                      <w:marRight w:val="0"/>
                      <w:marTop w:val="0"/>
                      <w:marBottom w:val="60"/>
                      <w:divBdr>
                        <w:top w:val="none" w:sz="0" w:space="0" w:color="auto"/>
                        <w:left w:val="none" w:sz="0" w:space="0" w:color="auto"/>
                        <w:bottom w:val="none" w:sz="0" w:space="0" w:color="auto"/>
                        <w:right w:val="none" w:sz="0" w:space="0" w:color="auto"/>
                      </w:divBdr>
                    </w:div>
                    <w:div w:id="1734347866">
                      <w:marLeft w:val="0"/>
                      <w:marRight w:val="0"/>
                      <w:marTop w:val="0"/>
                      <w:marBottom w:val="0"/>
                      <w:divBdr>
                        <w:top w:val="none" w:sz="0" w:space="0" w:color="auto"/>
                        <w:left w:val="none" w:sz="0" w:space="0" w:color="auto"/>
                        <w:bottom w:val="none" w:sz="0" w:space="0" w:color="auto"/>
                        <w:right w:val="none" w:sz="0" w:space="0" w:color="auto"/>
                      </w:divBdr>
                    </w:div>
                    <w:div w:id="1478451392">
                      <w:marLeft w:val="0"/>
                      <w:marRight w:val="0"/>
                      <w:marTop w:val="30"/>
                      <w:marBottom w:val="0"/>
                      <w:divBdr>
                        <w:top w:val="none" w:sz="0" w:space="0" w:color="auto"/>
                        <w:left w:val="none" w:sz="0" w:space="0" w:color="auto"/>
                        <w:bottom w:val="none" w:sz="0" w:space="0" w:color="auto"/>
                        <w:right w:val="none" w:sz="0" w:space="0" w:color="auto"/>
                      </w:divBdr>
                    </w:div>
                  </w:divsChild>
                </w:div>
                <w:div w:id="986281242">
                  <w:marLeft w:val="0"/>
                  <w:marRight w:val="0"/>
                  <w:marTop w:val="0"/>
                  <w:marBottom w:val="390"/>
                  <w:divBdr>
                    <w:top w:val="single" w:sz="6" w:space="10" w:color="F0D0BE"/>
                    <w:left w:val="single" w:sz="6" w:space="13" w:color="F0D0BE"/>
                    <w:bottom w:val="single" w:sz="6" w:space="10" w:color="F0D0BE"/>
                    <w:right w:val="single" w:sz="6" w:space="13" w:color="F0D0BE"/>
                  </w:divBdr>
                </w:div>
              </w:divsChild>
            </w:div>
            <w:div w:id="1706589690">
              <w:marLeft w:val="0"/>
              <w:marRight w:val="0"/>
              <w:marTop w:val="0"/>
              <w:marBottom w:val="0"/>
              <w:divBdr>
                <w:top w:val="none" w:sz="0" w:space="0" w:color="auto"/>
                <w:left w:val="none" w:sz="0" w:space="0" w:color="auto"/>
                <w:bottom w:val="none" w:sz="0" w:space="0" w:color="auto"/>
                <w:right w:val="none" w:sz="0" w:space="0" w:color="auto"/>
              </w:divBdr>
              <w:divsChild>
                <w:div w:id="189999747">
                  <w:marLeft w:val="0"/>
                  <w:marRight w:val="0"/>
                  <w:marTop w:val="0"/>
                  <w:marBottom w:val="510"/>
                  <w:divBdr>
                    <w:top w:val="none" w:sz="0" w:space="0" w:color="auto"/>
                    <w:left w:val="none" w:sz="0" w:space="0" w:color="auto"/>
                    <w:bottom w:val="none" w:sz="0" w:space="0" w:color="auto"/>
                    <w:right w:val="none" w:sz="0" w:space="0" w:color="auto"/>
                  </w:divBdr>
                  <w:divsChild>
                    <w:div w:id="609362133">
                      <w:marLeft w:val="0"/>
                      <w:marRight w:val="0"/>
                      <w:marTop w:val="0"/>
                      <w:marBottom w:val="105"/>
                      <w:divBdr>
                        <w:top w:val="none" w:sz="0" w:space="0" w:color="auto"/>
                        <w:left w:val="none" w:sz="0" w:space="0" w:color="auto"/>
                        <w:bottom w:val="none" w:sz="0" w:space="0" w:color="auto"/>
                        <w:right w:val="none" w:sz="0" w:space="0" w:color="auto"/>
                      </w:divBdr>
                    </w:div>
                  </w:divsChild>
                </w:div>
                <w:div w:id="1682899590">
                  <w:marLeft w:val="0"/>
                  <w:marRight w:val="0"/>
                  <w:marTop w:val="0"/>
                  <w:marBottom w:val="570"/>
                  <w:divBdr>
                    <w:top w:val="none" w:sz="0" w:space="0" w:color="auto"/>
                    <w:left w:val="none" w:sz="0" w:space="0" w:color="auto"/>
                    <w:bottom w:val="none" w:sz="0" w:space="0" w:color="auto"/>
                    <w:right w:val="none" w:sz="0" w:space="0" w:color="auto"/>
                  </w:divBdr>
                  <w:divsChild>
                    <w:div w:id="115999155">
                      <w:marLeft w:val="0"/>
                      <w:marRight w:val="0"/>
                      <w:marTop w:val="0"/>
                      <w:marBottom w:val="0"/>
                      <w:divBdr>
                        <w:top w:val="none" w:sz="0" w:space="0" w:color="auto"/>
                        <w:left w:val="none" w:sz="0" w:space="0" w:color="auto"/>
                        <w:bottom w:val="none" w:sz="0" w:space="0" w:color="auto"/>
                        <w:right w:val="none" w:sz="0" w:space="0" w:color="auto"/>
                      </w:divBdr>
                    </w:div>
                    <w:div w:id="806777089">
                      <w:marLeft w:val="0"/>
                      <w:marRight w:val="0"/>
                      <w:marTop w:val="0"/>
                      <w:marBottom w:val="0"/>
                      <w:divBdr>
                        <w:top w:val="none" w:sz="0" w:space="0" w:color="auto"/>
                        <w:left w:val="none" w:sz="0" w:space="0" w:color="auto"/>
                        <w:bottom w:val="none" w:sz="0" w:space="0" w:color="auto"/>
                        <w:right w:val="none" w:sz="0" w:space="0" w:color="auto"/>
                      </w:divBdr>
                    </w:div>
                    <w:div w:id="1281761251">
                      <w:marLeft w:val="0"/>
                      <w:marRight w:val="0"/>
                      <w:marTop w:val="0"/>
                      <w:marBottom w:val="0"/>
                      <w:divBdr>
                        <w:top w:val="none" w:sz="0" w:space="0" w:color="auto"/>
                        <w:left w:val="none" w:sz="0" w:space="0" w:color="auto"/>
                        <w:bottom w:val="none" w:sz="0" w:space="0" w:color="auto"/>
                        <w:right w:val="none" w:sz="0" w:space="0" w:color="auto"/>
                      </w:divBdr>
                    </w:div>
                  </w:divsChild>
                </w:div>
                <w:div w:id="1144348079">
                  <w:marLeft w:val="0"/>
                  <w:marRight w:val="0"/>
                  <w:marTop w:val="0"/>
                  <w:marBottom w:val="90"/>
                  <w:divBdr>
                    <w:top w:val="none" w:sz="0" w:space="0" w:color="auto"/>
                    <w:left w:val="none" w:sz="0" w:space="0" w:color="auto"/>
                    <w:bottom w:val="none" w:sz="0" w:space="0" w:color="auto"/>
                    <w:right w:val="none" w:sz="0" w:space="0" w:color="auto"/>
                  </w:divBdr>
                </w:div>
                <w:div w:id="930939868">
                  <w:marLeft w:val="0"/>
                  <w:marRight w:val="0"/>
                  <w:marTop w:val="0"/>
                  <w:marBottom w:val="240"/>
                  <w:divBdr>
                    <w:top w:val="none" w:sz="0" w:space="0" w:color="auto"/>
                    <w:left w:val="none" w:sz="0" w:space="0" w:color="auto"/>
                    <w:bottom w:val="none" w:sz="0" w:space="0" w:color="auto"/>
                    <w:right w:val="none" w:sz="0" w:space="0" w:color="auto"/>
                  </w:divBdr>
                  <w:divsChild>
                    <w:div w:id="621613400">
                      <w:marLeft w:val="0"/>
                      <w:marRight w:val="0"/>
                      <w:marTop w:val="0"/>
                      <w:marBottom w:val="270"/>
                      <w:divBdr>
                        <w:top w:val="none" w:sz="0" w:space="0" w:color="auto"/>
                        <w:left w:val="none" w:sz="0" w:space="0" w:color="auto"/>
                        <w:bottom w:val="none" w:sz="0" w:space="0" w:color="auto"/>
                        <w:right w:val="none" w:sz="0" w:space="0" w:color="auto"/>
                      </w:divBdr>
                      <w:divsChild>
                        <w:div w:id="707492823">
                          <w:marLeft w:val="0"/>
                          <w:marRight w:val="0"/>
                          <w:marTop w:val="75"/>
                          <w:marBottom w:val="0"/>
                          <w:divBdr>
                            <w:top w:val="none" w:sz="0" w:space="0" w:color="auto"/>
                            <w:left w:val="none" w:sz="0" w:space="0" w:color="auto"/>
                            <w:bottom w:val="none" w:sz="0" w:space="0" w:color="auto"/>
                            <w:right w:val="none" w:sz="0" w:space="0" w:color="auto"/>
                          </w:divBdr>
                        </w:div>
                      </w:divsChild>
                    </w:div>
                    <w:div w:id="1973244128">
                      <w:marLeft w:val="0"/>
                      <w:marRight w:val="0"/>
                      <w:marTop w:val="0"/>
                      <w:marBottom w:val="270"/>
                      <w:divBdr>
                        <w:top w:val="none" w:sz="0" w:space="0" w:color="auto"/>
                        <w:left w:val="none" w:sz="0" w:space="0" w:color="auto"/>
                        <w:bottom w:val="none" w:sz="0" w:space="0" w:color="auto"/>
                        <w:right w:val="none" w:sz="0" w:space="0" w:color="auto"/>
                      </w:divBdr>
                      <w:divsChild>
                        <w:div w:id="1827895824">
                          <w:marLeft w:val="0"/>
                          <w:marRight w:val="0"/>
                          <w:marTop w:val="75"/>
                          <w:marBottom w:val="0"/>
                          <w:divBdr>
                            <w:top w:val="none" w:sz="0" w:space="0" w:color="auto"/>
                            <w:left w:val="none" w:sz="0" w:space="0" w:color="auto"/>
                            <w:bottom w:val="none" w:sz="0" w:space="0" w:color="auto"/>
                            <w:right w:val="none" w:sz="0" w:space="0" w:color="auto"/>
                          </w:divBdr>
                        </w:div>
                      </w:divsChild>
                    </w:div>
                    <w:div w:id="1232228065">
                      <w:marLeft w:val="0"/>
                      <w:marRight w:val="0"/>
                      <w:marTop w:val="0"/>
                      <w:marBottom w:val="270"/>
                      <w:divBdr>
                        <w:top w:val="none" w:sz="0" w:space="0" w:color="auto"/>
                        <w:left w:val="none" w:sz="0" w:space="0" w:color="auto"/>
                        <w:bottom w:val="none" w:sz="0" w:space="0" w:color="auto"/>
                        <w:right w:val="none" w:sz="0" w:space="0" w:color="auto"/>
                      </w:divBdr>
                      <w:divsChild>
                        <w:div w:id="1077285464">
                          <w:marLeft w:val="0"/>
                          <w:marRight w:val="0"/>
                          <w:marTop w:val="75"/>
                          <w:marBottom w:val="0"/>
                          <w:divBdr>
                            <w:top w:val="none" w:sz="0" w:space="0" w:color="auto"/>
                            <w:left w:val="none" w:sz="0" w:space="0" w:color="auto"/>
                            <w:bottom w:val="none" w:sz="0" w:space="0" w:color="auto"/>
                            <w:right w:val="none" w:sz="0" w:space="0" w:color="auto"/>
                          </w:divBdr>
                        </w:div>
                      </w:divsChild>
                    </w:div>
                    <w:div w:id="200048594">
                      <w:marLeft w:val="0"/>
                      <w:marRight w:val="0"/>
                      <w:marTop w:val="0"/>
                      <w:marBottom w:val="270"/>
                      <w:divBdr>
                        <w:top w:val="none" w:sz="0" w:space="0" w:color="auto"/>
                        <w:left w:val="none" w:sz="0" w:space="0" w:color="auto"/>
                        <w:bottom w:val="none" w:sz="0" w:space="0" w:color="auto"/>
                        <w:right w:val="none" w:sz="0" w:space="0" w:color="auto"/>
                      </w:divBdr>
                      <w:divsChild>
                        <w:div w:id="770592284">
                          <w:marLeft w:val="0"/>
                          <w:marRight w:val="0"/>
                          <w:marTop w:val="0"/>
                          <w:marBottom w:val="0"/>
                          <w:divBdr>
                            <w:top w:val="none" w:sz="0" w:space="0" w:color="auto"/>
                            <w:left w:val="none" w:sz="0" w:space="0" w:color="auto"/>
                            <w:bottom w:val="none" w:sz="0" w:space="0" w:color="auto"/>
                            <w:right w:val="none" w:sz="0" w:space="0" w:color="auto"/>
                          </w:divBdr>
                          <w:divsChild>
                            <w:div w:id="905382095">
                              <w:marLeft w:val="0"/>
                              <w:marRight w:val="0"/>
                              <w:marTop w:val="0"/>
                              <w:marBottom w:val="0"/>
                              <w:divBdr>
                                <w:top w:val="none" w:sz="0" w:space="0" w:color="auto"/>
                                <w:left w:val="none" w:sz="0" w:space="0" w:color="auto"/>
                                <w:bottom w:val="none" w:sz="0" w:space="0" w:color="auto"/>
                                <w:right w:val="none" w:sz="0" w:space="0" w:color="auto"/>
                              </w:divBdr>
                            </w:div>
                            <w:div w:id="1954286994">
                              <w:marLeft w:val="0"/>
                              <w:marRight w:val="0"/>
                              <w:marTop w:val="0"/>
                              <w:marBottom w:val="0"/>
                              <w:divBdr>
                                <w:top w:val="none" w:sz="0" w:space="0" w:color="auto"/>
                                <w:left w:val="none" w:sz="0" w:space="0" w:color="auto"/>
                                <w:bottom w:val="none" w:sz="0" w:space="0" w:color="auto"/>
                                <w:right w:val="none" w:sz="0" w:space="0" w:color="auto"/>
                              </w:divBdr>
                            </w:div>
                          </w:divsChild>
                        </w:div>
                        <w:div w:id="73304256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59128761">
                  <w:marLeft w:val="0"/>
                  <w:marRight w:val="0"/>
                  <w:marTop w:val="480"/>
                  <w:marBottom w:val="0"/>
                  <w:divBdr>
                    <w:top w:val="none" w:sz="0" w:space="0" w:color="auto"/>
                    <w:left w:val="none" w:sz="0" w:space="0" w:color="auto"/>
                    <w:bottom w:val="none" w:sz="0" w:space="0" w:color="auto"/>
                    <w:right w:val="none" w:sz="0" w:space="0" w:color="auto"/>
                  </w:divBdr>
                </w:div>
              </w:divsChild>
            </w:div>
            <w:div w:id="899247548">
              <w:marLeft w:val="0"/>
              <w:marRight w:val="0"/>
              <w:marTop w:val="0"/>
              <w:marBottom w:val="0"/>
              <w:divBdr>
                <w:top w:val="none" w:sz="0" w:space="0" w:color="auto"/>
                <w:left w:val="none" w:sz="0" w:space="0" w:color="auto"/>
                <w:bottom w:val="none" w:sz="0" w:space="0" w:color="auto"/>
                <w:right w:val="none" w:sz="0" w:space="0" w:color="auto"/>
              </w:divBdr>
              <w:divsChild>
                <w:div w:id="1930966329">
                  <w:marLeft w:val="0"/>
                  <w:marRight w:val="0"/>
                  <w:marTop w:val="0"/>
                  <w:marBottom w:val="510"/>
                  <w:divBdr>
                    <w:top w:val="none" w:sz="0" w:space="0" w:color="auto"/>
                    <w:left w:val="none" w:sz="0" w:space="0" w:color="auto"/>
                    <w:bottom w:val="none" w:sz="0" w:space="0" w:color="auto"/>
                    <w:right w:val="none" w:sz="0" w:space="0" w:color="auto"/>
                  </w:divBdr>
                  <w:divsChild>
                    <w:div w:id="397633683">
                      <w:marLeft w:val="0"/>
                      <w:marRight w:val="0"/>
                      <w:marTop w:val="0"/>
                      <w:marBottom w:val="105"/>
                      <w:divBdr>
                        <w:top w:val="none" w:sz="0" w:space="0" w:color="auto"/>
                        <w:left w:val="none" w:sz="0" w:space="0" w:color="auto"/>
                        <w:bottom w:val="none" w:sz="0" w:space="0" w:color="auto"/>
                        <w:right w:val="none" w:sz="0" w:space="0" w:color="auto"/>
                      </w:divBdr>
                    </w:div>
                  </w:divsChild>
                </w:div>
                <w:div w:id="370962283">
                  <w:marLeft w:val="0"/>
                  <w:marRight w:val="0"/>
                  <w:marTop w:val="0"/>
                  <w:marBottom w:val="570"/>
                  <w:divBdr>
                    <w:top w:val="none" w:sz="0" w:space="0" w:color="auto"/>
                    <w:left w:val="none" w:sz="0" w:space="0" w:color="auto"/>
                    <w:bottom w:val="none" w:sz="0" w:space="0" w:color="auto"/>
                    <w:right w:val="none" w:sz="0" w:space="0" w:color="auto"/>
                  </w:divBdr>
                  <w:divsChild>
                    <w:div w:id="1534997786">
                      <w:marLeft w:val="0"/>
                      <w:marRight w:val="0"/>
                      <w:marTop w:val="0"/>
                      <w:marBottom w:val="0"/>
                      <w:divBdr>
                        <w:top w:val="none" w:sz="0" w:space="0" w:color="auto"/>
                        <w:left w:val="none" w:sz="0" w:space="0" w:color="auto"/>
                        <w:bottom w:val="none" w:sz="0" w:space="0" w:color="auto"/>
                        <w:right w:val="none" w:sz="0" w:space="0" w:color="auto"/>
                      </w:divBdr>
                    </w:div>
                    <w:div w:id="954797788">
                      <w:marLeft w:val="0"/>
                      <w:marRight w:val="0"/>
                      <w:marTop w:val="0"/>
                      <w:marBottom w:val="0"/>
                      <w:divBdr>
                        <w:top w:val="none" w:sz="0" w:space="0" w:color="auto"/>
                        <w:left w:val="none" w:sz="0" w:space="0" w:color="auto"/>
                        <w:bottom w:val="none" w:sz="0" w:space="0" w:color="auto"/>
                        <w:right w:val="none" w:sz="0" w:space="0" w:color="auto"/>
                      </w:divBdr>
                    </w:div>
                    <w:div w:id="133104691">
                      <w:marLeft w:val="0"/>
                      <w:marRight w:val="0"/>
                      <w:marTop w:val="0"/>
                      <w:marBottom w:val="0"/>
                      <w:divBdr>
                        <w:top w:val="none" w:sz="0" w:space="0" w:color="auto"/>
                        <w:left w:val="none" w:sz="0" w:space="0" w:color="auto"/>
                        <w:bottom w:val="none" w:sz="0" w:space="0" w:color="auto"/>
                        <w:right w:val="none" w:sz="0" w:space="0" w:color="auto"/>
                      </w:divBdr>
                    </w:div>
                  </w:divsChild>
                </w:div>
                <w:div w:id="100616332">
                  <w:marLeft w:val="0"/>
                  <w:marRight w:val="0"/>
                  <w:marTop w:val="0"/>
                  <w:marBottom w:val="90"/>
                  <w:divBdr>
                    <w:top w:val="none" w:sz="0" w:space="0" w:color="auto"/>
                    <w:left w:val="none" w:sz="0" w:space="0" w:color="auto"/>
                    <w:bottom w:val="none" w:sz="0" w:space="0" w:color="auto"/>
                    <w:right w:val="none" w:sz="0" w:space="0" w:color="auto"/>
                  </w:divBdr>
                </w:div>
                <w:div w:id="1158576506">
                  <w:marLeft w:val="0"/>
                  <w:marRight w:val="0"/>
                  <w:marTop w:val="450"/>
                  <w:marBottom w:val="210"/>
                  <w:divBdr>
                    <w:top w:val="none" w:sz="0" w:space="0" w:color="auto"/>
                    <w:left w:val="none" w:sz="0" w:space="0" w:color="auto"/>
                    <w:bottom w:val="none" w:sz="0" w:space="0" w:color="auto"/>
                    <w:right w:val="none" w:sz="0" w:space="0" w:color="auto"/>
                  </w:divBdr>
                  <w:divsChild>
                    <w:div w:id="1388647414">
                      <w:marLeft w:val="0"/>
                      <w:marRight w:val="0"/>
                      <w:marTop w:val="0"/>
                      <w:marBottom w:val="0"/>
                      <w:divBdr>
                        <w:top w:val="none" w:sz="0" w:space="0" w:color="auto"/>
                        <w:left w:val="none" w:sz="0" w:space="0" w:color="auto"/>
                        <w:bottom w:val="none" w:sz="0" w:space="0" w:color="auto"/>
                        <w:right w:val="none" w:sz="0" w:space="0" w:color="auto"/>
                      </w:divBdr>
                    </w:div>
                  </w:divsChild>
                </w:div>
                <w:div w:id="1829438947">
                  <w:marLeft w:val="0"/>
                  <w:marRight w:val="0"/>
                  <w:marTop w:val="0"/>
                  <w:marBottom w:val="240"/>
                  <w:divBdr>
                    <w:top w:val="none" w:sz="0" w:space="0" w:color="auto"/>
                    <w:left w:val="none" w:sz="0" w:space="0" w:color="auto"/>
                    <w:bottom w:val="none" w:sz="0" w:space="0" w:color="auto"/>
                    <w:right w:val="none" w:sz="0" w:space="0" w:color="auto"/>
                  </w:divBdr>
                  <w:divsChild>
                    <w:div w:id="1563324537">
                      <w:marLeft w:val="0"/>
                      <w:marRight w:val="0"/>
                      <w:marTop w:val="0"/>
                      <w:marBottom w:val="30"/>
                      <w:divBdr>
                        <w:top w:val="none" w:sz="0" w:space="0" w:color="auto"/>
                        <w:left w:val="none" w:sz="0" w:space="0" w:color="auto"/>
                        <w:bottom w:val="none" w:sz="0" w:space="0" w:color="auto"/>
                        <w:right w:val="none" w:sz="0" w:space="0" w:color="auto"/>
                      </w:divBdr>
                    </w:div>
                  </w:divsChild>
                </w:div>
                <w:div w:id="254366180">
                  <w:marLeft w:val="0"/>
                  <w:marRight w:val="0"/>
                  <w:marTop w:val="450"/>
                  <w:marBottom w:val="210"/>
                  <w:divBdr>
                    <w:top w:val="none" w:sz="0" w:space="0" w:color="auto"/>
                    <w:left w:val="none" w:sz="0" w:space="0" w:color="auto"/>
                    <w:bottom w:val="none" w:sz="0" w:space="0" w:color="auto"/>
                    <w:right w:val="none" w:sz="0" w:space="0" w:color="auto"/>
                  </w:divBdr>
                  <w:divsChild>
                    <w:div w:id="1715235127">
                      <w:marLeft w:val="0"/>
                      <w:marRight w:val="0"/>
                      <w:marTop w:val="0"/>
                      <w:marBottom w:val="0"/>
                      <w:divBdr>
                        <w:top w:val="none" w:sz="0" w:space="0" w:color="auto"/>
                        <w:left w:val="none" w:sz="0" w:space="0" w:color="auto"/>
                        <w:bottom w:val="none" w:sz="0" w:space="0" w:color="auto"/>
                        <w:right w:val="none" w:sz="0" w:space="0" w:color="auto"/>
                      </w:divBdr>
                    </w:div>
                  </w:divsChild>
                </w:div>
                <w:div w:id="1106540850">
                  <w:marLeft w:val="0"/>
                  <w:marRight w:val="0"/>
                  <w:marTop w:val="0"/>
                  <w:marBottom w:val="240"/>
                  <w:divBdr>
                    <w:top w:val="none" w:sz="0" w:space="0" w:color="auto"/>
                    <w:left w:val="none" w:sz="0" w:space="0" w:color="auto"/>
                    <w:bottom w:val="none" w:sz="0" w:space="0" w:color="auto"/>
                    <w:right w:val="none" w:sz="0" w:space="0" w:color="auto"/>
                  </w:divBdr>
                  <w:divsChild>
                    <w:div w:id="1163200638">
                      <w:marLeft w:val="0"/>
                      <w:marRight w:val="0"/>
                      <w:marTop w:val="0"/>
                      <w:marBottom w:val="30"/>
                      <w:divBdr>
                        <w:top w:val="none" w:sz="0" w:space="0" w:color="auto"/>
                        <w:left w:val="none" w:sz="0" w:space="0" w:color="auto"/>
                        <w:bottom w:val="none" w:sz="0" w:space="0" w:color="auto"/>
                        <w:right w:val="none" w:sz="0" w:space="0" w:color="auto"/>
                      </w:divBdr>
                    </w:div>
                  </w:divsChild>
                </w:div>
                <w:div w:id="753476859">
                  <w:marLeft w:val="0"/>
                  <w:marRight w:val="0"/>
                  <w:marTop w:val="450"/>
                  <w:marBottom w:val="210"/>
                  <w:divBdr>
                    <w:top w:val="none" w:sz="0" w:space="0" w:color="auto"/>
                    <w:left w:val="none" w:sz="0" w:space="0" w:color="auto"/>
                    <w:bottom w:val="none" w:sz="0" w:space="0" w:color="auto"/>
                    <w:right w:val="none" w:sz="0" w:space="0" w:color="auto"/>
                  </w:divBdr>
                  <w:divsChild>
                    <w:div w:id="650866580">
                      <w:marLeft w:val="0"/>
                      <w:marRight w:val="0"/>
                      <w:marTop w:val="0"/>
                      <w:marBottom w:val="0"/>
                      <w:divBdr>
                        <w:top w:val="none" w:sz="0" w:space="0" w:color="auto"/>
                        <w:left w:val="none" w:sz="0" w:space="0" w:color="auto"/>
                        <w:bottom w:val="none" w:sz="0" w:space="0" w:color="auto"/>
                        <w:right w:val="none" w:sz="0" w:space="0" w:color="auto"/>
                      </w:divBdr>
                    </w:div>
                  </w:divsChild>
                </w:div>
                <w:div w:id="1375616200">
                  <w:marLeft w:val="0"/>
                  <w:marRight w:val="0"/>
                  <w:marTop w:val="0"/>
                  <w:marBottom w:val="240"/>
                  <w:divBdr>
                    <w:top w:val="none" w:sz="0" w:space="0" w:color="auto"/>
                    <w:left w:val="none" w:sz="0" w:space="0" w:color="auto"/>
                    <w:bottom w:val="none" w:sz="0" w:space="0" w:color="auto"/>
                    <w:right w:val="none" w:sz="0" w:space="0" w:color="auto"/>
                  </w:divBdr>
                  <w:divsChild>
                    <w:div w:id="1404720586">
                      <w:marLeft w:val="0"/>
                      <w:marRight w:val="0"/>
                      <w:marTop w:val="0"/>
                      <w:marBottom w:val="30"/>
                      <w:divBdr>
                        <w:top w:val="none" w:sz="0" w:space="0" w:color="auto"/>
                        <w:left w:val="none" w:sz="0" w:space="0" w:color="auto"/>
                        <w:bottom w:val="none" w:sz="0" w:space="0" w:color="auto"/>
                        <w:right w:val="none" w:sz="0" w:space="0" w:color="auto"/>
                      </w:divBdr>
                    </w:div>
                  </w:divsChild>
                </w:div>
                <w:div w:id="71582783">
                  <w:marLeft w:val="0"/>
                  <w:marRight w:val="0"/>
                  <w:marTop w:val="450"/>
                  <w:marBottom w:val="210"/>
                  <w:divBdr>
                    <w:top w:val="none" w:sz="0" w:space="0" w:color="auto"/>
                    <w:left w:val="none" w:sz="0" w:space="0" w:color="auto"/>
                    <w:bottom w:val="none" w:sz="0" w:space="0" w:color="auto"/>
                    <w:right w:val="none" w:sz="0" w:space="0" w:color="auto"/>
                  </w:divBdr>
                  <w:divsChild>
                    <w:div w:id="1511338504">
                      <w:marLeft w:val="0"/>
                      <w:marRight w:val="0"/>
                      <w:marTop w:val="0"/>
                      <w:marBottom w:val="0"/>
                      <w:divBdr>
                        <w:top w:val="none" w:sz="0" w:space="0" w:color="auto"/>
                        <w:left w:val="none" w:sz="0" w:space="0" w:color="auto"/>
                        <w:bottom w:val="none" w:sz="0" w:space="0" w:color="auto"/>
                        <w:right w:val="none" w:sz="0" w:space="0" w:color="auto"/>
                      </w:divBdr>
                    </w:div>
                  </w:divsChild>
                </w:div>
                <w:div w:id="1558280670">
                  <w:marLeft w:val="0"/>
                  <w:marRight w:val="0"/>
                  <w:marTop w:val="0"/>
                  <w:marBottom w:val="240"/>
                  <w:divBdr>
                    <w:top w:val="none" w:sz="0" w:space="0" w:color="auto"/>
                    <w:left w:val="none" w:sz="0" w:space="0" w:color="auto"/>
                    <w:bottom w:val="none" w:sz="0" w:space="0" w:color="auto"/>
                    <w:right w:val="none" w:sz="0" w:space="0" w:color="auto"/>
                  </w:divBdr>
                  <w:divsChild>
                    <w:div w:id="863178478">
                      <w:marLeft w:val="0"/>
                      <w:marRight w:val="0"/>
                      <w:marTop w:val="0"/>
                      <w:marBottom w:val="30"/>
                      <w:divBdr>
                        <w:top w:val="none" w:sz="0" w:space="0" w:color="auto"/>
                        <w:left w:val="none" w:sz="0" w:space="0" w:color="auto"/>
                        <w:bottom w:val="none" w:sz="0" w:space="0" w:color="auto"/>
                        <w:right w:val="none" w:sz="0" w:space="0" w:color="auto"/>
                      </w:divBdr>
                    </w:div>
                  </w:divsChild>
                </w:div>
                <w:div w:id="87695067">
                  <w:marLeft w:val="0"/>
                  <w:marRight w:val="0"/>
                  <w:marTop w:val="0"/>
                  <w:marBottom w:val="0"/>
                  <w:divBdr>
                    <w:top w:val="none" w:sz="0" w:space="0" w:color="auto"/>
                    <w:left w:val="none" w:sz="0" w:space="0" w:color="auto"/>
                    <w:bottom w:val="none" w:sz="0" w:space="0" w:color="auto"/>
                    <w:right w:val="none" w:sz="0" w:space="0" w:color="auto"/>
                  </w:divBdr>
                  <w:divsChild>
                    <w:div w:id="1359693515">
                      <w:marLeft w:val="0"/>
                      <w:marRight w:val="0"/>
                      <w:marTop w:val="450"/>
                      <w:marBottom w:val="210"/>
                      <w:divBdr>
                        <w:top w:val="none" w:sz="0" w:space="0" w:color="auto"/>
                        <w:left w:val="none" w:sz="0" w:space="0" w:color="auto"/>
                        <w:bottom w:val="none" w:sz="0" w:space="0" w:color="auto"/>
                        <w:right w:val="none" w:sz="0" w:space="0" w:color="auto"/>
                      </w:divBdr>
                      <w:divsChild>
                        <w:div w:id="1569992442">
                          <w:marLeft w:val="0"/>
                          <w:marRight w:val="0"/>
                          <w:marTop w:val="0"/>
                          <w:marBottom w:val="0"/>
                          <w:divBdr>
                            <w:top w:val="none" w:sz="0" w:space="0" w:color="auto"/>
                            <w:left w:val="none" w:sz="0" w:space="0" w:color="auto"/>
                            <w:bottom w:val="none" w:sz="0" w:space="0" w:color="auto"/>
                            <w:right w:val="none" w:sz="0" w:space="0" w:color="auto"/>
                          </w:divBdr>
                        </w:div>
                      </w:divsChild>
                    </w:div>
                    <w:div w:id="807286781">
                      <w:marLeft w:val="0"/>
                      <w:marRight w:val="0"/>
                      <w:marTop w:val="0"/>
                      <w:marBottom w:val="240"/>
                      <w:divBdr>
                        <w:top w:val="none" w:sz="0" w:space="0" w:color="auto"/>
                        <w:left w:val="none" w:sz="0" w:space="0" w:color="auto"/>
                        <w:bottom w:val="none" w:sz="0" w:space="0" w:color="auto"/>
                        <w:right w:val="none" w:sz="0" w:space="0" w:color="auto"/>
                      </w:divBdr>
                      <w:divsChild>
                        <w:div w:id="125778759">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1829327049">
                  <w:marLeft w:val="0"/>
                  <w:marRight w:val="0"/>
                  <w:marTop w:val="450"/>
                  <w:marBottom w:val="210"/>
                  <w:divBdr>
                    <w:top w:val="none" w:sz="0" w:space="0" w:color="auto"/>
                    <w:left w:val="none" w:sz="0" w:space="0" w:color="auto"/>
                    <w:bottom w:val="none" w:sz="0" w:space="0" w:color="auto"/>
                    <w:right w:val="none" w:sz="0" w:space="0" w:color="auto"/>
                  </w:divBdr>
                  <w:divsChild>
                    <w:div w:id="1236739654">
                      <w:marLeft w:val="0"/>
                      <w:marRight w:val="0"/>
                      <w:marTop w:val="0"/>
                      <w:marBottom w:val="0"/>
                      <w:divBdr>
                        <w:top w:val="none" w:sz="0" w:space="0" w:color="auto"/>
                        <w:left w:val="none" w:sz="0" w:space="0" w:color="auto"/>
                        <w:bottom w:val="none" w:sz="0" w:space="0" w:color="auto"/>
                        <w:right w:val="none" w:sz="0" w:space="0" w:color="auto"/>
                      </w:divBdr>
                    </w:div>
                  </w:divsChild>
                </w:div>
                <w:div w:id="674185323">
                  <w:marLeft w:val="0"/>
                  <w:marRight w:val="0"/>
                  <w:marTop w:val="0"/>
                  <w:marBottom w:val="240"/>
                  <w:divBdr>
                    <w:top w:val="none" w:sz="0" w:space="0" w:color="auto"/>
                    <w:left w:val="none" w:sz="0" w:space="0" w:color="auto"/>
                    <w:bottom w:val="none" w:sz="0" w:space="0" w:color="auto"/>
                    <w:right w:val="none" w:sz="0" w:space="0" w:color="auto"/>
                  </w:divBdr>
                  <w:divsChild>
                    <w:div w:id="30767158">
                      <w:marLeft w:val="0"/>
                      <w:marRight w:val="0"/>
                      <w:marTop w:val="0"/>
                      <w:marBottom w:val="270"/>
                      <w:divBdr>
                        <w:top w:val="none" w:sz="0" w:space="0" w:color="auto"/>
                        <w:left w:val="none" w:sz="0" w:space="0" w:color="auto"/>
                        <w:bottom w:val="none" w:sz="0" w:space="0" w:color="auto"/>
                        <w:right w:val="none" w:sz="0" w:space="0" w:color="auto"/>
                      </w:divBdr>
                      <w:divsChild>
                        <w:div w:id="1070497737">
                          <w:marLeft w:val="0"/>
                          <w:marRight w:val="0"/>
                          <w:marTop w:val="75"/>
                          <w:marBottom w:val="0"/>
                          <w:divBdr>
                            <w:top w:val="none" w:sz="0" w:space="0" w:color="auto"/>
                            <w:left w:val="none" w:sz="0" w:space="0" w:color="auto"/>
                            <w:bottom w:val="none" w:sz="0" w:space="0" w:color="auto"/>
                            <w:right w:val="none" w:sz="0" w:space="0" w:color="auto"/>
                          </w:divBdr>
                        </w:div>
                      </w:divsChild>
                    </w:div>
                    <w:div w:id="1308170993">
                      <w:marLeft w:val="0"/>
                      <w:marRight w:val="0"/>
                      <w:marTop w:val="0"/>
                      <w:marBottom w:val="0"/>
                      <w:divBdr>
                        <w:top w:val="none" w:sz="0" w:space="0" w:color="auto"/>
                        <w:left w:val="none" w:sz="0" w:space="0" w:color="auto"/>
                        <w:bottom w:val="none" w:sz="0" w:space="0" w:color="auto"/>
                        <w:right w:val="none" w:sz="0" w:space="0" w:color="auto"/>
                      </w:divBdr>
                    </w:div>
                  </w:divsChild>
                </w:div>
                <w:div w:id="1873227320">
                  <w:marLeft w:val="0"/>
                  <w:marRight w:val="0"/>
                  <w:marTop w:val="0"/>
                  <w:marBottom w:val="150"/>
                  <w:divBdr>
                    <w:top w:val="none" w:sz="0" w:space="0" w:color="auto"/>
                    <w:left w:val="none" w:sz="0" w:space="0" w:color="auto"/>
                    <w:bottom w:val="none" w:sz="0" w:space="0" w:color="auto"/>
                    <w:right w:val="none" w:sz="0" w:space="0" w:color="auto"/>
                  </w:divBdr>
                </w:div>
                <w:div w:id="726563416">
                  <w:marLeft w:val="0"/>
                  <w:marRight w:val="0"/>
                  <w:marTop w:val="480"/>
                  <w:marBottom w:val="0"/>
                  <w:divBdr>
                    <w:top w:val="none" w:sz="0" w:space="0" w:color="auto"/>
                    <w:left w:val="none" w:sz="0" w:space="0" w:color="auto"/>
                    <w:bottom w:val="none" w:sz="0" w:space="0" w:color="auto"/>
                    <w:right w:val="none" w:sz="0" w:space="0" w:color="auto"/>
                  </w:divBdr>
                </w:div>
              </w:divsChild>
            </w:div>
            <w:div w:id="1788890462">
              <w:marLeft w:val="0"/>
              <w:marRight w:val="0"/>
              <w:marTop w:val="0"/>
              <w:marBottom w:val="0"/>
              <w:divBdr>
                <w:top w:val="none" w:sz="0" w:space="0" w:color="auto"/>
                <w:left w:val="none" w:sz="0" w:space="0" w:color="auto"/>
                <w:bottom w:val="none" w:sz="0" w:space="0" w:color="auto"/>
                <w:right w:val="none" w:sz="0" w:space="0" w:color="auto"/>
              </w:divBdr>
              <w:divsChild>
                <w:div w:id="1230844292">
                  <w:marLeft w:val="0"/>
                  <w:marRight w:val="0"/>
                  <w:marTop w:val="0"/>
                  <w:marBottom w:val="510"/>
                  <w:divBdr>
                    <w:top w:val="none" w:sz="0" w:space="0" w:color="auto"/>
                    <w:left w:val="none" w:sz="0" w:space="0" w:color="auto"/>
                    <w:bottom w:val="none" w:sz="0" w:space="0" w:color="auto"/>
                    <w:right w:val="none" w:sz="0" w:space="0" w:color="auto"/>
                  </w:divBdr>
                  <w:divsChild>
                    <w:div w:id="1794248814">
                      <w:marLeft w:val="0"/>
                      <w:marRight w:val="0"/>
                      <w:marTop w:val="0"/>
                      <w:marBottom w:val="105"/>
                      <w:divBdr>
                        <w:top w:val="none" w:sz="0" w:space="0" w:color="auto"/>
                        <w:left w:val="none" w:sz="0" w:space="0" w:color="auto"/>
                        <w:bottom w:val="none" w:sz="0" w:space="0" w:color="auto"/>
                        <w:right w:val="none" w:sz="0" w:space="0" w:color="auto"/>
                      </w:divBdr>
                    </w:div>
                  </w:divsChild>
                </w:div>
                <w:div w:id="955597213">
                  <w:marLeft w:val="0"/>
                  <w:marRight w:val="0"/>
                  <w:marTop w:val="0"/>
                  <w:marBottom w:val="570"/>
                  <w:divBdr>
                    <w:top w:val="none" w:sz="0" w:space="0" w:color="auto"/>
                    <w:left w:val="none" w:sz="0" w:space="0" w:color="auto"/>
                    <w:bottom w:val="none" w:sz="0" w:space="0" w:color="auto"/>
                    <w:right w:val="none" w:sz="0" w:space="0" w:color="auto"/>
                  </w:divBdr>
                  <w:divsChild>
                    <w:div w:id="420567179">
                      <w:marLeft w:val="0"/>
                      <w:marRight w:val="0"/>
                      <w:marTop w:val="0"/>
                      <w:marBottom w:val="0"/>
                      <w:divBdr>
                        <w:top w:val="none" w:sz="0" w:space="0" w:color="auto"/>
                        <w:left w:val="none" w:sz="0" w:space="0" w:color="auto"/>
                        <w:bottom w:val="none" w:sz="0" w:space="0" w:color="auto"/>
                        <w:right w:val="none" w:sz="0" w:space="0" w:color="auto"/>
                      </w:divBdr>
                    </w:div>
                    <w:div w:id="1823035772">
                      <w:marLeft w:val="0"/>
                      <w:marRight w:val="0"/>
                      <w:marTop w:val="0"/>
                      <w:marBottom w:val="0"/>
                      <w:divBdr>
                        <w:top w:val="none" w:sz="0" w:space="0" w:color="auto"/>
                        <w:left w:val="none" w:sz="0" w:space="0" w:color="auto"/>
                        <w:bottom w:val="none" w:sz="0" w:space="0" w:color="auto"/>
                        <w:right w:val="none" w:sz="0" w:space="0" w:color="auto"/>
                      </w:divBdr>
                    </w:div>
                    <w:div w:id="506528446">
                      <w:marLeft w:val="0"/>
                      <w:marRight w:val="0"/>
                      <w:marTop w:val="0"/>
                      <w:marBottom w:val="0"/>
                      <w:divBdr>
                        <w:top w:val="none" w:sz="0" w:space="0" w:color="auto"/>
                        <w:left w:val="none" w:sz="0" w:space="0" w:color="auto"/>
                        <w:bottom w:val="none" w:sz="0" w:space="0" w:color="auto"/>
                        <w:right w:val="none" w:sz="0" w:space="0" w:color="auto"/>
                      </w:divBdr>
                    </w:div>
                  </w:divsChild>
                </w:div>
                <w:div w:id="981740388">
                  <w:marLeft w:val="0"/>
                  <w:marRight w:val="0"/>
                  <w:marTop w:val="0"/>
                  <w:marBottom w:val="300"/>
                  <w:divBdr>
                    <w:top w:val="none" w:sz="0" w:space="0" w:color="auto"/>
                    <w:left w:val="none" w:sz="0" w:space="0" w:color="auto"/>
                    <w:bottom w:val="none" w:sz="0" w:space="0" w:color="auto"/>
                    <w:right w:val="none" w:sz="0" w:space="0" w:color="auto"/>
                  </w:divBdr>
                  <w:divsChild>
                    <w:div w:id="1512060069">
                      <w:marLeft w:val="0"/>
                      <w:marRight w:val="0"/>
                      <w:marTop w:val="0"/>
                      <w:marBottom w:val="0"/>
                      <w:divBdr>
                        <w:top w:val="none" w:sz="0" w:space="0" w:color="auto"/>
                        <w:left w:val="none" w:sz="0" w:space="0" w:color="auto"/>
                        <w:bottom w:val="none" w:sz="0" w:space="0" w:color="auto"/>
                        <w:right w:val="none" w:sz="0" w:space="0" w:color="auto"/>
                      </w:divBdr>
                      <w:divsChild>
                        <w:div w:id="108005445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97346973">
                  <w:marLeft w:val="0"/>
                  <w:marRight w:val="0"/>
                  <w:marTop w:val="0"/>
                  <w:marBottom w:val="270"/>
                  <w:divBdr>
                    <w:top w:val="none" w:sz="0" w:space="0" w:color="auto"/>
                    <w:left w:val="none" w:sz="0" w:space="0" w:color="auto"/>
                    <w:bottom w:val="none" w:sz="0" w:space="0" w:color="auto"/>
                    <w:right w:val="none" w:sz="0" w:space="0" w:color="auto"/>
                  </w:divBdr>
                  <w:divsChild>
                    <w:div w:id="1663386863">
                      <w:marLeft w:val="0"/>
                      <w:marRight w:val="0"/>
                      <w:marTop w:val="0"/>
                      <w:marBottom w:val="0"/>
                      <w:divBdr>
                        <w:top w:val="none" w:sz="0" w:space="0" w:color="auto"/>
                        <w:left w:val="none" w:sz="0" w:space="0" w:color="auto"/>
                        <w:bottom w:val="none" w:sz="0" w:space="0" w:color="auto"/>
                        <w:right w:val="none" w:sz="0" w:space="0" w:color="auto"/>
                      </w:divBdr>
                    </w:div>
                  </w:divsChild>
                </w:div>
                <w:div w:id="918905554">
                  <w:marLeft w:val="0"/>
                  <w:marRight w:val="0"/>
                  <w:marTop w:val="270"/>
                  <w:marBottom w:val="390"/>
                  <w:divBdr>
                    <w:top w:val="single" w:sz="6" w:space="10" w:color="F0D0BE"/>
                    <w:left w:val="single" w:sz="6" w:space="13" w:color="F0D0BE"/>
                    <w:bottom w:val="single" w:sz="6" w:space="10" w:color="F0D0BE"/>
                    <w:right w:val="single" w:sz="6" w:space="13" w:color="F0D0BE"/>
                  </w:divBdr>
                </w:div>
                <w:div w:id="1143734618">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claude.ai/public/artifacts/28172a5e-18d9-4ec1-b27b-c6d39732334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38</Pages>
  <Words>59562</Words>
  <Characters>339510</Characters>
  <Application>Microsoft Office Word</Application>
  <DocSecurity>0</DocSecurity>
  <Lines>2829</Lines>
  <Paragraphs>796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Lourdes González Caraballo (2318051)</dc:creator>
  <cp:keywords/>
  <dc:description/>
  <cp:lastModifiedBy>Lourdes González Caraballo (2318051)</cp:lastModifiedBy>
  <cp:revision>19</cp:revision>
  <dcterms:created xsi:type="dcterms:W3CDTF">2026-05-31T17:10:00Z</dcterms:created>
  <dcterms:modified xsi:type="dcterms:W3CDTF">2026-05-31T23:03:00Z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zotero-version="9.0.4"&gt;&lt;session id="J2csjAgN"/&gt;&lt;style id="http://www.zotero.org/styles/harvard-cite-them-right" locale="en-US" hasBibliography="1" bibliographyStyleHasBeenSet="1"/&gt;&lt;prefs&gt;&lt;pref name="fieldType" value="Field"/&gt;&lt;/prefs</vt:lpwstr>
  </property>
  <property fmtid="{D5CDD505-2E9C-101B-9397-08002B2CF9AE}" pid="3" name="ZOTERO_PREF_2">
    <vt:lpwstr>&gt;&lt;/data&gt;</vt:lpwstr>
  </property>
</Properties>
</file>