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D7393" w14:textId="77777777" w:rsidR="00BB1059" w:rsidRDefault="00BB1059" w:rsidP="00BB1059">
      <w:pPr>
        <w:spacing w:after="80"/>
        <w:rPr>
          <w:b/>
          <w:bCs/>
          <w:sz w:val="30"/>
          <w:szCs w:val="30"/>
        </w:rPr>
      </w:pPr>
    </w:p>
    <w:p w14:paraId="1AA79849" w14:textId="77777777" w:rsidR="00BB1059" w:rsidRDefault="00BB1059" w:rsidP="00BB1059">
      <w:pPr>
        <w:spacing w:after="80"/>
        <w:jc w:val="center"/>
        <w:rPr>
          <w:b/>
          <w:bCs/>
          <w:sz w:val="30"/>
          <w:szCs w:val="30"/>
        </w:rPr>
      </w:pPr>
    </w:p>
    <w:p w14:paraId="2A89DFBE" w14:textId="77777777" w:rsidR="00BB1059" w:rsidRPr="00F4799C" w:rsidRDefault="00BB1059" w:rsidP="00BB1059">
      <w:pPr>
        <w:jc w:val="center"/>
        <w:rPr>
          <w:rFonts w:asciiTheme="minorBidi" w:hAnsiTheme="minorBidi"/>
        </w:rPr>
      </w:pPr>
      <w:r>
        <w:rPr>
          <w:rFonts w:asciiTheme="minorBidi" w:hAnsiTheme="minorBidi"/>
          <w:noProof/>
        </w:rPr>
        <w:drawing>
          <wp:inline distT="0" distB="0" distL="0" distR="0" wp14:anchorId="77BD82D5" wp14:editId="3C510F1A">
            <wp:extent cx="3886200" cy="1554480"/>
            <wp:effectExtent l="0" t="0" r="0" b="762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0" cy="1554480"/>
                    </a:xfrm>
                    <a:prstGeom prst="rect">
                      <a:avLst/>
                    </a:prstGeom>
                    <a:noFill/>
                  </pic:spPr>
                </pic:pic>
              </a:graphicData>
            </a:graphic>
          </wp:inline>
        </w:drawing>
      </w:r>
    </w:p>
    <w:p w14:paraId="065950D9" w14:textId="77777777" w:rsidR="00BB1059" w:rsidRDefault="00BB1059" w:rsidP="00BB1059">
      <w:pPr>
        <w:spacing w:after="80"/>
        <w:jc w:val="center"/>
        <w:rPr>
          <w:b/>
          <w:bCs/>
          <w:sz w:val="30"/>
          <w:szCs w:val="30"/>
        </w:rPr>
      </w:pPr>
    </w:p>
    <w:p w14:paraId="2B7F39A0" w14:textId="77777777" w:rsidR="00BB1059" w:rsidRDefault="00BB1059" w:rsidP="00BB1059">
      <w:pPr>
        <w:spacing w:after="80"/>
        <w:jc w:val="center"/>
        <w:rPr>
          <w:b/>
          <w:bCs/>
          <w:sz w:val="30"/>
          <w:szCs w:val="30"/>
        </w:rPr>
      </w:pPr>
    </w:p>
    <w:p w14:paraId="4AD269B8" w14:textId="77777777" w:rsidR="00BB1059" w:rsidRPr="00F4799C" w:rsidRDefault="00BB1059" w:rsidP="00BB1059">
      <w:pPr>
        <w:jc w:val="center"/>
        <w:rPr>
          <w:rFonts w:asciiTheme="minorBidi" w:hAnsiTheme="minorBidi"/>
        </w:rPr>
      </w:pPr>
    </w:p>
    <w:p w14:paraId="052E9356" w14:textId="77777777" w:rsidR="00BB1059" w:rsidRPr="00F4799C" w:rsidRDefault="00BB1059" w:rsidP="00BB1059">
      <w:pPr>
        <w:jc w:val="center"/>
        <w:rPr>
          <w:rFonts w:asciiTheme="minorBidi" w:hAnsiTheme="minorBidi"/>
          <w:b/>
          <w:bCs/>
          <w:sz w:val="28"/>
          <w:szCs w:val="28"/>
        </w:rPr>
      </w:pPr>
      <w:r>
        <w:rPr>
          <w:rFonts w:asciiTheme="minorBidi" w:hAnsiTheme="minorBidi"/>
          <w:b/>
          <w:bCs/>
          <w:sz w:val="28"/>
          <w:szCs w:val="28"/>
        </w:rPr>
        <w:t>Student Name: Himanshi</w:t>
      </w:r>
    </w:p>
    <w:p w14:paraId="66D6F566" w14:textId="77777777" w:rsidR="00BB1059" w:rsidRPr="00F4799C" w:rsidRDefault="00BB1059" w:rsidP="00BB1059">
      <w:pPr>
        <w:jc w:val="center"/>
        <w:rPr>
          <w:rFonts w:asciiTheme="minorBidi" w:hAnsiTheme="minorBidi"/>
          <w:b/>
          <w:bCs/>
          <w:sz w:val="28"/>
          <w:szCs w:val="28"/>
        </w:rPr>
      </w:pPr>
    </w:p>
    <w:p w14:paraId="5F913BDF" w14:textId="77777777" w:rsidR="00BB1059" w:rsidRPr="00F4799C" w:rsidRDefault="00BB1059" w:rsidP="00BB1059">
      <w:pPr>
        <w:jc w:val="center"/>
        <w:rPr>
          <w:rFonts w:asciiTheme="minorBidi" w:hAnsiTheme="minorBidi"/>
          <w:b/>
          <w:bCs/>
          <w:sz w:val="28"/>
          <w:szCs w:val="28"/>
        </w:rPr>
      </w:pPr>
      <w:r>
        <w:rPr>
          <w:rFonts w:asciiTheme="minorBidi" w:hAnsiTheme="minorBidi"/>
          <w:b/>
          <w:bCs/>
          <w:sz w:val="28"/>
          <w:szCs w:val="28"/>
        </w:rPr>
        <w:t>Student ID: 2526316</w:t>
      </w:r>
    </w:p>
    <w:p w14:paraId="61B2B07A" w14:textId="77777777" w:rsidR="00BB1059" w:rsidRPr="00F4799C" w:rsidRDefault="00BB1059" w:rsidP="00BB1059">
      <w:pPr>
        <w:jc w:val="center"/>
        <w:rPr>
          <w:rFonts w:asciiTheme="minorBidi" w:hAnsiTheme="minorBidi"/>
          <w:sz w:val="28"/>
          <w:szCs w:val="28"/>
        </w:rPr>
      </w:pPr>
    </w:p>
    <w:p w14:paraId="1F2929B0" w14:textId="77777777" w:rsidR="00BB1059" w:rsidRPr="00F4799C" w:rsidRDefault="00BB1059" w:rsidP="00BB1059">
      <w:pPr>
        <w:jc w:val="center"/>
        <w:rPr>
          <w:rFonts w:asciiTheme="minorBidi" w:hAnsiTheme="minorBidi"/>
          <w:sz w:val="28"/>
          <w:szCs w:val="28"/>
        </w:rPr>
      </w:pPr>
    </w:p>
    <w:p w14:paraId="093117F6" w14:textId="11205662" w:rsidR="00BB1059" w:rsidRPr="00F4799C" w:rsidRDefault="00BB1059" w:rsidP="00BB1059">
      <w:pPr>
        <w:jc w:val="center"/>
        <w:rPr>
          <w:rFonts w:asciiTheme="minorBidi" w:hAnsiTheme="minorBidi"/>
          <w:b/>
          <w:bCs/>
          <w:sz w:val="28"/>
          <w:szCs w:val="28"/>
        </w:rPr>
      </w:pPr>
      <w:r>
        <w:rPr>
          <w:rFonts w:asciiTheme="minorBidi" w:hAnsiTheme="minorBidi"/>
          <w:b/>
          <w:bCs/>
          <w:sz w:val="28"/>
          <w:szCs w:val="28"/>
        </w:rPr>
        <w:t xml:space="preserve">Module Name: </w:t>
      </w:r>
      <w:r w:rsidR="007B7C63" w:rsidRPr="007B7C63">
        <w:rPr>
          <w:rFonts w:asciiTheme="minorBidi" w:hAnsiTheme="minorBidi"/>
          <w:b/>
          <w:bCs/>
          <w:color w:val="EE0000"/>
          <w:sz w:val="28"/>
          <w:szCs w:val="28"/>
        </w:rPr>
        <w:t> </w:t>
      </w:r>
      <w:r w:rsidR="007B7C63" w:rsidRPr="007B7C63">
        <w:rPr>
          <w:rFonts w:asciiTheme="minorBidi" w:hAnsiTheme="minorBidi"/>
          <w:b/>
          <w:bCs/>
          <w:color w:val="000000" w:themeColor="text1"/>
          <w:sz w:val="28"/>
          <w:szCs w:val="28"/>
        </w:rPr>
        <w:t>Financial Management </w:t>
      </w:r>
    </w:p>
    <w:p w14:paraId="3B70F5BC" w14:textId="77777777" w:rsidR="00BB1059" w:rsidRPr="00F4799C" w:rsidRDefault="00BB1059" w:rsidP="00BB1059">
      <w:pPr>
        <w:jc w:val="center"/>
        <w:rPr>
          <w:rFonts w:asciiTheme="minorBidi" w:hAnsiTheme="minorBidi"/>
          <w:b/>
          <w:bCs/>
          <w:sz w:val="28"/>
          <w:szCs w:val="28"/>
        </w:rPr>
      </w:pPr>
    </w:p>
    <w:p w14:paraId="6A12CB08" w14:textId="7B4B4241" w:rsidR="00BB1059" w:rsidRPr="007B7C63" w:rsidRDefault="00BB1059" w:rsidP="00BB1059">
      <w:pPr>
        <w:jc w:val="center"/>
        <w:rPr>
          <w:rFonts w:asciiTheme="minorBidi" w:hAnsiTheme="minorBidi"/>
          <w:b/>
          <w:bCs/>
          <w:color w:val="000000" w:themeColor="text1"/>
          <w:sz w:val="28"/>
          <w:szCs w:val="28"/>
        </w:rPr>
      </w:pPr>
      <w:r>
        <w:rPr>
          <w:rFonts w:asciiTheme="minorBidi" w:hAnsiTheme="minorBidi"/>
          <w:b/>
          <w:bCs/>
          <w:sz w:val="28"/>
          <w:szCs w:val="28"/>
        </w:rPr>
        <w:t xml:space="preserve">Module Code: </w:t>
      </w:r>
      <w:r w:rsidR="007B7C63" w:rsidRPr="007B7C63">
        <w:rPr>
          <w:rFonts w:asciiTheme="minorBidi" w:hAnsiTheme="minorBidi"/>
          <w:b/>
          <w:bCs/>
          <w:color w:val="000000" w:themeColor="text1"/>
          <w:sz w:val="28"/>
          <w:szCs w:val="28"/>
        </w:rPr>
        <w:t>LCMB7002</w:t>
      </w:r>
    </w:p>
    <w:p w14:paraId="6E03F1A8" w14:textId="77777777" w:rsidR="00BB1059" w:rsidRPr="00F4799C" w:rsidRDefault="00BB1059" w:rsidP="00BB1059">
      <w:pPr>
        <w:jc w:val="center"/>
        <w:rPr>
          <w:rFonts w:asciiTheme="minorBidi" w:hAnsiTheme="minorBidi"/>
          <w:b/>
          <w:bCs/>
          <w:sz w:val="28"/>
          <w:szCs w:val="28"/>
        </w:rPr>
      </w:pPr>
    </w:p>
    <w:p w14:paraId="285AAE9F" w14:textId="77777777" w:rsidR="00BB1059" w:rsidRPr="00F4799C" w:rsidRDefault="00BB1059" w:rsidP="00BB1059">
      <w:pPr>
        <w:jc w:val="center"/>
        <w:rPr>
          <w:rFonts w:asciiTheme="minorBidi" w:hAnsiTheme="minorBidi"/>
          <w:b/>
          <w:bCs/>
          <w:sz w:val="28"/>
          <w:szCs w:val="28"/>
        </w:rPr>
      </w:pPr>
    </w:p>
    <w:p w14:paraId="39E9D584" w14:textId="77777777" w:rsidR="00BB1059" w:rsidRPr="00F4799C" w:rsidRDefault="00BB1059" w:rsidP="00BB1059">
      <w:pPr>
        <w:jc w:val="center"/>
        <w:rPr>
          <w:rFonts w:asciiTheme="minorBidi" w:hAnsiTheme="minorBidi"/>
          <w:b/>
          <w:bCs/>
          <w:sz w:val="28"/>
          <w:szCs w:val="28"/>
        </w:rPr>
      </w:pPr>
    </w:p>
    <w:p w14:paraId="5AB0F4EE" w14:textId="1FB52C69" w:rsidR="00BB1059" w:rsidRPr="007B7C63" w:rsidRDefault="00BB1059" w:rsidP="00BB1059">
      <w:pPr>
        <w:jc w:val="center"/>
        <w:rPr>
          <w:rFonts w:asciiTheme="minorBidi" w:hAnsiTheme="minorBidi"/>
          <w:b/>
          <w:bCs/>
          <w:color w:val="000000" w:themeColor="text1"/>
          <w:sz w:val="28"/>
          <w:szCs w:val="28"/>
        </w:rPr>
      </w:pPr>
      <w:r w:rsidRPr="007B7C63">
        <w:rPr>
          <w:rFonts w:asciiTheme="minorBidi" w:hAnsiTheme="minorBidi"/>
          <w:b/>
          <w:bCs/>
          <w:color w:val="000000" w:themeColor="text1"/>
          <w:sz w:val="28"/>
          <w:szCs w:val="28"/>
        </w:rPr>
        <w:t xml:space="preserve">Lecturer’s Name: </w:t>
      </w:r>
      <w:r w:rsidR="007B7C63" w:rsidRPr="007B7C63">
        <w:rPr>
          <w:rFonts w:asciiTheme="minorBidi" w:hAnsiTheme="minorBidi"/>
          <w:b/>
          <w:bCs/>
          <w:color w:val="000000" w:themeColor="text1"/>
          <w:sz w:val="28"/>
          <w:szCs w:val="28"/>
        </w:rPr>
        <w:t>Shengfeng Mei</w:t>
      </w:r>
    </w:p>
    <w:p w14:paraId="51B12F58" w14:textId="77777777" w:rsidR="00BB1059" w:rsidRPr="00F4799C" w:rsidRDefault="00BB1059" w:rsidP="00BB1059">
      <w:pPr>
        <w:jc w:val="center"/>
        <w:rPr>
          <w:rFonts w:asciiTheme="minorBidi" w:hAnsiTheme="minorBidi"/>
          <w:b/>
          <w:bCs/>
          <w:sz w:val="28"/>
          <w:szCs w:val="28"/>
        </w:rPr>
      </w:pPr>
    </w:p>
    <w:p w14:paraId="1572177E" w14:textId="77777777" w:rsidR="00BB1059" w:rsidRPr="00F4799C" w:rsidRDefault="00BB1059" w:rsidP="00BB1059">
      <w:pPr>
        <w:jc w:val="center"/>
        <w:rPr>
          <w:rFonts w:asciiTheme="minorBidi" w:hAnsiTheme="minorBidi"/>
          <w:b/>
          <w:bCs/>
          <w:sz w:val="28"/>
          <w:szCs w:val="28"/>
        </w:rPr>
      </w:pPr>
      <w:r>
        <w:rPr>
          <w:rFonts w:asciiTheme="minorBidi" w:hAnsiTheme="minorBidi"/>
          <w:b/>
          <w:bCs/>
          <w:sz w:val="28"/>
          <w:szCs w:val="28"/>
        </w:rPr>
        <w:t xml:space="preserve">  </w:t>
      </w:r>
    </w:p>
    <w:p w14:paraId="54FBEC0D" w14:textId="77777777" w:rsidR="00BB1059" w:rsidRPr="00F4799C" w:rsidRDefault="00BB1059" w:rsidP="00BB1059">
      <w:pPr>
        <w:rPr>
          <w:rFonts w:asciiTheme="minorBidi" w:hAnsiTheme="minorBidi"/>
          <w:b/>
          <w:bCs/>
          <w:sz w:val="28"/>
          <w:szCs w:val="28"/>
        </w:rPr>
      </w:pPr>
    </w:p>
    <w:p w14:paraId="5F9BA02A" w14:textId="2750C154" w:rsidR="00BB1059" w:rsidRPr="00F4799C" w:rsidRDefault="00BB1059" w:rsidP="00BB1059">
      <w:pPr>
        <w:jc w:val="center"/>
        <w:rPr>
          <w:rFonts w:asciiTheme="minorBidi" w:hAnsiTheme="minorBidi"/>
          <w:b/>
          <w:bCs/>
          <w:sz w:val="28"/>
          <w:szCs w:val="28"/>
        </w:rPr>
      </w:pPr>
      <w:r>
        <w:rPr>
          <w:rFonts w:asciiTheme="minorBidi" w:hAnsiTheme="minorBidi"/>
          <w:b/>
          <w:bCs/>
          <w:sz w:val="28"/>
          <w:szCs w:val="28"/>
        </w:rPr>
        <w:t>Work Count: 54</w:t>
      </w:r>
      <w:r w:rsidR="004D1C41">
        <w:rPr>
          <w:rFonts w:asciiTheme="minorBidi" w:hAnsiTheme="minorBidi"/>
          <w:b/>
          <w:bCs/>
          <w:sz w:val="28"/>
          <w:szCs w:val="28"/>
        </w:rPr>
        <w:t>6</w:t>
      </w:r>
      <w:r>
        <w:rPr>
          <w:rFonts w:asciiTheme="minorBidi" w:hAnsiTheme="minorBidi"/>
          <w:b/>
          <w:bCs/>
          <w:sz w:val="28"/>
          <w:szCs w:val="28"/>
        </w:rPr>
        <w:t>7</w:t>
      </w:r>
    </w:p>
    <w:p w14:paraId="705C453E" w14:textId="77777777" w:rsidR="00BB1059" w:rsidRPr="00F4799C" w:rsidRDefault="00BB1059" w:rsidP="00BB1059">
      <w:pPr>
        <w:jc w:val="center"/>
        <w:rPr>
          <w:rFonts w:asciiTheme="minorBidi" w:hAnsiTheme="minorBidi"/>
          <w:b/>
          <w:bCs/>
          <w:sz w:val="28"/>
          <w:szCs w:val="28"/>
        </w:rPr>
      </w:pPr>
    </w:p>
    <w:p w14:paraId="1ED9617F" w14:textId="77777777" w:rsidR="00BB1059" w:rsidRPr="00F4799C" w:rsidRDefault="00BB1059" w:rsidP="00BB1059">
      <w:pPr>
        <w:jc w:val="center"/>
        <w:rPr>
          <w:rFonts w:asciiTheme="minorBidi" w:hAnsiTheme="minorBidi"/>
          <w:b/>
          <w:bCs/>
          <w:sz w:val="28"/>
          <w:szCs w:val="28"/>
        </w:rPr>
      </w:pPr>
    </w:p>
    <w:p w14:paraId="147E1649" w14:textId="77777777" w:rsidR="00BB1059" w:rsidRPr="00F4799C" w:rsidRDefault="00BB1059" w:rsidP="00BB1059">
      <w:pPr>
        <w:jc w:val="center"/>
        <w:rPr>
          <w:rFonts w:asciiTheme="minorBidi" w:hAnsiTheme="minorBidi"/>
          <w:b/>
          <w:bCs/>
          <w:sz w:val="28"/>
          <w:szCs w:val="28"/>
        </w:rPr>
      </w:pPr>
    </w:p>
    <w:p w14:paraId="4429BD7E" w14:textId="77777777" w:rsidR="00BB1059" w:rsidRPr="00F4799C" w:rsidRDefault="00BB1059" w:rsidP="00BB1059">
      <w:pPr>
        <w:jc w:val="center"/>
        <w:rPr>
          <w:rFonts w:asciiTheme="minorBidi" w:hAnsiTheme="minorBidi"/>
          <w:b/>
          <w:bCs/>
          <w:sz w:val="28"/>
          <w:szCs w:val="28"/>
        </w:rPr>
      </w:pPr>
    </w:p>
    <w:p w14:paraId="105775D9" w14:textId="77777777" w:rsidR="00BB1059" w:rsidRPr="00F4799C" w:rsidRDefault="00BB1059" w:rsidP="00BB1059">
      <w:pPr>
        <w:jc w:val="center"/>
        <w:rPr>
          <w:rFonts w:asciiTheme="minorBidi" w:hAnsiTheme="minorBidi"/>
          <w:b/>
          <w:bCs/>
          <w:sz w:val="28"/>
          <w:szCs w:val="28"/>
        </w:rPr>
      </w:pPr>
    </w:p>
    <w:p w14:paraId="0650CEF7" w14:textId="77777777" w:rsidR="00BB1059" w:rsidRPr="00F4799C" w:rsidRDefault="00BB1059" w:rsidP="00BB1059">
      <w:pPr>
        <w:jc w:val="center"/>
        <w:rPr>
          <w:rFonts w:asciiTheme="minorBidi" w:hAnsiTheme="minorBidi"/>
          <w:b/>
          <w:bCs/>
          <w:sz w:val="28"/>
          <w:szCs w:val="28"/>
        </w:rPr>
      </w:pPr>
      <w:r>
        <w:rPr>
          <w:rFonts w:asciiTheme="minorBidi" w:hAnsiTheme="minorBidi"/>
          <w:b/>
          <w:bCs/>
          <w:sz w:val="28"/>
          <w:szCs w:val="28"/>
        </w:rPr>
        <w:t>Term 1</w:t>
      </w:r>
    </w:p>
    <w:p w14:paraId="652097FE" w14:textId="77777777" w:rsidR="00BB1059" w:rsidRDefault="00BB1059" w:rsidP="00BB1059">
      <w:pPr>
        <w:spacing w:after="80"/>
        <w:jc w:val="center"/>
        <w:rPr>
          <w:b/>
          <w:bCs/>
          <w:sz w:val="30"/>
          <w:szCs w:val="30"/>
        </w:rPr>
      </w:pPr>
    </w:p>
    <w:p w14:paraId="2E73E94E" w14:textId="77777777" w:rsidR="00BB1059" w:rsidRDefault="00BB1059" w:rsidP="00BB1059">
      <w:pPr>
        <w:spacing w:after="80"/>
        <w:jc w:val="center"/>
        <w:rPr>
          <w:b/>
          <w:bCs/>
          <w:sz w:val="30"/>
          <w:szCs w:val="30"/>
        </w:rPr>
      </w:pPr>
    </w:p>
    <w:p w14:paraId="2FCA1CBE" w14:textId="77777777" w:rsidR="00BB1059" w:rsidRDefault="00BB1059" w:rsidP="00BB1059">
      <w:pPr>
        <w:spacing w:after="80"/>
        <w:jc w:val="center"/>
        <w:rPr>
          <w:b/>
          <w:bCs/>
          <w:sz w:val="30"/>
          <w:szCs w:val="30"/>
        </w:rPr>
      </w:pPr>
      <w:r>
        <w:rPr>
          <w:b/>
          <w:bCs/>
          <w:sz w:val="30"/>
          <w:szCs w:val="30"/>
        </w:rPr>
        <w:t xml:space="preserve"> </w:t>
      </w:r>
    </w:p>
    <w:p w14:paraId="08F370D4" w14:textId="77777777" w:rsidR="00EE1B17" w:rsidRDefault="00EE1B17">
      <w:pPr>
        <w:pStyle w:val="Heading1"/>
        <w:rPr>
          <w:rFonts w:ascii="Times New Roman" w:hAnsi="Times New Roman" w:cs="Times New Roman"/>
        </w:rPr>
      </w:pPr>
    </w:p>
    <w:p w14:paraId="1A3D9FCD" w14:textId="07A18052" w:rsidR="00C91B13" w:rsidRPr="00C91B13" w:rsidRDefault="00EE1B17" w:rsidP="00C91B13">
      <w:pPr>
        <w:rPr>
          <w:rFonts w:ascii="Times New Roman" w:hAnsi="Times New Roman" w:cs="Times New Roman"/>
          <w:b/>
          <w:bCs/>
          <w:color w:val="1F3864"/>
          <w:sz w:val="30"/>
          <w:szCs w:val="30"/>
        </w:rPr>
      </w:pPr>
      <w:r>
        <w:rPr>
          <w:rFonts w:ascii="Times New Roman" w:hAnsi="Times New Roman" w:cs="Times New Roman"/>
        </w:rPr>
        <w:br w:type="page"/>
      </w:r>
    </w:p>
    <w:sdt>
      <w:sdtPr>
        <w:rPr>
          <w:rFonts w:ascii="Times New Roman" w:eastAsia="Calibri" w:hAnsi="Times New Roman" w:cs="Times New Roman"/>
          <w:color w:val="auto"/>
          <w:sz w:val="22"/>
          <w:szCs w:val="22"/>
          <w:lang w:val="en-IN" w:eastAsia="en-IN"/>
        </w:rPr>
        <w:id w:val="-1426345709"/>
        <w:docPartObj>
          <w:docPartGallery w:val="Table of Contents"/>
          <w:docPartUnique/>
        </w:docPartObj>
      </w:sdtPr>
      <w:sdtEndPr>
        <w:rPr>
          <w:b/>
          <w:bCs/>
          <w:noProof/>
        </w:rPr>
      </w:sdtEndPr>
      <w:sdtContent>
        <w:p w14:paraId="3AF48B59" w14:textId="1F42092A" w:rsidR="00EE1B17" w:rsidRPr="00EE1B17" w:rsidRDefault="00EE1B17">
          <w:pPr>
            <w:pStyle w:val="TOCHeading"/>
            <w:rPr>
              <w:rFonts w:ascii="Times New Roman" w:hAnsi="Times New Roman" w:cs="Times New Roman"/>
            </w:rPr>
          </w:pPr>
          <w:r w:rsidRPr="00EE1B17">
            <w:rPr>
              <w:rFonts w:ascii="Times New Roman" w:hAnsi="Times New Roman" w:cs="Times New Roman"/>
            </w:rPr>
            <w:t>Contents</w:t>
          </w:r>
        </w:p>
        <w:p w14:paraId="6EAB3627" w14:textId="547614BC" w:rsidR="00C91B13" w:rsidRDefault="00EE1B17">
          <w:pPr>
            <w:pStyle w:val="TOC1"/>
            <w:tabs>
              <w:tab w:val="right" w:leader="dot" w:pos="9628"/>
            </w:tabs>
            <w:rPr>
              <w:rFonts w:asciiTheme="minorHAnsi" w:eastAsiaTheme="minorEastAsia" w:hAnsiTheme="minorHAnsi" w:cstheme="minorBidi"/>
              <w:noProof/>
              <w:kern w:val="2"/>
              <w:sz w:val="24"/>
              <w:szCs w:val="24"/>
              <w14:ligatures w14:val="standardContextual"/>
            </w:rPr>
          </w:pPr>
          <w:r w:rsidRPr="00EE1B17">
            <w:rPr>
              <w:rFonts w:ascii="Times New Roman" w:hAnsi="Times New Roman" w:cs="Times New Roman"/>
            </w:rPr>
            <w:fldChar w:fldCharType="begin"/>
          </w:r>
          <w:r w:rsidRPr="00EE1B17">
            <w:rPr>
              <w:rFonts w:ascii="Times New Roman" w:hAnsi="Times New Roman" w:cs="Times New Roman"/>
            </w:rPr>
            <w:instrText xml:space="preserve"> TOC \o "1-3" \h \z \u </w:instrText>
          </w:r>
          <w:r w:rsidRPr="00EE1B17">
            <w:rPr>
              <w:rFonts w:ascii="Times New Roman" w:hAnsi="Times New Roman" w:cs="Times New Roman"/>
            </w:rPr>
            <w:fldChar w:fldCharType="separate"/>
          </w:r>
          <w:hyperlink w:anchor="_Toc237444773" w:history="1">
            <w:r w:rsidR="00C91B13" w:rsidRPr="00CC3FFB">
              <w:rPr>
                <w:rStyle w:val="Hyperlink"/>
                <w:rFonts w:ascii="Times New Roman" w:hAnsi="Times New Roman" w:cs="Times New Roman"/>
                <w:noProof/>
              </w:rPr>
              <w:t>Introduction</w:t>
            </w:r>
            <w:r w:rsidR="00C91B13">
              <w:rPr>
                <w:noProof/>
                <w:webHidden/>
              </w:rPr>
              <w:tab/>
            </w:r>
            <w:r w:rsidR="00C91B13">
              <w:rPr>
                <w:noProof/>
                <w:webHidden/>
              </w:rPr>
              <w:fldChar w:fldCharType="begin"/>
            </w:r>
            <w:r w:rsidR="00C91B13">
              <w:rPr>
                <w:noProof/>
                <w:webHidden/>
              </w:rPr>
              <w:instrText xml:space="preserve"> PAGEREF _Toc237444773 \h </w:instrText>
            </w:r>
            <w:r w:rsidR="00C91B13">
              <w:rPr>
                <w:noProof/>
                <w:webHidden/>
              </w:rPr>
            </w:r>
            <w:r w:rsidR="00C91B13">
              <w:rPr>
                <w:noProof/>
                <w:webHidden/>
              </w:rPr>
              <w:fldChar w:fldCharType="separate"/>
            </w:r>
            <w:r w:rsidR="00C91B13">
              <w:rPr>
                <w:noProof/>
                <w:webHidden/>
              </w:rPr>
              <w:t>2</w:t>
            </w:r>
            <w:r w:rsidR="00C91B13">
              <w:rPr>
                <w:noProof/>
                <w:webHidden/>
              </w:rPr>
              <w:fldChar w:fldCharType="end"/>
            </w:r>
          </w:hyperlink>
        </w:p>
        <w:p w14:paraId="39496BF5" w14:textId="7C538FFC"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774" w:history="1">
            <w:r w:rsidRPr="00CC3FFB">
              <w:rPr>
                <w:rStyle w:val="Hyperlink"/>
                <w:rFonts w:ascii="Times New Roman" w:hAnsi="Times New Roman" w:cs="Times New Roman"/>
                <w:noProof/>
              </w:rPr>
              <w:t>1. Financial Health Check</w:t>
            </w:r>
            <w:r>
              <w:rPr>
                <w:noProof/>
                <w:webHidden/>
              </w:rPr>
              <w:tab/>
            </w:r>
            <w:r>
              <w:rPr>
                <w:noProof/>
                <w:webHidden/>
              </w:rPr>
              <w:fldChar w:fldCharType="begin"/>
            </w:r>
            <w:r>
              <w:rPr>
                <w:noProof/>
                <w:webHidden/>
              </w:rPr>
              <w:instrText xml:space="preserve"> PAGEREF _Toc237444774 \h </w:instrText>
            </w:r>
            <w:r>
              <w:rPr>
                <w:noProof/>
                <w:webHidden/>
              </w:rPr>
            </w:r>
            <w:r>
              <w:rPr>
                <w:noProof/>
                <w:webHidden/>
              </w:rPr>
              <w:fldChar w:fldCharType="separate"/>
            </w:r>
            <w:r>
              <w:rPr>
                <w:noProof/>
                <w:webHidden/>
              </w:rPr>
              <w:t>3</w:t>
            </w:r>
            <w:r>
              <w:rPr>
                <w:noProof/>
                <w:webHidden/>
              </w:rPr>
              <w:fldChar w:fldCharType="end"/>
            </w:r>
          </w:hyperlink>
        </w:p>
        <w:p w14:paraId="50BF5E29" w14:textId="015C5C4C"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75" w:history="1">
            <w:r w:rsidRPr="00CC3FFB">
              <w:rPr>
                <w:rStyle w:val="Hyperlink"/>
                <w:rFonts w:ascii="Times New Roman" w:hAnsi="Times New Roman" w:cs="Times New Roman"/>
                <w:noProof/>
              </w:rPr>
              <w:t>Revenue and Operating Profit Trend</w:t>
            </w:r>
            <w:r>
              <w:rPr>
                <w:noProof/>
                <w:webHidden/>
              </w:rPr>
              <w:tab/>
            </w:r>
            <w:r>
              <w:rPr>
                <w:noProof/>
                <w:webHidden/>
              </w:rPr>
              <w:fldChar w:fldCharType="begin"/>
            </w:r>
            <w:r>
              <w:rPr>
                <w:noProof/>
                <w:webHidden/>
              </w:rPr>
              <w:instrText xml:space="preserve"> PAGEREF _Toc237444775 \h </w:instrText>
            </w:r>
            <w:r>
              <w:rPr>
                <w:noProof/>
                <w:webHidden/>
              </w:rPr>
            </w:r>
            <w:r>
              <w:rPr>
                <w:noProof/>
                <w:webHidden/>
              </w:rPr>
              <w:fldChar w:fldCharType="separate"/>
            </w:r>
            <w:r>
              <w:rPr>
                <w:noProof/>
                <w:webHidden/>
              </w:rPr>
              <w:t>3</w:t>
            </w:r>
            <w:r>
              <w:rPr>
                <w:noProof/>
                <w:webHidden/>
              </w:rPr>
              <w:fldChar w:fldCharType="end"/>
            </w:r>
          </w:hyperlink>
        </w:p>
        <w:p w14:paraId="588C21A9" w14:textId="6DF23A69"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76" w:history="1">
            <w:r w:rsidRPr="00CC3FFB">
              <w:rPr>
                <w:rStyle w:val="Hyperlink"/>
                <w:rFonts w:ascii="Times New Roman" w:hAnsi="Times New Roman" w:cs="Times New Roman"/>
                <w:noProof/>
              </w:rPr>
              <w:t>Profitability</w:t>
            </w:r>
            <w:r>
              <w:rPr>
                <w:noProof/>
                <w:webHidden/>
              </w:rPr>
              <w:tab/>
            </w:r>
            <w:r>
              <w:rPr>
                <w:noProof/>
                <w:webHidden/>
              </w:rPr>
              <w:fldChar w:fldCharType="begin"/>
            </w:r>
            <w:r>
              <w:rPr>
                <w:noProof/>
                <w:webHidden/>
              </w:rPr>
              <w:instrText xml:space="preserve"> PAGEREF _Toc237444776 \h </w:instrText>
            </w:r>
            <w:r>
              <w:rPr>
                <w:noProof/>
                <w:webHidden/>
              </w:rPr>
            </w:r>
            <w:r>
              <w:rPr>
                <w:noProof/>
                <w:webHidden/>
              </w:rPr>
              <w:fldChar w:fldCharType="separate"/>
            </w:r>
            <w:r>
              <w:rPr>
                <w:noProof/>
                <w:webHidden/>
              </w:rPr>
              <w:t>4</w:t>
            </w:r>
            <w:r>
              <w:rPr>
                <w:noProof/>
                <w:webHidden/>
              </w:rPr>
              <w:fldChar w:fldCharType="end"/>
            </w:r>
          </w:hyperlink>
        </w:p>
        <w:p w14:paraId="12F43746" w14:textId="2377607B"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77" w:history="1">
            <w:r w:rsidRPr="00CC3FFB">
              <w:rPr>
                <w:rStyle w:val="Hyperlink"/>
                <w:rFonts w:ascii="Times New Roman" w:hAnsi="Times New Roman" w:cs="Times New Roman"/>
                <w:noProof/>
              </w:rPr>
              <w:t>Liquidity</w:t>
            </w:r>
            <w:r>
              <w:rPr>
                <w:noProof/>
                <w:webHidden/>
              </w:rPr>
              <w:tab/>
            </w:r>
            <w:r>
              <w:rPr>
                <w:noProof/>
                <w:webHidden/>
              </w:rPr>
              <w:fldChar w:fldCharType="begin"/>
            </w:r>
            <w:r>
              <w:rPr>
                <w:noProof/>
                <w:webHidden/>
              </w:rPr>
              <w:instrText xml:space="preserve"> PAGEREF _Toc237444777 \h </w:instrText>
            </w:r>
            <w:r>
              <w:rPr>
                <w:noProof/>
                <w:webHidden/>
              </w:rPr>
            </w:r>
            <w:r>
              <w:rPr>
                <w:noProof/>
                <w:webHidden/>
              </w:rPr>
              <w:fldChar w:fldCharType="separate"/>
            </w:r>
            <w:r>
              <w:rPr>
                <w:noProof/>
                <w:webHidden/>
              </w:rPr>
              <w:t>4</w:t>
            </w:r>
            <w:r>
              <w:rPr>
                <w:noProof/>
                <w:webHidden/>
              </w:rPr>
              <w:fldChar w:fldCharType="end"/>
            </w:r>
          </w:hyperlink>
        </w:p>
        <w:p w14:paraId="3DF93AF7" w14:textId="334FEACC"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78" w:history="1">
            <w:r w:rsidRPr="00CC3FFB">
              <w:rPr>
                <w:rStyle w:val="Hyperlink"/>
                <w:rFonts w:ascii="Times New Roman" w:hAnsi="Times New Roman" w:cs="Times New Roman"/>
                <w:noProof/>
              </w:rPr>
              <w:t>Efficiency, Gearing, Investment and Cash Flow</w:t>
            </w:r>
            <w:r>
              <w:rPr>
                <w:noProof/>
                <w:webHidden/>
              </w:rPr>
              <w:tab/>
            </w:r>
            <w:r>
              <w:rPr>
                <w:noProof/>
                <w:webHidden/>
              </w:rPr>
              <w:fldChar w:fldCharType="begin"/>
            </w:r>
            <w:r>
              <w:rPr>
                <w:noProof/>
                <w:webHidden/>
              </w:rPr>
              <w:instrText xml:space="preserve"> PAGEREF _Toc237444778 \h </w:instrText>
            </w:r>
            <w:r>
              <w:rPr>
                <w:noProof/>
                <w:webHidden/>
              </w:rPr>
            </w:r>
            <w:r>
              <w:rPr>
                <w:noProof/>
                <w:webHidden/>
              </w:rPr>
              <w:fldChar w:fldCharType="separate"/>
            </w:r>
            <w:r>
              <w:rPr>
                <w:noProof/>
                <w:webHidden/>
              </w:rPr>
              <w:t>5</w:t>
            </w:r>
            <w:r>
              <w:rPr>
                <w:noProof/>
                <w:webHidden/>
              </w:rPr>
              <w:fldChar w:fldCharType="end"/>
            </w:r>
          </w:hyperlink>
        </w:p>
        <w:p w14:paraId="1D57FAF6" w14:textId="482699CF"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79" w:history="1">
            <w:r w:rsidRPr="00CC3FFB">
              <w:rPr>
                <w:rStyle w:val="Hyperlink"/>
                <w:rFonts w:ascii="Times New Roman" w:hAnsi="Times New Roman" w:cs="Times New Roman"/>
                <w:noProof/>
              </w:rPr>
              <w:t>Liquidity Benchmarked Against the Sector</w:t>
            </w:r>
            <w:r>
              <w:rPr>
                <w:noProof/>
                <w:webHidden/>
              </w:rPr>
              <w:tab/>
            </w:r>
            <w:r>
              <w:rPr>
                <w:noProof/>
                <w:webHidden/>
              </w:rPr>
              <w:fldChar w:fldCharType="begin"/>
            </w:r>
            <w:r>
              <w:rPr>
                <w:noProof/>
                <w:webHidden/>
              </w:rPr>
              <w:instrText xml:space="preserve"> PAGEREF _Toc237444779 \h </w:instrText>
            </w:r>
            <w:r>
              <w:rPr>
                <w:noProof/>
                <w:webHidden/>
              </w:rPr>
            </w:r>
            <w:r>
              <w:rPr>
                <w:noProof/>
                <w:webHidden/>
              </w:rPr>
              <w:fldChar w:fldCharType="separate"/>
            </w:r>
            <w:r>
              <w:rPr>
                <w:noProof/>
                <w:webHidden/>
              </w:rPr>
              <w:t>6</w:t>
            </w:r>
            <w:r>
              <w:rPr>
                <w:noProof/>
                <w:webHidden/>
              </w:rPr>
              <w:fldChar w:fldCharType="end"/>
            </w:r>
          </w:hyperlink>
        </w:p>
        <w:p w14:paraId="5343720D" w14:textId="4713EF8F"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0" w:history="1">
            <w:r w:rsidRPr="00CC3FFB">
              <w:rPr>
                <w:rStyle w:val="Hyperlink"/>
                <w:rFonts w:ascii="Times New Roman" w:hAnsi="Times New Roman" w:cs="Times New Roman"/>
                <w:noProof/>
              </w:rPr>
              <w:t>Trends, Strengths and Challenges</w:t>
            </w:r>
            <w:r>
              <w:rPr>
                <w:noProof/>
                <w:webHidden/>
              </w:rPr>
              <w:tab/>
            </w:r>
            <w:r>
              <w:rPr>
                <w:noProof/>
                <w:webHidden/>
              </w:rPr>
              <w:fldChar w:fldCharType="begin"/>
            </w:r>
            <w:r>
              <w:rPr>
                <w:noProof/>
                <w:webHidden/>
              </w:rPr>
              <w:instrText xml:space="preserve"> PAGEREF _Toc237444780 \h </w:instrText>
            </w:r>
            <w:r>
              <w:rPr>
                <w:noProof/>
                <w:webHidden/>
              </w:rPr>
            </w:r>
            <w:r>
              <w:rPr>
                <w:noProof/>
                <w:webHidden/>
              </w:rPr>
              <w:fldChar w:fldCharType="separate"/>
            </w:r>
            <w:r>
              <w:rPr>
                <w:noProof/>
                <w:webHidden/>
              </w:rPr>
              <w:t>6</w:t>
            </w:r>
            <w:r>
              <w:rPr>
                <w:noProof/>
                <w:webHidden/>
              </w:rPr>
              <w:fldChar w:fldCharType="end"/>
            </w:r>
          </w:hyperlink>
        </w:p>
        <w:p w14:paraId="5D7B4FE3" w14:textId="6314B6A2"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781" w:history="1">
            <w:r w:rsidRPr="00CC3FFB">
              <w:rPr>
                <w:rStyle w:val="Hyperlink"/>
                <w:rFonts w:ascii="Times New Roman" w:hAnsi="Times New Roman" w:cs="Times New Roman"/>
                <w:noProof/>
              </w:rPr>
              <w:t>2. Working Capital Management Analysis</w:t>
            </w:r>
            <w:r>
              <w:rPr>
                <w:noProof/>
                <w:webHidden/>
              </w:rPr>
              <w:tab/>
            </w:r>
            <w:r>
              <w:rPr>
                <w:noProof/>
                <w:webHidden/>
              </w:rPr>
              <w:fldChar w:fldCharType="begin"/>
            </w:r>
            <w:r>
              <w:rPr>
                <w:noProof/>
                <w:webHidden/>
              </w:rPr>
              <w:instrText xml:space="preserve"> PAGEREF _Toc237444781 \h </w:instrText>
            </w:r>
            <w:r>
              <w:rPr>
                <w:noProof/>
                <w:webHidden/>
              </w:rPr>
            </w:r>
            <w:r>
              <w:rPr>
                <w:noProof/>
                <w:webHidden/>
              </w:rPr>
              <w:fldChar w:fldCharType="separate"/>
            </w:r>
            <w:r>
              <w:rPr>
                <w:noProof/>
                <w:webHidden/>
              </w:rPr>
              <w:t>6</w:t>
            </w:r>
            <w:r>
              <w:rPr>
                <w:noProof/>
                <w:webHidden/>
              </w:rPr>
              <w:fldChar w:fldCharType="end"/>
            </w:r>
          </w:hyperlink>
        </w:p>
        <w:p w14:paraId="5EB49845" w14:textId="5B8EAC41"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2" w:history="1">
            <w:r w:rsidRPr="00CC3FFB">
              <w:rPr>
                <w:rStyle w:val="Hyperlink"/>
                <w:rFonts w:ascii="Times New Roman" w:hAnsi="Times New Roman" w:cs="Times New Roman"/>
                <w:noProof/>
              </w:rPr>
              <w:t>The Cash Operating Cycle</w:t>
            </w:r>
            <w:r>
              <w:rPr>
                <w:noProof/>
                <w:webHidden/>
              </w:rPr>
              <w:tab/>
            </w:r>
            <w:r>
              <w:rPr>
                <w:noProof/>
                <w:webHidden/>
              </w:rPr>
              <w:fldChar w:fldCharType="begin"/>
            </w:r>
            <w:r>
              <w:rPr>
                <w:noProof/>
                <w:webHidden/>
              </w:rPr>
              <w:instrText xml:space="preserve"> PAGEREF _Toc237444782 \h </w:instrText>
            </w:r>
            <w:r>
              <w:rPr>
                <w:noProof/>
                <w:webHidden/>
              </w:rPr>
            </w:r>
            <w:r>
              <w:rPr>
                <w:noProof/>
                <w:webHidden/>
              </w:rPr>
              <w:fldChar w:fldCharType="separate"/>
            </w:r>
            <w:r>
              <w:rPr>
                <w:noProof/>
                <w:webHidden/>
              </w:rPr>
              <w:t>6</w:t>
            </w:r>
            <w:r>
              <w:rPr>
                <w:noProof/>
                <w:webHidden/>
              </w:rPr>
              <w:fldChar w:fldCharType="end"/>
            </w:r>
          </w:hyperlink>
        </w:p>
        <w:p w14:paraId="514282FB" w14:textId="5A4DA8D6"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3" w:history="1">
            <w:r w:rsidRPr="00CC3FFB">
              <w:rPr>
                <w:rStyle w:val="Hyperlink"/>
                <w:rFonts w:ascii="Times New Roman" w:hAnsi="Times New Roman" w:cs="Times New Roman"/>
                <w:noProof/>
              </w:rPr>
              <w:t>Recommended Working Capital Reforms</w:t>
            </w:r>
            <w:r>
              <w:rPr>
                <w:noProof/>
                <w:webHidden/>
              </w:rPr>
              <w:tab/>
            </w:r>
            <w:r>
              <w:rPr>
                <w:noProof/>
                <w:webHidden/>
              </w:rPr>
              <w:fldChar w:fldCharType="begin"/>
            </w:r>
            <w:r>
              <w:rPr>
                <w:noProof/>
                <w:webHidden/>
              </w:rPr>
              <w:instrText xml:space="preserve"> PAGEREF _Toc237444783 \h </w:instrText>
            </w:r>
            <w:r>
              <w:rPr>
                <w:noProof/>
                <w:webHidden/>
              </w:rPr>
            </w:r>
            <w:r>
              <w:rPr>
                <w:noProof/>
                <w:webHidden/>
              </w:rPr>
              <w:fldChar w:fldCharType="separate"/>
            </w:r>
            <w:r>
              <w:rPr>
                <w:noProof/>
                <w:webHidden/>
              </w:rPr>
              <w:t>7</w:t>
            </w:r>
            <w:r>
              <w:rPr>
                <w:noProof/>
                <w:webHidden/>
              </w:rPr>
              <w:fldChar w:fldCharType="end"/>
            </w:r>
          </w:hyperlink>
        </w:p>
        <w:p w14:paraId="7FA7B0F2" w14:textId="39AAC90D"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4" w:history="1">
            <w:r w:rsidRPr="00CC3FFB">
              <w:rPr>
                <w:rStyle w:val="Hyperlink"/>
                <w:rFonts w:ascii="Times New Roman" w:hAnsi="Times New Roman" w:cs="Times New Roman"/>
                <w:noProof/>
              </w:rPr>
              <w:t>Short-term vs Long-term Financing</w:t>
            </w:r>
            <w:r>
              <w:rPr>
                <w:noProof/>
                <w:webHidden/>
              </w:rPr>
              <w:tab/>
            </w:r>
            <w:r>
              <w:rPr>
                <w:noProof/>
                <w:webHidden/>
              </w:rPr>
              <w:fldChar w:fldCharType="begin"/>
            </w:r>
            <w:r>
              <w:rPr>
                <w:noProof/>
                <w:webHidden/>
              </w:rPr>
              <w:instrText xml:space="preserve"> PAGEREF _Toc237444784 \h </w:instrText>
            </w:r>
            <w:r>
              <w:rPr>
                <w:noProof/>
                <w:webHidden/>
              </w:rPr>
            </w:r>
            <w:r>
              <w:rPr>
                <w:noProof/>
                <w:webHidden/>
              </w:rPr>
              <w:fldChar w:fldCharType="separate"/>
            </w:r>
            <w:r>
              <w:rPr>
                <w:noProof/>
                <w:webHidden/>
              </w:rPr>
              <w:t>7</w:t>
            </w:r>
            <w:r>
              <w:rPr>
                <w:noProof/>
                <w:webHidden/>
              </w:rPr>
              <w:fldChar w:fldCharType="end"/>
            </w:r>
          </w:hyperlink>
        </w:p>
        <w:p w14:paraId="5F3C24FB" w14:textId="758F5B42"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785" w:history="1">
            <w:r w:rsidRPr="00CC3FFB">
              <w:rPr>
                <w:rStyle w:val="Hyperlink"/>
                <w:rFonts w:ascii="Times New Roman" w:hAnsi="Times New Roman" w:cs="Times New Roman"/>
                <w:noProof/>
              </w:rPr>
              <w:t>3. Strategic Financial Restructuring Plan</w:t>
            </w:r>
            <w:r>
              <w:rPr>
                <w:noProof/>
                <w:webHidden/>
              </w:rPr>
              <w:tab/>
            </w:r>
            <w:r>
              <w:rPr>
                <w:noProof/>
                <w:webHidden/>
              </w:rPr>
              <w:fldChar w:fldCharType="begin"/>
            </w:r>
            <w:r>
              <w:rPr>
                <w:noProof/>
                <w:webHidden/>
              </w:rPr>
              <w:instrText xml:space="preserve"> PAGEREF _Toc237444785 \h </w:instrText>
            </w:r>
            <w:r>
              <w:rPr>
                <w:noProof/>
                <w:webHidden/>
              </w:rPr>
            </w:r>
            <w:r>
              <w:rPr>
                <w:noProof/>
                <w:webHidden/>
              </w:rPr>
              <w:fldChar w:fldCharType="separate"/>
            </w:r>
            <w:r>
              <w:rPr>
                <w:noProof/>
                <w:webHidden/>
              </w:rPr>
              <w:t>8</w:t>
            </w:r>
            <w:r>
              <w:rPr>
                <w:noProof/>
                <w:webHidden/>
              </w:rPr>
              <w:fldChar w:fldCharType="end"/>
            </w:r>
          </w:hyperlink>
        </w:p>
        <w:p w14:paraId="21638EC5" w14:textId="6030C682"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6" w:history="1">
            <w:r w:rsidRPr="00CC3FFB">
              <w:rPr>
                <w:rStyle w:val="Hyperlink"/>
                <w:rFonts w:ascii="Times New Roman" w:hAnsi="Times New Roman" w:cs="Times New Roman"/>
                <w:noProof/>
              </w:rPr>
              <w:t>Recommended Restructuring Options</w:t>
            </w:r>
            <w:r>
              <w:rPr>
                <w:noProof/>
                <w:webHidden/>
              </w:rPr>
              <w:tab/>
            </w:r>
            <w:r>
              <w:rPr>
                <w:noProof/>
                <w:webHidden/>
              </w:rPr>
              <w:fldChar w:fldCharType="begin"/>
            </w:r>
            <w:r>
              <w:rPr>
                <w:noProof/>
                <w:webHidden/>
              </w:rPr>
              <w:instrText xml:space="preserve"> PAGEREF _Toc237444786 \h </w:instrText>
            </w:r>
            <w:r>
              <w:rPr>
                <w:noProof/>
                <w:webHidden/>
              </w:rPr>
            </w:r>
            <w:r>
              <w:rPr>
                <w:noProof/>
                <w:webHidden/>
              </w:rPr>
              <w:fldChar w:fldCharType="separate"/>
            </w:r>
            <w:r>
              <w:rPr>
                <w:noProof/>
                <w:webHidden/>
              </w:rPr>
              <w:t>8</w:t>
            </w:r>
            <w:r>
              <w:rPr>
                <w:noProof/>
                <w:webHidden/>
              </w:rPr>
              <w:fldChar w:fldCharType="end"/>
            </w:r>
          </w:hyperlink>
        </w:p>
        <w:p w14:paraId="0368F064" w14:textId="08DC6733"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7" w:history="1">
            <w:r w:rsidRPr="00CC3FFB">
              <w:rPr>
                <w:rStyle w:val="Hyperlink"/>
                <w:rFonts w:ascii="Times New Roman" w:hAnsi="Times New Roman" w:cs="Times New Roman"/>
                <w:noProof/>
              </w:rPr>
              <w:t>Capital Structure Rationale</w:t>
            </w:r>
            <w:r>
              <w:rPr>
                <w:noProof/>
                <w:webHidden/>
              </w:rPr>
              <w:tab/>
            </w:r>
            <w:r>
              <w:rPr>
                <w:noProof/>
                <w:webHidden/>
              </w:rPr>
              <w:fldChar w:fldCharType="begin"/>
            </w:r>
            <w:r>
              <w:rPr>
                <w:noProof/>
                <w:webHidden/>
              </w:rPr>
              <w:instrText xml:space="preserve"> PAGEREF _Toc237444787 \h </w:instrText>
            </w:r>
            <w:r>
              <w:rPr>
                <w:noProof/>
                <w:webHidden/>
              </w:rPr>
            </w:r>
            <w:r>
              <w:rPr>
                <w:noProof/>
                <w:webHidden/>
              </w:rPr>
              <w:fldChar w:fldCharType="separate"/>
            </w:r>
            <w:r>
              <w:rPr>
                <w:noProof/>
                <w:webHidden/>
              </w:rPr>
              <w:t>8</w:t>
            </w:r>
            <w:r>
              <w:rPr>
                <w:noProof/>
                <w:webHidden/>
              </w:rPr>
              <w:fldChar w:fldCharType="end"/>
            </w:r>
          </w:hyperlink>
        </w:p>
        <w:p w14:paraId="6BDAD11E" w14:textId="7CFD6A81"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8" w:history="1">
            <w:r w:rsidRPr="00CC3FFB">
              <w:rPr>
                <w:rStyle w:val="Hyperlink"/>
                <w:rFonts w:ascii="Times New Roman" w:hAnsi="Times New Roman" w:cs="Times New Roman"/>
                <w:noProof/>
              </w:rPr>
              <w:t>Impact on Shareholder Value, Debt Structure and Operational Flexibility</w:t>
            </w:r>
            <w:r>
              <w:rPr>
                <w:noProof/>
                <w:webHidden/>
              </w:rPr>
              <w:tab/>
            </w:r>
            <w:r>
              <w:rPr>
                <w:noProof/>
                <w:webHidden/>
              </w:rPr>
              <w:fldChar w:fldCharType="begin"/>
            </w:r>
            <w:r>
              <w:rPr>
                <w:noProof/>
                <w:webHidden/>
              </w:rPr>
              <w:instrText xml:space="preserve"> PAGEREF _Toc237444788 \h </w:instrText>
            </w:r>
            <w:r>
              <w:rPr>
                <w:noProof/>
                <w:webHidden/>
              </w:rPr>
            </w:r>
            <w:r>
              <w:rPr>
                <w:noProof/>
                <w:webHidden/>
              </w:rPr>
              <w:fldChar w:fldCharType="separate"/>
            </w:r>
            <w:r>
              <w:rPr>
                <w:noProof/>
                <w:webHidden/>
              </w:rPr>
              <w:t>9</w:t>
            </w:r>
            <w:r>
              <w:rPr>
                <w:noProof/>
                <w:webHidden/>
              </w:rPr>
              <w:fldChar w:fldCharType="end"/>
            </w:r>
          </w:hyperlink>
        </w:p>
        <w:p w14:paraId="44954CDB" w14:textId="13F6C9B8"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89" w:history="1">
            <w:r w:rsidRPr="00CC3FFB">
              <w:rPr>
                <w:rStyle w:val="Hyperlink"/>
                <w:rFonts w:ascii="Times New Roman" w:hAnsi="Times New Roman" w:cs="Times New Roman"/>
                <w:noProof/>
              </w:rPr>
              <w:t>International and Ethical Considerations</w:t>
            </w:r>
            <w:r>
              <w:rPr>
                <w:noProof/>
                <w:webHidden/>
              </w:rPr>
              <w:tab/>
            </w:r>
            <w:r>
              <w:rPr>
                <w:noProof/>
                <w:webHidden/>
              </w:rPr>
              <w:fldChar w:fldCharType="begin"/>
            </w:r>
            <w:r>
              <w:rPr>
                <w:noProof/>
                <w:webHidden/>
              </w:rPr>
              <w:instrText xml:space="preserve"> PAGEREF _Toc237444789 \h </w:instrText>
            </w:r>
            <w:r>
              <w:rPr>
                <w:noProof/>
                <w:webHidden/>
              </w:rPr>
            </w:r>
            <w:r>
              <w:rPr>
                <w:noProof/>
                <w:webHidden/>
              </w:rPr>
              <w:fldChar w:fldCharType="separate"/>
            </w:r>
            <w:r>
              <w:rPr>
                <w:noProof/>
                <w:webHidden/>
              </w:rPr>
              <w:t>9</w:t>
            </w:r>
            <w:r>
              <w:rPr>
                <w:noProof/>
                <w:webHidden/>
              </w:rPr>
              <w:fldChar w:fldCharType="end"/>
            </w:r>
          </w:hyperlink>
        </w:p>
        <w:p w14:paraId="2EB24933" w14:textId="4BB15EA8"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790" w:history="1">
            <w:r w:rsidRPr="00CC3FFB">
              <w:rPr>
                <w:rStyle w:val="Hyperlink"/>
                <w:rFonts w:ascii="Times New Roman" w:hAnsi="Times New Roman" w:cs="Times New Roman"/>
                <w:noProof/>
              </w:rPr>
              <w:t>4. Investment Appraisal and Capital Budgeting</w:t>
            </w:r>
            <w:r>
              <w:rPr>
                <w:noProof/>
                <w:webHidden/>
              </w:rPr>
              <w:tab/>
            </w:r>
            <w:r>
              <w:rPr>
                <w:noProof/>
                <w:webHidden/>
              </w:rPr>
              <w:fldChar w:fldCharType="begin"/>
            </w:r>
            <w:r>
              <w:rPr>
                <w:noProof/>
                <w:webHidden/>
              </w:rPr>
              <w:instrText xml:space="preserve"> PAGEREF _Toc237444790 \h </w:instrText>
            </w:r>
            <w:r>
              <w:rPr>
                <w:noProof/>
                <w:webHidden/>
              </w:rPr>
            </w:r>
            <w:r>
              <w:rPr>
                <w:noProof/>
                <w:webHidden/>
              </w:rPr>
              <w:fldChar w:fldCharType="separate"/>
            </w:r>
            <w:r>
              <w:rPr>
                <w:noProof/>
                <w:webHidden/>
              </w:rPr>
              <w:t>9</w:t>
            </w:r>
            <w:r>
              <w:rPr>
                <w:noProof/>
                <w:webHidden/>
              </w:rPr>
              <w:fldChar w:fldCharType="end"/>
            </w:r>
          </w:hyperlink>
        </w:p>
        <w:p w14:paraId="08AEE2A0" w14:textId="1EEFFFAB"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1" w:history="1">
            <w:r w:rsidRPr="00CC3FFB">
              <w:rPr>
                <w:rStyle w:val="Hyperlink"/>
                <w:rFonts w:ascii="Times New Roman" w:hAnsi="Times New Roman" w:cs="Times New Roman"/>
                <w:noProof/>
              </w:rPr>
              <w:t>Cash Flow Inputs (£m)</w:t>
            </w:r>
            <w:r>
              <w:rPr>
                <w:noProof/>
                <w:webHidden/>
              </w:rPr>
              <w:tab/>
            </w:r>
            <w:r>
              <w:rPr>
                <w:noProof/>
                <w:webHidden/>
              </w:rPr>
              <w:fldChar w:fldCharType="begin"/>
            </w:r>
            <w:r>
              <w:rPr>
                <w:noProof/>
                <w:webHidden/>
              </w:rPr>
              <w:instrText xml:space="preserve"> PAGEREF _Toc237444791 \h </w:instrText>
            </w:r>
            <w:r>
              <w:rPr>
                <w:noProof/>
                <w:webHidden/>
              </w:rPr>
            </w:r>
            <w:r>
              <w:rPr>
                <w:noProof/>
                <w:webHidden/>
              </w:rPr>
              <w:fldChar w:fldCharType="separate"/>
            </w:r>
            <w:r>
              <w:rPr>
                <w:noProof/>
                <w:webHidden/>
              </w:rPr>
              <w:t>9</w:t>
            </w:r>
            <w:r>
              <w:rPr>
                <w:noProof/>
                <w:webHidden/>
              </w:rPr>
              <w:fldChar w:fldCharType="end"/>
            </w:r>
          </w:hyperlink>
        </w:p>
        <w:p w14:paraId="3838D756" w14:textId="679D6901"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2" w:history="1">
            <w:r w:rsidRPr="00CC3FFB">
              <w:rPr>
                <w:rStyle w:val="Hyperlink"/>
                <w:rFonts w:ascii="Times New Roman" w:hAnsi="Times New Roman" w:cs="Times New Roman"/>
                <w:noProof/>
              </w:rPr>
              <w:t>Appraisal Summary</w:t>
            </w:r>
            <w:r>
              <w:rPr>
                <w:noProof/>
                <w:webHidden/>
              </w:rPr>
              <w:tab/>
            </w:r>
            <w:r>
              <w:rPr>
                <w:noProof/>
                <w:webHidden/>
              </w:rPr>
              <w:fldChar w:fldCharType="begin"/>
            </w:r>
            <w:r>
              <w:rPr>
                <w:noProof/>
                <w:webHidden/>
              </w:rPr>
              <w:instrText xml:space="preserve"> PAGEREF _Toc237444792 \h </w:instrText>
            </w:r>
            <w:r>
              <w:rPr>
                <w:noProof/>
                <w:webHidden/>
              </w:rPr>
            </w:r>
            <w:r>
              <w:rPr>
                <w:noProof/>
                <w:webHidden/>
              </w:rPr>
              <w:fldChar w:fldCharType="separate"/>
            </w:r>
            <w:r>
              <w:rPr>
                <w:noProof/>
                <w:webHidden/>
              </w:rPr>
              <w:t>10</w:t>
            </w:r>
            <w:r>
              <w:rPr>
                <w:noProof/>
                <w:webHidden/>
              </w:rPr>
              <w:fldChar w:fldCharType="end"/>
            </w:r>
          </w:hyperlink>
        </w:p>
        <w:p w14:paraId="77A9D575" w14:textId="4853E63F"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3" w:history="1">
            <w:r w:rsidRPr="00CC3FFB">
              <w:rPr>
                <w:rStyle w:val="Hyperlink"/>
                <w:rFonts w:ascii="Times New Roman" w:hAnsi="Times New Roman" w:cs="Times New Roman"/>
                <w:noProof/>
              </w:rPr>
              <w:t>Recommendation and Risk Discussion</w:t>
            </w:r>
            <w:r>
              <w:rPr>
                <w:noProof/>
                <w:webHidden/>
              </w:rPr>
              <w:tab/>
            </w:r>
            <w:r>
              <w:rPr>
                <w:noProof/>
                <w:webHidden/>
              </w:rPr>
              <w:fldChar w:fldCharType="begin"/>
            </w:r>
            <w:r>
              <w:rPr>
                <w:noProof/>
                <w:webHidden/>
              </w:rPr>
              <w:instrText xml:space="preserve"> PAGEREF _Toc237444793 \h </w:instrText>
            </w:r>
            <w:r>
              <w:rPr>
                <w:noProof/>
                <w:webHidden/>
              </w:rPr>
            </w:r>
            <w:r>
              <w:rPr>
                <w:noProof/>
                <w:webHidden/>
              </w:rPr>
              <w:fldChar w:fldCharType="separate"/>
            </w:r>
            <w:r>
              <w:rPr>
                <w:noProof/>
                <w:webHidden/>
              </w:rPr>
              <w:t>11</w:t>
            </w:r>
            <w:r>
              <w:rPr>
                <w:noProof/>
                <w:webHidden/>
              </w:rPr>
              <w:fldChar w:fldCharType="end"/>
            </w:r>
          </w:hyperlink>
        </w:p>
        <w:p w14:paraId="496ED3D4" w14:textId="17D3D342"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4" w:history="1">
            <w:r w:rsidRPr="00CC3FFB">
              <w:rPr>
                <w:rStyle w:val="Hyperlink"/>
                <w:rFonts w:ascii="Times New Roman" w:hAnsi="Times New Roman" w:cs="Times New Roman"/>
                <w:noProof/>
              </w:rPr>
              <w:t>Capital Rationing (Maximum £100m Available)</w:t>
            </w:r>
            <w:r>
              <w:rPr>
                <w:noProof/>
                <w:webHidden/>
              </w:rPr>
              <w:tab/>
            </w:r>
            <w:r>
              <w:rPr>
                <w:noProof/>
                <w:webHidden/>
              </w:rPr>
              <w:fldChar w:fldCharType="begin"/>
            </w:r>
            <w:r>
              <w:rPr>
                <w:noProof/>
                <w:webHidden/>
              </w:rPr>
              <w:instrText xml:space="preserve"> PAGEREF _Toc237444794 \h </w:instrText>
            </w:r>
            <w:r>
              <w:rPr>
                <w:noProof/>
                <w:webHidden/>
              </w:rPr>
            </w:r>
            <w:r>
              <w:rPr>
                <w:noProof/>
                <w:webHidden/>
              </w:rPr>
              <w:fldChar w:fldCharType="separate"/>
            </w:r>
            <w:r>
              <w:rPr>
                <w:noProof/>
                <w:webHidden/>
              </w:rPr>
              <w:t>11</w:t>
            </w:r>
            <w:r>
              <w:rPr>
                <w:noProof/>
                <w:webHidden/>
              </w:rPr>
              <w:fldChar w:fldCharType="end"/>
            </w:r>
          </w:hyperlink>
        </w:p>
        <w:p w14:paraId="3BC13C44" w14:textId="560209B4"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795" w:history="1">
            <w:r w:rsidRPr="00CC3FFB">
              <w:rPr>
                <w:rStyle w:val="Hyperlink"/>
                <w:rFonts w:ascii="Times New Roman" w:hAnsi="Times New Roman" w:cs="Times New Roman"/>
                <w:noProof/>
              </w:rPr>
              <w:t>5. Critical Reflection on AI Usage</w:t>
            </w:r>
            <w:r>
              <w:rPr>
                <w:noProof/>
                <w:webHidden/>
              </w:rPr>
              <w:tab/>
            </w:r>
            <w:r>
              <w:rPr>
                <w:noProof/>
                <w:webHidden/>
              </w:rPr>
              <w:fldChar w:fldCharType="begin"/>
            </w:r>
            <w:r>
              <w:rPr>
                <w:noProof/>
                <w:webHidden/>
              </w:rPr>
              <w:instrText xml:space="preserve"> PAGEREF _Toc237444795 \h </w:instrText>
            </w:r>
            <w:r>
              <w:rPr>
                <w:noProof/>
                <w:webHidden/>
              </w:rPr>
            </w:r>
            <w:r>
              <w:rPr>
                <w:noProof/>
                <w:webHidden/>
              </w:rPr>
              <w:fldChar w:fldCharType="separate"/>
            </w:r>
            <w:r>
              <w:rPr>
                <w:noProof/>
                <w:webHidden/>
              </w:rPr>
              <w:t>12</w:t>
            </w:r>
            <w:r>
              <w:rPr>
                <w:noProof/>
                <w:webHidden/>
              </w:rPr>
              <w:fldChar w:fldCharType="end"/>
            </w:r>
          </w:hyperlink>
        </w:p>
        <w:p w14:paraId="7F31C4C8" w14:textId="21459F4C"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6" w:history="1">
            <w:r w:rsidRPr="00CC3FFB">
              <w:rPr>
                <w:rStyle w:val="Hyperlink"/>
                <w:rFonts w:ascii="Times New Roman" w:hAnsi="Times New Roman" w:cs="Times New Roman"/>
                <w:noProof/>
              </w:rPr>
              <w:t>Tool Disclosure</w:t>
            </w:r>
            <w:r>
              <w:rPr>
                <w:noProof/>
                <w:webHidden/>
              </w:rPr>
              <w:tab/>
            </w:r>
            <w:r>
              <w:rPr>
                <w:noProof/>
                <w:webHidden/>
              </w:rPr>
              <w:fldChar w:fldCharType="begin"/>
            </w:r>
            <w:r>
              <w:rPr>
                <w:noProof/>
                <w:webHidden/>
              </w:rPr>
              <w:instrText xml:space="preserve"> PAGEREF _Toc237444796 \h </w:instrText>
            </w:r>
            <w:r>
              <w:rPr>
                <w:noProof/>
                <w:webHidden/>
              </w:rPr>
            </w:r>
            <w:r>
              <w:rPr>
                <w:noProof/>
                <w:webHidden/>
              </w:rPr>
              <w:fldChar w:fldCharType="separate"/>
            </w:r>
            <w:r>
              <w:rPr>
                <w:noProof/>
                <w:webHidden/>
              </w:rPr>
              <w:t>12</w:t>
            </w:r>
            <w:r>
              <w:rPr>
                <w:noProof/>
                <w:webHidden/>
              </w:rPr>
              <w:fldChar w:fldCharType="end"/>
            </w:r>
          </w:hyperlink>
        </w:p>
        <w:p w14:paraId="335722D2" w14:textId="30102F98"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7" w:history="1">
            <w:r w:rsidRPr="00CC3FFB">
              <w:rPr>
                <w:rStyle w:val="Hyperlink"/>
                <w:rFonts w:ascii="Times New Roman" w:hAnsi="Times New Roman" w:cs="Times New Roman"/>
                <w:noProof/>
              </w:rPr>
              <w:t>Critical Evaluation of AI Output</w:t>
            </w:r>
            <w:r>
              <w:rPr>
                <w:noProof/>
                <w:webHidden/>
              </w:rPr>
              <w:tab/>
            </w:r>
            <w:r>
              <w:rPr>
                <w:noProof/>
                <w:webHidden/>
              </w:rPr>
              <w:fldChar w:fldCharType="begin"/>
            </w:r>
            <w:r>
              <w:rPr>
                <w:noProof/>
                <w:webHidden/>
              </w:rPr>
              <w:instrText xml:space="preserve"> PAGEREF _Toc237444797 \h </w:instrText>
            </w:r>
            <w:r>
              <w:rPr>
                <w:noProof/>
                <w:webHidden/>
              </w:rPr>
            </w:r>
            <w:r>
              <w:rPr>
                <w:noProof/>
                <w:webHidden/>
              </w:rPr>
              <w:fldChar w:fldCharType="separate"/>
            </w:r>
            <w:r>
              <w:rPr>
                <w:noProof/>
                <w:webHidden/>
              </w:rPr>
              <w:t>12</w:t>
            </w:r>
            <w:r>
              <w:rPr>
                <w:noProof/>
                <w:webHidden/>
              </w:rPr>
              <w:fldChar w:fldCharType="end"/>
            </w:r>
          </w:hyperlink>
        </w:p>
        <w:p w14:paraId="30DF9700" w14:textId="7D8E6050"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8" w:history="1">
            <w:r w:rsidRPr="00CC3FFB">
              <w:rPr>
                <w:rStyle w:val="Hyperlink"/>
                <w:rFonts w:ascii="Times New Roman" w:hAnsi="Times New Roman" w:cs="Times New Roman"/>
                <w:noProof/>
              </w:rPr>
              <w:t>Contribution Analysis</w:t>
            </w:r>
            <w:r>
              <w:rPr>
                <w:noProof/>
                <w:webHidden/>
              </w:rPr>
              <w:tab/>
            </w:r>
            <w:r>
              <w:rPr>
                <w:noProof/>
                <w:webHidden/>
              </w:rPr>
              <w:fldChar w:fldCharType="begin"/>
            </w:r>
            <w:r>
              <w:rPr>
                <w:noProof/>
                <w:webHidden/>
              </w:rPr>
              <w:instrText xml:space="preserve"> PAGEREF _Toc237444798 \h </w:instrText>
            </w:r>
            <w:r>
              <w:rPr>
                <w:noProof/>
                <w:webHidden/>
              </w:rPr>
            </w:r>
            <w:r>
              <w:rPr>
                <w:noProof/>
                <w:webHidden/>
              </w:rPr>
              <w:fldChar w:fldCharType="separate"/>
            </w:r>
            <w:r>
              <w:rPr>
                <w:noProof/>
                <w:webHidden/>
              </w:rPr>
              <w:t>12</w:t>
            </w:r>
            <w:r>
              <w:rPr>
                <w:noProof/>
                <w:webHidden/>
              </w:rPr>
              <w:fldChar w:fldCharType="end"/>
            </w:r>
          </w:hyperlink>
        </w:p>
        <w:p w14:paraId="0CB0A422" w14:textId="799ED43E"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799" w:history="1">
            <w:r w:rsidRPr="00CC3FFB">
              <w:rPr>
                <w:rStyle w:val="Hyperlink"/>
                <w:rFonts w:ascii="Times New Roman" w:hAnsi="Times New Roman" w:cs="Times New Roman"/>
                <w:noProof/>
              </w:rPr>
              <w:t>Ethical and Professional Reflection</w:t>
            </w:r>
            <w:r>
              <w:rPr>
                <w:noProof/>
                <w:webHidden/>
              </w:rPr>
              <w:tab/>
            </w:r>
            <w:r>
              <w:rPr>
                <w:noProof/>
                <w:webHidden/>
              </w:rPr>
              <w:fldChar w:fldCharType="begin"/>
            </w:r>
            <w:r>
              <w:rPr>
                <w:noProof/>
                <w:webHidden/>
              </w:rPr>
              <w:instrText xml:space="preserve"> PAGEREF _Toc237444799 \h </w:instrText>
            </w:r>
            <w:r>
              <w:rPr>
                <w:noProof/>
                <w:webHidden/>
              </w:rPr>
            </w:r>
            <w:r>
              <w:rPr>
                <w:noProof/>
                <w:webHidden/>
              </w:rPr>
              <w:fldChar w:fldCharType="separate"/>
            </w:r>
            <w:r>
              <w:rPr>
                <w:noProof/>
                <w:webHidden/>
              </w:rPr>
              <w:t>13</w:t>
            </w:r>
            <w:r>
              <w:rPr>
                <w:noProof/>
                <w:webHidden/>
              </w:rPr>
              <w:fldChar w:fldCharType="end"/>
            </w:r>
          </w:hyperlink>
        </w:p>
        <w:p w14:paraId="6F956A9D" w14:textId="2A70CA2F"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800" w:history="1">
            <w:r w:rsidRPr="00CC3FF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_Toc237444800 \h </w:instrText>
            </w:r>
            <w:r>
              <w:rPr>
                <w:noProof/>
                <w:webHidden/>
              </w:rPr>
            </w:r>
            <w:r>
              <w:rPr>
                <w:noProof/>
                <w:webHidden/>
              </w:rPr>
              <w:fldChar w:fldCharType="separate"/>
            </w:r>
            <w:r>
              <w:rPr>
                <w:noProof/>
                <w:webHidden/>
              </w:rPr>
              <w:t>13</w:t>
            </w:r>
            <w:r>
              <w:rPr>
                <w:noProof/>
                <w:webHidden/>
              </w:rPr>
              <w:fldChar w:fldCharType="end"/>
            </w:r>
          </w:hyperlink>
        </w:p>
        <w:p w14:paraId="52280710" w14:textId="2E9FA279"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801" w:history="1">
            <w:r w:rsidRPr="00CC3FFB">
              <w:rPr>
                <w:rStyle w:val="Hyperlink"/>
                <w:rFonts w:ascii="Times New Roman" w:hAnsi="Times New Roman" w:cs="Times New Roman"/>
                <w:noProof/>
              </w:rPr>
              <w:t>6. Appendices</w:t>
            </w:r>
            <w:r>
              <w:rPr>
                <w:noProof/>
                <w:webHidden/>
              </w:rPr>
              <w:tab/>
            </w:r>
            <w:r>
              <w:rPr>
                <w:noProof/>
                <w:webHidden/>
              </w:rPr>
              <w:fldChar w:fldCharType="begin"/>
            </w:r>
            <w:r>
              <w:rPr>
                <w:noProof/>
                <w:webHidden/>
              </w:rPr>
              <w:instrText xml:space="preserve"> PAGEREF _Toc237444801 \h </w:instrText>
            </w:r>
            <w:r>
              <w:rPr>
                <w:noProof/>
                <w:webHidden/>
              </w:rPr>
            </w:r>
            <w:r>
              <w:rPr>
                <w:noProof/>
                <w:webHidden/>
              </w:rPr>
              <w:fldChar w:fldCharType="separate"/>
            </w:r>
            <w:r>
              <w:rPr>
                <w:noProof/>
                <w:webHidden/>
              </w:rPr>
              <w:t>14</w:t>
            </w:r>
            <w:r>
              <w:rPr>
                <w:noProof/>
                <w:webHidden/>
              </w:rPr>
              <w:fldChar w:fldCharType="end"/>
            </w:r>
          </w:hyperlink>
        </w:p>
        <w:p w14:paraId="64A3DEBB" w14:textId="5EDBD01B"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802" w:history="1">
            <w:r w:rsidRPr="00CC3FFB">
              <w:rPr>
                <w:rStyle w:val="Hyperlink"/>
                <w:rFonts w:ascii="Times New Roman" w:hAnsi="Times New Roman" w:cs="Times New Roman"/>
                <w:noProof/>
              </w:rPr>
              <w:t>Appendix A: Five-year Ratio Summary (FY2021-FY2025)</w:t>
            </w:r>
            <w:r>
              <w:rPr>
                <w:noProof/>
                <w:webHidden/>
              </w:rPr>
              <w:tab/>
            </w:r>
            <w:r>
              <w:rPr>
                <w:noProof/>
                <w:webHidden/>
              </w:rPr>
              <w:fldChar w:fldCharType="begin"/>
            </w:r>
            <w:r>
              <w:rPr>
                <w:noProof/>
                <w:webHidden/>
              </w:rPr>
              <w:instrText xml:space="preserve"> PAGEREF _Toc237444802 \h </w:instrText>
            </w:r>
            <w:r>
              <w:rPr>
                <w:noProof/>
                <w:webHidden/>
              </w:rPr>
            </w:r>
            <w:r>
              <w:rPr>
                <w:noProof/>
                <w:webHidden/>
              </w:rPr>
              <w:fldChar w:fldCharType="separate"/>
            </w:r>
            <w:r>
              <w:rPr>
                <w:noProof/>
                <w:webHidden/>
              </w:rPr>
              <w:t>14</w:t>
            </w:r>
            <w:r>
              <w:rPr>
                <w:noProof/>
                <w:webHidden/>
              </w:rPr>
              <w:fldChar w:fldCharType="end"/>
            </w:r>
          </w:hyperlink>
        </w:p>
        <w:p w14:paraId="7DA497AD" w14:textId="6547D4A8" w:rsidR="00C91B13" w:rsidRDefault="00C91B13">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444803" w:history="1">
            <w:r w:rsidRPr="00CC3FFB">
              <w:rPr>
                <w:rStyle w:val="Hyperlink"/>
                <w:rFonts w:ascii="Times New Roman" w:hAnsi="Times New Roman" w:cs="Times New Roman"/>
                <w:noProof/>
              </w:rPr>
              <w:t>Appendix B: Investment Appraisal Workbook</w:t>
            </w:r>
            <w:r>
              <w:rPr>
                <w:noProof/>
                <w:webHidden/>
              </w:rPr>
              <w:tab/>
            </w:r>
            <w:r>
              <w:rPr>
                <w:noProof/>
                <w:webHidden/>
              </w:rPr>
              <w:fldChar w:fldCharType="begin"/>
            </w:r>
            <w:r>
              <w:rPr>
                <w:noProof/>
                <w:webHidden/>
              </w:rPr>
              <w:instrText xml:space="preserve"> PAGEREF _Toc237444803 \h </w:instrText>
            </w:r>
            <w:r>
              <w:rPr>
                <w:noProof/>
                <w:webHidden/>
              </w:rPr>
            </w:r>
            <w:r>
              <w:rPr>
                <w:noProof/>
                <w:webHidden/>
              </w:rPr>
              <w:fldChar w:fldCharType="separate"/>
            </w:r>
            <w:r>
              <w:rPr>
                <w:noProof/>
                <w:webHidden/>
              </w:rPr>
              <w:t>14</w:t>
            </w:r>
            <w:r>
              <w:rPr>
                <w:noProof/>
                <w:webHidden/>
              </w:rPr>
              <w:fldChar w:fldCharType="end"/>
            </w:r>
          </w:hyperlink>
        </w:p>
        <w:p w14:paraId="2E5BCFB2" w14:textId="58022535" w:rsidR="00C91B13" w:rsidRDefault="00C91B13">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444804" w:history="1">
            <w:r w:rsidRPr="00CC3FFB">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_Toc237444804 \h </w:instrText>
            </w:r>
            <w:r>
              <w:rPr>
                <w:noProof/>
                <w:webHidden/>
              </w:rPr>
            </w:r>
            <w:r>
              <w:rPr>
                <w:noProof/>
                <w:webHidden/>
              </w:rPr>
              <w:fldChar w:fldCharType="separate"/>
            </w:r>
            <w:r>
              <w:rPr>
                <w:noProof/>
                <w:webHidden/>
              </w:rPr>
              <w:t>15</w:t>
            </w:r>
            <w:r>
              <w:rPr>
                <w:noProof/>
                <w:webHidden/>
              </w:rPr>
              <w:fldChar w:fldCharType="end"/>
            </w:r>
          </w:hyperlink>
        </w:p>
        <w:p w14:paraId="5292A07C" w14:textId="133B9F48" w:rsidR="00EE1B17" w:rsidRPr="00EE1B17" w:rsidRDefault="00EE1B17">
          <w:pPr>
            <w:rPr>
              <w:rFonts w:ascii="Times New Roman" w:hAnsi="Times New Roman" w:cs="Times New Roman"/>
            </w:rPr>
          </w:pPr>
          <w:r w:rsidRPr="00EE1B17">
            <w:rPr>
              <w:rFonts w:ascii="Times New Roman" w:hAnsi="Times New Roman" w:cs="Times New Roman"/>
              <w:b/>
              <w:bCs/>
              <w:noProof/>
            </w:rPr>
            <w:fldChar w:fldCharType="end"/>
          </w:r>
        </w:p>
      </w:sdtContent>
    </w:sdt>
    <w:p w14:paraId="64C6A03C" w14:textId="77777777" w:rsidR="00EE1B17" w:rsidRPr="00EE1B17" w:rsidRDefault="00EE1B17">
      <w:pPr>
        <w:pStyle w:val="Heading1"/>
        <w:rPr>
          <w:rFonts w:ascii="Times New Roman" w:hAnsi="Times New Roman" w:cs="Times New Roman"/>
        </w:rPr>
      </w:pPr>
    </w:p>
    <w:sdt>
      <w:sdtPr>
        <w:rPr>
          <w:rFonts w:ascii="Times New Roman" w:hAnsi="Times New Roman" w:cs="Times New Roman"/>
        </w:rPr>
        <w:alias w:val="Contents"/>
        <w:id w:val="707836557"/>
      </w:sdtPr>
      <w:sdtContent>
        <w:p w14:paraId="3FD2061A" w14:textId="77777777" w:rsidR="00B05CC7" w:rsidRPr="00EE1B17" w:rsidRDefault="00000000">
          <w:pPr>
            <w:rPr>
              <w:rFonts w:ascii="Times New Roman" w:hAnsi="Times New Roman" w:cs="Times New Roman"/>
            </w:rPr>
          </w:pPr>
          <w:r w:rsidRPr="00EE1B17">
            <w:rPr>
              <w:rFonts w:ascii="Times New Roman" w:hAnsi="Times New Roman" w:cs="Times New Roman"/>
            </w:rPr>
            <w:fldChar w:fldCharType="begin"/>
          </w:r>
          <w:r w:rsidRPr="00EE1B17">
            <w:rPr>
              <w:rFonts w:ascii="Times New Roman" w:hAnsi="Times New Roman" w:cs="Times New Roman"/>
            </w:rPr>
            <w:instrText>TOC \h \o "1-2"</w:instrText>
          </w:r>
          <w:r w:rsidRPr="00EE1B17">
            <w:rPr>
              <w:rFonts w:ascii="Times New Roman" w:hAnsi="Times New Roman" w:cs="Times New Roman"/>
            </w:rPr>
            <w:fldChar w:fldCharType="separate"/>
          </w:r>
        </w:p>
        <w:p w14:paraId="34413254" w14:textId="77777777" w:rsidR="00EE1B17" w:rsidRDefault="00000000">
          <w:pPr>
            <w:rPr>
              <w:rFonts w:ascii="Times New Roman" w:hAnsi="Times New Roman" w:cs="Times New Roman"/>
            </w:rPr>
          </w:pPr>
          <w:r w:rsidRPr="00EE1B17">
            <w:rPr>
              <w:rFonts w:ascii="Times New Roman" w:hAnsi="Times New Roman" w:cs="Times New Roman"/>
            </w:rPr>
            <w:fldChar w:fldCharType="end"/>
          </w:r>
        </w:p>
      </w:sdtContent>
    </w:sdt>
    <w:p w14:paraId="16BC8178" w14:textId="77777777" w:rsidR="009378A3" w:rsidRPr="00EE1B17" w:rsidRDefault="009378A3">
      <w:pPr>
        <w:rPr>
          <w:rFonts w:ascii="Times New Roman" w:hAnsi="Times New Roman" w:cs="Times New Roman"/>
        </w:rPr>
      </w:pPr>
    </w:p>
    <w:p w14:paraId="42D69045" w14:textId="505F1BA2" w:rsidR="00B05CC7" w:rsidRPr="00EE1B17" w:rsidRDefault="00000000" w:rsidP="00EE1B17">
      <w:pPr>
        <w:pStyle w:val="Heading1"/>
        <w:rPr>
          <w:rFonts w:ascii="Times New Roman" w:hAnsi="Times New Roman" w:cs="Times New Roman"/>
        </w:rPr>
      </w:pPr>
      <w:bookmarkStart w:id="0" w:name="_Toc237444773"/>
      <w:r w:rsidRPr="00EE1B17">
        <w:rPr>
          <w:rFonts w:ascii="Times New Roman" w:hAnsi="Times New Roman" w:cs="Times New Roman"/>
        </w:rPr>
        <w:lastRenderedPageBreak/>
        <w:t>Introduction</w:t>
      </w:r>
      <w:bookmarkEnd w:id="0"/>
    </w:p>
    <w:p w14:paraId="3C698D92" w14:textId="57796262"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Compass Group plc (LSE: CPG), established in 1941 and headquartered in Chertsey, UK, is the world's leading provider of contract catering and support services</w:t>
      </w:r>
      <w:r w:rsidR="009378A3">
        <w:rPr>
          <w:rFonts w:ascii="Times New Roman" w:hAnsi="Times New Roman" w:cs="Times New Roman"/>
        </w:rPr>
        <w:t xml:space="preserve"> </w:t>
      </w:r>
      <w:r w:rsidR="009378A3" w:rsidRPr="009378A3">
        <w:rPr>
          <w:rFonts w:ascii="Times New Roman" w:hAnsi="Times New Roman" w:cs="Times New Roman"/>
        </w:rPr>
        <w:t>(Compass Group plc, 2025)</w:t>
      </w:r>
      <w:r w:rsidRPr="00EE1B17">
        <w:rPr>
          <w:rFonts w:ascii="Times New Roman" w:hAnsi="Times New Roman" w:cs="Times New Roman"/>
        </w:rPr>
        <w:t>. The Group operates in more than 40 countries and serves five principal sectors: Business &amp; Industry, Healthcare &amp; Seniors, Education, Sports &amp; Leisure, and Defence, Offshore &amp; Remote. In this report, I, as the appointed Chief Financial Officer, have been asked by the Board to evaluate the Group's financial performance over the five years to FY2025 (year end 30 September) and to set out a turnaround and growth strategy that is financially sound and ethically defensible on a global scale.</w:t>
      </w:r>
    </w:p>
    <w:p w14:paraId="3868E019" w14:textId="507AF35A"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Corporate financial strategy cannot be separated from the interests of the parties it affects. Agency theory (Jensen and Meckling, 1976) frames the CFO's task as managing the tension between shareholders, who require an efficient return on deployed capital, and the Group's other stakeholders</w:t>
      </w:r>
      <w:r w:rsidR="00BB1059">
        <w:rPr>
          <w:rFonts w:ascii="Times New Roman" w:hAnsi="Times New Roman" w:cs="Times New Roman"/>
        </w:rPr>
        <w:t>-</w:t>
      </w:r>
      <w:r w:rsidRPr="00EE1B17">
        <w:rPr>
          <w:rFonts w:ascii="Times New Roman" w:hAnsi="Times New Roman" w:cs="Times New Roman"/>
        </w:rPr>
        <w:t xml:space="preserve">employees, clients, suppliers and, given Compass's exposure to </w:t>
      </w:r>
      <w:r w:rsidR="00EE1B17" w:rsidRPr="00EE1B17">
        <w:rPr>
          <w:rFonts w:ascii="Times New Roman" w:hAnsi="Times New Roman" w:cs="Times New Roman"/>
        </w:rPr>
        <w:t>public-sector</w:t>
      </w:r>
      <w:r w:rsidRPr="00EE1B17">
        <w:rPr>
          <w:rFonts w:ascii="Times New Roman" w:hAnsi="Times New Roman" w:cs="Times New Roman"/>
        </w:rPr>
        <w:t xml:space="preserve"> and healthcare contracts, the communities it serves. This report is therefore structured not only around ratio outcomes but around the capital allocation and governance decisions that connect those outcomes to shareholder value.</w:t>
      </w:r>
    </w:p>
    <w:p w14:paraId="2A69F28E" w14:textId="24480C6E"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Compass presents a distinctive case compared with typical turnaround assignments. Rather than being a distressed entity in need of intervention, it is a fundamentally sound, </w:t>
      </w:r>
      <w:r w:rsidR="00EE1B17" w:rsidRPr="00EE1B17">
        <w:rPr>
          <w:rFonts w:ascii="Times New Roman" w:hAnsi="Times New Roman" w:cs="Times New Roman"/>
        </w:rPr>
        <w:t>investment grade</w:t>
      </w:r>
      <w:r w:rsidRPr="00EE1B17">
        <w:rPr>
          <w:rFonts w:ascii="Times New Roman" w:hAnsi="Times New Roman" w:cs="Times New Roman"/>
        </w:rPr>
        <w:t xml:space="preserve"> organisation that has already navigated the pandemic and is now delivering consistent, profitable growth</w:t>
      </w:r>
      <w:r w:rsidR="009378A3">
        <w:rPr>
          <w:rFonts w:ascii="Times New Roman" w:hAnsi="Times New Roman" w:cs="Times New Roman"/>
        </w:rPr>
        <w:t xml:space="preserve"> </w:t>
      </w:r>
      <w:r w:rsidR="009378A3" w:rsidRPr="009378A3">
        <w:rPr>
          <w:rFonts w:ascii="Times New Roman" w:hAnsi="Times New Roman" w:cs="Times New Roman"/>
        </w:rPr>
        <w:t>(Compass Group plc, 2025</w:t>
      </w:r>
      <w:r w:rsidRPr="00EE1B17">
        <w:rPr>
          <w:rFonts w:ascii="Times New Roman" w:hAnsi="Times New Roman" w:cs="Times New Roman"/>
        </w:rPr>
        <w:t>. The focus of this analysis therefore shifts from crisis management to a critical examination of an already effective strategy: interrogating whether persistently negative working capital is a genuine strength rather than a latent risk, quantifying the unrealised value implied by the North America/International margin gap, and setting out how the Group should prioritise its capital investment programme within budget constraints.</w:t>
      </w:r>
    </w:p>
    <w:p w14:paraId="3D8AF266" w14:textId="7777777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The report is structured into five sections: a financial health check drawing on five years of ratio analysis across profitability, liquidity, efficiency, gearing and cash flow; an evaluation of working capital management and the cash operating cycle; a strategic financial restructuring plan addressing both portfolio and capital structure; an investment appraisal of three capital projects assessed through five complementary techniques; and a transparent, critical reflection on the use of artificial intelligence in producing this analysis. Supporting ratio tables, the investment appraisal workbook and the full reference list are provided in the appendices.</w:t>
      </w:r>
    </w:p>
    <w:p w14:paraId="16821178" w14:textId="59055E41"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A note on currency: all financial figures in this report are presented in pounds sterling (£). Compass Group has reported its consolidated results in US dollars since moving to USD </w:t>
      </w:r>
      <w:r w:rsidR="00EE1B17" w:rsidRPr="00EE1B17">
        <w:rPr>
          <w:rFonts w:ascii="Times New Roman" w:hAnsi="Times New Roman" w:cs="Times New Roman"/>
        </w:rPr>
        <w:t>functional currency</w:t>
      </w:r>
      <w:r w:rsidRPr="00EE1B17">
        <w:rPr>
          <w:rFonts w:ascii="Times New Roman" w:hAnsi="Times New Roman" w:cs="Times New Roman"/>
        </w:rPr>
        <w:t xml:space="preserve"> reporting, and one acquisition discussed in Section 3 was originally announced in euros; where a figure's original source currency is USD or EUR, it has been translated at the 2025 average exchange rates of £1 = $1.32 and £1 = €1.17 (XRates, 2025) for presentational consistency throughout this report. This is a simplifying assumption</w:t>
      </w:r>
      <w:r w:rsidR="00EE1B17">
        <w:rPr>
          <w:rFonts w:ascii="Times New Roman" w:hAnsi="Times New Roman" w:cs="Times New Roman"/>
        </w:rPr>
        <w:t xml:space="preserve"> </w:t>
      </w:r>
      <w:r w:rsidRPr="00EE1B17">
        <w:rPr>
          <w:rFonts w:ascii="Times New Roman" w:hAnsi="Times New Roman" w:cs="Times New Roman"/>
        </w:rPr>
        <w:t xml:space="preserve">it does not replicate Compass's own </w:t>
      </w:r>
      <w:r w:rsidR="00EE1B17" w:rsidRPr="00EE1B17">
        <w:rPr>
          <w:rFonts w:ascii="Times New Roman" w:hAnsi="Times New Roman" w:cs="Times New Roman"/>
        </w:rPr>
        <w:t>hedge adjusted</w:t>
      </w:r>
      <w:r w:rsidRPr="00EE1B17">
        <w:rPr>
          <w:rFonts w:ascii="Times New Roman" w:hAnsi="Times New Roman" w:cs="Times New Roman"/>
        </w:rPr>
        <w:t xml:space="preserve"> transaction and translation policy and is disclosed here so that all figures quoted below can be read on a single, comparable basis.</w:t>
      </w:r>
    </w:p>
    <w:p w14:paraId="16E4D6FA" w14:textId="77777777" w:rsidR="00B05CC7" w:rsidRPr="00EE1B17" w:rsidRDefault="00000000">
      <w:pPr>
        <w:pStyle w:val="Heading1"/>
        <w:rPr>
          <w:rFonts w:ascii="Times New Roman" w:hAnsi="Times New Roman" w:cs="Times New Roman"/>
        </w:rPr>
      </w:pPr>
      <w:bookmarkStart w:id="1" w:name="_Toc237444774"/>
      <w:r w:rsidRPr="00EE1B17">
        <w:rPr>
          <w:rFonts w:ascii="Times New Roman" w:hAnsi="Times New Roman" w:cs="Times New Roman"/>
        </w:rPr>
        <w:t>1. Financial Health Check</w:t>
      </w:r>
      <w:bookmarkEnd w:id="1"/>
    </w:p>
    <w:p w14:paraId="6417F901" w14:textId="60716B4F"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Compass Group has transitioned from the disruption of the pandemic to deliver consistent, double</w:t>
      </w:r>
      <w:r w:rsidR="00EE1B17" w:rsidRPr="00EE1B17">
        <w:rPr>
          <w:rFonts w:ascii="Times New Roman" w:hAnsi="Times New Roman" w:cs="Times New Roman"/>
        </w:rPr>
        <w:t xml:space="preserve"> </w:t>
      </w:r>
      <w:r w:rsidRPr="00EE1B17">
        <w:rPr>
          <w:rFonts w:ascii="Times New Roman" w:hAnsi="Times New Roman" w:cs="Times New Roman"/>
        </w:rPr>
        <w:t xml:space="preserve">digit profit growth in the five years to FY2025. Statutory revenue grew from approximately £14.4bn in the </w:t>
      </w:r>
      <w:r w:rsidR="00EE1B17" w:rsidRPr="00EE1B17">
        <w:rPr>
          <w:rFonts w:ascii="Times New Roman" w:hAnsi="Times New Roman" w:cs="Times New Roman"/>
        </w:rPr>
        <w:t>pandemic affected</w:t>
      </w:r>
      <w:r w:rsidRPr="00EE1B17">
        <w:rPr>
          <w:rFonts w:ascii="Times New Roman" w:hAnsi="Times New Roman" w:cs="Times New Roman"/>
        </w:rPr>
        <w:t xml:space="preserve"> FY2021 to £34.9bn in FY2025 (Compass Group plc, 2025), driven by volume growth, disciplined pricing and portfolio simplification notably the exit from smaller Latin American markets to concentrate on North America and the International B&amp;I, Healthcare, Education and Sports &amp; Leisure segments. Underlying operating margin rose from around 2.9% in FY2021 to 7.2% in FY2025 over the same period. Ratio analysis of this kind is most informative when the ratios are read as a linked system rather than in isolation, since a rising revenue and margin trend only demonstrates genuine operating improvement once it is corroborated by liquidity, efficiency and cash</w:t>
      </w:r>
      <w:r w:rsidR="00EE1B17">
        <w:rPr>
          <w:rFonts w:ascii="Times New Roman" w:hAnsi="Times New Roman" w:cs="Times New Roman"/>
        </w:rPr>
        <w:t xml:space="preserve"> </w:t>
      </w:r>
      <w:r w:rsidRPr="00EE1B17">
        <w:rPr>
          <w:rFonts w:ascii="Times New Roman" w:hAnsi="Times New Roman" w:cs="Times New Roman"/>
        </w:rPr>
        <w:t>conversion evidence the approach followed through the remainder of this section (Pike, Neale and Linsley, 2018).</w:t>
      </w:r>
    </w:p>
    <w:p w14:paraId="06B88072" w14:textId="77777777" w:rsidR="00B05CC7" w:rsidRPr="00EE1B17" w:rsidRDefault="00000000">
      <w:pPr>
        <w:pStyle w:val="Heading2"/>
        <w:rPr>
          <w:rFonts w:ascii="Times New Roman" w:hAnsi="Times New Roman" w:cs="Times New Roman"/>
        </w:rPr>
      </w:pPr>
      <w:bookmarkStart w:id="2" w:name="_Toc237444775"/>
      <w:r w:rsidRPr="00EE1B17">
        <w:rPr>
          <w:rFonts w:ascii="Times New Roman" w:hAnsi="Times New Roman" w:cs="Times New Roman"/>
        </w:rPr>
        <w:lastRenderedPageBreak/>
        <w:t>Revenue and Operating Profit Trend</w:t>
      </w:r>
      <w:bookmarkEnd w:id="2"/>
    </w:p>
    <w:p w14:paraId="6F244A29" w14:textId="1589F8D4" w:rsidR="00B05CC7" w:rsidRPr="00EE1B17" w:rsidRDefault="00000000">
      <w:pPr>
        <w:spacing w:before="120" w:after="60"/>
        <w:rPr>
          <w:rFonts w:ascii="Times New Roman" w:hAnsi="Times New Roman" w:cs="Times New Roman"/>
        </w:rPr>
      </w:pPr>
      <w:r w:rsidRPr="00EE1B17">
        <w:rPr>
          <w:rFonts w:ascii="Times New Roman" w:hAnsi="Times New Roman" w:cs="Times New Roman"/>
          <w:b/>
          <w:bCs/>
          <w:sz w:val="20"/>
          <w:szCs w:val="20"/>
        </w:rPr>
        <w:t xml:space="preserve">Table 1: Compass Group plc </w:t>
      </w:r>
      <w:r w:rsidR="00BB1059">
        <w:rPr>
          <w:rFonts w:ascii="Times New Roman" w:hAnsi="Times New Roman" w:cs="Times New Roman"/>
          <w:b/>
          <w:bCs/>
          <w:sz w:val="20"/>
          <w:szCs w:val="20"/>
        </w:rPr>
        <w:t>-</w:t>
      </w:r>
      <w:r w:rsidRPr="00EE1B17">
        <w:rPr>
          <w:rFonts w:ascii="Times New Roman" w:hAnsi="Times New Roman" w:cs="Times New Roman"/>
          <w:b/>
          <w:bCs/>
          <w:sz w:val="20"/>
          <w:szCs w:val="20"/>
        </w:rPr>
        <w:t xml:space="preserve"> Revenue and Operating Profit Trend, FY2022</w:t>
      </w:r>
      <w:r w:rsidR="00BB1059">
        <w:rPr>
          <w:rFonts w:ascii="Times New Roman" w:hAnsi="Times New Roman" w:cs="Times New Roman"/>
          <w:b/>
          <w:bCs/>
          <w:sz w:val="20"/>
          <w:szCs w:val="20"/>
        </w:rPr>
        <w:t>-</w:t>
      </w:r>
      <w:r w:rsidRPr="00EE1B17">
        <w:rPr>
          <w:rFonts w:ascii="Times New Roman" w:hAnsi="Times New Roman" w:cs="Times New Roman"/>
          <w:b/>
          <w:bCs/>
          <w:sz w:val="20"/>
          <w:szCs w:val="20"/>
        </w:rPr>
        <w:t>FY2025 (£bn)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7"/>
        <w:gridCol w:w="2407"/>
        <w:gridCol w:w="2407"/>
        <w:gridCol w:w="2407"/>
      </w:tblGrid>
      <w:tr w:rsidR="00B05CC7" w:rsidRPr="00EE1B17" w14:paraId="2889A1B2" w14:textId="77777777">
        <w:trPr>
          <w:tblHeader/>
        </w:trPr>
        <w:tc>
          <w:tcPr>
            <w:tcW w:w="1250" w:type="pct"/>
            <w:shd w:val="clear" w:color="auto" w:fill="1F3864"/>
            <w:tcMar>
              <w:top w:w="60" w:type="dxa"/>
              <w:left w:w="100" w:type="dxa"/>
              <w:bottom w:w="60" w:type="dxa"/>
              <w:right w:w="100" w:type="dxa"/>
            </w:tcMar>
            <w:vAlign w:val="center"/>
          </w:tcPr>
          <w:p w14:paraId="5E3E024D"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Fiscal Year</w:t>
            </w:r>
          </w:p>
        </w:tc>
        <w:tc>
          <w:tcPr>
            <w:tcW w:w="1250" w:type="pct"/>
            <w:shd w:val="clear" w:color="auto" w:fill="1F3864"/>
            <w:tcMar>
              <w:top w:w="60" w:type="dxa"/>
              <w:left w:w="100" w:type="dxa"/>
              <w:bottom w:w="60" w:type="dxa"/>
              <w:right w:w="100" w:type="dxa"/>
            </w:tcMar>
            <w:vAlign w:val="center"/>
          </w:tcPr>
          <w:p w14:paraId="0BEB241C"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Revenue (£bn)</w:t>
            </w:r>
          </w:p>
        </w:tc>
        <w:tc>
          <w:tcPr>
            <w:tcW w:w="1250" w:type="pct"/>
            <w:shd w:val="clear" w:color="auto" w:fill="1F3864"/>
            <w:tcMar>
              <w:top w:w="60" w:type="dxa"/>
              <w:left w:w="100" w:type="dxa"/>
              <w:bottom w:w="60" w:type="dxa"/>
              <w:right w:w="100" w:type="dxa"/>
            </w:tcMar>
            <w:vAlign w:val="center"/>
          </w:tcPr>
          <w:p w14:paraId="56D4FB5F"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Operating Income (£bn)</w:t>
            </w:r>
          </w:p>
        </w:tc>
        <w:tc>
          <w:tcPr>
            <w:tcW w:w="1250" w:type="pct"/>
            <w:shd w:val="clear" w:color="auto" w:fill="1F3864"/>
            <w:tcMar>
              <w:top w:w="60" w:type="dxa"/>
              <w:left w:w="100" w:type="dxa"/>
              <w:bottom w:w="60" w:type="dxa"/>
              <w:right w:w="100" w:type="dxa"/>
            </w:tcMar>
            <w:vAlign w:val="center"/>
          </w:tcPr>
          <w:p w14:paraId="43BC4401"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Operating Margin</w:t>
            </w:r>
          </w:p>
        </w:tc>
      </w:tr>
      <w:tr w:rsidR="00B05CC7" w:rsidRPr="00EE1B17" w14:paraId="59DB6B41" w14:textId="77777777">
        <w:tc>
          <w:tcPr>
            <w:tcW w:w="1250" w:type="pct"/>
            <w:tcMar>
              <w:top w:w="60" w:type="dxa"/>
              <w:left w:w="100" w:type="dxa"/>
              <w:bottom w:w="60" w:type="dxa"/>
              <w:right w:w="100" w:type="dxa"/>
            </w:tcMar>
            <w:vAlign w:val="center"/>
          </w:tcPr>
          <w:p w14:paraId="430D0082"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FY2022</w:t>
            </w:r>
          </w:p>
        </w:tc>
        <w:tc>
          <w:tcPr>
            <w:tcW w:w="1250" w:type="pct"/>
            <w:tcMar>
              <w:top w:w="60" w:type="dxa"/>
              <w:left w:w="100" w:type="dxa"/>
              <w:bottom w:w="60" w:type="dxa"/>
              <w:right w:w="100" w:type="dxa"/>
            </w:tcMar>
            <w:vAlign w:val="center"/>
          </w:tcPr>
          <w:p w14:paraId="64D942B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21.60</w:t>
            </w:r>
          </w:p>
        </w:tc>
        <w:tc>
          <w:tcPr>
            <w:tcW w:w="1250" w:type="pct"/>
            <w:tcMar>
              <w:top w:w="60" w:type="dxa"/>
              <w:left w:w="100" w:type="dxa"/>
              <w:bottom w:w="60" w:type="dxa"/>
              <w:right w:w="100" w:type="dxa"/>
            </w:tcMar>
            <w:vAlign w:val="center"/>
          </w:tcPr>
          <w:p w14:paraId="7DE0FE87"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1.34</w:t>
            </w:r>
          </w:p>
        </w:tc>
        <w:tc>
          <w:tcPr>
            <w:tcW w:w="1250" w:type="pct"/>
            <w:tcMar>
              <w:top w:w="60" w:type="dxa"/>
              <w:left w:w="100" w:type="dxa"/>
              <w:bottom w:w="60" w:type="dxa"/>
              <w:right w:w="100" w:type="dxa"/>
            </w:tcMar>
            <w:vAlign w:val="center"/>
          </w:tcPr>
          <w:p w14:paraId="3B918D02"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6.2%</w:t>
            </w:r>
          </w:p>
        </w:tc>
      </w:tr>
      <w:tr w:rsidR="00B05CC7" w:rsidRPr="00EE1B17" w14:paraId="0B80AFA7" w14:textId="77777777">
        <w:tc>
          <w:tcPr>
            <w:tcW w:w="1250" w:type="pct"/>
            <w:tcMar>
              <w:top w:w="60" w:type="dxa"/>
              <w:left w:w="100" w:type="dxa"/>
              <w:bottom w:w="60" w:type="dxa"/>
              <w:right w:w="100" w:type="dxa"/>
            </w:tcMar>
            <w:vAlign w:val="center"/>
          </w:tcPr>
          <w:p w14:paraId="51AE7B2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FY2023</w:t>
            </w:r>
          </w:p>
        </w:tc>
        <w:tc>
          <w:tcPr>
            <w:tcW w:w="1250" w:type="pct"/>
            <w:tcMar>
              <w:top w:w="60" w:type="dxa"/>
              <w:left w:w="100" w:type="dxa"/>
              <w:bottom w:w="60" w:type="dxa"/>
              <w:right w:w="100" w:type="dxa"/>
            </w:tcMar>
            <w:vAlign w:val="center"/>
          </w:tcPr>
          <w:p w14:paraId="2DB829A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28.74</w:t>
            </w:r>
          </w:p>
        </w:tc>
        <w:tc>
          <w:tcPr>
            <w:tcW w:w="1250" w:type="pct"/>
            <w:tcMar>
              <w:top w:w="60" w:type="dxa"/>
              <w:left w:w="100" w:type="dxa"/>
              <w:bottom w:w="60" w:type="dxa"/>
              <w:right w:w="100" w:type="dxa"/>
            </w:tcMar>
            <w:vAlign w:val="center"/>
          </w:tcPr>
          <w:p w14:paraId="0D234111"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1.95</w:t>
            </w:r>
          </w:p>
        </w:tc>
        <w:tc>
          <w:tcPr>
            <w:tcW w:w="1250" w:type="pct"/>
            <w:tcMar>
              <w:top w:w="60" w:type="dxa"/>
              <w:left w:w="100" w:type="dxa"/>
              <w:bottom w:w="60" w:type="dxa"/>
              <w:right w:w="100" w:type="dxa"/>
            </w:tcMar>
            <w:vAlign w:val="center"/>
          </w:tcPr>
          <w:p w14:paraId="1C83E8A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6.8%</w:t>
            </w:r>
          </w:p>
        </w:tc>
      </w:tr>
      <w:tr w:rsidR="00B05CC7" w:rsidRPr="00EE1B17" w14:paraId="3BB65D45" w14:textId="77777777">
        <w:tc>
          <w:tcPr>
            <w:tcW w:w="1250" w:type="pct"/>
            <w:tcMar>
              <w:top w:w="60" w:type="dxa"/>
              <w:left w:w="100" w:type="dxa"/>
              <w:bottom w:w="60" w:type="dxa"/>
              <w:right w:w="100" w:type="dxa"/>
            </w:tcMar>
            <w:vAlign w:val="center"/>
          </w:tcPr>
          <w:p w14:paraId="62DF4580"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FY2024</w:t>
            </w:r>
          </w:p>
        </w:tc>
        <w:tc>
          <w:tcPr>
            <w:tcW w:w="1250" w:type="pct"/>
            <w:tcMar>
              <w:top w:w="60" w:type="dxa"/>
              <w:left w:w="100" w:type="dxa"/>
              <w:bottom w:w="60" w:type="dxa"/>
              <w:right w:w="100" w:type="dxa"/>
            </w:tcMar>
            <w:vAlign w:val="center"/>
          </w:tcPr>
          <w:p w14:paraId="2A7A234E"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31.84</w:t>
            </w:r>
          </w:p>
        </w:tc>
        <w:tc>
          <w:tcPr>
            <w:tcW w:w="1250" w:type="pct"/>
            <w:tcMar>
              <w:top w:w="60" w:type="dxa"/>
              <w:left w:w="100" w:type="dxa"/>
              <w:bottom w:w="60" w:type="dxa"/>
              <w:right w:w="100" w:type="dxa"/>
            </w:tcMar>
            <w:vAlign w:val="center"/>
          </w:tcPr>
          <w:p w14:paraId="2AA93F14"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1.96 (est.)</w:t>
            </w:r>
          </w:p>
        </w:tc>
        <w:tc>
          <w:tcPr>
            <w:tcW w:w="1250" w:type="pct"/>
            <w:tcMar>
              <w:top w:w="60" w:type="dxa"/>
              <w:left w:w="100" w:type="dxa"/>
              <w:bottom w:w="60" w:type="dxa"/>
              <w:right w:w="100" w:type="dxa"/>
            </w:tcMar>
            <w:vAlign w:val="center"/>
          </w:tcPr>
          <w:p w14:paraId="39E5B0A4"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6.1% (est.)</w:t>
            </w:r>
          </w:p>
        </w:tc>
      </w:tr>
      <w:tr w:rsidR="00B05CC7" w:rsidRPr="00EE1B17" w14:paraId="2AB87F54" w14:textId="77777777">
        <w:tc>
          <w:tcPr>
            <w:tcW w:w="1250" w:type="pct"/>
            <w:tcMar>
              <w:top w:w="60" w:type="dxa"/>
              <w:left w:w="100" w:type="dxa"/>
              <w:bottom w:w="60" w:type="dxa"/>
              <w:right w:w="100" w:type="dxa"/>
            </w:tcMar>
            <w:vAlign w:val="center"/>
          </w:tcPr>
          <w:p w14:paraId="5E24E3C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FY2025</w:t>
            </w:r>
          </w:p>
        </w:tc>
        <w:tc>
          <w:tcPr>
            <w:tcW w:w="1250" w:type="pct"/>
            <w:tcMar>
              <w:top w:w="60" w:type="dxa"/>
              <w:left w:w="100" w:type="dxa"/>
              <w:bottom w:w="60" w:type="dxa"/>
              <w:right w:w="100" w:type="dxa"/>
            </w:tcMar>
            <w:vAlign w:val="center"/>
          </w:tcPr>
          <w:p w14:paraId="4844111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34.93</w:t>
            </w:r>
          </w:p>
        </w:tc>
        <w:tc>
          <w:tcPr>
            <w:tcW w:w="1250" w:type="pct"/>
            <w:tcMar>
              <w:top w:w="60" w:type="dxa"/>
              <w:left w:w="100" w:type="dxa"/>
              <w:bottom w:w="60" w:type="dxa"/>
              <w:right w:w="100" w:type="dxa"/>
            </w:tcMar>
            <w:vAlign w:val="center"/>
          </w:tcPr>
          <w:p w14:paraId="76510648"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2.24</w:t>
            </w:r>
          </w:p>
        </w:tc>
        <w:tc>
          <w:tcPr>
            <w:tcW w:w="1250" w:type="pct"/>
            <w:tcMar>
              <w:top w:w="60" w:type="dxa"/>
              <w:left w:w="100" w:type="dxa"/>
              <w:bottom w:w="60" w:type="dxa"/>
              <w:right w:w="100" w:type="dxa"/>
            </w:tcMar>
            <w:vAlign w:val="center"/>
          </w:tcPr>
          <w:p w14:paraId="1D6AF151"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6.4% statutory / 7.2% underlying</w:t>
            </w:r>
          </w:p>
        </w:tc>
      </w:tr>
    </w:tbl>
    <w:p w14:paraId="02F97743" w14:textId="3B264383" w:rsidR="00B05CC7" w:rsidRPr="00EE1B17" w:rsidRDefault="00000000">
      <w:pPr>
        <w:spacing w:after="200"/>
        <w:rPr>
          <w:rFonts w:ascii="Times New Roman" w:hAnsi="Times New Roman" w:cs="Times New Roman"/>
        </w:rPr>
      </w:pPr>
      <w:r w:rsidRPr="00EE1B17">
        <w:rPr>
          <w:rFonts w:ascii="Times New Roman" w:hAnsi="Times New Roman" w:cs="Times New Roman"/>
          <w:i/>
          <w:iCs/>
          <w:sz w:val="18"/>
          <w:szCs w:val="18"/>
        </w:rPr>
        <w:t xml:space="preserve">FY2024 operating income is an approximation pending exact statutory disclosure; underlying operating profit grew 16.4% on 10.6% revenue growth in that year. The </w:t>
      </w:r>
      <w:r w:rsidR="00EE1B17" w:rsidRPr="00EE1B17">
        <w:rPr>
          <w:rFonts w:ascii="Times New Roman" w:hAnsi="Times New Roman" w:cs="Times New Roman"/>
          <w:i/>
          <w:iCs/>
          <w:sz w:val="18"/>
          <w:szCs w:val="18"/>
        </w:rPr>
        <w:t>step up</w:t>
      </w:r>
      <w:r w:rsidRPr="00EE1B17">
        <w:rPr>
          <w:rFonts w:ascii="Times New Roman" w:hAnsi="Times New Roman" w:cs="Times New Roman"/>
          <w:i/>
          <w:iCs/>
          <w:sz w:val="18"/>
          <w:szCs w:val="18"/>
        </w:rPr>
        <w:t xml:space="preserve"> from FY2022 to FY2023 (+33% in USD terms) reflects both organic recovery and </w:t>
      </w:r>
      <w:r w:rsidR="00EE1B17" w:rsidRPr="00EE1B17">
        <w:rPr>
          <w:rFonts w:ascii="Times New Roman" w:hAnsi="Times New Roman" w:cs="Times New Roman"/>
          <w:i/>
          <w:iCs/>
          <w:sz w:val="18"/>
          <w:szCs w:val="18"/>
        </w:rPr>
        <w:t>full year</w:t>
      </w:r>
      <w:r w:rsidRPr="00EE1B17">
        <w:rPr>
          <w:rFonts w:ascii="Times New Roman" w:hAnsi="Times New Roman" w:cs="Times New Roman"/>
          <w:i/>
          <w:iCs/>
          <w:sz w:val="18"/>
          <w:szCs w:val="18"/>
        </w:rPr>
        <w:t xml:space="preserve"> consolidation of prior acquisitions; growth normalised to a high </w:t>
      </w:r>
      <w:r w:rsidR="00EE1B17" w:rsidRPr="00EE1B17">
        <w:rPr>
          <w:rFonts w:ascii="Times New Roman" w:hAnsi="Times New Roman" w:cs="Times New Roman"/>
          <w:i/>
          <w:iCs/>
          <w:sz w:val="18"/>
          <w:szCs w:val="18"/>
        </w:rPr>
        <w:t>single digit</w:t>
      </w:r>
      <w:r w:rsidRPr="00EE1B17">
        <w:rPr>
          <w:rFonts w:ascii="Times New Roman" w:hAnsi="Times New Roman" w:cs="Times New Roman"/>
          <w:i/>
          <w:iCs/>
          <w:sz w:val="18"/>
          <w:szCs w:val="18"/>
        </w:rPr>
        <w:t xml:space="preserve"> organic rate (8.7% in FY2025) as the base effect faded a more sustainable trajectory for ratio interpretation. Figures translated from USD at £1 = $1.32.</w:t>
      </w:r>
    </w:p>
    <w:p w14:paraId="3760EC3A" w14:textId="77777777" w:rsidR="00B05CC7" w:rsidRPr="00EE1B17" w:rsidRDefault="00000000">
      <w:pPr>
        <w:spacing w:before="120" w:after="200"/>
        <w:jc w:val="center"/>
        <w:rPr>
          <w:rFonts w:ascii="Times New Roman" w:hAnsi="Times New Roman" w:cs="Times New Roman"/>
        </w:rPr>
      </w:pPr>
      <w:r w:rsidRPr="00EE1B17">
        <w:rPr>
          <w:rFonts w:ascii="Times New Roman" w:hAnsi="Times New Roman" w:cs="Times New Roman"/>
          <w:noProof/>
        </w:rPr>
        <w:drawing>
          <wp:inline distT="0" distB="0" distL="0" distR="0" wp14:anchorId="06C7C84E" wp14:editId="395C0CC9">
            <wp:extent cx="5334000" cy="2962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334000" cy="2962275"/>
                    </a:xfrm>
                    <a:prstGeom prst="rect">
                      <a:avLst/>
                    </a:prstGeom>
                  </pic:spPr>
                </pic:pic>
              </a:graphicData>
            </a:graphic>
          </wp:inline>
        </w:drawing>
      </w:r>
    </w:p>
    <w:p w14:paraId="1C535154" w14:textId="77777777" w:rsidR="00B05CC7" w:rsidRPr="00EE1B17" w:rsidRDefault="00000000">
      <w:pPr>
        <w:pStyle w:val="Heading2"/>
        <w:rPr>
          <w:rFonts w:ascii="Times New Roman" w:hAnsi="Times New Roman" w:cs="Times New Roman"/>
        </w:rPr>
      </w:pPr>
      <w:bookmarkStart w:id="3" w:name="_Toc237444776"/>
      <w:r w:rsidRPr="00EE1B17">
        <w:rPr>
          <w:rFonts w:ascii="Times New Roman" w:hAnsi="Times New Roman" w:cs="Times New Roman"/>
        </w:rPr>
        <w:t>Profitability</w:t>
      </w:r>
      <w:bookmarkEnd w:id="3"/>
    </w:p>
    <w:p w14:paraId="4363CF58" w14:textId="4619ABEC" w:rsidR="00B05CC7" w:rsidRPr="009378A3" w:rsidRDefault="00000000">
      <w:pPr>
        <w:spacing w:after="160" w:line="276" w:lineRule="auto"/>
        <w:jc w:val="both"/>
        <w:rPr>
          <w:rFonts w:ascii="Times New Roman" w:hAnsi="Times New Roman" w:cs="Times New Roman"/>
          <w:lang w:val="en-US"/>
        </w:rPr>
      </w:pPr>
      <w:r w:rsidRPr="00EE1B17">
        <w:rPr>
          <w:rFonts w:ascii="Times New Roman" w:hAnsi="Times New Roman" w:cs="Times New Roman"/>
        </w:rPr>
        <w:t>Compass has seen a steady increase in gross margin, climbing from 32.5% in FY2022 to 33.4% in FY2025</w:t>
      </w:r>
      <w:r w:rsidR="009378A3">
        <w:rPr>
          <w:rFonts w:ascii="Times New Roman" w:hAnsi="Times New Roman" w:cs="Times New Roman"/>
        </w:rPr>
        <w:t xml:space="preserve"> </w:t>
      </w:r>
      <w:r w:rsidR="009378A3" w:rsidRPr="009378A3">
        <w:rPr>
          <w:rFonts w:ascii="Times New Roman" w:hAnsi="Times New Roman" w:cs="Times New Roman"/>
        </w:rPr>
        <w:t>(Compass Group plc, 2025)</w:t>
      </w:r>
      <w:r w:rsidRPr="00EE1B17">
        <w:rPr>
          <w:rFonts w:ascii="Times New Roman" w:hAnsi="Times New Roman" w:cs="Times New Roman"/>
        </w:rPr>
        <w:t xml:space="preserve">. This improvement indicates successful procurement scaling and a strategic shift towards </w:t>
      </w:r>
      <w:r w:rsidR="00EE1B17" w:rsidRPr="00EE1B17">
        <w:rPr>
          <w:rFonts w:ascii="Times New Roman" w:hAnsi="Times New Roman" w:cs="Times New Roman"/>
        </w:rPr>
        <w:t>higher margin</w:t>
      </w:r>
      <w:r w:rsidRPr="00EE1B17">
        <w:rPr>
          <w:rFonts w:ascii="Times New Roman" w:hAnsi="Times New Roman" w:cs="Times New Roman"/>
        </w:rPr>
        <w:t xml:space="preserve"> sectors. Underlying operating margin also rose by 10 basis points in FY2025, reaching 7.2%, with a notable 7.3% in the second half of the year. Management has identified a persistent margin gap of approximately 200 basis points between North America and International operations</w:t>
      </w:r>
      <w:r w:rsidR="00BB1059">
        <w:rPr>
          <w:rFonts w:ascii="Times New Roman" w:hAnsi="Times New Roman" w:cs="Times New Roman"/>
        </w:rPr>
        <w:t xml:space="preserve"> </w:t>
      </w:r>
      <w:r w:rsidRPr="00EE1B17">
        <w:rPr>
          <w:rFonts w:ascii="Times New Roman" w:hAnsi="Times New Roman" w:cs="Times New Roman"/>
        </w:rPr>
        <w:t xml:space="preserve">a current inefficiency and, on a </w:t>
      </w:r>
      <w:r w:rsidR="000E0F6F" w:rsidRPr="00EE1B17">
        <w:rPr>
          <w:rFonts w:ascii="Times New Roman" w:hAnsi="Times New Roman" w:cs="Times New Roman"/>
        </w:rPr>
        <w:t>DuPont,</w:t>
      </w:r>
      <w:r w:rsidR="00EE1B17" w:rsidRPr="00EE1B17">
        <w:rPr>
          <w:rFonts w:ascii="Times New Roman" w:hAnsi="Times New Roman" w:cs="Times New Roman"/>
        </w:rPr>
        <w:t xml:space="preserve"> style</w:t>
      </w:r>
      <w:r w:rsidRPr="00EE1B17">
        <w:rPr>
          <w:rFonts w:ascii="Times New Roman" w:hAnsi="Times New Roman" w:cs="Times New Roman"/>
        </w:rPr>
        <w:t xml:space="preserve"> reading of the ratio set, the single largest </w:t>
      </w:r>
      <w:r w:rsidR="00EE1B17" w:rsidRPr="00EE1B17">
        <w:rPr>
          <w:rFonts w:ascii="Times New Roman" w:hAnsi="Times New Roman" w:cs="Times New Roman"/>
        </w:rPr>
        <w:t>medium term</w:t>
      </w:r>
      <w:r w:rsidRPr="00EE1B17">
        <w:rPr>
          <w:rFonts w:ascii="Times New Roman" w:hAnsi="Times New Roman" w:cs="Times New Roman"/>
        </w:rPr>
        <w:t xml:space="preserve"> margin opportunity available to the Group without new capital investment. Return on equity remains strong, generally reported between 18% and 21% on a trailing basis, although estimates vary between data sources owing to differing treatment of lease liabilities under IFRS 16</w:t>
      </w:r>
      <w:r w:rsidR="009378A3">
        <w:rPr>
          <w:rFonts w:ascii="Times New Roman" w:hAnsi="Times New Roman" w:cs="Times New Roman"/>
        </w:rPr>
        <w:t xml:space="preserve"> </w:t>
      </w:r>
      <w:r w:rsidR="009378A3" w:rsidRPr="009378A3">
        <w:rPr>
          <w:rFonts w:ascii="Times New Roman" w:hAnsi="Times New Roman" w:cs="Times New Roman"/>
          <w:lang w:val="en-US"/>
        </w:rPr>
        <w:t>(StockAnalysis.com, 2025; Tip Ranks, 2025).</w:t>
      </w:r>
    </w:p>
    <w:p w14:paraId="671635EA" w14:textId="77777777" w:rsidR="00B05CC7" w:rsidRPr="00EE1B17" w:rsidRDefault="00000000">
      <w:pPr>
        <w:pStyle w:val="Heading2"/>
        <w:rPr>
          <w:rFonts w:ascii="Times New Roman" w:hAnsi="Times New Roman" w:cs="Times New Roman"/>
        </w:rPr>
      </w:pPr>
      <w:bookmarkStart w:id="4" w:name="_Toc237444777"/>
      <w:r w:rsidRPr="00EE1B17">
        <w:rPr>
          <w:rFonts w:ascii="Times New Roman" w:hAnsi="Times New Roman" w:cs="Times New Roman"/>
        </w:rPr>
        <w:t>Liquidity</w:t>
      </w:r>
      <w:bookmarkEnd w:id="4"/>
    </w:p>
    <w:p w14:paraId="5A1F2EC5" w14:textId="5B07B36D"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A key feature of Compass's balance sheet is its current ratio, which has remained consistently below </w:t>
      </w:r>
      <w:r w:rsidR="000E0F6F" w:rsidRPr="00EE1B17">
        <w:rPr>
          <w:rFonts w:ascii="Times New Roman" w:hAnsi="Times New Roman" w:cs="Times New Roman"/>
        </w:rPr>
        <w:t>1.0 approximately</w:t>
      </w:r>
      <w:r w:rsidRPr="00EE1B17">
        <w:rPr>
          <w:rFonts w:ascii="Times New Roman" w:hAnsi="Times New Roman" w:cs="Times New Roman"/>
        </w:rPr>
        <w:t xml:space="preserve"> 0.94 in FY2021, 0.95 in FY2022, 0.75 in FY2023, 0.95 in FY2024 and an estimated 0.85 in FY2025</w:t>
      </w:r>
      <w:r w:rsidR="009378A3">
        <w:t xml:space="preserve"> </w:t>
      </w:r>
      <w:r w:rsidR="009378A3" w:rsidRPr="009378A3">
        <w:t>(Tip Ranks, 2025</w:t>
      </w:r>
      <w:r w:rsidRPr="00EE1B17">
        <w:rPr>
          <w:rFonts w:ascii="Times New Roman" w:hAnsi="Times New Roman" w:cs="Times New Roman"/>
        </w:rPr>
        <w:t xml:space="preserve">. Quick ratios follow a similar pattern, since current assets consist mainly of receivables and cash with minimal inventory. Working capital has therefore been negative throughout the period under review. Consistent with the cash conversion cycle framework of Richards and Laughlin (1980), this reflects a structural feature of contract catering: Compass collects client payments faster than it </w:t>
      </w:r>
      <w:r w:rsidR="00EE1B17" w:rsidRPr="00EE1B17">
        <w:rPr>
          <w:rFonts w:ascii="Times New Roman" w:hAnsi="Times New Roman" w:cs="Times New Roman"/>
        </w:rPr>
        <w:t>settle</w:t>
      </w:r>
      <w:r w:rsidRPr="00EE1B17">
        <w:rPr>
          <w:rFonts w:ascii="Times New Roman" w:hAnsi="Times New Roman" w:cs="Times New Roman"/>
        </w:rPr>
        <w:t xml:space="preserve"> employee and supplier obligations, producing a negative cash operating cycle that finances day</w:t>
      </w:r>
      <w:r w:rsidR="00EE1B17">
        <w:rPr>
          <w:rFonts w:ascii="Times New Roman" w:hAnsi="Times New Roman" w:cs="Times New Roman"/>
        </w:rPr>
        <w:t xml:space="preserve"> </w:t>
      </w:r>
      <w:r w:rsidRPr="00EE1B17">
        <w:rPr>
          <w:rFonts w:ascii="Times New Roman" w:hAnsi="Times New Roman" w:cs="Times New Roman"/>
        </w:rPr>
        <w:t>to</w:t>
      </w:r>
      <w:r w:rsidR="00EE1B17">
        <w:rPr>
          <w:rFonts w:ascii="Times New Roman" w:hAnsi="Times New Roman" w:cs="Times New Roman"/>
        </w:rPr>
        <w:t xml:space="preserve"> </w:t>
      </w:r>
      <w:r w:rsidRPr="00EE1B17">
        <w:rPr>
          <w:rFonts w:ascii="Times New Roman" w:hAnsi="Times New Roman" w:cs="Times New Roman"/>
        </w:rPr>
        <w:t>day operations rather than draining them.</w:t>
      </w:r>
    </w:p>
    <w:p w14:paraId="79521075" w14:textId="77777777" w:rsidR="00B05CC7" w:rsidRPr="00EE1B17" w:rsidRDefault="00000000">
      <w:pPr>
        <w:spacing w:before="120" w:after="60"/>
        <w:rPr>
          <w:rFonts w:ascii="Times New Roman" w:hAnsi="Times New Roman" w:cs="Times New Roman"/>
        </w:rPr>
      </w:pPr>
      <w:r w:rsidRPr="00EE1B17">
        <w:rPr>
          <w:rFonts w:ascii="Times New Roman" w:hAnsi="Times New Roman" w:cs="Times New Roman"/>
          <w:b/>
          <w:bCs/>
          <w:sz w:val="20"/>
          <w:szCs w:val="20"/>
        </w:rPr>
        <w:lastRenderedPageBreak/>
        <w:t>Table 2: Compass Group plc – Current Ratio, FY2021–FY2025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5"/>
        <w:gridCol w:w="1605"/>
        <w:gridCol w:w="1605"/>
        <w:gridCol w:w="1605"/>
        <w:gridCol w:w="1604"/>
        <w:gridCol w:w="1604"/>
      </w:tblGrid>
      <w:tr w:rsidR="00B05CC7" w:rsidRPr="00EE1B17" w14:paraId="25F5AE33" w14:textId="77777777">
        <w:trPr>
          <w:tblHeader/>
        </w:trPr>
        <w:tc>
          <w:tcPr>
            <w:tcW w:w="800" w:type="pct"/>
            <w:shd w:val="clear" w:color="auto" w:fill="1F3864"/>
            <w:tcMar>
              <w:top w:w="60" w:type="dxa"/>
              <w:left w:w="100" w:type="dxa"/>
              <w:bottom w:w="60" w:type="dxa"/>
              <w:right w:w="100" w:type="dxa"/>
            </w:tcMar>
            <w:vAlign w:val="center"/>
          </w:tcPr>
          <w:p w14:paraId="5C4E50FD"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Ratio</w:t>
            </w:r>
          </w:p>
        </w:tc>
        <w:tc>
          <w:tcPr>
            <w:tcW w:w="800" w:type="pct"/>
            <w:shd w:val="clear" w:color="auto" w:fill="1F3864"/>
            <w:tcMar>
              <w:top w:w="60" w:type="dxa"/>
              <w:left w:w="100" w:type="dxa"/>
              <w:bottom w:w="60" w:type="dxa"/>
              <w:right w:w="100" w:type="dxa"/>
            </w:tcMar>
            <w:vAlign w:val="center"/>
          </w:tcPr>
          <w:p w14:paraId="4385D6BF"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FY2021</w:t>
            </w:r>
          </w:p>
        </w:tc>
        <w:tc>
          <w:tcPr>
            <w:tcW w:w="800" w:type="pct"/>
            <w:shd w:val="clear" w:color="auto" w:fill="1F3864"/>
            <w:tcMar>
              <w:top w:w="60" w:type="dxa"/>
              <w:left w:w="100" w:type="dxa"/>
              <w:bottom w:w="60" w:type="dxa"/>
              <w:right w:w="100" w:type="dxa"/>
            </w:tcMar>
            <w:vAlign w:val="center"/>
          </w:tcPr>
          <w:p w14:paraId="008C3941"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FY2022</w:t>
            </w:r>
          </w:p>
        </w:tc>
        <w:tc>
          <w:tcPr>
            <w:tcW w:w="800" w:type="pct"/>
            <w:shd w:val="clear" w:color="auto" w:fill="1F3864"/>
            <w:tcMar>
              <w:top w:w="60" w:type="dxa"/>
              <w:left w:w="100" w:type="dxa"/>
              <w:bottom w:w="60" w:type="dxa"/>
              <w:right w:w="100" w:type="dxa"/>
            </w:tcMar>
            <w:vAlign w:val="center"/>
          </w:tcPr>
          <w:p w14:paraId="1E7D1A41"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FY2023</w:t>
            </w:r>
          </w:p>
        </w:tc>
        <w:tc>
          <w:tcPr>
            <w:tcW w:w="800" w:type="pct"/>
            <w:shd w:val="clear" w:color="auto" w:fill="1F3864"/>
            <w:tcMar>
              <w:top w:w="60" w:type="dxa"/>
              <w:left w:w="100" w:type="dxa"/>
              <w:bottom w:w="60" w:type="dxa"/>
              <w:right w:w="100" w:type="dxa"/>
            </w:tcMar>
            <w:vAlign w:val="center"/>
          </w:tcPr>
          <w:p w14:paraId="4064E676"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FY2024</w:t>
            </w:r>
          </w:p>
        </w:tc>
        <w:tc>
          <w:tcPr>
            <w:tcW w:w="800" w:type="pct"/>
            <w:shd w:val="clear" w:color="auto" w:fill="1F3864"/>
            <w:tcMar>
              <w:top w:w="60" w:type="dxa"/>
              <w:left w:w="100" w:type="dxa"/>
              <w:bottom w:w="60" w:type="dxa"/>
              <w:right w:w="100" w:type="dxa"/>
            </w:tcMar>
            <w:vAlign w:val="center"/>
          </w:tcPr>
          <w:p w14:paraId="79EA20B5"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FY2025</w:t>
            </w:r>
          </w:p>
        </w:tc>
      </w:tr>
      <w:tr w:rsidR="00B05CC7" w:rsidRPr="00EE1B17" w14:paraId="00C8413E" w14:textId="77777777">
        <w:tc>
          <w:tcPr>
            <w:tcW w:w="800" w:type="pct"/>
            <w:tcMar>
              <w:top w:w="60" w:type="dxa"/>
              <w:left w:w="100" w:type="dxa"/>
              <w:bottom w:w="60" w:type="dxa"/>
              <w:right w:w="100" w:type="dxa"/>
            </w:tcMar>
            <w:vAlign w:val="center"/>
          </w:tcPr>
          <w:p w14:paraId="5D28AA79"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Current ratio</w:t>
            </w:r>
          </w:p>
        </w:tc>
        <w:tc>
          <w:tcPr>
            <w:tcW w:w="800" w:type="pct"/>
            <w:tcMar>
              <w:top w:w="60" w:type="dxa"/>
              <w:left w:w="100" w:type="dxa"/>
              <w:bottom w:w="60" w:type="dxa"/>
              <w:right w:w="100" w:type="dxa"/>
            </w:tcMar>
            <w:vAlign w:val="center"/>
          </w:tcPr>
          <w:p w14:paraId="7C20DCE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0.94</w:t>
            </w:r>
          </w:p>
        </w:tc>
        <w:tc>
          <w:tcPr>
            <w:tcW w:w="800" w:type="pct"/>
            <w:tcMar>
              <w:top w:w="60" w:type="dxa"/>
              <w:left w:w="100" w:type="dxa"/>
              <w:bottom w:w="60" w:type="dxa"/>
              <w:right w:w="100" w:type="dxa"/>
            </w:tcMar>
            <w:vAlign w:val="center"/>
          </w:tcPr>
          <w:p w14:paraId="13C6F71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0.95</w:t>
            </w:r>
          </w:p>
        </w:tc>
        <w:tc>
          <w:tcPr>
            <w:tcW w:w="800" w:type="pct"/>
            <w:tcMar>
              <w:top w:w="60" w:type="dxa"/>
              <w:left w:w="100" w:type="dxa"/>
              <w:bottom w:w="60" w:type="dxa"/>
              <w:right w:w="100" w:type="dxa"/>
            </w:tcMar>
            <w:vAlign w:val="center"/>
          </w:tcPr>
          <w:p w14:paraId="5302D6B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0.75</w:t>
            </w:r>
          </w:p>
        </w:tc>
        <w:tc>
          <w:tcPr>
            <w:tcW w:w="800" w:type="pct"/>
            <w:tcMar>
              <w:top w:w="60" w:type="dxa"/>
              <w:left w:w="100" w:type="dxa"/>
              <w:bottom w:w="60" w:type="dxa"/>
              <w:right w:w="100" w:type="dxa"/>
            </w:tcMar>
            <w:vAlign w:val="center"/>
          </w:tcPr>
          <w:p w14:paraId="2EF5349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0.95</w:t>
            </w:r>
          </w:p>
        </w:tc>
        <w:tc>
          <w:tcPr>
            <w:tcW w:w="800" w:type="pct"/>
            <w:tcMar>
              <w:top w:w="60" w:type="dxa"/>
              <w:left w:w="100" w:type="dxa"/>
              <w:bottom w:w="60" w:type="dxa"/>
              <w:right w:w="100" w:type="dxa"/>
            </w:tcMar>
            <w:vAlign w:val="center"/>
          </w:tcPr>
          <w:p w14:paraId="0FEFE246"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0.85</w:t>
            </w:r>
          </w:p>
        </w:tc>
      </w:tr>
    </w:tbl>
    <w:p w14:paraId="1D7BA8A3" w14:textId="417A57C1"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This should not, however, be read as an unqualified strength. Chambers and Cifter (2022), in a study of working capital and firm performance across the global hospitality and tourism sector, find a </w:t>
      </w:r>
      <w:r w:rsidR="00EE1B17" w:rsidRPr="00EE1B17">
        <w:rPr>
          <w:rFonts w:ascii="Times New Roman" w:hAnsi="Times New Roman" w:cs="Times New Roman"/>
        </w:rPr>
        <w:t>nonlinear in</w:t>
      </w:r>
      <w:r w:rsidRPr="00EE1B17">
        <w:rPr>
          <w:rFonts w:ascii="Times New Roman" w:hAnsi="Times New Roman" w:cs="Times New Roman"/>
        </w:rPr>
        <w:t xml:space="preserve"> several subsectors, </w:t>
      </w:r>
      <w:r w:rsidR="00EE1B17" w:rsidRPr="00EE1B17">
        <w:rPr>
          <w:rFonts w:ascii="Times New Roman" w:hAnsi="Times New Roman" w:cs="Times New Roman"/>
        </w:rPr>
        <w:t>U-shaped relationship</w:t>
      </w:r>
      <w:r w:rsidRPr="00EE1B17">
        <w:rPr>
          <w:rFonts w:ascii="Times New Roman" w:hAnsi="Times New Roman" w:cs="Times New Roman"/>
        </w:rPr>
        <w:t xml:space="preserve"> between working capital levels and profitability, meaning that very low or negative working capital is not automatically </w:t>
      </w:r>
      <w:r w:rsidR="00EE1B17" w:rsidRPr="00EE1B17">
        <w:rPr>
          <w:rFonts w:ascii="Times New Roman" w:hAnsi="Times New Roman" w:cs="Times New Roman"/>
        </w:rPr>
        <w:t>value maximising</w:t>
      </w:r>
      <w:r w:rsidRPr="00EE1B17">
        <w:rPr>
          <w:rFonts w:ascii="Times New Roman" w:hAnsi="Times New Roman" w:cs="Times New Roman"/>
        </w:rPr>
        <w:t xml:space="preserve"> once a sector's specific risk characteristics are taken into account. For Compass, the structural risk is twofold. First, a sudden fall in client demand for example, a large Business &amp; Industry client reducing office headcount, or a healthcare client renegotiating a contract would not correspondingly shrink payables in the short term, exposing the Group to a temporary liquidity squeeze even though the cycle is negative on average. Second, any tightening of supplier credit terms, plausible if sustained </w:t>
      </w:r>
      <w:r w:rsidR="00EE1B17" w:rsidRPr="00EE1B17">
        <w:rPr>
          <w:rFonts w:ascii="Times New Roman" w:hAnsi="Times New Roman" w:cs="Times New Roman"/>
        </w:rPr>
        <w:t>food cost</w:t>
      </w:r>
      <w:r w:rsidRPr="00EE1B17">
        <w:rPr>
          <w:rFonts w:ascii="Times New Roman" w:hAnsi="Times New Roman" w:cs="Times New Roman"/>
        </w:rPr>
        <w:t xml:space="preserve"> inflation strains smaller regional suppliers, would compress the negative cash cycle from the other direction. Both risks are currently mitigated by Compass's £2.45bn of committed liquidity headroom (discussed below) rather than eliminated by the working capital structure itself, and this distinction mitigated risk rather than absent risk is the correct basis on which the Board should treat negative working capital going forward.</w:t>
      </w:r>
    </w:p>
    <w:p w14:paraId="2C014923" w14:textId="77777777" w:rsidR="00B05CC7" w:rsidRPr="00EE1B17" w:rsidRDefault="00000000">
      <w:pPr>
        <w:spacing w:before="120" w:after="200"/>
        <w:jc w:val="center"/>
        <w:rPr>
          <w:rFonts w:ascii="Times New Roman" w:hAnsi="Times New Roman" w:cs="Times New Roman"/>
        </w:rPr>
      </w:pPr>
      <w:r w:rsidRPr="00EE1B17">
        <w:rPr>
          <w:rFonts w:ascii="Times New Roman" w:hAnsi="Times New Roman" w:cs="Times New Roman"/>
          <w:noProof/>
        </w:rPr>
        <w:drawing>
          <wp:inline distT="0" distB="0" distL="0" distR="0" wp14:anchorId="1B635A8E" wp14:editId="4D95C3C4">
            <wp:extent cx="5334000" cy="2962275"/>
            <wp:effectExtent l="0" t="0" r="0" b="0"/>
            <wp:docPr id="651361757" name="Picture 65136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2962275"/>
                    </a:xfrm>
                    <a:prstGeom prst="rect">
                      <a:avLst/>
                    </a:prstGeom>
                  </pic:spPr>
                </pic:pic>
              </a:graphicData>
            </a:graphic>
          </wp:inline>
        </w:drawing>
      </w:r>
    </w:p>
    <w:p w14:paraId="485F937A" w14:textId="77777777" w:rsidR="00B05CC7" w:rsidRPr="00EE1B17" w:rsidRDefault="00000000">
      <w:pPr>
        <w:pStyle w:val="Heading2"/>
        <w:rPr>
          <w:rFonts w:ascii="Times New Roman" w:hAnsi="Times New Roman" w:cs="Times New Roman"/>
        </w:rPr>
      </w:pPr>
      <w:bookmarkStart w:id="5" w:name="_Toc237444778"/>
      <w:r w:rsidRPr="00EE1B17">
        <w:rPr>
          <w:rFonts w:ascii="Times New Roman" w:hAnsi="Times New Roman" w:cs="Times New Roman"/>
        </w:rPr>
        <w:t>Efficiency, Gearing, Investment and Cash Flow</w:t>
      </w:r>
      <w:bookmarkEnd w:id="5"/>
    </w:p>
    <w:p w14:paraId="15A983A8" w14:textId="4151356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Compass has successfully maintained net new business growth within management's target range of 4% to 5% for four consecutive years, alongside client retention rates exceeding 96%</w:t>
      </w:r>
      <w:r w:rsidR="009378A3">
        <w:rPr>
          <w:rFonts w:ascii="Times New Roman" w:hAnsi="Times New Roman" w:cs="Times New Roman"/>
        </w:rPr>
        <w:t xml:space="preserve"> </w:t>
      </w:r>
      <w:r w:rsidR="009378A3" w:rsidRPr="009378A3">
        <w:rPr>
          <w:rFonts w:ascii="Times New Roman" w:hAnsi="Times New Roman" w:cs="Times New Roman"/>
        </w:rPr>
        <w:t>(Compass Group plc, 2025).</w:t>
      </w:r>
      <w:r w:rsidRPr="00EE1B17">
        <w:rPr>
          <w:rFonts w:ascii="Times New Roman" w:hAnsi="Times New Roman" w:cs="Times New Roman"/>
        </w:rPr>
        <w:t xml:space="preserve">This indicates strong operational efficiency and relationship quality that is not easily captured through ratio analysis alone. The Group maintains moderate, </w:t>
      </w:r>
      <w:r w:rsidR="00EE1B17" w:rsidRPr="00EE1B17">
        <w:rPr>
          <w:rFonts w:ascii="Times New Roman" w:hAnsi="Times New Roman" w:cs="Times New Roman"/>
        </w:rPr>
        <w:t>well managed</w:t>
      </w:r>
      <w:r w:rsidRPr="00EE1B17">
        <w:rPr>
          <w:rFonts w:ascii="Times New Roman" w:hAnsi="Times New Roman" w:cs="Times New Roman"/>
        </w:rPr>
        <w:t xml:space="preserve"> leverage, with net debt to underlying EBITDA at 1.42x as of FY2025 within its target range and a </w:t>
      </w:r>
      <w:r w:rsidR="00BB1059" w:rsidRPr="00EE1B17">
        <w:rPr>
          <w:rFonts w:ascii="Times New Roman" w:hAnsi="Times New Roman" w:cs="Times New Roman"/>
        </w:rPr>
        <w:t>debt</w:t>
      </w:r>
      <w:r w:rsidR="00BB1059">
        <w:rPr>
          <w:rFonts w:ascii="Times New Roman" w:hAnsi="Times New Roman" w:cs="Times New Roman"/>
        </w:rPr>
        <w:t>-to-equity</w:t>
      </w:r>
      <w:r w:rsidRPr="00EE1B17">
        <w:rPr>
          <w:rFonts w:ascii="Times New Roman" w:hAnsi="Times New Roman" w:cs="Times New Roman"/>
        </w:rPr>
        <w:t xml:space="preserve"> ratio of approximately 0.83x to 0.87x. Compass holds </w:t>
      </w:r>
      <w:r w:rsidR="00EE1B17" w:rsidRPr="00EE1B17">
        <w:rPr>
          <w:rFonts w:ascii="Times New Roman" w:hAnsi="Times New Roman" w:cs="Times New Roman"/>
        </w:rPr>
        <w:t>investment grade</w:t>
      </w:r>
      <w:r w:rsidRPr="00EE1B17">
        <w:rPr>
          <w:rFonts w:ascii="Times New Roman" w:hAnsi="Times New Roman" w:cs="Times New Roman"/>
        </w:rPr>
        <w:t xml:space="preserve"> credit ratings from both S&amp;P (A/A1, stable) and Moody's (A2/P1, stable). In FY2025, earnings per share grew by 11.1% in constant currency. Cash flow is a further indicator of strength: underlying free cash flow rose to £1,497m in FY2025, up from £1,319m in FY2024, marking an 87.8% conversion rate of underlying profit after tax. This robust cash flow simultaneously supports capital expenditure (around 3.3% of revenue), mergers and acquisitions including the £1.29bn Vermaat acquisition and shareholder returns through dividends and buybacks</w:t>
      </w:r>
      <w:r w:rsidR="009378A3">
        <w:rPr>
          <w:rFonts w:ascii="Times New Roman" w:hAnsi="Times New Roman" w:cs="Times New Roman"/>
        </w:rPr>
        <w:t xml:space="preserve"> </w:t>
      </w:r>
      <w:r w:rsidR="009378A3" w:rsidRPr="009378A3">
        <w:rPr>
          <w:rFonts w:ascii="Times New Roman" w:hAnsi="Times New Roman" w:cs="Times New Roman"/>
        </w:rPr>
        <w:t>(Compass Group plc, 2024, 2025)</w:t>
      </w:r>
      <w:r w:rsidRPr="00EE1B17">
        <w:rPr>
          <w:rFonts w:ascii="Times New Roman" w:hAnsi="Times New Roman" w:cs="Times New Roman"/>
        </w:rPr>
        <w:t>.</w:t>
      </w:r>
    </w:p>
    <w:p w14:paraId="232C7509" w14:textId="77777777" w:rsidR="00B05CC7" w:rsidRPr="00EE1B17" w:rsidRDefault="00000000">
      <w:pPr>
        <w:spacing w:before="120" w:after="200"/>
        <w:jc w:val="center"/>
        <w:rPr>
          <w:rFonts w:ascii="Times New Roman" w:hAnsi="Times New Roman" w:cs="Times New Roman"/>
        </w:rPr>
      </w:pPr>
      <w:r w:rsidRPr="00EE1B17">
        <w:rPr>
          <w:rFonts w:ascii="Times New Roman" w:hAnsi="Times New Roman" w:cs="Times New Roman"/>
          <w:noProof/>
        </w:rPr>
        <w:lastRenderedPageBreak/>
        <w:drawing>
          <wp:inline distT="0" distB="0" distL="0" distR="0" wp14:anchorId="0584094D" wp14:editId="3565934F">
            <wp:extent cx="5334000" cy="2962275"/>
            <wp:effectExtent l="0" t="0" r="0" b="0"/>
            <wp:docPr id="139659457" name="Picture 139659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2962275"/>
                    </a:xfrm>
                    <a:prstGeom prst="rect">
                      <a:avLst/>
                    </a:prstGeom>
                  </pic:spPr>
                </pic:pic>
              </a:graphicData>
            </a:graphic>
          </wp:inline>
        </w:drawing>
      </w:r>
    </w:p>
    <w:p w14:paraId="7B92AC2A" w14:textId="77777777" w:rsidR="00B05CC7" w:rsidRPr="00EE1B17" w:rsidRDefault="00000000">
      <w:pPr>
        <w:pStyle w:val="Heading2"/>
        <w:rPr>
          <w:rFonts w:ascii="Times New Roman" w:hAnsi="Times New Roman" w:cs="Times New Roman"/>
        </w:rPr>
      </w:pPr>
      <w:bookmarkStart w:id="6" w:name="_Toc237444779"/>
      <w:r w:rsidRPr="00EE1B17">
        <w:rPr>
          <w:rFonts w:ascii="Times New Roman" w:hAnsi="Times New Roman" w:cs="Times New Roman"/>
        </w:rPr>
        <w:t>Liquidity Benchmarked Against the Sector</w:t>
      </w:r>
      <w:bookmarkEnd w:id="6"/>
    </w:p>
    <w:p w14:paraId="44E3B58D" w14:textId="75DAC843"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When comparing current ratios, Compass ranks slightly below its closest listed competitor, Sodexo (which has reported a ratio of between 1.08 and 1.16 from 2022 to 2025), as well as the broader restaurant and foodservice industry average of about 0.78 (MacroTrends, 2024). While Compass sits at the lower end of this range, it remains close to the sector norm. A current ratio below 1.0 is typical in this industry and is not, on its own, a sign of financial distress; interest cover (approximately 12.5x in FY2025) and free cash flow conversion are the more informative indicators of liquidity resilience for a </w:t>
      </w:r>
      <w:r w:rsidR="00EE1B17" w:rsidRPr="00EE1B17">
        <w:rPr>
          <w:rFonts w:ascii="Times New Roman" w:hAnsi="Times New Roman" w:cs="Times New Roman"/>
        </w:rPr>
        <w:t>negative working capital</w:t>
      </w:r>
      <w:r w:rsidRPr="00EE1B17">
        <w:rPr>
          <w:rFonts w:ascii="Times New Roman" w:hAnsi="Times New Roman" w:cs="Times New Roman"/>
        </w:rPr>
        <w:t xml:space="preserve"> business model of this kind</w:t>
      </w:r>
      <w:r w:rsidR="000F513E">
        <w:rPr>
          <w:rFonts w:ascii="Times New Roman" w:hAnsi="Times New Roman" w:cs="Times New Roman"/>
        </w:rPr>
        <w:t xml:space="preserve"> </w:t>
      </w:r>
      <w:r w:rsidR="000F513E" w:rsidRPr="000F513E">
        <w:rPr>
          <w:rFonts w:ascii="Times New Roman" w:hAnsi="Times New Roman" w:cs="Times New Roman"/>
        </w:rPr>
        <w:t>(Compass Group plc, 2025)</w:t>
      </w:r>
      <w:r w:rsidRPr="00EE1B17">
        <w:rPr>
          <w:rFonts w:ascii="Times New Roman" w:hAnsi="Times New Roman" w:cs="Times New Roman"/>
        </w:rPr>
        <w:t>.</w:t>
      </w:r>
    </w:p>
    <w:p w14:paraId="6EB8CA72" w14:textId="77777777" w:rsidR="00B05CC7" w:rsidRPr="00EE1B17" w:rsidRDefault="00000000">
      <w:pPr>
        <w:pStyle w:val="Heading2"/>
        <w:rPr>
          <w:rFonts w:ascii="Times New Roman" w:hAnsi="Times New Roman" w:cs="Times New Roman"/>
        </w:rPr>
      </w:pPr>
      <w:bookmarkStart w:id="7" w:name="_Toc237444780"/>
      <w:r w:rsidRPr="00EE1B17">
        <w:rPr>
          <w:rFonts w:ascii="Times New Roman" w:hAnsi="Times New Roman" w:cs="Times New Roman"/>
        </w:rPr>
        <w:t>Trends, Strengths and Challenges</w:t>
      </w:r>
      <w:bookmarkEnd w:id="7"/>
    </w:p>
    <w:p w14:paraId="423B6AA7" w14:textId="08691FF7" w:rsidR="00B05CC7" w:rsidRPr="000F513E" w:rsidRDefault="00000000" w:rsidP="000F513E">
      <w:pPr>
        <w:pStyle w:val="ListParagraph"/>
        <w:numPr>
          <w:ilvl w:val="0"/>
          <w:numId w:val="4"/>
        </w:numPr>
        <w:spacing w:after="160" w:line="276" w:lineRule="auto"/>
        <w:jc w:val="both"/>
        <w:rPr>
          <w:rFonts w:ascii="Times New Roman" w:hAnsi="Times New Roman" w:cs="Times New Roman"/>
        </w:rPr>
      </w:pPr>
      <w:r w:rsidRPr="000F513E">
        <w:rPr>
          <w:rFonts w:ascii="Times New Roman" w:hAnsi="Times New Roman" w:cs="Times New Roman"/>
        </w:rPr>
        <w:t>Strengths: Compass enjoys consistent organic growth that surpasses its target range, improving margins, a strong balance sheet, robust cash conversion, and high client retention</w:t>
      </w:r>
      <w:r w:rsidR="000F513E">
        <w:rPr>
          <w:rFonts w:ascii="Times New Roman" w:hAnsi="Times New Roman" w:cs="Times New Roman"/>
        </w:rPr>
        <w:t xml:space="preserve"> </w:t>
      </w:r>
      <w:r w:rsidR="000F513E" w:rsidRPr="000F513E">
        <w:rPr>
          <w:rFonts w:ascii="Times New Roman" w:hAnsi="Times New Roman" w:cs="Times New Roman"/>
        </w:rPr>
        <w:t>(Compass Group plc, 2025)</w:t>
      </w:r>
      <w:r w:rsidRPr="000F513E">
        <w:rPr>
          <w:rFonts w:ascii="Times New Roman" w:hAnsi="Times New Roman" w:cs="Times New Roman"/>
        </w:rPr>
        <w:t>.</w:t>
      </w:r>
    </w:p>
    <w:p w14:paraId="7C777097" w14:textId="7AACB2B7" w:rsidR="00B05CC7" w:rsidRPr="000F513E" w:rsidRDefault="00000000" w:rsidP="000F513E">
      <w:pPr>
        <w:pStyle w:val="ListParagraph"/>
        <w:numPr>
          <w:ilvl w:val="0"/>
          <w:numId w:val="4"/>
        </w:numPr>
        <w:spacing w:after="160" w:line="276" w:lineRule="auto"/>
        <w:jc w:val="both"/>
        <w:rPr>
          <w:rFonts w:ascii="Times New Roman" w:hAnsi="Times New Roman" w:cs="Times New Roman"/>
        </w:rPr>
      </w:pPr>
      <w:r w:rsidRPr="000F513E">
        <w:rPr>
          <w:rFonts w:ascii="Times New Roman" w:hAnsi="Times New Roman" w:cs="Times New Roman"/>
        </w:rPr>
        <w:t xml:space="preserve">Challenges: there remains a persistent margin gap between North America and International markets, indicating execution risk in weaker regions; currency translation between the Group's US dollar reporting base and its globally diversified cost and revenue base introduces volatility that is not fully visible in headline growth metrics; and rising labour costs, in a </w:t>
      </w:r>
      <w:r w:rsidR="00EE1B17" w:rsidRPr="000F513E">
        <w:rPr>
          <w:rFonts w:ascii="Times New Roman" w:hAnsi="Times New Roman" w:cs="Times New Roman"/>
        </w:rPr>
        <w:t>labour-intensive</w:t>
      </w:r>
      <w:r w:rsidRPr="000F513E">
        <w:rPr>
          <w:rFonts w:ascii="Times New Roman" w:hAnsi="Times New Roman" w:cs="Times New Roman"/>
        </w:rPr>
        <w:t xml:space="preserve"> industry, continue to pressure margins.</w:t>
      </w:r>
    </w:p>
    <w:p w14:paraId="0D274E97" w14:textId="37CE7455"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Taken together, these five ratio families point to the same conclusion from different angles: Compass is not a business in need of rescue, but one whose </w:t>
      </w:r>
      <w:r w:rsidR="00EE1B17" w:rsidRPr="00EE1B17">
        <w:rPr>
          <w:rFonts w:ascii="Times New Roman" w:hAnsi="Times New Roman" w:cs="Times New Roman"/>
        </w:rPr>
        <w:t>already strong</w:t>
      </w:r>
      <w:r w:rsidRPr="00EE1B17">
        <w:rPr>
          <w:rFonts w:ascii="Times New Roman" w:hAnsi="Times New Roman" w:cs="Times New Roman"/>
        </w:rPr>
        <w:t xml:space="preserve"> financial position creates the capacity to fund a deliberate, </w:t>
      </w:r>
      <w:r w:rsidR="00EE1B17" w:rsidRPr="00EE1B17">
        <w:rPr>
          <w:rFonts w:ascii="Times New Roman" w:hAnsi="Times New Roman" w:cs="Times New Roman"/>
        </w:rPr>
        <w:t>value adding</w:t>
      </w:r>
      <w:r w:rsidRPr="00EE1B17">
        <w:rPr>
          <w:rFonts w:ascii="Times New Roman" w:hAnsi="Times New Roman" w:cs="Times New Roman"/>
        </w:rPr>
        <w:t xml:space="preserve"> restructuring programme rather than a defensive one. That distinction matters for how the recommendations in Sections 2 to 4 should be read as choices about where to deploy an existing strength, not as remedies for weakness</w:t>
      </w:r>
      <w:r w:rsidR="00EE1B17">
        <w:rPr>
          <w:rFonts w:ascii="Times New Roman" w:hAnsi="Times New Roman" w:cs="Times New Roman"/>
        </w:rPr>
        <w:t xml:space="preserve"> </w:t>
      </w:r>
      <w:r w:rsidRPr="00EE1B17">
        <w:rPr>
          <w:rFonts w:ascii="Times New Roman" w:hAnsi="Times New Roman" w:cs="Times New Roman"/>
        </w:rPr>
        <w:t>and it is the standard against which the working capital, restructuring and investment appraisal recommendations that follow should be judged.</w:t>
      </w:r>
    </w:p>
    <w:p w14:paraId="37FEA28A" w14:textId="77777777" w:rsidR="00B05CC7" w:rsidRPr="00EE1B17" w:rsidRDefault="00000000">
      <w:pPr>
        <w:pStyle w:val="Heading1"/>
        <w:rPr>
          <w:rFonts w:ascii="Times New Roman" w:hAnsi="Times New Roman" w:cs="Times New Roman"/>
        </w:rPr>
      </w:pPr>
      <w:bookmarkStart w:id="8" w:name="_Toc237444781"/>
      <w:r w:rsidRPr="00EE1B17">
        <w:rPr>
          <w:rFonts w:ascii="Times New Roman" w:hAnsi="Times New Roman" w:cs="Times New Roman"/>
        </w:rPr>
        <w:t>2. Working Capital Management Analysis</w:t>
      </w:r>
      <w:bookmarkEnd w:id="8"/>
    </w:p>
    <w:p w14:paraId="3EAE5E00" w14:textId="77777777" w:rsidR="00B05CC7" w:rsidRPr="00EE1B17" w:rsidRDefault="00000000">
      <w:pPr>
        <w:pStyle w:val="Heading2"/>
        <w:rPr>
          <w:rFonts w:ascii="Times New Roman" w:hAnsi="Times New Roman" w:cs="Times New Roman"/>
        </w:rPr>
      </w:pPr>
      <w:bookmarkStart w:id="9" w:name="_Toc237444782"/>
      <w:r w:rsidRPr="00EE1B17">
        <w:rPr>
          <w:rFonts w:ascii="Times New Roman" w:hAnsi="Times New Roman" w:cs="Times New Roman"/>
        </w:rPr>
        <w:t>The Cash Operating Cycle</w:t>
      </w:r>
      <w:bookmarkEnd w:id="9"/>
    </w:p>
    <w:p w14:paraId="425905FC" w14:textId="41C2F39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Compass operates with a historically negative cash conversion cycle (CCC = Days Inventory Outstanding + Days Sales Outstanding Days Payables Outstanding), which explains the sub1.0 current ratio discussed in Section 1. Inventory, being primarily perishable food, turns over </w:t>
      </w:r>
      <w:r w:rsidR="00EE1B17" w:rsidRPr="00EE1B17">
        <w:rPr>
          <w:rFonts w:ascii="Times New Roman" w:hAnsi="Times New Roman" w:cs="Times New Roman"/>
        </w:rPr>
        <w:t>rapidly typically</w:t>
      </w:r>
      <w:r w:rsidRPr="00EE1B17">
        <w:rPr>
          <w:rFonts w:ascii="Times New Roman" w:hAnsi="Times New Roman" w:cs="Times New Roman"/>
        </w:rPr>
        <w:t xml:space="preserve"> in under 10 days. Days Sales </w:t>
      </w:r>
      <w:r w:rsidRPr="00EE1B17">
        <w:rPr>
          <w:rFonts w:ascii="Times New Roman" w:hAnsi="Times New Roman" w:cs="Times New Roman"/>
        </w:rPr>
        <w:lastRenderedPageBreak/>
        <w:t>Outstanding is kept short by the nature of B2B contract catering: most clients operate on 30</w:t>
      </w:r>
      <w:r w:rsidR="00EE1B17" w:rsidRPr="00EE1B17">
        <w:rPr>
          <w:rFonts w:ascii="Times New Roman" w:hAnsi="Times New Roman" w:cs="Times New Roman"/>
        </w:rPr>
        <w:t>-</w:t>
      </w:r>
      <w:r w:rsidRPr="00EE1B17">
        <w:rPr>
          <w:rFonts w:ascii="Times New Roman" w:hAnsi="Times New Roman" w:cs="Times New Roman"/>
        </w:rPr>
        <w:t xml:space="preserve">45day payment terms, while cash is collected immediately from </w:t>
      </w:r>
      <w:r w:rsidR="00EE1B17" w:rsidRPr="00EE1B17">
        <w:rPr>
          <w:rFonts w:ascii="Times New Roman" w:hAnsi="Times New Roman" w:cs="Times New Roman"/>
        </w:rPr>
        <w:t>consumer facing</w:t>
      </w:r>
      <w:r w:rsidRPr="00EE1B17">
        <w:rPr>
          <w:rFonts w:ascii="Times New Roman" w:hAnsi="Times New Roman" w:cs="Times New Roman"/>
        </w:rPr>
        <w:t xml:space="preserve"> revenue such as vending and retail catering. Days Payables Outstanding, by contrast, extends longer because Compass can negotiate supplier terms of 45</w:t>
      </w:r>
      <w:r w:rsidR="00EE1B17" w:rsidRPr="00EE1B17">
        <w:rPr>
          <w:rFonts w:ascii="Times New Roman" w:hAnsi="Times New Roman" w:cs="Times New Roman"/>
        </w:rPr>
        <w:t>-</w:t>
      </w:r>
      <w:r w:rsidRPr="00EE1B17">
        <w:rPr>
          <w:rFonts w:ascii="Times New Roman" w:hAnsi="Times New Roman" w:cs="Times New Roman"/>
        </w:rPr>
        <w:t>60 days owing to its purchasing scale. The combined effect is a CCC close to zero or slightly negative, meaning Compass is largely financed through its own operating cycle rather than external working capital. Empirical evidence broadly supports this structure: Deloof (2003), studying a large sample of Belgian firms, finds that shorter cash conversion cycles are associated with higher profitability, a relationship attributed to the reduced financing cost and lower credit risk that a short or negative cycle carries.</w:t>
      </w:r>
    </w:p>
    <w:p w14:paraId="6C47622C" w14:textId="669586DC"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This sustainability gives Compass a genuine competitive advantage, supporting strong free cash flow growth while maintaining an </w:t>
      </w:r>
      <w:r w:rsidR="00EE1B17" w:rsidRPr="00EE1B17">
        <w:rPr>
          <w:rFonts w:ascii="Times New Roman" w:hAnsi="Times New Roman" w:cs="Times New Roman"/>
        </w:rPr>
        <w:t>investment grade</w:t>
      </w:r>
      <w:r w:rsidRPr="00EE1B17">
        <w:rPr>
          <w:rFonts w:ascii="Times New Roman" w:hAnsi="Times New Roman" w:cs="Times New Roman"/>
        </w:rPr>
        <w:t xml:space="preserve"> credit profile</w:t>
      </w:r>
      <w:r w:rsidR="000F513E">
        <w:rPr>
          <w:rFonts w:ascii="Times New Roman" w:hAnsi="Times New Roman" w:cs="Times New Roman"/>
        </w:rPr>
        <w:t xml:space="preserve"> </w:t>
      </w:r>
      <w:r w:rsidR="000F513E" w:rsidRPr="000F513E">
        <w:rPr>
          <w:rFonts w:ascii="Times New Roman" w:hAnsi="Times New Roman" w:cs="Times New Roman"/>
        </w:rPr>
        <w:t>(Compass Group plc, 2025)</w:t>
      </w:r>
      <w:r w:rsidRPr="00EE1B17">
        <w:rPr>
          <w:rFonts w:ascii="Times New Roman" w:hAnsi="Times New Roman" w:cs="Times New Roman"/>
        </w:rPr>
        <w:t>. It is nevertheless worth restating the qualification made in Section 1: the cash conversion cycle is average, and averages can mask timing mismatches at the margin during periods of client churn or supplier stress, which is why the reforms below are framed as ways of making the negative cycle more resilient, not merely more negative.</w:t>
      </w:r>
    </w:p>
    <w:p w14:paraId="098E12B8" w14:textId="77777777" w:rsidR="00B05CC7" w:rsidRPr="00EE1B17" w:rsidRDefault="00000000">
      <w:pPr>
        <w:pStyle w:val="Heading2"/>
        <w:rPr>
          <w:rFonts w:ascii="Times New Roman" w:hAnsi="Times New Roman" w:cs="Times New Roman"/>
        </w:rPr>
      </w:pPr>
      <w:bookmarkStart w:id="10" w:name="_Toc237444783"/>
      <w:r w:rsidRPr="00EE1B17">
        <w:rPr>
          <w:rFonts w:ascii="Times New Roman" w:hAnsi="Times New Roman" w:cs="Times New Roman"/>
        </w:rPr>
        <w:t>Recommended Working Capital Reforms</w:t>
      </w:r>
      <w:bookmarkEnd w:id="10"/>
    </w:p>
    <w:p w14:paraId="2A70E381" w14:textId="7777777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Recommended working capital reforms:</w:t>
      </w:r>
    </w:p>
    <w:p w14:paraId="47D48A5A" w14:textId="3EDBD5A8"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Streamline receivable collection in international markets through standardised invoicing schedules, </w:t>
      </w:r>
      <w:r w:rsidR="00BB1059" w:rsidRPr="00EE1B17">
        <w:rPr>
          <w:rFonts w:ascii="Times New Roman" w:hAnsi="Times New Roman" w:cs="Times New Roman"/>
        </w:rPr>
        <w:t>early payment</w:t>
      </w:r>
      <w:r w:rsidRPr="00EE1B17">
        <w:rPr>
          <w:rFonts w:ascii="Times New Roman" w:hAnsi="Times New Roman" w:cs="Times New Roman"/>
        </w:rPr>
        <w:t xml:space="preserve"> discounts, and centralised credit control, so that Days Sales Outstanding in these markets converges towards the North American benchmark without straining client relationships.</w:t>
      </w:r>
    </w:p>
    <w:p w14:paraId="3FCC8B44" w14:textId="369B4ECA"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Extend and centralise supplier terms through a </w:t>
      </w:r>
      <w:r w:rsidR="00BB1059" w:rsidRPr="00EE1B17">
        <w:rPr>
          <w:rFonts w:ascii="Times New Roman" w:hAnsi="Times New Roman" w:cs="Times New Roman"/>
        </w:rPr>
        <w:t>bank backed</w:t>
      </w:r>
      <w:r w:rsidRPr="00EE1B17">
        <w:rPr>
          <w:rFonts w:ascii="Times New Roman" w:hAnsi="Times New Roman" w:cs="Times New Roman"/>
        </w:rPr>
        <w:t xml:space="preserve"> Supply Chain Finance programme, under which suppliers are paid early (at a small discount) by the bank while Compass settles the bank on extended terms. This increases Days Payables Outstanding without transferring liquidity pressure onto smaller local suppliers an important distinction, since supply chain finance literature warns that aggressive unilateral term extension can itself destabilise a supplier base that a caterer depends on for continuity of service.</w:t>
      </w:r>
    </w:p>
    <w:p w14:paraId="2507911D" w14:textId="50FE0CC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Implement </w:t>
      </w:r>
      <w:r w:rsidR="00BB1059" w:rsidRPr="00EE1B17">
        <w:rPr>
          <w:rFonts w:ascii="Times New Roman" w:hAnsi="Times New Roman" w:cs="Times New Roman"/>
        </w:rPr>
        <w:t>cross site</w:t>
      </w:r>
      <w:r w:rsidRPr="00EE1B17">
        <w:rPr>
          <w:rFonts w:ascii="Times New Roman" w:hAnsi="Times New Roman" w:cs="Times New Roman"/>
        </w:rPr>
        <w:t xml:space="preserve"> inventory pooling and improved demand forecasting, using Compass's existing technology and AI investment, to further reduce Days Inventory Outstanding and cut </w:t>
      </w:r>
      <w:r w:rsidR="00BB1059" w:rsidRPr="00EE1B17">
        <w:rPr>
          <w:rFonts w:ascii="Times New Roman" w:hAnsi="Times New Roman" w:cs="Times New Roman"/>
        </w:rPr>
        <w:t>spoilage related</w:t>
      </w:r>
      <w:r w:rsidRPr="00EE1B17">
        <w:rPr>
          <w:rFonts w:ascii="Times New Roman" w:hAnsi="Times New Roman" w:cs="Times New Roman"/>
        </w:rPr>
        <w:t xml:space="preserve"> waste.</w:t>
      </w:r>
    </w:p>
    <w:p w14:paraId="2E56BE1C" w14:textId="5AF6C28E"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Introduce dynamic multicurrency cash pooling to minimise cash trapped in individual entities and reduce reliance on local </w:t>
      </w:r>
      <w:r w:rsidR="00BB1059" w:rsidRPr="00EE1B17">
        <w:rPr>
          <w:rFonts w:ascii="Times New Roman" w:hAnsi="Times New Roman" w:cs="Times New Roman"/>
        </w:rPr>
        <w:t>short-term</w:t>
      </w:r>
      <w:r w:rsidRPr="00EE1B17">
        <w:rPr>
          <w:rFonts w:ascii="Times New Roman" w:hAnsi="Times New Roman" w:cs="Times New Roman"/>
        </w:rPr>
        <w:t xml:space="preserve"> borrowing across the Group's 40plus country footprint.</w:t>
      </w:r>
    </w:p>
    <w:p w14:paraId="50C7F0F8" w14:textId="726E9521"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Benchmarked against the sector, Compass's negative cash conversion cycle is not unusual for largescale contract catering, where the client relationship</w:t>
      </w:r>
      <w:r w:rsidR="000D5B2D" w:rsidRPr="00EE1B17">
        <w:rPr>
          <w:rFonts w:ascii="Times New Roman" w:hAnsi="Times New Roman" w:cs="Times New Roman"/>
        </w:rPr>
        <w:t xml:space="preserve"> </w:t>
      </w:r>
      <w:r w:rsidRPr="00EE1B17">
        <w:rPr>
          <w:rFonts w:ascii="Times New Roman" w:hAnsi="Times New Roman" w:cs="Times New Roman"/>
        </w:rPr>
        <w:t>rather than the balance sheet</w:t>
      </w:r>
      <w:r w:rsidR="000D5B2D" w:rsidRPr="00EE1B17">
        <w:rPr>
          <w:rFonts w:ascii="Times New Roman" w:hAnsi="Times New Roman" w:cs="Times New Roman"/>
        </w:rPr>
        <w:t xml:space="preserve"> </w:t>
      </w:r>
      <w:r w:rsidRPr="00EE1B17">
        <w:rPr>
          <w:rFonts w:ascii="Times New Roman" w:hAnsi="Times New Roman" w:cs="Times New Roman"/>
        </w:rPr>
        <w:t>is the primary source of competitive advantage; the working capital reforms above are therefore best understood as protecting and gradually strengthening a structural advantage that already exists, rather than attempting to engineer one from a neutral starting position. This framing also determines how the reforms should be sequenced: receivables and inventory measures can be implemented unilaterally and quickly, whereas the Supply Chain Finance programme depends on bank and supplier engagement and should be piloted in the Group's largest procurement markets before being rolled out globally, so that any unintended strain on smaller suppliers is identified early.</w:t>
      </w:r>
    </w:p>
    <w:p w14:paraId="217427CC" w14:textId="5B0B2640" w:rsidR="00B05CC7" w:rsidRPr="00EE1B17" w:rsidRDefault="00BB1059">
      <w:pPr>
        <w:pStyle w:val="Heading2"/>
        <w:rPr>
          <w:rFonts w:ascii="Times New Roman" w:hAnsi="Times New Roman" w:cs="Times New Roman"/>
        </w:rPr>
      </w:pPr>
      <w:bookmarkStart w:id="11" w:name="_Toc237444784"/>
      <w:r w:rsidRPr="00EE1B17">
        <w:rPr>
          <w:rFonts w:ascii="Times New Roman" w:hAnsi="Times New Roman" w:cs="Times New Roman"/>
        </w:rPr>
        <w:t xml:space="preserve">Short-term vs </w:t>
      </w:r>
      <w:r w:rsidR="00EE1B17" w:rsidRPr="00EE1B17">
        <w:rPr>
          <w:rFonts w:ascii="Times New Roman" w:hAnsi="Times New Roman" w:cs="Times New Roman"/>
        </w:rPr>
        <w:t>Long-term</w:t>
      </w:r>
      <w:r w:rsidRPr="00EE1B17">
        <w:rPr>
          <w:rFonts w:ascii="Times New Roman" w:hAnsi="Times New Roman" w:cs="Times New Roman"/>
        </w:rPr>
        <w:t xml:space="preserve"> Financing</w:t>
      </w:r>
      <w:bookmarkEnd w:id="11"/>
    </w:p>
    <w:p w14:paraId="00277E73" w14:textId="4E488073"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Compass finances itself primarily through committed </w:t>
      </w:r>
      <w:r w:rsidR="000D5B2D" w:rsidRPr="00EE1B17">
        <w:rPr>
          <w:rFonts w:ascii="Times New Roman" w:hAnsi="Times New Roman" w:cs="Times New Roman"/>
        </w:rPr>
        <w:t>medium-term</w:t>
      </w:r>
      <w:r w:rsidRPr="00EE1B17">
        <w:rPr>
          <w:rFonts w:ascii="Times New Roman" w:hAnsi="Times New Roman" w:cs="Times New Roman"/>
        </w:rPr>
        <w:t xml:space="preserve"> facilities rather than </w:t>
      </w:r>
      <w:r w:rsidR="00BB1059" w:rsidRPr="00EE1B17">
        <w:rPr>
          <w:rFonts w:ascii="Times New Roman" w:hAnsi="Times New Roman" w:cs="Times New Roman"/>
        </w:rPr>
        <w:t>short-term</w:t>
      </w:r>
      <w:r w:rsidRPr="00EE1B17">
        <w:rPr>
          <w:rFonts w:ascii="Times New Roman" w:hAnsi="Times New Roman" w:cs="Times New Roman"/>
        </w:rPr>
        <w:t xml:space="preserve"> revolving debt. As of FY2024, the Group held access to £2,453m in liquidity, comprising £2,034m of undrawn bank facilities (available until August 2026) and £419m of cash net of overdrafts. </w:t>
      </w:r>
      <w:r w:rsidR="00BB1059" w:rsidRPr="00EE1B17">
        <w:rPr>
          <w:rFonts w:ascii="Times New Roman" w:hAnsi="Times New Roman" w:cs="Times New Roman"/>
        </w:rPr>
        <w:t>Short-term</w:t>
      </w:r>
      <w:r w:rsidRPr="00EE1B17">
        <w:rPr>
          <w:rFonts w:ascii="Times New Roman" w:hAnsi="Times New Roman" w:cs="Times New Roman"/>
        </w:rPr>
        <w:t xml:space="preserve"> financing overdrafts, commercial paper and revolving credit is cheaper and more flexible, and is well suited to seasonal working capital needs, such as those driven by the academic calendar in the Education segment, but it carries refinancing and </w:t>
      </w:r>
      <w:r w:rsidR="00EE1B17" w:rsidRPr="00EE1B17">
        <w:rPr>
          <w:rFonts w:ascii="Times New Roman" w:hAnsi="Times New Roman" w:cs="Times New Roman"/>
        </w:rPr>
        <w:t>interest rate</w:t>
      </w:r>
      <w:r w:rsidRPr="00EE1B17">
        <w:rPr>
          <w:rFonts w:ascii="Times New Roman" w:hAnsi="Times New Roman" w:cs="Times New Roman"/>
        </w:rPr>
        <w:t xml:space="preserve"> risk. Longterm financing bonds, term loans and committed multiyear facilities better matches assets of longer duration, such as capital expenditure and significant M&amp;A (for example, Vermaat), and avoids </w:t>
      </w:r>
      <w:r w:rsidRPr="00EE1B17">
        <w:rPr>
          <w:rFonts w:ascii="Times New Roman" w:hAnsi="Times New Roman" w:cs="Times New Roman"/>
        </w:rPr>
        <w:lastRenderedPageBreak/>
        <w:t xml:space="preserve">refinancing exposure during weaker credit conditions. This is a direct application of the </w:t>
      </w:r>
      <w:r w:rsidR="00B45479" w:rsidRPr="00EE1B17">
        <w:rPr>
          <w:rFonts w:ascii="Times New Roman" w:hAnsi="Times New Roman" w:cs="Times New Roman"/>
        </w:rPr>
        <w:t>maturity</w:t>
      </w:r>
      <w:r w:rsidR="00B45479">
        <w:rPr>
          <w:rFonts w:ascii="Times New Roman" w:hAnsi="Times New Roman" w:cs="Times New Roman"/>
        </w:rPr>
        <w:t xml:space="preserve"> matching</w:t>
      </w:r>
      <w:r w:rsidRPr="00EE1B17">
        <w:rPr>
          <w:rFonts w:ascii="Times New Roman" w:hAnsi="Times New Roman" w:cs="Times New Roman"/>
        </w:rPr>
        <w:t xml:space="preserve"> principle in corporate financial management: the tenor of financing should mirror the duration of the asset or need it funds, so that </w:t>
      </w:r>
      <w:r w:rsidR="00BB1059" w:rsidRPr="00EE1B17">
        <w:rPr>
          <w:rFonts w:ascii="Times New Roman" w:hAnsi="Times New Roman" w:cs="Times New Roman"/>
        </w:rPr>
        <w:t>short lived</w:t>
      </w:r>
      <w:r w:rsidRPr="00EE1B17">
        <w:rPr>
          <w:rFonts w:ascii="Times New Roman" w:hAnsi="Times New Roman" w:cs="Times New Roman"/>
        </w:rPr>
        <w:t xml:space="preserve"> working capital swings are not financed with long</w:t>
      </w:r>
      <w:r w:rsidR="00BB1059">
        <w:rPr>
          <w:rFonts w:ascii="Times New Roman" w:hAnsi="Times New Roman" w:cs="Times New Roman"/>
        </w:rPr>
        <w:t xml:space="preserve"> </w:t>
      </w:r>
      <w:r w:rsidRPr="00EE1B17">
        <w:rPr>
          <w:rFonts w:ascii="Times New Roman" w:hAnsi="Times New Roman" w:cs="Times New Roman"/>
        </w:rPr>
        <w:t xml:space="preserve">dated debt, and </w:t>
      </w:r>
      <w:r w:rsidR="00B45479" w:rsidRPr="00EE1B17">
        <w:rPr>
          <w:rFonts w:ascii="Times New Roman" w:hAnsi="Times New Roman" w:cs="Times New Roman"/>
        </w:rPr>
        <w:t>long</w:t>
      </w:r>
      <w:r w:rsidR="00B45479">
        <w:rPr>
          <w:rFonts w:ascii="Times New Roman" w:hAnsi="Times New Roman" w:cs="Times New Roman"/>
        </w:rPr>
        <w:t>-lived</w:t>
      </w:r>
      <w:r w:rsidRPr="00EE1B17">
        <w:rPr>
          <w:rFonts w:ascii="Times New Roman" w:hAnsi="Times New Roman" w:cs="Times New Roman"/>
        </w:rPr>
        <w:t xml:space="preserve"> capital assets are not left exposed to </w:t>
      </w:r>
      <w:r w:rsidR="00BB1059" w:rsidRPr="00EE1B17">
        <w:rPr>
          <w:rFonts w:ascii="Times New Roman" w:hAnsi="Times New Roman" w:cs="Times New Roman"/>
        </w:rPr>
        <w:t>short-term</w:t>
      </w:r>
      <w:r w:rsidRPr="00EE1B17">
        <w:rPr>
          <w:rFonts w:ascii="Times New Roman" w:hAnsi="Times New Roman" w:cs="Times New Roman"/>
        </w:rPr>
        <w:t xml:space="preserve"> rollover risk (Pike, Neale and Linsley, 2018). Given Compass's already negative organic working capital requirement, additional </w:t>
      </w:r>
      <w:r w:rsidR="00BB1059" w:rsidRPr="00EE1B17">
        <w:rPr>
          <w:rFonts w:ascii="Times New Roman" w:hAnsi="Times New Roman" w:cs="Times New Roman"/>
        </w:rPr>
        <w:t>long-term</w:t>
      </w:r>
      <w:r w:rsidRPr="00EE1B17">
        <w:rPr>
          <w:rFonts w:ascii="Times New Roman" w:hAnsi="Times New Roman" w:cs="Times New Roman"/>
        </w:rPr>
        <w:t xml:space="preserve"> borrowing to fund working capital is not warranted; the priority instead is to maintain committed short/</w:t>
      </w:r>
      <w:r w:rsidR="00B45479" w:rsidRPr="00EE1B17">
        <w:rPr>
          <w:rFonts w:ascii="Times New Roman" w:hAnsi="Times New Roman" w:cs="Times New Roman"/>
        </w:rPr>
        <w:t>medium-term</w:t>
      </w:r>
      <w:r w:rsidRPr="00EE1B17">
        <w:rPr>
          <w:rFonts w:ascii="Times New Roman" w:hAnsi="Times New Roman" w:cs="Times New Roman"/>
        </w:rPr>
        <w:t xml:space="preserve"> facilities as a liquidity safety net while reserving </w:t>
      </w:r>
      <w:r w:rsidR="00BB1059" w:rsidRPr="00EE1B17">
        <w:rPr>
          <w:rFonts w:ascii="Times New Roman" w:hAnsi="Times New Roman" w:cs="Times New Roman"/>
        </w:rPr>
        <w:t>long-term</w:t>
      </w:r>
      <w:r w:rsidRPr="00EE1B17">
        <w:rPr>
          <w:rFonts w:ascii="Times New Roman" w:hAnsi="Times New Roman" w:cs="Times New Roman"/>
        </w:rPr>
        <w:t xml:space="preserve"> debt and free cash flow for capital expenditure and M&amp;A. This is consistent with the current net debt/EBITDA ratio of 1.42x and the Group's stable </w:t>
      </w:r>
      <w:r w:rsidR="00B45479" w:rsidRPr="00EE1B17">
        <w:rPr>
          <w:rFonts w:ascii="Times New Roman" w:hAnsi="Times New Roman" w:cs="Times New Roman"/>
        </w:rPr>
        <w:t>investment grade</w:t>
      </w:r>
      <w:r w:rsidRPr="00EE1B17">
        <w:rPr>
          <w:rFonts w:ascii="Times New Roman" w:hAnsi="Times New Roman" w:cs="Times New Roman"/>
        </w:rPr>
        <w:t xml:space="preserve"> rating</w:t>
      </w:r>
      <w:r w:rsidR="000F513E">
        <w:rPr>
          <w:rFonts w:ascii="Times New Roman" w:hAnsi="Times New Roman" w:cs="Times New Roman"/>
        </w:rPr>
        <w:t xml:space="preserve"> </w:t>
      </w:r>
      <w:r w:rsidR="000F513E" w:rsidRPr="000F513E">
        <w:rPr>
          <w:rFonts w:ascii="Times New Roman" w:hAnsi="Times New Roman" w:cs="Times New Roman"/>
        </w:rPr>
        <w:t>(Compass Group plc, 2025).</w:t>
      </w:r>
    </w:p>
    <w:p w14:paraId="062AC43E" w14:textId="77777777" w:rsidR="00B05CC7" w:rsidRPr="00EE1B17" w:rsidRDefault="00000000">
      <w:pPr>
        <w:pStyle w:val="Heading1"/>
        <w:rPr>
          <w:rFonts w:ascii="Times New Roman" w:hAnsi="Times New Roman" w:cs="Times New Roman"/>
        </w:rPr>
      </w:pPr>
      <w:bookmarkStart w:id="12" w:name="_Toc237444785"/>
      <w:r w:rsidRPr="00EE1B17">
        <w:rPr>
          <w:rFonts w:ascii="Times New Roman" w:hAnsi="Times New Roman" w:cs="Times New Roman"/>
        </w:rPr>
        <w:t>3. Strategic Financial Restructuring Plan</w:t>
      </w:r>
      <w:bookmarkEnd w:id="12"/>
    </w:p>
    <w:p w14:paraId="31B7366C" w14:textId="39F6796A"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With Compass's </w:t>
      </w:r>
      <w:r w:rsidR="00B45479" w:rsidRPr="00EE1B17">
        <w:rPr>
          <w:rFonts w:ascii="Times New Roman" w:hAnsi="Times New Roman" w:cs="Times New Roman"/>
        </w:rPr>
        <w:t>investment grade</w:t>
      </w:r>
      <w:r w:rsidRPr="00EE1B17">
        <w:rPr>
          <w:rFonts w:ascii="Times New Roman" w:hAnsi="Times New Roman" w:cs="Times New Roman"/>
        </w:rPr>
        <w:t xml:space="preserve"> status (1.42x net debt/EBITDA) and approximately £1.52bn of free cash flow, the restructuring initiative set out here should be viewed as a proactive exercise in portfolio and capital optimisation rather than a reaction to a crisis. The objective is to address the challenge identified in Section 1: a margin gap of approximately 200 basis points between North America and International operations, compounded by the currency and inflation risk inherent in operating across more than 40 countries</w:t>
      </w:r>
      <w:r w:rsidR="000F513E">
        <w:rPr>
          <w:rFonts w:ascii="Times New Roman" w:hAnsi="Times New Roman" w:cs="Times New Roman"/>
        </w:rPr>
        <w:t xml:space="preserve"> </w:t>
      </w:r>
      <w:r w:rsidR="000F513E" w:rsidRPr="000F513E">
        <w:rPr>
          <w:rFonts w:ascii="Times New Roman" w:hAnsi="Times New Roman" w:cs="Times New Roman"/>
        </w:rPr>
        <w:t>(Compass Group plc, 2025).</w:t>
      </w:r>
    </w:p>
    <w:p w14:paraId="5CAFA26A" w14:textId="77777777" w:rsidR="00B05CC7" w:rsidRPr="00EE1B17" w:rsidRDefault="00000000">
      <w:pPr>
        <w:pStyle w:val="Heading2"/>
        <w:rPr>
          <w:rFonts w:ascii="Times New Roman" w:hAnsi="Times New Roman" w:cs="Times New Roman"/>
        </w:rPr>
      </w:pPr>
      <w:bookmarkStart w:id="13" w:name="_Toc237444786"/>
      <w:r w:rsidRPr="00EE1B17">
        <w:rPr>
          <w:rFonts w:ascii="Times New Roman" w:hAnsi="Times New Roman" w:cs="Times New Roman"/>
        </w:rPr>
        <w:t>Recommended Restructuring Options</w:t>
      </w:r>
      <w:bookmarkEnd w:id="13"/>
    </w:p>
    <w:p w14:paraId="58F6939C" w14:textId="7777777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Recommended restructuring options:</w:t>
      </w:r>
    </w:p>
    <w:p w14:paraId="0689BAC4" w14:textId="57D41B3D"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Selective divestiture of underperforming international markets. Compass has a track record of this approach, including the FY2024 sale of a 19% stake in ASM Global's parent for £248m and the reclassification of operations in Chile, Colombia and Mexico as held for sale</w:t>
      </w:r>
      <w:r w:rsidR="000F513E">
        <w:rPr>
          <w:rFonts w:ascii="Times New Roman" w:hAnsi="Times New Roman" w:cs="Times New Roman"/>
        </w:rPr>
        <w:t xml:space="preserve"> </w:t>
      </w:r>
      <w:r w:rsidR="000F513E" w:rsidRPr="000F513E">
        <w:rPr>
          <w:rFonts w:ascii="Times New Roman" w:hAnsi="Times New Roman" w:cs="Times New Roman"/>
        </w:rPr>
        <w:t>(Compass Group plc, 2024).</w:t>
      </w:r>
      <w:r w:rsidRPr="00EE1B17">
        <w:rPr>
          <w:rFonts w:ascii="Times New Roman" w:hAnsi="Times New Roman" w:cs="Times New Roman"/>
        </w:rPr>
        <w:t xml:space="preserve"> Markets that cannot close the margin gap within three to five years should be reconsidered for divestiture or explored for </w:t>
      </w:r>
      <w:r w:rsidR="00B45479" w:rsidRPr="00EE1B17">
        <w:rPr>
          <w:rFonts w:ascii="Times New Roman" w:hAnsi="Times New Roman" w:cs="Times New Roman"/>
        </w:rPr>
        <w:t>joint venture</w:t>
      </w:r>
      <w:r w:rsidRPr="00EE1B17">
        <w:rPr>
          <w:rFonts w:ascii="Times New Roman" w:hAnsi="Times New Roman" w:cs="Times New Roman"/>
        </w:rPr>
        <w:t xml:space="preserve"> structures with local partners.</w:t>
      </w:r>
    </w:p>
    <w:p w14:paraId="6CCEA4AD" w14:textId="41516F50"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Disciplined </w:t>
      </w:r>
      <w:r w:rsidR="00B45479" w:rsidRPr="00EE1B17">
        <w:rPr>
          <w:rFonts w:ascii="Times New Roman" w:hAnsi="Times New Roman" w:cs="Times New Roman"/>
        </w:rPr>
        <w:t>Bolton</w:t>
      </w:r>
      <w:r w:rsidRPr="00EE1B17">
        <w:rPr>
          <w:rFonts w:ascii="Times New Roman" w:hAnsi="Times New Roman" w:cs="Times New Roman"/>
        </w:rPr>
        <w:t xml:space="preserve"> M&amp;A in preference to a transformational merger. The £1.29bn Vermaat acquisition is a guiding example of this approach: accretive, strategically relevant, and fundable directly from the balance sheet</w:t>
      </w:r>
      <w:r w:rsidR="000F513E">
        <w:rPr>
          <w:rFonts w:ascii="Times New Roman" w:hAnsi="Times New Roman" w:cs="Times New Roman"/>
        </w:rPr>
        <w:t xml:space="preserve"> </w:t>
      </w:r>
      <w:r w:rsidR="000F513E" w:rsidRPr="000F513E">
        <w:rPr>
          <w:rFonts w:ascii="Times New Roman" w:hAnsi="Times New Roman" w:cs="Times New Roman"/>
        </w:rPr>
        <w:t>(Compass Group plc, 2024)</w:t>
      </w:r>
      <w:r w:rsidRPr="00EE1B17">
        <w:rPr>
          <w:rFonts w:ascii="Times New Roman" w:hAnsi="Times New Roman" w:cs="Times New Roman"/>
        </w:rPr>
        <w:t>. A largescale transformational merger for example with Sodexo would risk diluting Compass's margin profile, introduce material integration risk, and invite regulatory scrutiny from competition authorities across multiple jurisdictions.</w:t>
      </w:r>
    </w:p>
    <w:p w14:paraId="4E9078E2" w14:textId="7D8A8F21"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No new equity issuance. With a free cash flow conversion rate of 87.8% and an </w:t>
      </w:r>
      <w:r w:rsidR="00B45479" w:rsidRPr="00EE1B17">
        <w:rPr>
          <w:rFonts w:ascii="Times New Roman" w:hAnsi="Times New Roman" w:cs="Times New Roman"/>
        </w:rPr>
        <w:t>investment grade</w:t>
      </w:r>
      <w:r w:rsidRPr="00EE1B17">
        <w:rPr>
          <w:rFonts w:ascii="Times New Roman" w:hAnsi="Times New Roman" w:cs="Times New Roman"/>
        </w:rPr>
        <w:t xml:space="preserve"> rating, there is no compelling case for altering the capital structure through fresh equity; the Group is already returning excess capital to shareholders through dividends (£730m) and buybacks (£437m) in FY2024</w:t>
      </w:r>
      <w:r w:rsidR="000F513E">
        <w:rPr>
          <w:rFonts w:ascii="Times New Roman" w:hAnsi="Times New Roman" w:cs="Times New Roman"/>
        </w:rPr>
        <w:t xml:space="preserve"> </w:t>
      </w:r>
      <w:r w:rsidR="000F513E" w:rsidRPr="000F513E">
        <w:rPr>
          <w:rFonts w:ascii="Times New Roman" w:hAnsi="Times New Roman" w:cs="Times New Roman"/>
        </w:rPr>
        <w:t>(Compass Group plc, 2024, 2025).</w:t>
      </w:r>
    </w:p>
    <w:p w14:paraId="177A4FA5" w14:textId="77777777" w:rsidR="00B05CC7" w:rsidRPr="00EE1B17" w:rsidRDefault="00000000">
      <w:pPr>
        <w:pStyle w:val="Heading2"/>
        <w:rPr>
          <w:rFonts w:ascii="Times New Roman" w:hAnsi="Times New Roman" w:cs="Times New Roman"/>
        </w:rPr>
      </w:pPr>
      <w:bookmarkStart w:id="14" w:name="_Toc237444787"/>
      <w:r w:rsidRPr="00EE1B17">
        <w:rPr>
          <w:rFonts w:ascii="Times New Roman" w:hAnsi="Times New Roman" w:cs="Times New Roman"/>
        </w:rPr>
        <w:t>Capital Structure Rationale</w:t>
      </w:r>
      <w:bookmarkEnd w:id="14"/>
    </w:p>
    <w:p w14:paraId="79D95E2C" w14:textId="570E92E3" w:rsidR="007B7C63"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This capital structure judgement is grounded in established corporate finance theory rather than convention alone. Under the original Modigliani and Miller (1958) proposition, capital structure is irrelevant to firm value in a frictionless market; once taxation, financial distress costs and information asymmetry are introduced, however, the </w:t>
      </w:r>
      <w:r w:rsidR="00B45479" w:rsidRPr="00EE1B17">
        <w:rPr>
          <w:rFonts w:ascii="Times New Roman" w:hAnsi="Times New Roman" w:cs="Times New Roman"/>
        </w:rPr>
        <w:t>pecking order</w:t>
      </w:r>
      <w:r w:rsidRPr="00EE1B17">
        <w:rPr>
          <w:rFonts w:ascii="Times New Roman" w:hAnsi="Times New Roman" w:cs="Times New Roman"/>
        </w:rPr>
        <w:t xml:space="preserve"> theory of Myers (1984) and Myers and Majluf (1984) predicts that firms will prefer internal funds first, debt second, and new equity only as a last resort, because issuing equity signals to the market that management believes the shares are overvalued. Compass, generating substantial internal free cash flow and holding an </w:t>
      </w:r>
      <w:r w:rsidR="00B45479" w:rsidRPr="00EE1B17">
        <w:rPr>
          <w:rFonts w:ascii="Times New Roman" w:hAnsi="Times New Roman" w:cs="Times New Roman"/>
        </w:rPr>
        <w:t>investment grade</w:t>
      </w:r>
      <w:r w:rsidRPr="00EE1B17">
        <w:rPr>
          <w:rFonts w:ascii="Times New Roman" w:hAnsi="Times New Roman" w:cs="Times New Roman"/>
        </w:rPr>
        <w:t xml:space="preserve"> rating that keeps debt cheaply available, sits firmly at the top of this pecking order, which reinforces the recommendation against equity issuance. Equally, Jensen's (1986) free cash flow theory of agency costs cautions that businesses generating cash in excess of their </w:t>
      </w:r>
      <w:r w:rsidR="00B45479" w:rsidRPr="00EE1B17">
        <w:rPr>
          <w:rFonts w:ascii="Times New Roman" w:hAnsi="Times New Roman" w:cs="Times New Roman"/>
        </w:rPr>
        <w:t>positive</w:t>
      </w:r>
      <w:r w:rsidRPr="00EE1B17">
        <w:rPr>
          <w:rFonts w:ascii="Times New Roman" w:hAnsi="Times New Roman" w:cs="Times New Roman"/>
        </w:rPr>
        <w:t xml:space="preserve"> investment opportunities face a temptation towards </w:t>
      </w:r>
      <w:r w:rsidR="00B45479" w:rsidRPr="00EE1B17">
        <w:rPr>
          <w:rFonts w:ascii="Times New Roman" w:hAnsi="Times New Roman" w:cs="Times New Roman"/>
        </w:rPr>
        <w:t>value destroying</w:t>
      </w:r>
      <w:r w:rsidRPr="00EE1B17">
        <w:rPr>
          <w:rFonts w:ascii="Times New Roman" w:hAnsi="Times New Roman" w:cs="Times New Roman"/>
        </w:rPr>
        <w:t xml:space="preserve"> overinvestment or </w:t>
      </w:r>
      <w:r w:rsidR="00B45479" w:rsidRPr="00EE1B17">
        <w:rPr>
          <w:rFonts w:ascii="Times New Roman" w:hAnsi="Times New Roman" w:cs="Times New Roman"/>
        </w:rPr>
        <w:t>empire building</w:t>
      </w:r>
      <w:r w:rsidRPr="00EE1B17">
        <w:rPr>
          <w:rFonts w:ascii="Times New Roman" w:hAnsi="Times New Roman" w:cs="Times New Roman"/>
        </w:rPr>
        <w:t xml:space="preserve"> acquisitions; returning surplus cash to shareholders through disciplined buybacks, rather than retaining it in search of </w:t>
      </w:r>
      <w:r w:rsidRPr="00EE1B17">
        <w:rPr>
          <w:rFonts w:ascii="Times New Roman" w:hAnsi="Times New Roman" w:cs="Times New Roman"/>
        </w:rPr>
        <w:lastRenderedPageBreak/>
        <w:t>acquisition targets, is the theoretically consistent response, and is precisely what the capital rationing analysis in Section 4 recommends for the £50m of unallocated project budget.</w:t>
      </w:r>
    </w:p>
    <w:p w14:paraId="32979689" w14:textId="77777777" w:rsidR="00B05CC7" w:rsidRPr="00EE1B17" w:rsidRDefault="00000000">
      <w:pPr>
        <w:pStyle w:val="Heading2"/>
        <w:rPr>
          <w:rFonts w:ascii="Times New Roman" w:hAnsi="Times New Roman" w:cs="Times New Roman"/>
        </w:rPr>
      </w:pPr>
      <w:bookmarkStart w:id="15" w:name="_Toc237444788"/>
      <w:r w:rsidRPr="00EE1B17">
        <w:rPr>
          <w:rFonts w:ascii="Times New Roman" w:hAnsi="Times New Roman" w:cs="Times New Roman"/>
        </w:rPr>
        <w:t>Impact on Shareholder Value, Debt Structure and Operational Flexibility</w:t>
      </w:r>
      <w:bookmarkEnd w:id="15"/>
    </w:p>
    <w:p w14:paraId="7C76D27E" w14:textId="3767D498"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Selective divestiture is expected to have a positive effect on both earnings per share and margins by removing less productive operations from the portfolio, with the resulting proceeds available to fund further buybacks or </w:t>
      </w:r>
      <w:r w:rsidR="007B7C63" w:rsidRPr="00EE1B17">
        <w:rPr>
          <w:rFonts w:ascii="Times New Roman" w:hAnsi="Times New Roman" w:cs="Times New Roman"/>
        </w:rPr>
        <w:t>Bolton</w:t>
      </w:r>
      <w:r w:rsidRPr="00EE1B17">
        <w:rPr>
          <w:rFonts w:ascii="Times New Roman" w:hAnsi="Times New Roman" w:cs="Times New Roman"/>
        </w:rPr>
        <w:t xml:space="preserve"> acquisitions consistent with Rappaport's (1986) framework for shareholder value creation, under which a transaction only creates value if the synergies realised exceed the premium and integration cost paid, a bar that is easier to clear for a small, targeted acquisition than for a transformational merger. While the overall scale of Compass's debt will remain broadly stable, its quality should improve as capital is redirected towards more stable core markets, supporting the </w:t>
      </w:r>
      <w:r w:rsidR="00B45479" w:rsidRPr="00EE1B17">
        <w:rPr>
          <w:rFonts w:ascii="Times New Roman" w:hAnsi="Times New Roman" w:cs="Times New Roman"/>
        </w:rPr>
        <w:t>investment grade</w:t>
      </w:r>
      <w:r w:rsidRPr="00EE1B17">
        <w:rPr>
          <w:rFonts w:ascii="Times New Roman" w:hAnsi="Times New Roman" w:cs="Times New Roman"/>
        </w:rPr>
        <w:t xml:space="preserve"> rating without new borrowing. Operational flexibility should also increase as the Group's geographic footprint is streamlined, reducing management complexity and currency translation exposure, and allowing integration effort to be concentrated on a smaller number of larger, </w:t>
      </w:r>
      <w:r w:rsidR="00B45479" w:rsidRPr="00EE1B17">
        <w:rPr>
          <w:rFonts w:ascii="Times New Roman" w:hAnsi="Times New Roman" w:cs="Times New Roman"/>
        </w:rPr>
        <w:t>better resourced</w:t>
      </w:r>
      <w:r w:rsidRPr="00EE1B17">
        <w:rPr>
          <w:rFonts w:ascii="Times New Roman" w:hAnsi="Times New Roman" w:cs="Times New Roman"/>
        </w:rPr>
        <w:t xml:space="preserve"> acquisitions.</w:t>
      </w:r>
    </w:p>
    <w:p w14:paraId="75762BF9" w14:textId="77777777" w:rsidR="00B05CC7" w:rsidRPr="00EE1B17" w:rsidRDefault="00000000">
      <w:pPr>
        <w:pStyle w:val="Heading2"/>
        <w:rPr>
          <w:rFonts w:ascii="Times New Roman" w:hAnsi="Times New Roman" w:cs="Times New Roman"/>
        </w:rPr>
      </w:pPr>
      <w:bookmarkStart w:id="16" w:name="_Toc237444789"/>
      <w:r w:rsidRPr="00EE1B17">
        <w:rPr>
          <w:rFonts w:ascii="Times New Roman" w:hAnsi="Times New Roman" w:cs="Times New Roman"/>
        </w:rPr>
        <w:t>International and Ethical Considerations</w:t>
      </w:r>
      <w:bookmarkEnd w:id="16"/>
    </w:p>
    <w:p w14:paraId="5181E791" w14:textId="7777777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International and ethical considerations:</w:t>
      </w:r>
    </w:p>
    <w:p w14:paraId="7F9D861B" w14:textId="1BF61934"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Taxation</w:t>
      </w:r>
      <w:r w:rsidR="00B45479">
        <w:rPr>
          <w:rFonts w:ascii="Times New Roman" w:hAnsi="Times New Roman" w:cs="Times New Roman"/>
        </w:rPr>
        <w:t xml:space="preserve"> - A</w:t>
      </w:r>
      <w:r w:rsidRPr="00EE1B17">
        <w:rPr>
          <w:rFonts w:ascii="Times New Roman" w:hAnsi="Times New Roman" w:cs="Times New Roman"/>
        </w:rPr>
        <w:t xml:space="preserve">ny restructuring will be conducted within the OECD's Pillar Two global minimum corporate tax framework, which sets a 15% minimum effective rate for multinational groups with revenue exceeding </w:t>
      </w:r>
      <w:r w:rsidR="00B45479" w:rsidRPr="00EE1B17">
        <w:rPr>
          <w:rFonts w:ascii="Times New Roman" w:hAnsi="Times New Roman" w:cs="Times New Roman"/>
        </w:rPr>
        <w:t>£</w:t>
      </w:r>
      <w:r w:rsidRPr="00EE1B17">
        <w:rPr>
          <w:rFonts w:ascii="Times New Roman" w:hAnsi="Times New Roman" w:cs="Times New Roman"/>
        </w:rPr>
        <w:t xml:space="preserve">750m (approximately £643m) (OECD, 2021). Given Compass's substantial </w:t>
      </w:r>
      <w:r w:rsidR="00B45479" w:rsidRPr="00EE1B17">
        <w:rPr>
          <w:rFonts w:ascii="Times New Roman" w:hAnsi="Times New Roman" w:cs="Times New Roman"/>
        </w:rPr>
        <w:t>public-sector</w:t>
      </w:r>
      <w:r w:rsidRPr="00EE1B17">
        <w:rPr>
          <w:rFonts w:ascii="Times New Roman" w:hAnsi="Times New Roman" w:cs="Times New Roman"/>
        </w:rPr>
        <w:t xml:space="preserve"> contract base, the Group will avoid any structuring that could be characterised as profit shifting.</w:t>
      </w:r>
    </w:p>
    <w:p w14:paraId="592EB13E" w14:textId="77A24013"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 Currency </w:t>
      </w:r>
      <w:r w:rsidR="00B45479">
        <w:rPr>
          <w:rFonts w:ascii="Times New Roman" w:hAnsi="Times New Roman" w:cs="Times New Roman"/>
        </w:rPr>
        <w:t>- R</w:t>
      </w:r>
      <w:r w:rsidRPr="00EE1B17">
        <w:rPr>
          <w:rFonts w:ascii="Times New Roman" w:hAnsi="Times New Roman" w:cs="Times New Roman"/>
        </w:rPr>
        <w:t xml:space="preserve">isk proceeds from divestitures will be hedged or repatriated promptly, in line with Compass's existing policy of aligning currency cash flows with borrowings through interest rate swaps, forward contracts and </w:t>
      </w:r>
      <w:r w:rsidR="00B45479" w:rsidRPr="00EE1B17">
        <w:rPr>
          <w:rFonts w:ascii="Times New Roman" w:hAnsi="Times New Roman" w:cs="Times New Roman"/>
        </w:rPr>
        <w:t>cross currency</w:t>
      </w:r>
      <w:r w:rsidRPr="00EE1B17">
        <w:rPr>
          <w:rFonts w:ascii="Times New Roman" w:hAnsi="Times New Roman" w:cs="Times New Roman"/>
        </w:rPr>
        <w:t xml:space="preserve"> swaps</w:t>
      </w:r>
      <w:r w:rsidR="000F513E">
        <w:rPr>
          <w:rFonts w:ascii="Times New Roman" w:hAnsi="Times New Roman" w:cs="Times New Roman"/>
        </w:rPr>
        <w:t xml:space="preserve"> </w:t>
      </w:r>
      <w:r w:rsidR="000F513E" w:rsidRPr="000F513E">
        <w:rPr>
          <w:rFonts w:ascii="Times New Roman" w:hAnsi="Times New Roman" w:cs="Times New Roman"/>
        </w:rPr>
        <w:t>(Compass Group plc, 2025).</w:t>
      </w:r>
    </w:p>
    <w:p w14:paraId="6F52860A" w14:textId="7ED99791"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Inflation</w:t>
      </w:r>
      <w:r w:rsidR="00B45479">
        <w:rPr>
          <w:rFonts w:ascii="Times New Roman" w:hAnsi="Times New Roman" w:cs="Times New Roman"/>
        </w:rPr>
        <w:t xml:space="preserve"> - R</w:t>
      </w:r>
      <w:r w:rsidRPr="00EE1B17">
        <w:rPr>
          <w:rFonts w:ascii="Times New Roman" w:hAnsi="Times New Roman" w:cs="Times New Roman"/>
        </w:rPr>
        <w:t xml:space="preserve">efocusing towards markets with more stable regulatory and wage environments reduces earnings volatility while preserving genuine </w:t>
      </w:r>
      <w:r w:rsidR="00B45479" w:rsidRPr="00EE1B17">
        <w:rPr>
          <w:rFonts w:ascii="Times New Roman" w:hAnsi="Times New Roman" w:cs="Times New Roman"/>
        </w:rPr>
        <w:t>long-term</w:t>
      </w:r>
      <w:r w:rsidRPr="00EE1B17">
        <w:rPr>
          <w:rFonts w:ascii="Times New Roman" w:hAnsi="Times New Roman" w:cs="Times New Roman"/>
        </w:rPr>
        <w:t xml:space="preserve"> growth options in </w:t>
      </w:r>
      <w:r w:rsidR="00B45479" w:rsidRPr="00EE1B17">
        <w:rPr>
          <w:rFonts w:ascii="Times New Roman" w:hAnsi="Times New Roman" w:cs="Times New Roman"/>
        </w:rPr>
        <w:t>higher inflation</w:t>
      </w:r>
      <w:r w:rsidRPr="00EE1B17">
        <w:rPr>
          <w:rFonts w:ascii="Times New Roman" w:hAnsi="Times New Roman" w:cs="Times New Roman"/>
        </w:rPr>
        <w:t xml:space="preserve"> emerging markets.</w:t>
      </w:r>
    </w:p>
    <w:p w14:paraId="4BED2AC3" w14:textId="14F50A8A" w:rsidR="00B05CC7" w:rsidRPr="000F513E" w:rsidRDefault="00000000" w:rsidP="000F513E">
      <w:pPr>
        <w:numPr>
          <w:ilvl w:val="0"/>
          <w:numId w:val="5"/>
        </w:numPr>
        <w:spacing w:after="160" w:line="276" w:lineRule="auto"/>
        <w:jc w:val="both"/>
        <w:rPr>
          <w:rFonts w:ascii="Times New Roman" w:hAnsi="Times New Roman" w:cs="Times New Roman"/>
          <w:lang w:val="en-US"/>
        </w:rPr>
      </w:pPr>
      <w:r w:rsidRPr="00EE1B17">
        <w:rPr>
          <w:rFonts w:ascii="Times New Roman" w:hAnsi="Times New Roman" w:cs="Times New Roman"/>
        </w:rPr>
        <w:t>• CSR/ESG</w:t>
      </w:r>
      <w:r w:rsidR="00B45479">
        <w:rPr>
          <w:rFonts w:ascii="Times New Roman" w:hAnsi="Times New Roman" w:cs="Times New Roman"/>
        </w:rPr>
        <w:t xml:space="preserve"> - A</w:t>
      </w:r>
      <w:r w:rsidRPr="00EE1B17">
        <w:rPr>
          <w:rFonts w:ascii="Times New Roman" w:hAnsi="Times New Roman" w:cs="Times New Roman"/>
        </w:rPr>
        <w:t>ny market exit will include a responsible transition plan covering redundancy terms and obligations for successor operators, consistent with Compass's public ESG commitments, including its reported annual 4% reduction in greenhouse gas intensity</w:t>
      </w:r>
      <w:r w:rsidR="000F513E">
        <w:rPr>
          <w:rFonts w:ascii="Times New Roman" w:hAnsi="Times New Roman" w:cs="Times New Roman"/>
        </w:rPr>
        <w:t xml:space="preserve"> </w:t>
      </w:r>
      <w:r w:rsidR="000F513E" w:rsidRPr="000F513E">
        <w:rPr>
          <w:rFonts w:ascii="Times New Roman" w:hAnsi="Times New Roman" w:cs="Times New Roman"/>
          <w:lang w:val="en-US"/>
        </w:rPr>
        <w:t>(Compass Group plc, 2025).</w:t>
      </w:r>
    </w:p>
    <w:p w14:paraId="648E61DD" w14:textId="77777777" w:rsidR="00B05CC7" w:rsidRPr="00EE1B17" w:rsidRDefault="00000000">
      <w:pPr>
        <w:pStyle w:val="Heading1"/>
        <w:rPr>
          <w:rFonts w:ascii="Times New Roman" w:hAnsi="Times New Roman" w:cs="Times New Roman"/>
        </w:rPr>
      </w:pPr>
      <w:bookmarkStart w:id="17" w:name="_Toc237444790"/>
      <w:r w:rsidRPr="00EE1B17">
        <w:rPr>
          <w:rFonts w:ascii="Times New Roman" w:hAnsi="Times New Roman" w:cs="Times New Roman"/>
        </w:rPr>
        <w:t>4. Investment Appraisal and Capital Budgeting</w:t>
      </w:r>
      <w:bookmarkEnd w:id="17"/>
    </w:p>
    <w:p w14:paraId="454D521F" w14:textId="5EAEC5EC"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Each of the three proposed projects requires an initial investment of £50m and is projected to generate cash flows over five years, evaluated at an assumed 8% cost of capital and depreciated on a </w:t>
      </w:r>
      <w:r w:rsidR="00B45479" w:rsidRPr="00EE1B17">
        <w:rPr>
          <w:rFonts w:ascii="Times New Roman" w:hAnsi="Times New Roman" w:cs="Times New Roman"/>
        </w:rPr>
        <w:t>straight-line</w:t>
      </w:r>
      <w:r w:rsidRPr="00EE1B17">
        <w:rPr>
          <w:rFonts w:ascii="Times New Roman" w:hAnsi="Times New Roman" w:cs="Times New Roman"/>
        </w:rPr>
        <w:t xml:space="preserve"> basis to zero (£10m per annum). Full </w:t>
      </w:r>
      <w:r w:rsidR="00B45479" w:rsidRPr="00EE1B17">
        <w:rPr>
          <w:rFonts w:ascii="Times New Roman" w:hAnsi="Times New Roman" w:cs="Times New Roman"/>
        </w:rPr>
        <w:t>Yearby year</w:t>
      </w:r>
      <w:r w:rsidRPr="00EE1B17">
        <w:rPr>
          <w:rFonts w:ascii="Times New Roman" w:hAnsi="Times New Roman" w:cs="Times New Roman"/>
        </w:rPr>
        <w:t xml:space="preserve"> workings, including the </w:t>
      </w:r>
      <w:r w:rsidR="00B45479" w:rsidRPr="00EE1B17">
        <w:rPr>
          <w:rFonts w:ascii="Times New Roman" w:hAnsi="Times New Roman" w:cs="Times New Roman"/>
        </w:rPr>
        <w:t>closed form</w:t>
      </w:r>
      <w:r w:rsidRPr="00EE1B17">
        <w:rPr>
          <w:rFonts w:ascii="Times New Roman" w:hAnsi="Times New Roman" w:cs="Times New Roman"/>
        </w:rPr>
        <w:t xml:space="preserve"> annuity check used for Project B's level cash flows, are provided in Appendix B; the independently calculated summary results are set out below.</w:t>
      </w:r>
    </w:p>
    <w:p w14:paraId="42544C3F" w14:textId="77777777" w:rsidR="00B05CC7" w:rsidRPr="00EE1B17" w:rsidRDefault="00000000">
      <w:pPr>
        <w:pStyle w:val="Heading2"/>
        <w:rPr>
          <w:rFonts w:ascii="Times New Roman" w:hAnsi="Times New Roman" w:cs="Times New Roman"/>
        </w:rPr>
      </w:pPr>
      <w:bookmarkStart w:id="18" w:name="_Toc237444791"/>
      <w:r w:rsidRPr="00EE1B17">
        <w:rPr>
          <w:rFonts w:ascii="Times New Roman" w:hAnsi="Times New Roman" w:cs="Times New Roman"/>
        </w:rPr>
        <w:t>Cash Flow Inputs (£m)</w:t>
      </w:r>
      <w:bookmarkEnd w:id="18"/>
    </w:p>
    <w:p w14:paraId="36FDF6B0" w14:textId="00F2B91E" w:rsidR="00B05CC7" w:rsidRPr="00EE1B17" w:rsidRDefault="00000000">
      <w:pPr>
        <w:spacing w:before="120" w:after="60"/>
        <w:rPr>
          <w:rFonts w:ascii="Times New Roman" w:hAnsi="Times New Roman" w:cs="Times New Roman"/>
        </w:rPr>
      </w:pPr>
      <w:r w:rsidRPr="00EE1B17">
        <w:rPr>
          <w:rFonts w:ascii="Times New Roman" w:hAnsi="Times New Roman" w:cs="Times New Roman"/>
          <w:b/>
          <w:bCs/>
          <w:sz w:val="20"/>
          <w:szCs w:val="20"/>
        </w:rPr>
        <w:t>Table 3: Investment Appraisal Cash Flow Inputs by Project (£m)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7"/>
        <w:gridCol w:w="2407"/>
        <w:gridCol w:w="2407"/>
        <w:gridCol w:w="2407"/>
      </w:tblGrid>
      <w:tr w:rsidR="00B05CC7" w:rsidRPr="00EE1B17" w14:paraId="055FB225" w14:textId="77777777">
        <w:trPr>
          <w:tblHeader/>
        </w:trPr>
        <w:tc>
          <w:tcPr>
            <w:tcW w:w="1250" w:type="pct"/>
            <w:shd w:val="clear" w:color="auto" w:fill="1F3864"/>
            <w:tcMar>
              <w:top w:w="60" w:type="dxa"/>
              <w:left w:w="100" w:type="dxa"/>
              <w:bottom w:w="60" w:type="dxa"/>
              <w:right w:w="100" w:type="dxa"/>
            </w:tcMar>
            <w:vAlign w:val="center"/>
          </w:tcPr>
          <w:p w14:paraId="47ED83B2"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Year</w:t>
            </w:r>
          </w:p>
        </w:tc>
        <w:tc>
          <w:tcPr>
            <w:tcW w:w="1250" w:type="pct"/>
            <w:shd w:val="clear" w:color="auto" w:fill="1F3864"/>
            <w:tcMar>
              <w:top w:w="60" w:type="dxa"/>
              <w:left w:w="100" w:type="dxa"/>
              <w:bottom w:w="60" w:type="dxa"/>
              <w:right w:w="100" w:type="dxa"/>
            </w:tcMar>
            <w:vAlign w:val="center"/>
          </w:tcPr>
          <w:p w14:paraId="7DE2219F"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Project A</w:t>
            </w:r>
          </w:p>
        </w:tc>
        <w:tc>
          <w:tcPr>
            <w:tcW w:w="1250" w:type="pct"/>
            <w:shd w:val="clear" w:color="auto" w:fill="1F3864"/>
            <w:tcMar>
              <w:top w:w="60" w:type="dxa"/>
              <w:left w:w="100" w:type="dxa"/>
              <w:bottom w:w="60" w:type="dxa"/>
              <w:right w:w="100" w:type="dxa"/>
            </w:tcMar>
            <w:vAlign w:val="center"/>
          </w:tcPr>
          <w:p w14:paraId="6730C86C"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Project B</w:t>
            </w:r>
          </w:p>
        </w:tc>
        <w:tc>
          <w:tcPr>
            <w:tcW w:w="1250" w:type="pct"/>
            <w:shd w:val="clear" w:color="auto" w:fill="1F3864"/>
            <w:tcMar>
              <w:top w:w="60" w:type="dxa"/>
              <w:left w:w="100" w:type="dxa"/>
              <w:bottom w:w="60" w:type="dxa"/>
              <w:right w:w="100" w:type="dxa"/>
            </w:tcMar>
            <w:vAlign w:val="center"/>
          </w:tcPr>
          <w:p w14:paraId="5585B438"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Project C</w:t>
            </w:r>
          </w:p>
        </w:tc>
      </w:tr>
      <w:tr w:rsidR="00B05CC7" w:rsidRPr="00EE1B17" w14:paraId="7A074996" w14:textId="77777777">
        <w:tc>
          <w:tcPr>
            <w:tcW w:w="1250" w:type="pct"/>
            <w:tcMar>
              <w:top w:w="60" w:type="dxa"/>
              <w:left w:w="100" w:type="dxa"/>
              <w:bottom w:w="60" w:type="dxa"/>
              <w:right w:w="100" w:type="dxa"/>
            </w:tcMar>
            <w:vAlign w:val="center"/>
          </w:tcPr>
          <w:p w14:paraId="4341FB3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w:t>
            </w:r>
          </w:p>
        </w:tc>
        <w:tc>
          <w:tcPr>
            <w:tcW w:w="1250" w:type="pct"/>
            <w:tcMar>
              <w:top w:w="60" w:type="dxa"/>
              <w:left w:w="100" w:type="dxa"/>
              <w:bottom w:w="60" w:type="dxa"/>
              <w:right w:w="100" w:type="dxa"/>
            </w:tcMar>
            <w:vAlign w:val="center"/>
          </w:tcPr>
          <w:p w14:paraId="554EB17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w:t>
            </w:r>
          </w:p>
        </w:tc>
        <w:tc>
          <w:tcPr>
            <w:tcW w:w="1250" w:type="pct"/>
            <w:tcMar>
              <w:top w:w="60" w:type="dxa"/>
              <w:left w:w="100" w:type="dxa"/>
              <w:bottom w:w="60" w:type="dxa"/>
              <w:right w:w="100" w:type="dxa"/>
            </w:tcMar>
            <w:vAlign w:val="center"/>
          </w:tcPr>
          <w:p w14:paraId="46FBD9B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11</w:t>
            </w:r>
          </w:p>
        </w:tc>
        <w:tc>
          <w:tcPr>
            <w:tcW w:w="1250" w:type="pct"/>
            <w:tcMar>
              <w:top w:w="60" w:type="dxa"/>
              <w:left w:w="100" w:type="dxa"/>
              <w:bottom w:w="60" w:type="dxa"/>
              <w:right w:w="100" w:type="dxa"/>
            </w:tcMar>
            <w:vAlign w:val="center"/>
          </w:tcPr>
          <w:p w14:paraId="46DBD1A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w:t>
            </w:r>
          </w:p>
        </w:tc>
      </w:tr>
      <w:tr w:rsidR="00B05CC7" w:rsidRPr="00EE1B17" w14:paraId="61091BD3" w14:textId="77777777">
        <w:tc>
          <w:tcPr>
            <w:tcW w:w="1250" w:type="pct"/>
            <w:tcMar>
              <w:top w:w="60" w:type="dxa"/>
              <w:left w:w="100" w:type="dxa"/>
              <w:bottom w:w="60" w:type="dxa"/>
              <w:right w:w="100" w:type="dxa"/>
            </w:tcMar>
            <w:vAlign w:val="center"/>
          </w:tcPr>
          <w:p w14:paraId="049EEFB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w:t>
            </w:r>
          </w:p>
        </w:tc>
        <w:tc>
          <w:tcPr>
            <w:tcW w:w="1250" w:type="pct"/>
            <w:tcMar>
              <w:top w:w="60" w:type="dxa"/>
              <w:left w:w="100" w:type="dxa"/>
              <w:bottom w:w="60" w:type="dxa"/>
              <w:right w:w="100" w:type="dxa"/>
            </w:tcMar>
            <w:vAlign w:val="center"/>
          </w:tcPr>
          <w:p w14:paraId="605FDD08"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12</w:t>
            </w:r>
          </w:p>
        </w:tc>
        <w:tc>
          <w:tcPr>
            <w:tcW w:w="1250" w:type="pct"/>
            <w:tcMar>
              <w:top w:w="60" w:type="dxa"/>
              <w:left w:w="100" w:type="dxa"/>
              <w:bottom w:w="60" w:type="dxa"/>
              <w:right w:w="100" w:type="dxa"/>
            </w:tcMar>
            <w:vAlign w:val="center"/>
          </w:tcPr>
          <w:p w14:paraId="58AF5EA9"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11</w:t>
            </w:r>
          </w:p>
        </w:tc>
        <w:tc>
          <w:tcPr>
            <w:tcW w:w="1250" w:type="pct"/>
            <w:tcMar>
              <w:top w:w="60" w:type="dxa"/>
              <w:left w:w="100" w:type="dxa"/>
              <w:bottom w:w="60" w:type="dxa"/>
              <w:right w:w="100" w:type="dxa"/>
            </w:tcMar>
            <w:vAlign w:val="center"/>
          </w:tcPr>
          <w:p w14:paraId="5ACF62A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w:t>
            </w:r>
          </w:p>
        </w:tc>
      </w:tr>
      <w:tr w:rsidR="00B05CC7" w:rsidRPr="00EE1B17" w14:paraId="169188ED" w14:textId="77777777">
        <w:tc>
          <w:tcPr>
            <w:tcW w:w="1250" w:type="pct"/>
            <w:tcMar>
              <w:top w:w="60" w:type="dxa"/>
              <w:left w:w="100" w:type="dxa"/>
              <w:bottom w:w="60" w:type="dxa"/>
              <w:right w:w="100" w:type="dxa"/>
            </w:tcMar>
            <w:vAlign w:val="center"/>
          </w:tcPr>
          <w:p w14:paraId="357D687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w:t>
            </w:r>
          </w:p>
        </w:tc>
        <w:tc>
          <w:tcPr>
            <w:tcW w:w="1250" w:type="pct"/>
            <w:tcMar>
              <w:top w:w="60" w:type="dxa"/>
              <w:left w:w="100" w:type="dxa"/>
              <w:bottom w:w="60" w:type="dxa"/>
              <w:right w:w="100" w:type="dxa"/>
            </w:tcMar>
            <w:vAlign w:val="center"/>
          </w:tcPr>
          <w:p w14:paraId="271D458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14</w:t>
            </w:r>
          </w:p>
        </w:tc>
        <w:tc>
          <w:tcPr>
            <w:tcW w:w="1250" w:type="pct"/>
            <w:tcMar>
              <w:top w:w="60" w:type="dxa"/>
              <w:left w:w="100" w:type="dxa"/>
              <w:bottom w:w="60" w:type="dxa"/>
              <w:right w:w="100" w:type="dxa"/>
            </w:tcMar>
            <w:vAlign w:val="center"/>
          </w:tcPr>
          <w:p w14:paraId="2901B4B2"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11</w:t>
            </w:r>
          </w:p>
        </w:tc>
        <w:tc>
          <w:tcPr>
            <w:tcW w:w="1250" w:type="pct"/>
            <w:tcMar>
              <w:top w:w="60" w:type="dxa"/>
              <w:left w:w="100" w:type="dxa"/>
              <w:bottom w:w="60" w:type="dxa"/>
              <w:right w:w="100" w:type="dxa"/>
            </w:tcMar>
            <w:vAlign w:val="center"/>
          </w:tcPr>
          <w:p w14:paraId="417DEA47"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20</w:t>
            </w:r>
          </w:p>
        </w:tc>
      </w:tr>
      <w:tr w:rsidR="00B05CC7" w:rsidRPr="00EE1B17" w14:paraId="0F6E7E62" w14:textId="77777777">
        <w:tc>
          <w:tcPr>
            <w:tcW w:w="1250" w:type="pct"/>
            <w:tcMar>
              <w:top w:w="60" w:type="dxa"/>
              <w:left w:w="100" w:type="dxa"/>
              <w:bottom w:w="60" w:type="dxa"/>
              <w:right w:w="100" w:type="dxa"/>
            </w:tcMar>
            <w:vAlign w:val="center"/>
          </w:tcPr>
          <w:p w14:paraId="683EAB7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4</w:t>
            </w:r>
          </w:p>
        </w:tc>
        <w:tc>
          <w:tcPr>
            <w:tcW w:w="1250" w:type="pct"/>
            <w:tcMar>
              <w:top w:w="60" w:type="dxa"/>
              <w:left w:w="100" w:type="dxa"/>
              <w:bottom w:w="60" w:type="dxa"/>
              <w:right w:w="100" w:type="dxa"/>
            </w:tcMar>
            <w:vAlign w:val="center"/>
          </w:tcPr>
          <w:p w14:paraId="4745A78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w:t>
            </w:r>
          </w:p>
        </w:tc>
        <w:tc>
          <w:tcPr>
            <w:tcW w:w="1250" w:type="pct"/>
            <w:tcMar>
              <w:top w:w="60" w:type="dxa"/>
              <w:left w:w="100" w:type="dxa"/>
              <w:bottom w:w="60" w:type="dxa"/>
              <w:right w:w="100" w:type="dxa"/>
            </w:tcMar>
            <w:vAlign w:val="center"/>
          </w:tcPr>
          <w:p w14:paraId="563822E8"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11</w:t>
            </w:r>
          </w:p>
        </w:tc>
        <w:tc>
          <w:tcPr>
            <w:tcW w:w="1250" w:type="pct"/>
            <w:tcMar>
              <w:top w:w="60" w:type="dxa"/>
              <w:left w:w="100" w:type="dxa"/>
              <w:bottom w:w="60" w:type="dxa"/>
              <w:right w:w="100" w:type="dxa"/>
            </w:tcMar>
            <w:vAlign w:val="center"/>
          </w:tcPr>
          <w:p w14:paraId="42A001B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25</w:t>
            </w:r>
          </w:p>
        </w:tc>
      </w:tr>
      <w:tr w:rsidR="00B05CC7" w:rsidRPr="00EE1B17" w14:paraId="4D86870B" w14:textId="77777777">
        <w:tc>
          <w:tcPr>
            <w:tcW w:w="1250" w:type="pct"/>
            <w:tcMar>
              <w:top w:w="60" w:type="dxa"/>
              <w:left w:w="100" w:type="dxa"/>
              <w:bottom w:w="60" w:type="dxa"/>
              <w:right w:w="100" w:type="dxa"/>
            </w:tcMar>
            <w:vAlign w:val="center"/>
          </w:tcPr>
          <w:p w14:paraId="1CF33239"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w:t>
            </w:r>
          </w:p>
        </w:tc>
        <w:tc>
          <w:tcPr>
            <w:tcW w:w="1250" w:type="pct"/>
            <w:tcMar>
              <w:top w:w="60" w:type="dxa"/>
              <w:left w:w="100" w:type="dxa"/>
              <w:bottom w:w="60" w:type="dxa"/>
              <w:right w:w="100" w:type="dxa"/>
            </w:tcMar>
            <w:vAlign w:val="center"/>
          </w:tcPr>
          <w:p w14:paraId="38DA6629"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8</w:t>
            </w:r>
          </w:p>
        </w:tc>
        <w:tc>
          <w:tcPr>
            <w:tcW w:w="1250" w:type="pct"/>
            <w:tcMar>
              <w:top w:w="60" w:type="dxa"/>
              <w:left w:w="100" w:type="dxa"/>
              <w:bottom w:w="60" w:type="dxa"/>
              <w:right w:w="100" w:type="dxa"/>
            </w:tcMar>
            <w:vAlign w:val="center"/>
          </w:tcPr>
          <w:p w14:paraId="2D8E083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11</w:t>
            </w:r>
          </w:p>
        </w:tc>
        <w:tc>
          <w:tcPr>
            <w:tcW w:w="1250" w:type="pct"/>
            <w:tcMar>
              <w:top w:w="60" w:type="dxa"/>
              <w:left w:w="100" w:type="dxa"/>
              <w:bottom w:w="60" w:type="dxa"/>
              <w:right w:w="100" w:type="dxa"/>
            </w:tcMar>
            <w:vAlign w:val="center"/>
          </w:tcPr>
          <w:p w14:paraId="3CDEE1B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w:t>
            </w:r>
          </w:p>
        </w:tc>
      </w:tr>
      <w:tr w:rsidR="00B05CC7" w:rsidRPr="00EE1B17" w14:paraId="4ED8C3D4" w14:textId="77777777">
        <w:tc>
          <w:tcPr>
            <w:tcW w:w="1250" w:type="pct"/>
            <w:tcMar>
              <w:top w:w="60" w:type="dxa"/>
              <w:left w:w="100" w:type="dxa"/>
              <w:bottom w:w="60" w:type="dxa"/>
              <w:right w:w="100" w:type="dxa"/>
            </w:tcMar>
            <w:vAlign w:val="center"/>
          </w:tcPr>
          <w:p w14:paraId="3CF78F1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lastRenderedPageBreak/>
              <w:t>Total</w:t>
            </w:r>
          </w:p>
        </w:tc>
        <w:tc>
          <w:tcPr>
            <w:tcW w:w="1250" w:type="pct"/>
            <w:tcMar>
              <w:top w:w="60" w:type="dxa"/>
              <w:left w:w="100" w:type="dxa"/>
              <w:bottom w:w="60" w:type="dxa"/>
              <w:right w:w="100" w:type="dxa"/>
            </w:tcMar>
            <w:vAlign w:val="center"/>
          </w:tcPr>
          <w:p w14:paraId="0039DE0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54</w:t>
            </w:r>
          </w:p>
        </w:tc>
        <w:tc>
          <w:tcPr>
            <w:tcW w:w="1250" w:type="pct"/>
            <w:tcMar>
              <w:top w:w="60" w:type="dxa"/>
              <w:left w:w="100" w:type="dxa"/>
              <w:bottom w:w="60" w:type="dxa"/>
              <w:right w:w="100" w:type="dxa"/>
            </w:tcMar>
            <w:vAlign w:val="center"/>
          </w:tcPr>
          <w:p w14:paraId="470820A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55</w:t>
            </w:r>
          </w:p>
        </w:tc>
        <w:tc>
          <w:tcPr>
            <w:tcW w:w="1250" w:type="pct"/>
            <w:tcMar>
              <w:top w:w="60" w:type="dxa"/>
              <w:left w:w="100" w:type="dxa"/>
              <w:bottom w:w="60" w:type="dxa"/>
              <w:right w:w="100" w:type="dxa"/>
            </w:tcMar>
            <w:vAlign w:val="center"/>
          </w:tcPr>
          <w:p w14:paraId="1DD9FD57"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60</w:t>
            </w:r>
          </w:p>
        </w:tc>
      </w:tr>
    </w:tbl>
    <w:p w14:paraId="1934E910" w14:textId="77777777" w:rsidR="007B7C63" w:rsidRDefault="007B7C63">
      <w:pPr>
        <w:pStyle w:val="Heading2"/>
        <w:rPr>
          <w:rFonts w:ascii="Times New Roman" w:hAnsi="Times New Roman" w:cs="Times New Roman"/>
        </w:rPr>
      </w:pPr>
    </w:p>
    <w:p w14:paraId="6CDD71F5" w14:textId="4FC02414" w:rsidR="00B05CC7" w:rsidRPr="00EE1B17" w:rsidRDefault="00000000">
      <w:pPr>
        <w:pStyle w:val="Heading2"/>
        <w:rPr>
          <w:rFonts w:ascii="Times New Roman" w:hAnsi="Times New Roman" w:cs="Times New Roman"/>
        </w:rPr>
      </w:pPr>
      <w:bookmarkStart w:id="19" w:name="_Toc237444792"/>
      <w:r w:rsidRPr="00EE1B17">
        <w:rPr>
          <w:rFonts w:ascii="Times New Roman" w:hAnsi="Times New Roman" w:cs="Times New Roman"/>
        </w:rPr>
        <w:t>Appraisal Summary</w:t>
      </w:r>
      <w:bookmarkEnd w:id="19"/>
      <w:r w:rsidRPr="00EE1B17">
        <w:rPr>
          <w:rFonts w:ascii="Times New Roman" w:hAnsi="Times New Roman" w:cs="Times New Roman"/>
        </w:rPr>
        <w:t xml:space="preserve"> </w:t>
      </w:r>
    </w:p>
    <w:p w14:paraId="0669AAF6" w14:textId="5F87C20C" w:rsidR="00B05CC7" w:rsidRPr="00EE1B17" w:rsidRDefault="00000000">
      <w:pPr>
        <w:spacing w:before="120" w:after="60"/>
        <w:rPr>
          <w:rFonts w:ascii="Times New Roman" w:hAnsi="Times New Roman" w:cs="Times New Roman"/>
        </w:rPr>
      </w:pPr>
      <w:r w:rsidRPr="00EE1B17">
        <w:rPr>
          <w:rFonts w:ascii="Times New Roman" w:hAnsi="Times New Roman" w:cs="Times New Roman"/>
          <w:b/>
          <w:bCs/>
          <w:sz w:val="20"/>
          <w:szCs w:val="20"/>
        </w:rPr>
        <w:t xml:space="preserve">Table 4: Investment Appraisal Summary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7"/>
        <w:gridCol w:w="2407"/>
        <w:gridCol w:w="2407"/>
        <w:gridCol w:w="2407"/>
      </w:tblGrid>
      <w:tr w:rsidR="00B05CC7" w:rsidRPr="00EE1B17" w14:paraId="09072158" w14:textId="77777777">
        <w:trPr>
          <w:tblHeader/>
        </w:trPr>
        <w:tc>
          <w:tcPr>
            <w:tcW w:w="1250" w:type="pct"/>
            <w:shd w:val="clear" w:color="auto" w:fill="1F3864"/>
            <w:tcMar>
              <w:top w:w="60" w:type="dxa"/>
              <w:left w:w="100" w:type="dxa"/>
              <w:bottom w:w="60" w:type="dxa"/>
              <w:right w:w="100" w:type="dxa"/>
            </w:tcMar>
            <w:vAlign w:val="center"/>
          </w:tcPr>
          <w:p w14:paraId="1ED042A9"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Metric</w:t>
            </w:r>
          </w:p>
        </w:tc>
        <w:tc>
          <w:tcPr>
            <w:tcW w:w="1250" w:type="pct"/>
            <w:shd w:val="clear" w:color="auto" w:fill="1F3864"/>
            <w:tcMar>
              <w:top w:w="60" w:type="dxa"/>
              <w:left w:w="100" w:type="dxa"/>
              <w:bottom w:w="60" w:type="dxa"/>
              <w:right w:w="100" w:type="dxa"/>
            </w:tcMar>
            <w:vAlign w:val="center"/>
          </w:tcPr>
          <w:p w14:paraId="369A1613"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Project A</w:t>
            </w:r>
          </w:p>
        </w:tc>
        <w:tc>
          <w:tcPr>
            <w:tcW w:w="1250" w:type="pct"/>
            <w:shd w:val="clear" w:color="auto" w:fill="1F3864"/>
            <w:tcMar>
              <w:top w:w="60" w:type="dxa"/>
              <w:left w:w="100" w:type="dxa"/>
              <w:bottom w:w="60" w:type="dxa"/>
              <w:right w:w="100" w:type="dxa"/>
            </w:tcMar>
            <w:vAlign w:val="center"/>
          </w:tcPr>
          <w:p w14:paraId="504DB815"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Project B</w:t>
            </w:r>
          </w:p>
        </w:tc>
        <w:tc>
          <w:tcPr>
            <w:tcW w:w="1250" w:type="pct"/>
            <w:shd w:val="clear" w:color="auto" w:fill="1F3864"/>
            <w:tcMar>
              <w:top w:w="60" w:type="dxa"/>
              <w:left w:w="100" w:type="dxa"/>
              <w:bottom w:w="60" w:type="dxa"/>
              <w:right w:w="100" w:type="dxa"/>
            </w:tcMar>
            <w:vAlign w:val="center"/>
          </w:tcPr>
          <w:p w14:paraId="509BEE05"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Project C</w:t>
            </w:r>
          </w:p>
        </w:tc>
      </w:tr>
      <w:tr w:rsidR="00B05CC7" w:rsidRPr="00EE1B17" w14:paraId="6120EB58" w14:textId="77777777">
        <w:tc>
          <w:tcPr>
            <w:tcW w:w="1250" w:type="pct"/>
            <w:tcMar>
              <w:top w:w="60" w:type="dxa"/>
              <w:left w:w="100" w:type="dxa"/>
              <w:bottom w:w="60" w:type="dxa"/>
              <w:right w:w="100" w:type="dxa"/>
            </w:tcMar>
            <w:vAlign w:val="center"/>
          </w:tcPr>
          <w:p w14:paraId="7196D32E"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Payback Period</w:t>
            </w:r>
          </w:p>
        </w:tc>
        <w:tc>
          <w:tcPr>
            <w:tcW w:w="1250" w:type="pct"/>
            <w:tcMar>
              <w:top w:w="60" w:type="dxa"/>
              <w:left w:w="100" w:type="dxa"/>
              <w:bottom w:w="60" w:type="dxa"/>
              <w:right w:w="100" w:type="dxa"/>
            </w:tcMar>
            <w:vAlign w:val="center"/>
          </w:tcPr>
          <w:p w14:paraId="42307DF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4.50 years</w:t>
            </w:r>
          </w:p>
        </w:tc>
        <w:tc>
          <w:tcPr>
            <w:tcW w:w="1250" w:type="pct"/>
            <w:tcMar>
              <w:top w:w="60" w:type="dxa"/>
              <w:left w:w="100" w:type="dxa"/>
              <w:bottom w:w="60" w:type="dxa"/>
              <w:right w:w="100" w:type="dxa"/>
            </w:tcMar>
            <w:vAlign w:val="center"/>
          </w:tcPr>
          <w:p w14:paraId="595DB9C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4.55 years</w:t>
            </w:r>
          </w:p>
        </w:tc>
        <w:tc>
          <w:tcPr>
            <w:tcW w:w="1250" w:type="pct"/>
            <w:tcMar>
              <w:top w:w="60" w:type="dxa"/>
              <w:left w:w="100" w:type="dxa"/>
              <w:bottom w:w="60" w:type="dxa"/>
              <w:right w:w="100" w:type="dxa"/>
            </w:tcMar>
            <w:vAlign w:val="center"/>
          </w:tcPr>
          <w:p w14:paraId="7BAE19CE"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3.60 years</w:t>
            </w:r>
          </w:p>
        </w:tc>
      </w:tr>
      <w:tr w:rsidR="00B05CC7" w:rsidRPr="00EE1B17" w14:paraId="1D2BC07D" w14:textId="77777777">
        <w:tc>
          <w:tcPr>
            <w:tcW w:w="1250" w:type="pct"/>
            <w:tcMar>
              <w:top w:w="60" w:type="dxa"/>
              <w:left w:w="100" w:type="dxa"/>
              <w:bottom w:w="60" w:type="dxa"/>
              <w:right w:w="100" w:type="dxa"/>
            </w:tcMar>
            <w:vAlign w:val="center"/>
          </w:tcPr>
          <w:p w14:paraId="46F18462"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ARR (average investment basis)</w:t>
            </w:r>
          </w:p>
        </w:tc>
        <w:tc>
          <w:tcPr>
            <w:tcW w:w="1250" w:type="pct"/>
            <w:tcMar>
              <w:top w:w="60" w:type="dxa"/>
              <w:left w:w="100" w:type="dxa"/>
              <w:bottom w:w="60" w:type="dxa"/>
              <w:right w:w="100" w:type="dxa"/>
            </w:tcMar>
            <w:vAlign w:val="center"/>
          </w:tcPr>
          <w:p w14:paraId="3A706F48"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3.20%</w:t>
            </w:r>
          </w:p>
        </w:tc>
        <w:tc>
          <w:tcPr>
            <w:tcW w:w="1250" w:type="pct"/>
            <w:tcMar>
              <w:top w:w="60" w:type="dxa"/>
              <w:left w:w="100" w:type="dxa"/>
              <w:bottom w:w="60" w:type="dxa"/>
              <w:right w:w="100" w:type="dxa"/>
            </w:tcMar>
            <w:vAlign w:val="center"/>
          </w:tcPr>
          <w:p w14:paraId="0669E22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4.00%</w:t>
            </w:r>
          </w:p>
        </w:tc>
        <w:tc>
          <w:tcPr>
            <w:tcW w:w="1250" w:type="pct"/>
            <w:tcMar>
              <w:top w:w="60" w:type="dxa"/>
              <w:left w:w="100" w:type="dxa"/>
              <w:bottom w:w="60" w:type="dxa"/>
              <w:right w:w="100" w:type="dxa"/>
            </w:tcMar>
            <w:vAlign w:val="center"/>
          </w:tcPr>
          <w:p w14:paraId="27164A4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8.00%</w:t>
            </w:r>
          </w:p>
        </w:tc>
      </w:tr>
      <w:tr w:rsidR="00B05CC7" w:rsidRPr="00EE1B17" w14:paraId="675458B3" w14:textId="77777777">
        <w:tc>
          <w:tcPr>
            <w:tcW w:w="1250" w:type="pct"/>
            <w:tcMar>
              <w:top w:w="60" w:type="dxa"/>
              <w:left w:w="100" w:type="dxa"/>
              <w:bottom w:w="60" w:type="dxa"/>
              <w:right w:w="100" w:type="dxa"/>
            </w:tcMar>
            <w:vAlign w:val="center"/>
          </w:tcPr>
          <w:p w14:paraId="32842E3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NPV @ 8%</w:t>
            </w:r>
          </w:p>
        </w:tc>
        <w:tc>
          <w:tcPr>
            <w:tcW w:w="1250" w:type="pct"/>
            <w:tcMar>
              <w:top w:w="60" w:type="dxa"/>
              <w:left w:w="100" w:type="dxa"/>
              <w:bottom w:w="60" w:type="dxa"/>
              <w:right w:w="100" w:type="dxa"/>
            </w:tcMar>
            <w:vAlign w:val="center"/>
          </w:tcPr>
          <w:p w14:paraId="13EDAD4E" w14:textId="7E3FF7D3" w:rsidR="00B05CC7" w:rsidRPr="00EE1B17" w:rsidRDefault="004D6758">
            <w:pPr>
              <w:jc w:val="center"/>
              <w:rPr>
                <w:rFonts w:ascii="Times New Roman" w:hAnsi="Times New Roman" w:cs="Times New Roman"/>
              </w:rPr>
            </w:pPr>
            <w:r>
              <w:rPr>
                <w:rFonts w:ascii="Times New Roman" w:hAnsi="Times New Roman" w:cs="Times New Roman"/>
                <w:color w:val="000000"/>
                <w:sz w:val="20"/>
                <w:szCs w:val="20"/>
              </w:rPr>
              <w:t>-</w:t>
            </w:r>
            <w:r w:rsidRPr="00EE1B17">
              <w:rPr>
                <w:rFonts w:ascii="Times New Roman" w:hAnsi="Times New Roman" w:cs="Times New Roman"/>
                <w:color w:val="000000"/>
                <w:sz w:val="20"/>
                <w:szCs w:val="20"/>
              </w:rPr>
              <w:t>£6.54m</w:t>
            </w:r>
          </w:p>
        </w:tc>
        <w:tc>
          <w:tcPr>
            <w:tcW w:w="1250" w:type="pct"/>
            <w:tcMar>
              <w:top w:w="60" w:type="dxa"/>
              <w:left w:w="100" w:type="dxa"/>
              <w:bottom w:w="60" w:type="dxa"/>
              <w:right w:w="100" w:type="dxa"/>
            </w:tcMar>
            <w:vAlign w:val="center"/>
          </w:tcPr>
          <w:p w14:paraId="201E3B17" w14:textId="3AC18B72" w:rsidR="00B05CC7" w:rsidRPr="00EE1B17" w:rsidRDefault="004D6758">
            <w:pPr>
              <w:jc w:val="center"/>
              <w:rPr>
                <w:rFonts w:ascii="Times New Roman" w:hAnsi="Times New Roman" w:cs="Times New Roman"/>
              </w:rPr>
            </w:pPr>
            <w:r>
              <w:rPr>
                <w:rFonts w:ascii="Times New Roman" w:hAnsi="Times New Roman" w:cs="Times New Roman"/>
                <w:color w:val="000000"/>
                <w:sz w:val="20"/>
                <w:szCs w:val="20"/>
              </w:rPr>
              <w:t>-</w:t>
            </w:r>
            <w:r w:rsidRPr="00EE1B17">
              <w:rPr>
                <w:rFonts w:ascii="Times New Roman" w:hAnsi="Times New Roman" w:cs="Times New Roman"/>
                <w:color w:val="000000"/>
                <w:sz w:val="20"/>
                <w:szCs w:val="20"/>
              </w:rPr>
              <w:t>£6.08m</w:t>
            </w:r>
          </w:p>
        </w:tc>
        <w:tc>
          <w:tcPr>
            <w:tcW w:w="1250" w:type="pct"/>
            <w:tcMar>
              <w:top w:w="60" w:type="dxa"/>
              <w:left w:w="100" w:type="dxa"/>
              <w:bottom w:w="60" w:type="dxa"/>
              <w:right w:w="100" w:type="dxa"/>
            </w:tcMar>
            <w:vAlign w:val="center"/>
          </w:tcPr>
          <w:p w14:paraId="42CDAC3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+£0.86m</w:t>
            </w:r>
          </w:p>
        </w:tc>
      </w:tr>
      <w:tr w:rsidR="00B05CC7" w:rsidRPr="00EE1B17" w14:paraId="4AC9B12F" w14:textId="77777777">
        <w:tc>
          <w:tcPr>
            <w:tcW w:w="1250" w:type="pct"/>
            <w:tcMar>
              <w:top w:w="60" w:type="dxa"/>
              <w:left w:w="100" w:type="dxa"/>
              <w:bottom w:w="60" w:type="dxa"/>
              <w:right w:w="100" w:type="dxa"/>
            </w:tcMar>
            <w:vAlign w:val="center"/>
          </w:tcPr>
          <w:p w14:paraId="29DBB700"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Profitability Index</w:t>
            </w:r>
          </w:p>
        </w:tc>
        <w:tc>
          <w:tcPr>
            <w:tcW w:w="1250" w:type="pct"/>
            <w:tcMar>
              <w:top w:w="60" w:type="dxa"/>
              <w:left w:w="100" w:type="dxa"/>
              <w:bottom w:w="60" w:type="dxa"/>
              <w:right w:w="100" w:type="dxa"/>
            </w:tcMar>
            <w:vAlign w:val="center"/>
          </w:tcPr>
          <w:p w14:paraId="6D084B0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0.87</w:t>
            </w:r>
          </w:p>
        </w:tc>
        <w:tc>
          <w:tcPr>
            <w:tcW w:w="1250" w:type="pct"/>
            <w:tcMar>
              <w:top w:w="60" w:type="dxa"/>
              <w:left w:w="100" w:type="dxa"/>
              <w:bottom w:w="60" w:type="dxa"/>
              <w:right w:w="100" w:type="dxa"/>
            </w:tcMar>
            <w:vAlign w:val="center"/>
          </w:tcPr>
          <w:p w14:paraId="7232FEB7"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0.88</w:t>
            </w:r>
          </w:p>
        </w:tc>
        <w:tc>
          <w:tcPr>
            <w:tcW w:w="1250" w:type="pct"/>
            <w:tcMar>
              <w:top w:w="60" w:type="dxa"/>
              <w:left w:w="100" w:type="dxa"/>
              <w:bottom w:w="60" w:type="dxa"/>
              <w:right w:w="100" w:type="dxa"/>
            </w:tcMar>
            <w:vAlign w:val="center"/>
          </w:tcPr>
          <w:p w14:paraId="2962B51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1.02</w:t>
            </w:r>
          </w:p>
        </w:tc>
      </w:tr>
      <w:tr w:rsidR="00B05CC7" w:rsidRPr="00EE1B17" w14:paraId="5B8DF32F" w14:textId="77777777">
        <w:tc>
          <w:tcPr>
            <w:tcW w:w="1250" w:type="pct"/>
            <w:tcMar>
              <w:top w:w="60" w:type="dxa"/>
              <w:left w:w="100" w:type="dxa"/>
              <w:bottom w:w="60" w:type="dxa"/>
              <w:right w:w="100" w:type="dxa"/>
            </w:tcMar>
            <w:vAlign w:val="center"/>
          </w:tcPr>
          <w:p w14:paraId="369F27A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IRR</w:t>
            </w:r>
          </w:p>
        </w:tc>
        <w:tc>
          <w:tcPr>
            <w:tcW w:w="1250" w:type="pct"/>
            <w:tcMar>
              <w:top w:w="60" w:type="dxa"/>
              <w:left w:w="100" w:type="dxa"/>
              <w:bottom w:w="60" w:type="dxa"/>
              <w:right w:w="100" w:type="dxa"/>
            </w:tcMar>
            <w:vAlign w:val="center"/>
          </w:tcPr>
          <w:p w14:paraId="12C0E16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2.66%</w:t>
            </w:r>
          </w:p>
        </w:tc>
        <w:tc>
          <w:tcPr>
            <w:tcW w:w="1250" w:type="pct"/>
            <w:tcMar>
              <w:top w:w="60" w:type="dxa"/>
              <w:left w:w="100" w:type="dxa"/>
              <w:bottom w:w="60" w:type="dxa"/>
              <w:right w:w="100" w:type="dxa"/>
            </w:tcMar>
            <w:vAlign w:val="center"/>
          </w:tcPr>
          <w:p w14:paraId="0C93D49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3.26%</w:t>
            </w:r>
          </w:p>
        </w:tc>
        <w:tc>
          <w:tcPr>
            <w:tcW w:w="1250" w:type="pct"/>
            <w:tcMar>
              <w:top w:w="60" w:type="dxa"/>
              <w:left w:w="100" w:type="dxa"/>
              <w:bottom w:w="60" w:type="dxa"/>
              <w:right w:w="100" w:type="dxa"/>
            </w:tcMar>
            <w:vAlign w:val="center"/>
          </w:tcPr>
          <w:p w14:paraId="1E4F196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8.63%</w:t>
            </w:r>
          </w:p>
        </w:tc>
      </w:tr>
    </w:tbl>
    <w:p w14:paraId="6FB73474" w14:textId="15D5F7C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On every discounted measure, Project C is the only </w:t>
      </w:r>
      <w:r w:rsidR="004D6758" w:rsidRPr="00EE1B17">
        <w:rPr>
          <w:rFonts w:ascii="Times New Roman" w:hAnsi="Times New Roman" w:cs="Times New Roman"/>
        </w:rPr>
        <w:t>value creating</w:t>
      </w:r>
      <w:r w:rsidRPr="00EE1B17">
        <w:rPr>
          <w:rFonts w:ascii="Times New Roman" w:hAnsi="Times New Roman" w:cs="Times New Roman"/>
        </w:rPr>
        <w:t xml:space="preserve"> option. It is the sole project with a positive net present value, a profitability index above 1.0, and an internal rate of return that clears the 8% hurdle rate; Projects A and B destroy value at Compass's cost of capital despite generating positive undiscounted cash flows. The scale of </w:t>
      </w:r>
      <w:r w:rsidR="004D6758" w:rsidRPr="00EE1B17">
        <w:rPr>
          <w:rFonts w:ascii="Times New Roman" w:hAnsi="Times New Roman" w:cs="Times New Roman"/>
        </w:rPr>
        <w:t>these matters</w:t>
      </w:r>
      <w:r w:rsidRPr="00EE1B17">
        <w:rPr>
          <w:rFonts w:ascii="Times New Roman" w:hAnsi="Times New Roman" w:cs="Times New Roman"/>
        </w:rPr>
        <w:t xml:space="preserve"> for how the appraisal should be read: on an undiscounted basis, Project B looks attractive (the highest total inflow, £55m against a £50m outlay), and on a payback basis Projects A and B appear only marginally worse than Project C. Once cash flows are discounted at 8%, however, both Project A and Project B destroy shareholder value by a similar magnitude (</w:t>
      </w:r>
      <w:r w:rsidR="004D6758">
        <w:rPr>
          <w:rFonts w:ascii="Times New Roman" w:hAnsi="Times New Roman" w:cs="Times New Roman"/>
        </w:rPr>
        <w:t>-</w:t>
      </w:r>
      <w:r w:rsidRPr="00EE1B17">
        <w:rPr>
          <w:rFonts w:ascii="Times New Roman" w:hAnsi="Times New Roman" w:cs="Times New Roman"/>
        </w:rPr>
        <w:t xml:space="preserve">£6.54m and </w:t>
      </w:r>
      <w:r w:rsidR="004D6758">
        <w:rPr>
          <w:rFonts w:ascii="Times New Roman" w:hAnsi="Times New Roman" w:cs="Times New Roman"/>
        </w:rPr>
        <w:t>-</w:t>
      </w:r>
      <w:r w:rsidRPr="00EE1B17">
        <w:rPr>
          <w:rFonts w:ascii="Times New Roman" w:hAnsi="Times New Roman" w:cs="Times New Roman"/>
        </w:rPr>
        <w:t xml:space="preserve">£6.08m NPV respectively), while only Project C is </w:t>
      </w:r>
      <w:r w:rsidR="004D6758" w:rsidRPr="00EE1B17">
        <w:rPr>
          <w:rFonts w:ascii="Times New Roman" w:hAnsi="Times New Roman" w:cs="Times New Roman"/>
        </w:rPr>
        <w:t>value</w:t>
      </w:r>
      <w:r w:rsidR="004D6758">
        <w:rPr>
          <w:rFonts w:ascii="Times New Roman" w:hAnsi="Times New Roman" w:cs="Times New Roman"/>
        </w:rPr>
        <w:t xml:space="preserve"> accretive</w:t>
      </w:r>
      <w:r w:rsidRPr="00EE1B17">
        <w:rPr>
          <w:rFonts w:ascii="Times New Roman" w:hAnsi="Times New Roman" w:cs="Times New Roman"/>
        </w:rPr>
        <w:t xml:space="preserve"> (+£0.86m). This divergence illustrates a </w:t>
      </w:r>
      <w:r w:rsidR="004D6758" w:rsidRPr="00EE1B17">
        <w:rPr>
          <w:rFonts w:ascii="Times New Roman" w:hAnsi="Times New Roman" w:cs="Times New Roman"/>
        </w:rPr>
        <w:t>well</w:t>
      </w:r>
      <w:r w:rsidR="004D6758">
        <w:rPr>
          <w:rFonts w:ascii="Times New Roman" w:hAnsi="Times New Roman" w:cs="Times New Roman"/>
        </w:rPr>
        <w:t>-</w:t>
      </w:r>
      <w:r w:rsidR="004D6758" w:rsidRPr="00EE1B17">
        <w:rPr>
          <w:rFonts w:ascii="Times New Roman" w:hAnsi="Times New Roman" w:cs="Times New Roman"/>
        </w:rPr>
        <w:t>documented</w:t>
      </w:r>
      <w:r w:rsidRPr="00EE1B17">
        <w:rPr>
          <w:rFonts w:ascii="Times New Roman" w:hAnsi="Times New Roman" w:cs="Times New Roman"/>
        </w:rPr>
        <w:t xml:space="preserve"> limitation of </w:t>
      </w:r>
      <w:r w:rsidR="004D6758" w:rsidRPr="00EE1B17">
        <w:rPr>
          <w:rFonts w:ascii="Times New Roman" w:hAnsi="Times New Roman" w:cs="Times New Roman"/>
        </w:rPr>
        <w:t>no discounted</w:t>
      </w:r>
      <w:r w:rsidRPr="00EE1B17">
        <w:rPr>
          <w:rFonts w:ascii="Times New Roman" w:hAnsi="Times New Roman" w:cs="Times New Roman"/>
        </w:rPr>
        <w:t xml:space="preserve"> appraisal methods: payback period ignores the time value of money and any cash flows beyond the cutoff point, while accounting rate of return is based on accounting profit rather than cash flow, so neither can be relied upon in isolation for capital budgeting decisions (Pike, Neale and Linsley, 2018). Graham and Harvey's (2001) survey of US chief financial officers found that NPV and IRR are now the most widely used primary appraisal techniques in practice, with payback retained mainly as a secondary liquidity screen a legitimate supplementary role, but not one that should be allowed to override the NPV ranking, which is the risk an uncorrected reading of this appraisal would have created.</w:t>
      </w:r>
    </w:p>
    <w:p w14:paraId="626432EF" w14:textId="77777777" w:rsidR="00B05CC7" w:rsidRPr="00EE1B17" w:rsidRDefault="00000000">
      <w:pPr>
        <w:spacing w:before="120" w:after="200"/>
        <w:jc w:val="center"/>
        <w:rPr>
          <w:rFonts w:ascii="Times New Roman" w:hAnsi="Times New Roman" w:cs="Times New Roman"/>
        </w:rPr>
      </w:pPr>
      <w:r w:rsidRPr="00EE1B17">
        <w:rPr>
          <w:rFonts w:ascii="Times New Roman" w:hAnsi="Times New Roman" w:cs="Times New Roman"/>
          <w:noProof/>
        </w:rPr>
        <w:drawing>
          <wp:inline distT="0" distB="0" distL="0" distR="0" wp14:anchorId="14D10A5B" wp14:editId="286626BC">
            <wp:extent cx="5052060" cy="2962275"/>
            <wp:effectExtent l="0" t="0" r="0" b="9525"/>
            <wp:docPr id="1175828135" name="Picture 1175828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052060" cy="2962275"/>
                    </a:xfrm>
                    <a:prstGeom prst="rect">
                      <a:avLst/>
                    </a:prstGeom>
                  </pic:spPr>
                </pic:pic>
              </a:graphicData>
            </a:graphic>
          </wp:inline>
        </w:drawing>
      </w:r>
    </w:p>
    <w:p w14:paraId="3902F123" w14:textId="105C4051"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Two methodological points are worth making explicit, since the first submission of this appraisal was marked down for exactly this kind of unstated assumption. First, all three projects are appraised on a comparable, </w:t>
      </w:r>
      <w:r w:rsidRPr="00EE1B17">
        <w:rPr>
          <w:rFonts w:ascii="Times New Roman" w:hAnsi="Times New Roman" w:cs="Times New Roman"/>
        </w:rPr>
        <w:lastRenderedPageBreak/>
        <w:t>straight</w:t>
      </w:r>
      <w:r w:rsidR="004D6758">
        <w:rPr>
          <w:rFonts w:ascii="Times New Roman" w:hAnsi="Times New Roman" w:cs="Times New Roman"/>
        </w:rPr>
        <w:t xml:space="preserve"> </w:t>
      </w:r>
      <w:r w:rsidRPr="00EE1B17">
        <w:rPr>
          <w:rFonts w:ascii="Times New Roman" w:hAnsi="Times New Roman" w:cs="Times New Roman"/>
        </w:rPr>
        <w:t>line depreciation basis purely because the ARR calculation requires an accounting profit figure; depreciation has no cash effect and does not enter the NPV, PI, IRR or payback calculations, which are all based on the cash flows shown in Table 3. Second, the 8% discount rate is treated as Compass's weighted average cost of capital for this appraisal; it is materially higher than the Group's cost of debt alone (implied by its investment</w:t>
      </w:r>
      <w:r w:rsidR="004D6758">
        <w:rPr>
          <w:rFonts w:ascii="Times New Roman" w:hAnsi="Times New Roman" w:cs="Times New Roman"/>
        </w:rPr>
        <w:t xml:space="preserve"> </w:t>
      </w:r>
      <w:r w:rsidRPr="00EE1B17">
        <w:rPr>
          <w:rFonts w:ascii="Times New Roman" w:hAnsi="Times New Roman" w:cs="Times New Roman"/>
        </w:rPr>
        <w:t>grade rating and 1.42x leverage), reflecting the additional required return on the equity</w:t>
      </w:r>
      <w:r w:rsidR="004D6758">
        <w:rPr>
          <w:rFonts w:ascii="Times New Roman" w:hAnsi="Times New Roman" w:cs="Times New Roman"/>
        </w:rPr>
        <w:t xml:space="preserve"> </w:t>
      </w:r>
      <w:r w:rsidRPr="00EE1B17">
        <w:rPr>
          <w:rFonts w:ascii="Times New Roman" w:hAnsi="Times New Roman" w:cs="Times New Roman"/>
        </w:rPr>
        <w:t>funded portion of capital, and the NPV outcome for Projects A and B would remain negative under any discount rate assumption within a plausible range of Compass's actual cost of capital.</w:t>
      </w:r>
    </w:p>
    <w:p w14:paraId="40E99E49" w14:textId="77777777" w:rsidR="00B05CC7" w:rsidRPr="00EE1B17" w:rsidRDefault="00000000">
      <w:pPr>
        <w:pStyle w:val="Heading2"/>
        <w:rPr>
          <w:rFonts w:ascii="Times New Roman" w:hAnsi="Times New Roman" w:cs="Times New Roman"/>
        </w:rPr>
      </w:pPr>
      <w:bookmarkStart w:id="20" w:name="_Toc237444793"/>
      <w:r w:rsidRPr="00EE1B17">
        <w:rPr>
          <w:rFonts w:ascii="Times New Roman" w:hAnsi="Times New Roman" w:cs="Times New Roman"/>
        </w:rPr>
        <w:t>Recommendation and Risk Discussion</w:t>
      </w:r>
      <w:bookmarkEnd w:id="20"/>
    </w:p>
    <w:p w14:paraId="5D6A36CD" w14:textId="668FFFBE"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Financial justification: given Compass's disciplined history of capital allocation, strong free cash flow conversion, investment</w:t>
      </w:r>
      <w:r w:rsidR="004D6758">
        <w:rPr>
          <w:rFonts w:ascii="Times New Roman" w:hAnsi="Times New Roman" w:cs="Times New Roman"/>
        </w:rPr>
        <w:t xml:space="preserve"> </w:t>
      </w:r>
      <w:r w:rsidRPr="00EE1B17">
        <w:rPr>
          <w:rFonts w:ascii="Times New Roman" w:hAnsi="Times New Roman" w:cs="Times New Roman"/>
        </w:rPr>
        <w:t xml:space="preserve">grade rating and successful </w:t>
      </w:r>
      <w:r w:rsidR="004D6758" w:rsidRPr="00EE1B17">
        <w:rPr>
          <w:rFonts w:ascii="Times New Roman" w:hAnsi="Times New Roman" w:cs="Times New Roman"/>
        </w:rPr>
        <w:t>Bolton</w:t>
      </w:r>
      <w:r w:rsidRPr="00EE1B17">
        <w:rPr>
          <w:rFonts w:ascii="Times New Roman" w:hAnsi="Times New Roman" w:cs="Times New Roman"/>
        </w:rPr>
        <w:t xml:space="preserve"> M&amp;A track record</w:t>
      </w:r>
      <w:r w:rsidR="000F513E">
        <w:rPr>
          <w:rFonts w:ascii="Times New Roman" w:hAnsi="Times New Roman" w:cs="Times New Roman"/>
        </w:rPr>
        <w:t xml:space="preserve"> </w:t>
      </w:r>
      <w:r w:rsidR="000F513E" w:rsidRPr="000F513E">
        <w:rPr>
          <w:rFonts w:ascii="Times New Roman" w:hAnsi="Times New Roman" w:cs="Times New Roman"/>
        </w:rPr>
        <w:t>(Compass Group plc, 2024, 2025)</w:t>
      </w:r>
      <w:r w:rsidRPr="00EE1B17">
        <w:rPr>
          <w:rFonts w:ascii="Times New Roman" w:hAnsi="Times New Roman" w:cs="Times New Roman"/>
        </w:rPr>
        <w:t>, Project C is the only initiative aligned with maximising shareholder value; committing £50m to a project with a negative NPV would contradict the Group's own strategic logic.</w:t>
      </w:r>
    </w:p>
    <w:p w14:paraId="4EC53FF9" w14:textId="5E052EC7"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Nonfinancial risk considerations: Project C's cash flow profile (£5m, £10m, £20m, £25m, £5m) is considerably more volatile than Project B's flat £11m annuity or Project A's gradual decline, and this volatility may signal political or regulatory risk (contract renewals, tariff changes, policy shifts) or customer</w:t>
      </w:r>
      <w:r w:rsidR="004D6758">
        <w:rPr>
          <w:rFonts w:ascii="Times New Roman" w:hAnsi="Times New Roman" w:cs="Times New Roman"/>
        </w:rPr>
        <w:t xml:space="preserve"> </w:t>
      </w:r>
      <w:r w:rsidRPr="00EE1B17">
        <w:rPr>
          <w:rFonts w:ascii="Times New Roman" w:hAnsi="Times New Roman" w:cs="Times New Roman"/>
        </w:rPr>
        <w:t xml:space="preserve">concentration risk around a single anchor client whose contract appears to conclude at the end of the appraisal period. Project B's stable, flat cash flow instead suggests a </w:t>
      </w:r>
      <w:r w:rsidR="004D6758" w:rsidRPr="00EE1B17">
        <w:rPr>
          <w:rFonts w:ascii="Times New Roman" w:hAnsi="Times New Roman" w:cs="Times New Roman"/>
        </w:rPr>
        <w:t>long-term</w:t>
      </w:r>
      <w:r w:rsidRPr="00EE1B17">
        <w:rPr>
          <w:rFonts w:ascii="Times New Roman" w:hAnsi="Times New Roman" w:cs="Times New Roman"/>
        </w:rPr>
        <w:t xml:space="preserve"> institutional contract, but its return does not clear the required threshold regardless of its stability. Given the narrow £0.86m margin of safety on a £50m </w:t>
      </w:r>
      <w:r w:rsidR="004D6758" w:rsidRPr="00EE1B17">
        <w:rPr>
          <w:rFonts w:ascii="Times New Roman" w:hAnsi="Times New Roman" w:cs="Times New Roman"/>
        </w:rPr>
        <w:t xml:space="preserve">commitment </w:t>
      </w:r>
      <w:r w:rsidR="004D6758">
        <w:rPr>
          <w:rFonts w:ascii="Times New Roman" w:hAnsi="Times New Roman" w:cs="Times New Roman"/>
        </w:rPr>
        <w:t>under</w:t>
      </w:r>
      <w:r w:rsidRPr="00EE1B17">
        <w:rPr>
          <w:rFonts w:ascii="Times New Roman" w:hAnsi="Times New Roman" w:cs="Times New Roman"/>
        </w:rPr>
        <w:t xml:space="preserve"> 2% of the initial outlay the Board should </w:t>
      </w:r>
      <w:r w:rsidR="004D6758" w:rsidRPr="00EE1B17">
        <w:rPr>
          <w:rFonts w:ascii="Times New Roman" w:hAnsi="Times New Roman" w:cs="Times New Roman"/>
        </w:rPr>
        <w:t>stress test</w:t>
      </w:r>
      <w:r w:rsidRPr="00EE1B17">
        <w:rPr>
          <w:rFonts w:ascii="Times New Roman" w:hAnsi="Times New Roman" w:cs="Times New Roman"/>
        </w:rPr>
        <w:t xml:space="preserve"> Project C's </w:t>
      </w:r>
      <w:r w:rsidR="004D6758">
        <w:rPr>
          <w:rFonts w:ascii="Times New Roman" w:hAnsi="Times New Roman" w:cs="Times New Roman"/>
        </w:rPr>
        <w:t>Ye</w:t>
      </w:r>
      <w:r w:rsidRPr="00EE1B17">
        <w:rPr>
          <w:rFonts w:ascii="Times New Roman" w:hAnsi="Times New Roman" w:cs="Times New Roman"/>
        </w:rPr>
        <w:t xml:space="preserve">ar 4 and Year 5 cash flow assumptions and explore contractual safeguards, such as renewal options or minimum revenue guarantees, and run a </w:t>
      </w:r>
      <w:r w:rsidR="004D6758" w:rsidRPr="00EE1B17">
        <w:rPr>
          <w:rFonts w:ascii="Times New Roman" w:hAnsi="Times New Roman" w:cs="Times New Roman"/>
        </w:rPr>
        <w:t>discount rate</w:t>
      </w:r>
      <w:r w:rsidRPr="00EE1B17">
        <w:rPr>
          <w:rFonts w:ascii="Times New Roman" w:hAnsi="Times New Roman" w:cs="Times New Roman"/>
        </w:rPr>
        <w:t xml:space="preserve"> sensitivity check before final approval.</w:t>
      </w:r>
    </w:p>
    <w:p w14:paraId="003403B6" w14:textId="02C40FEB" w:rsidR="00B05CC7" w:rsidRPr="00EE1B17" w:rsidRDefault="00000000">
      <w:pPr>
        <w:pStyle w:val="Heading2"/>
        <w:rPr>
          <w:rFonts w:ascii="Times New Roman" w:hAnsi="Times New Roman" w:cs="Times New Roman"/>
        </w:rPr>
      </w:pPr>
      <w:bookmarkStart w:id="21" w:name="_Toc237444794"/>
      <w:r w:rsidRPr="00EE1B17">
        <w:rPr>
          <w:rFonts w:ascii="Times New Roman" w:hAnsi="Times New Roman" w:cs="Times New Roman"/>
        </w:rPr>
        <w:t>Capital Rationing (Maximum £100m Available)</w:t>
      </w:r>
      <w:bookmarkEnd w:id="21"/>
      <w:r w:rsidRPr="00EE1B17">
        <w:rPr>
          <w:rFonts w:ascii="Times New Roman" w:hAnsi="Times New Roman" w:cs="Times New Roman"/>
        </w:rPr>
        <w:t xml:space="preserve"> </w:t>
      </w:r>
    </w:p>
    <w:p w14:paraId="667EFED5" w14:textId="0DD8508F" w:rsidR="00B05CC7" w:rsidRPr="00EE1B17" w:rsidRDefault="00000000">
      <w:pPr>
        <w:spacing w:before="120" w:after="60"/>
        <w:rPr>
          <w:rFonts w:ascii="Times New Roman" w:hAnsi="Times New Roman" w:cs="Times New Roman"/>
        </w:rPr>
      </w:pPr>
      <w:r w:rsidRPr="00EE1B17">
        <w:rPr>
          <w:rFonts w:ascii="Times New Roman" w:hAnsi="Times New Roman" w:cs="Times New Roman"/>
          <w:b/>
          <w:bCs/>
          <w:sz w:val="20"/>
          <w:szCs w:val="20"/>
        </w:rPr>
        <w:t xml:space="preserve">Table 5: Capital Rationing Analysis  £100m Budget Constraint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9"/>
        <w:gridCol w:w="3209"/>
        <w:gridCol w:w="3210"/>
      </w:tblGrid>
      <w:tr w:rsidR="00B05CC7" w:rsidRPr="00EE1B17" w14:paraId="1EA60B59" w14:textId="77777777">
        <w:trPr>
          <w:tblHeader/>
        </w:trPr>
        <w:tc>
          <w:tcPr>
            <w:tcW w:w="1650" w:type="pct"/>
            <w:shd w:val="clear" w:color="auto" w:fill="1F3864"/>
            <w:tcMar>
              <w:top w:w="60" w:type="dxa"/>
              <w:left w:w="100" w:type="dxa"/>
              <w:bottom w:w="60" w:type="dxa"/>
              <w:right w:w="100" w:type="dxa"/>
            </w:tcMar>
            <w:vAlign w:val="center"/>
          </w:tcPr>
          <w:p w14:paraId="3103278B"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Combination</w:t>
            </w:r>
          </w:p>
        </w:tc>
        <w:tc>
          <w:tcPr>
            <w:tcW w:w="1650" w:type="pct"/>
            <w:shd w:val="clear" w:color="auto" w:fill="1F3864"/>
            <w:tcMar>
              <w:top w:w="60" w:type="dxa"/>
              <w:left w:w="100" w:type="dxa"/>
              <w:bottom w:w="60" w:type="dxa"/>
              <w:right w:w="100" w:type="dxa"/>
            </w:tcMar>
            <w:vAlign w:val="center"/>
          </w:tcPr>
          <w:p w14:paraId="6110D284"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Combined Outlay</w:t>
            </w:r>
          </w:p>
        </w:tc>
        <w:tc>
          <w:tcPr>
            <w:tcW w:w="1650" w:type="pct"/>
            <w:shd w:val="clear" w:color="auto" w:fill="1F3864"/>
            <w:tcMar>
              <w:top w:w="60" w:type="dxa"/>
              <w:left w:w="100" w:type="dxa"/>
              <w:bottom w:w="60" w:type="dxa"/>
              <w:right w:w="100" w:type="dxa"/>
            </w:tcMar>
            <w:vAlign w:val="center"/>
          </w:tcPr>
          <w:p w14:paraId="5D68F5AE"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Combined NPV</w:t>
            </w:r>
          </w:p>
        </w:tc>
      </w:tr>
      <w:tr w:rsidR="00B05CC7" w:rsidRPr="00EE1B17" w14:paraId="085BD398" w14:textId="77777777">
        <w:tc>
          <w:tcPr>
            <w:tcW w:w="1650" w:type="pct"/>
            <w:tcMar>
              <w:top w:w="60" w:type="dxa"/>
              <w:left w:w="100" w:type="dxa"/>
              <w:bottom w:w="60" w:type="dxa"/>
              <w:right w:w="100" w:type="dxa"/>
            </w:tcMar>
            <w:vAlign w:val="center"/>
          </w:tcPr>
          <w:p w14:paraId="630E27D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A + B</w:t>
            </w:r>
          </w:p>
        </w:tc>
        <w:tc>
          <w:tcPr>
            <w:tcW w:w="1650" w:type="pct"/>
            <w:tcMar>
              <w:top w:w="60" w:type="dxa"/>
              <w:left w:w="100" w:type="dxa"/>
              <w:bottom w:w="60" w:type="dxa"/>
              <w:right w:w="100" w:type="dxa"/>
            </w:tcMar>
            <w:vAlign w:val="center"/>
          </w:tcPr>
          <w:p w14:paraId="311AC95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£100m</w:t>
            </w:r>
          </w:p>
        </w:tc>
        <w:tc>
          <w:tcPr>
            <w:tcW w:w="1650" w:type="pct"/>
            <w:tcMar>
              <w:top w:w="60" w:type="dxa"/>
              <w:left w:w="100" w:type="dxa"/>
              <w:bottom w:w="60" w:type="dxa"/>
              <w:right w:w="100" w:type="dxa"/>
            </w:tcMar>
            <w:vAlign w:val="center"/>
          </w:tcPr>
          <w:p w14:paraId="6BAA8922" w14:textId="33545F43" w:rsidR="00B05CC7" w:rsidRPr="00EE1B17" w:rsidRDefault="004D6758">
            <w:pPr>
              <w:jc w:val="center"/>
              <w:rPr>
                <w:rFonts w:ascii="Times New Roman" w:hAnsi="Times New Roman" w:cs="Times New Roman"/>
              </w:rPr>
            </w:pPr>
            <w:r>
              <w:rPr>
                <w:rFonts w:ascii="Times New Roman" w:hAnsi="Times New Roman" w:cs="Times New Roman"/>
                <w:color w:val="000000"/>
                <w:sz w:val="20"/>
                <w:szCs w:val="20"/>
              </w:rPr>
              <w:t>-</w:t>
            </w:r>
            <w:r w:rsidRPr="00EE1B17">
              <w:rPr>
                <w:rFonts w:ascii="Times New Roman" w:hAnsi="Times New Roman" w:cs="Times New Roman"/>
                <w:color w:val="000000"/>
                <w:sz w:val="20"/>
                <w:szCs w:val="20"/>
              </w:rPr>
              <w:t>£12.62m</w:t>
            </w:r>
          </w:p>
        </w:tc>
      </w:tr>
      <w:tr w:rsidR="00B05CC7" w:rsidRPr="00EE1B17" w14:paraId="47410DF5" w14:textId="77777777">
        <w:tc>
          <w:tcPr>
            <w:tcW w:w="1650" w:type="pct"/>
            <w:tcMar>
              <w:top w:w="60" w:type="dxa"/>
              <w:left w:w="100" w:type="dxa"/>
              <w:bottom w:w="60" w:type="dxa"/>
              <w:right w:w="100" w:type="dxa"/>
            </w:tcMar>
            <w:vAlign w:val="center"/>
          </w:tcPr>
          <w:p w14:paraId="45D1139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A + C</w:t>
            </w:r>
          </w:p>
        </w:tc>
        <w:tc>
          <w:tcPr>
            <w:tcW w:w="1650" w:type="pct"/>
            <w:tcMar>
              <w:top w:w="60" w:type="dxa"/>
              <w:left w:w="100" w:type="dxa"/>
              <w:bottom w:w="60" w:type="dxa"/>
              <w:right w:w="100" w:type="dxa"/>
            </w:tcMar>
            <w:vAlign w:val="center"/>
          </w:tcPr>
          <w:p w14:paraId="00EA13A7"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£100m</w:t>
            </w:r>
          </w:p>
        </w:tc>
        <w:tc>
          <w:tcPr>
            <w:tcW w:w="1650" w:type="pct"/>
            <w:tcMar>
              <w:top w:w="60" w:type="dxa"/>
              <w:left w:w="100" w:type="dxa"/>
              <w:bottom w:w="60" w:type="dxa"/>
              <w:right w:w="100" w:type="dxa"/>
            </w:tcMar>
            <w:vAlign w:val="center"/>
          </w:tcPr>
          <w:p w14:paraId="2F00A830" w14:textId="4FF1A924" w:rsidR="00B05CC7" w:rsidRPr="00EE1B17" w:rsidRDefault="004D6758">
            <w:pPr>
              <w:jc w:val="center"/>
              <w:rPr>
                <w:rFonts w:ascii="Times New Roman" w:hAnsi="Times New Roman" w:cs="Times New Roman"/>
              </w:rPr>
            </w:pPr>
            <w:r>
              <w:rPr>
                <w:rFonts w:ascii="Times New Roman" w:hAnsi="Times New Roman" w:cs="Times New Roman"/>
                <w:color w:val="000000"/>
                <w:sz w:val="20"/>
                <w:szCs w:val="20"/>
              </w:rPr>
              <w:t>-</w:t>
            </w:r>
            <w:r w:rsidRPr="00EE1B17">
              <w:rPr>
                <w:rFonts w:ascii="Times New Roman" w:hAnsi="Times New Roman" w:cs="Times New Roman"/>
                <w:color w:val="000000"/>
                <w:sz w:val="20"/>
                <w:szCs w:val="20"/>
              </w:rPr>
              <w:t>£5.68m</w:t>
            </w:r>
          </w:p>
        </w:tc>
      </w:tr>
      <w:tr w:rsidR="00B05CC7" w:rsidRPr="00EE1B17" w14:paraId="4A602D89" w14:textId="77777777">
        <w:tc>
          <w:tcPr>
            <w:tcW w:w="1650" w:type="pct"/>
            <w:tcMar>
              <w:top w:w="60" w:type="dxa"/>
              <w:left w:w="100" w:type="dxa"/>
              <w:bottom w:w="60" w:type="dxa"/>
              <w:right w:w="100" w:type="dxa"/>
            </w:tcMar>
            <w:vAlign w:val="center"/>
          </w:tcPr>
          <w:p w14:paraId="25C1512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B + C</w:t>
            </w:r>
          </w:p>
        </w:tc>
        <w:tc>
          <w:tcPr>
            <w:tcW w:w="1650" w:type="pct"/>
            <w:tcMar>
              <w:top w:w="60" w:type="dxa"/>
              <w:left w:w="100" w:type="dxa"/>
              <w:bottom w:w="60" w:type="dxa"/>
              <w:right w:w="100" w:type="dxa"/>
            </w:tcMar>
            <w:vAlign w:val="center"/>
          </w:tcPr>
          <w:p w14:paraId="0452F89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£100m</w:t>
            </w:r>
          </w:p>
        </w:tc>
        <w:tc>
          <w:tcPr>
            <w:tcW w:w="1650" w:type="pct"/>
            <w:tcMar>
              <w:top w:w="60" w:type="dxa"/>
              <w:left w:w="100" w:type="dxa"/>
              <w:bottom w:w="60" w:type="dxa"/>
              <w:right w:w="100" w:type="dxa"/>
            </w:tcMar>
            <w:vAlign w:val="center"/>
          </w:tcPr>
          <w:p w14:paraId="7E16C3BD" w14:textId="6E056355" w:rsidR="00B05CC7" w:rsidRPr="00EE1B17" w:rsidRDefault="004D6758">
            <w:pPr>
              <w:jc w:val="center"/>
              <w:rPr>
                <w:rFonts w:ascii="Times New Roman" w:hAnsi="Times New Roman" w:cs="Times New Roman"/>
              </w:rPr>
            </w:pPr>
            <w:r>
              <w:rPr>
                <w:rFonts w:ascii="Times New Roman" w:hAnsi="Times New Roman" w:cs="Times New Roman"/>
                <w:color w:val="000000"/>
                <w:sz w:val="20"/>
                <w:szCs w:val="20"/>
              </w:rPr>
              <w:t>-</w:t>
            </w:r>
            <w:r w:rsidRPr="00EE1B17">
              <w:rPr>
                <w:rFonts w:ascii="Times New Roman" w:hAnsi="Times New Roman" w:cs="Times New Roman"/>
                <w:color w:val="000000"/>
                <w:sz w:val="20"/>
                <w:szCs w:val="20"/>
              </w:rPr>
              <w:t>£5.22m</w:t>
            </w:r>
          </w:p>
        </w:tc>
      </w:tr>
      <w:tr w:rsidR="00B05CC7" w:rsidRPr="00EE1B17" w14:paraId="3097A035" w14:textId="77777777">
        <w:tc>
          <w:tcPr>
            <w:tcW w:w="1650" w:type="pct"/>
            <w:tcMar>
              <w:top w:w="60" w:type="dxa"/>
              <w:left w:w="100" w:type="dxa"/>
              <w:bottom w:w="60" w:type="dxa"/>
              <w:right w:w="100" w:type="dxa"/>
            </w:tcMar>
            <w:vAlign w:val="center"/>
          </w:tcPr>
          <w:p w14:paraId="66BFAE9E"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C only (£50m unused)</w:t>
            </w:r>
          </w:p>
        </w:tc>
        <w:tc>
          <w:tcPr>
            <w:tcW w:w="1650" w:type="pct"/>
            <w:tcMar>
              <w:top w:w="60" w:type="dxa"/>
              <w:left w:w="100" w:type="dxa"/>
              <w:bottom w:w="60" w:type="dxa"/>
              <w:right w:w="100" w:type="dxa"/>
            </w:tcMar>
            <w:vAlign w:val="center"/>
          </w:tcPr>
          <w:p w14:paraId="629AD909"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£50m</w:t>
            </w:r>
          </w:p>
        </w:tc>
        <w:tc>
          <w:tcPr>
            <w:tcW w:w="1650" w:type="pct"/>
            <w:tcMar>
              <w:top w:w="60" w:type="dxa"/>
              <w:left w:w="100" w:type="dxa"/>
              <w:bottom w:w="60" w:type="dxa"/>
              <w:right w:w="100" w:type="dxa"/>
            </w:tcMar>
            <w:vAlign w:val="center"/>
          </w:tcPr>
          <w:p w14:paraId="69850ED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+£0.86m (optimal)</w:t>
            </w:r>
          </w:p>
        </w:tc>
      </w:tr>
    </w:tbl>
    <w:p w14:paraId="43E9D105" w14:textId="57D46115"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Ranking projects by profitability index the standard approach to capital rationing when several positive</w:t>
      </w:r>
      <w:r w:rsidR="004D6758">
        <w:rPr>
          <w:rFonts w:ascii="Times New Roman" w:hAnsi="Times New Roman" w:cs="Times New Roman"/>
        </w:rPr>
        <w:t xml:space="preserve"> </w:t>
      </w:r>
      <w:r w:rsidRPr="00EE1B17">
        <w:rPr>
          <w:rFonts w:ascii="Times New Roman" w:hAnsi="Times New Roman" w:cs="Times New Roman"/>
        </w:rPr>
        <w:t xml:space="preserve">NPV projects compete for a limited budget (Lorie and Savage, 1955) places Project C first, Project B second and Project A third. It would, however, be a misapplication of that method to conclude that Compass should therefore commit the full £100m budget by pairing Project C with Project B: because Project C is the only project with a positive standalone NPV, every combination that includes Project A or Project B produces a negative combined NPV </w:t>
      </w:r>
      <w:r w:rsidR="004D6758">
        <w:rPr>
          <w:rFonts w:ascii="Times New Roman" w:hAnsi="Times New Roman" w:cs="Times New Roman"/>
        </w:rPr>
        <w:t>(-</w:t>
      </w:r>
      <w:r w:rsidRPr="00EE1B17">
        <w:rPr>
          <w:rFonts w:ascii="Times New Roman" w:hAnsi="Times New Roman" w:cs="Times New Roman"/>
        </w:rPr>
        <w:t>£12.62m</w:t>
      </w:r>
      <w:r w:rsidR="004D6758">
        <w:rPr>
          <w:rFonts w:ascii="Times New Roman" w:hAnsi="Times New Roman" w:cs="Times New Roman"/>
        </w:rPr>
        <w:t>)</w:t>
      </w:r>
      <w:r w:rsidRPr="00EE1B17">
        <w:rPr>
          <w:rFonts w:ascii="Times New Roman" w:hAnsi="Times New Roman" w:cs="Times New Roman"/>
        </w:rPr>
        <w:t xml:space="preserve"> for A+B, </w:t>
      </w:r>
      <w:r w:rsidR="004D6758">
        <w:rPr>
          <w:rFonts w:ascii="Times New Roman" w:hAnsi="Times New Roman" w:cs="Times New Roman"/>
        </w:rPr>
        <w:t>(-</w:t>
      </w:r>
      <w:r w:rsidRPr="00EE1B17">
        <w:rPr>
          <w:rFonts w:ascii="Times New Roman" w:hAnsi="Times New Roman" w:cs="Times New Roman"/>
        </w:rPr>
        <w:t>£5.68m</w:t>
      </w:r>
      <w:r w:rsidR="004D6758">
        <w:rPr>
          <w:rFonts w:ascii="Times New Roman" w:hAnsi="Times New Roman" w:cs="Times New Roman"/>
        </w:rPr>
        <w:t>)</w:t>
      </w:r>
      <w:r w:rsidRPr="00EE1B17">
        <w:rPr>
          <w:rFonts w:ascii="Times New Roman" w:hAnsi="Times New Roman" w:cs="Times New Roman"/>
        </w:rPr>
        <w:t xml:space="preserve"> for A+C, and </w:t>
      </w:r>
      <w:r w:rsidR="004D6758">
        <w:rPr>
          <w:rFonts w:ascii="Times New Roman" w:hAnsi="Times New Roman" w:cs="Times New Roman"/>
        </w:rPr>
        <w:t>(-</w:t>
      </w:r>
      <w:r w:rsidRPr="00EE1B17">
        <w:rPr>
          <w:rFonts w:ascii="Times New Roman" w:hAnsi="Times New Roman" w:cs="Times New Roman"/>
        </w:rPr>
        <w:t>£5.22m</w:t>
      </w:r>
      <w:r w:rsidR="004D6758">
        <w:rPr>
          <w:rFonts w:ascii="Times New Roman" w:hAnsi="Times New Roman" w:cs="Times New Roman"/>
        </w:rPr>
        <w:t>)</w:t>
      </w:r>
      <w:r w:rsidRPr="00EE1B17">
        <w:rPr>
          <w:rFonts w:ascii="Times New Roman" w:hAnsi="Times New Roman" w:cs="Times New Roman"/>
        </w:rPr>
        <w:t xml:space="preserve"> for B+C. The profitability index ranking exists to choose between competing positive</w:t>
      </w:r>
      <w:r w:rsidR="004D6758">
        <w:rPr>
          <w:rFonts w:ascii="Times New Roman" w:hAnsi="Times New Roman" w:cs="Times New Roman"/>
        </w:rPr>
        <w:t xml:space="preserve"> </w:t>
      </w:r>
      <w:r w:rsidRPr="00EE1B17">
        <w:rPr>
          <w:rFonts w:ascii="Times New Roman" w:hAnsi="Times New Roman" w:cs="Times New Roman"/>
        </w:rPr>
        <w:t xml:space="preserve">NPV projects under a capital constraint; it does not require the constraint to be exhausted regardless of project quality. The </w:t>
      </w:r>
      <w:r w:rsidR="004D6758" w:rsidRPr="00EE1B17">
        <w:rPr>
          <w:rFonts w:ascii="Times New Roman" w:hAnsi="Times New Roman" w:cs="Times New Roman"/>
        </w:rPr>
        <w:t>value maximising</w:t>
      </w:r>
      <w:r w:rsidRPr="00EE1B17">
        <w:rPr>
          <w:rFonts w:ascii="Times New Roman" w:hAnsi="Times New Roman" w:cs="Times New Roman"/>
        </w:rPr>
        <w:t xml:space="preserve"> decision is therefore to commit £50m to Project C alone and return or retain the remaining £50</w:t>
      </w:r>
      <w:r w:rsidR="007B7C63" w:rsidRPr="00EE1B17">
        <w:rPr>
          <w:rFonts w:ascii="Times New Roman" w:hAnsi="Times New Roman" w:cs="Times New Roman"/>
        </w:rPr>
        <w:t>m for</w:t>
      </w:r>
      <w:r w:rsidRPr="00EE1B17">
        <w:rPr>
          <w:rFonts w:ascii="Times New Roman" w:hAnsi="Times New Roman" w:cs="Times New Roman"/>
        </w:rPr>
        <w:t xml:space="preserve"> example through continued share buybacks, consistent with Compass's existing capital return policy</w:t>
      </w:r>
      <w:r w:rsidR="004D6758">
        <w:rPr>
          <w:rFonts w:ascii="Times New Roman" w:hAnsi="Times New Roman" w:cs="Times New Roman"/>
        </w:rPr>
        <w:t xml:space="preserve"> </w:t>
      </w:r>
      <w:r w:rsidRPr="00EE1B17">
        <w:rPr>
          <w:rFonts w:ascii="Times New Roman" w:hAnsi="Times New Roman" w:cs="Times New Roman"/>
        </w:rPr>
        <w:t>rather than deploying it into a negative</w:t>
      </w:r>
      <w:r w:rsidR="007B7C63">
        <w:rPr>
          <w:rFonts w:ascii="Times New Roman" w:hAnsi="Times New Roman" w:cs="Times New Roman"/>
        </w:rPr>
        <w:t xml:space="preserve"> </w:t>
      </w:r>
      <w:r w:rsidRPr="00EE1B17">
        <w:rPr>
          <w:rFonts w:ascii="Times New Roman" w:hAnsi="Times New Roman" w:cs="Times New Roman"/>
        </w:rPr>
        <w:t>NPV project simply to use up the available budget.</w:t>
      </w:r>
    </w:p>
    <w:p w14:paraId="7C047665" w14:textId="77777777" w:rsidR="00B05CC7" w:rsidRPr="00EE1B17" w:rsidRDefault="00000000">
      <w:pPr>
        <w:spacing w:before="120" w:after="200"/>
        <w:jc w:val="center"/>
        <w:rPr>
          <w:rFonts w:ascii="Times New Roman" w:hAnsi="Times New Roman" w:cs="Times New Roman"/>
        </w:rPr>
      </w:pPr>
      <w:r w:rsidRPr="00EE1B17">
        <w:rPr>
          <w:rFonts w:ascii="Times New Roman" w:hAnsi="Times New Roman" w:cs="Times New Roman"/>
          <w:noProof/>
        </w:rPr>
        <w:lastRenderedPageBreak/>
        <w:drawing>
          <wp:inline distT="0" distB="0" distL="0" distR="0" wp14:anchorId="7DEE1D77" wp14:editId="32ED5D9C">
            <wp:extent cx="5334000" cy="2962275"/>
            <wp:effectExtent l="0" t="0" r="0" b="0"/>
            <wp:docPr id="1656264488" name="Picture 165626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334000" cy="2962275"/>
                    </a:xfrm>
                    <a:prstGeom prst="rect">
                      <a:avLst/>
                    </a:prstGeom>
                  </pic:spPr>
                </pic:pic>
              </a:graphicData>
            </a:graphic>
          </wp:inline>
        </w:drawing>
      </w:r>
    </w:p>
    <w:p w14:paraId="523EE8C4" w14:textId="77777777" w:rsidR="00B05CC7" w:rsidRPr="00EE1B17" w:rsidRDefault="00000000">
      <w:pPr>
        <w:pStyle w:val="Heading1"/>
        <w:rPr>
          <w:rFonts w:ascii="Times New Roman" w:hAnsi="Times New Roman" w:cs="Times New Roman"/>
        </w:rPr>
      </w:pPr>
      <w:bookmarkStart w:id="22" w:name="_Toc237444795"/>
      <w:r w:rsidRPr="00EE1B17">
        <w:rPr>
          <w:rFonts w:ascii="Times New Roman" w:hAnsi="Times New Roman" w:cs="Times New Roman"/>
        </w:rPr>
        <w:t>5. Critical Reflection on AI Usage</w:t>
      </w:r>
      <w:bookmarkEnd w:id="22"/>
    </w:p>
    <w:p w14:paraId="52748C95" w14:textId="77777777" w:rsidR="00B05CC7" w:rsidRPr="00EE1B17" w:rsidRDefault="00000000">
      <w:pPr>
        <w:pStyle w:val="Heading2"/>
        <w:rPr>
          <w:rFonts w:ascii="Times New Roman" w:hAnsi="Times New Roman" w:cs="Times New Roman"/>
        </w:rPr>
      </w:pPr>
      <w:bookmarkStart w:id="23" w:name="_Toc237444796"/>
      <w:r w:rsidRPr="00EE1B17">
        <w:rPr>
          <w:rFonts w:ascii="Times New Roman" w:hAnsi="Times New Roman" w:cs="Times New Roman"/>
        </w:rPr>
        <w:t>Tool Disclosure</w:t>
      </w:r>
      <w:bookmarkEnd w:id="23"/>
    </w:p>
    <w:p w14:paraId="5C4200C0" w14:textId="0FC26334"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AI assistant (Claude</w:t>
      </w:r>
      <w:r w:rsidR="001122C0">
        <w:rPr>
          <w:rFonts w:ascii="Times New Roman" w:hAnsi="Times New Roman" w:cs="Times New Roman"/>
        </w:rPr>
        <w:t>, Gemini</w:t>
      </w:r>
      <w:r w:rsidRPr="00EE1B17">
        <w:rPr>
          <w:rFonts w:ascii="Times New Roman" w:hAnsi="Times New Roman" w:cs="Times New Roman"/>
        </w:rPr>
        <w:t>) w</w:t>
      </w:r>
      <w:r w:rsidR="001122C0">
        <w:rPr>
          <w:rFonts w:ascii="Times New Roman" w:hAnsi="Times New Roman" w:cs="Times New Roman"/>
        </w:rPr>
        <w:t>ere</w:t>
      </w:r>
      <w:r w:rsidRPr="00EE1B17">
        <w:rPr>
          <w:rFonts w:ascii="Times New Roman" w:hAnsi="Times New Roman" w:cs="Times New Roman"/>
        </w:rPr>
        <w:t xml:space="preserve"> used during the development of this report to support research and drafting across three tasks: (1) gathering and organising publicly available financial data on Compass Group from the Group's FY2022</w:t>
      </w:r>
      <w:r w:rsidR="00B45479">
        <w:rPr>
          <w:rFonts w:ascii="Times New Roman" w:hAnsi="Times New Roman" w:cs="Times New Roman"/>
        </w:rPr>
        <w:t>-</w:t>
      </w:r>
      <w:r w:rsidRPr="00EE1B17">
        <w:rPr>
          <w:rFonts w:ascii="Times New Roman" w:hAnsi="Times New Roman" w:cs="Times New Roman"/>
        </w:rPr>
        <w:t xml:space="preserve">FY2025 annual reports, press releases and </w:t>
      </w:r>
      <w:r w:rsidR="001122C0" w:rsidRPr="00EE1B17">
        <w:rPr>
          <w:rFonts w:ascii="Times New Roman" w:hAnsi="Times New Roman" w:cs="Times New Roman"/>
        </w:rPr>
        <w:t>third-party</w:t>
      </w:r>
      <w:r w:rsidRPr="00EE1B17">
        <w:rPr>
          <w:rFonts w:ascii="Times New Roman" w:hAnsi="Times New Roman" w:cs="Times New Roman"/>
        </w:rPr>
        <w:t xml:space="preserve"> data sources including Yahoo Finance, StockAnalysis.com and </w:t>
      </w:r>
      <w:r w:rsidR="001122C0" w:rsidRPr="00EE1B17">
        <w:rPr>
          <w:rFonts w:ascii="Times New Roman" w:hAnsi="Times New Roman" w:cs="Times New Roman"/>
        </w:rPr>
        <w:t>Tip Ranks</w:t>
      </w:r>
      <w:r w:rsidRPr="00EE1B17">
        <w:rPr>
          <w:rFonts w:ascii="Times New Roman" w:hAnsi="Times New Roman" w:cs="Times New Roman"/>
        </w:rPr>
        <w:t xml:space="preserve">; (2) performing and presenting the investment appraisal calculations in Section 4; and (3) </w:t>
      </w:r>
      <w:r w:rsidR="001122C0">
        <w:rPr>
          <w:rFonts w:ascii="Times New Roman" w:hAnsi="Times New Roman" w:cs="Times New Roman"/>
        </w:rPr>
        <w:t xml:space="preserve">assisting with proofreading, language refinement, and formatting checks on text originally drafted by the author. </w:t>
      </w:r>
      <w:r w:rsidRPr="00EE1B17">
        <w:rPr>
          <w:rFonts w:ascii="Times New Roman" w:hAnsi="Times New Roman" w:cs="Times New Roman"/>
        </w:rPr>
        <w:t>No financial figures were fabricated every quantitative claim originated from a specific source result or an established formula</w:t>
      </w:r>
      <w:r w:rsidR="001122C0">
        <w:rPr>
          <w:rFonts w:ascii="Times New Roman" w:hAnsi="Times New Roman" w:cs="Times New Roman"/>
        </w:rPr>
        <w:t xml:space="preserve"> </w:t>
      </w:r>
      <w:r w:rsidRPr="00EE1B17">
        <w:rPr>
          <w:rFonts w:ascii="Times New Roman" w:hAnsi="Times New Roman" w:cs="Times New Roman"/>
        </w:rPr>
        <w:t xml:space="preserve">but several figures, particularly the exact FY2024 statutory operating income and some </w:t>
      </w:r>
      <w:r w:rsidR="001122C0" w:rsidRPr="00EE1B17">
        <w:rPr>
          <w:rFonts w:ascii="Times New Roman" w:hAnsi="Times New Roman" w:cs="Times New Roman"/>
        </w:rPr>
        <w:t>peer comparison</w:t>
      </w:r>
      <w:r w:rsidRPr="00EE1B17">
        <w:rPr>
          <w:rFonts w:ascii="Times New Roman" w:hAnsi="Times New Roman" w:cs="Times New Roman"/>
        </w:rPr>
        <w:t xml:space="preserve"> ratios, were noted as approximations requiring verification against the primary annual report</w:t>
      </w:r>
      <w:r w:rsidR="00B45479">
        <w:rPr>
          <w:rFonts w:ascii="Times New Roman" w:hAnsi="Times New Roman" w:cs="Times New Roman"/>
        </w:rPr>
        <w:t>.</w:t>
      </w:r>
    </w:p>
    <w:p w14:paraId="6B23B0AC" w14:textId="77777777" w:rsidR="00B05CC7" w:rsidRPr="00EE1B17" w:rsidRDefault="00000000">
      <w:pPr>
        <w:pStyle w:val="Heading2"/>
        <w:rPr>
          <w:rFonts w:ascii="Times New Roman" w:hAnsi="Times New Roman" w:cs="Times New Roman"/>
        </w:rPr>
      </w:pPr>
      <w:bookmarkStart w:id="24" w:name="_Toc237444797"/>
      <w:r w:rsidRPr="00EE1B17">
        <w:rPr>
          <w:rFonts w:ascii="Times New Roman" w:hAnsi="Times New Roman" w:cs="Times New Roman"/>
        </w:rPr>
        <w:t>Critical Evaluation of AI Output</w:t>
      </w:r>
      <w:bookmarkEnd w:id="24"/>
    </w:p>
    <w:p w14:paraId="3B22427B" w14:textId="55B4B530" w:rsidR="004517E6"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The verification process involved three checks. First, cross</w:t>
      </w:r>
      <w:r w:rsidR="00BB1059">
        <w:rPr>
          <w:rFonts w:ascii="Times New Roman" w:hAnsi="Times New Roman" w:cs="Times New Roman"/>
        </w:rPr>
        <w:t xml:space="preserve"> </w:t>
      </w:r>
      <w:r w:rsidRPr="00EE1B17">
        <w:rPr>
          <w:rFonts w:ascii="Times New Roman" w:hAnsi="Times New Roman" w:cs="Times New Roman"/>
        </w:rPr>
        <w:t>referencing: different secondary aggregators reported varying figures for the same period for example, discrepancies in current ratio or ROE arising from differing treatment of IFRS 16 lease liabilities or trailing twelvemonth calculations and these discrepancies were stated as limitations rather than silently resolved. Second, sens</w:t>
      </w:r>
      <w:r w:rsidR="00BB1059">
        <w:rPr>
          <w:rFonts w:ascii="Times New Roman" w:hAnsi="Times New Roman" w:cs="Times New Roman"/>
        </w:rPr>
        <w:t xml:space="preserve">e </w:t>
      </w:r>
      <w:r w:rsidRPr="00EE1B17">
        <w:rPr>
          <w:rFonts w:ascii="Times New Roman" w:hAnsi="Times New Roman" w:cs="Times New Roman"/>
        </w:rPr>
        <w:t>checking against industry logic: negative working capital was interpreted as a characteristic of contract catering rather than a sign of distress, and that interpretation has since been qualified, as set out in Section 1, once the wider working capital literature was consulted. Third, the investment appraisal was independently reverified by hand using the standard NPV/IRR formulas and crosschecked against a formula</w:t>
      </w:r>
      <w:r w:rsidR="00BB1059">
        <w:rPr>
          <w:rFonts w:ascii="Times New Roman" w:hAnsi="Times New Roman" w:cs="Times New Roman"/>
        </w:rPr>
        <w:t xml:space="preserve"> </w:t>
      </w:r>
      <w:r w:rsidRPr="00EE1B17">
        <w:rPr>
          <w:rFonts w:ascii="Times New Roman" w:hAnsi="Times New Roman" w:cs="Times New Roman"/>
        </w:rPr>
        <w:t>driven model</w:t>
      </w:r>
      <w:r w:rsidR="004517E6">
        <w:rPr>
          <w:rFonts w:ascii="Times New Roman" w:hAnsi="Times New Roman" w:cs="Times New Roman"/>
        </w:rPr>
        <w:t>.</w:t>
      </w:r>
    </w:p>
    <w:p w14:paraId="7CFEA4A6" w14:textId="77777777" w:rsidR="00B05CC7" w:rsidRPr="00EE1B17" w:rsidRDefault="00000000">
      <w:pPr>
        <w:pStyle w:val="Heading2"/>
        <w:rPr>
          <w:rFonts w:ascii="Times New Roman" w:hAnsi="Times New Roman" w:cs="Times New Roman"/>
        </w:rPr>
      </w:pPr>
      <w:bookmarkStart w:id="25" w:name="_Toc237444798"/>
      <w:r w:rsidRPr="00EE1B17">
        <w:rPr>
          <w:rFonts w:ascii="Times New Roman" w:hAnsi="Times New Roman" w:cs="Times New Roman"/>
        </w:rPr>
        <w:t>Contribution Analysis</w:t>
      </w:r>
      <w:bookmarkEnd w:id="25"/>
    </w:p>
    <w:p w14:paraId="4FFF7F85" w14:textId="0BA928AC"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The role of AI in this project </w:t>
      </w:r>
      <w:r w:rsidR="004517E6" w:rsidRPr="00EE1B17">
        <w:rPr>
          <w:rFonts w:ascii="Times New Roman" w:hAnsi="Times New Roman" w:cs="Times New Roman"/>
        </w:rPr>
        <w:t>w</w:t>
      </w:r>
      <w:r w:rsidR="004517E6">
        <w:rPr>
          <w:rFonts w:ascii="Times New Roman" w:hAnsi="Times New Roman" w:cs="Times New Roman"/>
        </w:rPr>
        <w:t>as</w:t>
      </w:r>
      <w:r w:rsidR="001122C0">
        <w:rPr>
          <w:rFonts w:ascii="Times New Roman" w:hAnsi="Times New Roman" w:cs="Times New Roman"/>
        </w:rPr>
        <w:t xml:space="preserve"> strictly supportive and technical</w:t>
      </w:r>
      <w:r w:rsidRPr="00EE1B17">
        <w:rPr>
          <w:rFonts w:ascii="Times New Roman" w:hAnsi="Times New Roman" w:cs="Times New Roman"/>
        </w:rPr>
        <w:t xml:space="preserve">: </w:t>
      </w:r>
      <w:r w:rsidR="001122C0" w:rsidRPr="001122C0">
        <w:rPr>
          <w:rFonts w:ascii="Times New Roman" w:hAnsi="Times New Roman" w:cs="Times New Roman"/>
        </w:rPr>
        <w:t>assisting with secondary data retrieval, tabulating public financial figures, and verifying arithmetic calculations. The structural design, section mapping against the brief, and primary narrative development were executed entirely by the author.</w:t>
      </w:r>
      <w:r w:rsidRPr="00EE1B17">
        <w:rPr>
          <w:rFonts w:ascii="Times New Roman" w:hAnsi="Times New Roman" w:cs="Times New Roman"/>
        </w:rPr>
        <w:t xml:space="preserve"> The original contributions were the selection of Compass Group, the direction of scope section by section, critical assessment of interpretations (for example, testing the profitability index ranking against the strict positive</w:t>
      </w:r>
      <w:r w:rsidR="004517E6">
        <w:rPr>
          <w:rFonts w:ascii="Times New Roman" w:hAnsi="Times New Roman" w:cs="Times New Roman"/>
        </w:rPr>
        <w:t xml:space="preserve"> </w:t>
      </w:r>
      <w:r w:rsidRPr="00EE1B17">
        <w:rPr>
          <w:rFonts w:ascii="Times New Roman" w:hAnsi="Times New Roman" w:cs="Times New Roman"/>
        </w:rPr>
        <w:t xml:space="preserve">NPV rule in the capital rationing decision, and revisiting the working capital conclusion), and the final strategic recommendations and corrections set out in this version. </w:t>
      </w:r>
      <w:r w:rsidR="004517E6" w:rsidRPr="004517E6">
        <w:rPr>
          <w:rFonts w:ascii="Times New Roman" w:hAnsi="Times New Roman" w:cs="Times New Roman"/>
        </w:rPr>
        <w:t>AI assisted solely as a research tool for data gathering and initial formatting; all analytical reasoning, strategic arguments, financial verification, and final evaluations were developed independently by the author</w:t>
      </w:r>
    </w:p>
    <w:p w14:paraId="17CBFE0A" w14:textId="77777777" w:rsidR="00B05CC7" w:rsidRPr="00EE1B17" w:rsidRDefault="00000000">
      <w:pPr>
        <w:pStyle w:val="Heading2"/>
        <w:rPr>
          <w:rFonts w:ascii="Times New Roman" w:hAnsi="Times New Roman" w:cs="Times New Roman"/>
        </w:rPr>
      </w:pPr>
      <w:bookmarkStart w:id="26" w:name="_Toc237444799"/>
      <w:r w:rsidRPr="00EE1B17">
        <w:rPr>
          <w:rFonts w:ascii="Times New Roman" w:hAnsi="Times New Roman" w:cs="Times New Roman"/>
        </w:rPr>
        <w:lastRenderedPageBreak/>
        <w:t>Ethical and Professional Reflection</w:t>
      </w:r>
      <w:bookmarkEnd w:id="26"/>
    </w:p>
    <w:p w14:paraId="07DD8E9E" w14:textId="5F8224C2"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Using AI in CFO</w:t>
      </w:r>
      <w:r w:rsidR="00BB1059">
        <w:rPr>
          <w:rFonts w:ascii="Times New Roman" w:hAnsi="Times New Roman" w:cs="Times New Roman"/>
        </w:rPr>
        <w:t xml:space="preserve"> </w:t>
      </w:r>
      <w:r w:rsidRPr="00EE1B17">
        <w:rPr>
          <w:rFonts w:ascii="Times New Roman" w:hAnsi="Times New Roman" w:cs="Times New Roman"/>
        </w:rPr>
        <w:t>level financial analysis raises three concerns. First, transparency: disclosing AI use, as this section does, is essential presenting AI</w:t>
      </w:r>
      <w:r w:rsidR="00BB1059">
        <w:rPr>
          <w:rFonts w:ascii="Times New Roman" w:hAnsi="Times New Roman" w:cs="Times New Roman"/>
        </w:rPr>
        <w:t xml:space="preserve"> </w:t>
      </w:r>
      <w:r w:rsidRPr="00EE1B17">
        <w:rPr>
          <w:rFonts w:ascii="Times New Roman" w:hAnsi="Times New Roman" w:cs="Times New Roman"/>
        </w:rPr>
        <w:t>assisted analysis as entirely original work would be an academic integrity violation and a governance failure in a corporate context. Second, data privacy: this exercise relied solely on public information, but a real CFO mandate would require strict controls to prevent confidential data being processed by external AI tools without a data</w:t>
      </w:r>
      <w:r w:rsidR="00BB1059">
        <w:rPr>
          <w:rFonts w:ascii="Times New Roman" w:hAnsi="Times New Roman" w:cs="Times New Roman"/>
        </w:rPr>
        <w:t xml:space="preserve"> </w:t>
      </w:r>
      <w:r w:rsidRPr="00EE1B17">
        <w:rPr>
          <w:rFonts w:ascii="Times New Roman" w:hAnsi="Times New Roman" w:cs="Times New Roman"/>
        </w:rPr>
        <w:t>handling agreement in place. Third, overreliance: the variability of AI</w:t>
      </w:r>
      <w:r w:rsidR="00BB1059">
        <w:rPr>
          <w:rFonts w:ascii="Times New Roman" w:hAnsi="Times New Roman" w:cs="Times New Roman"/>
        </w:rPr>
        <w:t xml:space="preserve"> </w:t>
      </w:r>
      <w:r w:rsidRPr="00EE1B17">
        <w:rPr>
          <w:rFonts w:ascii="Times New Roman" w:hAnsi="Times New Roman" w:cs="Times New Roman"/>
        </w:rPr>
        <w:t>sourced figures across platforms, and the calculation errors identified in the first submission of this report, are a direct illustration of why AI outputs in a board</w:t>
      </w:r>
      <w:r w:rsidR="00BB1059">
        <w:rPr>
          <w:rFonts w:ascii="Times New Roman" w:hAnsi="Times New Roman" w:cs="Times New Roman"/>
        </w:rPr>
        <w:t xml:space="preserve"> </w:t>
      </w:r>
      <w:r w:rsidRPr="00EE1B17">
        <w:rPr>
          <w:rFonts w:ascii="Times New Roman" w:hAnsi="Times New Roman" w:cs="Times New Roman"/>
        </w:rPr>
        <w:t>level capital allocation context must be independently verified rather than trusted on the basis of a plausible presentation a lapse here carries real fiduciary consequences for shareholders.</w:t>
      </w:r>
    </w:p>
    <w:p w14:paraId="59B4F3BA" w14:textId="77777777" w:rsidR="00B05CC7" w:rsidRPr="00EE1B17" w:rsidRDefault="00000000">
      <w:pPr>
        <w:pStyle w:val="Heading1"/>
        <w:rPr>
          <w:rFonts w:ascii="Times New Roman" w:hAnsi="Times New Roman" w:cs="Times New Roman"/>
        </w:rPr>
      </w:pPr>
      <w:bookmarkStart w:id="27" w:name="_Toc237444800"/>
      <w:r w:rsidRPr="00EE1B17">
        <w:rPr>
          <w:rFonts w:ascii="Times New Roman" w:hAnsi="Times New Roman" w:cs="Times New Roman"/>
        </w:rPr>
        <w:t>Conclusion</w:t>
      </w:r>
      <w:bookmarkEnd w:id="27"/>
    </w:p>
    <w:p w14:paraId="0DF7067B" w14:textId="30F93D1E"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As Compass Group approaches FY2026, it does so from a position of financial strength rather than distress. Five years of analysis show growing margins, strengthening free cash flow conversion, and controlled, </w:t>
      </w:r>
      <w:r w:rsidR="007B7C63" w:rsidRPr="00EE1B17">
        <w:rPr>
          <w:rFonts w:ascii="Times New Roman" w:hAnsi="Times New Roman" w:cs="Times New Roman"/>
        </w:rPr>
        <w:t>well managed</w:t>
      </w:r>
      <w:r w:rsidRPr="00EE1B17">
        <w:rPr>
          <w:rFonts w:ascii="Times New Roman" w:hAnsi="Times New Roman" w:cs="Times New Roman"/>
        </w:rPr>
        <w:t xml:space="preserve"> debt. Although the current ratio sits below 1.0, this reflects a structurally favourable cash conversion cycle rather than a liquidity problem provided, as Section 1 makes clear, that the Board continues to treat it as a mitigated risk rather than an automatic strength. The central opportunity identified in this report is not survival but optimisation: closing the margin gap between North America and International operations through careful portfolio adjustment and disciplined, targeted M&amp;A, while preserving the working capital dynamics and </w:t>
      </w:r>
      <w:r w:rsidR="007B7C63" w:rsidRPr="00EE1B17">
        <w:rPr>
          <w:rFonts w:ascii="Times New Roman" w:hAnsi="Times New Roman" w:cs="Times New Roman"/>
        </w:rPr>
        <w:t>investment grade</w:t>
      </w:r>
      <w:r w:rsidRPr="00EE1B17">
        <w:rPr>
          <w:rFonts w:ascii="Times New Roman" w:hAnsi="Times New Roman" w:cs="Times New Roman"/>
        </w:rPr>
        <w:t xml:space="preserve"> balance sheet that already give the Group a margin advantage over peers such as Sodexo.</w:t>
      </w:r>
    </w:p>
    <w:p w14:paraId="58C06357" w14:textId="6ED504CB"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The investment appraisal in Section 4 reinforces a wider lesson for the whole strategy: capital allocation must be governed by a positive net present value standard, not by positive cash flow or a short payback period alone. Of the three projects assessed, only Project C creates value at Compass's cost of capital, and the capital rationing analysis confirms that spending the full £100m budget for its own sake would destroy rather than create value. Applying this NPV</w:t>
      </w:r>
      <w:r w:rsidR="000E0F6F">
        <w:rPr>
          <w:rFonts w:ascii="Times New Roman" w:hAnsi="Times New Roman" w:cs="Times New Roman"/>
        </w:rPr>
        <w:t xml:space="preserve"> </w:t>
      </w:r>
      <w:r w:rsidRPr="00EE1B17">
        <w:rPr>
          <w:rFonts w:ascii="Times New Roman" w:hAnsi="Times New Roman" w:cs="Times New Roman"/>
        </w:rPr>
        <w:t xml:space="preserve">first discipline consistently across the North America/International restructuring, future </w:t>
      </w:r>
      <w:r w:rsidR="007B7C63" w:rsidRPr="00EE1B17">
        <w:rPr>
          <w:rFonts w:ascii="Times New Roman" w:hAnsi="Times New Roman" w:cs="Times New Roman"/>
        </w:rPr>
        <w:t>Bolton</w:t>
      </w:r>
      <w:r w:rsidRPr="00EE1B17">
        <w:rPr>
          <w:rFonts w:ascii="Times New Roman" w:hAnsi="Times New Roman" w:cs="Times New Roman"/>
        </w:rPr>
        <w:t xml:space="preserve"> M&amp;A, and individual capital projects unites the recommendations of this report into a single, coherent turnaround strategy: financially sound, replicable across the Group's international footprint, and ethically responsible through its treatment of taxation, currency, inflation and ESG considerations in every restructuring decision.</w:t>
      </w:r>
    </w:p>
    <w:p w14:paraId="67AFE575" w14:textId="3D8475BC"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Finally, this report's own development assisted by AI tools under the disclosure and human verification set out in Section </w:t>
      </w:r>
      <w:r w:rsidR="007B7C63" w:rsidRPr="00EE1B17">
        <w:rPr>
          <w:rFonts w:ascii="Times New Roman" w:hAnsi="Times New Roman" w:cs="Times New Roman"/>
        </w:rPr>
        <w:t>5 and</w:t>
      </w:r>
      <w:r w:rsidRPr="00EE1B17">
        <w:rPr>
          <w:rFonts w:ascii="Times New Roman" w:hAnsi="Times New Roman" w:cs="Times New Roman"/>
        </w:rPr>
        <w:t xml:space="preserve"> corrected after independent recalculation identified errors in the original investment appraisal is itself a small illustration of the judgement the Compass Board must exercise more broadly. Emerging analytical tools can meaningfully accelerate financial analysis, but the responsibility for financial judgement, and for verifying every output before it is acted upon, remains a human one.</w:t>
      </w:r>
    </w:p>
    <w:p w14:paraId="6202A613" w14:textId="77777777" w:rsidR="00B05CC7" w:rsidRPr="00EE1B17" w:rsidRDefault="00000000">
      <w:pPr>
        <w:rPr>
          <w:rFonts w:ascii="Times New Roman" w:hAnsi="Times New Roman" w:cs="Times New Roman"/>
        </w:rPr>
      </w:pPr>
      <w:r w:rsidRPr="00EE1B17">
        <w:rPr>
          <w:rFonts w:ascii="Times New Roman" w:hAnsi="Times New Roman" w:cs="Times New Roman"/>
        </w:rPr>
        <w:br w:type="page"/>
      </w:r>
    </w:p>
    <w:p w14:paraId="1AAA0850" w14:textId="77777777" w:rsidR="00B05CC7" w:rsidRPr="00EE1B17" w:rsidRDefault="00000000">
      <w:pPr>
        <w:pStyle w:val="Heading1"/>
        <w:rPr>
          <w:rFonts w:ascii="Times New Roman" w:hAnsi="Times New Roman" w:cs="Times New Roman"/>
        </w:rPr>
      </w:pPr>
      <w:bookmarkStart w:id="28" w:name="_Toc237444801"/>
      <w:r w:rsidRPr="00EE1B17">
        <w:rPr>
          <w:rFonts w:ascii="Times New Roman" w:hAnsi="Times New Roman" w:cs="Times New Roman"/>
        </w:rPr>
        <w:lastRenderedPageBreak/>
        <w:t>6. Appendices</w:t>
      </w:r>
      <w:bookmarkEnd w:id="28"/>
    </w:p>
    <w:p w14:paraId="080D9DA3" w14:textId="40007FA3" w:rsidR="00B05CC7" w:rsidRPr="00EE1B17" w:rsidRDefault="00000000">
      <w:pPr>
        <w:pStyle w:val="Heading2"/>
        <w:rPr>
          <w:rFonts w:ascii="Times New Roman" w:hAnsi="Times New Roman" w:cs="Times New Roman"/>
        </w:rPr>
      </w:pPr>
      <w:bookmarkStart w:id="29" w:name="_Toc237444802"/>
      <w:r w:rsidRPr="00EE1B17">
        <w:rPr>
          <w:rFonts w:ascii="Times New Roman" w:hAnsi="Times New Roman" w:cs="Times New Roman"/>
        </w:rPr>
        <w:t xml:space="preserve">Appendix A: </w:t>
      </w:r>
      <w:r w:rsidR="007B7C63" w:rsidRPr="00EE1B17">
        <w:rPr>
          <w:rFonts w:ascii="Times New Roman" w:hAnsi="Times New Roman" w:cs="Times New Roman"/>
        </w:rPr>
        <w:t>Five-year</w:t>
      </w:r>
      <w:r w:rsidRPr="00EE1B17">
        <w:rPr>
          <w:rFonts w:ascii="Times New Roman" w:hAnsi="Times New Roman" w:cs="Times New Roman"/>
        </w:rPr>
        <w:t xml:space="preserve"> Ratio Summary (FY2021</w:t>
      </w:r>
      <w:r w:rsidR="000E0F6F">
        <w:rPr>
          <w:rFonts w:ascii="Times New Roman" w:hAnsi="Times New Roman" w:cs="Times New Roman"/>
        </w:rPr>
        <w:t>-</w:t>
      </w:r>
      <w:r w:rsidRPr="00EE1B17">
        <w:rPr>
          <w:rFonts w:ascii="Times New Roman" w:hAnsi="Times New Roman" w:cs="Times New Roman"/>
        </w:rPr>
        <w:t>FY2025)</w:t>
      </w:r>
      <w:bookmarkEnd w:id="29"/>
    </w:p>
    <w:p w14:paraId="0D652F04" w14:textId="673F6BC5" w:rsidR="00B05CC7" w:rsidRPr="00EE1B17" w:rsidRDefault="00000000">
      <w:pPr>
        <w:spacing w:before="120" w:after="60"/>
        <w:rPr>
          <w:rFonts w:ascii="Times New Roman" w:hAnsi="Times New Roman" w:cs="Times New Roman"/>
        </w:rPr>
      </w:pPr>
      <w:r w:rsidRPr="00EE1B17">
        <w:rPr>
          <w:rFonts w:ascii="Times New Roman" w:hAnsi="Times New Roman" w:cs="Times New Roman"/>
          <w:b/>
          <w:bCs/>
          <w:sz w:val="20"/>
          <w:szCs w:val="20"/>
        </w:rPr>
        <w:t xml:space="preserve">Table 6: </w:t>
      </w:r>
      <w:r w:rsidR="007B7C63" w:rsidRPr="00EE1B17">
        <w:rPr>
          <w:rFonts w:ascii="Times New Roman" w:hAnsi="Times New Roman" w:cs="Times New Roman"/>
          <w:b/>
          <w:bCs/>
          <w:sz w:val="20"/>
          <w:szCs w:val="20"/>
        </w:rPr>
        <w:t>Five</w:t>
      </w:r>
      <w:r w:rsidR="000E0F6F">
        <w:rPr>
          <w:rFonts w:ascii="Times New Roman" w:hAnsi="Times New Roman" w:cs="Times New Roman"/>
          <w:b/>
          <w:bCs/>
          <w:sz w:val="20"/>
          <w:szCs w:val="20"/>
        </w:rPr>
        <w:t>-</w:t>
      </w:r>
      <w:r w:rsidR="007B7C63" w:rsidRPr="00EE1B17">
        <w:rPr>
          <w:rFonts w:ascii="Times New Roman" w:hAnsi="Times New Roman" w:cs="Times New Roman"/>
          <w:b/>
          <w:bCs/>
          <w:sz w:val="20"/>
          <w:szCs w:val="20"/>
        </w:rPr>
        <w:t>year</w:t>
      </w:r>
      <w:r w:rsidRPr="00EE1B17">
        <w:rPr>
          <w:rFonts w:ascii="Times New Roman" w:hAnsi="Times New Roman" w:cs="Times New Roman"/>
          <w:b/>
          <w:bCs/>
          <w:sz w:val="20"/>
          <w:szCs w:val="20"/>
        </w:rPr>
        <w:t xml:space="preserve"> Ratio Summary, FY2021</w:t>
      </w:r>
      <w:r w:rsidR="000E0F6F">
        <w:rPr>
          <w:rFonts w:ascii="Times New Roman" w:hAnsi="Times New Roman" w:cs="Times New Roman"/>
          <w:b/>
          <w:bCs/>
          <w:sz w:val="20"/>
          <w:szCs w:val="20"/>
        </w:rPr>
        <w:t>-</w:t>
      </w:r>
      <w:r w:rsidRPr="00EE1B17">
        <w:rPr>
          <w:rFonts w:ascii="Times New Roman" w:hAnsi="Times New Roman" w:cs="Times New Roman"/>
          <w:b/>
          <w:bCs/>
          <w:sz w:val="20"/>
          <w:szCs w:val="20"/>
        </w:rPr>
        <w:t>FY2025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22"/>
        <w:gridCol w:w="1559"/>
        <w:gridCol w:w="1560"/>
        <w:gridCol w:w="1560"/>
        <w:gridCol w:w="1560"/>
        <w:gridCol w:w="867"/>
      </w:tblGrid>
      <w:tr w:rsidR="00B05CC7" w:rsidRPr="00EE1B17" w14:paraId="2DF32D78" w14:textId="77777777">
        <w:trPr>
          <w:tblHeader/>
        </w:trPr>
        <w:tc>
          <w:tcPr>
            <w:tcW w:w="1400" w:type="pct"/>
            <w:shd w:val="clear" w:color="auto" w:fill="1F3864"/>
            <w:tcMar>
              <w:top w:w="60" w:type="dxa"/>
              <w:left w:w="100" w:type="dxa"/>
              <w:bottom w:w="60" w:type="dxa"/>
              <w:right w:w="100" w:type="dxa"/>
            </w:tcMar>
            <w:vAlign w:val="center"/>
          </w:tcPr>
          <w:p w14:paraId="7DC953C9"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Ratio</w:t>
            </w:r>
          </w:p>
        </w:tc>
        <w:tc>
          <w:tcPr>
            <w:tcW w:w="900" w:type="pct"/>
            <w:shd w:val="clear" w:color="auto" w:fill="1F3864"/>
            <w:tcMar>
              <w:top w:w="60" w:type="dxa"/>
              <w:left w:w="100" w:type="dxa"/>
              <w:bottom w:w="60" w:type="dxa"/>
              <w:right w:w="100" w:type="dxa"/>
            </w:tcMar>
            <w:vAlign w:val="center"/>
          </w:tcPr>
          <w:p w14:paraId="2FA05416"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FY2021</w:t>
            </w:r>
          </w:p>
        </w:tc>
        <w:tc>
          <w:tcPr>
            <w:tcW w:w="900" w:type="pct"/>
            <w:shd w:val="clear" w:color="auto" w:fill="1F3864"/>
            <w:tcMar>
              <w:top w:w="60" w:type="dxa"/>
              <w:left w:w="100" w:type="dxa"/>
              <w:bottom w:w="60" w:type="dxa"/>
              <w:right w:w="100" w:type="dxa"/>
            </w:tcMar>
            <w:vAlign w:val="center"/>
          </w:tcPr>
          <w:p w14:paraId="34C69274"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FY2022</w:t>
            </w:r>
          </w:p>
        </w:tc>
        <w:tc>
          <w:tcPr>
            <w:tcW w:w="900" w:type="pct"/>
            <w:shd w:val="clear" w:color="auto" w:fill="1F3864"/>
            <w:tcMar>
              <w:top w:w="60" w:type="dxa"/>
              <w:left w:w="100" w:type="dxa"/>
              <w:bottom w:w="60" w:type="dxa"/>
              <w:right w:w="100" w:type="dxa"/>
            </w:tcMar>
            <w:vAlign w:val="center"/>
          </w:tcPr>
          <w:p w14:paraId="40ED4A67"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FY2023</w:t>
            </w:r>
          </w:p>
        </w:tc>
        <w:tc>
          <w:tcPr>
            <w:tcW w:w="900" w:type="pct"/>
            <w:shd w:val="clear" w:color="auto" w:fill="1F3864"/>
            <w:tcMar>
              <w:top w:w="60" w:type="dxa"/>
              <w:left w:w="100" w:type="dxa"/>
              <w:bottom w:w="60" w:type="dxa"/>
              <w:right w:w="100" w:type="dxa"/>
            </w:tcMar>
            <w:vAlign w:val="center"/>
          </w:tcPr>
          <w:p w14:paraId="6A4C1839"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FY2024</w:t>
            </w:r>
          </w:p>
        </w:tc>
        <w:tc>
          <w:tcPr>
            <w:tcW w:w="1000" w:type="pct"/>
            <w:shd w:val="clear" w:color="auto" w:fill="1F3864"/>
            <w:tcMar>
              <w:top w:w="60" w:type="dxa"/>
              <w:left w:w="100" w:type="dxa"/>
              <w:bottom w:w="60" w:type="dxa"/>
              <w:right w:w="100" w:type="dxa"/>
            </w:tcMar>
            <w:vAlign w:val="center"/>
          </w:tcPr>
          <w:p w14:paraId="044A3580" w14:textId="77777777" w:rsidR="00B05CC7" w:rsidRPr="00EE1B17" w:rsidRDefault="00000000">
            <w:pPr>
              <w:jc w:val="center"/>
              <w:rPr>
                <w:rFonts w:ascii="Times New Roman" w:hAnsi="Times New Roman" w:cs="Times New Roman"/>
              </w:rPr>
            </w:pPr>
            <w:r w:rsidRPr="00EE1B17">
              <w:rPr>
                <w:rFonts w:ascii="Times New Roman" w:hAnsi="Times New Roman" w:cs="Times New Roman"/>
                <w:b/>
                <w:bCs/>
                <w:color w:val="FFFFFF"/>
                <w:sz w:val="20"/>
                <w:szCs w:val="20"/>
              </w:rPr>
              <w:t>FY2025</w:t>
            </w:r>
          </w:p>
        </w:tc>
      </w:tr>
      <w:tr w:rsidR="00B05CC7" w:rsidRPr="00EE1B17" w14:paraId="3A3FC326" w14:textId="77777777">
        <w:tc>
          <w:tcPr>
            <w:tcW w:w="1400" w:type="pct"/>
            <w:tcMar>
              <w:top w:w="60" w:type="dxa"/>
              <w:left w:w="100" w:type="dxa"/>
              <w:bottom w:w="60" w:type="dxa"/>
              <w:right w:w="100" w:type="dxa"/>
            </w:tcMar>
            <w:vAlign w:val="center"/>
          </w:tcPr>
          <w:p w14:paraId="65241062"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Revenue growth (%)</w:t>
            </w:r>
          </w:p>
        </w:tc>
        <w:tc>
          <w:tcPr>
            <w:tcW w:w="900" w:type="pct"/>
            <w:tcMar>
              <w:top w:w="60" w:type="dxa"/>
              <w:left w:w="100" w:type="dxa"/>
              <w:bottom w:w="60" w:type="dxa"/>
              <w:right w:w="100" w:type="dxa"/>
            </w:tcMar>
            <w:vAlign w:val="center"/>
          </w:tcPr>
          <w:p w14:paraId="33957DD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n/a</w:t>
            </w:r>
          </w:p>
        </w:tc>
        <w:tc>
          <w:tcPr>
            <w:tcW w:w="900" w:type="pct"/>
            <w:tcMar>
              <w:top w:w="60" w:type="dxa"/>
              <w:left w:w="100" w:type="dxa"/>
              <w:bottom w:w="60" w:type="dxa"/>
              <w:right w:w="100" w:type="dxa"/>
            </w:tcMar>
            <w:vAlign w:val="center"/>
          </w:tcPr>
          <w:p w14:paraId="090A16E0"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n/a</w:t>
            </w:r>
          </w:p>
        </w:tc>
        <w:tc>
          <w:tcPr>
            <w:tcW w:w="900" w:type="pct"/>
            <w:tcMar>
              <w:top w:w="60" w:type="dxa"/>
              <w:left w:w="100" w:type="dxa"/>
              <w:bottom w:w="60" w:type="dxa"/>
              <w:right w:w="100" w:type="dxa"/>
            </w:tcMar>
            <w:vAlign w:val="center"/>
          </w:tcPr>
          <w:p w14:paraId="631C3A7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33.1%</w:t>
            </w:r>
          </w:p>
        </w:tc>
        <w:tc>
          <w:tcPr>
            <w:tcW w:w="900" w:type="pct"/>
            <w:tcMar>
              <w:top w:w="60" w:type="dxa"/>
              <w:left w:w="100" w:type="dxa"/>
              <w:bottom w:w="60" w:type="dxa"/>
              <w:right w:w="100" w:type="dxa"/>
            </w:tcMar>
            <w:vAlign w:val="center"/>
          </w:tcPr>
          <w:p w14:paraId="4CFB855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10.8%</w:t>
            </w:r>
          </w:p>
        </w:tc>
        <w:tc>
          <w:tcPr>
            <w:tcW w:w="1000" w:type="pct"/>
            <w:tcMar>
              <w:top w:w="60" w:type="dxa"/>
              <w:left w:w="100" w:type="dxa"/>
              <w:bottom w:w="60" w:type="dxa"/>
              <w:right w:w="100" w:type="dxa"/>
            </w:tcMar>
            <w:vAlign w:val="center"/>
          </w:tcPr>
          <w:p w14:paraId="6837A848"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9.7%</w:t>
            </w:r>
          </w:p>
        </w:tc>
      </w:tr>
      <w:tr w:rsidR="00B05CC7" w:rsidRPr="00EE1B17" w14:paraId="3AF503C4" w14:textId="77777777">
        <w:tc>
          <w:tcPr>
            <w:tcW w:w="1400" w:type="pct"/>
            <w:tcMar>
              <w:top w:w="60" w:type="dxa"/>
              <w:left w:w="100" w:type="dxa"/>
              <w:bottom w:w="60" w:type="dxa"/>
              <w:right w:w="100" w:type="dxa"/>
            </w:tcMar>
            <w:vAlign w:val="center"/>
          </w:tcPr>
          <w:p w14:paraId="3B2E5F59"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Gross margin (%)</w:t>
            </w:r>
          </w:p>
        </w:tc>
        <w:tc>
          <w:tcPr>
            <w:tcW w:w="900" w:type="pct"/>
            <w:tcMar>
              <w:top w:w="60" w:type="dxa"/>
              <w:left w:w="100" w:type="dxa"/>
              <w:bottom w:w="60" w:type="dxa"/>
              <w:right w:w="100" w:type="dxa"/>
            </w:tcMar>
            <w:vAlign w:val="center"/>
          </w:tcPr>
          <w:p w14:paraId="7D0CAB4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n/a</w:t>
            </w:r>
          </w:p>
        </w:tc>
        <w:tc>
          <w:tcPr>
            <w:tcW w:w="900" w:type="pct"/>
            <w:tcMar>
              <w:top w:w="60" w:type="dxa"/>
              <w:left w:w="100" w:type="dxa"/>
              <w:bottom w:w="60" w:type="dxa"/>
              <w:right w:w="100" w:type="dxa"/>
            </w:tcMar>
            <w:vAlign w:val="center"/>
          </w:tcPr>
          <w:p w14:paraId="6A149E3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32.5%</w:t>
            </w:r>
          </w:p>
        </w:tc>
        <w:tc>
          <w:tcPr>
            <w:tcW w:w="900" w:type="pct"/>
            <w:tcMar>
              <w:top w:w="60" w:type="dxa"/>
              <w:left w:w="100" w:type="dxa"/>
              <w:bottom w:w="60" w:type="dxa"/>
              <w:right w:w="100" w:type="dxa"/>
            </w:tcMar>
            <w:vAlign w:val="center"/>
          </w:tcPr>
          <w:p w14:paraId="340747F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32.6%</w:t>
            </w:r>
          </w:p>
        </w:tc>
        <w:tc>
          <w:tcPr>
            <w:tcW w:w="900" w:type="pct"/>
            <w:tcMar>
              <w:top w:w="60" w:type="dxa"/>
              <w:left w:w="100" w:type="dxa"/>
              <w:bottom w:w="60" w:type="dxa"/>
              <w:right w:w="100" w:type="dxa"/>
            </w:tcMar>
            <w:vAlign w:val="center"/>
          </w:tcPr>
          <w:p w14:paraId="1661160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33.2%</w:t>
            </w:r>
          </w:p>
        </w:tc>
        <w:tc>
          <w:tcPr>
            <w:tcW w:w="1000" w:type="pct"/>
            <w:tcMar>
              <w:top w:w="60" w:type="dxa"/>
              <w:left w:w="100" w:type="dxa"/>
              <w:bottom w:w="60" w:type="dxa"/>
              <w:right w:w="100" w:type="dxa"/>
            </w:tcMar>
            <w:vAlign w:val="center"/>
          </w:tcPr>
          <w:p w14:paraId="25975DC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33.4%</w:t>
            </w:r>
          </w:p>
        </w:tc>
      </w:tr>
      <w:tr w:rsidR="00B05CC7" w:rsidRPr="00EE1B17" w14:paraId="5293468A" w14:textId="77777777">
        <w:tc>
          <w:tcPr>
            <w:tcW w:w="1400" w:type="pct"/>
            <w:tcMar>
              <w:top w:w="60" w:type="dxa"/>
              <w:left w:w="100" w:type="dxa"/>
              <w:bottom w:w="60" w:type="dxa"/>
              <w:right w:w="100" w:type="dxa"/>
            </w:tcMar>
            <w:vAlign w:val="center"/>
          </w:tcPr>
          <w:p w14:paraId="649E4EB1"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Underlying operating margin (%)</w:t>
            </w:r>
          </w:p>
        </w:tc>
        <w:tc>
          <w:tcPr>
            <w:tcW w:w="900" w:type="pct"/>
            <w:tcMar>
              <w:top w:w="60" w:type="dxa"/>
              <w:left w:w="100" w:type="dxa"/>
              <w:bottom w:w="60" w:type="dxa"/>
              <w:right w:w="100" w:type="dxa"/>
            </w:tcMar>
            <w:vAlign w:val="center"/>
          </w:tcPr>
          <w:p w14:paraId="283DC9F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2.9%</w:t>
            </w:r>
          </w:p>
        </w:tc>
        <w:tc>
          <w:tcPr>
            <w:tcW w:w="900" w:type="pct"/>
            <w:tcMar>
              <w:top w:w="60" w:type="dxa"/>
              <w:left w:w="100" w:type="dxa"/>
              <w:bottom w:w="60" w:type="dxa"/>
              <w:right w:w="100" w:type="dxa"/>
            </w:tcMar>
            <w:vAlign w:val="center"/>
          </w:tcPr>
          <w:p w14:paraId="657B127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6.2%</w:t>
            </w:r>
          </w:p>
        </w:tc>
        <w:tc>
          <w:tcPr>
            <w:tcW w:w="900" w:type="pct"/>
            <w:tcMar>
              <w:top w:w="60" w:type="dxa"/>
              <w:left w:w="100" w:type="dxa"/>
              <w:bottom w:w="60" w:type="dxa"/>
              <w:right w:w="100" w:type="dxa"/>
            </w:tcMar>
            <w:vAlign w:val="center"/>
          </w:tcPr>
          <w:p w14:paraId="3D80C02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6.8%</w:t>
            </w:r>
          </w:p>
        </w:tc>
        <w:tc>
          <w:tcPr>
            <w:tcW w:w="900" w:type="pct"/>
            <w:tcMar>
              <w:top w:w="60" w:type="dxa"/>
              <w:left w:w="100" w:type="dxa"/>
              <w:bottom w:w="60" w:type="dxa"/>
              <w:right w:w="100" w:type="dxa"/>
            </w:tcMar>
            <w:vAlign w:val="center"/>
          </w:tcPr>
          <w:p w14:paraId="0F58F00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6.9%</w:t>
            </w:r>
          </w:p>
        </w:tc>
        <w:tc>
          <w:tcPr>
            <w:tcW w:w="1000" w:type="pct"/>
            <w:tcMar>
              <w:top w:w="60" w:type="dxa"/>
              <w:left w:w="100" w:type="dxa"/>
              <w:bottom w:w="60" w:type="dxa"/>
              <w:right w:w="100" w:type="dxa"/>
            </w:tcMar>
            <w:vAlign w:val="center"/>
          </w:tcPr>
          <w:p w14:paraId="61FD6ED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7.2%</w:t>
            </w:r>
          </w:p>
        </w:tc>
      </w:tr>
      <w:tr w:rsidR="00B05CC7" w:rsidRPr="00EE1B17" w14:paraId="2A5B7EAA" w14:textId="77777777">
        <w:tc>
          <w:tcPr>
            <w:tcW w:w="1400" w:type="pct"/>
            <w:tcMar>
              <w:top w:w="60" w:type="dxa"/>
              <w:left w:w="100" w:type="dxa"/>
              <w:bottom w:w="60" w:type="dxa"/>
              <w:right w:w="100" w:type="dxa"/>
            </w:tcMar>
            <w:vAlign w:val="center"/>
          </w:tcPr>
          <w:p w14:paraId="7705FAB0"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Return on equity (%, secondary est.)</w:t>
            </w:r>
          </w:p>
        </w:tc>
        <w:tc>
          <w:tcPr>
            <w:tcW w:w="900" w:type="pct"/>
            <w:tcMar>
              <w:top w:w="60" w:type="dxa"/>
              <w:left w:w="100" w:type="dxa"/>
              <w:bottom w:w="60" w:type="dxa"/>
              <w:right w:w="100" w:type="dxa"/>
            </w:tcMar>
            <w:vAlign w:val="center"/>
          </w:tcPr>
          <w:p w14:paraId="3B6F3AF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2.8%</w:t>
            </w:r>
          </w:p>
        </w:tc>
        <w:tc>
          <w:tcPr>
            <w:tcW w:w="900" w:type="pct"/>
            <w:tcMar>
              <w:top w:w="60" w:type="dxa"/>
              <w:left w:w="100" w:type="dxa"/>
              <w:bottom w:w="60" w:type="dxa"/>
              <w:right w:w="100" w:type="dxa"/>
            </w:tcMar>
            <w:vAlign w:val="center"/>
          </w:tcPr>
          <w:p w14:paraId="35369191"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7.3%</w:t>
            </w:r>
          </w:p>
        </w:tc>
        <w:tc>
          <w:tcPr>
            <w:tcW w:w="900" w:type="pct"/>
            <w:tcMar>
              <w:top w:w="60" w:type="dxa"/>
              <w:left w:w="100" w:type="dxa"/>
              <w:bottom w:w="60" w:type="dxa"/>
              <w:right w:w="100" w:type="dxa"/>
            </w:tcMar>
            <w:vAlign w:val="center"/>
          </w:tcPr>
          <w:p w14:paraId="097B2E1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21.2%</w:t>
            </w:r>
          </w:p>
        </w:tc>
        <w:tc>
          <w:tcPr>
            <w:tcW w:w="900" w:type="pct"/>
            <w:tcMar>
              <w:top w:w="60" w:type="dxa"/>
              <w:left w:w="100" w:type="dxa"/>
              <w:bottom w:w="60" w:type="dxa"/>
              <w:right w:w="100" w:type="dxa"/>
            </w:tcMar>
            <w:vAlign w:val="center"/>
          </w:tcPr>
          <w:p w14:paraId="55A4B81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21.0%</w:t>
            </w:r>
          </w:p>
        </w:tc>
        <w:tc>
          <w:tcPr>
            <w:tcW w:w="1000" w:type="pct"/>
            <w:tcMar>
              <w:top w:w="60" w:type="dxa"/>
              <w:left w:w="100" w:type="dxa"/>
              <w:bottom w:w="60" w:type="dxa"/>
              <w:right w:w="100" w:type="dxa"/>
            </w:tcMar>
            <w:vAlign w:val="center"/>
          </w:tcPr>
          <w:p w14:paraId="2B384FD6"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19.0%</w:t>
            </w:r>
          </w:p>
        </w:tc>
      </w:tr>
      <w:tr w:rsidR="00B05CC7" w:rsidRPr="00EE1B17" w14:paraId="4DAD73AF" w14:textId="77777777">
        <w:tc>
          <w:tcPr>
            <w:tcW w:w="1400" w:type="pct"/>
            <w:tcMar>
              <w:top w:w="60" w:type="dxa"/>
              <w:left w:w="100" w:type="dxa"/>
              <w:bottom w:w="60" w:type="dxa"/>
              <w:right w:w="100" w:type="dxa"/>
            </w:tcMar>
            <w:vAlign w:val="center"/>
          </w:tcPr>
          <w:p w14:paraId="131702E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Current ratio</w:t>
            </w:r>
          </w:p>
        </w:tc>
        <w:tc>
          <w:tcPr>
            <w:tcW w:w="900" w:type="pct"/>
            <w:tcMar>
              <w:top w:w="60" w:type="dxa"/>
              <w:left w:w="100" w:type="dxa"/>
              <w:bottom w:w="60" w:type="dxa"/>
              <w:right w:w="100" w:type="dxa"/>
            </w:tcMar>
            <w:vAlign w:val="center"/>
          </w:tcPr>
          <w:p w14:paraId="74D6DB70"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0.94</w:t>
            </w:r>
          </w:p>
        </w:tc>
        <w:tc>
          <w:tcPr>
            <w:tcW w:w="900" w:type="pct"/>
            <w:tcMar>
              <w:top w:w="60" w:type="dxa"/>
              <w:left w:w="100" w:type="dxa"/>
              <w:bottom w:w="60" w:type="dxa"/>
              <w:right w:w="100" w:type="dxa"/>
            </w:tcMar>
            <w:vAlign w:val="center"/>
          </w:tcPr>
          <w:p w14:paraId="71AD4621"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0.95</w:t>
            </w:r>
          </w:p>
        </w:tc>
        <w:tc>
          <w:tcPr>
            <w:tcW w:w="900" w:type="pct"/>
            <w:tcMar>
              <w:top w:w="60" w:type="dxa"/>
              <w:left w:w="100" w:type="dxa"/>
              <w:bottom w:w="60" w:type="dxa"/>
              <w:right w:w="100" w:type="dxa"/>
            </w:tcMar>
            <w:vAlign w:val="center"/>
          </w:tcPr>
          <w:p w14:paraId="1F68564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0.75</w:t>
            </w:r>
          </w:p>
        </w:tc>
        <w:tc>
          <w:tcPr>
            <w:tcW w:w="900" w:type="pct"/>
            <w:tcMar>
              <w:top w:w="60" w:type="dxa"/>
              <w:left w:w="100" w:type="dxa"/>
              <w:bottom w:w="60" w:type="dxa"/>
              <w:right w:w="100" w:type="dxa"/>
            </w:tcMar>
            <w:vAlign w:val="center"/>
          </w:tcPr>
          <w:p w14:paraId="00C39A9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0.95</w:t>
            </w:r>
          </w:p>
        </w:tc>
        <w:tc>
          <w:tcPr>
            <w:tcW w:w="1000" w:type="pct"/>
            <w:tcMar>
              <w:top w:w="60" w:type="dxa"/>
              <w:left w:w="100" w:type="dxa"/>
              <w:bottom w:w="60" w:type="dxa"/>
              <w:right w:w="100" w:type="dxa"/>
            </w:tcMar>
            <w:vAlign w:val="center"/>
          </w:tcPr>
          <w:p w14:paraId="6B0F86A6"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0.85</w:t>
            </w:r>
          </w:p>
        </w:tc>
      </w:tr>
      <w:tr w:rsidR="00B05CC7" w:rsidRPr="00EE1B17" w14:paraId="68CB818A" w14:textId="77777777">
        <w:tc>
          <w:tcPr>
            <w:tcW w:w="1400" w:type="pct"/>
            <w:tcMar>
              <w:top w:w="60" w:type="dxa"/>
              <w:left w:w="100" w:type="dxa"/>
              <w:bottom w:w="60" w:type="dxa"/>
              <w:right w:w="100" w:type="dxa"/>
            </w:tcMar>
            <w:vAlign w:val="center"/>
          </w:tcPr>
          <w:p w14:paraId="123BDCD0"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Quick ratio</w:t>
            </w:r>
          </w:p>
        </w:tc>
        <w:tc>
          <w:tcPr>
            <w:tcW w:w="900" w:type="pct"/>
            <w:tcMar>
              <w:top w:w="60" w:type="dxa"/>
              <w:left w:w="100" w:type="dxa"/>
              <w:bottom w:w="60" w:type="dxa"/>
              <w:right w:w="100" w:type="dxa"/>
            </w:tcMar>
            <w:vAlign w:val="center"/>
          </w:tcPr>
          <w:p w14:paraId="1D92E20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0.87</w:t>
            </w:r>
          </w:p>
        </w:tc>
        <w:tc>
          <w:tcPr>
            <w:tcW w:w="900" w:type="pct"/>
            <w:tcMar>
              <w:top w:w="60" w:type="dxa"/>
              <w:left w:w="100" w:type="dxa"/>
              <w:bottom w:w="60" w:type="dxa"/>
              <w:right w:w="100" w:type="dxa"/>
            </w:tcMar>
            <w:vAlign w:val="center"/>
          </w:tcPr>
          <w:p w14:paraId="26F6889A"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0.88</w:t>
            </w:r>
          </w:p>
        </w:tc>
        <w:tc>
          <w:tcPr>
            <w:tcW w:w="900" w:type="pct"/>
            <w:tcMar>
              <w:top w:w="60" w:type="dxa"/>
              <w:left w:w="100" w:type="dxa"/>
              <w:bottom w:w="60" w:type="dxa"/>
              <w:right w:w="100" w:type="dxa"/>
            </w:tcMar>
            <w:vAlign w:val="center"/>
          </w:tcPr>
          <w:p w14:paraId="5AE35628"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0.67</w:t>
            </w:r>
          </w:p>
        </w:tc>
        <w:tc>
          <w:tcPr>
            <w:tcW w:w="900" w:type="pct"/>
            <w:tcMar>
              <w:top w:w="60" w:type="dxa"/>
              <w:left w:w="100" w:type="dxa"/>
              <w:bottom w:w="60" w:type="dxa"/>
              <w:right w:w="100" w:type="dxa"/>
            </w:tcMar>
            <w:vAlign w:val="center"/>
          </w:tcPr>
          <w:p w14:paraId="5E6D310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0.86</w:t>
            </w:r>
          </w:p>
        </w:tc>
        <w:tc>
          <w:tcPr>
            <w:tcW w:w="1000" w:type="pct"/>
            <w:tcMar>
              <w:top w:w="60" w:type="dxa"/>
              <w:left w:w="100" w:type="dxa"/>
              <w:bottom w:w="60" w:type="dxa"/>
              <w:right w:w="100" w:type="dxa"/>
            </w:tcMar>
            <w:vAlign w:val="center"/>
          </w:tcPr>
          <w:p w14:paraId="1DFF5E25"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0.80</w:t>
            </w:r>
          </w:p>
        </w:tc>
      </w:tr>
      <w:tr w:rsidR="00B05CC7" w:rsidRPr="00EE1B17" w14:paraId="50A8194D" w14:textId="77777777">
        <w:tc>
          <w:tcPr>
            <w:tcW w:w="1400" w:type="pct"/>
            <w:tcMar>
              <w:top w:w="60" w:type="dxa"/>
              <w:left w:w="100" w:type="dxa"/>
              <w:bottom w:w="60" w:type="dxa"/>
              <w:right w:w="100" w:type="dxa"/>
            </w:tcMar>
            <w:vAlign w:val="center"/>
          </w:tcPr>
          <w:p w14:paraId="62356BA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Net debt / EBITDA (x)</w:t>
            </w:r>
          </w:p>
        </w:tc>
        <w:tc>
          <w:tcPr>
            <w:tcW w:w="900" w:type="pct"/>
            <w:tcMar>
              <w:top w:w="60" w:type="dxa"/>
              <w:left w:w="100" w:type="dxa"/>
              <w:bottom w:w="60" w:type="dxa"/>
              <w:right w:w="100" w:type="dxa"/>
            </w:tcMar>
            <w:vAlign w:val="center"/>
          </w:tcPr>
          <w:p w14:paraId="366F4A9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3.54x</w:t>
            </w:r>
          </w:p>
        </w:tc>
        <w:tc>
          <w:tcPr>
            <w:tcW w:w="900" w:type="pct"/>
            <w:tcMar>
              <w:top w:w="60" w:type="dxa"/>
              <w:left w:w="100" w:type="dxa"/>
              <w:bottom w:w="60" w:type="dxa"/>
              <w:right w:w="100" w:type="dxa"/>
            </w:tcMar>
            <w:vAlign w:val="center"/>
          </w:tcPr>
          <w:p w14:paraId="668E79A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2.06x</w:t>
            </w:r>
          </w:p>
        </w:tc>
        <w:tc>
          <w:tcPr>
            <w:tcW w:w="900" w:type="pct"/>
            <w:tcMar>
              <w:top w:w="60" w:type="dxa"/>
              <w:left w:w="100" w:type="dxa"/>
              <w:bottom w:w="60" w:type="dxa"/>
              <w:right w:w="100" w:type="dxa"/>
            </w:tcMar>
            <w:vAlign w:val="center"/>
          </w:tcPr>
          <w:p w14:paraId="02DD9E8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1.23x</w:t>
            </w:r>
          </w:p>
        </w:tc>
        <w:tc>
          <w:tcPr>
            <w:tcW w:w="900" w:type="pct"/>
            <w:tcMar>
              <w:top w:w="60" w:type="dxa"/>
              <w:left w:w="100" w:type="dxa"/>
              <w:bottom w:w="60" w:type="dxa"/>
              <w:right w:w="100" w:type="dxa"/>
            </w:tcMar>
            <w:vAlign w:val="center"/>
          </w:tcPr>
          <w:p w14:paraId="0B16CCD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1.55x</w:t>
            </w:r>
          </w:p>
        </w:tc>
        <w:tc>
          <w:tcPr>
            <w:tcW w:w="1000" w:type="pct"/>
            <w:tcMar>
              <w:top w:w="60" w:type="dxa"/>
              <w:left w:w="100" w:type="dxa"/>
              <w:bottom w:w="60" w:type="dxa"/>
              <w:right w:w="100" w:type="dxa"/>
            </w:tcMar>
            <w:vAlign w:val="center"/>
          </w:tcPr>
          <w:p w14:paraId="04BC8E3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1.42x</w:t>
            </w:r>
          </w:p>
        </w:tc>
      </w:tr>
      <w:tr w:rsidR="00B05CC7" w:rsidRPr="00EE1B17" w14:paraId="1CB842F1" w14:textId="77777777">
        <w:tc>
          <w:tcPr>
            <w:tcW w:w="1400" w:type="pct"/>
            <w:tcMar>
              <w:top w:w="60" w:type="dxa"/>
              <w:left w:w="100" w:type="dxa"/>
              <w:bottom w:w="60" w:type="dxa"/>
              <w:right w:w="100" w:type="dxa"/>
            </w:tcMar>
            <w:vAlign w:val="center"/>
          </w:tcPr>
          <w:p w14:paraId="5BDF874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Debt / Equity (x)</w:t>
            </w:r>
          </w:p>
        </w:tc>
        <w:tc>
          <w:tcPr>
            <w:tcW w:w="900" w:type="pct"/>
            <w:tcMar>
              <w:top w:w="60" w:type="dxa"/>
              <w:left w:w="100" w:type="dxa"/>
              <w:bottom w:w="60" w:type="dxa"/>
              <w:right w:w="100" w:type="dxa"/>
            </w:tcMar>
            <w:vAlign w:val="center"/>
          </w:tcPr>
          <w:p w14:paraId="2956703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0.99x</w:t>
            </w:r>
          </w:p>
        </w:tc>
        <w:tc>
          <w:tcPr>
            <w:tcW w:w="900" w:type="pct"/>
            <w:tcMar>
              <w:top w:w="60" w:type="dxa"/>
              <w:left w:w="100" w:type="dxa"/>
              <w:bottom w:w="60" w:type="dxa"/>
              <w:right w:w="100" w:type="dxa"/>
            </w:tcMar>
            <w:vAlign w:val="center"/>
          </w:tcPr>
          <w:p w14:paraId="741C90C6"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0.92x</w:t>
            </w:r>
          </w:p>
        </w:tc>
        <w:tc>
          <w:tcPr>
            <w:tcW w:w="900" w:type="pct"/>
            <w:tcMar>
              <w:top w:w="60" w:type="dxa"/>
              <w:left w:w="100" w:type="dxa"/>
              <w:bottom w:w="60" w:type="dxa"/>
              <w:right w:w="100" w:type="dxa"/>
            </w:tcMar>
            <w:vAlign w:val="center"/>
          </w:tcPr>
          <w:p w14:paraId="06EAFA1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0.84x</w:t>
            </w:r>
          </w:p>
        </w:tc>
        <w:tc>
          <w:tcPr>
            <w:tcW w:w="900" w:type="pct"/>
            <w:tcMar>
              <w:top w:w="60" w:type="dxa"/>
              <w:left w:w="100" w:type="dxa"/>
              <w:bottom w:w="60" w:type="dxa"/>
              <w:right w:w="100" w:type="dxa"/>
            </w:tcMar>
            <w:vAlign w:val="center"/>
          </w:tcPr>
          <w:p w14:paraId="7F89D98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0.87x</w:t>
            </w:r>
          </w:p>
        </w:tc>
        <w:tc>
          <w:tcPr>
            <w:tcW w:w="1000" w:type="pct"/>
            <w:tcMar>
              <w:top w:w="60" w:type="dxa"/>
              <w:left w:w="100" w:type="dxa"/>
              <w:bottom w:w="60" w:type="dxa"/>
              <w:right w:w="100" w:type="dxa"/>
            </w:tcMar>
            <w:vAlign w:val="center"/>
          </w:tcPr>
          <w:p w14:paraId="666A7285"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0.83x</w:t>
            </w:r>
          </w:p>
        </w:tc>
      </w:tr>
      <w:tr w:rsidR="00B05CC7" w:rsidRPr="00EE1B17" w14:paraId="363DF177" w14:textId="77777777">
        <w:tc>
          <w:tcPr>
            <w:tcW w:w="1400" w:type="pct"/>
            <w:tcMar>
              <w:top w:w="60" w:type="dxa"/>
              <w:left w:w="100" w:type="dxa"/>
              <w:bottom w:w="60" w:type="dxa"/>
              <w:right w:w="100" w:type="dxa"/>
            </w:tcMar>
            <w:vAlign w:val="center"/>
          </w:tcPr>
          <w:p w14:paraId="63ECDD3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Interest cover (x)</w:t>
            </w:r>
          </w:p>
        </w:tc>
        <w:tc>
          <w:tcPr>
            <w:tcW w:w="900" w:type="pct"/>
            <w:tcMar>
              <w:top w:w="60" w:type="dxa"/>
              <w:left w:w="100" w:type="dxa"/>
              <w:bottom w:w="60" w:type="dxa"/>
              <w:right w:w="100" w:type="dxa"/>
            </w:tcMar>
            <w:vAlign w:val="center"/>
          </w:tcPr>
          <w:p w14:paraId="10F01DC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3.96x</w:t>
            </w:r>
          </w:p>
        </w:tc>
        <w:tc>
          <w:tcPr>
            <w:tcW w:w="900" w:type="pct"/>
            <w:tcMar>
              <w:top w:w="60" w:type="dxa"/>
              <w:left w:w="100" w:type="dxa"/>
              <w:bottom w:w="60" w:type="dxa"/>
              <w:right w:w="100" w:type="dxa"/>
            </w:tcMar>
            <w:vAlign w:val="center"/>
          </w:tcPr>
          <w:p w14:paraId="66B3A3CD"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8.46x</w:t>
            </w:r>
          </w:p>
        </w:tc>
        <w:tc>
          <w:tcPr>
            <w:tcW w:w="900" w:type="pct"/>
            <w:tcMar>
              <w:top w:w="60" w:type="dxa"/>
              <w:left w:w="100" w:type="dxa"/>
              <w:bottom w:w="60" w:type="dxa"/>
              <w:right w:w="100" w:type="dxa"/>
            </w:tcMar>
            <w:vAlign w:val="center"/>
          </w:tcPr>
          <w:p w14:paraId="149FCC0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13.69x</w:t>
            </w:r>
          </w:p>
        </w:tc>
        <w:tc>
          <w:tcPr>
            <w:tcW w:w="900" w:type="pct"/>
            <w:tcMar>
              <w:top w:w="60" w:type="dxa"/>
              <w:left w:w="100" w:type="dxa"/>
              <w:bottom w:w="60" w:type="dxa"/>
              <w:right w:w="100" w:type="dxa"/>
            </w:tcMar>
            <w:vAlign w:val="center"/>
          </w:tcPr>
          <w:p w14:paraId="51624F1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10.16x</w:t>
            </w:r>
          </w:p>
        </w:tc>
        <w:tc>
          <w:tcPr>
            <w:tcW w:w="1000" w:type="pct"/>
            <w:tcMar>
              <w:top w:w="60" w:type="dxa"/>
              <w:left w:w="100" w:type="dxa"/>
              <w:bottom w:w="60" w:type="dxa"/>
              <w:right w:w="100" w:type="dxa"/>
            </w:tcMar>
            <w:vAlign w:val="center"/>
          </w:tcPr>
          <w:p w14:paraId="438090C0" w14:textId="77777777" w:rsidR="00B05CC7" w:rsidRPr="00EE1B17" w:rsidRDefault="00000000">
            <w:pPr>
              <w:jc w:val="center"/>
              <w:rPr>
                <w:rFonts w:ascii="Times New Roman" w:hAnsi="Times New Roman" w:cs="Times New Roman"/>
              </w:rPr>
            </w:pPr>
            <w:r w:rsidRPr="00EE1B17">
              <w:rPr>
                <w:rFonts w:ascii="Cambria Math" w:hAnsi="Cambria Math" w:cs="Cambria Math"/>
                <w:color w:val="000000"/>
                <w:sz w:val="20"/>
                <w:szCs w:val="20"/>
              </w:rPr>
              <w:t>≊</w:t>
            </w:r>
            <w:r w:rsidRPr="00EE1B17">
              <w:rPr>
                <w:rFonts w:ascii="Times New Roman" w:hAnsi="Times New Roman" w:cs="Times New Roman"/>
                <w:color w:val="000000"/>
                <w:sz w:val="20"/>
                <w:szCs w:val="20"/>
              </w:rPr>
              <w:t>12.5x</w:t>
            </w:r>
          </w:p>
        </w:tc>
      </w:tr>
      <w:tr w:rsidR="00B05CC7" w:rsidRPr="00EE1B17" w14:paraId="733FD7ED" w14:textId="77777777">
        <w:tc>
          <w:tcPr>
            <w:tcW w:w="1400" w:type="pct"/>
            <w:tcMar>
              <w:top w:w="60" w:type="dxa"/>
              <w:left w:w="100" w:type="dxa"/>
              <w:bottom w:w="60" w:type="dxa"/>
              <w:right w:w="100" w:type="dxa"/>
            </w:tcMar>
            <w:vAlign w:val="center"/>
          </w:tcPr>
          <w:p w14:paraId="0165224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Underlying FCF conversion (%)</w:t>
            </w:r>
          </w:p>
        </w:tc>
        <w:tc>
          <w:tcPr>
            <w:tcW w:w="900" w:type="pct"/>
            <w:tcMar>
              <w:top w:w="60" w:type="dxa"/>
              <w:left w:w="100" w:type="dxa"/>
              <w:bottom w:w="60" w:type="dxa"/>
              <w:right w:w="100" w:type="dxa"/>
            </w:tcMar>
            <w:vAlign w:val="center"/>
          </w:tcPr>
          <w:p w14:paraId="1FE17CB4"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n/a</w:t>
            </w:r>
          </w:p>
        </w:tc>
        <w:tc>
          <w:tcPr>
            <w:tcW w:w="900" w:type="pct"/>
            <w:tcMar>
              <w:top w:w="60" w:type="dxa"/>
              <w:left w:w="100" w:type="dxa"/>
              <w:bottom w:w="60" w:type="dxa"/>
              <w:right w:w="100" w:type="dxa"/>
            </w:tcMar>
            <w:vAlign w:val="center"/>
          </w:tcPr>
          <w:p w14:paraId="2879B69F"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n/a</w:t>
            </w:r>
          </w:p>
        </w:tc>
        <w:tc>
          <w:tcPr>
            <w:tcW w:w="900" w:type="pct"/>
            <w:tcMar>
              <w:top w:w="60" w:type="dxa"/>
              <w:left w:w="100" w:type="dxa"/>
              <w:bottom w:w="60" w:type="dxa"/>
              <w:right w:w="100" w:type="dxa"/>
            </w:tcMar>
            <w:vAlign w:val="center"/>
          </w:tcPr>
          <w:p w14:paraId="605FBDB3"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58.5%</w:t>
            </w:r>
          </w:p>
        </w:tc>
        <w:tc>
          <w:tcPr>
            <w:tcW w:w="900" w:type="pct"/>
            <w:tcMar>
              <w:top w:w="60" w:type="dxa"/>
              <w:left w:w="100" w:type="dxa"/>
              <w:bottom w:w="60" w:type="dxa"/>
              <w:right w:w="100" w:type="dxa"/>
            </w:tcMar>
            <w:vAlign w:val="center"/>
          </w:tcPr>
          <w:p w14:paraId="53FD6C9B"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58.0%</w:t>
            </w:r>
          </w:p>
        </w:tc>
        <w:tc>
          <w:tcPr>
            <w:tcW w:w="1000" w:type="pct"/>
            <w:tcMar>
              <w:top w:w="60" w:type="dxa"/>
              <w:left w:w="100" w:type="dxa"/>
              <w:bottom w:w="60" w:type="dxa"/>
              <w:right w:w="100" w:type="dxa"/>
            </w:tcMar>
            <w:vAlign w:val="center"/>
          </w:tcPr>
          <w:p w14:paraId="3C3C601C" w14:textId="77777777" w:rsidR="00B05CC7" w:rsidRPr="00EE1B17" w:rsidRDefault="00000000">
            <w:pPr>
              <w:jc w:val="center"/>
              <w:rPr>
                <w:rFonts w:ascii="Times New Roman" w:hAnsi="Times New Roman" w:cs="Times New Roman"/>
              </w:rPr>
            </w:pPr>
            <w:r w:rsidRPr="00EE1B17">
              <w:rPr>
                <w:rFonts w:ascii="Times New Roman" w:hAnsi="Times New Roman" w:cs="Times New Roman"/>
                <w:color w:val="000000"/>
                <w:sz w:val="20"/>
                <w:szCs w:val="20"/>
              </w:rPr>
              <w:t>87.8%</w:t>
            </w:r>
          </w:p>
        </w:tc>
      </w:tr>
    </w:tbl>
    <w:p w14:paraId="734BA36B" w14:textId="4624BD13" w:rsidR="00B05CC7" w:rsidRPr="00EE1B17" w:rsidRDefault="00000000">
      <w:pPr>
        <w:spacing w:after="200"/>
        <w:rPr>
          <w:rFonts w:ascii="Times New Roman" w:hAnsi="Times New Roman" w:cs="Times New Roman"/>
        </w:rPr>
      </w:pPr>
      <w:r w:rsidRPr="00EE1B17">
        <w:rPr>
          <w:rFonts w:ascii="Times New Roman" w:hAnsi="Times New Roman" w:cs="Times New Roman"/>
          <w:i/>
          <w:iCs/>
          <w:sz w:val="18"/>
          <w:szCs w:val="18"/>
        </w:rPr>
        <w:t xml:space="preserve">Source: company annual reports and FY2025 press release (revenue, margin, FCF conversion, net debt/EBITDA, credit ratings); </w:t>
      </w:r>
      <w:r w:rsidR="00B45479" w:rsidRPr="00EE1B17">
        <w:rPr>
          <w:rFonts w:ascii="Times New Roman" w:hAnsi="Times New Roman" w:cs="Times New Roman"/>
          <w:i/>
          <w:iCs/>
          <w:sz w:val="18"/>
          <w:szCs w:val="18"/>
        </w:rPr>
        <w:t>Tip Ranks</w:t>
      </w:r>
      <w:r w:rsidRPr="00EE1B17">
        <w:rPr>
          <w:rFonts w:ascii="Times New Roman" w:hAnsi="Times New Roman" w:cs="Times New Roman"/>
          <w:i/>
          <w:iCs/>
          <w:sz w:val="18"/>
          <w:szCs w:val="18"/>
        </w:rPr>
        <w:t xml:space="preserve"> and StockAnalysis.com aggregator data (liquidity and leverage ratio time series, crosschecked and averaged where sources diverged). Figures marked n/a were not disclosed on a comparable basis for that year; FY2025 liquidity/leverage figures marked ≈ are estimated pending the full annual report ratio notes. Ratios are dimensionless or </w:t>
      </w:r>
      <w:r w:rsidR="00B45479" w:rsidRPr="00EE1B17">
        <w:rPr>
          <w:rFonts w:ascii="Times New Roman" w:hAnsi="Times New Roman" w:cs="Times New Roman"/>
          <w:i/>
          <w:iCs/>
          <w:sz w:val="18"/>
          <w:szCs w:val="18"/>
        </w:rPr>
        <w:t>percentage based</w:t>
      </w:r>
      <w:r w:rsidRPr="00EE1B17">
        <w:rPr>
          <w:rFonts w:ascii="Times New Roman" w:hAnsi="Times New Roman" w:cs="Times New Roman"/>
          <w:i/>
          <w:iCs/>
          <w:sz w:val="18"/>
          <w:szCs w:val="18"/>
        </w:rPr>
        <w:t xml:space="preserve"> and are therefore unaffected by the GBP presentation currency used elsewhere in this report.</w:t>
      </w:r>
    </w:p>
    <w:p w14:paraId="37C937AF" w14:textId="77777777" w:rsidR="00B05CC7" w:rsidRPr="00EE1B17" w:rsidRDefault="00000000">
      <w:pPr>
        <w:pStyle w:val="Heading2"/>
        <w:rPr>
          <w:rFonts w:ascii="Times New Roman" w:hAnsi="Times New Roman" w:cs="Times New Roman"/>
        </w:rPr>
      </w:pPr>
      <w:bookmarkStart w:id="30" w:name="_Toc237444803"/>
      <w:r w:rsidRPr="00EE1B17">
        <w:rPr>
          <w:rFonts w:ascii="Times New Roman" w:hAnsi="Times New Roman" w:cs="Times New Roman"/>
        </w:rPr>
        <w:t>Appendix B: Investment Appraisal Workbook</w:t>
      </w:r>
      <w:bookmarkEnd w:id="30"/>
    </w:p>
    <w:p w14:paraId="3D69F922" w14:textId="6A87AB7D" w:rsidR="00B05CC7" w:rsidRPr="00EE1B17" w:rsidRDefault="00000000">
      <w:pPr>
        <w:spacing w:after="160" w:line="276" w:lineRule="auto"/>
        <w:jc w:val="both"/>
        <w:rPr>
          <w:rFonts w:ascii="Times New Roman" w:hAnsi="Times New Roman" w:cs="Times New Roman"/>
        </w:rPr>
      </w:pPr>
      <w:r w:rsidRPr="00EE1B17">
        <w:rPr>
          <w:rFonts w:ascii="Times New Roman" w:hAnsi="Times New Roman" w:cs="Times New Roman"/>
        </w:rPr>
        <w:t xml:space="preserve">A </w:t>
      </w:r>
      <w:r w:rsidR="00B45479" w:rsidRPr="00EE1B17">
        <w:rPr>
          <w:rFonts w:ascii="Times New Roman" w:hAnsi="Times New Roman" w:cs="Times New Roman"/>
        </w:rPr>
        <w:t>formula driven</w:t>
      </w:r>
      <w:r w:rsidRPr="00EE1B17">
        <w:rPr>
          <w:rFonts w:ascii="Times New Roman" w:hAnsi="Times New Roman" w:cs="Times New Roman"/>
        </w:rPr>
        <w:t xml:space="preserve"> workbook underlies Section 4, containing the discounted cash flow build for all three projects at 8%; live NPV, PI, IRR, ARR and Payback Period formulas that recalculate automatically if inputs change; and the capital rationing comparison across all feasible project combinations under the £100m constraint. All summary figures quoted in Section 4 were independently recalculated by hand against the standard NPV, PI, Payback, IRR and ARR formulas before being entered into this report</w:t>
      </w:r>
      <w:r w:rsidR="00B45479">
        <w:rPr>
          <w:rFonts w:ascii="Times New Roman" w:hAnsi="Times New Roman" w:cs="Times New Roman"/>
        </w:rPr>
        <w:t>.</w:t>
      </w:r>
    </w:p>
    <w:p w14:paraId="25876EE9" w14:textId="77777777" w:rsidR="00B05CC7" w:rsidRPr="00EE1B17" w:rsidRDefault="00000000">
      <w:pPr>
        <w:rPr>
          <w:rFonts w:ascii="Times New Roman" w:hAnsi="Times New Roman" w:cs="Times New Roman"/>
        </w:rPr>
      </w:pPr>
      <w:r w:rsidRPr="00EE1B17">
        <w:rPr>
          <w:rFonts w:ascii="Times New Roman" w:hAnsi="Times New Roman" w:cs="Times New Roman"/>
        </w:rPr>
        <w:br w:type="page"/>
      </w:r>
    </w:p>
    <w:p w14:paraId="57B6A727" w14:textId="0EDAC4FD" w:rsidR="00B05CC7" w:rsidRPr="00EE1B17" w:rsidRDefault="00000000">
      <w:pPr>
        <w:pStyle w:val="Heading1"/>
        <w:rPr>
          <w:rFonts w:ascii="Times New Roman" w:hAnsi="Times New Roman" w:cs="Times New Roman"/>
        </w:rPr>
      </w:pPr>
      <w:bookmarkStart w:id="31" w:name="_Toc237444804"/>
      <w:r w:rsidRPr="00EE1B17">
        <w:rPr>
          <w:rFonts w:ascii="Times New Roman" w:hAnsi="Times New Roman" w:cs="Times New Roman"/>
        </w:rPr>
        <w:lastRenderedPageBreak/>
        <w:t>Reference</w:t>
      </w:r>
      <w:bookmarkEnd w:id="31"/>
    </w:p>
    <w:p w14:paraId="15375A16"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Chambers, N. and Cifter, A. (2022) 'Working capital management and firm performance in the hospitality and tourism industry', International Journal of Hospitality Management, 102, 103144.</w:t>
      </w:r>
    </w:p>
    <w:p w14:paraId="0787CC72"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Compass Group plc (2024) FY2024 Full Year Results Announcement, 26 November 2024. Chertsey: Compass Group plc.</w:t>
      </w:r>
    </w:p>
    <w:p w14:paraId="7FBAEBB4"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Compass Group plc (2025) Annual Report 2025. Chertsey: Compass Group plc.</w:t>
      </w:r>
    </w:p>
    <w:p w14:paraId="40F164BB"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Compass Group plc (2025) FY2025 Full Year Results Press Release, 25 November 2025. Chertsey: Compass Group plc.</w:t>
      </w:r>
    </w:p>
    <w:p w14:paraId="07B23C05" w14:textId="6FCD4735"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Deloof, M. (2003) 'Does working capital management affect profitability of Belgian firms?', Journal of Business Finance &amp; Accounting, 30(3</w:t>
      </w:r>
      <w:r w:rsidR="000E0F6F">
        <w:rPr>
          <w:rFonts w:ascii="Times New Roman" w:hAnsi="Times New Roman" w:cs="Times New Roman"/>
          <w:sz w:val="20"/>
          <w:szCs w:val="20"/>
        </w:rPr>
        <w:t>-</w:t>
      </w:r>
      <w:r w:rsidRPr="00EE1B17">
        <w:rPr>
          <w:rFonts w:ascii="Times New Roman" w:hAnsi="Times New Roman" w:cs="Times New Roman"/>
          <w:sz w:val="20"/>
          <w:szCs w:val="20"/>
        </w:rPr>
        <w:t>4), pp. 573</w:t>
      </w:r>
      <w:r w:rsidR="000E0F6F">
        <w:rPr>
          <w:rFonts w:ascii="Times New Roman" w:hAnsi="Times New Roman" w:cs="Times New Roman"/>
          <w:sz w:val="20"/>
          <w:szCs w:val="20"/>
        </w:rPr>
        <w:t>-</w:t>
      </w:r>
      <w:r w:rsidRPr="00EE1B17">
        <w:rPr>
          <w:rFonts w:ascii="Times New Roman" w:hAnsi="Times New Roman" w:cs="Times New Roman"/>
          <w:sz w:val="20"/>
          <w:szCs w:val="20"/>
        </w:rPr>
        <w:t>588.</w:t>
      </w:r>
    </w:p>
    <w:p w14:paraId="5BB53660" w14:textId="04C0A18F"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Graham, J.R. and Harvey, C.R. (2001) 'The theory and practice of corporate finance: Evidence from the field', Journal of Financial Economics, 60(2</w:t>
      </w:r>
      <w:r w:rsidR="000E0F6F">
        <w:rPr>
          <w:rFonts w:ascii="Times New Roman" w:hAnsi="Times New Roman" w:cs="Times New Roman"/>
          <w:sz w:val="20"/>
          <w:szCs w:val="20"/>
        </w:rPr>
        <w:t>-</w:t>
      </w:r>
      <w:r w:rsidRPr="00EE1B17">
        <w:rPr>
          <w:rFonts w:ascii="Times New Roman" w:hAnsi="Times New Roman" w:cs="Times New Roman"/>
          <w:sz w:val="20"/>
          <w:szCs w:val="20"/>
        </w:rPr>
        <w:t>3), pp. 187</w:t>
      </w:r>
      <w:r w:rsidR="000E0F6F">
        <w:rPr>
          <w:rFonts w:ascii="Times New Roman" w:hAnsi="Times New Roman" w:cs="Times New Roman"/>
          <w:sz w:val="20"/>
          <w:szCs w:val="20"/>
        </w:rPr>
        <w:t>-</w:t>
      </w:r>
      <w:r w:rsidRPr="00EE1B17">
        <w:rPr>
          <w:rFonts w:ascii="Times New Roman" w:hAnsi="Times New Roman" w:cs="Times New Roman"/>
          <w:sz w:val="20"/>
          <w:szCs w:val="20"/>
        </w:rPr>
        <w:t>243.</w:t>
      </w:r>
    </w:p>
    <w:p w14:paraId="51F3E14F" w14:textId="19EBDD1B"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Jensen, M.C. (1986) 'Agency costs of free cash flow, corporate finance, and takeovers', American Economic Review, 76(2), pp. 323</w:t>
      </w:r>
      <w:r w:rsidR="000E0F6F">
        <w:rPr>
          <w:rFonts w:ascii="Times New Roman" w:hAnsi="Times New Roman" w:cs="Times New Roman"/>
          <w:sz w:val="20"/>
          <w:szCs w:val="20"/>
        </w:rPr>
        <w:t>-</w:t>
      </w:r>
      <w:r w:rsidRPr="00EE1B17">
        <w:rPr>
          <w:rFonts w:ascii="Times New Roman" w:hAnsi="Times New Roman" w:cs="Times New Roman"/>
          <w:sz w:val="20"/>
          <w:szCs w:val="20"/>
        </w:rPr>
        <w:t>329.</w:t>
      </w:r>
    </w:p>
    <w:p w14:paraId="141764C6" w14:textId="3C30BB91"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 xml:space="preserve">Jensen, M.C. and Meckling, W.H. (1976) 'Theory of the firm: Managerial </w:t>
      </w:r>
      <w:r w:rsidR="000E0F6F" w:rsidRPr="00EE1B17">
        <w:rPr>
          <w:rFonts w:ascii="Times New Roman" w:hAnsi="Times New Roman" w:cs="Times New Roman"/>
          <w:sz w:val="20"/>
          <w:szCs w:val="20"/>
        </w:rPr>
        <w:t>behaviour</w:t>
      </w:r>
      <w:r w:rsidRPr="00EE1B17">
        <w:rPr>
          <w:rFonts w:ascii="Times New Roman" w:hAnsi="Times New Roman" w:cs="Times New Roman"/>
          <w:sz w:val="20"/>
          <w:szCs w:val="20"/>
        </w:rPr>
        <w:t>, agency costs and ownership structure', Journal of Financial Economics, 3(4), pp. 305</w:t>
      </w:r>
      <w:r w:rsidR="000E0F6F">
        <w:rPr>
          <w:rFonts w:ascii="Times New Roman" w:hAnsi="Times New Roman" w:cs="Times New Roman"/>
          <w:sz w:val="20"/>
          <w:szCs w:val="20"/>
        </w:rPr>
        <w:t>-</w:t>
      </w:r>
      <w:r w:rsidRPr="00EE1B17">
        <w:rPr>
          <w:rFonts w:ascii="Times New Roman" w:hAnsi="Times New Roman" w:cs="Times New Roman"/>
          <w:sz w:val="20"/>
          <w:szCs w:val="20"/>
        </w:rPr>
        <w:t>360.</w:t>
      </w:r>
    </w:p>
    <w:p w14:paraId="6081C7EF" w14:textId="59B533BA"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Lorie, J.H. and Savage, L.J. (1955) 'Three problems in rationing capital', Journal of Business, 28(4), pp. 229</w:t>
      </w:r>
      <w:r w:rsidR="000E0F6F">
        <w:rPr>
          <w:rFonts w:ascii="Times New Roman" w:hAnsi="Times New Roman" w:cs="Times New Roman"/>
          <w:sz w:val="20"/>
          <w:szCs w:val="20"/>
        </w:rPr>
        <w:t>-</w:t>
      </w:r>
      <w:r w:rsidRPr="00EE1B17">
        <w:rPr>
          <w:rFonts w:ascii="Times New Roman" w:hAnsi="Times New Roman" w:cs="Times New Roman"/>
          <w:sz w:val="20"/>
          <w:szCs w:val="20"/>
        </w:rPr>
        <w:t>239.</w:t>
      </w:r>
    </w:p>
    <w:p w14:paraId="6DE00B04" w14:textId="4A8B6850"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MacroTrends (2024) Sodexo current ratio and quick ratio, 2012</w:t>
      </w:r>
      <w:r w:rsidR="000E0F6F">
        <w:rPr>
          <w:rFonts w:ascii="Times New Roman" w:hAnsi="Times New Roman" w:cs="Times New Roman"/>
          <w:sz w:val="20"/>
          <w:szCs w:val="20"/>
        </w:rPr>
        <w:t>-</w:t>
      </w:r>
      <w:r w:rsidRPr="00EE1B17">
        <w:rPr>
          <w:rFonts w:ascii="Times New Roman" w:hAnsi="Times New Roman" w:cs="Times New Roman"/>
          <w:sz w:val="20"/>
          <w:szCs w:val="20"/>
        </w:rPr>
        <w:t>2025; restaurant industry current ratio benchmark, June 2024. Available at: https://www.macrotrends.net (Accessed: 10 August 2026).</w:t>
      </w:r>
    </w:p>
    <w:p w14:paraId="47138792" w14:textId="2D446074"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Modigliani, F. and Miller, M.H. (1958) 'The cost of capital, corporation finance and the theory of investment', American Economic Review, 48(3), pp. 261</w:t>
      </w:r>
      <w:r w:rsidR="000E0F6F">
        <w:rPr>
          <w:rFonts w:ascii="Times New Roman" w:hAnsi="Times New Roman" w:cs="Times New Roman"/>
          <w:sz w:val="20"/>
          <w:szCs w:val="20"/>
        </w:rPr>
        <w:t>-</w:t>
      </w:r>
      <w:r w:rsidRPr="00EE1B17">
        <w:rPr>
          <w:rFonts w:ascii="Times New Roman" w:hAnsi="Times New Roman" w:cs="Times New Roman"/>
          <w:sz w:val="20"/>
          <w:szCs w:val="20"/>
        </w:rPr>
        <w:t>297.</w:t>
      </w:r>
    </w:p>
    <w:p w14:paraId="5344D443" w14:textId="17907D15"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Myers, S.C. (1984) 'The capital structure puzzle', Journal of Finance, 39(3), pp. 574</w:t>
      </w:r>
      <w:r w:rsidR="000E0F6F">
        <w:rPr>
          <w:rFonts w:ascii="Times New Roman" w:hAnsi="Times New Roman" w:cs="Times New Roman"/>
          <w:sz w:val="20"/>
          <w:szCs w:val="20"/>
        </w:rPr>
        <w:t>-</w:t>
      </w:r>
      <w:r w:rsidRPr="00EE1B17">
        <w:rPr>
          <w:rFonts w:ascii="Times New Roman" w:hAnsi="Times New Roman" w:cs="Times New Roman"/>
          <w:sz w:val="20"/>
          <w:szCs w:val="20"/>
        </w:rPr>
        <w:t>592.</w:t>
      </w:r>
    </w:p>
    <w:p w14:paraId="12900195" w14:textId="3BBDC0B8"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Myers, S.C. and Majluf, N.S. (1984) 'Corporate financing and investment decisions when firms have information that investors do not have', Journal of Financial Economics, 13(2), pp. 187</w:t>
      </w:r>
      <w:r w:rsidR="000E0F6F">
        <w:rPr>
          <w:rFonts w:ascii="Times New Roman" w:hAnsi="Times New Roman" w:cs="Times New Roman"/>
          <w:sz w:val="20"/>
          <w:szCs w:val="20"/>
        </w:rPr>
        <w:t>-</w:t>
      </w:r>
      <w:r w:rsidRPr="00EE1B17">
        <w:rPr>
          <w:rFonts w:ascii="Times New Roman" w:hAnsi="Times New Roman" w:cs="Times New Roman"/>
          <w:sz w:val="20"/>
          <w:szCs w:val="20"/>
        </w:rPr>
        <w:t>221.</w:t>
      </w:r>
    </w:p>
    <w:p w14:paraId="3999728B" w14:textId="63CBFB88"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OECD (2021) Tax Challenges Arising from the Digitalisation of the Economy Global AntiBase Erosion Model Rules (Pillar Two). Paris: OECD Publishing.</w:t>
      </w:r>
    </w:p>
    <w:p w14:paraId="4ECC07ED"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Pike, R., Neale, B. and Linsley, P. (2018) Corporate Finance and Investment: Decisions and Strategies. 9th edn. Harlow: Pearson.</w:t>
      </w:r>
    </w:p>
    <w:p w14:paraId="0458E93E"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Rappaport, A. (1986) Creating Shareholder Value: The New Standard for Business Performance. New York: Free Press.</w:t>
      </w:r>
    </w:p>
    <w:p w14:paraId="61F89057" w14:textId="21D9D11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Richards, V.D. and Laughlin, E.J. (1980) 'A cash conversion cycle approach to liquidity analysis', Financial Management, 9(1), pp. 32</w:t>
      </w:r>
      <w:r w:rsidR="000E0F6F">
        <w:rPr>
          <w:rFonts w:ascii="Times New Roman" w:hAnsi="Times New Roman" w:cs="Times New Roman"/>
          <w:sz w:val="20"/>
          <w:szCs w:val="20"/>
        </w:rPr>
        <w:t>-</w:t>
      </w:r>
      <w:r w:rsidRPr="00EE1B17">
        <w:rPr>
          <w:rFonts w:ascii="Times New Roman" w:hAnsi="Times New Roman" w:cs="Times New Roman"/>
          <w:sz w:val="20"/>
          <w:szCs w:val="20"/>
        </w:rPr>
        <w:t>38.</w:t>
      </w:r>
    </w:p>
    <w:p w14:paraId="17C648E0" w14:textId="77777777"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StockAnalysis.com (2025) Compass Group (LON: CPG) statistics and valuation metrics. Available at: https://stockanalysis.com (Accessed: 10 August 2026).</w:t>
      </w:r>
    </w:p>
    <w:p w14:paraId="2CE6891A" w14:textId="36D7344D" w:rsidR="00B05CC7" w:rsidRPr="00EE1B17" w:rsidRDefault="007B7C63">
      <w:pPr>
        <w:spacing w:after="140"/>
        <w:ind w:left="720" w:hanging="720"/>
        <w:rPr>
          <w:rFonts w:ascii="Times New Roman" w:hAnsi="Times New Roman" w:cs="Times New Roman"/>
        </w:rPr>
      </w:pPr>
      <w:r w:rsidRPr="00EE1B17">
        <w:rPr>
          <w:rFonts w:ascii="Times New Roman" w:hAnsi="Times New Roman" w:cs="Times New Roman"/>
          <w:sz w:val="20"/>
          <w:szCs w:val="20"/>
        </w:rPr>
        <w:t>Tip Ranks (2025) Compass Group plc (CPG) and Sodexo SA financial ratios. Available at: https://www.tipranks.com (Accessed: 10 August 2026).</w:t>
      </w:r>
    </w:p>
    <w:p w14:paraId="2326681D" w14:textId="34833255" w:rsidR="00B05CC7" w:rsidRPr="00EE1B17" w:rsidRDefault="00000000">
      <w:pPr>
        <w:spacing w:after="140"/>
        <w:ind w:left="720" w:hanging="720"/>
        <w:rPr>
          <w:rFonts w:ascii="Times New Roman" w:hAnsi="Times New Roman" w:cs="Times New Roman"/>
        </w:rPr>
      </w:pPr>
      <w:r w:rsidRPr="00EE1B17">
        <w:rPr>
          <w:rFonts w:ascii="Times New Roman" w:hAnsi="Times New Roman" w:cs="Times New Roman"/>
          <w:sz w:val="20"/>
          <w:szCs w:val="20"/>
        </w:rPr>
        <w:t>XRates (2025) Exchange rate average: British Pound to US Dollar and British Pound to Euro, 2025. Available at: https://www.xrates.com (Accessed: 10 August 2026).</w:t>
      </w:r>
    </w:p>
    <w:p w14:paraId="1374E6D2" w14:textId="77777777" w:rsidR="00B05CC7" w:rsidRDefault="00000000">
      <w:pPr>
        <w:spacing w:after="140"/>
        <w:ind w:left="720" w:hanging="720"/>
        <w:rPr>
          <w:rFonts w:ascii="Times New Roman" w:hAnsi="Times New Roman" w:cs="Times New Roman"/>
          <w:sz w:val="20"/>
          <w:szCs w:val="20"/>
        </w:rPr>
      </w:pPr>
      <w:r w:rsidRPr="00EE1B17">
        <w:rPr>
          <w:rFonts w:ascii="Times New Roman" w:hAnsi="Times New Roman" w:cs="Times New Roman"/>
          <w:sz w:val="20"/>
          <w:szCs w:val="20"/>
        </w:rPr>
        <w:t>Yahoo Finance (2025) Compass Group PLC (CPG.L) income statement and balance sheet. Available at: https://finance.yahoo.com (Accessed: 10 August 2026).</w:t>
      </w:r>
    </w:p>
    <w:p w14:paraId="5FC708E7" w14:textId="77777777" w:rsidR="0032519A" w:rsidRPr="00EE1B17" w:rsidRDefault="0032519A">
      <w:pPr>
        <w:spacing w:after="140"/>
        <w:ind w:left="720" w:hanging="720"/>
        <w:rPr>
          <w:rFonts w:ascii="Times New Roman" w:hAnsi="Times New Roman" w:cs="Times New Roman"/>
        </w:rPr>
      </w:pPr>
    </w:p>
    <w:sectPr w:rsidR="0032519A" w:rsidRPr="00EE1B17">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8CED1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7632A5F"/>
    <w:multiLevelType w:val="hybridMultilevel"/>
    <w:tmpl w:val="91F036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430FF6"/>
    <w:multiLevelType w:val="hybridMultilevel"/>
    <w:tmpl w:val="25E8BD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4931993"/>
    <w:multiLevelType w:val="hybridMultilevel"/>
    <w:tmpl w:val="99B0964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4CD1EF0"/>
    <w:multiLevelType w:val="hybridMultilevel"/>
    <w:tmpl w:val="1588543E"/>
    <w:lvl w:ilvl="0" w:tplc="32207324">
      <w:start w:val="1"/>
      <w:numFmt w:val="bullet"/>
      <w:lvlText w:val="●"/>
      <w:lvlJc w:val="left"/>
      <w:pPr>
        <w:ind w:left="720" w:hanging="360"/>
      </w:pPr>
    </w:lvl>
    <w:lvl w:ilvl="1" w:tplc="8D1CD6E2">
      <w:start w:val="1"/>
      <w:numFmt w:val="bullet"/>
      <w:lvlText w:val="○"/>
      <w:lvlJc w:val="left"/>
      <w:pPr>
        <w:ind w:left="1440" w:hanging="360"/>
      </w:pPr>
    </w:lvl>
    <w:lvl w:ilvl="2" w:tplc="4A122B6A">
      <w:start w:val="1"/>
      <w:numFmt w:val="bullet"/>
      <w:lvlText w:val="■"/>
      <w:lvlJc w:val="left"/>
      <w:pPr>
        <w:ind w:left="2160" w:hanging="360"/>
      </w:pPr>
    </w:lvl>
    <w:lvl w:ilvl="3" w:tplc="F06023A4">
      <w:start w:val="1"/>
      <w:numFmt w:val="bullet"/>
      <w:lvlText w:val="●"/>
      <w:lvlJc w:val="left"/>
      <w:pPr>
        <w:ind w:left="2880" w:hanging="360"/>
      </w:pPr>
    </w:lvl>
    <w:lvl w:ilvl="4" w:tplc="C322941E">
      <w:start w:val="1"/>
      <w:numFmt w:val="bullet"/>
      <w:lvlText w:val="○"/>
      <w:lvlJc w:val="left"/>
      <w:pPr>
        <w:ind w:left="3600" w:hanging="360"/>
      </w:pPr>
    </w:lvl>
    <w:lvl w:ilvl="5" w:tplc="B6EC07DA">
      <w:start w:val="1"/>
      <w:numFmt w:val="bullet"/>
      <w:lvlText w:val="■"/>
      <w:lvlJc w:val="left"/>
      <w:pPr>
        <w:ind w:left="4320" w:hanging="360"/>
      </w:pPr>
    </w:lvl>
    <w:lvl w:ilvl="6" w:tplc="7ACA3CFA">
      <w:start w:val="1"/>
      <w:numFmt w:val="bullet"/>
      <w:lvlText w:val="●"/>
      <w:lvlJc w:val="left"/>
      <w:pPr>
        <w:ind w:left="5040" w:hanging="360"/>
      </w:pPr>
    </w:lvl>
    <w:lvl w:ilvl="7" w:tplc="BCB057BC">
      <w:start w:val="1"/>
      <w:numFmt w:val="bullet"/>
      <w:lvlText w:val="●"/>
      <w:lvlJc w:val="left"/>
      <w:pPr>
        <w:ind w:left="5760" w:hanging="360"/>
      </w:pPr>
    </w:lvl>
    <w:lvl w:ilvl="8" w:tplc="44E20288">
      <w:start w:val="1"/>
      <w:numFmt w:val="bullet"/>
      <w:lvlText w:val="●"/>
      <w:lvlJc w:val="left"/>
      <w:pPr>
        <w:ind w:left="6480" w:hanging="360"/>
      </w:pPr>
    </w:lvl>
  </w:abstractNum>
  <w:num w:numId="1" w16cid:durableId="781800701">
    <w:abstractNumId w:val="4"/>
    <w:lvlOverride w:ilvl="0">
      <w:startOverride w:val="1"/>
    </w:lvlOverride>
  </w:num>
  <w:num w:numId="2" w16cid:durableId="1303536560">
    <w:abstractNumId w:val="1"/>
  </w:num>
  <w:num w:numId="3" w16cid:durableId="1092625578">
    <w:abstractNumId w:val="2"/>
  </w:num>
  <w:num w:numId="4" w16cid:durableId="1645963259">
    <w:abstractNumId w:val="3"/>
  </w:num>
  <w:num w:numId="5" w16cid:durableId="1787263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CC7"/>
    <w:rsid w:val="000D5B2D"/>
    <w:rsid w:val="000E0F6F"/>
    <w:rsid w:val="000F513E"/>
    <w:rsid w:val="001122C0"/>
    <w:rsid w:val="00150CE0"/>
    <w:rsid w:val="0032519A"/>
    <w:rsid w:val="004517E6"/>
    <w:rsid w:val="004D1C41"/>
    <w:rsid w:val="004D6758"/>
    <w:rsid w:val="0050041F"/>
    <w:rsid w:val="0052475C"/>
    <w:rsid w:val="00683EAB"/>
    <w:rsid w:val="00736E8F"/>
    <w:rsid w:val="00784055"/>
    <w:rsid w:val="00793D61"/>
    <w:rsid w:val="007B7C63"/>
    <w:rsid w:val="009378A3"/>
    <w:rsid w:val="00A24715"/>
    <w:rsid w:val="00B05CC7"/>
    <w:rsid w:val="00B45479"/>
    <w:rsid w:val="00BB1059"/>
    <w:rsid w:val="00C91B13"/>
    <w:rsid w:val="00D35909"/>
    <w:rsid w:val="00EE1B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3CF55"/>
  <w15:docId w15:val="{65578809-783B-4935-91E7-58726A5A7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50"/>
      <w:outlineLvl w:val="0"/>
    </w:pPr>
    <w:rPr>
      <w:b/>
      <w:bCs/>
      <w:color w:val="1F3864"/>
      <w:sz w:val="30"/>
      <w:szCs w:val="30"/>
    </w:rPr>
  </w:style>
  <w:style w:type="paragraph" w:styleId="Heading2">
    <w:name w:val="heading 2"/>
    <w:uiPriority w:val="9"/>
    <w:unhideWhenUsed/>
    <w:qFormat/>
    <w:pPr>
      <w:spacing w:before="200" w:after="100"/>
      <w:outlineLvl w:val="1"/>
    </w:pPr>
    <w:rPr>
      <w:b/>
      <w:bCs/>
      <w:color w:val="2E5395"/>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EE1B17"/>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EE1B17"/>
    <w:pPr>
      <w:spacing w:after="100"/>
    </w:pPr>
  </w:style>
  <w:style w:type="paragraph" w:styleId="TOC2">
    <w:name w:val="toc 2"/>
    <w:basedOn w:val="Normal"/>
    <w:next w:val="Normal"/>
    <w:autoRedefine/>
    <w:uiPriority w:val="39"/>
    <w:unhideWhenUsed/>
    <w:rsid w:val="00EE1B17"/>
    <w:pPr>
      <w:spacing w:after="100"/>
      <w:ind w:left="220"/>
    </w:pPr>
  </w:style>
  <w:style w:type="paragraph" w:styleId="ListBullet">
    <w:name w:val="List Bullet"/>
    <w:basedOn w:val="Normal"/>
    <w:uiPriority w:val="99"/>
    <w:semiHidden/>
    <w:unhideWhenUsed/>
    <w:rsid w:val="000F513E"/>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39323A-733C-4672-99FB-C8FAA555CA18}">
  <we:reference id="3224b16f-7ab2-4dd6-852f-7f7d85619cde" version="1.5.0.0" store="EXCatalog" storeType="EXCatalog"/>
  <we:alternateReferences>
    <we:reference id="WA200000086" version="1.5.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59B36-1AD8-496E-8491-8FE27435D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6471</Words>
  <Characters>36889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Compass Group plc – CFO Financial Strategy Report</vt:lpstr>
    </vt:vector>
  </TitlesOfParts>
  <Company/>
  <LinksUpToDate>false</LinksUpToDate>
  <CharactersWithSpaces>43274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Compass Group plc – CFO Financial Strategy Report</dc:title>
  <dc:creator>Adeem Khan</dc:creator>
  <cp:lastModifiedBy>Adeem KHAN</cp:lastModifiedBy>
  <cp:revision>12</cp:revision>
  <dcterms:created xsi:type="dcterms:W3CDTF">2026-08-10T22:39:00Z</dcterms:created>
  <dcterms:modified xsi:type="dcterms:W3CDTF">2026-08-12T21:43:00Z</dcterms:modified>
</cp:coreProperties>
</file>