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087518" w14:textId="606A964C" w:rsidR="00B60148" w:rsidRPr="00B60148" w:rsidRDefault="00B60148" w:rsidP="00B60148">
      <w:pPr>
        <w:pStyle w:val="Heading1"/>
        <w:rPr>
          <w:rFonts w:ascii="Arial" w:hAnsi="Arial" w:cs="Arial"/>
          <w:color w:val="4F81BD" w:themeColor="accent1"/>
          <w:sz w:val="32"/>
          <w:szCs w:val="32"/>
        </w:rPr>
        <w:sectPr w:rsidR="00B60148" w:rsidRPr="00B60148" w:rsidSect="00B60148">
          <w:pgSz w:w="12240" w:h="15840"/>
          <w:pgMar w:top="1440" w:right="1800" w:bottom="1440" w:left="1800" w:header="720" w:footer="720" w:gutter="0"/>
          <w:cols w:space="720"/>
          <w:docGrid w:linePitch="360"/>
        </w:sectPr>
      </w:pPr>
      <w:r w:rsidRPr="00B60148">
        <w:rPr>
          <w:rStyle w:val="Heading1Char"/>
          <w:rFonts w:ascii="Arial" w:hAnsi="Arial" w:cs="Arial"/>
          <w:b/>
          <w:bCs/>
          <w:noProof/>
          <w:color w:val="4F81BD" w:themeColor="accent1"/>
          <w:sz w:val="44"/>
          <w:szCs w:val="44"/>
        </w:rPr>
        <w:drawing>
          <wp:anchor distT="0" distB="0" distL="114300" distR="114300" simplePos="0" relativeHeight="251658241" behindDoc="0" locked="0" layoutInCell="1" allowOverlap="1" wp14:anchorId="482A422D" wp14:editId="6A394177">
            <wp:simplePos x="0" y="0"/>
            <wp:positionH relativeFrom="column">
              <wp:posOffset>2928</wp:posOffset>
            </wp:positionH>
            <wp:positionV relativeFrom="page">
              <wp:posOffset>2153328</wp:posOffset>
            </wp:positionV>
            <wp:extent cx="2510155" cy="1968500"/>
            <wp:effectExtent l="0" t="0" r="4445" b="0"/>
            <wp:wrapTopAndBottom/>
            <wp:docPr id="11554684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546846" name="Picture 8"/>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10155" cy="1968500"/>
                    </a:xfrm>
                    <a:prstGeom prst="rect">
                      <a:avLst/>
                    </a:prstGeom>
                    <a:noFill/>
                  </pic:spPr>
                </pic:pic>
              </a:graphicData>
            </a:graphic>
            <wp14:sizeRelH relativeFrom="margin">
              <wp14:pctWidth>0</wp14:pctWidth>
            </wp14:sizeRelH>
            <wp14:sizeRelV relativeFrom="margin">
              <wp14:pctHeight>0</wp14:pctHeight>
            </wp14:sizeRelV>
          </wp:anchor>
        </w:drawing>
      </w:r>
      <w:r w:rsidR="002E1ECF" w:rsidRPr="00B60148">
        <w:rPr>
          <w:rStyle w:val="Heading1Char"/>
          <w:rFonts w:ascii="Arial" w:hAnsi="Arial" w:cs="Arial"/>
          <w:b/>
          <w:bCs/>
          <w:color w:val="4F81BD" w:themeColor="accent1"/>
          <w:sz w:val="32"/>
          <w:szCs w:val="32"/>
        </w:rPr>
        <w:t>DIGITAL HEALTH PROMOTION</w:t>
      </w:r>
      <w:r w:rsidR="00937963" w:rsidRPr="00B60148">
        <w:rPr>
          <w:rStyle w:val="Heading1Char"/>
          <w:rFonts w:ascii="Arial" w:hAnsi="Arial" w:cs="Arial"/>
          <w:b/>
          <w:bCs/>
          <w:color w:val="4F81BD" w:themeColor="accent1"/>
          <w:sz w:val="32"/>
          <w:szCs w:val="32"/>
        </w:rPr>
        <w:t xml:space="preserve">: </w:t>
      </w:r>
      <w:r w:rsidR="002E1ECF" w:rsidRPr="00B60148">
        <w:rPr>
          <w:rStyle w:val="Heading1Char"/>
          <w:rFonts w:ascii="Arial" w:hAnsi="Arial" w:cs="Arial"/>
          <w:b/>
          <w:bCs/>
          <w:color w:val="4F81BD" w:themeColor="accent1"/>
          <w:sz w:val="32"/>
          <w:szCs w:val="32"/>
        </w:rPr>
        <w:t>Beyond Finger-Pricks</w:t>
      </w:r>
      <w:r w:rsidRPr="00B60148">
        <w:rPr>
          <w:rStyle w:val="Heading1Char"/>
          <w:rFonts w:ascii="Arial" w:hAnsi="Arial" w:cs="Arial"/>
          <w:b/>
          <w:bCs/>
          <w:color w:val="4F81BD" w:themeColor="accent1"/>
          <w:sz w:val="32"/>
          <w:szCs w:val="32"/>
        </w:rPr>
        <w:t xml:space="preserve">: </w:t>
      </w:r>
      <w:r w:rsidR="00056574" w:rsidRPr="00B60148">
        <w:rPr>
          <w:rStyle w:val="Heading1Char"/>
          <w:rFonts w:ascii="Arial" w:hAnsi="Arial" w:cs="Arial"/>
          <w:b/>
          <w:bCs/>
          <w:color w:val="4F81BD" w:themeColor="accent1"/>
        </w:rPr>
        <w:t>H</w:t>
      </w:r>
      <w:r w:rsidR="002E1ECF" w:rsidRPr="00B60148">
        <w:rPr>
          <w:rStyle w:val="Heading1Char"/>
          <w:rFonts w:ascii="Arial" w:hAnsi="Arial" w:cs="Arial"/>
          <w:b/>
          <w:bCs/>
          <w:color w:val="4F81BD" w:themeColor="accent1"/>
        </w:rPr>
        <w:t xml:space="preserve">ow </w:t>
      </w:r>
      <w:proofErr w:type="spellStart"/>
      <w:r w:rsidR="002E1ECF" w:rsidRPr="00B60148">
        <w:rPr>
          <w:rStyle w:val="Heading1Char"/>
          <w:rFonts w:ascii="Arial" w:hAnsi="Arial" w:cs="Arial"/>
          <w:b/>
          <w:bCs/>
          <w:color w:val="4F81BD" w:themeColor="accent1"/>
        </w:rPr>
        <w:t>FreeStyle</w:t>
      </w:r>
      <w:proofErr w:type="spellEnd"/>
      <w:r w:rsidR="002E1ECF" w:rsidRPr="00B60148">
        <w:rPr>
          <w:rStyle w:val="Heading1Char"/>
          <w:rFonts w:ascii="Arial" w:hAnsi="Arial" w:cs="Arial"/>
          <w:b/>
          <w:bCs/>
          <w:color w:val="4F81BD" w:themeColor="accent1"/>
        </w:rPr>
        <w:t xml:space="preserve"> Libre is </w:t>
      </w:r>
      <w:r w:rsidR="00056574" w:rsidRPr="00B60148">
        <w:rPr>
          <w:rStyle w:val="Heading1Char"/>
          <w:rFonts w:ascii="Arial" w:hAnsi="Arial" w:cs="Arial"/>
          <w:b/>
          <w:bCs/>
          <w:color w:val="4F81BD" w:themeColor="accent1"/>
        </w:rPr>
        <w:t>T</w:t>
      </w:r>
      <w:r w:rsidR="002E1ECF" w:rsidRPr="00B60148">
        <w:rPr>
          <w:rStyle w:val="Heading1Char"/>
          <w:rFonts w:ascii="Arial" w:hAnsi="Arial" w:cs="Arial"/>
          <w:b/>
          <w:bCs/>
          <w:color w:val="4F81BD" w:themeColor="accent1"/>
        </w:rPr>
        <w:t>ransforming Type 1 Diabetes S</w:t>
      </w:r>
      <w:r w:rsidR="00820BC0" w:rsidRPr="00B60148">
        <w:rPr>
          <w:rStyle w:val="Heading1Char"/>
          <w:rFonts w:ascii="Arial" w:hAnsi="Arial" w:cs="Arial"/>
          <w:b/>
          <w:bCs/>
          <w:color w:val="4F81BD" w:themeColor="accent1"/>
        </w:rPr>
        <w:t>elf-Managemen</w:t>
      </w:r>
      <w:r w:rsidRPr="00B60148">
        <w:rPr>
          <w:color w:val="4F81BD" w:themeColor="accent1"/>
        </w:rPr>
        <w:t>t</w:t>
      </w:r>
    </w:p>
    <w:p w14:paraId="53AF6EA1" w14:textId="23CA330B" w:rsidR="00446628" w:rsidRPr="00027B06" w:rsidRDefault="00446628" w:rsidP="0001228D">
      <w:pPr>
        <w:pStyle w:val="Heading3"/>
        <w:rPr>
          <w:rFonts w:ascii="Arial" w:hAnsi="Arial" w:cs="Arial"/>
          <w:color w:val="008080"/>
          <w:sz w:val="24"/>
          <w:szCs w:val="24"/>
        </w:rPr>
      </w:pPr>
    </w:p>
    <w:p w14:paraId="070544D2" w14:textId="77777777" w:rsidR="00B60148" w:rsidRDefault="00937963" w:rsidP="00B60148">
      <w:pPr>
        <w:rPr>
          <w:rStyle w:val="Heading2Char"/>
          <w:rFonts w:ascii="Arial" w:hAnsi="Arial" w:cs="Arial"/>
          <w:sz w:val="24"/>
          <w:szCs w:val="24"/>
          <w:lang w:val="en-GB"/>
        </w:rPr>
      </w:pPr>
      <w:r w:rsidRPr="00B60148">
        <w:rPr>
          <w:rStyle w:val="Heading2Char"/>
          <w:rFonts w:ascii="Arial" w:hAnsi="Arial" w:cs="Arial"/>
          <w:sz w:val="24"/>
          <w:szCs w:val="24"/>
          <w:lang w:val="en-GB"/>
        </w:rPr>
        <w:t>Digital Innovation</w:t>
      </w:r>
    </w:p>
    <w:p w14:paraId="4CC20794" w14:textId="63B08C5A" w:rsidR="00937963" w:rsidRPr="00B60148" w:rsidRDefault="00937963" w:rsidP="00B60148">
      <w:pPr>
        <w:rPr>
          <w:rFonts w:cs="Arial"/>
          <w:b/>
          <w:color w:val="4F81BD" w:themeColor="accent1"/>
          <w:sz w:val="24"/>
          <w:szCs w:val="24"/>
          <w:lang w:val="en-GB"/>
        </w:rPr>
      </w:pPr>
      <w:proofErr w:type="spellStart"/>
      <w:r w:rsidRPr="00027B06">
        <w:rPr>
          <w:rFonts w:cs="Arial"/>
          <w:sz w:val="24"/>
          <w:szCs w:val="24"/>
        </w:rPr>
        <w:t>FreeStyle</w:t>
      </w:r>
      <w:proofErr w:type="spellEnd"/>
      <w:r w:rsidRPr="00027B06">
        <w:rPr>
          <w:rFonts w:cs="Arial"/>
          <w:sz w:val="24"/>
          <w:szCs w:val="24"/>
        </w:rPr>
        <w:t xml:space="preserve"> Libre is a flash glucose monitoring system that uses a small wearable sensor to measure glucose levels throughout the day and night.</w:t>
      </w:r>
    </w:p>
    <w:p w14:paraId="4AA99826" w14:textId="354A7D91" w:rsidR="00937963" w:rsidRPr="00027B06" w:rsidRDefault="00937963" w:rsidP="5CE9E3D7">
      <w:pPr>
        <w:pStyle w:val="IntenseQuote"/>
        <w:spacing w:before="0" w:after="200"/>
        <w:ind w:left="0" w:right="0"/>
        <w:rPr>
          <w:rFonts w:cs="Arial"/>
          <w:b w:val="0"/>
          <w:bCs w:val="0"/>
          <w:i w:val="0"/>
          <w:iCs w:val="0"/>
          <w:color w:val="auto"/>
          <w:sz w:val="24"/>
          <w:szCs w:val="24"/>
        </w:rPr>
      </w:pPr>
      <w:r w:rsidRPr="5CE9E3D7">
        <w:rPr>
          <w:rFonts w:cs="Arial"/>
          <w:b w:val="0"/>
          <w:bCs w:val="0"/>
          <w:i w:val="0"/>
          <w:iCs w:val="0"/>
          <w:color w:val="auto"/>
          <w:sz w:val="24"/>
          <w:szCs w:val="24"/>
        </w:rPr>
        <w:t xml:space="preserve">Users can view real-time </w:t>
      </w:r>
      <w:r w:rsidR="001B4302" w:rsidRPr="5CE9E3D7">
        <w:rPr>
          <w:rFonts w:cs="Arial"/>
          <w:b w:val="0"/>
          <w:bCs w:val="0"/>
          <w:i w:val="0"/>
          <w:iCs w:val="0"/>
          <w:color w:val="auto"/>
          <w:sz w:val="24"/>
          <w:szCs w:val="24"/>
        </w:rPr>
        <w:t xml:space="preserve"> </w:t>
      </w:r>
      <w:r w:rsidRPr="5CE9E3D7">
        <w:rPr>
          <w:rFonts w:cs="Arial"/>
          <w:b w:val="0"/>
          <w:bCs w:val="0"/>
          <w:i w:val="0"/>
          <w:iCs w:val="0"/>
          <w:color w:val="auto"/>
          <w:sz w:val="24"/>
          <w:szCs w:val="24"/>
        </w:rPr>
        <w:t xml:space="preserve">glucose readings, </w:t>
      </w:r>
      <w:r w:rsidR="4F1492BB" w:rsidRPr="5CE9E3D7">
        <w:rPr>
          <w:rFonts w:cs="Arial"/>
          <w:b w:val="0"/>
          <w:bCs w:val="0"/>
          <w:i w:val="0"/>
          <w:iCs w:val="0"/>
          <w:color w:val="auto"/>
          <w:sz w:val="24"/>
          <w:szCs w:val="24"/>
        </w:rPr>
        <w:t>trend arrows</w:t>
      </w:r>
      <w:r w:rsidRPr="5CE9E3D7">
        <w:rPr>
          <w:rFonts w:cs="Arial"/>
          <w:b w:val="0"/>
          <w:bCs w:val="0"/>
          <w:i w:val="0"/>
          <w:iCs w:val="0"/>
          <w:color w:val="auto"/>
          <w:sz w:val="24"/>
          <w:szCs w:val="24"/>
        </w:rPr>
        <w:t xml:space="preserve"> and glucose history using a smartphone or reader, aiding informed decisions about insulin, nutrition and physical activity.</w:t>
      </w:r>
    </w:p>
    <w:p w14:paraId="673ECC69" w14:textId="1F197E10" w:rsidR="00937963" w:rsidRPr="00027B06" w:rsidRDefault="00937963" w:rsidP="001B4302">
      <w:pPr>
        <w:pStyle w:val="IntenseQuote"/>
        <w:spacing w:before="0" w:after="200"/>
        <w:ind w:left="0" w:right="0"/>
        <w:rPr>
          <w:rFonts w:cs="Arial"/>
          <w:b w:val="0"/>
          <w:bCs w:val="0"/>
          <w:i w:val="0"/>
          <w:iCs w:val="0"/>
          <w:color w:val="auto"/>
          <w:sz w:val="24"/>
          <w:szCs w:val="24"/>
        </w:rPr>
      </w:pPr>
      <w:r w:rsidRPr="00027B06">
        <w:rPr>
          <w:rFonts w:cs="Arial"/>
          <w:b w:val="0"/>
          <w:bCs w:val="0"/>
          <w:i w:val="0"/>
          <w:iCs w:val="0"/>
          <w:color w:val="auto"/>
          <w:sz w:val="24"/>
          <w:szCs w:val="24"/>
        </w:rPr>
        <w:t>By providing continuous feedback, the technology promotes self-management, patient empowerment and shared decision-making, reflecting the principles of the WHO Ottawa Charter for Health Promotion (WHO, 1986; NICE, 2022; Abbott, 2024).</w:t>
      </w:r>
    </w:p>
    <w:p w14:paraId="0AB32980" w14:textId="582DFF07" w:rsidR="00224D38" w:rsidRDefault="00937963" w:rsidP="001B4302">
      <w:pPr>
        <w:pStyle w:val="Heading2"/>
        <w:rPr>
          <w:rFonts w:ascii="Arial" w:hAnsi="Arial" w:cs="Arial"/>
          <w:sz w:val="24"/>
          <w:szCs w:val="24"/>
        </w:rPr>
      </w:pPr>
      <w:r w:rsidRPr="00027B06">
        <w:rPr>
          <w:rFonts w:ascii="Arial" w:hAnsi="Arial" w:cs="Arial"/>
          <w:noProof/>
          <w:color w:val="008080"/>
          <w:sz w:val="24"/>
          <w:szCs w:val="24"/>
        </w:rPr>
        <w:drawing>
          <wp:inline distT="0" distB="0" distL="0" distR="0" wp14:anchorId="779DA6C0" wp14:editId="490B474A">
            <wp:extent cx="2504726" cy="1906292"/>
            <wp:effectExtent l="0" t="0" r="0" b="0"/>
            <wp:docPr id="8539593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56182" cy="1945454"/>
                    </a:xfrm>
                    <a:prstGeom prst="rect">
                      <a:avLst/>
                    </a:prstGeom>
                    <a:noFill/>
                  </pic:spPr>
                </pic:pic>
              </a:graphicData>
            </a:graphic>
          </wp:inline>
        </w:drawing>
      </w:r>
    </w:p>
    <w:p w14:paraId="11A4EEDE" w14:textId="4777EB7E" w:rsidR="00B60148" w:rsidRPr="00B60148" w:rsidRDefault="002E1ECF" w:rsidP="001B4302">
      <w:pPr>
        <w:pStyle w:val="Heading2"/>
        <w:rPr>
          <w:rFonts w:ascii="Arial" w:hAnsi="Arial" w:cs="Arial"/>
          <w:sz w:val="24"/>
          <w:szCs w:val="24"/>
        </w:rPr>
      </w:pPr>
      <w:r w:rsidRPr="00B60148">
        <w:rPr>
          <w:rFonts w:ascii="Arial" w:hAnsi="Arial" w:cs="Arial"/>
          <w:sz w:val="24"/>
          <w:szCs w:val="24"/>
        </w:rPr>
        <w:t>Why This Matters</w:t>
      </w:r>
    </w:p>
    <w:p w14:paraId="6DA803C6" w14:textId="77777777" w:rsidR="001B4302" w:rsidRDefault="001B4302" w:rsidP="001B4302">
      <w:pPr>
        <w:rPr>
          <w:rFonts w:cs="Arial"/>
          <w:sz w:val="24"/>
          <w:szCs w:val="24"/>
        </w:rPr>
      </w:pPr>
    </w:p>
    <w:p w14:paraId="01427EE2" w14:textId="6A057009" w:rsidR="00CE5CF0" w:rsidRPr="00027B06" w:rsidRDefault="002E1ECF" w:rsidP="001B4302">
      <w:pPr>
        <w:rPr>
          <w:rFonts w:cs="Arial"/>
          <w:sz w:val="24"/>
          <w:szCs w:val="24"/>
        </w:rPr>
      </w:pPr>
      <w:r w:rsidRPr="00027B06">
        <w:rPr>
          <w:rFonts w:cs="Arial"/>
          <w:sz w:val="24"/>
          <w:szCs w:val="24"/>
        </w:rPr>
        <w:t xml:space="preserve">Type 1 Diabetes is a lifelong autoimmune condition </w:t>
      </w:r>
      <w:r w:rsidR="00CE5CF0" w:rsidRPr="00027B06">
        <w:rPr>
          <w:rFonts w:cs="Arial"/>
          <w:sz w:val="24"/>
          <w:szCs w:val="24"/>
        </w:rPr>
        <w:t xml:space="preserve">that </w:t>
      </w:r>
      <w:r w:rsidRPr="00027B06">
        <w:rPr>
          <w:rFonts w:cs="Arial"/>
          <w:sz w:val="24"/>
          <w:szCs w:val="24"/>
        </w:rPr>
        <w:t>requires</w:t>
      </w:r>
      <w:r w:rsidR="00CE5CF0" w:rsidRPr="00027B06">
        <w:rPr>
          <w:rFonts w:cs="Arial"/>
          <w:sz w:val="24"/>
          <w:szCs w:val="24"/>
        </w:rPr>
        <w:t xml:space="preserve"> lifelong insulin therapy and careful </w:t>
      </w:r>
      <w:r w:rsidRPr="00027B06">
        <w:rPr>
          <w:rFonts w:cs="Arial"/>
          <w:sz w:val="24"/>
          <w:szCs w:val="24"/>
        </w:rPr>
        <w:t xml:space="preserve">glucose monitoring to </w:t>
      </w:r>
      <w:r w:rsidR="00CE5CF0" w:rsidRPr="00027B06">
        <w:rPr>
          <w:rFonts w:cs="Arial"/>
          <w:sz w:val="24"/>
          <w:szCs w:val="24"/>
        </w:rPr>
        <w:t xml:space="preserve">reduce the risk of diabetic </w:t>
      </w:r>
      <w:r w:rsidR="001F519D" w:rsidRPr="00027B06">
        <w:rPr>
          <w:rFonts w:cs="Arial"/>
          <w:sz w:val="24"/>
          <w:szCs w:val="24"/>
        </w:rPr>
        <w:t>ketoacidosis, cardiovascular</w:t>
      </w:r>
      <w:r w:rsidRPr="00027B06">
        <w:rPr>
          <w:rFonts w:cs="Arial"/>
          <w:sz w:val="24"/>
          <w:szCs w:val="24"/>
        </w:rPr>
        <w:t xml:space="preserve"> disease, kidney </w:t>
      </w:r>
      <w:r w:rsidR="00CE5CF0" w:rsidRPr="00027B06">
        <w:rPr>
          <w:rFonts w:cs="Arial"/>
          <w:sz w:val="24"/>
          <w:szCs w:val="24"/>
        </w:rPr>
        <w:t>disease</w:t>
      </w:r>
      <w:r w:rsidRPr="00027B06">
        <w:rPr>
          <w:rFonts w:cs="Arial"/>
          <w:sz w:val="24"/>
          <w:szCs w:val="24"/>
        </w:rPr>
        <w:t>, and visual impairment.</w:t>
      </w:r>
    </w:p>
    <w:p w14:paraId="23796F00" w14:textId="6C039CE6" w:rsidR="001F519D" w:rsidRPr="00027B06" w:rsidRDefault="00CE5CF0" w:rsidP="001B4302">
      <w:pPr>
        <w:rPr>
          <w:rFonts w:cs="Arial"/>
          <w:sz w:val="24"/>
          <w:szCs w:val="24"/>
        </w:rPr>
      </w:pPr>
      <w:r w:rsidRPr="00027B06">
        <w:rPr>
          <w:rFonts w:cs="Arial"/>
          <w:sz w:val="24"/>
          <w:szCs w:val="24"/>
        </w:rPr>
        <w:t>Continuous glu</w:t>
      </w:r>
      <w:r w:rsidR="004E7F51" w:rsidRPr="00027B06">
        <w:rPr>
          <w:rFonts w:cs="Arial"/>
          <w:sz w:val="24"/>
          <w:szCs w:val="24"/>
        </w:rPr>
        <w:t xml:space="preserve">cose monitoring (CGM) technologies such as Freestyle Libre help people monitor glucose </w:t>
      </w:r>
      <w:r w:rsidR="001F519D" w:rsidRPr="00027B06">
        <w:rPr>
          <w:rFonts w:cs="Arial"/>
          <w:sz w:val="24"/>
          <w:szCs w:val="24"/>
        </w:rPr>
        <w:t>levels</w:t>
      </w:r>
      <w:r w:rsidR="004E7F51" w:rsidRPr="00027B06">
        <w:rPr>
          <w:rFonts w:cs="Arial"/>
          <w:sz w:val="24"/>
          <w:szCs w:val="24"/>
        </w:rPr>
        <w:t xml:space="preserve"> more effectively, enabling earlier intervention and </w:t>
      </w:r>
      <w:r w:rsidR="001F519D" w:rsidRPr="00027B06">
        <w:rPr>
          <w:rFonts w:cs="Arial"/>
          <w:sz w:val="24"/>
          <w:szCs w:val="24"/>
        </w:rPr>
        <w:t>improving long-term</w:t>
      </w:r>
      <w:r w:rsidR="004E7F51" w:rsidRPr="00027B06">
        <w:rPr>
          <w:rFonts w:cs="Arial"/>
          <w:sz w:val="24"/>
          <w:szCs w:val="24"/>
        </w:rPr>
        <w:t xml:space="preserve"> </w:t>
      </w:r>
      <w:r w:rsidR="001F519D" w:rsidRPr="00027B06">
        <w:rPr>
          <w:rFonts w:cs="Arial"/>
          <w:sz w:val="24"/>
          <w:szCs w:val="24"/>
        </w:rPr>
        <w:t>diabetes management.</w:t>
      </w:r>
    </w:p>
    <w:p w14:paraId="6E632A04" w14:textId="3EEA137E" w:rsidR="00B60148" w:rsidRPr="00B60148" w:rsidRDefault="002E1ECF" w:rsidP="001B4302">
      <w:pPr>
        <w:rPr>
          <w:rFonts w:cs="Arial"/>
          <w:sz w:val="24"/>
          <w:szCs w:val="24"/>
        </w:rPr>
      </w:pPr>
      <w:r w:rsidRPr="00027B06">
        <w:rPr>
          <w:rFonts w:cs="Arial"/>
          <w:sz w:val="24"/>
          <w:szCs w:val="24"/>
        </w:rPr>
        <w:t>In the UK</w:t>
      </w:r>
      <w:r w:rsidR="001F519D" w:rsidRPr="00027B06">
        <w:rPr>
          <w:rFonts w:cs="Arial"/>
          <w:sz w:val="24"/>
          <w:szCs w:val="24"/>
        </w:rPr>
        <w:t>,</w:t>
      </w:r>
      <w:r w:rsidRPr="00027B06">
        <w:rPr>
          <w:rFonts w:cs="Arial"/>
          <w:sz w:val="24"/>
          <w:szCs w:val="24"/>
        </w:rPr>
        <w:t xml:space="preserve"> there are more than 5.8 million people </w:t>
      </w:r>
      <w:r w:rsidR="001F519D" w:rsidRPr="00027B06">
        <w:rPr>
          <w:rFonts w:cs="Arial"/>
          <w:sz w:val="24"/>
          <w:szCs w:val="24"/>
        </w:rPr>
        <w:t>who live w</w:t>
      </w:r>
      <w:r w:rsidRPr="00027B06">
        <w:rPr>
          <w:rFonts w:cs="Arial"/>
          <w:sz w:val="24"/>
          <w:szCs w:val="24"/>
        </w:rPr>
        <w:t xml:space="preserve">ith diabetes or pre-diabetes, </w:t>
      </w:r>
      <w:r w:rsidR="001F519D" w:rsidRPr="00027B06">
        <w:rPr>
          <w:rFonts w:cs="Arial"/>
          <w:sz w:val="24"/>
          <w:szCs w:val="24"/>
        </w:rPr>
        <w:t>representing</w:t>
      </w:r>
      <w:r w:rsidRPr="00027B06">
        <w:rPr>
          <w:rFonts w:cs="Arial"/>
          <w:sz w:val="24"/>
          <w:szCs w:val="24"/>
        </w:rPr>
        <w:t xml:space="preserve"> a </w:t>
      </w:r>
      <w:r w:rsidR="001F519D" w:rsidRPr="00027B06">
        <w:rPr>
          <w:rFonts w:cs="Arial"/>
          <w:sz w:val="24"/>
          <w:szCs w:val="24"/>
        </w:rPr>
        <w:t xml:space="preserve">substantial public health and </w:t>
      </w:r>
      <w:r w:rsidRPr="00027B06">
        <w:rPr>
          <w:rFonts w:cs="Arial"/>
          <w:sz w:val="24"/>
          <w:szCs w:val="24"/>
        </w:rPr>
        <w:t xml:space="preserve">economic burden (American Diabetes Association, 2024; </w:t>
      </w:r>
      <w:r w:rsidRPr="00027B06">
        <w:rPr>
          <w:rFonts w:cs="Arial"/>
          <w:sz w:val="24"/>
          <w:szCs w:val="24"/>
        </w:rPr>
        <w:lastRenderedPageBreak/>
        <w:t xml:space="preserve">Diabetes UK, 2023; Hex </w:t>
      </w:r>
      <w:r w:rsidRPr="00027B06">
        <w:rPr>
          <w:rFonts w:cs="Arial"/>
          <w:i/>
          <w:iCs/>
          <w:sz w:val="24"/>
          <w:szCs w:val="24"/>
        </w:rPr>
        <w:t>et al</w:t>
      </w:r>
      <w:r w:rsidRPr="00027B06">
        <w:rPr>
          <w:rFonts w:cs="Arial"/>
          <w:sz w:val="24"/>
          <w:szCs w:val="24"/>
        </w:rPr>
        <w:t>., 2012).</w:t>
      </w:r>
    </w:p>
    <w:p w14:paraId="7454EA20" w14:textId="3BA96AE3" w:rsidR="00C11DBC" w:rsidRPr="00027B06" w:rsidRDefault="00B60148" w:rsidP="00870F55">
      <w:pPr>
        <w:pStyle w:val="IntenseQuote"/>
        <w:ind w:left="0"/>
        <w:rPr>
          <w:rFonts w:cs="Arial"/>
          <w:sz w:val="24"/>
          <w:szCs w:val="24"/>
          <w:lang w:val="en-GB"/>
        </w:rPr>
      </w:pPr>
      <w:r w:rsidRPr="00027B06">
        <w:rPr>
          <w:rFonts w:cs="Arial"/>
          <w:noProof/>
          <w:sz w:val="24"/>
          <w:szCs w:val="24"/>
          <w:lang w:val="en-GB"/>
        </w:rPr>
        <w:drawing>
          <wp:anchor distT="0" distB="0" distL="114300" distR="114300" simplePos="0" relativeHeight="251658248" behindDoc="1" locked="0" layoutInCell="1" allowOverlap="1" wp14:anchorId="61338423" wp14:editId="3A9CCBE5">
            <wp:simplePos x="0" y="0"/>
            <wp:positionH relativeFrom="column">
              <wp:posOffset>2974340</wp:posOffset>
            </wp:positionH>
            <wp:positionV relativeFrom="paragraph">
              <wp:posOffset>902260</wp:posOffset>
            </wp:positionV>
            <wp:extent cx="2514600" cy="1675765"/>
            <wp:effectExtent l="0" t="0" r="0" b="635"/>
            <wp:wrapTight wrapText="bothSides">
              <wp:wrapPolygon edited="0">
                <wp:start x="0" y="0"/>
                <wp:lineTo x="0" y="21363"/>
                <wp:lineTo x="21436" y="21363"/>
                <wp:lineTo x="21436" y="0"/>
                <wp:lineTo x="0" y="0"/>
              </wp:wrapPolygon>
            </wp:wrapTight>
            <wp:docPr id="190202526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514600" cy="1675765"/>
                    </a:xfrm>
                    <a:prstGeom prst="rect">
                      <a:avLst/>
                    </a:prstGeom>
                    <a:noFill/>
                    <a:ln>
                      <a:noFill/>
                    </a:ln>
                  </pic:spPr>
                </pic:pic>
              </a:graphicData>
            </a:graphic>
          </wp:anchor>
        </w:drawing>
      </w:r>
      <w:r w:rsidRPr="00027B06">
        <w:rPr>
          <w:rFonts w:cs="Arial"/>
          <w:noProof/>
          <w:sz w:val="24"/>
          <w:szCs w:val="24"/>
        </w:rPr>
        <w:drawing>
          <wp:anchor distT="0" distB="0" distL="114300" distR="114300" simplePos="0" relativeHeight="251658247" behindDoc="1" locked="0" layoutInCell="1" allowOverlap="1" wp14:anchorId="1866EEEC" wp14:editId="7D48F053">
            <wp:simplePos x="0" y="0"/>
            <wp:positionH relativeFrom="column">
              <wp:posOffset>-19685</wp:posOffset>
            </wp:positionH>
            <wp:positionV relativeFrom="paragraph">
              <wp:posOffset>2016125</wp:posOffset>
            </wp:positionV>
            <wp:extent cx="2239010" cy="1657985"/>
            <wp:effectExtent l="0" t="0" r="8890" b="0"/>
            <wp:wrapTight wrapText="bothSides">
              <wp:wrapPolygon edited="0">
                <wp:start x="0" y="0"/>
                <wp:lineTo x="0" y="21344"/>
                <wp:lineTo x="21502" y="21344"/>
                <wp:lineTo x="21502" y="0"/>
                <wp:lineTo x="0" y="0"/>
              </wp:wrapPolygon>
            </wp:wrapTight>
            <wp:docPr id="62320647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39010" cy="1657985"/>
                    </a:xfrm>
                    <a:prstGeom prst="rect">
                      <a:avLst/>
                    </a:prstGeom>
                    <a:noFill/>
                  </pic:spPr>
                </pic:pic>
              </a:graphicData>
            </a:graphic>
            <wp14:sizeRelH relativeFrom="margin">
              <wp14:pctWidth>0</wp14:pctWidth>
            </wp14:sizeRelH>
          </wp:anchor>
        </w:drawing>
      </w:r>
      <w:r w:rsidR="002E1ECF" w:rsidRPr="00027B06">
        <w:rPr>
          <w:rFonts w:cs="Arial"/>
          <w:sz w:val="24"/>
          <w:szCs w:val="24"/>
          <w:lang w:val="en-GB"/>
        </w:rPr>
        <w:t xml:space="preserve">Continuous glucose monitoring </w:t>
      </w:r>
      <w:r w:rsidR="003310F2" w:rsidRPr="00027B06">
        <w:rPr>
          <w:rFonts w:cs="Arial"/>
          <w:sz w:val="24"/>
          <w:szCs w:val="24"/>
          <w:lang w:val="en-GB"/>
        </w:rPr>
        <w:t xml:space="preserve">supports a </w:t>
      </w:r>
      <w:r w:rsidR="002E1ECF" w:rsidRPr="00027B06">
        <w:rPr>
          <w:rFonts w:cs="Arial"/>
          <w:sz w:val="24"/>
          <w:szCs w:val="24"/>
          <w:lang w:val="en-GB"/>
        </w:rPr>
        <w:t>shift</w:t>
      </w:r>
      <w:r w:rsidR="003310F2" w:rsidRPr="00027B06">
        <w:rPr>
          <w:rFonts w:cs="Arial"/>
          <w:sz w:val="24"/>
          <w:szCs w:val="24"/>
          <w:lang w:val="en-GB"/>
        </w:rPr>
        <w:t xml:space="preserve"> from reactive</w:t>
      </w:r>
      <w:r w:rsidR="002E1ECF" w:rsidRPr="00027B06">
        <w:rPr>
          <w:rFonts w:cs="Arial"/>
          <w:sz w:val="24"/>
          <w:szCs w:val="24"/>
          <w:lang w:val="en-GB"/>
        </w:rPr>
        <w:t xml:space="preserve"> diabetes</w:t>
      </w:r>
      <w:r w:rsidR="003310F2" w:rsidRPr="00027B06">
        <w:rPr>
          <w:rFonts w:cs="Arial"/>
          <w:sz w:val="24"/>
          <w:szCs w:val="24"/>
          <w:lang w:val="en-GB"/>
        </w:rPr>
        <w:t xml:space="preserve"> management</w:t>
      </w:r>
      <w:r w:rsidR="002E1ECF" w:rsidRPr="00027B06">
        <w:rPr>
          <w:rFonts w:cs="Arial"/>
          <w:sz w:val="24"/>
          <w:szCs w:val="24"/>
          <w:lang w:val="en-GB"/>
        </w:rPr>
        <w:t xml:space="preserve"> to</w:t>
      </w:r>
      <w:r w:rsidR="003310F2" w:rsidRPr="00027B06">
        <w:rPr>
          <w:rFonts w:cs="Arial"/>
          <w:sz w:val="24"/>
          <w:szCs w:val="24"/>
          <w:lang w:val="en-GB"/>
        </w:rPr>
        <w:t xml:space="preserve"> proactive prevention through real-time monitoring and informed decision-making (NICE, 2022; Abbot, 2024)</w:t>
      </w:r>
      <w:r w:rsidR="002E1ECF" w:rsidRPr="00027B06">
        <w:rPr>
          <w:rFonts w:cs="Arial"/>
          <w:sz w:val="24"/>
          <w:szCs w:val="24"/>
          <w:lang w:val="en-GB"/>
        </w:rPr>
        <w:t>.</w:t>
      </w:r>
    </w:p>
    <w:p w14:paraId="7DE5681C" w14:textId="6BCA3A8E" w:rsidR="00B60148" w:rsidRPr="00B60148" w:rsidRDefault="002E1ECF" w:rsidP="00B60148">
      <w:pPr>
        <w:pStyle w:val="Heading2"/>
        <w:rPr>
          <w:rFonts w:ascii="Arial" w:hAnsi="Arial" w:cs="Arial"/>
          <w:sz w:val="24"/>
          <w:szCs w:val="24"/>
        </w:rPr>
      </w:pPr>
      <w:r w:rsidRPr="00027B06">
        <w:rPr>
          <w:rFonts w:ascii="Arial" w:hAnsi="Arial" w:cs="Arial"/>
          <w:sz w:val="24"/>
          <w:szCs w:val="24"/>
        </w:rPr>
        <w:t>Evidence</w:t>
      </w:r>
    </w:p>
    <w:p w14:paraId="5BAF6F13" w14:textId="1C461A00" w:rsidR="00301C28" w:rsidRPr="00027B06" w:rsidRDefault="008A32A5" w:rsidP="008A32A5">
      <w:pPr>
        <w:rPr>
          <w:rFonts w:cs="Arial"/>
          <w:sz w:val="24"/>
          <w:szCs w:val="24"/>
          <w:lang w:val="en-GB"/>
        </w:rPr>
      </w:pPr>
      <w:r w:rsidRPr="4F76E6A5">
        <w:rPr>
          <w:rFonts w:cs="Arial"/>
          <w:sz w:val="24"/>
          <w:szCs w:val="24"/>
          <w:lang w:val="en-GB"/>
        </w:rPr>
        <w:t xml:space="preserve">There is </w:t>
      </w:r>
      <w:r w:rsidR="005A7B8C" w:rsidRPr="4F76E6A5">
        <w:rPr>
          <w:rFonts w:cs="Arial"/>
          <w:sz w:val="24"/>
          <w:szCs w:val="24"/>
          <w:lang w:val="en-GB"/>
        </w:rPr>
        <w:t xml:space="preserve">strong </w:t>
      </w:r>
      <w:r w:rsidRPr="4F76E6A5">
        <w:rPr>
          <w:rFonts w:cs="Arial"/>
          <w:sz w:val="24"/>
          <w:szCs w:val="24"/>
          <w:lang w:val="en-GB"/>
        </w:rPr>
        <w:t>evidence that continuous glucose monitoring</w:t>
      </w:r>
      <w:r w:rsidR="005A7B8C" w:rsidRPr="4F76E6A5">
        <w:rPr>
          <w:rFonts w:cs="Arial"/>
          <w:sz w:val="24"/>
          <w:szCs w:val="24"/>
          <w:lang w:val="en-GB"/>
        </w:rPr>
        <w:t xml:space="preserve"> (CGM) </w:t>
      </w:r>
      <w:r w:rsidRPr="4F76E6A5">
        <w:rPr>
          <w:rFonts w:cs="Arial"/>
          <w:sz w:val="24"/>
          <w:szCs w:val="24"/>
          <w:lang w:val="en-GB"/>
        </w:rPr>
        <w:t>improves diabetes self-management and clinical outcomes.</w:t>
      </w:r>
      <w:r w:rsidR="005A7B8C" w:rsidRPr="4F76E6A5">
        <w:rPr>
          <w:rFonts w:cs="Arial"/>
          <w:sz w:val="24"/>
          <w:szCs w:val="24"/>
          <w:lang w:val="en-GB"/>
        </w:rPr>
        <w:t xml:space="preserve"> </w:t>
      </w:r>
    </w:p>
    <w:p w14:paraId="533A54DA" w14:textId="45EFF47D" w:rsidR="008A32A5" w:rsidRPr="00027B06" w:rsidRDefault="008A32A5" w:rsidP="008A32A5">
      <w:pPr>
        <w:rPr>
          <w:rFonts w:cs="Arial"/>
          <w:sz w:val="24"/>
          <w:szCs w:val="24"/>
          <w:lang w:val="en-GB"/>
        </w:rPr>
      </w:pPr>
      <w:r w:rsidRPr="00027B06">
        <w:rPr>
          <w:rFonts w:cs="Arial"/>
          <w:sz w:val="24"/>
          <w:szCs w:val="24"/>
          <w:lang w:val="en-GB"/>
        </w:rPr>
        <w:t xml:space="preserve">Research has </w:t>
      </w:r>
      <w:r w:rsidR="005A7B8C" w:rsidRPr="00027B06">
        <w:rPr>
          <w:rFonts w:cs="Arial"/>
          <w:sz w:val="24"/>
          <w:szCs w:val="24"/>
          <w:lang w:val="en-GB"/>
        </w:rPr>
        <w:t>demonstrated</w:t>
      </w:r>
      <w:r w:rsidRPr="00027B06">
        <w:rPr>
          <w:rFonts w:cs="Arial"/>
          <w:sz w:val="24"/>
          <w:szCs w:val="24"/>
          <w:lang w:val="en-GB"/>
        </w:rPr>
        <w:t xml:space="preserve"> improved HbA1c,</w:t>
      </w:r>
      <w:r w:rsidR="005A7B8C" w:rsidRPr="00027B06">
        <w:rPr>
          <w:rFonts w:cs="Arial"/>
          <w:sz w:val="24"/>
          <w:szCs w:val="24"/>
          <w:lang w:val="en-GB"/>
        </w:rPr>
        <w:t xml:space="preserve"> increased time in range, fewer </w:t>
      </w:r>
      <w:r w:rsidRPr="00027B06">
        <w:rPr>
          <w:rFonts w:cs="Arial"/>
          <w:sz w:val="24"/>
          <w:szCs w:val="24"/>
          <w:lang w:val="en-GB"/>
        </w:rPr>
        <w:t>hypoglycaemic episodes,</w:t>
      </w:r>
      <w:r w:rsidR="005A7B8C" w:rsidRPr="00027B06">
        <w:rPr>
          <w:rFonts w:cs="Arial"/>
          <w:sz w:val="24"/>
          <w:szCs w:val="24"/>
          <w:lang w:val="en-GB"/>
        </w:rPr>
        <w:t xml:space="preserve"> greater </w:t>
      </w:r>
      <w:r w:rsidRPr="00027B06">
        <w:rPr>
          <w:rFonts w:cs="Arial"/>
          <w:sz w:val="24"/>
          <w:szCs w:val="24"/>
          <w:lang w:val="en-GB"/>
        </w:rPr>
        <w:t xml:space="preserve">treatment satisfaction </w:t>
      </w:r>
      <w:r w:rsidR="005A7B8C" w:rsidRPr="00027B06">
        <w:rPr>
          <w:rFonts w:cs="Arial"/>
          <w:sz w:val="24"/>
          <w:szCs w:val="24"/>
          <w:lang w:val="en-GB"/>
        </w:rPr>
        <w:t xml:space="preserve">and enhanced health-related quality of life </w:t>
      </w:r>
      <w:r w:rsidRPr="00027B06">
        <w:rPr>
          <w:rFonts w:cs="Arial"/>
          <w:sz w:val="24"/>
          <w:szCs w:val="24"/>
          <w:lang w:val="en-GB"/>
        </w:rPr>
        <w:t xml:space="preserve">among people using FreeStyle Libre and similar CGM technologies (Alsahli </w:t>
      </w:r>
      <w:r w:rsidRPr="00027B06">
        <w:rPr>
          <w:rFonts w:cs="Arial"/>
          <w:i/>
          <w:iCs/>
          <w:sz w:val="24"/>
          <w:szCs w:val="24"/>
          <w:lang w:val="en-GB"/>
        </w:rPr>
        <w:t>et al</w:t>
      </w:r>
      <w:r w:rsidRPr="00027B06">
        <w:rPr>
          <w:rFonts w:cs="Arial"/>
          <w:sz w:val="24"/>
          <w:szCs w:val="24"/>
          <w:lang w:val="en-GB"/>
        </w:rPr>
        <w:t xml:space="preserve">., 2024; Battelino </w:t>
      </w:r>
      <w:r w:rsidRPr="00027B06">
        <w:rPr>
          <w:rFonts w:cs="Arial"/>
          <w:i/>
          <w:iCs/>
          <w:sz w:val="24"/>
          <w:szCs w:val="24"/>
          <w:lang w:val="en-GB"/>
        </w:rPr>
        <w:t>et al</w:t>
      </w:r>
      <w:r w:rsidRPr="00027B06">
        <w:rPr>
          <w:rFonts w:cs="Arial"/>
          <w:sz w:val="24"/>
          <w:szCs w:val="24"/>
          <w:lang w:val="en-GB"/>
        </w:rPr>
        <w:t xml:space="preserve">., 2019; Blissett </w:t>
      </w:r>
      <w:r w:rsidRPr="00027B06">
        <w:rPr>
          <w:rFonts w:cs="Arial"/>
          <w:i/>
          <w:iCs/>
          <w:sz w:val="24"/>
          <w:szCs w:val="24"/>
          <w:lang w:val="en-GB"/>
        </w:rPr>
        <w:t>et al.,</w:t>
      </w:r>
      <w:r w:rsidRPr="00027B06">
        <w:rPr>
          <w:rFonts w:cs="Arial"/>
          <w:sz w:val="24"/>
          <w:szCs w:val="24"/>
          <w:lang w:val="en-GB"/>
        </w:rPr>
        <w:t xml:space="preserve"> 2022; Seidu </w:t>
      </w:r>
      <w:r w:rsidRPr="00027B06">
        <w:rPr>
          <w:rFonts w:cs="Arial"/>
          <w:i/>
          <w:iCs/>
          <w:sz w:val="24"/>
          <w:szCs w:val="24"/>
          <w:lang w:val="en-GB"/>
        </w:rPr>
        <w:t>et al</w:t>
      </w:r>
      <w:r w:rsidRPr="00027B06">
        <w:rPr>
          <w:rFonts w:cs="Arial"/>
          <w:sz w:val="24"/>
          <w:szCs w:val="24"/>
          <w:lang w:val="en-GB"/>
        </w:rPr>
        <w:t>., 2024).</w:t>
      </w:r>
    </w:p>
    <w:p w14:paraId="7FD61B50" w14:textId="379E9D11" w:rsidR="008A32A5" w:rsidRPr="00027B06" w:rsidRDefault="008A32A5" w:rsidP="001B4302">
      <w:pPr>
        <w:rPr>
          <w:rFonts w:cs="Arial"/>
          <w:sz w:val="24"/>
          <w:szCs w:val="24"/>
          <w:lang w:val="en-GB"/>
        </w:rPr>
      </w:pPr>
      <w:r w:rsidRPr="00027B06">
        <w:rPr>
          <w:rFonts w:cs="Arial"/>
          <w:sz w:val="24"/>
          <w:szCs w:val="24"/>
          <w:lang w:val="en-GB"/>
        </w:rPr>
        <w:t xml:space="preserve">The Health Belief Model suggests that continuous access to glucose information increases perceived </w:t>
      </w:r>
      <w:r w:rsidRPr="00027B06">
        <w:rPr>
          <w:rFonts w:cs="Arial"/>
          <w:sz w:val="24"/>
          <w:szCs w:val="24"/>
          <w:lang w:val="en-GB"/>
        </w:rPr>
        <w:t>benefits, reduces barriers to</w:t>
      </w:r>
      <w:r w:rsidR="005A7B8C" w:rsidRPr="00027B06">
        <w:rPr>
          <w:rFonts w:cs="Arial"/>
          <w:sz w:val="24"/>
          <w:szCs w:val="24"/>
          <w:lang w:val="en-GB"/>
        </w:rPr>
        <w:t xml:space="preserve"> effective </w:t>
      </w:r>
      <w:r w:rsidRPr="00027B06">
        <w:rPr>
          <w:rFonts w:cs="Arial"/>
          <w:sz w:val="24"/>
          <w:szCs w:val="24"/>
          <w:lang w:val="en-GB"/>
        </w:rPr>
        <w:t xml:space="preserve">self-management and strengthens self-efficacy, </w:t>
      </w:r>
      <w:r w:rsidR="00A233B4" w:rsidRPr="00027B06">
        <w:rPr>
          <w:rFonts w:cs="Arial"/>
          <w:sz w:val="24"/>
          <w:szCs w:val="24"/>
          <w:lang w:val="en-GB"/>
        </w:rPr>
        <w:t xml:space="preserve">thereby </w:t>
      </w:r>
      <w:r w:rsidRPr="00027B06">
        <w:rPr>
          <w:rFonts w:cs="Arial"/>
          <w:sz w:val="24"/>
          <w:szCs w:val="24"/>
          <w:lang w:val="en-GB"/>
        </w:rPr>
        <w:t>encouraging sustained behaviour change and healthier lifestyle choices (Rosenstock, 1974; Bandura, 1986).</w:t>
      </w:r>
    </w:p>
    <w:p w14:paraId="4FDED080" w14:textId="1E8DE87B" w:rsidR="002E1ECF" w:rsidRPr="00B60148" w:rsidRDefault="00B60148" w:rsidP="001B4302">
      <w:pPr>
        <w:rPr>
          <w:rFonts w:cs="Arial"/>
          <w:b/>
          <w:bCs/>
          <w:color w:val="4F81BD" w:themeColor="accent1"/>
          <w:sz w:val="24"/>
          <w:szCs w:val="24"/>
          <w:lang w:val="en-GB"/>
        </w:rPr>
      </w:pPr>
      <w:r w:rsidRPr="00B60148">
        <w:rPr>
          <w:rFonts w:cs="Arial"/>
          <w:b/>
          <w:bCs/>
          <w:noProof/>
          <w:color w:val="4F81BD" w:themeColor="accent1"/>
          <w:sz w:val="24"/>
          <w:szCs w:val="24"/>
          <w:lang w:val="en-GB"/>
        </w:rPr>
        <w:drawing>
          <wp:anchor distT="0" distB="0" distL="114300" distR="114300" simplePos="0" relativeHeight="251658242" behindDoc="1" locked="0" layoutInCell="1" allowOverlap="1" wp14:anchorId="7C639453" wp14:editId="123673E5">
            <wp:simplePos x="0" y="0"/>
            <wp:positionH relativeFrom="column">
              <wp:posOffset>22860</wp:posOffset>
            </wp:positionH>
            <wp:positionV relativeFrom="paragraph">
              <wp:posOffset>324485</wp:posOffset>
            </wp:positionV>
            <wp:extent cx="2494915" cy="1541780"/>
            <wp:effectExtent l="0" t="0" r="635" b="1270"/>
            <wp:wrapTight wrapText="bothSides">
              <wp:wrapPolygon edited="0">
                <wp:start x="0" y="0"/>
                <wp:lineTo x="0" y="21351"/>
                <wp:lineTo x="21441" y="21351"/>
                <wp:lineTo x="21441" y="0"/>
                <wp:lineTo x="0" y="0"/>
              </wp:wrapPolygon>
            </wp:wrapTight>
            <wp:docPr id="189487425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494915" cy="1541780"/>
                    </a:xfrm>
                    <a:prstGeom prst="rect">
                      <a:avLst/>
                    </a:prstGeom>
                    <a:noFill/>
                  </pic:spPr>
                </pic:pic>
              </a:graphicData>
            </a:graphic>
            <wp14:sizeRelH relativeFrom="margin">
              <wp14:pctWidth>0</wp14:pctWidth>
            </wp14:sizeRelH>
            <wp14:sizeRelV relativeFrom="margin">
              <wp14:pctHeight>0</wp14:pctHeight>
            </wp14:sizeRelV>
          </wp:anchor>
        </w:drawing>
      </w:r>
      <w:r w:rsidR="002E1ECF" w:rsidRPr="00B60148">
        <w:rPr>
          <w:rFonts w:cs="Arial"/>
          <w:b/>
          <w:bCs/>
          <w:color w:val="4F81BD" w:themeColor="accent1"/>
          <w:sz w:val="24"/>
          <w:szCs w:val="24"/>
          <w:lang w:val="en-GB"/>
        </w:rPr>
        <w:t>Challenges &amp; Solutions</w:t>
      </w:r>
    </w:p>
    <w:p w14:paraId="589A8FED" w14:textId="77777777" w:rsidR="00B60148" w:rsidRDefault="00B60148" w:rsidP="001B4302">
      <w:pPr>
        <w:pStyle w:val="ListBullet"/>
        <w:numPr>
          <w:ilvl w:val="0"/>
          <w:numId w:val="0"/>
        </w:numPr>
        <w:rPr>
          <w:rFonts w:cs="Arial"/>
          <w:sz w:val="24"/>
          <w:szCs w:val="24"/>
          <w:lang w:val="en-GB"/>
        </w:rPr>
      </w:pPr>
    </w:p>
    <w:p w14:paraId="5F46531F" w14:textId="425F2EFE" w:rsidR="005E3C6A" w:rsidRPr="00027B06" w:rsidRDefault="005E3C6A" w:rsidP="001B4302">
      <w:pPr>
        <w:pStyle w:val="ListBullet"/>
        <w:numPr>
          <w:ilvl w:val="0"/>
          <w:numId w:val="0"/>
        </w:numPr>
        <w:rPr>
          <w:rFonts w:cs="Arial"/>
          <w:sz w:val="24"/>
          <w:szCs w:val="24"/>
          <w:lang w:val="en-GB"/>
        </w:rPr>
      </w:pPr>
      <w:r w:rsidRPr="00027B06">
        <w:rPr>
          <w:rFonts w:cs="Arial"/>
          <w:sz w:val="24"/>
          <w:szCs w:val="24"/>
          <w:lang w:val="en-GB"/>
        </w:rPr>
        <w:t>Despite its</w:t>
      </w:r>
      <w:r w:rsidR="00830701" w:rsidRPr="00027B06">
        <w:rPr>
          <w:rFonts w:cs="Arial"/>
          <w:sz w:val="24"/>
          <w:szCs w:val="24"/>
          <w:lang w:val="en-GB"/>
        </w:rPr>
        <w:t xml:space="preserve"> clinical</w:t>
      </w:r>
      <w:r w:rsidRPr="00027B06">
        <w:rPr>
          <w:rFonts w:cs="Arial"/>
          <w:sz w:val="24"/>
          <w:szCs w:val="24"/>
          <w:lang w:val="en-GB"/>
        </w:rPr>
        <w:t xml:space="preserve"> benefits, barriers remain to widespread adoption of continuous glucose monitoring (CGM). These include digital exclusion, limited digital literacy, financial constraints, accessibility issues and concerns about data privacy, all of which may contribute to health inequalities and unequal access to digital health technologies (Marmot, 2010; Britton and Britton-Colonnese, 2017).</w:t>
      </w:r>
    </w:p>
    <w:p w14:paraId="43927827" w14:textId="60BB3A4A" w:rsidR="00776708" w:rsidRPr="00027B06" w:rsidRDefault="00080E8A" w:rsidP="001B4302">
      <w:pPr>
        <w:pStyle w:val="ListBullet"/>
        <w:ind w:left="0"/>
        <w:rPr>
          <w:rFonts w:cs="Arial"/>
          <w:sz w:val="24"/>
          <w:szCs w:val="24"/>
          <w:lang w:val="en-GB"/>
        </w:rPr>
      </w:pPr>
      <w:r w:rsidRPr="00027B06">
        <w:rPr>
          <w:rFonts w:cs="Arial"/>
          <w:sz w:val="24"/>
          <w:szCs w:val="24"/>
          <w:lang w:val="en-GB"/>
        </w:rPr>
        <w:t>Individuals</w:t>
      </w:r>
      <w:r w:rsidR="00C514DF" w:rsidRPr="00027B06">
        <w:rPr>
          <w:rFonts w:cs="Arial"/>
          <w:sz w:val="24"/>
          <w:szCs w:val="24"/>
          <w:lang w:val="en-GB"/>
        </w:rPr>
        <w:t xml:space="preserve"> with lower digital</w:t>
      </w:r>
      <w:r w:rsidR="00051610" w:rsidRPr="00027B06">
        <w:rPr>
          <w:rFonts w:cs="Arial"/>
          <w:sz w:val="24"/>
          <w:szCs w:val="24"/>
          <w:lang w:val="en-GB"/>
        </w:rPr>
        <w:t xml:space="preserve"> literacy</w:t>
      </w:r>
      <w:r w:rsidR="00182400" w:rsidRPr="00027B06">
        <w:rPr>
          <w:rFonts w:cs="Arial"/>
          <w:sz w:val="24"/>
          <w:szCs w:val="24"/>
          <w:lang w:val="en-GB"/>
        </w:rPr>
        <w:t xml:space="preserve"> and</w:t>
      </w:r>
      <w:r w:rsidR="00051610" w:rsidRPr="00027B06">
        <w:rPr>
          <w:rFonts w:cs="Arial"/>
          <w:sz w:val="24"/>
          <w:szCs w:val="24"/>
          <w:lang w:val="en-GB"/>
        </w:rPr>
        <w:t xml:space="preserve"> limited access</w:t>
      </w:r>
      <w:r w:rsidRPr="00027B06">
        <w:rPr>
          <w:rFonts w:cs="Arial"/>
          <w:sz w:val="24"/>
          <w:szCs w:val="24"/>
          <w:lang w:val="en-GB"/>
        </w:rPr>
        <w:t xml:space="preserve"> to </w:t>
      </w:r>
      <w:r w:rsidR="00F41110" w:rsidRPr="00027B06">
        <w:rPr>
          <w:rFonts w:cs="Arial"/>
          <w:sz w:val="24"/>
          <w:szCs w:val="24"/>
          <w:lang w:val="en-GB"/>
        </w:rPr>
        <w:t>smartphones</w:t>
      </w:r>
      <w:r w:rsidR="005E3C6A" w:rsidRPr="00027B06">
        <w:rPr>
          <w:rFonts w:cs="Arial"/>
          <w:sz w:val="24"/>
          <w:szCs w:val="24"/>
          <w:lang w:val="en-GB"/>
        </w:rPr>
        <w:t xml:space="preserve"> </w:t>
      </w:r>
      <w:r w:rsidR="008B620D" w:rsidRPr="00027B06">
        <w:rPr>
          <w:rFonts w:cs="Arial"/>
          <w:sz w:val="24"/>
          <w:szCs w:val="24"/>
          <w:lang w:val="en-GB"/>
        </w:rPr>
        <w:t>or</w:t>
      </w:r>
      <w:r w:rsidR="002D0E2A" w:rsidRPr="00027B06">
        <w:rPr>
          <w:rFonts w:cs="Arial"/>
          <w:sz w:val="24"/>
          <w:szCs w:val="24"/>
          <w:lang w:val="en-GB"/>
        </w:rPr>
        <w:t xml:space="preserve"> internet connectivity, or those from </w:t>
      </w:r>
      <w:r w:rsidR="00F41110" w:rsidRPr="00027B06">
        <w:rPr>
          <w:rFonts w:cs="Arial"/>
          <w:sz w:val="24"/>
          <w:szCs w:val="24"/>
          <w:lang w:val="en-GB"/>
        </w:rPr>
        <w:t>socioeconomically disadvantaged</w:t>
      </w:r>
      <w:r w:rsidR="00E0079E" w:rsidRPr="00027B06">
        <w:rPr>
          <w:rFonts w:cs="Arial"/>
          <w:sz w:val="24"/>
          <w:szCs w:val="24"/>
          <w:lang w:val="en-GB"/>
        </w:rPr>
        <w:t xml:space="preserve"> backgrounds</w:t>
      </w:r>
      <w:r w:rsidR="005F1724">
        <w:rPr>
          <w:rFonts w:cs="Arial"/>
          <w:sz w:val="24"/>
          <w:szCs w:val="24"/>
          <w:lang w:val="en-GB"/>
        </w:rPr>
        <w:t>,</w:t>
      </w:r>
      <w:r w:rsidR="00E0079E" w:rsidRPr="00027B06">
        <w:rPr>
          <w:rFonts w:cs="Arial"/>
          <w:sz w:val="24"/>
          <w:szCs w:val="24"/>
          <w:lang w:val="en-GB"/>
        </w:rPr>
        <w:t xml:space="preserve"> may en</w:t>
      </w:r>
      <w:r w:rsidR="00A15565" w:rsidRPr="00027B06">
        <w:rPr>
          <w:rFonts w:cs="Arial"/>
          <w:sz w:val="24"/>
          <w:szCs w:val="24"/>
          <w:lang w:val="en-GB"/>
        </w:rPr>
        <w:t xml:space="preserve">counter greater barriers to using the technology </w:t>
      </w:r>
      <w:r w:rsidR="00F41110" w:rsidRPr="00027B06">
        <w:rPr>
          <w:rFonts w:cs="Arial"/>
          <w:sz w:val="24"/>
          <w:szCs w:val="24"/>
          <w:lang w:val="en-GB"/>
        </w:rPr>
        <w:t>effectively.</w:t>
      </w:r>
      <w:r w:rsidR="004B1820" w:rsidRPr="00027B06">
        <w:rPr>
          <w:rFonts w:cs="Arial"/>
          <w:sz w:val="24"/>
          <w:szCs w:val="24"/>
          <w:lang w:val="en-GB"/>
        </w:rPr>
        <w:t xml:space="preserve"> </w:t>
      </w:r>
      <w:r w:rsidR="00D1273D" w:rsidRPr="00027B06">
        <w:rPr>
          <w:rFonts w:cs="Arial"/>
          <w:sz w:val="24"/>
          <w:szCs w:val="24"/>
          <w:lang w:val="en-GB"/>
        </w:rPr>
        <w:t>C</w:t>
      </w:r>
      <w:r w:rsidR="004B1820" w:rsidRPr="00027B06">
        <w:rPr>
          <w:rFonts w:cs="Arial"/>
          <w:sz w:val="24"/>
          <w:szCs w:val="24"/>
          <w:lang w:val="en-GB"/>
        </w:rPr>
        <w:t>onsequen</w:t>
      </w:r>
      <w:r w:rsidR="00D1273D" w:rsidRPr="00027B06">
        <w:rPr>
          <w:rFonts w:cs="Arial"/>
          <w:sz w:val="24"/>
          <w:szCs w:val="24"/>
          <w:lang w:val="en-GB"/>
        </w:rPr>
        <w:t>tly, there is a risk that digital innovations could unint</w:t>
      </w:r>
      <w:r w:rsidR="001C402E" w:rsidRPr="00027B06">
        <w:rPr>
          <w:rFonts w:cs="Arial"/>
          <w:sz w:val="24"/>
          <w:szCs w:val="24"/>
          <w:lang w:val="en-GB"/>
        </w:rPr>
        <w:t xml:space="preserve">entionally widen existing health inequalities if </w:t>
      </w:r>
      <w:r w:rsidR="009E1D20" w:rsidRPr="00027B06">
        <w:rPr>
          <w:rFonts w:cs="Arial"/>
          <w:sz w:val="24"/>
          <w:szCs w:val="24"/>
          <w:lang w:val="en-GB"/>
        </w:rPr>
        <w:t xml:space="preserve">implementation is not </w:t>
      </w:r>
      <w:r w:rsidR="009E1D20" w:rsidRPr="00027B06">
        <w:rPr>
          <w:rFonts w:cs="Arial"/>
          <w:sz w:val="24"/>
          <w:szCs w:val="24"/>
          <w:lang w:val="en-GB"/>
        </w:rPr>
        <w:lastRenderedPageBreak/>
        <w:t>supported by equitable access and app</w:t>
      </w:r>
      <w:r w:rsidR="00BD700B" w:rsidRPr="00027B06">
        <w:rPr>
          <w:rFonts w:cs="Arial"/>
          <w:sz w:val="24"/>
          <w:szCs w:val="24"/>
          <w:lang w:val="en-GB"/>
        </w:rPr>
        <w:t>ropriate education(Marmot, 2010; NICE, 2022)</w:t>
      </w:r>
      <w:r w:rsidR="005E3C6A" w:rsidRPr="00027B06">
        <w:rPr>
          <w:rFonts w:cs="Arial"/>
          <w:sz w:val="24"/>
          <w:szCs w:val="24"/>
          <w:lang w:val="en-GB"/>
        </w:rPr>
        <w:t xml:space="preserve"> </w:t>
      </w:r>
    </w:p>
    <w:p w14:paraId="07567F68" w14:textId="29C69ED3" w:rsidR="00AC07FD" w:rsidRDefault="00EB18BD" w:rsidP="001B4302">
      <w:pPr>
        <w:pStyle w:val="ListBullet"/>
        <w:ind w:left="0"/>
        <w:rPr>
          <w:rFonts w:cs="Arial"/>
          <w:sz w:val="24"/>
          <w:szCs w:val="24"/>
          <w:lang w:val="en-GB"/>
        </w:rPr>
      </w:pPr>
      <w:r w:rsidRPr="00027B06">
        <w:rPr>
          <w:rFonts w:cs="Arial"/>
          <w:sz w:val="24"/>
          <w:szCs w:val="24"/>
          <w:lang w:val="en-GB"/>
        </w:rPr>
        <w:t xml:space="preserve">These challenges can be </w:t>
      </w:r>
      <w:r w:rsidR="005E3C6A" w:rsidRPr="00027B06">
        <w:rPr>
          <w:rFonts w:cs="Arial"/>
          <w:sz w:val="24"/>
          <w:szCs w:val="24"/>
          <w:lang w:val="en-GB"/>
        </w:rPr>
        <w:t xml:space="preserve">addressed </w:t>
      </w:r>
      <w:r w:rsidRPr="00027B06">
        <w:rPr>
          <w:rFonts w:cs="Arial"/>
          <w:sz w:val="24"/>
          <w:szCs w:val="24"/>
          <w:lang w:val="en-GB"/>
        </w:rPr>
        <w:t>through</w:t>
      </w:r>
      <w:r w:rsidR="005E3C6A" w:rsidRPr="00027B06">
        <w:rPr>
          <w:rFonts w:cs="Arial"/>
          <w:sz w:val="24"/>
          <w:szCs w:val="24"/>
          <w:lang w:val="en-GB"/>
        </w:rPr>
        <w:t xml:space="preserve"> equitable NHS access, structured patient education, culturally appropriate support, accessible digital design and robust data governance, helping to ensure that digital health innovations benefit all individuals, regardless of age, socioeconomic status or digital capability (NICE, 2022; NHS England, 2023).</w:t>
      </w:r>
    </w:p>
    <w:p w14:paraId="0E4B0898" w14:textId="77777777" w:rsidR="001B4302" w:rsidRDefault="001B4302" w:rsidP="001B4302">
      <w:pPr>
        <w:pStyle w:val="ListBullet"/>
        <w:numPr>
          <w:ilvl w:val="0"/>
          <w:numId w:val="0"/>
        </w:numPr>
        <w:rPr>
          <w:rFonts w:cs="Arial"/>
          <w:sz w:val="24"/>
          <w:szCs w:val="24"/>
          <w:lang w:val="en-GB"/>
        </w:rPr>
      </w:pPr>
    </w:p>
    <w:p w14:paraId="3C11169C" w14:textId="7A83FF46" w:rsidR="00CA4F70" w:rsidRPr="00027B06" w:rsidRDefault="005F4845" w:rsidP="4F76E6A5">
      <w:pPr>
        <w:pStyle w:val="ListBullet"/>
        <w:rPr>
          <w:rFonts w:cs="Arial"/>
          <w:b/>
          <w:bCs/>
          <w:sz w:val="24"/>
          <w:szCs w:val="24"/>
          <w:lang w:val="en-GB"/>
        </w:rPr>
      </w:pPr>
      <w:r w:rsidRPr="4F76E6A5">
        <w:rPr>
          <w:rStyle w:val="Heading2Char"/>
          <w:rFonts w:ascii="Arial" w:hAnsi="Arial" w:cs="Arial"/>
          <w:sz w:val="24"/>
          <w:szCs w:val="24"/>
        </w:rPr>
        <w:t xml:space="preserve">Learn </w:t>
      </w:r>
      <w:r w:rsidR="00B702FD" w:rsidRPr="4F76E6A5">
        <w:rPr>
          <w:rStyle w:val="Heading2Char"/>
          <w:rFonts w:ascii="Arial" w:hAnsi="Arial" w:cs="Arial"/>
          <w:sz w:val="24"/>
          <w:szCs w:val="24"/>
        </w:rPr>
        <w:t>M</w:t>
      </w:r>
      <w:r w:rsidR="00CA4F70" w:rsidRPr="4F76E6A5">
        <w:rPr>
          <w:rStyle w:val="Heading2Char"/>
          <w:rFonts w:ascii="Arial" w:hAnsi="Arial" w:cs="Arial"/>
          <w:sz w:val="24"/>
          <w:szCs w:val="24"/>
        </w:rPr>
        <w:t>ore</w:t>
      </w:r>
      <w:r w:rsidRPr="4F76E6A5">
        <w:rPr>
          <w:rStyle w:val="Heading2Char"/>
          <w:rFonts w:ascii="Arial" w:hAnsi="Arial" w:cs="Arial"/>
          <w:sz w:val="24"/>
          <w:szCs w:val="24"/>
        </w:rPr>
        <w:t>: Scan for trusted information on FreeStyle Libre and continuous glucose monitoring</w:t>
      </w:r>
      <w:r w:rsidRPr="4F76E6A5">
        <w:rPr>
          <w:rFonts w:cs="Arial"/>
          <w:sz w:val="24"/>
          <w:szCs w:val="24"/>
        </w:rPr>
        <w:t>.</w:t>
      </w:r>
      <w:r w:rsidR="5B76A02F">
        <w:rPr>
          <w:noProof/>
        </w:rPr>
        <w:drawing>
          <wp:inline distT="0" distB="0" distL="0" distR="0" wp14:anchorId="6D0BA14A" wp14:editId="4FCF8052">
            <wp:extent cx="2518410" cy="1891665"/>
            <wp:effectExtent l="0" t="0" r="0" b="0"/>
            <wp:docPr id="25447621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rot="10800000" flipV="1">
                      <a:off x="0" y="0"/>
                      <a:ext cx="2518410" cy="1891665"/>
                    </a:xfrm>
                    <a:prstGeom prst="rect">
                      <a:avLst/>
                    </a:prstGeom>
                    <a:noFill/>
                  </pic:spPr>
                </pic:pic>
              </a:graphicData>
            </a:graphic>
          </wp:inline>
        </w:drawing>
      </w:r>
    </w:p>
    <w:p w14:paraId="3B02850C" w14:textId="23A44B3C" w:rsidR="006641CF" w:rsidRPr="00D1179F" w:rsidRDefault="0012211E" w:rsidP="009A5FE1">
      <w:pPr>
        <w:pStyle w:val="ListBullet"/>
        <w:rPr>
          <w:rFonts w:cs="Arial"/>
          <w:b/>
          <w:bCs/>
          <w:sz w:val="24"/>
          <w:szCs w:val="24"/>
          <w:lang w:val="en-GB"/>
        </w:rPr>
      </w:pPr>
      <w:r w:rsidRPr="00D1179F">
        <w:rPr>
          <w:rFonts w:cs="Arial"/>
          <w:b/>
          <w:bCs/>
          <w:sz w:val="24"/>
          <w:szCs w:val="24"/>
          <w:lang w:val="en-GB"/>
        </w:rPr>
        <w:t>Tr</w:t>
      </w:r>
      <w:r w:rsidR="00C84653" w:rsidRPr="00D1179F">
        <w:rPr>
          <w:rFonts w:cs="Arial"/>
          <w:b/>
          <w:bCs/>
          <w:sz w:val="24"/>
          <w:szCs w:val="24"/>
          <w:lang w:val="en-GB"/>
        </w:rPr>
        <w:t>usted resources:</w:t>
      </w:r>
    </w:p>
    <w:p w14:paraId="20861BB8" w14:textId="4B681AF0" w:rsidR="00C84653" w:rsidRPr="00D1179F" w:rsidRDefault="00C84653" w:rsidP="009A5FE1">
      <w:pPr>
        <w:pStyle w:val="ListBullet"/>
        <w:rPr>
          <w:rFonts w:cs="Arial"/>
          <w:b/>
          <w:bCs/>
          <w:sz w:val="24"/>
          <w:szCs w:val="24"/>
          <w:lang w:val="en-GB"/>
        </w:rPr>
      </w:pPr>
      <w:r w:rsidRPr="00D1179F">
        <w:rPr>
          <w:rFonts w:cs="Arial"/>
          <w:b/>
          <w:bCs/>
          <w:sz w:val="24"/>
          <w:szCs w:val="24"/>
          <w:lang w:val="en-GB"/>
        </w:rPr>
        <w:t>Diabetes UK</w:t>
      </w:r>
    </w:p>
    <w:p w14:paraId="5089A312" w14:textId="3DF99EF6" w:rsidR="0040042F" w:rsidRPr="00D1179F" w:rsidRDefault="0040042F" w:rsidP="009A5FE1">
      <w:pPr>
        <w:pStyle w:val="ListBullet"/>
        <w:rPr>
          <w:rFonts w:cs="Arial"/>
          <w:b/>
          <w:bCs/>
          <w:sz w:val="24"/>
          <w:szCs w:val="24"/>
          <w:lang w:val="en-GB"/>
        </w:rPr>
      </w:pPr>
      <w:r w:rsidRPr="00D1179F">
        <w:rPr>
          <w:rFonts w:cs="Arial"/>
          <w:b/>
          <w:bCs/>
          <w:sz w:val="24"/>
          <w:szCs w:val="24"/>
          <w:lang w:val="en-GB"/>
        </w:rPr>
        <w:t>NHS</w:t>
      </w:r>
    </w:p>
    <w:p w14:paraId="7311EDBD" w14:textId="77777777" w:rsidR="00A40578" w:rsidRPr="00027B06" w:rsidRDefault="00A40578" w:rsidP="006D4535">
      <w:pPr>
        <w:pStyle w:val="ListBullet"/>
        <w:numPr>
          <w:ilvl w:val="0"/>
          <w:numId w:val="0"/>
        </w:numPr>
        <w:ind w:left="360" w:hanging="360"/>
        <w:rPr>
          <w:rFonts w:cs="Arial"/>
          <w:b/>
          <w:color w:val="008080"/>
          <w:sz w:val="24"/>
          <w:szCs w:val="24"/>
        </w:rPr>
      </w:pPr>
    </w:p>
    <w:p w14:paraId="00EAABBF" w14:textId="77777777" w:rsidR="00A40578" w:rsidRPr="00027B06" w:rsidRDefault="00A40578" w:rsidP="006D4535">
      <w:pPr>
        <w:pStyle w:val="ListBullet"/>
        <w:numPr>
          <w:ilvl w:val="0"/>
          <w:numId w:val="0"/>
        </w:numPr>
        <w:ind w:left="360" w:hanging="360"/>
        <w:rPr>
          <w:rFonts w:cs="Arial"/>
          <w:b/>
          <w:color w:val="008080"/>
          <w:sz w:val="24"/>
          <w:szCs w:val="24"/>
        </w:rPr>
      </w:pPr>
    </w:p>
    <w:p w14:paraId="2B6830DE" w14:textId="304EC53F" w:rsidR="00C31089" w:rsidRPr="00027B06" w:rsidRDefault="00C31089" w:rsidP="006D4535">
      <w:pPr>
        <w:pStyle w:val="ListBullet"/>
        <w:numPr>
          <w:ilvl w:val="0"/>
          <w:numId w:val="0"/>
        </w:numPr>
        <w:ind w:left="360" w:hanging="360"/>
        <w:rPr>
          <w:rFonts w:cs="Arial"/>
          <w:b/>
          <w:color w:val="008080"/>
          <w:sz w:val="24"/>
          <w:szCs w:val="24"/>
        </w:rPr>
      </w:pPr>
    </w:p>
    <w:p w14:paraId="237851E3" w14:textId="77777777" w:rsidR="00C31089" w:rsidRPr="00027B06" w:rsidRDefault="00C31089" w:rsidP="006D4535">
      <w:pPr>
        <w:pStyle w:val="ListBullet"/>
        <w:numPr>
          <w:ilvl w:val="0"/>
          <w:numId w:val="0"/>
        </w:numPr>
        <w:ind w:left="360" w:hanging="360"/>
        <w:rPr>
          <w:rFonts w:cs="Arial"/>
          <w:b/>
          <w:color w:val="008080"/>
          <w:sz w:val="24"/>
          <w:szCs w:val="24"/>
        </w:rPr>
      </w:pPr>
    </w:p>
    <w:p w14:paraId="06AC2252" w14:textId="77777777" w:rsidR="00C31089" w:rsidRPr="00027B06" w:rsidRDefault="00C31089" w:rsidP="006D4535">
      <w:pPr>
        <w:pStyle w:val="ListBullet"/>
        <w:numPr>
          <w:ilvl w:val="0"/>
          <w:numId w:val="0"/>
        </w:numPr>
        <w:ind w:left="360" w:hanging="360"/>
        <w:rPr>
          <w:rFonts w:cs="Arial"/>
          <w:b/>
          <w:color w:val="008080"/>
          <w:sz w:val="24"/>
          <w:szCs w:val="24"/>
        </w:rPr>
      </w:pPr>
    </w:p>
    <w:p w14:paraId="5A556DBA" w14:textId="77777777" w:rsidR="00C31089" w:rsidRPr="00027B06" w:rsidRDefault="00C31089" w:rsidP="006D4535">
      <w:pPr>
        <w:pStyle w:val="ListBullet"/>
        <w:numPr>
          <w:ilvl w:val="0"/>
          <w:numId w:val="0"/>
        </w:numPr>
        <w:ind w:left="360" w:hanging="360"/>
        <w:rPr>
          <w:rFonts w:cs="Arial"/>
          <w:b/>
          <w:color w:val="008080"/>
          <w:sz w:val="24"/>
          <w:szCs w:val="24"/>
        </w:rPr>
      </w:pPr>
    </w:p>
    <w:p w14:paraId="55DAF876" w14:textId="77777777" w:rsidR="00C31089" w:rsidRPr="00027B06" w:rsidRDefault="00C31089" w:rsidP="006D4535">
      <w:pPr>
        <w:pStyle w:val="ListBullet"/>
        <w:numPr>
          <w:ilvl w:val="0"/>
          <w:numId w:val="0"/>
        </w:numPr>
        <w:ind w:left="360" w:hanging="360"/>
        <w:rPr>
          <w:rFonts w:cs="Arial"/>
          <w:b/>
          <w:color w:val="008080"/>
          <w:sz w:val="24"/>
          <w:szCs w:val="24"/>
        </w:rPr>
      </w:pPr>
    </w:p>
    <w:p w14:paraId="1A794EA4" w14:textId="77777777" w:rsidR="00C31089" w:rsidRPr="00027B06" w:rsidRDefault="00C31089" w:rsidP="006D4535">
      <w:pPr>
        <w:pStyle w:val="ListBullet"/>
        <w:numPr>
          <w:ilvl w:val="0"/>
          <w:numId w:val="0"/>
        </w:numPr>
        <w:ind w:left="360" w:hanging="360"/>
        <w:rPr>
          <w:rFonts w:cs="Arial"/>
          <w:b/>
          <w:color w:val="008080"/>
          <w:sz w:val="24"/>
          <w:szCs w:val="24"/>
        </w:rPr>
      </w:pPr>
    </w:p>
    <w:p w14:paraId="0A7F0DAF" w14:textId="77777777" w:rsidR="00C31089" w:rsidRPr="00027B06" w:rsidRDefault="00C31089" w:rsidP="006D4535">
      <w:pPr>
        <w:pStyle w:val="ListBullet"/>
        <w:numPr>
          <w:ilvl w:val="0"/>
          <w:numId w:val="0"/>
        </w:numPr>
        <w:ind w:left="360" w:hanging="360"/>
        <w:rPr>
          <w:rFonts w:cs="Arial"/>
          <w:b/>
          <w:color w:val="008080"/>
          <w:sz w:val="24"/>
          <w:szCs w:val="24"/>
        </w:rPr>
      </w:pPr>
    </w:p>
    <w:p w14:paraId="1C73F4B9" w14:textId="77777777" w:rsidR="00C31089" w:rsidRPr="00027B06" w:rsidRDefault="00C31089" w:rsidP="006D4535">
      <w:pPr>
        <w:pStyle w:val="ListBullet"/>
        <w:numPr>
          <w:ilvl w:val="0"/>
          <w:numId w:val="0"/>
        </w:numPr>
        <w:ind w:left="360" w:hanging="360"/>
        <w:rPr>
          <w:rFonts w:cs="Arial"/>
          <w:b/>
          <w:color w:val="008080"/>
          <w:sz w:val="24"/>
          <w:szCs w:val="24"/>
        </w:rPr>
      </w:pPr>
    </w:p>
    <w:p w14:paraId="72AD00C5" w14:textId="77777777" w:rsidR="00C31089" w:rsidRPr="00027B06" w:rsidRDefault="00C31089" w:rsidP="006D4535">
      <w:pPr>
        <w:pStyle w:val="ListBullet"/>
        <w:numPr>
          <w:ilvl w:val="0"/>
          <w:numId w:val="0"/>
        </w:numPr>
        <w:ind w:left="360" w:hanging="360"/>
        <w:rPr>
          <w:rFonts w:cs="Arial"/>
          <w:b/>
          <w:color w:val="008080"/>
          <w:sz w:val="24"/>
          <w:szCs w:val="24"/>
        </w:rPr>
      </w:pPr>
    </w:p>
    <w:p w14:paraId="08F6AD5C" w14:textId="77777777" w:rsidR="00C31089" w:rsidRPr="00027B06" w:rsidRDefault="00C31089" w:rsidP="006D4535">
      <w:pPr>
        <w:pStyle w:val="ListBullet"/>
        <w:numPr>
          <w:ilvl w:val="0"/>
          <w:numId w:val="0"/>
        </w:numPr>
        <w:ind w:left="360" w:hanging="360"/>
        <w:rPr>
          <w:rFonts w:cs="Arial"/>
          <w:b/>
          <w:color w:val="008080"/>
          <w:sz w:val="24"/>
          <w:szCs w:val="24"/>
        </w:rPr>
      </w:pPr>
    </w:p>
    <w:p w14:paraId="1B94B621" w14:textId="77777777" w:rsidR="00C31089" w:rsidRPr="00027B06" w:rsidRDefault="00C31089" w:rsidP="006D4535">
      <w:pPr>
        <w:pStyle w:val="ListBullet"/>
        <w:numPr>
          <w:ilvl w:val="0"/>
          <w:numId w:val="0"/>
        </w:numPr>
        <w:ind w:left="360" w:hanging="360"/>
        <w:rPr>
          <w:rFonts w:cs="Arial"/>
          <w:b/>
          <w:color w:val="008080"/>
          <w:sz w:val="24"/>
          <w:szCs w:val="24"/>
        </w:rPr>
      </w:pPr>
    </w:p>
    <w:p w14:paraId="4A6E862E" w14:textId="77777777" w:rsidR="00C31089" w:rsidRPr="00027B06" w:rsidRDefault="00C31089" w:rsidP="006D4535">
      <w:pPr>
        <w:pStyle w:val="ListBullet"/>
        <w:numPr>
          <w:ilvl w:val="0"/>
          <w:numId w:val="0"/>
        </w:numPr>
        <w:ind w:left="360" w:hanging="360"/>
        <w:rPr>
          <w:rFonts w:cs="Arial"/>
          <w:b/>
          <w:color w:val="008080"/>
          <w:sz w:val="24"/>
          <w:szCs w:val="24"/>
        </w:rPr>
      </w:pPr>
    </w:p>
    <w:p w14:paraId="626DF7F2" w14:textId="77777777" w:rsidR="00C31089" w:rsidRPr="00027B06" w:rsidRDefault="00C31089" w:rsidP="006D4535">
      <w:pPr>
        <w:pStyle w:val="ListBullet"/>
        <w:numPr>
          <w:ilvl w:val="0"/>
          <w:numId w:val="0"/>
        </w:numPr>
        <w:ind w:left="360" w:hanging="360"/>
        <w:rPr>
          <w:rFonts w:cs="Arial"/>
          <w:b/>
          <w:color w:val="008080"/>
          <w:sz w:val="24"/>
          <w:szCs w:val="24"/>
        </w:rPr>
      </w:pPr>
    </w:p>
    <w:p w14:paraId="09EC942A" w14:textId="77777777" w:rsidR="00C31089" w:rsidRPr="00027B06" w:rsidRDefault="00C31089" w:rsidP="006D4535">
      <w:pPr>
        <w:pStyle w:val="ListBullet"/>
        <w:numPr>
          <w:ilvl w:val="0"/>
          <w:numId w:val="0"/>
        </w:numPr>
        <w:ind w:left="360" w:hanging="360"/>
        <w:rPr>
          <w:rFonts w:cs="Arial"/>
          <w:b/>
          <w:color w:val="008080"/>
          <w:sz w:val="24"/>
          <w:szCs w:val="24"/>
        </w:rPr>
      </w:pPr>
    </w:p>
    <w:p w14:paraId="231DB417" w14:textId="3712E722" w:rsidR="00C31089" w:rsidRPr="00027B06" w:rsidRDefault="00C31089" w:rsidP="006D4535">
      <w:pPr>
        <w:pStyle w:val="ListBullet"/>
        <w:numPr>
          <w:ilvl w:val="0"/>
          <w:numId w:val="0"/>
        </w:numPr>
        <w:ind w:left="360" w:hanging="360"/>
        <w:rPr>
          <w:rFonts w:cs="Arial"/>
          <w:b/>
          <w:color w:val="008080"/>
          <w:sz w:val="24"/>
          <w:szCs w:val="24"/>
        </w:rPr>
      </w:pPr>
    </w:p>
    <w:p w14:paraId="26254F5B" w14:textId="72222D4F" w:rsidR="00C31089" w:rsidRPr="00027B06" w:rsidRDefault="00C31089" w:rsidP="006D4535">
      <w:pPr>
        <w:pStyle w:val="ListBullet"/>
        <w:numPr>
          <w:ilvl w:val="0"/>
          <w:numId w:val="0"/>
        </w:numPr>
        <w:ind w:left="360" w:hanging="360"/>
        <w:rPr>
          <w:rFonts w:cs="Arial"/>
          <w:b/>
          <w:color w:val="008080"/>
          <w:sz w:val="24"/>
          <w:szCs w:val="24"/>
        </w:rPr>
      </w:pPr>
    </w:p>
    <w:p w14:paraId="5122243E" w14:textId="77777777" w:rsidR="00C31089" w:rsidRPr="00027B06" w:rsidRDefault="00C31089" w:rsidP="006D4535">
      <w:pPr>
        <w:pStyle w:val="ListBullet"/>
        <w:numPr>
          <w:ilvl w:val="0"/>
          <w:numId w:val="0"/>
        </w:numPr>
        <w:ind w:left="360" w:hanging="360"/>
        <w:rPr>
          <w:rFonts w:cs="Arial"/>
          <w:b/>
          <w:color w:val="008080"/>
          <w:sz w:val="24"/>
          <w:szCs w:val="24"/>
        </w:rPr>
      </w:pPr>
    </w:p>
    <w:p w14:paraId="039A7CE9" w14:textId="3C9066A1" w:rsidR="00C31089" w:rsidRPr="00027B06" w:rsidRDefault="00C31089" w:rsidP="006D4535">
      <w:pPr>
        <w:pStyle w:val="ListBullet"/>
        <w:numPr>
          <w:ilvl w:val="0"/>
          <w:numId w:val="0"/>
        </w:numPr>
        <w:ind w:left="360" w:hanging="360"/>
        <w:rPr>
          <w:rFonts w:cs="Arial"/>
          <w:b/>
          <w:color w:val="008080"/>
          <w:sz w:val="24"/>
          <w:szCs w:val="24"/>
        </w:rPr>
      </w:pPr>
    </w:p>
    <w:p w14:paraId="73CE6BBD" w14:textId="77777777" w:rsidR="00C31089" w:rsidRPr="00027B06" w:rsidRDefault="00C31089" w:rsidP="006D4535">
      <w:pPr>
        <w:pStyle w:val="ListBullet"/>
        <w:numPr>
          <w:ilvl w:val="0"/>
          <w:numId w:val="0"/>
        </w:numPr>
        <w:ind w:left="360" w:hanging="360"/>
        <w:rPr>
          <w:rFonts w:cs="Arial"/>
          <w:b/>
          <w:color w:val="008080"/>
          <w:sz w:val="24"/>
          <w:szCs w:val="24"/>
        </w:rPr>
      </w:pPr>
    </w:p>
    <w:p w14:paraId="429BBAF6" w14:textId="77777777" w:rsidR="00C31089" w:rsidRPr="00027B06" w:rsidRDefault="00C31089" w:rsidP="006D4535">
      <w:pPr>
        <w:pStyle w:val="ListBullet"/>
        <w:numPr>
          <w:ilvl w:val="0"/>
          <w:numId w:val="0"/>
        </w:numPr>
        <w:ind w:left="360" w:hanging="360"/>
        <w:rPr>
          <w:rFonts w:cs="Arial"/>
          <w:b/>
          <w:color w:val="008080"/>
          <w:sz w:val="24"/>
          <w:szCs w:val="24"/>
        </w:rPr>
      </w:pPr>
    </w:p>
    <w:p w14:paraId="6A7D4A0D" w14:textId="77777777" w:rsidR="00C31089" w:rsidRPr="00027B06" w:rsidRDefault="00C31089" w:rsidP="006D4535">
      <w:pPr>
        <w:pStyle w:val="ListBullet"/>
        <w:numPr>
          <w:ilvl w:val="0"/>
          <w:numId w:val="0"/>
        </w:numPr>
        <w:ind w:left="360" w:hanging="360"/>
        <w:rPr>
          <w:rFonts w:cs="Arial"/>
          <w:b/>
          <w:color w:val="008080"/>
          <w:sz w:val="24"/>
          <w:szCs w:val="24"/>
        </w:rPr>
      </w:pPr>
    </w:p>
    <w:p w14:paraId="74CE5058" w14:textId="77777777" w:rsidR="00C31089" w:rsidRPr="00027B06" w:rsidRDefault="00C31089" w:rsidP="006D4535">
      <w:pPr>
        <w:pStyle w:val="ListBullet"/>
        <w:numPr>
          <w:ilvl w:val="0"/>
          <w:numId w:val="0"/>
        </w:numPr>
        <w:ind w:left="360" w:hanging="360"/>
        <w:rPr>
          <w:rFonts w:cs="Arial"/>
          <w:b/>
          <w:color w:val="008080"/>
          <w:sz w:val="24"/>
          <w:szCs w:val="24"/>
        </w:rPr>
      </w:pPr>
    </w:p>
    <w:p w14:paraId="09DB56BD" w14:textId="77777777" w:rsidR="00C31089" w:rsidRPr="00027B06" w:rsidRDefault="00C31089" w:rsidP="006D4535">
      <w:pPr>
        <w:pStyle w:val="ListBullet"/>
        <w:numPr>
          <w:ilvl w:val="0"/>
          <w:numId w:val="0"/>
        </w:numPr>
        <w:ind w:left="360" w:hanging="360"/>
        <w:rPr>
          <w:rFonts w:cs="Arial"/>
          <w:b/>
          <w:color w:val="008080"/>
          <w:sz w:val="24"/>
          <w:szCs w:val="24"/>
        </w:rPr>
      </w:pPr>
    </w:p>
    <w:p w14:paraId="68BF3FC9" w14:textId="77777777" w:rsidR="00C31089" w:rsidRPr="00027B06" w:rsidRDefault="00C31089" w:rsidP="006D4535">
      <w:pPr>
        <w:pStyle w:val="ListBullet"/>
        <w:numPr>
          <w:ilvl w:val="0"/>
          <w:numId w:val="0"/>
        </w:numPr>
        <w:ind w:left="360" w:hanging="360"/>
        <w:rPr>
          <w:rFonts w:cs="Arial"/>
          <w:b/>
          <w:color w:val="008080"/>
          <w:sz w:val="24"/>
          <w:szCs w:val="24"/>
        </w:rPr>
      </w:pPr>
    </w:p>
    <w:p w14:paraId="4EA691AB" w14:textId="77777777" w:rsidR="00C31089" w:rsidRPr="00027B06" w:rsidRDefault="00C31089" w:rsidP="006D4535">
      <w:pPr>
        <w:pStyle w:val="ListBullet"/>
        <w:numPr>
          <w:ilvl w:val="0"/>
          <w:numId w:val="0"/>
        </w:numPr>
        <w:ind w:left="360" w:hanging="360"/>
        <w:rPr>
          <w:rFonts w:cs="Arial"/>
          <w:b/>
          <w:color w:val="008080"/>
          <w:sz w:val="24"/>
          <w:szCs w:val="24"/>
        </w:rPr>
      </w:pPr>
    </w:p>
    <w:p w14:paraId="14F9B3EF" w14:textId="77777777" w:rsidR="00C31089" w:rsidRPr="00027B06" w:rsidRDefault="00C31089" w:rsidP="006D4535">
      <w:pPr>
        <w:pStyle w:val="ListBullet"/>
        <w:numPr>
          <w:ilvl w:val="0"/>
          <w:numId w:val="0"/>
        </w:numPr>
        <w:ind w:left="360" w:hanging="360"/>
        <w:rPr>
          <w:rFonts w:cs="Arial"/>
          <w:b/>
          <w:color w:val="008080"/>
          <w:sz w:val="24"/>
          <w:szCs w:val="24"/>
        </w:rPr>
      </w:pPr>
    </w:p>
    <w:p w14:paraId="0D87BA85" w14:textId="5289557E" w:rsidR="00C31089" w:rsidRPr="00027B06" w:rsidRDefault="00C31089" w:rsidP="006D4535">
      <w:pPr>
        <w:pStyle w:val="ListBullet"/>
        <w:numPr>
          <w:ilvl w:val="0"/>
          <w:numId w:val="0"/>
        </w:numPr>
        <w:ind w:left="360" w:hanging="360"/>
        <w:rPr>
          <w:rFonts w:cs="Arial"/>
          <w:b/>
          <w:color w:val="008080"/>
          <w:sz w:val="24"/>
          <w:szCs w:val="24"/>
        </w:rPr>
      </w:pPr>
    </w:p>
    <w:p w14:paraId="671F6C4E" w14:textId="39B971C8" w:rsidR="00C31089" w:rsidRPr="00027B06" w:rsidRDefault="00C31089" w:rsidP="006D4535">
      <w:pPr>
        <w:pStyle w:val="ListBullet"/>
        <w:numPr>
          <w:ilvl w:val="0"/>
          <w:numId w:val="0"/>
        </w:numPr>
        <w:ind w:left="360" w:hanging="360"/>
        <w:rPr>
          <w:rFonts w:cs="Arial"/>
          <w:b/>
          <w:color w:val="008080"/>
          <w:sz w:val="24"/>
          <w:szCs w:val="24"/>
        </w:rPr>
      </w:pPr>
    </w:p>
    <w:p w14:paraId="58FDBA32" w14:textId="7A6F0B8B" w:rsidR="00C31089" w:rsidRPr="00027B06" w:rsidRDefault="00C31089" w:rsidP="006D4535">
      <w:pPr>
        <w:pStyle w:val="ListBullet"/>
        <w:numPr>
          <w:ilvl w:val="0"/>
          <w:numId w:val="0"/>
        </w:numPr>
        <w:ind w:left="360" w:hanging="360"/>
        <w:rPr>
          <w:rFonts w:cs="Arial"/>
          <w:b/>
          <w:color w:val="008080"/>
          <w:sz w:val="24"/>
          <w:szCs w:val="24"/>
        </w:rPr>
      </w:pPr>
    </w:p>
    <w:p w14:paraId="6F600AA5" w14:textId="77777777" w:rsidR="00C31089" w:rsidRPr="00027B06" w:rsidRDefault="00C31089" w:rsidP="006D4535">
      <w:pPr>
        <w:pStyle w:val="ListBullet"/>
        <w:numPr>
          <w:ilvl w:val="0"/>
          <w:numId w:val="0"/>
        </w:numPr>
        <w:ind w:left="360" w:hanging="360"/>
        <w:rPr>
          <w:rFonts w:cs="Arial"/>
          <w:b/>
          <w:color w:val="008080"/>
          <w:sz w:val="24"/>
          <w:szCs w:val="24"/>
        </w:rPr>
      </w:pPr>
    </w:p>
    <w:p w14:paraId="7F997B75" w14:textId="77777777" w:rsidR="00CF0163" w:rsidRPr="00027B06" w:rsidRDefault="00CF0163" w:rsidP="006D4535">
      <w:pPr>
        <w:pStyle w:val="ListBullet"/>
        <w:numPr>
          <w:ilvl w:val="0"/>
          <w:numId w:val="0"/>
        </w:numPr>
        <w:ind w:left="360" w:hanging="360"/>
        <w:rPr>
          <w:rFonts w:cs="Arial"/>
          <w:b/>
          <w:color w:val="008080"/>
          <w:sz w:val="24"/>
          <w:szCs w:val="24"/>
        </w:rPr>
      </w:pPr>
    </w:p>
    <w:p w14:paraId="62086EB1" w14:textId="77777777" w:rsidR="001B4302" w:rsidRDefault="001B4302" w:rsidP="00C31089">
      <w:pPr>
        <w:shd w:val="clear" w:color="auto" w:fill="FFFFFF"/>
        <w:spacing w:after="150" w:line="360" w:lineRule="auto"/>
        <w:rPr>
          <w:rFonts w:eastAsia="Times New Roman" w:cs="Arial"/>
          <w:b/>
          <w:bCs/>
          <w:sz w:val="24"/>
          <w:szCs w:val="24"/>
          <w:lang w:val="en-GB" w:eastAsia="en-GB"/>
        </w:rPr>
      </w:pPr>
    </w:p>
    <w:p w14:paraId="30CC191E" w14:textId="77777777" w:rsidR="001B4302" w:rsidRDefault="001B4302" w:rsidP="00C31089">
      <w:pPr>
        <w:shd w:val="clear" w:color="auto" w:fill="FFFFFF"/>
        <w:spacing w:after="150" w:line="360" w:lineRule="auto"/>
        <w:rPr>
          <w:rFonts w:eastAsia="Times New Roman" w:cs="Arial"/>
          <w:b/>
          <w:bCs/>
          <w:sz w:val="24"/>
          <w:szCs w:val="24"/>
          <w:lang w:val="en-GB" w:eastAsia="en-GB"/>
        </w:rPr>
      </w:pPr>
    </w:p>
    <w:p w14:paraId="16F857C9" w14:textId="77777777" w:rsidR="001B4302" w:rsidRDefault="001B4302" w:rsidP="00C31089">
      <w:pPr>
        <w:shd w:val="clear" w:color="auto" w:fill="FFFFFF"/>
        <w:spacing w:after="150" w:line="360" w:lineRule="auto"/>
        <w:rPr>
          <w:rFonts w:eastAsia="Times New Roman" w:cs="Arial"/>
          <w:b/>
          <w:bCs/>
          <w:sz w:val="24"/>
          <w:szCs w:val="24"/>
          <w:lang w:val="en-GB" w:eastAsia="en-GB"/>
        </w:rPr>
      </w:pPr>
    </w:p>
    <w:p w14:paraId="20EC6BA4" w14:textId="77777777" w:rsidR="001B4302" w:rsidRDefault="001B4302" w:rsidP="00C31089">
      <w:pPr>
        <w:shd w:val="clear" w:color="auto" w:fill="FFFFFF"/>
        <w:spacing w:after="150" w:line="360" w:lineRule="auto"/>
        <w:rPr>
          <w:rFonts w:eastAsia="Times New Roman" w:cs="Arial"/>
          <w:b/>
          <w:bCs/>
          <w:sz w:val="24"/>
          <w:szCs w:val="24"/>
          <w:lang w:val="en-GB" w:eastAsia="en-GB"/>
        </w:rPr>
        <w:sectPr w:rsidR="001B4302" w:rsidSect="00B60148">
          <w:type w:val="continuous"/>
          <w:pgSz w:w="12240" w:h="15840"/>
          <w:pgMar w:top="1440" w:right="1800" w:bottom="1440" w:left="1800" w:header="720" w:footer="720" w:gutter="0"/>
          <w:cols w:num="2" w:space="720"/>
          <w:docGrid w:linePitch="360"/>
        </w:sectPr>
      </w:pPr>
    </w:p>
    <w:p w14:paraId="6B3D5A3F" w14:textId="788B66EC" w:rsidR="00C31089" w:rsidRPr="001B4302" w:rsidRDefault="00C31089" w:rsidP="001B4302">
      <w:pPr>
        <w:shd w:val="clear" w:color="auto" w:fill="FFFFFF"/>
        <w:spacing w:after="150" w:line="360" w:lineRule="auto"/>
        <w:jc w:val="center"/>
        <w:rPr>
          <w:rFonts w:eastAsia="Times New Roman" w:cs="Arial"/>
          <w:color w:val="4F81BD" w:themeColor="accent1"/>
          <w:sz w:val="32"/>
          <w:szCs w:val="32"/>
          <w:lang w:val="en-GB" w:eastAsia="en-GB"/>
        </w:rPr>
      </w:pPr>
      <w:r w:rsidRPr="001B4302">
        <w:rPr>
          <w:rFonts w:eastAsia="Times New Roman" w:cs="Arial"/>
          <w:b/>
          <w:bCs/>
          <w:color w:val="4F81BD" w:themeColor="accent1"/>
          <w:sz w:val="32"/>
          <w:szCs w:val="32"/>
          <w:lang w:val="en-GB" w:eastAsia="en-GB"/>
        </w:rPr>
        <w:t xml:space="preserve">Beyond Monitoring: Reimagining </w:t>
      </w:r>
      <w:proofErr w:type="spellStart"/>
      <w:r w:rsidRPr="001B4302">
        <w:rPr>
          <w:rFonts w:eastAsia="Times New Roman" w:cs="Arial"/>
          <w:b/>
          <w:bCs/>
          <w:color w:val="4F81BD" w:themeColor="accent1"/>
          <w:sz w:val="32"/>
          <w:szCs w:val="32"/>
          <w:lang w:val="en-GB" w:eastAsia="en-GB"/>
        </w:rPr>
        <w:t>CamAPS</w:t>
      </w:r>
      <w:proofErr w:type="spellEnd"/>
      <w:r w:rsidRPr="001B4302">
        <w:rPr>
          <w:rFonts w:eastAsia="Times New Roman" w:cs="Arial"/>
          <w:b/>
          <w:bCs/>
          <w:color w:val="4F81BD" w:themeColor="accent1"/>
          <w:sz w:val="32"/>
          <w:szCs w:val="32"/>
          <w:lang w:val="en-GB" w:eastAsia="en-GB"/>
        </w:rPr>
        <w:t xml:space="preserve"> FX+ as a Digital Health Promotion Tool for Type 1 Diabetes</w:t>
      </w:r>
    </w:p>
    <w:p w14:paraId="28EA40F4" w14:textId="77777777" w:rsidR="001B4302" w:rsidRDefault="001B4302" w:rsidP="00C31089">
      <w:pPr>
        <w:shd w:val="clear" w:color="auto" w:fill="FFFFFF"/>
        <w:spacing w:after="150" w:line="360" w:lineRule="auto"/>
        <w:rPr>
          <w:rFonts w:eastAsia="Times New Roman" w:cs="Arial"/>
          <w:b/>
          <w:bCs/>
          <w:sz w:val="24"/>
          <w:szCs w:val="24"/>
          <w:lang w:val="en-GB" w:eastAsia="en-GB"/>
        </w:rPr>
        <w:sectPr w:rsidR="001B4302" w:rsidSect="001B4302">
          <w:type w:val="continuous"/>
          <w:pgSz w:w="12240" w:h="15840"/>
          <w:pgMar w:top="1440" w:right="1800" w:bottom="1440" w:left="1800" w:header="720" w:footer="720" w:gutter="0"/>
          <w:cols w:space="720"/>
          <w:docGrid w:linePitch="360"/>
        </w:sectPr>
      </w:pPr>
    </w:p>
    <w:p w14:paraId="68C0DBF3" w14:textId="77777777" w:rsidR="00C31089" w:rsidRPr="001B4302" w:rsidRDefault="00C31089" w:rsidP="00C31089">
      <w:pPr>
        <w:shd w:val="clear" w:color="auto" w:fill="FFFFFF"/>
        <w:spacing w:after="150" w:line="360" w:lineRule="auto"/>
        <w:rPr>
          <w:rFonts w:eastAsia="Times New Roman" w:cs="Arial"/>
          <w:color w:val="4F81BD" w:themeColor="accent1"/>
          <w:sz w:val="24"/>
          <w:szCs w:val="24"/>
          <w:lang w:val="en-GB" w:eastAsia="en-GB"/>
        </w:rPr>
      </w:pPr>
      <w:r w:rsidRPr="001B4302">
        <w:rPr>
          <w:rFonts w:ascii="Segoe UI Emoji" w:eastAsia="Times New Roman" w:hAnsi="Segoe UI Emoji" w:cs="Segoe UI Emoji"/>
          <w:b/>
          <w:bCs/>
          <w:color w:val="4F81BD" w:themeColor="accent1"/>
          <w:sz w:val="24"/>
          <w:szCs w:val="24"/>
          <w:lang w:val="en-GB" w:eastAsia="en-GB"/>
        </w:rPr>
        <w:t>📱</w:t>
      </w:r>
      <w:r w:rsidRPr="001B4302">
        <w:rPr>
          <w:rFonts w:eastAsia="Times New Roman" w:cs="Arial"/>
          <w:b/>
          <w:bCs/>
          <w:color w:val="4F81BD" w:themeColor="accent1"/>
          <w:sz w:val="24"/>
          <w:szCs w:val="24"/>
          <w:lang w:val="en-GB" w:eastAsia="en-GB"/>
        </w:rPr>
        <w:t xml:space="preserve"> What is </w:t>
      </w:r>
      <w:proofErr w:type="spellStart"/>
      <w:r w:rsidRPr="001B4302">
        <w:rPr>
          <w:rFonts w:eastAsia="Times New Roman" w:cs="Arial"/>
          <w:b/>
          <w:bCs/>
          <w:color w:val="4F81BD" w:themeColor="accent1"/>
          <w:sz w:val="24"/>
          <w:szCs w:val="24"/>
          <w:lang w:val="en-GB" w:eastAsia="en-GB"/>
        </w:rPr>
        <w:t>CamAPS</w:t>
      </w:r>
      <w:proofErr w:type="spellEnd"/>
      <w:r w:rsidRPr="001B4302">
        <w:rPr>
          <w:rFonts w:eastAsia="Times New Roman" w:cs="Arial"/>
          <w:b/>
          <w:bCs/>
          <w:color w:val="4F81BD" w:themeColor="accent1"/>
          <w:sz w:val="24"/>
          <w:szCs w:val="24"/>
          <w:lang w:val="en-GB" w:eastAsia="en-GB"/>
        </w:rPr>
        <w:t xml:space="preserve"> FX?</w:t>
      </w:r>
    </w:p>
    <w:p w14:paraId="7DADCE82" w14:textId="77777777" w:rsidR="001B4302" w:rsidRDefault="00C31089" w:rsidP="00C31089">
      <w:pPr>
        <w:shd w:val="clear" w:color="auto" w:fill="FFFFFF"/>
        <w:spacing w:after="150" w:line="360" w:lineRule="auto"/>
        <w:rPr>
          <w:rFonts w:eastAsia="Times New Roman" w:cs="Arial"/>
          <w:sz w:val="24"/>
          <w:szCs w:val="24"/>
          <w:lang w:val="en-GB" w:eastAsia="en-GB"/>
        </w:rPr>
      </w:pPr>
      <w:r w:rsidRPr="00027B06">
        <w:rPr>
          <w:rFonts w:eastAsia="Times New Roman" w:cs="Arial"/>
          <w:sz w:val="24"/>
          <w:szCs w:val="24"/>
          <w:lang w:val="en-GB" w:eastAsia="en-GB"/>
        </w:rPr>
        <w:lastRenderedPageBreak/>
        <w:t xml:space="preserve">CamAPS FX is an NHS-approved hybrid closed-loop system that uses artificial intelligence (AI) to automatically adjust insulin delivery using continuous glucose monitoring (CGM) data. </w:t>
      </w:r>
    </w:p>
    <w:p w14:paraId="49C2E493" w14:textId="347AB7E9" w:rsidR="00C31089" w:rsidRPr="00027B06" w:rsidRDefault="00B72287" w:rsidP="00C31089">
      <w:pPr>
        <w:shd w:val="clear" w:color="auto" w:fill="FFFFFF"/>
        <w:spacing w:after="150" w:line="360" w:lineRule="auto"/>
        <w:rPr>
          <w:rFonts w:eastAsia="Times New Roman" w:cs="Arial"/>
          <w:sz w:val="24"/>
          <w:szCs w:val="24"/>
          <w:lang w:val="en-GB" w:eastAsia="en-GB"/>
        </w:rPr>
      </w:pPr>
      <w:r w:rsidRPr="00027B06">
        <w:rPr>
          <w:rFonts w:eastAsia="Times New Roman" w:cs="Arial"/>
          <w:noProof/>
          <w:spacing w:val="8"/>
          <w:sz w:val="24"/>
          <w:szCs w:val="24"/>
          <w:lang w:val="en-GB" w:eastAsia="en-GB"/>
        </w:rPr>
        <w:drawing>
          <wp:anchor distT="0" distB="0" distL="114300" distR="114300" simplePos="0" relativeHeight="251658245" behindDoc="1" locked="0" layoutInCell="1" allowOverlap="1" wp14:anchorId="713A14DF" wp14:editId="53DB3E77">
            <wp:simplePos x="0" y="0"/>
            <wp:positionH relativeFrom="column">
              <wp:posOffset>2863215</wp:posOffset>
            </wp:positionH>
            <wp:positionV relativeFrom="page">
              <wp:posOffset>3050540</wp:posOffset>
            </wp:positionV>
            <wp:extent cx="2371090" cy="1367790"/>
            <wp:effectExtent l="0" t="0" r="0" b="3810"/>
            <wp:wrapTight wrapText="bothSides">
              <wp:wrapPolygon edited="0">
                <wp:start x="0" y="0"/>
                <wp:lineTo x="0" y="21359"/>
                <wp:lineTo x="21345" y="21359"/>
                <wp:lineTo x="21345" y="0"/>
                <wp:lineTo x="0" y="0"/>
              </wp:wrapPolygon>
            </wp:wrapTight>
            <wp:docPr id="33414899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371090" cy="13677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31089" w:rsidRPr="00027B06">
        <w:rPr>
          <w:rFonts w:eastAsia="Times New Roman" w:cs="Arial"/>
          <w:sz w:val="24"/>
          <w:szCs w:val="24"/>
          <w:lang w:val="en-GB" w:eastAsia="en-GB"/>
        </w:rPr>
        <w:t xml:space="preserve">Predicting glucose levels in real time helps people with Type 1 diabetes stay within their target glucose range while reducing hypoglycaemia and the daily burden of diabetes management (NICE, 2023; NHS England, 2025). </w:t>
      </w:r>
    </w:p>
    <w:p w14:paraId="54C7B970" w14:textId="2F0FB243" w:rsidR="00C31089" w:rsidRPr="00027B06" w:rsidRDefault="00C31089" w:rsidP="00C31089">
      <w:pPr>
        <w:shd w:val="clear" w:color="auto" w:fill="FFFFFF"/>
        <w:spacing w:after="150" w:line="360" w:lineRule="auto"/>
        <w:rPr>
          <w:rFonts w:eastAsia="Times New Roman" w:cs="Arial"/>
          <w:b/>
          <w:bCs/>
          <w:sz w:val="24"/>
          <w:szCs w:val="24"/>
          <w:lang w:val="en-GB" w:eastAsia="en-GB"/>
        </w:rPr>
      </w:pPr>
      <w:r w:rsidRPr="00027B06">
        <w:rPr>
          <w:rFonts w:eastAsia="Times New Roman" w:cs="Arial"/>
          <w:b/>
          <w:bCs/>
          <w:noProof/>
          <w:sz w:val="24"/>
          <w:szCs w:val="24"/>
          <w:lang w:val="en-GB" w:eastAsia="en-GB"/>
        </w:rPr>
        <w:drawing>
          <wp:inline distT="0" distB="0" distL="0" distR="0" wp14:anchorId="19C0AC67" wp14:editId="2F9620D9">
            <wp:extent cx="2286000" cy="1510052"/>
            <wp:effectExtent l="0" t="0" r="0" b="0"/>
            <wp:docPr id="104957880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331204" cy="1539912"/>
                    </a:xfrm>
                    <a:prstGeom prst="rect">
                      <a:avLst/>
                    </a:prstGeom>
                    <a:noFill/>
                    <a:ln>
                      <a:noFill/>
                    </a:ln>
                  </pic:spPr>
                </pic:pic>
              </a:graphicData>
            </a:graphic>
          </wp:inline>
        </w:drawing>
      </w:r>
    </w:p>
    <w:p w14:paraId="0D21D5F5" w14:textId="417A2A64" w:rsidR="00C31089" w:rsidRPr="001B4302" w:rsidRDefault="00C31089" w:rsidP="00C31089">
      <w:pPr>
        <w:keepNext/>
        <w:keepLines/>
        <w:spacing w:before="160" w:after="80" w:line="278" w:lineRule="auto"/>
        <w:outlineLvl w:val="1"/>
        <w:rPr>
          <w:rFonts w:eastAsia="Yu Gothic Light" w:cs="Arial"/>
          <w:b/>
          <w:bCs/>
          <w:color w:val="4F81BD" w:themeColor="accent1"/>
          <w:kern w:val="2"/>
          <w:sz w:val="24"/>
          <w:szCs w:val="24"/>
          <w:lang w:val="en-GB" w:eastAsia="zh-CN"/>
          <w14:ligatures w14:val="standardContextual"/>
        </w:rPr>
      </w:pPr>
      <w:r w:rsidRPr="001B4302">
        <w:rPr>
          <w:rFonts w:eastAsia="Yu Gothic Light" w:cs="Arial"/>
          <w:b/>
          <w:bCs/>
          <w:color w:val="4F81BD" w:themeColor="accent1"/>
          <w:kern w:val="2"/>
          <w:sz w:val="24"/>
          <w:szCs w:val="24"/>
          <w:lang w:val="en-GB" w:eastAsia="zh-CN"/>
          <w14:ligatures w14:val="standardContextual"/>
        </w:rPr>
        <w:t>Why This Matters</w:t>
      </w:r>
    </w:p>
    <w:p w14:paraId="6619CA6E" w14:textId="3714BA6E" w:rsidR="00C31089" w:rsidRPr="00027B06" w:rsidRDefault="00B72287" w:rsidP="00C31089">
      <w:pPr>
        <w:shd w:val="clear" w:color="auto" w:fill="FFFFFF"/>
        <w:spacing w:after="150" w:line="360" w:lineRule="auto"/>
        <w:textAlignment w:val="baseline"/>
        <w:rPr>
          <w:rFonts w:eastAsia="Times New Roman" w:cs="Arial"/>
          <w:spacing w:val="8"/>
          <w:sz w:val="24"/>
          <w:szCs w:val="24"/>
          <w:lang w:val="en-GB" w:eastAsia="en-GB"/>
        </w:rPr>
      </w:pPr>
      <w:r w:rsidRPr="00027B06">
        <w:rPr>
          <w:rFonts w:eastAsia="Times New Roman" w:cs="Arial"/>
          <w:noProof/>
          <w:sz w:val="24"/>
          <w:szCs w:val="24"/>
          <w:lang w:val="en-GB" w:eastAsia="en-GB"/>
        </w:rPr>
        <w:drawing>
          <wp:anchor distT="0" distB="0" distL="114300" distR="114300" simplePos="0" relativeHeight="251658244" behindDoc="0" locked="0" layoutInCell="1" allowOverlap="1" wp14:anchorId="11122FAA" wp14:editId="2EDD3734">
            <wp:simplePos x="0" y="0"/>
            <wp:positionH relativeFrom="column">
              <wp:posOffset>3346450</wp:posOffset>
            </wp:positionH>
            <wp:positionV relativeFrom="page">
              <wp:posOffset>7803515</wp:posOffset>
            </wp:positionV>
            <wp:extent cx="2241550" cy="1443990"/>
            <wp:effectExtent l="0" t="0" r="6350" b="3810"/>
            <wp:wrapTopAndBottom/>
            <wp:docPr id="82286625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866252"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2241550" cy="1443990"/>
                    </a:xfrm>
                    <a:prstGeom prst="rect">
                      <a:avLst/>
                    </a:prstGeom>
                  </pic:spPr>
                </pic:pic>
              </a:graphicData>
            </a:graphic>
            <wp14:sizeRelH relativeFrom="margin">
              <wp14:pctWidth>0</wp14:pctWidth>
            </wp14:sizeRelH>
            <wp14:sizeRelV relativeFrom="margin">
              <wp14:pctHeight>0</wp14:pctHeight>
            </wp14:sizeRelV>
          </wp:anchor>
        </w:drawing>
      </w:r>
      <w:r w:rsidR="00C31089" w:rsidRPr="00027B06">
        <w:rPr>
          <w:rFonts w:eastAsia="Times New Roman" w:cs="Arial"/>
          <w:spacing w:val="8"/>
          <w:sz w:val="24"/>
          <w:szCs w:val="24"/>
          <w:lang w:val="en-GB" w:eastAsia="en-GB"/>
        </w:rPr>
        <w:t xml:space="preserve">Type 1 diabetes (T1D) is a lifelong autoimmune condition with the destruction of pancreatic beta cells, leading to a complete lack of insulin and lifelong dependence on insulin replacement therapy (NICE, 2022). </w:t>
      </w:r>
    </w:p>
    <w:p w14:paraId="72E38F9F" w14:textId="62EE2E53" w:rsidR="001B4302" w:rsidRPr="00027B06" w:rsidRDefault="00C31089" w:rsidP="001B4302">
      <w:pPr>
        <w:shd w:val="clear" w:color="auto" w:fill="FFFFFF"/>
        <w:spacing w:after="150" w:line="360" w:lineRule="auto"/>
        <w:textAlignment w:val="baseline"/>
        <w:rPr>
          <w:rFonts w:eastAsia="Times New Roman" w:cs="Arial"/>
          <w:spacing w:val="8"/>
          <w:sz w:val="24"/>
          <w:szCs w:val="24"/>
          <w:lang w:val="en-GB" w:eastAsia="en-GB"/>
        </w:rPr>
      </w:pPr>
      <w:r w:rsidRPr="00027B06">
        <w:rPr>
          <w:rFonts w:eastAsia="Times New Roman" w:cs="Arial"/>
          <w:spacing w:val="8"/>
          <w:sz w:val="24"/>
          <w:szCs w:val="24"/>
          <w:lang w:val="en-GB" w:eastAsia="en-GB"/>
        </w:rPr>
        <w:t xml:space="preserve">Around 9 million people worldwide live with type 1 diabetes, including approximately 400,000 people in </w:t>
      </w:r>
      <w:r w:rsidRPr="00027B06">
        <w:rPr>
          <w:rFonts w:eastAsia="Times New Roman" w:cs="Arial"/>
          <w:spacing w:val="8"/>
          <w:sz w:val="24"/>
          <w:szCs w:val="24"/>
          <w:lang w:val="en-GB" w:eastAsia="en-GB"/>
        </w:rPr>
        <w:t>the UK, with incidence continuing to increase. Despite advances in insulin therapy, many people fail to achieve recommended glucose targets, increasing the risk of microvascular and macrovascular complications (IDF, 2025; Diabetes UK, 2024).</w:t>
      </w:r>
    </w:p>
    <w:p w14:paraId="67AE012F" w14:textId="72381A65" w:rsidR="00C31089" w:rsidRPr="001B4302" w:rsidRDefault="00C31089" w:rsidP="00C31089">
      <w:pPr>
        <w:keepNext/>
        <w:keepLines/>
        <w:spacing w:before="160" w:after="80" w:line="278" w:lineRule="auto"/>
        <w:outlineLvl w:val="1"/>
        <w:rPr>
          <w:rFonts w:eastAsia="Yu Gothic Light" w:cs="Arial"/>
          <w:b/>
          <w:bCs/>
          <w:color w:val="4F81BD" w:themeColor="accent1"/>
          <w:kern w:val="2"/>
          <w:sz w:val="24"/>
          <w:szCs w:val="24"/>
          <w:lang w:val="en-GB" w:eastAsia="zh-CN"/>
          <w14:ligatures w14:val="standardContextual"/>
        </w:rPr>
      </w:pPr>
      <w:r w:rsidRPr="001B4302">
        <w:rPr>
          <w:rFonts w:eastAsia="Yu Gothic Light" w:cs="Arial"/>
          <w:b/>
          <w:bCs/>
          <w:color w:val="4F81BD" w:themeColor="accent1"/>
          <w:kern w:val="2"/>
          <w:sz w:val="24"/>
          <w:szCs w:val="24"/>
          <w:lang w:val="en-GB" w:eastAsia="zh-CN"/>
          <w14:ligatures w14:val="standardContextual"/>
        </w:rPr>
        <w:t xml:space="preserve">How it </w:t>
      </w:r>
      <w:r w:rsidR="001B4302">
        <w:rPr>
          <w:rFonts w:eastAsia="Yu Gothic Light" w:cs="Arial"/>
          <w:b/>
          <w:bCs/>
          <w:color w:val="4F81BD" w:themeColor="accent1"/>
          <w:kern w:val="2"/>
          <w:sz w:val="24"/>
          <w:szCs w:val="24"/>
          <w:lang w:val="en-GB" w:eastAsia="zh-CN"/>
          <w14:ligatures w14:val="standardContextual"/>
        </w:rPr>
        <w:t>W</w:t>
      </w:r>
      <w:r w:rsidRPr="001B4302">
        <w:rPr>
          <w:rFonts w:eastAsia="Yu Gothic Light" w:cs="Arial"/>
          <w:b/>
          <w:bCs/>
          <w:color w:val="4F81BD" w:themeColor="accent1"/>
          <w:kern w:val="2"/>
          <w:sz w:val="24"/>
          <w:szCs w:val="24"/>
          <w:lang w:val="en-GB" w:eastAsia="zh-CN"/>
          <w14:ligatures w14:val="standardContextual"/>
        </w:rPr>
        <w:t>orks</w:t>
      </w:r>
    </w:p>
    <w:p w14:paraId="057D5E93" w14:textId="7CE3A8C8" w:rsidR="00C31089" w:rsidRPr="00027B06" w:rsidRDefault="001A0259" w:rsidP="00B35827">
      <w:pPr>
        <w:shd w:val="clear" w:color="auto" w:fill="FFFFFF"/>
        <w:spacing w:after="150" w:line="360" w:lineRule="auto"/>
        <w:textAlignment w:val="baseline"/>
        <w:rPr>
          <w:rFonts w:eastAsia="Times New Roman" w:cs="Arial"/>
          <w:spacing w:val="8"/>
          <w:sz w:val="24"/>
          <w:szCs w:val="24"/>
          <w:lang w:val="en-GB" w:eastAsia="en-GB"/>
        </w:rPr>
      </w:pPr>
      <w:r w:rsidRPr="00027B06">
        <w:rPr>
          <w:rFonts w:eastAsia="Times New Roman" w:cs="Arial"/>
          <w:noProof/>
          <w:sz w:val="24"/>
          <w:szCs w:val="24"/>
          <w:lang w:val="en-GB" w:eastAsia="en-GB"/>
        </w:rPr>
        <w:drawing>
          <wp:anchor distT="0" distB="0" distL="114300" distR="114300" simplePos="0" relativeHeight="251658243" behindDoc="0" locked="0" layoutInCell="1" allowOverlap="1" wp14:anchorId="071AB54B" wp14:editId="4567D148">
            <wp:simplePos x="0" y="0"/>
            <wp:positionH relativeFrom="column">
              <wp:posOffset>3825875</wp:posOffset>
            </wp:positionH>
            <wp:positionV relativeFrom="page">
              <wp:posOffset>8812530</wp:posOffset>
            </wp:positionV>
            <wp:extent cx="1617345" cy="1092200"/>
            <wp:effectExtent l="0" t="0" r="1905" b="0"/>
            <wp:wrapTopAndBottom/>
            <wp:docPr id="202927956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3717"/>
                    <a:stretch>
                      <a:fillRect/>
                    </a:stretch>
                  </pic:blipFill>
                  <pic:spPr bwMode="auto">
                    <a:xfrm>
                      <a:off x="0" y="0"/>
                      <a:ext cx="1617345" cy="10922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31089" w:rsidRPr="00027B06">
        <w:rPr>
          <w:rFonts w:eastAsia="Times New Roman" w:cs="Arial"/>
          <w:spacing w:val="8"/>
          <w:sz w:val="24"/>
          <w:szCs w:val="24"/>
          <w:lang w:val="en-GB" w:eastAsia="en-GB"/>
        </w:rPr>
        <w:t xml:space="preserve">The system continuously receives glucose readings from a compatible CGM sensor and </w:t>
      </w:r>
      <w:r w:rsidR="00B35827" w:rsidRPr="00027B06">
        <w:rPr>
          <w:rFonts w:eastAsia="Times New Roman" w:cs="Arial"/>
          <w:spacing w:val="8"/>
          <w:sz w:val="24"/>
          <w:szCs w:val="24"/>
          <w:lang w:val="en-GB" w:eastAsia="en-GB"/>
        </w:rPr>
        <w:t>analyses</w:t>
      </w:r>
      <w:r w:rsidR="00C31089" w:rsidRPr="00027B06">
        <w:rPr>
          <w:rFonts w:eastAsia="Times New Roman" w:cs="Arial"/>
          <w:spacing w:val="8"/>
          <w:sz w:val="24"/>
          <w:szCs w:val="24"/>
          <w:lang w:val="en-GB" w:eastAsia="en-GB"/>
        </w:rPr>
        <w:t xml:space="preserve"> them based on an adaptive algorithm. Based on the projected glucose level, it automatically adjusts the insulin delivery using a compatible insulin pump to help users stay within their target glucose level (NHS, 2025; NICE, 2022).</w:t>
      </w:r>
    </w:p>
    <w:p w14:paraId="35A1F39C" w14:textId="1AA364B9" w:rsidR="00C31089" w:rsidRPr="001B4302" w:rsidRDefault="00C31089" w:rsidP="00C31089">
      <w:pPr>
        <w:keepNext/>
        <w:keepLines/>
        <w:spacing w:before="160" w:after="80" w:line="278" w:lineRule="auto"/>
        <w:outlineLvl w:val="1"/>
        <w:rPr>
          <w:rFonts w:eastAsia="Yu Gothic Light" w:cs="Arial"/>
          <w:b/>
          <w:bCs/>
          <w:color w:val="4F81BD" w:themeColor="accent1"/>
          <w:kern w:val="2"/>
          <w:sz w:val="24"/>
          <w:szCs w:val="24"/>
          <w:lang w:val="en-GB" w:eastAsia="zh-CN"/>
          <w14:ligatures w14:val="standardContextual"/>
        </w:rPr>
      </w:pPr>
      <w:r w:rsidRPr="001B4302">
        <w:rPr>
          <w:rFonts w:eastAsia="Yu Gothic Light" w:cs="Arial"/>
          <w:b/>
          <w:bCs/>
          <w:color w:val="4F81BD" w:themeColor="accent1"/>
          <w:kern w:val="2"/>
          <w:sz w:val="24"/>
          <w:szCs w:val="24"/>
          <w:lang w:val="en-GB" w:eastAsia="zh-CN"/>
          <w14:ligatures w14:val="standardContextual"/>
        </w:rPr>
        <w:lastRenderedPageBreak/>
        <w:t>Health Promotion Perspective</w:t>
      </w:r>
    </w:p>
    <w:p w14:paraId="43CD7484" w14:textId="77777777" w:rsidR="00706BAB" w:rsidRDefault="00C31089" w:rsidP="00706BAB">
      <w:pPr>
        <w:shd w:val="clear" w:color="auto" w:fill="FFFFFF"/>
        <w:spacing w:after="150" w:line="360" w:lineRule="auto"/>
        <w:rPr>
          <w:rFonts w:eastAsia="Times New Roman" w:cs="Arial"/>
          <w:sz w:val="24"/>
          <w:szCs w:val="24"/>
          <w:lang w:val="en-GB" w:eastAsia="en-GB"/>
        </w:rPr>
      </w:pPr>
      <w:r w:rsidRPr="00027B06">
        <w:rPr>
          <w:rFonts w:eastAsia="Times New Roman" w:cs="Arial"/>
          <w:sz w:val="24"/>
          <w:szCs w:val="24"/>
          <w:lang w:val="en-GB" w:eastAsia="en-GB"/>
        </w:rPr>
        <w:t>CamAPS FX already helps people manage their glucose levels using artificial intelligence (AI), but what if it could do even more? Imagine a version that is not only for blood glucose control but also for healthy aging, health literacy, and reducing health inequalities. This new version, CamAPS FX+, combines closed-loop technology with personalised health promotion features to empower people to take greater control over their diabetes and wellbeing</w:t>
      </w:r>
      <w:r w:rsidR="00706BAB">
        <w:rPr>
          <w:rFonts w:eastAsia="Times New Roman" w:cs="Arial"/>
          <w:sz w:val="24"/>
          <w:szCs w:val="24"/>
          <w:lang w:val="en-GB" w:eastAsia="en-GB"/>
        </w:rPr>
        <w:t>.</w:t>
      </w:r>
    </w:p>
    <w:p w14:paraId="77FFBAAF" w14:textId="0A06D95D" w:rsidR="00C31089" w:rsidRPr="00027B06" w:rsidRDefault="00C31089" w:rsidP="00706BAB">
      <w:pPr>
        <w:shd w:val="clear" w:color="auto" w:fill="FFFFFF"/>
        <w:spacing w:after="150" w:line="360" w:lineRule="auto"/>
        <w:rPr>
          <w:rFonts w:eastAsia="Times New Roman" w:cs="Arial"/>
          <w:sz w:val="24"/>
          <w:szCs w:val="24"/>
          <w:lang w:val="en-GB" w:eastAsia="en-GB"/>
        </w:rPr>
      </w:pPr>
      <w:r w:rsidRPr="00027B06">
        <w:rPr>
          <w:rFonts w:eastAsia="Times New Roman" w:cs="Arial"/>
          <w:sz w:val="24"/>
          <w:szCs w:val="24"/>
          <w:lang w:val="en-GB" w:eastAsia="en-GB"/>
        </w:rPr>
        <w:t>Many older people with Type 1 diabetes experience forgetfulness, vision loss, arthritis, memory problems, and low confidence when using smartphones. These barriers increase the risk of poor glycaemic control, hospital admissions, and long-term complications, and digital exclusion prevents many people</w:t>
      </w:r>
      <w:r w:rsidR="00974931" w:rsidRPr="00027B06">
        <w:rPr>
          <w:rFonts w:eastAsia="Times New Roman" w:cs="Arial"/>
          <w:sz w:val="24"/>
          <w:szCs w:val="24"/>
          <w:lang w:val="en-GB" w:eastAsia="en-GB"/>
        </w:rPr>
        <w:t xml:space="preserve"> from </w:t>
      </w:r>
      <w:r w:rsidRPr="00027B06">
        <w:rPr>
          <w:rFonts w:eastAsia="Times New Roman" w:cs="Arial"/>
          <w:sz w:val="24"/>
          <w:szCs w:val="24"/>
          <w:lang w:val="en-GB" w:eastAsia="en-GB"/>
        </w:rPr>
        <w:t>taking advantage of new technologies (WHO, 2025; Diabetes UK, 2024; Good Things Foundation, 2025; King's Fund, 2025).</w:t>
      </w:r>
    </w:p>
    <w:p w14:paraId="28A9BFA4" w14:textId="3A42503A" w:rsidR="00C31089" w:rsidRPr="00706BAB" w:rsidRDefault="00C31089" w:rsidP="00C31089">
      <w:pPr>
        <w:keepNext/>
        <w:keepLines/>
        <w:spacing w:before="160" w:after="80" w:line="278" w:lineRule="auto"/>
        <w:outlineLvl w:val="1"/>
        <w:rPr>
          <w:rFonts w:eastAsia="Yu Gothic Light" w:cs="Arial"/>
          <w:b/>
          <w:bCs/>
          <w:color w:val="4F81BD" w:themeColor="accent1"/>
          <w:kern w:val="2"/>
          <w:sz w:val="24"/>
          <w:szCs w:val="24"/>
          <w:lang w:val="en-GB" w:eastAsia="zh-CN"/>
          <w14:ligatures w14:val="standardContextual"/>
        </w:rPr>
      </w:pPr>
      <w:r w:rsidRPr="00706BAB">
        <w:rPr>
          <w:rFonts w:eastAsia="Yu Gothic Light" w:cs="Arial"/>
          <w:b/>
          <w:bCs/>
          <w:color w:val="4F81BD" w:themeColor="accent1"/>
          <w:kern w:val="2"/>
          <w:sz w:val="24"/>
          <w:szCs w:val="24"/>
          <w:lang w:val="en-GB" w:eastAsia="zh-CN"/>
          <w14:ligatures w14:val="standardContextual"/>
        </w:rPr>
        <w:t>How could CamAPS FX+ help?</w:t>
      </w:r>
    </w:p>
    <w:p w14:paraId="1329B7FE" w14:textId="77777777" w:rsidR="00C31089" w:rsidRPr="00706BAB" w:rsidRDefault="00C31089" w:rsidP="00706BAB">
      <w:pPr>
        <w:shd w:val="clear" w:color="auto" w:fill="FFFFFF"/>
        <w:spacing w:before="100" w:beforeAutospacing="1" w:after="100" w:afterAutospacing="1" w:line="360" w:lineRule="auto"/>
        <w:rPr>
          <w:rFonts w:eastAsia="Times New Roman" w:cs="Arial"/>
          <w:sz w:val="24"/>
          <w:szCs w:val="24"/>
          <w:lang w:val="en-GB" w:eastAsia="en-GB"/>
        </w:rPr>
      </w:pPr>
      <w:r w:rsidRPr="00706BAB">
        <w:rPr>
          <w:rFonts w:eastAsia="Times New Roman" w:cs="Arial"/>
          <w:sz w:val="24"/>
          <w:szCs w:val="24"/>
          <w:lang w:val="en-GB" w:eastAsia="en-GB"/>
        </w:rPr>
        <w:t>CamAPS FX+ would introduce six integrated health promotion features:</w:t>
      </w:r>
    </w:p>
    <w:p w14:paraId="428454B4" w14:textId="77777777" w:rsidR="00C31089" w:rsidRPr="00706BAB" w:rsidRDefault="00C31089" w:rsidP="00706BAB">
      <w:pPr>
        <w:pStyle w:val="ListParagraph"/>
        <w:numPr>
          <w:ilvl w:val="0"/>
          <w:numId w:val="18"/>
        </w:numPr>
        <w:shd w:val="clear" w:color="auto" w:fill="FFFFFF"/>
        <w:spacing w:before="100" w:beforeAutospacing="1" w:after="100" w:afterAutospacing="1" w:line="360" w:lineRule="auto"/>
        <w:rPr>
          <w:rFonts w:eastAsia="Times New Roman" w:cs="Arial"/>
          <w:sz w:val="24"/>
          <w:szCs w:val="24"/>
          <w:lang w:val="en-GB" w:eastAsia="en-GB"/>
        </w:rPr>
      </w:pPr>
      <w:r w:rsidRPr="00706BAB">
        <w:rPr>
          <w:rFonts w:eastAsia="Times New Roman" w:cs="Arial"/>
          <w:sz w:val="24"/>
          <w:szCs w:val="24"/>
          <w:lang w:val="en-GB" w:eastAsia="en-GB"/>
        </w:rPr>
        <w:t xml:space="preserve">Voice-guided instructions – to help with visual impairment and diminished confidence with technology. </w:t>
      </w:r>
    </w:p>
    <w:p w14:paraId="3CE2A438" w14:textId="19AD499F" w:rsidR="00706BAB" w:rsidRPr="00706BAB" w:rsidRDefault="00C31089" w:rsidP="00706BAB">
      <w:pPr>
        <w:pStyle w:val="ListParagraph"/>
        <w:numPr>
          <w:ilvl w:val="0"/>
          <w:numId w:val="18"/>
        </w:numPr>
        <w:shd w:val="clear" w:color="auto" w:fill="FFFFFF"/>
        <w:spacing w:before="100" w:beforeAutospacing="1" w:after="100" w:afterAutospacing="1" w:line="360" w:lineRule="auto"/>
        <w:rPr>
          <w:rFonts w:eastAsia="Times New Roman" w:cs="Arial"/>
          <w:sz w:val="24"/>
          <w:szCs w:val="24"/>
          <w:lang w:val="en-GB" w:eastAsia="en-GB"/>
        </w:rPr>
      </w:pPr>
      <w:r w:rsidRPr="00706BAB">
        <w:rPr>
          <w:rFonts w:eastAsia="Times New Roman" w:cs="Arial"/>
          <w:sz w:val="24"/>
          <w:szCs w:val="24"/>
          <w:lang w:val="en-GB" w:eastAsia="en-GB"/>
        </w:rPr>
        <w:t xml:space="preserve">Large-text accessibility mode – to improve readability for people with age-related vision loss. Medication, hydration and appointment reminders – to ensure treatment adherence and better daily routines. </w:t>
      </w:r>
    </w:p>
    <w:p w14:paraId="79D4C396" w14:textId="52B878CA" w:rsidR="00C31089" w:rsidRPr="00706BAB" w:rsidRDefault="00C31089" w:rsidP="00706BAB">
      <w:pPr>
        <w:pStyle w:val="ListParagraph"/>
        <w:numPr>
          <w:ilvl w:val="0"/>
          <w:numId w:val="18"/>
        </w:numPr>
        <w:shd w:val="clear" w:color="auto" w:fill="FFFFFF"/>
        <w:spacing w:before="100" w:beforeAutospacing="1" w:after="100" w:afterAutospacing="1" w:line="360" w:lineRule="auto"/>
        <w:rPr>
          <w:rFonts w:eastAsia="Times New Roman" w:cs="Arial"/>
          <w:sz w:val="24"/>
          <w:szCs w:val="24"/>
          <w:lang w:val="en-GB" w:eastAsia="en-GB"/>
        </w:rPr>
      </w:pPr>
      <w:r w:rsidRPr="00706BAB">
        <w:rPr>
          <w:rFonts w:eastAsia="Times New Roman" w:cs="Arial"/>
          <w:sz w:val="24"/>
          <w:szCs w:val="24"/>
          <w:lang w:val="en-GB" w:eastAsia="en-GB"/>
        </w:rPr>
        <w:t xml:space="preserve">Optional family and carer monitoring – to enable shared care and provide timely support if needed. </w:t>
      </w:r>
    </w:p>
    <w:p w14:paraId="726040C2" w14:textId="1A7C5464" w:rsidR="00C31089" w:rsidRPr="00706BAB" w:rsidRDefault="00C31089" w:rsidP="00706BAB">
      <w:pPr>
        <w:pStyle w:val="ListParagraph"/>
        <w:numPr>
          <w:ilvl w:val="0"/>
          <w:numId w:val="18"/>
        </w:numPr>
        <w:shd w:val="clear" w:color="auto" w:fill="FFFFFF"/>
        <w:spacing w:before="100" w:beforeAutospacing="1" w:after="100" w:afterAutospacing="1" w:line="360" w:lineRule="auto"/>
        <w:rPr>
          <w:rFonts w:eastAsia="Times New Roman" w:cs="Arial"/>
          <w:sz w:val="24"/>
          <w:szCs w:val="24"/>
          <w:lang w:val="en-GB" w:eastAsia="en-GB"/>
        </w:rPr>
      </w:pPr>
      <w:r w:rsidRPr="00706BAB">
        <w:rPr>
          <w:rFonts w:eastAsia="Times New Roman" w:cs="Arial"/>
          <w:sz w:val="24"/>
          <w:szCs w:val="24"/>
          <w:lang w:val="en-GB" w:eastAsia="en-GB"/>
        </w:rPr>
        <w:t xml:space="preserve">Interactive diabetes education – to develop health literacy and self-management skills. </w:t>
      </w:r>
    </w:p>
    <w:p w14:paraId="71A148A3" w14:textId="68565FCD" w:rsidR="00C31089" w:rsidRPr="00027B06" w:rsidRDefault="00C31089" w:rsidP="001A0259">
      <w:pPr>
        <w:shd w:val="clear" w:color="auto" w:fill="FFFFFF"/>
        <w:spacing w:before="100" w:beforeAutospacing="1" w:after="100" w:afterAutospacing="1" w:line="360" w:lineRule="auto"/>
        <w:rPr>
          <w:rFonts w:eastAsia="Times New Roman" w:cs="Arial"/>
          <w:b/>
          <w:bCs/>
          <w:sz w:val="24"/>
          <w:szCs w:val="24"/>
          <w:lang w:val="en-GB" w:eastAsia="en-GB"/>
        </w:rPr>
      </w:pPr>
      <w:r w:rsidRPr="00027B06">
        <w:rPr>
          <w:rFonts w:eastAsia="Times New Roman" w:cs="Arial"/>
          <w:b/>
          <w:bCs/>
          <w:sz w:val="24"/>
          <w:szCs w:val="24"/>
          <w:lang w:val="en-GB" w:eastAsia="en-GB"/>
        </w:rPr>
        <w:t>AI-powered lifestyle coaching – to provide individualised advice on diet, physical activity and healthy behaviour to promote long-term behaviour change.</w:t>
      </w:r>
    </w:p>
    <w:p w14:paraId="18AD1798" w14:textId="287B2A86" w:rsidR="00C31089" w:rsidRPr="00706BAB" w:rsidRDefault="00706BAB" w:rsidP="00C31089">
      <w:pPr>
        <w:keepNext/>
        <w:keepLines/>
        <w:spacing w:before="160" w:after="80" w:line="278" w:lineRule="auto"/>
        <w:outlineLvl w:val="1"/>
        <w:rPr>
          <w:rFonts w:eastAsia="Yu Gothic Light" w:cs="Arial"/>
          <w:b/>
          <w:bCs/>
          <w:color w:val="4F81BD" w:themeColor="accent1"/>
          <w:kern w:val="2"/>
          <w:sz w:val="24"/>
          <w:szCs w:val="24"/>
          <w:lang w:val="en-GB" w:eastAsia="zh-CN"/>
          <w14:ligatures w14:val="standardContextual"/>
        </w:rPr>
      </w:pPr>
      <w:r w:rsidRPr="00027B06">
        <w:rPr>
          <w:rFonts w:cs="Arial"/>
          <w:noProof/>
          <w:sz w:val="24"/>
          <w:szCs w:val="24"/>
          <w:lang w:val="en-GB" w:eastAsia="en-GB"/>
        </w:rPr>
        <w:lastRenderedPageBreak/>
        <w:drawing>
          <wp:anchor distT="0" distB="0" distL="114300" distR="114300" simplePos="0" relativeHeight="251658246" behindDoc="1" locked="0" layoutInCell="1" allowOverlap="1" wp14:anchorId="560E5AA4" wp14:editId="47F68008">
            <wp:simplePos x="0" y="0"/>
            <wp:positionH relativeFrom="column">
              <wp:posOffset>-4445</wp:posOffset>
            </wp:positionH>
            <wp:positionV relativeFrom="page">
              <wp:posOffset>1402080</wp:posOffset>
            </wp:positionV>
            <wp:extent cx="2518410" cy="1974215"/>
            <wp:effectExtent l="0" t="0" r="0" b="6985"/>
            <wp:wrapTight wrapText="bothSides">
              <wp:wrapPolygon edited="0">
                <wp:start x="0" y="0"/>
                <wp:lineTo x="0" y="21468"/>
                <wp:lineTo x="21404" y="21468"/>
                <wp:lineTo x="21404" y="0"/>
                <wp:lineTo x="0" y="0"/>
              </wp:wrapPolygon>
            </wp:wrapTight>
            <wp:docPr id="194619763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518410" cy="19742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31089" w:rsidRPr="00706BAB">
        <w:rPr>
          <w:rFonts w:eastAsia="Yu Gothic Light" w:cs="Arial"/>
          <w:b/>
          <w:bCs/>
          <w:color w:val="4F81BD" w:themeColor="accent1"/>
          <w:kern w:val="2"/>
          <w:sz w:val="24"/>
          <w:szCs w:val="24"/>
          <w:lang w:val="en-GB" w:eastAsia="zh-CN"/>
          <w14:ligatures w14:val="standardContextual"/>
        </w:rPr>
        <w:t xml:space="preserve">How </w:t>
      </w:r>
      <w:r>
        <w:rPr>
          <w:rFonts w:eastAsia="Yu Gothic Light" w:cs="Arial"/>
          <w:b/>
          <w:bCs/>
          <w:color w:val="4F81BD" w:themeColor="accent1"/>
          <w:kern w:val="2"/>
          <w:sz w:val="24"/>
          <w:szCs w:val="24"/>
          <w:lang w:val="en-GB" w:eastAsia="zh-CN"/>
          <w14:ligatures w14:val="standardContextual"/>
        </w:rPr>
        <w:t>C</w:t>
      </w:r>
      <w:r w:rsidR="00C31089" w:rsidRPr="00706BAB">
        <w:rPr>
          <w:rFonts w:eastAsia="Yu Gothic Light" w:cs="Arial"/>
          <w:b/>
          <w:bCs/>
          <w:color w:val="4F81BD" w:themeColor="accent1"/>
          <w:kern w:val="2"/>
          <w:sz w:val="24"/>
          <w:szCs w:val="24"/>
          <w:lang w:val="en-GB" w:eastAsia="zh-CN"/>
          <w14:ligatures w14:val="standardContextual"/>
        </w:rPr>
        <w:t xml:space="preserve">ould </w:t>
      </w:r>
      <w:proofErr w:type="spellStart"/>
      <w:r w:rsidR="00C31089" w:rsidRPr="00706BAB">
        <w:rPr>
          <w:rFonts w:eastAsia="Yu Gothic Light" w:cs="Arial"/>
          <w:b/>
          <w:bCs/>
          <w:color w:val="4F81BD" w:themeColor="accent1"/>
          <w:kern w:val="2"/>
          <w:sz w:val="24"/>
          <w:szCs w:val="24"/>
          <w:lang w:val="en-GB" w:eastAsia="zh-CN"/>
          <w14:ligatures w14:val="standardContextual"/>
        </w:rPr>
        <w:t>CamAPS</w:t>
      </w:r>
      <w:proofErr w:type="spellEnd"/>
      <w:r w:rsidR="00C31089" w:rsidRPr="00706BAB">
        <w:rPr>
          <w:rFonts w:eastAsia="Yu Gothic Light" w:cs="Arial"/>
          <w:b/>
          <w:bCs/>
          <w:color w:val="4F81BD" w:themeColor="accent1"/>
          <w:kern w:val="2"/>
          <w:sz w:val="24"/>
          <w:szCs w:val="24"/>
          <w:lang w:val="en-GB" w:eastAsia="zh-CN"/>
          <w14:ligatures w14:val="standardContextual"/>
        </w:rPr>
        <w:t xml:space="preserve"> FX+ </w:t>
      </w:r>
      <w:r>
        <w:rPr>
          <w:rFonts w:eastAsia="Yu Gothic Light" w:cs="Arial"/>
          <w:b/>
          <w:bCs/>
          <w:color w:val="4F81BD" w:themeColor="accent1"/>
          <w:kern w:val="2"/>
          <w:sz w:val="24"/>
          <w:szCs w:val="24"/>
          <w:lang w:val="en-GB" w:eastAsia="zh-CN"/>
          <w14:ligatures w14:val="standardContextual"/>
        </w:rPr>
        <w:t>I</w:t>
      </w:r>
      <w:r w:rsidR="00C31089" w:rsidRPr="00706BAB">
        <w:rPr>
          <w:rFonts w:eastAsia="Yu Gothic Light" w:cs="Arial"/>
          <w:b/>
          <w:bCs/>
          <w:color w:val="4F81BD" w:themeColor="accent1"/>
          <w:kern w:val="2"/>
          <w:sz w:val="24"/>
          <w:szCs w:val="24"/>
          <w:lang w:val="en-GB" w:eastAsia="zh-CN"/>
          <w14:ligatures w14:val="standardContextual"/>
        </w:rPr>
        <w:t xml:space="preserve">mprove </w:t>
      </w:r>
      <w:r>
        <w:rPr>
          <w:rFonts w:eastAsia="Yu Gothic Light" w:cs="Arial"/>
          <w:b/>
          <w:bCs/>
          <w:color w:val="4F81BD" w:themeColor="accent1"/>
          <w:kern w:val="2"/>
          <w:sz w:val="24"/>
          <w:szCs w:val="24"/>
          <w:lang w:val="en-GB" w:eastAsia="zh-CN"/>
          <w14:ligatures w14:val="standardContextual"/>
        </w:rPr>
        <w:t>H</w:t>
      </w:r>
      <w:r w:rsidR="00C31089" w:rsidRPr="00706BAB">
        <w:rPr>
          <w:rFonts w:eastAsia="Yu Gothic Light" w:cs="Arial"/>
          <w:b/>
          <w:bCs/>
          <w:color w:val="4F81BD" w:themeColor="accent1"/>
          <w:kern w:val="2"/>
          <w:sz w:val="24"/>
          <w:szCs w:val="24"/>
          <w:lang w:val="en-GB" w:eastAsia="zh-CN"/>
          <w14:ligatures w14:val="standardContextual"/>
        </w:rPr>
        <w:t>ealth?</w:t>
      </w:r>
    </w:p>
    <w:p w14:paraId="3291ACB5" w14:textId="799A1DEE" w:rsidR="00706BAB" w:rsidRDefault="00C31089" w:rsidP="00706BAB">
      <w:pPr>
        <w:shd w:val="clear" w:color="auto" w:fill="FFFFFF"/>
        <w:spacing w:after="150" w:line="360" w:lineRule="auto"/>
        <w:rPr>
          <w:rFonts w:eastAsia="Times New Roman" w:cs="Arial"/>
          <w:sz w:val="24"/>
          <w:szCs w:val="24"/>
          <w:lang w:val="en-GB" w:eastAsia="en-GB"/>
        </w:rPr>
      </w:pPr>
      <w:proofErr w:type="spellStart"/>
      <w:r w:rsidRPr="00027B06">
        <w:rPr>
          <w:rFonts w:eastAsia="Times New Roman" w:cs="Arial"/>
          <w:sz w:val="24"/>
          <w:szCs w:val="24"/>
          <w:lang w:val="en-GB" w:eastAsia="en-GB"/>
        </w:rPr>
        <w:t>CamAPS</w:t>
      </w:r>
      <w:proofErr w:type="spellEnd"/>
      <w:r w:rsidRPr="00027B06">
        <w:rPr>
          <w:rFonts w:eastAsia="Times New Roman" w:cs="Arial"/>
          <w:sz w:val="24"/>
          <w:szCs w:val="24"/>
          <w:lang w:val="en-GB" w:eastAsia="en-GB"/>
        </w:rPr>
        <w:t xml:space="preserve"> FX+ goes beyond glucose management and helps people manage their overall health. Personalised reminders for insulin, hydration, and appointments could help improve adherence, and voice guidance and simplified navigation could help make digital healthcare more accessible to older adults and people with disabilities. AI-based coaching can promote healthier eating, physical activity, and confidence in self-management (Sherr et al., 2023; NHS England, 2025).</w:t>
      </w:r>
    </w:p>
    <w:p w14:paraId="3573F25A" w14:textId="717B5837" w:rsidR="00C31089" w:rsidRPr="00706BAB" w:rsidRDefault="00C31089" w:rsidP="00C12053">
      <w:pPr>
        <w:shd w:val="clear" w:color="auto" w:fill="FFFFFF"/>
        <w:spacing w:after="150" w:line="360" w:lineRule="auto"/>
        <w:rPr>
          <w:rFonts w:eastAsia="Yu Gothic Light" w:cs="Arial"/>
          <w:b/>
          <w:bCs/>
          <w:color w:val="4F81BD" w:themeColor="accent1"/>
          <w:kern w:val="2"/>
          <w:sz w:val="24"/>
          <w:szCs w:val="24"/>
          <w:lang w:val="en-GB" w:eastAsia="zh-CN"/>
          <w14:ligatures w14:val="standardContextual"/>
        </w:rPr>
      </w:pPr>
      <w:r w:rsidRPr="00706BAB">
        <w:rPr>
          <w:rFonts w:eastAsia="Yu Gothic Light" w:cs="Arial"/>
          <w:b/>
          <w:bCs/>
          <w:color w:val="4F81BD" w:themeColor="accent1"/>
          <w:kern w:val="2"/>
          <w:sz w:val="24"/>
          <w:szCs w:val="24"/>
          <w:lang w:val="en-GB" w:eastAsia="zh-CN"/>
          <w14:ligatures w14:val="standardContextual"/>
        </w:rPr>
        <w:t xml:space="preserve">Benefits vs Challenges </w:t>
      </w:r>
    </w:p>
    <w:p w14:paraId="3C2544A8" w14:textId="6650FC09" w:rsidR="00C31089" w:rsidRPr="00027B06" w:rsidRDefault="00C31089" w:rsidP="00C31089">
      <w:pPr>
        <w:shd w:val="clear" w:color="auto" w:fill="FFFFFF"/>
        <w:spacing w:after="150" w:line="360" w:lineRule="auto"/>
        <w:rPr>
          <w:rFonts w:eastAsia="Times New Roman" w:cs="Arial"/>
          <w:sz w:val="24"/>
          <w:szCs w:val="24"/>
          <w:lang w:val="en-GB" w:eastAsia="en-GB"/>
        </w:rPr>
      </w:pPr>
      <w:r w:rsidRPr="00027B06">
        <w:rPr>
          <w:rFonts w:ascii="Segoe UI Emoji" w:eastAsia="Times New Roman" w:hAnsi="Segoe UI Emoji" w:cs="Segoe UI Emoji"/>
          <w:sz w:val="24"/>
          <w:szCs w:val="24"/>
          <w:lang w:val="en-GB" w:eastAsia="en-GB"/>
        </w:rPr>
        <w:t>✅</w:t>
      </w:r>
      <w:r w:rsidRPr="00027B06">
        <w:rPr>
          <w:rFonts w:eastAsia="Times New Roman" w:cs="Arial"/>
          <w:sz w:val="24"/>
          <w:szCs w:val="24"/>
          <w:lang w:val="en-GB" w:eastAsia="en-GB"/>
        </w:rPr>
        <w:t xml:space="preserve"> </w:t>
      </w:r>
      <w:proofErr w:type="spellStart"/>
      <w:r w:rsidRPr="00027B06">
        <w:rPr>
          <w:rFonts w:eastAsia="Times New Roman" w:cs="Arial"/>
          <w:sz w:val="24"/>
          <w:szCs w:val="24"/>
          <w:lang w:val="en-GB" w:eastAsia="en-GB"/>
        </w:rPr>
        <w:t>CamAPS</w:t>
      </w:r>
      <w:proofErr w:type="spellEnd"/>
      <w:r w:rsidRPr="00027B06">
        <w:rPr>
          <w:rFonts w:eastAsia="Times New Roman" w:cs="Arial"/>
          <w:sz w:val="24"/>
          <w:szCs w:val="24"/>
          <w:lang w:val="en-GB" w:eastAsia="en-GB"/>
        </w:rPr>
        <w:t xml:space="preserve"> FX+ Works for All.</w:t>
      </w:r>
    </w:p>
    <w:p w14:paraId="7CC7B253" w14:textId="0314C6A4" w:rsidR="00C31089" w:rsidRPr="00027B06" w:rsidRDefault="00C31089" w:rsidP="00C31089">
      <w:pPr>
        <w:shd w:val="clear" w:color="auto" w:fill="FFFFFF"/>
        <w:spacing w:after="150" w:line="360" w:lineRule="auto"/>
        <w:rPr>
          <w:rFonts w:eastAsia="Times New Roman" w:cs="Arial"/>
          <w:sz w:val="24"/>
          <w:szCs w:val="24"/>
          <w:lang w:val="en-GB" w:eastAsia="en-GB"/>
        </w:rPr>
      </w:pPr>
      <w:r w:rsidRPr="00027B06">
        <w:rPr>
          <w:rFonts w:eastAsia="Times New Roman" w:cs="Arial"/>
          <w:sz w:val="24"/>
          <w:szCs w:val="24"/>
          <w:lang w:val="en-GB" w:eastAsia="en-GB"/>
        </w:rPr>
        <w:t xml:space="preserve">To maximise its public health impact, </w:t>
      </w:r>
      <w:proofErr w:type="spellStart"/>
      <w:r w:rsidRPr="00027B06">
        <w:rPr>
          <w:rFonts w:eastAsia="Times New Roman" w:cs="Arial"/>
          <w:sz w:val="24"/>
          <w:szCs w:val="24"/>
          <w:lang w:val="en-GB" w:eastAsia="en-GB"/>
        </w:rPr>
        <w:t>CamAPS</w:t>
      </w:r>
      <w:proofErr w:type="spellEnd"/>
      <w:r w:rsidRPr="00027B06">
        <w:rPr>
          <w:rFonts w:eastAsia="Times New Roman" w:cs="Arial"/>
          <w:sz w:val="24"/>
          <w:szCs w:val="24"/>
          <w:lang w:val="en-GB" w:eastAsia="en-GB"/>
        </w:rPr>
        <w:t xml:space="preserve"> FX+ </w:t>
      </w:r>
      <w:r w:rsidR="00706BAB">
        <w:rPr>
          <w:rFonts w:eastAsia="Times New Roman" w:cs="Arial"/>
          <w:sz w:val="24"/>
          <w:szCs w:val="24"/>
          <w:lang w:val="en-GB" w:eastAsia="en-GB"/>
        </w:rPr>
        <w:t>could</w:t>
      </w:r>
      <w:r w:rsidRPr="00027B06">
        <w:rPr>
          <w:rFonts w:eastAsia="Times New Roman" w:cs="Arial"/>
          <w:sz w:val="24"/>
          <w:szCs w:val="24"/>
          <w:lang w:val="en-GB" w:eastAsia="en-GB"/>
        </w:rPr>
        <w:t xml:space="preserve"> be supported by NHS-funded digital skills training, </w:t>
      </w:r>
      <w:r w:rsidRPr="00027B06">
        <w:rPr>
          <w:rFonts w:eastAsia="Times New Roman" w:cs="Arial"/>
          <w:sz w:val="24"/>
          <w:szCs w:val="24"/>
          <w:lang w:val="en-GB" w:eastAsia="en-GB"/>
        </w:rPr>
        <w:t>accessible design, and ongoing professional support. Voice-controlled navigation, multilingual interfaces, and larger text could enhance usability for older adults and people with disabilities, while subsidised devices may reduce financial barriers (Good Things Foundation, 2025; NHS England, 2025). Co-designing future updates with patients, carers, and healthcare professionals would help to enhance usability and trust, ensuring the technology reduces rather than widens health inequalities (King's Fund, 2025; WHO, 1986).</w:t>
      </w:r>
    </w:p>
    <w:p w14:paraId="67B328A8" w14:textId="68EE19AF" w:rsidR="00413D42" w:rsidRPr="00027B06" w:rsidRDefault="00413D42" w:rsidP="00C31089">
      <w:pPr>
        <w:shd w:val="clear" w:color="auto" w:fill="FFFFFF"/>
        <w:spacing w:after="150" w:line="360" w:lineRule="auto"/>
        <w:rPr>
          <w:rFonts w:eastAsia="Times New Roman" w:cs="Arial"/>
          <w:sz w:val="24"/>
          <w:szCs w:val="24"/>
          <w:lang w:val="en-GB" w:eastAsia="en-GB"/>
        </w:rPr>
      </w:pPr>
      <w:r w:rsidRPr="00027B06">
        <w:rPr>
          <w:rFonts w:eastAsia="Times New Roman" w:cs="Arial"/>
          <w:noProof/>
          <w:sz w:val="24"/>
          <w:szCs w:val="24"/>
          <w:lang w:val="en-GB" w:eastAsia="en-GB"/>
        </w:rPr>
        <w:drawing>
          <wp:inline distT="0" distB="0" distL="0" distR="0" wp14:anchorId="12D1696B" wp14:editId="4C9208EA">
            <wp:extent cx="2682240" cy="1670685"/>
            <wp:effectExtent l="0" t="0" r="3810" b="5715"/>
            <wp:docPr id="18876889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682240" cy="1670685"/>
                    </a:xfrm>
                    <a:prstGeom prst="rect">
                      <a:avLst/>
                    </a:prstGeom>
                    <a:noFill/>
                  </pic:spPr>
                </pic:pic>
              </a:graphicData>
            </a:graphic>
          </wp:inline>
        </w:drawing>
      </w:r>
    </w:p>
    <w:p w14:paraId="14111D6E" w14:textId="7B49A3BB" w:rsidR="00C31089" w:rsidRDefault="00706BAB" w:rsidP="00C31089">
      <w:pPr>
        <w:keepNext/>
        <w:keepLines/>
        <w:spacing w:before="160" w:after="80" w:line="278" w:lineRule="auto"/>
        <w:outlineLvl w:val="1"/>
        <w:rPr>
          <w:rFonts w:eastAsia="Yu Gothic Light" w:cs="Arial"/>
          <w:b/>
          <w:bCs/>
          <w:color w:val="4F81BD" w:themeColor="accent1"/>
          <w:kern w:val="2"/>
          <w:sz w:val="24"/>
          <w:szCs w:val="24"/>
          <w:lang w:val="en-GB" w:eastAsia="zh-CN"/>
          <w14:ligatures w14:val="standardContextual"/>
        </w:rPr>
      </w:pPr>
      <w:r w:rsidRPr="00706BAB">
        <w:rPr>
          <w:rFonts w:eastAsia="Yu Gothic Light" w:cs="Arial"/>
          <w:b/>
          <w:bCs/>
          <w:color w:val="4F81BD" w:themeColor="accent1"/>
          <w:kern w:val="2"/>
          <w:sz w:val="24"/>
          <w:szCs w:val="24"/>
          <w:lang w:val="en-GB" w:eastAsia="zh-CN"/>
          <w14:ligatures w14:val="standardContextual"/>
        </w:rPr>
        <w:t xml:space="preserve">Limitations </w:t>
      </w:r>
    </w:p>
    <w:p w14:paraId="43DD3BC4" w14:textId="77777777" w:rsidR="00706BAB" w:rsidRDefault="00C31089" w:rsidP="00C31089">
      <w:pPr>
        <w:shd w:val="clear" w:color="auto" w:fill="FFFFFF"/>
        <w:spacing w:after="150" w:line="360" w:lineRule="auto"/>
        <w:textAlignment w:val="baseline"/>
        <w:rPr>
          <w:rFonts w:eastAsia="Times New Roman" w:cs="Arial"/>
          <w:spacing w:val="8"/>
          <w:sz w:val="24"/>
          <w:szCs w:val="24"/>
          <w:lang w:val="en-GB" w:eastAsia="en-GB"/>
        </w:rPr>
      </w:pPr>
      <w:r w:rsidRPr="00706BAB">
        <w:rPr>
          <w:rFonts w:eastAsia="Times New Roman" w:cs="Arial"/>
          <w:spacing w:val="8"/>
          <w:sz w:val="24"/>
          <w:szCs w:val="24"/>
          <w:lang w:val="en-GB" w:eastAsia="en-GB"/>
        </w:rPr>
        <w:t xml:space="preserve">The success of the system is dependent on digital literacy, focused education and continued clinical help, but successful implementation is not a guarantee. </w:t>
      </w:r>
    </w:p>
    <w:p w14:paraId="6FA2C16D" w14:textId="03508A7B" w:rsidR="00C31089" w:rsidRPr="00706BAB" w:rsidRDefault="00C31089" w:rsidP="00C31089">
      <w:pPr>
        <w:shd w:val="clear" w:color="auto" w:fill="FFFFFF"/>
        <w:spacing w:after="150" w:line="360" w:lineRule="auto"/>
        <w:textAlignment w:val="baseline"/>
        <w:rPr>
          <w:rFonts w:eastAsia="Times New Roman" w:cs="Arial"/>
          <w:spacing w:val="8"/>
          <w:sz w:val="24"/>
          <w:szCs w:val="24"/>
          <w:lang w:val="en-GB" w:eastAsia="en-GB"/>
        </w:rPr>
      </w:pPr>
      <w:r w:rsidRPr="00706BAB">
        <w:rPr>
          <w:rFonts w:eastAsia="Times New Roman" w:cs="Arial"/>
          <w:spacing w:val="8"/>
          <w:sz w:val="24"/>
          <w:szCs w:val="24"/>
          <w:lang w:val="en-GB" w:eastAsia="en-GB"/>
        </w:rPr>
        <w:lastRenderedPageBreak/>
        <w:t>Hybrid closed-loop systems don’t eliminate carbohydrate counting, device maintenance or professional review. Artificial intelligence needs to be considered as complementing rather than substituting clinical expertise (Sherr et al., 2023; NICE, 2022). There are also important equity considerations. Access to compatible smartphones, internet connections and specialist diabetes services varies between populations. Without equitable NHS implementation and inclusive digital design, AI-assisted technologies may unintentionally widen existing health inequalities (NHS England, 2025; King's Fund, 2025).</w:t>
      </w:r>
    </w:p>
    <w:p w14:paraId="51E362D7" w14:textId="61DF477E" w:rsidR="00C31089" w:rsidRDefault="00C31089" w:rsidP="00C31089">
      <w:pPr>
        <w:shd w:val="clear" w:color="auto" w:fill="FFFFFF"/>
        <w:spacing w:after="150" w:line="240" w:lineRule="auto"/>
        <w:textAlignment w:val="baseline"/>
        <w:rPr>
          <w:rFonts w:eastAsia="Times New Roman" w:cs="Arial"/>
          <w:spacing w:val="8"/>
          <w:sz w:val="24"/>
          <w:szCs w:val="24"/>
          <w:lang w:val="en-GB" w:eastAsia="en-GB"/>
        </w:rPr>
      </w:pPr>
    </w:p>
    <w:p w14:paraId="722625C0" w14:textId="77777777" w:rsidR="00B72287" w:rsidRDefault="00B72287" w:rsidP="00C31089">
      <w:pPr>
        <w:shd w:val="clear" w:color="auto" w:fill="FFFFFF"/>
        <w:spacing w:after="150" w:line="240" w:lineRule="auto"/>
        <w:textAlignment w:val="baseline"/>
        <w:rPr>
          <w:rFonts w:eastAsia="Times New Roman" w:cs="Arial"/>
          <w:spacing w:val="8"/>
          <w:sz w:val="24"/>
          <w:szCs w:val="24"/>
          <w:lang w:val="en-GB" w:eastAsia="en-GB"/>
        </w:rPr>
      </w:pPr>
    </w:p>
    <w:p w14:paraId="706EEEA1" w14:textId="77777777" w:rsidR="00B72287" w:rsidRDefault="00B72287" w:rsidP="00C31089">
      <w:pPr>
        <w:shd w:val="clear" w:color="auto" w:fill="FFFFFF"/>
        <w:spacing w:after="150" w:line="240" w:lineRule="auto"/>
        <w:textAlignment w:val="baseline"/>
        <w:rPr>
          <w:rFonts w:eastAsia="Times New Roman" w:cs="Arial"/>
          <w:spacing w:val="8"/>
          <w:sz w:val="24"/>
          <w:szCs w:val="24"/>
          <w:lang w:val="en-GB" w:eastAsia="en-GB"/>
        </w:rPr>
      </w:pPr>
    </w:p>
    <w:p w14:paraId="3658B6E6" w14:textId="77777777" w:rsidR="00B72287" w:rsidRDefault="00B72287" w:rsidP="00C31089">
      <w:pPr>
        <w:shd w:val="clear" w:color="auto" w:fill="FFFFFF"/>
        <w:spacing w:after="150" w:line="240" w:lineRule="auto"/>
        <w:textAlignment w:val="baseline"/>
        <w:rPr>
          <w:rFonts w:eastAsia="Times New Roman" w:cs="Arial"/>
          <w:spacing w:val="8"/>
          <w:sz w:val="24"/>
          <w:szCs w:val="24"/>
          <w:lang w:val="en-GB" w:eastAsia="en-GB"/>
        </w:rPr>
      </w:pPr>
    </w:p>
    <w:p w14:paraId="72382B50" w14:textId="77777777" w:rsidR="00B72287" w:rsidRDefault="00B72287" w:rsidP="00C31089">
      <w:pPr>
        <w:shd w:val="clear" w:color="auto" w:fill="FFFFFF"/>
        <w:spacing w:after="150" w:line="240" w:lineRule="auto"/>
        <w:textAlignment w:val="baseline"/>
        <w:rPr>
          <w:rFonts w:eastAsia="Times New Roman" w:cs="Arial"/>
          <w:spacing w:val="8"/>
          <w:sz w:val="24"/>
          <w:szCs w:val="24"/>
          <w:lang w:val="en-GB" w:eastAsia="en-GB"/>
        </w:rPr>
      </w:pPr>
    </w:p>
    <w:p w14:paraId="62B73847" w14:textId="77777777" w:rsidR="00B72287" w:rsidRDefault="00B72287" w:rsidP="00C31089">
      <w:pPr>
        <w:shd w:val="clear" w:color="auto" w:fill="FFFFFF"/>
        <w:spacing w:after="150" w:line="240" w:lineRule="auto"/>
        <w:textAlignment w:val="baseline"/>
        <w:rPr>
          <w:rFonts w:eastAsia="Times New Roman" w:cs="Arial"/>
          <w:spacing w:val="8"/>
          <w:sz w:val="24"/>
          <w:szCs w:val="24"/>
          <w:lang w:val="en-GB" w:eastAsia="en-GB"/>
        </w:rPr>
      </w:pPr>
    </w:p>
    <w:p w14:paraId="7F5CE347" w14:textId="77777777" w:rsidR="00B72287" w:rsidRDefault="00B72287" w:rsidP="00C31089">
      <w:pPr>
        <w:shd w:val="clear" w:color="auto" w:fill="FFFFFF"/>
        <w:spacing w:after="150" w:line="240" w:lineRule="auto"/>
        <w:textAlignment w:val="baseline"/>
        <w:rPr>
          <w:rFonts w:eastAsia="Times New Roman" w:cs="Arial"/>
          <w:spacing w:val="8"/>
          <w:sz w:val="24"/>
          <w:szCs w:val="24"/>
          <w:lang w:val="en-GB" w:eastAsia="en-GB"/>
        </w:rPr>
      </w:pPr>
    </w:p>
    <w:p w14:paraId="62B1DAB7" w14:textId="77777777" w:rsidR="00B72287" w:rsidRDefault="00B72287" w:rsidP="00C31089">
      <w:pPr>
        <w:shd w:val="clear" w:color="auto" w:fill="FFFFFF"/>
        <w:spacing w:after="150" w:line="240" w:lineRule="auto"/>
        <w:textAlignment w:val="baseline"/>
        <w:rPr>
          <w:rFonts w:eastAsia="Times New Roman" w:cs="Arial"/>
          <w:spacing w:val="8"/>
          <w:sz w:val="24"/>
          <w:szCs w:val="24"/>
          <w:lang w:val="en-GB" w:eastAsia="en-GB"/>
        </w:rPr>
      </w:pPr>
    </w:p>
    <w:p w14:paraId="64DA11C7" w14:textId="77777777" w:rsidR="00B72287" w:rsidRPr="00706BAB" w:rsidRDefault="00B72287" w:rsidP="00C31089">
      <w:pPr>
        <w:shd w:val="clear" w:color="auto" w:fill="FFFFFF"/>
        <w:spacing w:after="150" w:line="240" w:lineRule="auto"/>
        <w:textAlignment w:val="baseline"/>
        <w:rPr>
          <w:rFonts w:eastAsia="Times New Roman" w:cs="Arial"/>
          <w:spacing w:val="8"/>
          <w:sz w:val="24"/>
          <w:szCs w:val="24"/>
          <w:lang w:val="en-GB" w:eastAsia="en-GB"/>
        </w:rPr>
      </w:pPr>
    </w:p>
    <w:p w14:paraId="22E40D91" w14:textId="77777777" w:rsidR="00B72287" w:rsidRDefault="00B72287" w:rsidP="00C31089">
      <w:pPr>
        <w:spacing w:after="160" w:line="278" w:lineRule="auto"/>
        <w:rPr>
          <w:rFonts w:ascii="Segoe UI Emoji" w:eastAsia="Yu Gothic" w:hAnsi="Segoe UI Emoji" w:cs="Segoe UI Emoji"/>
          <w:b/>
          <w:bCs/>
          <w:kern w:val="2"/>
          <w:sz w:val="24"/>
          <w:szCs w:val="24"/>
          <w:lang w:val="en-GB" w:eastAsia="zh-CN"/>
          <w14:ligatures w14:val="standardContextual"/>
        </w:rPr>
      </w:pPr>
      <w:r w:rsidRPr="00706BAB">
        <w:rPr>
          <w:rFonts w:eastAsia="Times New Roman" w:cs="Arial"/>
          <w:noProof/>
          <w:spacing w:val="8"/>
          <w:sz w:val="24"/>
          <w:szCs w:val="24"/>
          <w:lang w:val="en-GB" w:eastAsia="en-GB"/>
        </w:rPr>
        <w:drawing>
          <wp:inline distT="0" distB="0" distL="0" distR="0" wp14:anchorId="14B0CFB0" wp14:editId="47214410">
            <wp:extent cx="1782501" cy="1527040"/>
            <wp:effectExtent l="0" t="0" r="8255" b="0"/>
            <wp:docPr id="49693003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872513" cy="1604152"/>
                    </a:xfrm>
                    <a:prstGeom prst="rect">
                      <a:avLst/>
                    </a:prstGeom>
                    <a:noFill/>
                    <a:ln>
                      <a:noFill/>
                    </a:ln>
                  </pic:spPr>
                </pic:pic>
              </a:graphicData>
            </a:graphic>
          </wp:inline>
        </w:drawing>
      </w:r>
    </w:p>
    <w:p w14:paraId="1B53AFD8" w14:textId="00B4606E" w:rsidR="00C31089" w:rsidRPr="00706BAB" w:rsidRDefault="00C31089" w:rsidP="00C31089">
      <w:pPr>
        <w:spacing w:after="160" w:line="278" w:lineRule="auto"/>
        <w:rPr>
          <w:rFonts w:eastAsia="Yu Gothic" w:cs="Arial"/>
          <w:b/>
          <w:bCs/>
          <w:kern w:val="2"/>
          <w:sz w:val="24"/>
          <w:szCs w:val="24"/>
          <w:lang w:val="en-GB" w:eastAsia="zh-CN"/>
          <w14:ligatures w14:val="standardContextual"/>
        </w:rPr>
      </w:pPr>
      <w:r w:rsidRPr="00706BAB">
        <w:rPr>
          <w:rFonts w:ascii="Segoe UI Emoji" w:eastAsia="Yu Gothic" w:hAnsi="Segoe UI Emoji" w:cs="Segoe UI Emoji"/>
          <w:b/>
          <w:bCs/>
          <w:kern w:val="2"/>
          <w:sz w:val="24"/>
          <w:szCs w:val="24"/>
          <w:lang w:val="en-GB" w:eastAsia="zh-CN"/>
          <w14:ligatures w14:val="standardContextual"/>
        </w:rPr>
        <w:t>📌</w:t>
      </w:r>
      <w:r w:rsidRPr="00706BAB">
        <w:rPr>
          <w:rFonts w:eastAsia="Yu Gothic" w:cs="Arial"/>
          <w:b/>
          <w:bCs/>
          <w:color w:val="4F81BD" w:themeColor="accent1"/>
          <w:kern w:val="2"/>
          <w:sz w:val="24"/>
          <w:szCs w:val="24"/>
          <w:lang w:val="en-GB" w:eastAsia="zh-CN"/>
          <w14:ligatures w14:val="standardContextual"/>
        </w:rPr>
        <w:t xml:space="preserve"> Conclusion </w:t>
      </w:r>
    </w:p>
    <w:p w14:paraId="748DADDC" w14:textId="77777777" w:rsidR="00C31089" w:rsidRPr="00706BAB" w:rsidRDefault="00C31089" w:rsidP="00706BAB">
      <w:pPr>
        <w:spacing w:after="160" w:line="360" w:lineRule="auto"/>
        <w:rPr>
          <w:rFonts w:eastAsia="Yu Gothic" w:cs="Arial"/>
          <w:kern w:val="2"/>
          <w:sz w:val="24"/>
          <w:szCs w:val="24"/>
          <w:lang w:val="en-GB" w:eastAsia="zh-CN"/>
          <w14:ligatures w14:val="standardContextual"/>
        </w:rPr>
      </w:pPr>
      <w:r w:rsidRPr="00706BAB">
        <w:rPr>
          <w:rFonts w:eastAsia="Yu Gothic" w:cs="Arial"/>
          <w:kern w:val="2"/>
          <w:sz w:val="24"/>
          <w:szCs w:val="24"/>
          <w:lang w:val="en-GB" w:eastAsia="zh-CN"/>
          <w14:ligatures w14:val="standardContextual"/>
        </w:rPr>
        <w:t>Artificial intelligence has already revolutionised glucose monitoring, but the next step is to use AI for healthier lives. CamAPS FX+ could be more than an insulin management app and become a digital health promotion platform that would enable people to live healthier, more independent lives and reduce health inequalities (WHO, 1986; NICE, 2023; NHS England, 2025).</w:t>
      </w:r>
    </w:p>
    <w:p w14:paraId="7A53BA31" w14:textId="7AA1F604" w:rsidR="00C31089" w:rsidRPr="00706BAB" w:rsidRDefault="00C31089" w:rsidP="00706BAB">
      <w:pPr>
        <w:spacing w:after="160" w:line="360" w:lineRule="auto"/>
        <w:rPr>
          <w:rFonts w:eastAsia="Yu Gothic" w:cs="Arial"/>
          <w:kern w:val="2"/>
          <w:sz w:val="24"/>
          <w:szCs w:val="24"/>
          <w:lang w:val="en-GB" w:eastAsia="zh-CN"/>
          <w14:ligatures w14:val="standardContextual"/>
        </w:rPr>
      </w:pPr>
    </w:p>
    <w:p w14:paraId="791AF1F1" w14:textId="77777777" w:rsidR="00C31089" w:rsidRPr="00706BAB" w:rsidRDefault="00C31089" w:rsidP="00706BAB">
      <w:pPr>
        <w:spacing w:after="160" w:line="360" w:lineRule="auto"/>
        <w:rPr>
          <w:rFonts w:asciiTheme="minorBidi" w:eastAsia="Yu Gothic" w:hAnsiTheme="minorBidi"/>
          <w:kern w:val="2"/>
          <w:sz w:val="24"/>
          <w:szCs w:val="24"/>
          <w:lang w:val="en-GB" w:eastAsia="zh-CN"/>
          <w14:ligatures w14:val="standardContextual"/>
        </w:rPr>
      </w:pPr>
    </w:p>
    <w:p w14:paraId="5C9ADDBF" w14:textId="77777777" w:rsidR="00C31089" w:rsidRPr="00706BAB" w:rsidRDefault="00C31089" w:rsidP="00706BAB">
      <w:pPr>
        <w:pStyle w:val="ListBullet"/>
        <w:numPr>
          <w:ilvl w:val="0"/>
          <w:numId w:val="0"/>
        </w:numPr>
        <w:spacing w:line="360" w:lineRule="auto"/>
        <w:ind w:left="360" w:hanging="360"/>
        <w:rPr>
          <w:rFonts w:asciiTheme="minorBidi" w:hAnsiTheme="minorBidi"/>
          <w:b/>
          <w:color w:val="008080"/>
          <w:sz w:val="24"/>
          <w:szCs w:val="24"/>
        </w:rPr>
      </w:pPr>
    </w:p>
    <w:p w14:paraId="12F06DCD" w14:textId="16F8BD77" w:rsidR="00C31089" w:rsidRPr="00027B06" w:rsidRDefault="00C31089" w:rsidP="00706BAB">
      <w:pPr>
        <w:pStyle w:val="ListBullet"/>
        <w:numPr>
          <w:ilvl w:val="0"/>
          <w:numId w:val="0"/>
        </w:numPr>
        <w:spacing w:line="360" w:lineRule="auto"/>
        <w:ind w:left="360" w:hanging="360"/>
        <w:rPr>
          <w:rFonts w:cs="Arial"/>
          <w:b/>
          <w:color w:val="008080"/>
          <w:sz w:val="24"/>
          <w:szCs w:val="24"/>
        </w:rPr>
      </w:pPr>
    </w:p>
    <w:p w14:paraId="1E0F1057" w14:textId="5E2355F8" w:rsidR="00C31089" w:rsidRPr="00027B06" w:rsidRDefault="00C31089" w:rsidP="00706BAB">
      <w:pPr>
        <w:pStyle w:val="ListBullet"/>
        <w:numPr>
          <w:ilvl w:val="0"/>
          <w:numId w:val="0"/>
        </w:numPr>
        <w:spacing w:line="360" w:lineRule="auto"/>
        <w:ind w:left="360" w:hanging="360"/>
        <w:rPr>
          <w:rFonts w:cs="Arial"/>
          <w:b/>
          <w:color w:val="008080"/>
          <w:sz w:val="24"/>
          <w:szCs w:val="24"/>
        </w:rPr>
      </w:pPr>
    </w:p>
    <w:p w14:paraId="6FE43BBC" w14:textId="77777777" w:rsidR="00C31089" w:rsidRPr="00027B06" w:rsidRDefault="00C31089" w:rsidP="00706BAB">
      <w:pPr>
        <w:pStyle w:val="ListBullet"/>
        <w:numPr>
          <w:ilvl w:val="0"/>
          <w:numId w:val="0"/>
        </w:numPr>
        <w:spacing w:line="360" w:lineRule="auto"/>
        <w:ind w:left="360" w:hanging="360"/>
        <w:rPr>
          <w:rFonts w:cs="Arial"/>
          <w:b/>
          <w:color w:val="008080"/>
          <w:sz w:val="24"/>
          <w:szCs w:val="24"/>
        </w:rPr>
      </w:pPr>
    </w:p>
    <w:p w14:paraId="73D7353F" w14:textId="77777777" w:rsidR="00C31089" w:rsidRPr="00027B06" w:rsidRDefault="00C31089" w:rsidP="006D4535">
      <w:pPr>
        <w:pStyle w:val="ListBullet"/>
        <w:numPr>
          <w:ilvl w:val="0"/>
          <w:numId w:val="0"/>
        </w:numPr>
        <w:ind w:left="360" w:hanging="360"/>
        <w:rPr>
          <w:rFonts w:cs="Arial"/>
          <w:b/>
          <w:color w:val="008080"/>
          <w:sz w:val="24"/>
          <w:szCs w:val="24"/>
        </w:rPr>
      </w:pPr>
    </w:p>
    <w:p w14:paraId="67C2B399" w14:textId="77777777" w:rsidR="00A40578" w:rsidRDefault="00A40578" w:rsidP="006D4535">
      <w:pPr>
        <w:pStyle w:val="ListBullet"/>
        <w:numPr>
          <w:ilvl w:val="0"/>
          <w:numId w:val="0"/>
        </w:numPr>
        <w:ind w:left="360" w:hanging="360"/>
        <w:rPr>
          <w:rFonts w:cs="Arial"/>
          <w:b/>
          <w:color w:val="008080"/>
          <w:sz w:val="24"/>
          <w:szCs w:val="24"/>
        </w:rPr>
      </w:pPr>
    </w:p>
    <w:p w14:paraId="39C3DD1E" w14:textId="77777777" w:rsidR="00706BAB" w:rsidRDefault="00706BAB" w:rsidP="006D4535">
      <w:pPr>
        <w:pStyle w:val="ListBullet"/>
        <w:numPr>
          <w:ilvl w:val="0"/>
          <w:numId w:val="0"/>
        </w:numPr>
        <w:ind w:left="360" w:hanging="360"/>
        <w:rPr>
          <w:rFonts w:cs="Arial"/>
          <w:b/>
          <w:color w:val="008080"/>
          <w:sz w:val="24"/>
          <w:szCs w:val="24"/>
        </w:rPr>
      </w:pPr>
    </w:p>
    <w:p w14:paraId="58304718" w14:textId="77777777" w:rsidR="00706BAB" w:rsidRDefault="00706BAB" w:rsidP="006D4535">
      <w:pPr>
        <w:pStyle w:val="ListBullet"/>
        <w:numPr>
          <w:ilvl w:val="0"/>
          <w:numId w:val="0"/>
        </w:numPr>
        <w:ind w:left="360" w:hanging="360"/>
        <w:rPr>
          <w:rFonts w:cs="Arial"/>
          <w:b/>
          <w:color w:val="008080"/>
          <w:sz w:val="24"/>
          <w:szCs w:val="24"/>
        </w:rPr>
      </w:pPr>
    </w:p>
    <w:p w14:paraId="3E659116" w14:textId="77777777" w:rsidR="00706BAB" w:rsidRDefault="00706BAB" w:rsidP="006D4535">
      <w:pPr>
        <w:pStyle w:val="ListBullet"/>
        <w:numPr>
          <w:ilvl w:val="0"/>
          <w:numId w:val="0"/>
        </w:numPr>
        <w:ind w:left="360" w:hanging="360"/>
        <w:rPr>
          <w:rFonts w:cs="Arial"/>
          <w:b/>
          <w:color w:val="008080"/>
          <w:sz w:val="24"/>
          <w:szCs w:val="24"/>
        </w:rPr>
      </w:pPr>
    </w:p>
    <w:p w14:paraId="7B182C4B" w14:textId="46530E53" w:rsidR="00706BAB" w:rsidRDefault="00706BAB" w:rsidP="006D4535">
      <w:pPr>
        <w:pStyle w:val="ListBullet"/>
        <w:numPr>
          <w:ilvl w:val="0"/>
          <w:numId w:val="0"/>
        </w:numPr>
        <w:ind w:left="360" w:hanging="360"/>
        <w:rPr>
          <w:rFonts w:cs="Arial"/>
          <w:b/>
          <w:color w:val="008080"/>
          <w:sz w:val="24"/>
          <w:szCs w:val="24"/>
        </w:rPr>
      </w:pPr>
    </w:p>
    <w:p w14:paraId="0CD0B2B3" w14:textId="77777777" w:rsidR="00A40578" w:rsidRPr="00027B06" w:rsidRDefault="00A40578" w:rsidP="006D4535">
      <w:pPr>
        <w:pStyle w:val="ListBullet"/>
        <w:numPr>
          <w:ilvl w:val="0"/>
          <w:numId w:val="0"/>
        </w:numPr>
        <w:ind w:left="360" w:hanging="360"/>
        <w:rPr>
          <w:rFonts w:cs="Arial"/>
          <w:b/>
          <w:color w:val="008080"/>
          <w:sz w:val="24"/>
          <w:szCs w:val="24"/>
        </w:rPr>
      </w:pPr>
    </w:p>
    <w:p w14:paraId="539EA4AF" w14:textId="0F28535A" w:rsidR="006D4535" w:rsidRPr="00706BAB" w:rsidRDefault="006D4535" w:rsidP="006D4535">
      <w:pPr>
        <w:pStyle w:val="ListBullet"/>
        <w:numPr>
          <w:ilvl w:val="0"/>
          <w:numId w:val="0"/>
        </w:numPr>
        <w:ind w:left="360" w:hanging="360"/>
        <w:rPr>
          <w:rFonts w:cs="Arial"/>
          <w:b/>
          <w:color w:val="4F81BD" w:themeColor="accent1"/>
          <w:sz w:val="24"/>
          <w:szCs w:val="24"/>
        </w:rPr>
      </w:pPr>
      <w:r w:rsidRPr="00706BAB">
        <w:rPr>
          <w:rFonts w:cs="Arial"/>
          <w:b/>
          <w:color w:val="4F81BD" w:themeColor="accent1"/>
          <w:sz w:val="24"/>
          <w:szCs w:val="24"/>
        </w:rPr>
        <w:lastRenderedPageBreak/>
        <w:t>References</w:t>
      </w:r>
    </w:p>
    <w:p w14:paraId="6F5F27E3" w14:textId="77777777" w:rsidR="00706BAB" w:rsidRPr="00027B06" w:rsidRDefault="00706BAB" w:rsidP="006D4535">
      <w:pPr>
        <w:pStyle w:val="ListBullet"/>
        <w:numPr>
          <w:ilvl w:val="0"/>
          <w:numId w:val="0"/>
        </w:numPr>
        <w:ind w:left="360" w:hanging="360"/>
        <w:rPr>
          <w:rFonts w:cs="Arial"/>
          <w:b/>
          <w:color w:val="008080"/>
          <w:sz w:val="24"/>
          <w:szCs w:val="24"/>
        </w:rPr>
      </w:pPr>
    </w:p>
    <w:p w14:paraId="6A3BEA15" w14:textId="77777777" w:rsidR="00EF0239" w:rsidRPr="00EF0239" w:rsidRDefault="00EF0239" w:rsidP="00EF0239">
      <w:pPr>
        <w:pStyle w:val="ListBullet"/>
        <w:numPr>
          <w:ilvl w:val="0"/>
          <w:numId w:val="0"/>
        </w:numPr>
        <w:ind w:left="360" w:hanging="360"/>
        <w:rPr>
          <w:rFonts w:cs="Arial"/>
          <w:sz w:val="24"/>
          <w:szCs w:val="24"/>
          <w:lang w:val="en-GB"/>
        </w:rPr>
      </w:pPr>
    </w:p>
    <w:p w14:paraId="17900F08" w14:textId="77777777" w:rsidR="00EF0239" w:rsidRPr="00027B06" w:rsidRDefault="00EF0239" w:rsidP="00E92BFE">
      <w:pPr>
        <w:pStyle w:val="ListBullet"/>
        <w:rPr>
          <w:rFonts w:cs="Arial"/>
          <w:sz w:val="24"/>
          <w:szCs w:val="24"/>
          <w:lang w:val="en-GB"/>
        </w:rPr>
      </w:pPr>
      <w:r w:rsidRPr="00027B06">
        <w:rPr>
          <w:rFonts w:cs="Arial"/>
          <w:sz w:val="24"/>
          <w:szCs w:val="24"/>
          <w:lang w:val="en-GB"/>
        </w:rPr>
        <w:t xml:space="preserve">Abbott Diabetes Care (2024) </w:t>
      </w:r>
      <w:r w:rsidRPr="00027B06">
        <w:rPr>
          <w:rFonts w:cs="Arial"/>
          <w:i/>
          <w:iCs/>
          <w:sz w:val="24"/>
          <w:szCs w:val="24"/>
          <w:lang w:val="en-GB"/>
        </w:rPr>
        <w:t>FreeStyle Libre Systems User Guide</w:t>
      </w:r>
      <w:r w:rsidRPr="00027B06">
        <w:rPr>
          <w:rFonts w:cs="Arial"/>
          <w:sz w:val="24"/>
          <w:szCs w:val="24"/>
          <w:lang w:val="en-GB"/>
        </w:rPr>
        <w:t xml:space="preserve">. Available at: </w:t>
      </w:r>
      <w:hyperlink r:id="rId22" w:tgtFrame="_new" w:history="1">
        <w:r w:rsidRPr="00027B06">
          <w:rPr>
            <w:rStyle w:val="Hyperlink"/>
            <w:rFonts w:cs="Arial"/>
            <w:sz w:val="24"/>
            <w:szCs w:val="24"/>
            <w:lang w:val="en-GB"/>
          </w:rPr>
          <w:t>https://www.freestyle.abbott</w:t>
        </w:r>
      </w:hyperlink>
      <w:r w:rsidRPr="00027B06">
        <w:rPr>
          <w:rFonts w:cs="Arial"/>
          <w:sz w:val="24"/>
          <w:szCs w:val="24"/>
          <w:lang w:val="en-GB"/>
        </w:rPr>
        <w:t xml:space="preserve"> (Accessed: 26 July 2026). </w:t>
      </w:r>
    </w:p>
    <w:p w14:paraId="0C9D72DC" w14:textId="77777777" w:rsidR="00EF0239" w:rsidRPr="00027B06" w:rsidRDefault="00EF0239" w:rsidP="00E92BFE">
      <w:pPr>
        <w:pStyle w:val="ListBullet"/>
        <w:rPr>
          <w:rFonts w:cs="Arial"/>
          <w:sz w:val="24"/>
          <w:szCs w:val="24"/>
          <w:lang w:val="en-GB"/>
        </w:rPr>
      </w:pPr>
      <w:r w:rsidRPr="00027B06">
        <w:rPr>
          <w:rFonts w:cs="Arial"/>
          <w:sz w:val="24"/>
          <w:szCs w:val="24"/>
          <w:lang w:val="en-GB"/>
        </w:rPr>
        <w:t xml:space="preserve">Alsahli, M. et al. (2024) 'The effectiveness of continuous glucose monitoring in people with Type 1 diabetes: A systematic review', </w:t>
      </w:r>
      <w:r w:rsidRPr="00027B06">
        <w:rPr>
          <w:rFonts w:cs="Arial"/>
          <w:i/>
          <w:iCs/>
          <w:sz w:val="24"/>
          <w:szCs w:val="24"/>
          <w:lang w:val="en-GB"/>
        </w:rPr>
        <w:t>Diabetes Therapy</w:t>
      </w:r>
      <w:r w:rsidRPr="00027B06">
        <w:rPr>
          <w:rFonts w:cs="Arial"/>
          <w:sz w:val="24"/>
          <w:szCs w:val="24"/>
          <w:lang w:val="en-GB"/>
        </w:rPr>
        <w:t xml:space="preserve">. </w:t>
      </w:r>
    </w:p>
    <w:p w14:paraId="0F4C2A4E" w14:textId="77777777" w:rsidR="00EF0239" w:rsidRPr="00027B06" w:rsidRDefault="00EF0239" w:rsidP="00E92BFE">
      <w:pPr>
        <w:pStyle w:val="ListBullet"/>
        <w:rPr>
          <w:rFonts w:cs="Arial"/>
          <w:sz w:val="24"/>
          <w:szCs w:val="24"/>
          <w:lang w:val="en-GB"/>
        </w:rPr>
      </w:pPr>
      <w:r w:rsidRPr="00027B06">
        <w:rPr>
          <w:rFonts w:cs="Arial"/>
          <w:sz w:val="24"/>
          <w:szCs w:val="24"/>
          <w:lang w:val="en-GB"/>
        </w:rPr>
        <w:t xml:space="preserve">American Diabetes Association (2024) </w:t>
      </w:r>
      <w:r w:rsidRPr="00027B06">
        <w:rPr>
          <w:rFonts w:cs="Arial"/>
          <w:i/>
          <w:iCs/>
          <w:sz w:val="24"/>
          <w:szCs w:val="24"/>
          <w:lang w:val="en-GB"/>
        </w:rPr>
        <w:t>Standards of Care in Diabetes—2024</w:t>
      </w:r>
      <w:r w:rsidRPr="00027B06">
        <w:rPr>
          <w:rFonts w:cs="Arial"/>
          <w:sz w:val="24"/>
          <w:szCs w:val="24"/>
          <w:lang w:val="en-GB"/>
        </w:rPr>
        <w:t xml:space="preserve">. </w:t>
      </w:r>
      <w:r w:rsidRPr="00027B06">
        <w:rPr>
          <w:rFonts w:cs="Arial"/>
          <w:i/>
          <w:iCs/>
          <w:sz w:val="24"/>
          <w:szCs w:val="24"/>
          <w:lang w:val="en-GB"/>
        </w:rPr>
        <w:t>Diabetes Care</w:t>
      </w:r>
      <w:r w:rsidRPr="00027B06">
        <w:rPr>
          <w:rFonts w:cs="Arial"/>
          <w:sz w:val="24"/>
          <w:szCs w:val="24"/>
          <w:lang w:val="en-GB"/>
        </w:rPr>
        <w:t xml:space="preserve">, 47(Suppl. 1). </w:t>
      </w:r>
    </w:p>
    <w:p w14:paraId="77FFB7A4" w14:textId="77777777" w:rsidR="00EF0239" w:rsidRDefault="00EF0239" w:rsidP="00EF0239">
      <w:pPr>
        <w:pStyle w:val="ListBullet"/>
        <w:rPr>
          <w:rFonts w:ascii="Times New Roman" w:eastAsia="Times New Roman" w:hAnsi="Times New Roman"/>
          <w:sz w:val="24"/>
        </w:rPr>
      </w:pPr>
      <w:r>
        <w:t xml:space="preserve">American Diabetes Association (2024) </w:t>
      </w:r>
      <w:r>
        <w:rPr>
          <w:rStyle w:val="Emphasis"/>
        </w:rPr>
        <w:t>Standards of Care in Diabetes—2024</w:t>
      </w:r>
      <w:r>
        <w:t xml:space="preserve">. </w:t>
      </w:r>
      <w:r>
        <w:rPr>
          <w:rStyle w:val="Emphasis"/>
        </w:rPr>
        <w:t>Diabetes Care</w:t>
      </w:r>
      <w:r>
        <w:t>, 47(Suppl. 1), pp. S1–S350.</w:t>
      </w:r>
    </w:p>
    <w:p w14:paraId="28350F75" w14:textId="77777777" w:rsidR="00EF0239" w:rsidRPr="00027B06" w:rsidRDefault="00EF0239" w:rsidP="00E92BFE">
      <w:pPr>
        <w:pStyle w:val="ListBullet"/>
        <w:rPr>
          <w:rFonts w:cs="Arial"/>
          <w:sz w:val="24"/>
          <w:szCs w:val="24"/>
          <w:lang w:val="en-GB"/>
        </w:rPr>
      </w:pPr>
      <w:r w:rsidRPr="00027B06">
        <w:rPr>
          <w:rFonts w:cs="Arial"/>
          <w:sz w:val="24"/>
          <w:szCs w:val="24"/>
          <w:lang w:val="en-GB"/>
        </w:rPr>
        <w:t xml:space="preserve">Bandura, A. (1986) </w:t>
      </w:r>
      <w:r w:rsidRPr="00027B06">
        <w:rPr>
          <w:rFonts w:cs="Arial"/>
          <w:i/>
          <w:iCs/>
          <w:sz w:val="24"/>
          <w:szCs w:val="24"/>
          <w:lang w:val="en-GB"/>
        </w:rPr>
        <w:t>Social Foundations of Thought and Action: A Social Cognitive Theory</w:t>
      </w:r>
      <w:r w:rsidRPr="00027B06">
        <w:rPr>
          <w:rFonts w:cs="Arial"/>
          <w:sz w:val="24"/>
          <w:szCs w:val="24"/>
          <w:lang w:val="en-GB"/>
        </w:rPr>
        <w:t xml:space="preserve">. Englewood Cliffs, NJ: Prentice Hall. </w:t>
      </w:r>
    </w:p>
    <w:p w14:paraId="169EBF2B" w14:textId="77777777" w:rsidR="00EF0239" w:rsidRDefault="00EF0239" w:rsidP="00EF0239">
      <w:pPr>
        <w:pStyle w:val="ListBullet"/>
      </w:pPr>
      <w:r>
        <w:t xml:space="preserve">Bandura, A. (1986) </w:t>
      </w:r>
      <w:r>
        <w:rPr>
          <w:rStyle w:val="Emphasis"/>
        </w:rPr>
        <w:t>Social Foundations of Thought and Action: A Social Cognitive Theory</w:t>
      </w:r>
      <w:r>
        <w:t>. Englewood Cliffs, NJ: Prentice-Hall.</w:t>
      </w:r>
    </w:p>
    <w:p w14:paraId="631888EB" w14:textId="77777777" w:rsidR="00EF0239" w:rsidRPr="00027B06" w:rsidRDefault="00EF0239" w:rsidP="00E92BFE">
      <w:pPr>
        <w:pStyle w:val="ListBullet"/>
        <w:rPr>
          <w:rFonts w:cs="Arial"/>
          <w:sz w:val="24"/>
          <w:szCs w:val="24"/>
          <w:lang w:val="en-GB"/>
        </w:rPr>
      </w:pPr>
      <w:proofErr w:type="spellStart"/>
      <w:r w:rsidRPr="00027B06">
        <w:rPr>
          <w:rFonts w:cs="Arial"/>
          <w:sz w:val="24"/>
          <w:szCs w:val="24"/>
          <w:lang w:val="en-GB"/>
        </w:rPr>
        <w:t>Battelino</w:t>
      </w:r>
      <w:proofErr w:type="spellEnd"/>
      <w:r w:rsidRPr="00027B06">
        <w:rPr>
          <w:rFonts w:cs="Arial"/>
          <w:sz w:val="24"/>
          <w:szCs w:val="24"/>
          <w:lang w:val="en-GB"/>
        </w:rPr>
        <w:t xml:space="preserve">, T. et al. (2019) 'Clinical targets for continuous glucose monitoring data interpretation', </w:t>
      </w:r>
      <w:r w:rsidRPr="00027B06">
        <w:rPr>
          <w:rFonts w:cs="Arial"/>
          <w:i/>
          <w:iCs/>
          <w:sz w:val="24"/>
          <w:szCs w:val="24"/>
          <w:lang w:val="en-GB"/>
        </w:rPr>
        <w:t>Diabetes Care</w:t>
      </w:r>
      <w:r w:rsidRPr="00027B06">
        <w:rPr>
          <w:rFonts w:cs="Arial"/>
          <w:sz w:val="24"/>
          <w:szCs w:val="24"/>
          <w:lang w:val="en-GB"/>
        </w:rPr>
        <w:t xml:space="preserve">, 42(8), pp. 1593–1603. </w:t>
      </w:r>
    </w:p>
    <w:p w14:paraId="3F499755" w14:textId="77777777" w:rsidR="00EF0239" w:rsidRPr="00027B06" w:rsidRDefault="00EF0239" w:rsidP="00E92BFE">
      <w:pPr>
        <w:pStyle w:val="ListBullet"/>
        <w:rPr>
          <w:rFonts w:cs="Arial"/>
          <w:sz w:val="24"/>
          <w:szCs w:val="24"/>
          <w:lang w:val="en-GB"/>
        </w:rPr>
      </w:pPr>
      <w:r w:rsidRPr="00027B06">
        <w:rPr>
          <w:rFonts w:cs="Arial"/>
          <w:sz w:val="24"/>
          <w:szCs w:val="24"/>
          <w:lang w:val="en-GB"/>
        </w:rPr>
        <w:t xml:space="preserve">Blissett, D. et al. (2022) 'Continuous glucose monitoring in adults with Type 1 diabetes: A systematic review', </w:t>
      </w:r>
      <w:r w:rsidRPr="00027B06">
        <w:rPr>
          <w:rFonts w:cs="Arial"/>
          <w:i/>
          <w:iCs/>
          <w:sz w:val="24"/>
          <w:szCs w:val="24"/>
          <w:lang w:val="en-GB"/>
        </w:rPr>
        <w:t>Diabetic Medicine</w:t>
      </w:r>
      <w:r w:rsidRPr="00027B06">
        <w:rPr>
          <w:rFonts w:cs="Arial"/>
          <w:sz w:val="24"/>
          <w:szCs w:val="24"/>
          <w:lang w:val="en-GB"/>
        </w:rPr>
        <w:t xml:space="preserve">. </w:t>
      </w:r>
    </w:p>
    <w:p w14:paraId="053F6A4E" w14:textId="77777777" w:rsidR="00EF0239" w:rsidRDefault="00EF0239" w:rsidP="00EF0239">
      <w:pPr>
        <w:pStyle w:val="ListBullet"/>
      </w:pPr>
      <w:r>
        <w:t>Boughton, C.K. and Hovorka, R. (</w:t>
      </w:r>
      <w:proofErr w:type="gramStart"/>
      <w:r>
        <w:t>2021) ‘</w:t>
      </w:r>
      <w:proofErr w:type="gramEnd"/>
      <w:r>
        <w:t xml:space="preserve">Is an artificial pancreas (closed-loop system) for Type 1 diabetes effective?’, </w:t>
      </w:r>
      <w:r>
        <w:rPr>
          <w:rStyle w:val="Emphasis"/>
        </w:rPr>
        <w:t>Diabetic Medicine</w:t>
      </w:r>
      <w:r>
        <w:t>, 38(1), e14416.</w:t>
      </w:r>
    </w:p>
    <w:p w14:paraId="6CDDDE51" w14:textId="77777777" w:rsidR="00EF0239" w:rsidRPr="00027B06" w:rsidRDefault="00EF0239" w:rsidP="00E92BFE">
      <w:pPr>
        <w:pStyle w:val="ListBullet"/>
        <w:rPr>
          <w:rFonts w:cs="Arial"/>
          <w:sz w:val="24"/>
          <w:szCs w:val="24"/>
          <w:lang w:val="en-GB"/>
        </w:rPr>
      </w:pPr>
      <w:r w:rsidRPr="00027B06">
        <w:rPr>
          <w:rFonts w:cs="Arial"/>
          <w:sz w:val="24"/>
          <w:szCs w:val="24"/>
          <w:lang w:val="en-GB"/>
        </w:rPr>
        <w:t xml:space="preserve">Britton, J. and Britton-Colonnese, L. (2017) </w:t>
      </w:r>
      <w:r w:rsidRPr="00027B06">
        <w:rPr>
          <w:rFonts w:cs="Arial"/>
          <w:i/>
          <w:iCs/>
          <w:sz w:val="24"/>
          <w:szCs w:val="24"/>
          <w:lang w:val="en-GB"/>
        </w:rPr>
        <w:t>Digital Health and Health Inequalities</w:t>
      </w:r>
      <w:r w:rsidRPr="00027B06">
        <w:rPr>
          <w:rFonts w:cs="Arial"/>
          <w:sz w:val="24"/>
          <w:szCs w:val="24"/>
          <w:lang w:val="en-GB"/>
        </w:rPr>
        <w:t xml:space="preserve">. London: NHS England. </w:t>
      </w:r>
    </w:p>
    <w:p w14:paraId="16A6BB2B" w14:textId="77777777" w:rsidR="00EF0239" w:rsidRDefault="00EF0239" w:rsidP="00EF0239">
      <w:pPr>
        <w:pStyle w:val="ListBullet"/>
      </w:pPr>
      <w:r>
        <w:t xml:space="preserve">Crabtree, T.S., Boughton, C.K., Allen, J.M., Bally, L. and Hovorka, R. (2023) ‘Hybrid closed-loop systems for the management of Type 1 diabetes: Current evidence and future directions’, </w:t>
      </w:r>
      <w:proofErr w:type="spellStart"/>
      <w:r>
        <w:rPr>
          <w:rStyle w:val="Emphasis"/>
        </w:rPr>
        <w:t>Diabetologia</w:t>
      </w:r>
      <w:proofErr w:type="spellEnd"/>
      <w:r>
        <w:t>, 66(8), pp. 1387–1398.</w:t>
      </w:r>
    </w:p>
    <w:p w14:paraId="15673046" w14:textId="77777777" w:rsidR="00EF0239" w:rsidRPr="00224D38" w:rsidRDefault="00EF0239" w:rsidP="00E92BFE">
      <w:pPr>
        <w:pStyle w:val="ListBullet"/>
        <w:rPr>
          <w:rFonts w:cs="Arial"/>
          <w:sz w:val="24"/>
          <w:szCs w:val="24"/>
          <w:lang w:val="pt-PT"/>
        </w:rPr>
      </w:pPr>
      <w:r w:rsidRPr="00224D38">
        <w:rPr>
          <w:rFonts w:cs="Arial"/>
          <w:sz w:val="24"/>
          <w:szCs w:val="24"/>
          <w:lang w:val="pt-PT"/>
        </w:rPr>
        <w:t xml:space="preserve">Diabetes UK (2023) </w:t>
      </w:r>
      <w:r w:rsidRPr="00224D38">
        <w:rPr>
          <w:rFonts w:cs="Arial"/>
          <w:i/>
          <w:iCs/>
          <w:sz w:val="24"/>
          <w:szCs w:val="24"/>
          <w:lang w:val="pt-PT"/>
        </w:rPr>
        <w:t>Diabetes Prevalence 2023</w:t>
      </w:r>
      <w:r w:rsidRPr="00224D38">
        <w:rPr>
          <w:rFonts w:cs="Arial"/>
          <w:sz w:val="24"/>
          <w:szCs w:val="24"/>
          <w:lang w:val="pt-PT"/>
        </w:rPr>
        <w:t xml:space="preserve">. London: Diabetes UK. </w:t>
      </w:r>
    </w:p>
    <w:p w14:paraId="32B3A421" w14:textId="77777777" w:rsidR="00EF0239" w:rsidRDefault="00EF0239" w:rsidP="00EF0239">
      <w:pPr>
        <w:pStyle w:val="ListBullet"/>
      </w:pPr>
      <w:proofErr w:type="spellStart"/>
      <w:r>
        <w:t>Genitsaridi</w:t>
      </w:r>
      <w:proofErr w:type="spellEnd"/>
      <w:r>
        <w:t>, I., Tomic, D., Cousins, D., Foster, N.C., Miller, K.M., Clements, M.A., et al. (</w:t>
      </w:r>
      <w:proofErr w:type="gramStart"/>
      <w:r>
        <w:t>2025) ‘</w:t>
      </w:r>
      <w:proofErr w:type="gramEnd"/>
      <w:r>
        <w:t xml:space="preserve">The global epidemiology of Type 1 diabetes in adults: Findings from the International Diabetes Federation Diabetes Atlas’, </w:t>
      </w:r>
      <w:r>
        <w:rPr>
          <w:rStyle w:val="Emphasis"/>
        </w:rPr>
        <w:t>Diabetes Research and Clinical Practice</w:t>
      </w:r>
      <w:r>
        <w:t>, 210, 111565.</w:t>
      </w:r>
    </w:p>
    <w:p w14:paraId="30AC5065" w14:textId="77777777" w:rsidR="00EF0239" w:rsidRDefault="00EF0239" w:rsidP="00EF0239">
      <w:pPr>
        <w:pStyle w:val="ListBullet"/>
      </w:pPr>
      <w:r>
        <w:t xml:space="preserve">Good Things Foundation (2025) </w:t>
      </w:r>
      <w:r>
        <w:rPr>
          <w:rStyle w:val="Emphasis"/>
        </w:rPr>
        <w:t>Digital Inclusion for Health and Care</w:t>
      </w:r>
      <w:r>
        <w:t xml:space="preserve">. Available at: </w:t>
      </w:r>
      <w:hyperlink r:id="rId23" w:tgtFrame="_new" w:history="1">
        <w:r>
          <w:rPr>
            <w:rStyle w:val="Hyperlink"/>
          </w:rPr>
          <w:t>https://www.goodthingsfoundation.org</w:t>
        </w:r>
      </w:hyperlink>
      <w:r>
        <w:t xml:space="preserve"> (Accessed: 28 July 2026).</w:t>
      </w:r>
    </w:p>
    <w:p w14:paraId="5D94F454" w14:textId="77777777" w:rsidR="00EF0239" w:rsidRPr="00027B06" w:rsidRDefault="00EF0239" w:rsidP="00E92BFE">
      <w:pPr>
        <w:pStyle w:val="ListBullet"/>
        <w:rPr>
          <w:rFonts w:cs="Arial"/>
          <w:sz w:val="24"/>
          <w:szCs w:val="24"/>
          <w:lang w:val="en-GB"/>
        </w:rPr>
      </w:pPr>
      <w:r w:rsidRPr="00027B06">
        <w:rPr>
          <w:rFonts w:cs="Arial"/>
          <w:sz w:val="24"/>
          <w:szCs w:val="24"/>
          <w:lang w:val="en-GB"/>
        </w:rPr>
        <w:t xml:space="preserve">Hex, N. et al. (2012) 'Estimating the current and future costs of Type 1 and Type 2 diabetes in the UK', </w:t>
      </w:r>
      <w:r w:rsidRPr="00027B06">
        <w:rPr>
          <w:rFonts w:cs="Arial"/>
          <w:i/>
          <w:iCs/>
          <w:sz w:val="24"/>
          <w:szCs w:val="24"/>
          <w:lang w:val="en-GB"/>
        </w:rPr>
        <w:t>Diabetic Medicine</w:t>
      </w:r>
      <w:r w:rsidRPr="00027B06">
        <w:rPr>
          <w:rFonts w:cs="Arial"/>
          <w:sz w:val="24"/>
          <w:szCs w:val="24"/>
          <w:lang w:val="en-GB"/>
        </w:rPr>
        <w:t xml:space="preserve">, 29(7), e9–e19. </w:t>
      </w:r>
    </w:p>
    <w:p w14:paraId="366E18DA" w14:textId="77777777" w:rsidR="00EF0239" w:rsidRDefault="00EF0239" w:rsidP="00EF0239">
      <w:pPr>
        <w:pStyle w:val="ListBullet"/>
      </w:pPr>
      <w:r>
        <w:t xml:space="preserve">Huang, E.S., Munshi, M.N. and Lipska, K.J. (2023) ‘Management of diabetes in older adults’, </w:t>
      </w:r>
      <w:r>
        <w:rPr>
          <w:rStyle w:val="Emphasis"/>
        </w:rPr>
        <w:t>The Lancet Healthy Longevity</w:t>
      </w:r>
      <w:r>
        <w:t>, 4(6), pp. e320–e331.</w:t>
      </w:r>
    </w:p>
    <w:p w14:paraId="38BC30F9" w14:textId="77777777" w:rsidR="00EF0239" w:rsidRDefault="00EF0239" w:rsidP="00EF0239">
      <w:pPr>
        <w:pStyle w:val="ListBullet"/>
      </w:pPr>
      <w:r>
        <w:t xml:space="preserve">International Diabetes Federation (2025) </w:t>
      </w:r>
      <w:r>
        <w:rPr>
          <w:rStyle w:val="Emphasis"/>
        </w:rPr>
        <w:t>IDF Diabetes Atlas</w:t>
      </w:r>
      <w:r>
        <w:t xml:space="preserve">. 11th </w:t>
      </w:r>
      <w:proofErr w:type="spellStart"/>
      <w:r>
        <w:t>edn</w:t>
      </w:r>
      <w:proofErr w:type="spellEnd"/>
      <w:r>
        <w:t xml:space="preserve">. </w:t>
      </w:r>
      <w:r>
        <w:lastRenderedPageBreak/>
        <w:t xml:space="preserve">Brussels: International Diabetes Federation. Available at: </w:t>
      </w:r>
      <w:hyperlink r:id="rId24" w:tgtFrame="_new" w:history="1">
        <w:r>
          <w:rPr>
            <w:rStyle w:val="Hyperlink"/>
          </w:rPr>
          <w:t>https://diabetesatlas.org</w:t>
        </w:r>
      </w:hyperlink>
      <w:r>
        <w:t xml:space="preserve"> (Accessed: 28 July 2026).</w:t>
      </w:r>
    </w:p>
    <w:p w14:paraId="26AF88C4" w14:textId="77777777" w:rsidR="00EF0239" w:rsidRDefault="00EF0239" w:rsidP="00EF0239">
      <w:pPr>
        <w:pStyle w:val="ListBullet"/>
      </w:pPr>
      <w:r>
        <w:t xml:space="preserve">King’s Fund (2025) </w:t>
      </w:r>
      <w:r>
        <w:rPr>
          <w:rStyle w:val="Emphasis"/>
        </w:rPr>
        <w:t>Digital Technology and Health Inequalities</w:t>
      </w:r>
      <w:r>
        <w:t xml:space="preserve">. London: The King’s Fund. Available at: </w:t>
      </w:r>
      <w:hyperlink r:id="rId25" w:tgtFrame="_new" w:history="1">
        <w:r>
          <w:rPr>
            <w:rStyle w:val="Hyperlink"/>
          </w:rPr>
          <w:t>https://www.kingsfund.org.uk</w:t>
        </w:r>
      </w:hyperlink>
      <w:r>
        <w:t xml:space="preserve"> (Accessed: 28 July 2026).</w:t>
      </w:r>
    </w:p>
    <w:p w14:paraId="371E858B" w14:textId="77777777" w:rsidR="00EF0239" w:rsidRDefault="00EF0239" w:rsidP="00EF0239">
      <w:pPr>
        <w:pStyle w:val="ListBullet"/>
      </w:pPr>
      <w:proofErr w:type="spellStart"/>
      <w:r>
        <w:t>Liarakos</w:t>
      </w:r>
      <w:proofErr w:type="spellEnd"/>
      <w:r>
        <w:t xml:space="preserve">, K., Boughton, C.K., Allen, J.M., Bally, L. and Hovorka, R. (2025) ‘Clinical outcomes associated with hybrid closed-loop insulin delivery systems: A systematic review’, </w:t>
      </w:r>
      <w:r>
        <w:rPr>
          <w:rStyle w:val="Emphasis"/>
        </w:rPr>
        <w:t>Diabetes Technology &amp; Therapeutics</w:t>
      </w:r>
      <w:r>
        <w:t>, 27(2), pp. 95–108.</w:t>
      </w:r>
    </w:p>
    <w:p w14:paraId="28F60422" w14:textId="77777777" w:rsidR="00EF0239" w:rsidRDefault="00EF0239" w:rsidP="00EF0239">
      <w:pPr>
        <w:pStyle w:val="ListBullet"/>
      </w:pPr>
      <w:r>
        <w:t xml:space="preserve">Maltese, G., Tomic, D., Thomas, N.J. and Hovorka, R. (2024) ‘Healthy ageing with Type 1 diabetes: Emerging challenges and opportunities’, </w:t>
      </w:r>
      <w:r>
        <w:rPr>
          <w:rStyle w:val="Emphasis"/>
        </w:rPr>
        <w:t>Nature Reviews Endocrinology</w:t>
      </w:r>
      <w:r>
        <w:t>, 20(5), pp. 273–287.</w:t>
      </w:r>
    </w:p>
    <w:p w14:paraId="01094FA4" w14:textId="77777777" w:rsidR="00EF0239" w:rsidRPr="00027B06" w:rsidRDefault="00EF0239" w:rsidP="00E92BFE">
      <w:pPr>
        <w:pStyle w:val="ListBullet"/>
        <w:rPr>
          <w:rFonts w:cs="Arial"/>
          <w:sz w:val="24"/>
          <w:szCs w:val="24"/>
          <w:lang w:val="en-GB"/>
        </w:rPr>
      </w:pPr>
      <w:r w:rsidRPr="00027B06">
        <w:rPr>
          <w:rFonts w:cs="Arial"/>
          <w:sz w:val="24"/>
          <w:szCs w:val="24"/>
          <w:lang w:val="en-GB"/>
        </w:rPr>
        <w:t xml:space="preserve">Marmot, M. (2010) </w:t>
      </w:r>
      <w:r w:rsidRPr="00027B06">
        <w:rPr>
          <w:rFonts w:cs="Arial"/>
          <w:i/>
          <w:iCs/>
          <w:sz w:val="24"/>
          <w:szCs w:val="24"/>
          <w:lang w:val="en-GB"/>
        </w:rPr>
        <w:t>Fair Society, Healthy Lives: The Marmot Review</w:t>
      </w:r>
      <w:r w:rsidRPr="00027B06">
        <w:rPr>
          <w:rFonts w:cs="Arial"/>
          <w:sz w:val="24"/>
          <w:szCs w:val="24"/>
          <w:lang w:val="en-GB"/>
        </w:rPr>
        <w:t xml:space="preserve">. London: Institute of Health Equity. </w:t>
      </w:r>
    </w:p>
    <w:p w14:paraId="5D40FE66" w14:textId="77777777" w:rsidR="00EF0239" w:rsidRDefault="00EF0239" w:rsidP="00EF0239">
      <w:pPr>
        <w:pStyle w:val="ListBullet"/>
      </w:pPr>
      <w:r>
        <w:t>McSharry, J., Byrne, M., Casey, B., Dinneen, S.F. and Fredrix, M. (2020) ‘</w:t>
      </w:r>
      <w:proofErr w:type="spellStart"/>
      <w:r>
        <w:t>Behaviour</w:t>
      </w:r>
      <w:proofErr w:type="spellEnd"/>
      <w:r>
        <w:t xml:space="preserve"> </w:t>
      </w:r>
      <w:proofErr w:type="gramStart"/>
      <w:r>
        <w:t>change</w:t>
      </w:r>
      <w:proofErr w:type="gramEnd"/>
      <w:r>
        <w:t xml:space="preserve"> in diabetes self-management: A review of Social Cognitive Theory applications’, </w:t>
      </w:r>
      <w:r>
        <w:rPr>
          <w:rStyle w:val="Emphasis"/>
        </w:rPr>
        <w:t>Psychology &amp; Health</w:t>
      </w:r>
      <w:r>
        <w:t>, 35(9), pp. 1059–1081.</w:t>
      </w:r>
    </w:p>
    <w:p w14:paraId="216C7543" w14:textId="77777777" w:rsidR="00EF0239" w:rsidRDefault="00EF0239" w:rsidP="00EF0239">
      <w:pPr>
        <w:pStyle w:val="ListBullet"/>
      </w:pPr>
      <w:r>
        <w:t xml:space="preserve">Moody, L., Boughton, C.K., Allen, J.M. and Hovorka, R. (2022) ‘Older adults with Type 1 diabetes: Barriers and facilitators to diabetes technology use’, </w:t>
      </w:r>
      <w:r>
        <w:rPr>
          <w:rStyle w:val="Emphasis"/>
        </w:rPr>
        <w:t>Diabetic Medicine</w:t>
      </w:r>
      <w:r>
        <w:t>, 39(10), e14922.</w:t>
      </w:r>
    </w:p>
    <w:p w14:paraId="58DB40FD" w14:textId="77777777" w:rsidR="00EF0239" w:rsidRDefault="00EF0239" w:rsidP="00EF0239">
      <w:pPr>
        <w:pStyle w:val="ListBullet"/>
      </w:pPr>
      <w:r>
        <w:t xml:space="preserve">National Institute for Health and Care Excellence (NICE) (2022) </w:t>
      </w:r>
      <w:r>
        <w:rPr>
          <w:rStyle w:val="Emphasis"/>
        </w:rPr>
        <w:t>Type 1 diabetes in adults: Diagnosis and management (NG17)</w:t>
      </w:r>
      <w:r>
        <w:t xml:space="preserve">. London: NICE. Available at: </w:t>
      </w:r>
      <w:hyperlink r:id="rId26" w:tgtFrame="_new" w:history="1">
        <w:r>
          <w:rPr>
            <w:rStyle w:val="Hyperlink"/>
          </w:rPr>
          <w:t>https://www.nice.org.uk/guidance/ng17</w:t>
        </w:r>
      </w:hyperlink>
      <w:r>
        <w:t xml:space="preserve"> (Accessed: 28 July 2026).</w:t>
      </w:r>
    </w:p>
    <w:p w14:paraId="6E5905D8" w14:textId="77777777" w:rsidR="00EF0239" w:rsidRDefault="00EF0239" w:rsidP="00EF0239">
      <w:pPr>
        <w:pStyle w:val="ListBullet"/>
      </w:pPr>
      <w:r>
        <w:t xml:space="preserve">National Institute for Health and Care Excellence (NICE) (2023) </w:t>
      </w:r>
      <w:r>
        <w:rPr>
          <w:rStyle w:val="Emphasis"/>
        </w:rPr>
        <w:t>Hybrid Closed Loop Systems for Managing Blood Glucose Levels in Type 1 Diabetes (Technology Appraisal Guidance TA943)</w:t>
      </w:r>
      <w:r>
        <w:t xml:space="preserve">. London: NICE. Available at: </w:t>
      </w:r>
      <w:hyperlink r:id="rId27" w:tgtFrame="_new" w:history="1">
        <w:r>
          <w:rPr>
            <w:rStyle w:val="Hyperlink"/>
          </w:rPr>
          <w:t>https://www.nice.org.uk/guidance/ta943</w:t>
        </w:r>
      </w:hyperlink>
      <w:r>
        <w:t xml:space="preserve"> (Accessed: 28 July 2026).</w:t>
      </w:r>
    </w:p>
    <w:p w14:paraId="68422ACC" w14:textId="77777777" w:rsidR="00EF0239" w:rsidRDefault="00EF0239" w:rsidP="00EF0239">
      <w:pPr>
        <w:pStyle w:val="ListBullet"/>
      </w:pPr>
      <w:r>
        <w:t xml:space="preserve">NHS England (2024) </w:t>
      </w:r>
      <w:r>
        <w:rPr>
          <w:rStyle w:val="Emphasis"/>
        </w:rPr>
        <w:t>Hybrid Closed Loop Systems Rollout for People with Type 1 Diabetes</w:t>
      </w:r>
      <w:r>
        <w:t xml:space="preserve">. Available at: </w:t>
      </w:r>
      <w:hyperlink r:id="rId28" w:tgtFrame="_new" w:history="1">
        <w:r>
          <w:rPr>
            <w:rStyle w:val="Hyperlink"/>
          </w:rPr>
          <w:t>https://www.england.nhs.uk</w:t>
        </w:r>
      </w:hyperlink>
      <w:r>
        <w:t xml:space="preserve"> (Accessed: 28 July 2026).</w:t>
      </w:r>
    </w:p>
    <w:p w14:paraId="4D70D3B6" w14:textId="77777777" w:rsidR="00EF0239" w:rsidRDefault="00EF0239" w:rsidP="00EF0239">
      <w:pPr>
        <w:pStyle w:val="ListBullet"/>
      </w:pPr>
      <w:r>
        <w:t xml:space="preserve">NHS England (2025) </w:t>
      </w:r>
      <w:r>
        <w:rPr>
          <w:rStyle w:val="Emphasis"/>
        </w:rPr>
        <w:t>Framework for NHS Action on Digital Inclusion</w:t>
      </w:r>
      <w:r>
        <w:t xml:space="preserve">. Available at: </w:t>
      </w:r>
      <w:hyperlink r:id="rId29" w:tgtFrame="_new" w:history="1">
        <w:r>
          <w:rPr>
            <w:rStyle w:val="Hyperlink"/>
          </w:rPr>
          <w:t>https://www.england.nhs.uk</w:t>
        </w:r>
      </w:hyperlink>
      <w:r>
        <w:t xml:space="preserve"> (Accessed: 28 July 2026).</w:t>
      </w:r>
    </w:p>
    <w:p w14:paraId="7C76D3C4" w14:textId="77777777" w:rsidR="00EF0239" w:rsidRPr="00027B06" w:rsidRDefault="00EF0239" w:rsidP="00E92BFE">
      <w:pPr>
        <w:pStyle w:val="ListBullet"/>
        <w:rPr>
          <w:rFonts w:cs="Arial"/>
          <w:sz w:val="24"/>
          <w:szCs w:val="24"/>
          <w:lang w:val="en-GB"/>
        </w:rPr>
      </w:pPr>
      <w:r w:rsidRPr="00027B06">
        <w:rPr>
          <w:rFonts w:cs="Arial"/>
          <w:sz w:val="24"/>
          <w:szCs w:val="24"/>
          <w:lang w:val="en-GB"/>
        </w:rPr>
        <w:t xml:space="preserve">NICE (2022) </w:t>
      </w:r>
      <w:r w:rsidRPr="00027B06">
        <w:rPr>
          <w:rFonts w:cs="Arial"/>
          <w:i/>
          <w:iCs/>
          <w:sz w:val="24"/>
          <w:szCs w:val="24"/>
          <w:lang w:val="en-GB"/>
        </w:rPr>
        <w:t>Type 1 Diabetes in Adults: Diagnosis and Management (NG17).</w:t>
      </w:r>
      <w:r w:rsidRPr="00027B06">
        <w:rPr>
          <w:rFonts w:cs="Arial"/>
          <w:sz w:val="24"/>
          <w:szCs w:val="24"/>
          <w:lang w:val="en-GB"/>
        </w:rPr>
        <w:t xml:space="preserve"> London: National Institute for Health and Care Excellence. </w:t>
      </w:r>
    </w:p>
    <w:p w14:paraId="75A7008F" w14:textId="77777777" w:rsidR="00EF0239" w:rsidRPr="00027B06" w:rsidRDefault="00EF0239" w:rsidP="00E92BFE">
      <w:pPr>
        <w:pStyle w:val="ListBullet"/>
        <w:rPr>
          <w:rFonts w:cs="Arial"/>
          <w:sz w:val="24"/>
          <w:szCs w:val="24"/>
          <w:lang w:val="en-GB"/>
        </w:rPr>
      </w:pPr>
      <w:r w:rsidRPr="00027B06">
        <w:rPr>
          <w:rFonts w:cs="Arial"/>
          <w:sz w:val="24"/>
          <w:szCs w:val="24"/>
          <w:lang w:val="en-GB"/>
        </w:rPr>
        <w:t xml:space="preserve">Rosenstock, I.M. (1974) 'The Health Belief Model and preventive health behaviour', </w:t>
      </w:r>
      <w:r w:rsidRPr="00027B06">
        <w:rPr>
          <w:rFonts w:cs="Arial"/>
          <w:i/>
          <w:iCs/>
          <w:sz w:val="24"/>
          <w:szCs w:val="24"/>
          <w:lang w:val="en-GB"/>
        </w:rPr>
        <w:t>Health Education Monographs</w:t>
      </w:r>
      <w:r w:rsidRPr="00027B06">
        <w:rPr>
          <w:rFonts w:cs="Arial"/>
          <w:sz w:val="24"/>
          <w:szCs w:val="24"/>
          <w:lang w:val="en-GB"/>
        </w:rPr>
        <w:t xml:space="preserve">, 2(4), pp. 354–386. </w:t>
      </w:r>
    </w:p>
    <w:p w14:paraId="22CD5F9E" w14:textId="77777777" w:rsidR="00EF0239" w:rsidRPr="00027B06" w:rsidRDefault="00EF0239" w:rsidP="00E92BFE">
      <w:pPr>
        <w:pStyle w:val="ListBullet"/>
        <w:rPr>
          <w:rFonts w:cs="Arial"/>
          <w:sz w:val="24"/>
          <w:szCs w:val="24"/>
          <w:lang w:val="en-GB"/>
        </w:rPr>
      </w:pPr>
      <w:r w:rsidRPr="00027B06">
        <w:rPr>
          <w:rFonts w:cs="Arial"/>
          <w:sz w:val="24"/>
          <w:szCs w:val="24"/>
          <w:lang w:val="en-GB"/>
        </w:rPr>
        <w:t xml:space="preserve">Seidu, S. et al. (2024) 'Continuous glucose monitoring and diabetes outcomes: An updated review', </w:t>
      </w:r>
      <w:r w:rsidRPr="00027B06">
        <w:rPr>
          <w:rFonts w:cs="Arial"/>
          <w:i/>
          <w:iCs/>
          <w:sz w:val="24"/>
          <w:szCs w:val="24"/>
          <w:lang w:val="en-GB"/>
        </w:rPr>
        <w:t>Diabetes Therapy</w:t>
      </w:r>
      <w:r w:rsidRPr="00027B06">
        <w:rPr>
          <w:rFonts w:cs="Arial"/>
          <w:sz w:val="24"/>
          <w:szCs w:val="24"/>
          <w:lang w:val="en-GB"/>
        </w:rPr>
        <w:t xml:space="preserve">. </w:t>
      </w:r>
    </w:p>
    <w:p w14:paraId="3BD9F901" w14:textId="77777777" w:rsidR="00EF0239" w:rsidRDefault="00EF0239" w:rsidP="00EF0239">
      <w:pPr>
        <w:pStyle w:val="ListBullet"/>
      </w:pPr>
      <w:r>
        <w:t xml:space="preserve">Sherr, J.L., Boughton, C.K., Kovatchev, B.P., Buckingham, B.A. and Hovorka, R. (2022) ‘Artificial pancreas and hybrid closed-loop systems for Type 1 diabetes’, </w:t>
      </w:r>
      <w:r>
        <w:rPr>
          <w:rStyle w:val="Emphasis"/>
        </w:rPr>
        <w:t>Nature Reviews Endocrinology</w:t>
      </w:r>
      <w:r>
        <w:t>, 18(8), pp. 495–507.</w:t>
      </w:r>
    </w:p>
    <w:p w14:paraId="34327594" w14:textId="77777777" w:rsidR="00EF0239" w:rsidRDefault="00EF0239" w:rsidP="00EF0239">
      <w:pPr>
        <w:pStyle w:val="ListBullet"/>
      </w:pPr>
      <w:r>
        <w:lastRenderedPageBreak/>
        <w:t>Thomas, N.J., Tomic, D., Boughton, C.K. and Hovorka, R. (</w:t>
      </w:r>
      <w:proofErr w:type="gramStart"/>
      <w:r>
        <w:t>2024) ‘</w:t>
      </w:r>
      <w:proofErr w:type="gramEnd"/>
      <w:r>
        <w:t xml:space="preserve">Digital health technologies and ageing with Type 1 diabetes: Opportunities and challenges’, </w:t>
      </w:r>
      <w:r>
        <w:rPr>
          <w:rStyle w:val="Emphasis"/>
        </w:rPr>
        <w:t>Diabetic Medicine</w:t>
      </w:r>
      <w:r>
        <w:t>, 41(4), e15284.</w:t>
      </w:r>
    </w:p>
    <w:p w14:paraId="0ED57CEB" w14:textId="77777777" w:rsidR="00EF0239" w:rsidRDefault="00EF0239" w:rsidP="00EF0239">
      <w:pPr>
        <w:pStyle w:val="ListBullet"/>
      </w:pPr>
      <w:r>
        <w:t xml:space="preserve">Tomic, D., Maltese, G., Thomas, N.J., Boughton, C.K. and Hovorka, R. (2025) ‘Ageing with Type 1 diabetes: Epidemiology, technology and future care’, </w:t>
      </w:r>
      <w:r>
        <w:rPr>
          <w:rStyle w:val="Emphasis"/>
        </w:rPr>
        <w:t>The Lancet Diabetes &amp; Endocrinology</w:t>
      </w:r>
      <w:r>
        <w:t>, 13(1), pp. 25–38.</w:t>
      </w:r>
    </w:p>
    <w:p w14:paraId="2F260828" w14:textId="77777777" w:rsidR="00EF0239" w:rsidRDefault="00EF0239" w:rsidP="00EF0239">
      <w:pPr>
        <w:pStyle w:val="ListBullet"/>
      </w:pPr>
      <w:proofErr w:type="spellStart"/>
      <w:r>
        <w:t>Wildenbos</w:t>
      </w:r>
      <w:proofErr w:type="spellEnd"/>
      <w:r>
        <w:t xml:space="preserve">, G.A., </w:t>
      </w:r>
      <w:proofErr w:type="spellStart"/>
      <w:r>
        <w:t>Peute</w:t>
      </w:r>
      <w:proofErr w:type="spellEnd"/>
      <w:r>
        <w:t xml:space="preserve">, L., Jaspers, M., van Bon, A.C. and Blanson </w:t>
      </w:r>
      <w:proofErr w:type="spellStart"/>
      <w:r>
        <w:t>Henkemans</w:t>
      </w:r>
      <w:proofErr w:type="spellEnd"/>
      <w:r>
        <w:t>, O.A. (</w:t>
      </w:r>
      <w:proofErr w:type="gramStart"/>
      <w:r>
        <w:t>2018) ‘</w:t>
      </w:r>
      <w:proofErr w:type="gramEnd"/>
      <w:r>
        <w:t xml:space="preserve">Barriers and facilitators of diabetes technology use in older adults: A systematic review’, </w:t>
      </w:r>
      <w:r>
        <w:rPr>
          <w:rStyle w:val="Emphasis"/>
        </w:rPr>
        <w:t>JMIR Diabetes</w:t>
      </w:r>
      <w:r>
        <w:t>, 3(1), e10923.</w:t>
      </w:r>
    </w:p>
    <w:p w14:paraId="6113B6A1" w14:textId="77777777" w:rsidR="00EF0239" w:rsidRDefault="00EF0239" w:rsidP="00B72287">
      <w:pPr>
        <w:pStyle w:val="ListBullet"/>
        <w:rPr>
          <w:rFonts w:cs="Arial"/>
          <w:sz w:val="24"/>
          <w:szCs w:val="24"/>
          <w:lang w:val="en-GB"/>
        </w:rPr>
      </w:pPr>
      <w:r w:rsidRPr="00027B06">
        <w:rPr>
          <w:rFonts w:cs="Arial"/>
          <w:sz w:val="24"/>
          <w:szCs w:val="24"/>
          <w:lang w:val="en-GB"/>
        </w:rPr>
        <w:t xml:space="preserve">World Health </w:t>
      </w:r>
      <w:r>
        <w:rPr>
          <w:rFonts w:cs="Arial"/>
          <w:sz w:val="24"/>
          <w:szCs w:val="24"/>
          <w:lang w:val="en-GB"/>
        </w:rPr>
        <w:t>Organisation</w:t>
      </w:r>
      <w:r w:rsidRPr="00027B06">
        <w:rPr>
          <w:rFonts w:cs="Arial"/>
          <w:sz w:val="24"/>
          <w:szCs w:val="24"/>
          <w:lang w:val="en-GB"/>
        </w:rPr>
        <w:t xml:space="preserve"> (1986) </w:t>
      </w:r>
      <w:r w:rsidRPr="00027B06">
        <w:rPr>
          <w:rFonts w:cs="Arial"/>
          <w:i/>
          <w:iCs/>
          <w:sz w:val="24"/>
          <w:szCs w:val="24"/>
          <w:lang w:val="en-GB"/>
        </w:rPr>
        <w:t>Ottawa Charter for Health Promotion</w:t>
      </w:r>
      <w:r w:rsidRPr="00027B06">
        <w:rPr>
          <w:rFonts w:cs="Arial"/>
          <w:sz w:val="24"/>
          <w:szCs w:val="24"/>
          <w:lang w:val="en-GB"/>
        </w:rPr>
        <w:t xml:space="preserve">. Geneva: WHO. </w:t>
      </w:r>
    </w:p>
    <w:p w14:paraId="4C521EFF" w14:textId="77777777" w:rsidR="00EF0239" w:rsidRDefault="00EF0239" w:rsidP="00EF0239">
      <w:pPr>
        <w:pStyle w:val="ListBullet"/>
      </w:pPr>
      <w:r>
        <w:t xml:space="preserve">World Health Organization (1986) </w:t>
      </w:r>
      <w:r>
        <w:rPr>
          <w:rStyle w:val="Emphasis"/>
        </w:rPr>
        <w:t>Ottawa Charter for Health Promotion</w:t>
      </w:r>
      <w:r>
        <w:t xml:space="preserve">. Geneva: World Health Organization. Available at: </w:t>
      </w:r>
      <w:hyperlink r:id="rId30" w:tgtFrame="_new" w:history="1">
        <w:r>
          <w:rPr>
            <w:rStyle w:val="Hyperlink"/>
          </w:rPr>
          <w:t>https://www.who.int</w:t>
        </w:r>
      </w:hyperlink>
      <w:r>
        <w:t xml:space="preserve"> (Accessed: 28 July 2026).</w:t>
      </w:r>
    </w:p>
    <w:p w14:paraId="057BF4AE" w14:textId="77777777" w:rsidR="00EF0239" w:rsidRDefault="00EF0239" w:rsidP="00EF0239">
      <w:pPr>
        <w:pStyle w:val="ListBullet"/>
      </w:pPr>
      <w:r>
        <w:t xml:space="preserve">World Health Organization (2025) </w:t>
      </w:r>
      <w:r>
        <w:rPr>
          <w:rStyle w:val="Emphasis"/>
        </w:rPr>
        <w:t>Health Promotion</w:t>
      </w:r>
      <w:r>
        <w:t>. Available at: https://www.who.int/news-room/fact-sheets/detail/health-promotion (Accessed: 28 July 2026).</w:t>
      </w:r>
    </w:p>
    <w:sectPr w:rsidR="00EF0239" w:rsidSect="00B60148">
      <w:type w:val="continuous"/>
      <w:pgSz w:w="12240" w:h="15840"/>
      <w:pgMar w:top="1440" w:right="1800" w:bottom="1440" w:left="1800" w:header="720" w:footer="720" w:gutter="0"/>
      <w:cols w:num="2"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368575" w14:textId="77777777" w:rsidR="005679FE" w:rsidRDefault="005679FE" w:rsidP="00FB2F19">
      <w:pPr>
        <w:spacing w:after="0" w:line="240" w:lineRule="auto"/>
      </w:pPr>
      <w:r>
        <w:separator/>
      </w:r>
    </w:p>
  </w:endnote>
  <w:endnote w:type="continuationSeparator" w:id="0">
    <w:p w14:paraId="71FDAA35" w14:textId="77777777" w:rsidR="005679FE" w:rsidRDefault="005679FE" w:rsidP="00FB2F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pitch w:val="fixed"/>
    <w:sig w:usb0="00000003" w:usb1="00000000" w:usb2="00000000" w:usb3="00000000" w:csb0="00000001" w:csb1="00000000"/>
  </w:font>
  <w:font w:name="Segoe UI Emoji">
    <w:panose1 w:val="020B0502040204020203"/>
    <w:charset w:val="00"/>
    <w:family w:val="swiss"/>
    <w:pitch w:val="variable"/>
    <w:sig w:usb0="00000003" w:usb1="02000000" w:usb2="08000000" w:usb3="00000000" w:csb0="00000001"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54A630" w14:textId="77777777" w:rsidR="005679FE" w:rsidRDefault="005679FE" w:rsidP="00FB2F19">
      <w:pPr>
        <w:spacing w:after="0" w:line="240" w:lineRule="auto"/>
      </w:pPr>
      <w:r>
        <w:separator/>
      </w:r>
    </w:p>
  </w:footnote>
  <w:footnote w:type="continuationSeparator" w:id="0">
    <w:p w14:paraId="798D66EA" w14:textId="77777777" w:rsidR="005679FE" w:rsidRDefault="005679FE" w:rsidP="00FB2F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AB42854C"/>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86D7EFC"/>
    <w:multiLevelType w:val="hybridMultilevel"/>
    <w:tmpl w:val="028E77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EC452F4"/>
    <w:multiLevelType w:val="multilevel"/>
    <w:tmpl w:val="21787B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22575BD"/>
    <w:multiLevelType w:val="hybridMultilevel"/>
    <w:tmpl w:val="2A06A34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3923208C"/>
    <w:multiLevelType w:val="hybridMultilevel"/>
    <w:tmpl w:val="CAB63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426264D"/>
    <w:multiLevelType w:val="hybridMultilevel"/>
    <w:tmpl w:val="0BECB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1D479E1"/>
    <w:multiLevelType w:val="multilevel"/>
    <w:tmpl w:val="E02EC2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3EE1AEC"/>
    <w:multiLevelType w:val="hybridMultilevel"/>
    <w:tmpl w:val="FDC866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53F1FF2"/>
    <w:multiLevelType w:val="hybridMultilevel"/>
    <w:tmpl w:val="9F667C5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6D2568B1"/>
    <w:multiLevelType w:val="hybridMultilevel"/>
    <w:tmpl w:val="55D2BCB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143931715">
    <w:abstractNumId w:val="8"/>
  </w:num>
  <w:num w:numId="2" w16cid:durableId="1594585388">
    <w:abstractNumId w:val="6"/>
  </w:num>
  <w:num w:numId="3" w16cid:durableId="1571305859">
    <w:abstractNumId w:val="5"/>
  </w:num>
  <w:num w:numId="4" w16cid:durableId="1944804208">
    <w:abstractNumId w:val="4"/>
  </w:num>
  <w:num w:numId="5" w16cid:durableId="102072296">
    <w:abstractNumId w:val="7"/>
  </w:num>
  <w:num w:numId="6" w16cid:durableId="1466268596">
    <w:abstractNumId w:val="3"/>
  </w:num>
  <w:num w:numId="7" w16cid:durableId="1791515236">
    <w:abstractNumId w:val="2"/>
  </w:num>
  <w:num w:numId="8" w16cid:durableId="168717541">
    <w:abstractNumId w:val="1"/>
  </w:num>
  <w:num w:numId="9" w16cid:durableId="1131825829">
    <w:abstractNumId w:val="0"/>
  </w:num>
  <w:num w:numId="10" w16cid:durableId="2070303482">
    <w:abstractNumId w:val="14"/>
  </w:num>
  <w:num w:numId="11" w16cid:durableId="53504238">
    <w:abstractNumId w:val="12"/>
  </w:num>
  <w:num w:numId="12" w16cid:durableId="396318161">
    <w:abstractNumId w:val="9"/>
  </w:num>
  <w:num w:numId="13" w16cid:durableId="608659350">
    <w:abstractNumId w:val="11"/>
  </w:num>
  <w:num w:numId="14" w16cid:durableId="87048402">
    <w:abstractNumId w:val="17"/>
  </w:num>
  <w:num w:numId="15" w16cid:durableId="1579096561">
    <w:abstractNumId w:val="10"/>
  </w:num>
  <w:num w:numId="16" w16cid:durableId="1903715909">
    <w:abstractNumId w:val="13"/>
  </w:num>
  <w:num w:numId="17" w16cid:durableId="1267082040">
    <w:abstractNumId w:val="15"/>
  </w:num>
  <w:num w:numId="18" w16cid:durableId="63132519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1228D"/>
    <w:rsid w:val="00025AC5"/>
    <w:rsid w:val="00027B06"/>
    <w:rsid w:val="0003039A"/>
    <w:rsid w:val="00034616"/>
    <w:rsid w:val="00034D4D"/>
    <w:rsid w:val="00051610"/>
    <w:rsid w:val="00056574"/>
    <w:rsid w:val="0006063C"/>
    <w:rsid w:val="00080E8A"/>
    <w:rsid w:val="00086BCF"/>
    <w:rsid w:val="000A20D7"/>
    <w:rsid w:val="000B09F6"/>
    <w:rsid w:val="000C30D6"/>
    <w:rsid w:val="000E2049"/>
    <w:rsid w:val="00102CBE"/>
    <w:rsid w:val="00103F00"/>
    <w:rsid w:val="001151C0"/>
    <w:rsid w:val="0012211E"/>
    <w:rsid w:val="00122E2D"/>
    <w:rsid w:val="0015074B"/>
    <w:rsid w:val="001774C0"/>
    <w:rsid w:val="0018045F"/>
    <w:rsid w:val="00182400"/>
    <w:rsid w:val="001848C2"/>
    <w:rsid w:val="001A0259"/>
    <w:rsid w:val="001A18AB"/>
    <w:rsid w:val="001A4D14"/>
    <w:rsid w:val="001A5B59"/>
    <w:rsid w:val="001B4302"/>
    <w:rsid w:val="001C402E"/>
    <w:rsid w:val="001C5403"/>
    <w:rsid w:val="001F519D"/>
    <w:rsid w:val="00213A9C"/>
    <w:rsid w:val="0021680A"/>
    <w:rsid w:val="00224D38"/>
    <w:rsid w:val="00250706"/>
    <w:rsid w:val="00271650"/>
    <w:rsid w:val="0029025F"/>
    <w:rsid w:val="00292165"/>
    <w:rsid w:val="0029505C"/>
    <w:rsid w:val="0029639D"/>
    <w:rsid w:val="002A41EF"/>
    <w:rsid w:val="002C653A"/>
    <w:rsid w:val="002D0E2A"/>
    <w:rsid w:val="002E1ECF"/>
    <w:rsid w:val="00301C28"/>
    <w:rsid w:val="00326F90"/>
    <w:rsid w:val="003310F2"/>
    <w:rsid w:val="0033735E"/>
    <w:rsid w:val="003546AF"/>
    <w:rsid w:val="00376567"/>
    <w:rsid w:val="003820D4"/>
    <w:rsid w:val="003857E0"/>
    <w:rsid w:val="00392E2D"/>
    <w:rsid w:val="00393CEE"/>
    <w:rsid w:val="003B482B"/>
    <w:rsid w:val="003C493E"/>
    <w:rsid w:val="003D67D9"/>
    <w:rsid w:val="003F6E20"/>
    <w:rsid w:val="0040042F"/>
    <w:rsid w:val="00404D96"/>
    <w:rsid w:val="00413D42"/>
    <w:rsid w:val="00426B1A"/>
    <w:rsid w:val="0043544E"/>
    <w:rsid w:val="00446628"/>
    <w:rsid w:val="00473EDD"/>
    <w:rsid w:val="004765F6"/>
    <w:rsid w:val="004A4128"/>
    <w:rsid w:val="004B1820"/>
    <w:rsid w:val="004B4AE0"/>
    <w:rsid w:val="004B4E1B"/>
    <w:rsid w:val="004C3CE3"/>
    <w:rsid w:val="004E41B9"/>
    <w:rsid w:val="004E7F51"/>
    <w:rsid w:val="004F4645"/>
    <w:rsid w:val="00540156"/>
    <w:rsid w:val="005458FD"/>
    <w:rsid w:val="00555DFB"/>
    <w:rsid w:val="0056431B"/>
    <w:rsid w:val="005679FE"/>
    <w:rsid w:val="00572CCE"/>
    <w:rsid w:val="00573FEF"/>
    <w:rsid w:val="00585B0C"/>
    <w:rsid w:val="005918E4"/>
    <w:rsid w:val="005A170C"/>
    <w:rsid w:val="005A2E54"/>
    <w:rsid w:val="005A6687"/>
    <w:rsid w:val="005A7B8C"/>
    <w:rsid w:val="005D2AE2"/>
    <w:rsid w:val="005E3C6A"/>
    <w:rsid w:val="005F1724"/>
    <w:rsid w:val="005F4845"/>
    <w:rsid w:val="00625FB2"/>
    <w:rsid w:val="00644B94"/>
    <w:rsid w:val="00645F0F"/>
    <w:rsid w:val="006641CF"/>
    <w:rsid w:val="006645C6"/>
    <w:rsid w:val="0066568D"/>
    <w:rsid w:val="00695961"/>
    <w:rsid w:val="006A587D"/>
    <w:rsid w:val="006C1FD5"/>
    <w:rsid w:val="006D4535"/>
    <w:rsid w:val="00706BAB"/>
    <w:rsid w:val="00716757"/>
    <w:rsid w:val="007348EC"/>
    <w:rsid w:val="0073551E"/>
    <w:rsid w:val="00764423"/>
    <w:rsid w:val="00776708"/>
    <w:rsid w:val="007800CB"/>
    <w:rsid w:val="00794A50"/>
    <w:rsid w:val="007A271A"/>
    <w:rsid w:val="007C03E2"/>
    <w:rsid w:val="007C1574"/>
    <w:rsid w:val="007D0D11"/>
    <w:rsid w:val="007E0DAD"/>
    <w:rsid w:val="007F5A3C"/>
    <w:rsid w:val="00815085"/>
    <w:rsid w:val="00820BC0"/>
    <w:rsid w:val="00830701"/>
    <w:rsid w:val="00855E15"/>
    <w:rsid w:val="008575AE"/>
    <w:rsid w:val="00864155"/>
    <w:rsid w:val="0086572B"/>
    <w:rsid w:val="00870F55"/>
    <w:rsid w:val="008A32A5"/>
    <w:rsid w:val="008B30A0"/>
    <w:rsid w:val="008B620D"/>
    <w:rsid w:val="008C47DA"/>
    <w:rsid w:val="00910AC6"/>
    <w:rsid w:val="0093518F"/>
    <w:rsid w:val="00937963"/>
    <w:rsid w:val="00955F8E"/>
    <w:rsid w:val="00963713"/>
    <w:rsid w:val="00967444"/>
    <w:rsid w:val="00970C2B"/>
    <w:rsid w:val="0097267F"/>
    <w:rsid w:val="00974931"/>
    <w:rsid w:val="00990B4D"/>
    <w:rsid w:val="009966DF"/>
    <w:rsid w:val="00996F57"/>
    <w:rsid w:val="009A42CD"/>
    <w:rsid w:val="009A5FE1"/>
    <w:rsid w:val="009B6503"/>
    <w:rsid w:val="009B6F46"/>
    <w:rsid w:val="009B7021"/>
    <w:rsid w:val="009D17E7"/>
    <w:rsid w:val="009D4784"/>
    <w:rsid w:val="009E1D20"/>
    <w:rsid w:val="009E38EE"/>
    <w:rsid w:val="009F2528"/>
    <w:rsid w:val="00A1186F"/>
    <w:rsid w:val="00A15565"/>
    <w:rsid w:val="00A233B4"/>
    <w:rsid w:val="00A273A9"/>
    <w:rsid w:val="00A3775F"/>
    <w:rsid w:val="00A40578"/>
    <w:rsid w:val="00A42825"/>
    <w:rsid w:val="00A90A8B"/>
    <w:rsid w:val="00AA1D8D"/>
    <w:rsid w:val="00AA7C15"/>
    <w:rsid w:val="00AC07FD"/>
    <w:rsid w:val="00AC6719"/>
    <w:rsid w:val="00AD5C07"/>
    <w:rsid w:val="00AE0389"/>
    <w:rsid w:val="00AF53E4"/>
    <w:rsid w:val="00B15A14"/>
    <w:rsid w:val="00B3243E"/>
    <w:rsid w:val="00B35827"/>
    <w:rsid w:val="00B43805"/>
    <w:rsid w:val="00B471BD"/>
    <w:rsid w:val="00B47730"/>
    <w:rsid w:val="00B563E1"/>
    <w:rsid w:val="00B60148"/>
    <w:rsid w:val="00B702FD"/>
    <w:rsid w:val="00B72287"/>
    <w:rsid w:val="00B827D6"/>
    <w:rsid w:val="00BC1A8B"/>
    <w:rsid w:val="00BD700B"/>
    <w:rsid w:val="00C11DBC"/>
    <w:rsid w:val="00C12053"/>
    <w:rsid w:val="00C21CF0"/>
    <w:rsid w:val="00C26AC1"/>
    <w:rsid w:val="00C31089"/>
    <w:rsid w:val="00C32B8E"/>
    <w:rsid w:val="00C33B97"/>
    <w:rsid w:val="00C514DF"/>
    <w:rsid w:val="00C84653"/>
    <w:rsid w:val="00C94258"/>
    <w:rsid w:val="00CA008A"/>
    <w:rsid w:val="00CA06E3"/>
    <w:rsid w:val="00CA4F70"/>
    <w:rsid w:val="00CB0664"/>
    <w:rsid w:val="00CE38B9"/>
    <w:rsid w:val="00CE5CF0"/>
    <w:rsid w:val="00CF0163"/>
    <w:rsid w:val="00CF3185"/>
    <w:rsid w:val="00D1179F"/>
    <w:rsid w:val="00D1273D"/>
    <w:rsid w:val="00D63DD0"/>
    <w:rsid w:val="00D6454A"/>
    <w:rsid w:val="00D671BB"/>
    <w:rsid w:val="00D84991"/>
    <w:rsid w:val="00DB1710"/>
    <w:rsid w:val="00DC3145"/>
    <w:rsid w:val="00DC4736"/>
    <w:rsid w:val="00DE0AE8"/>
    <w:rsid w:val="00DE3C48"/>
    <w:rsid w:val="00E0079E"/>
    <w:rsid w:val="00E009A1"/>
    <w:rsid w:val="00E04942"/>
    <w:rsid w:val="00E2604A"/>
    <w:rsid w:val="00E42ACB"/>
    <w:rsid w:val="00E92BFE"/>
    <w:rsid w:val="00EA6E18"/>
    <w:rsid w:val="00EB18BD"/>
    <w:rsid w:val="00EE632B"/>
    <w:rsid w:val="00EF0239"/>
    <w:rsid w:val="00F058E0"/>
    <w:rsid w:val="00F16982"/>
    <w:rsid w:val="00F40C44"/>
    <w:rsid w:val="00F41110"/>
    <w:rsid w:val="00F414EA"/>
    <w:rsid w:val="00F7694D"/>
    <w:rsid w:val="00F82CAC"/>
    <w:rsid w:val="00F9217A"/>
    <w:rsid w:val="00FA06D7"/>
    <w:rsid w:val="00FA1CBF"/>
    <w:rsid w:val="00FB2F19"/>
    <w:rsid w:val="00FC693F"/>
    <w:rsid w:val="00FF1305"/>
    <w:rsid w:val="4F1492BB"/>
    <w:rsid w:val="4F76E6A5"/>
    <w:rsid w:val="5B76A02F"/>
    <w:rsid w:val="5CE9E3D7"/>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18BD6E84"/>
  <w14:defaultImageDpi w14:val="300"/>
  <w15:docId w15:val="{5EE8A556-92CE-4BDD-812B-AECE5DFD67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eastAsia="Arial" w:hAnsi="Arial"/>
      <w:sz w:val="21"/>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3F6E20"/>
    <w:rPr>
      <w:color w:val="0000FF" w:themeColor="hyperlink"/>
      <w:u w:val="single"/>
    </w:rPr>
  </w:style>
  <w:style w:type="character" w:styleId="UnresolvedMention">
    <w:name w:val="Unresolved Mention"/>
    <w:basedOn w:val="DefaultParagraphFont"/>
    <w:uiPriority w:val="99"/>
    <w:semiHidden/>
    <w:unhideWhenUsed/>
    <w:rsid w:val="003F6E20"/>
    <w:rPr>
      <w:color w:val="605E5C"/>
      <w:shd w:val="clear" w:color="auto" w:fill="E1DFDD"/>
    </w:rPr>
  </w:style>
  <w:style w:type="character" w:styleId="FollowedHyperlink">
    <w:name w:val="FollowedHyperlink"/>
    <w:basedOn w:val="DefaultParagraphFont"/>
    <w:uiPriority w:val="99"/>
    <w:semiHidden/>
    <w:unhideWhenUsed/>
    <w:rsid w:val="003F6E20"/>
    <w:rPr>
      <w:color w:val="800080" w:themeColor="followedHyperlink"/>
      <w:u w:val="single"/>
    </w:rPr>
  </w:style>
  <w:style w:type="paragraph" w:styleId="NormalWeb">
    <w:name w:val="Normal (Web)"/>
    <w:basedOn w:val="Normal"/>
    <w:uiPriority w:val="99"/>
    <w:semiHidden/>
    <w:unhideWhenUsed/>
    <w:rsid w:val="00FF1305"/>
    <w:rPr>
      <w:rFonts w:ascii="Times New Roman" w:hAnsi="Times New Roman" w:cs="Times New Roman"/>
      <w:sz w:val="24"/>
      <w:szCs w:val="24"/>
    </w:rPr>
  </w:style>
  <w:style w:type="table" w:styleId="PlainTable3">
    <w:name w:val="Plain Table 3"/>
    <w:basedOn w:val="TableNormal"/>
    <w:uiPriority w:val="99"/>
    <w:rsid w:val="00CA06E3"/>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TOC2">
    <w:name w:val="toc 2"/>
    <w:basedOn w:val="Normal"/>
    <w:next w:val="Normal"/>
    <w:autoRedefine/>
    <w:uiPriority w:val="39"/>
    <w:unhideWhenUsed/>
    <w:rsid w:val="00CE38B9"/>
    <w:pPr>
      <w:spacing w:after="100"/>
      <w:ind w:left="210"/>
    </w:pPr>
  </w:style>
  <w:style w:type="paragraph" w:styleId="TOC3">
    <w:name w:val="toc 3"/>
    <w:basedOn w:val="Normal"/>
    <w:next w:val="Normal"/>
    <w:autoRedefine/>
    <w:uiPriority w:val="39"/>
    <w:unhideWhenUsed/>
    <w:rsid w:val="00CE38B9"/>
    <w:pPr>
      <w:spacing w:after="100"/>
      <w:ind w:left="420"/>
    </w:pPr>
  </w:style>
  <w:style w:type="paragraph" w:customStyle="1" w:styleId="pdq2pgselectionanchorcontainer">
    <w:name w:val="pdq2pg_selectionanchorcontainer"/>
    <w:basedOn w:val="Normal"/>
    <w:rsid w:val="00EF0239"/>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nice.org.uk/guidance/ng17" TargetMode="Externa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svg"/><Relationship Id="rId25" Type="http://schemas.openxmlformats.org/officeDocument/2006/relationships/hyperlink" Target="https://www.kingsfund.org.uk"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www.england.nhs.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iabetesatlas.org"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goodthingsfoundation.org" TargetMode="External"/><Relationship Id="rId28" Type="http://schemas.openxmlformats.org/officeDocument/2006/relationships/hyperlink" Target="https://www.england.nhs.uk" TargetMode="External"/><Relationship Id="rId10" Type="http://schemas.openxmlformats.org/officeDocument/2006/relationships/image" Target="media/image3.png"/><Relationship Id="rId19" Type="http://schemas.openxmlformats.org/officeDocument/2006/relationships/image" Target="media/image12.jpe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freestyle.abbott" TargetMode="External"/><Relationship Id="rId27" Type="http://schemas.openxmlformats.org/officeDocument/2006/relationships/hyperlink" Target="https://www.nice.org.uk/guidance/ta943?utm_source=chatgpt.com" TargetMode="External"/><Relationship Id="rId30" Type="http://schemas.openxmlformats.org/officeDocument/2006/relationships/hyperlink" Target="https://www.who.i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2334</Words>
  <Characters>13304</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15607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Patience Edo</cp:lastModifiedBy>
  <cp:revision>2</cp:revision>
  <dcterms:created xsi:type="dcterms:W3CDTF">2026-07-28T12:44:00Z</dcterms:created>
  <dcterms:modified xsi:type="dcterms:W3CDTF">2026-07-28T12:44:00Z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3989a624-f4e9-4b9b-98af-bb4250a082ab</vt:lpwstr>
  </property>
</Properties>
</file>