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DD424D" w14:textId="5A5B617F" w:rsidR="001137E5" w:rsidRDefault="001137E5" w:rsidP="009E69D4">
      <w:pPr>
        <w:jc w:val="center"/>
      </w:pPr>
      <w:r>
        <w:rPr>
          <w:noProof/>
        </w:rPr>
        <w:drawing>
          <wp:inline distT="0" distB="0" distL="0" distR="0" wp14:anchorId="7EB837C6" wp14:editId="7C40A3AF">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4827B83B" w14:textId="77777777" w:rsidR="009646A5" w:rsidRDefault="009646A5" w:rsidP="001137E5">
      <w:pPr>
        <w:jc w:val="center"/>
      </w:pPr>
    </w:p>
    <w:p w14:paraId="5EBB914B" w14:textId="77777777" w:rsidR="001137E5" w:rsidRPr="00646406" w:rsidRDefault="001137E5" w:rsidP="001137E5">
      <w:pPr>
        <w:jc w:val="center"/>
        <w:rPr>
          <w:rFonts w:ascii="Arial" w:hAnsi="Arial" w:cs="Arial"/>
          <w:b/>
          <w:bCs/>
        </w:rPr>
      </w:pPr>
      <w:r w:rsidRPr="00646406">
        <w:rPr>
          <w:rFonts w:ascii="Arial" w:hAnsi="Arial" w:cs="Arial"/>
          <w:b/>
          <w:bCs/>
        </w:rPr>
        <w:t>Student Name:</w:t>
      </w:r>
      <w:r>
        <w:rPr>
          <w:rFonts w:ascii="Arial" w:hAnsi="Arial" w:cs="Arial"/>
          <w:b/>
          <w:bCs/>
        </w:rPr>
        <w:t xml:space="preserve"> Nikki Lotiwan </w:t>
      </w:r>
    </w:p>
    <w:p w14:paraId="5CC1E068" w14:textId="77777777" w:rsidR="001137E5" w:rsidRPr="00646406" w:rsidRDefault="001137E5" w:rsidP="001137E5">
      <w:pPr>
        <w:jc w:val="center"/>
        <w:rPr>
          <w:rFonts w:ascii="Arial" w:hAnsi="Arial" w:cs="Arial"/>
          <w:b/>
          <w:bCs/>
        </w:rPr>
      </w:pPr>
    </w:p>
    <w:p w14:paraId="14CAE0C8" w14:textId="77777777" w:rsidR="001137E5" w:rsidRPr="00646406" w:rsidRDefault="001137E5" w:rsidP="001137E5">
      <w:pPr>
        <w:jc w:val="center"/>
        <w:rPr>
          <w:rFonts w:ascii="Arial" w:hAnsi="Arial" w:cs="Arial"/>
          <w:b/>
          <w:bCs/>
        </w:rPr>
      </w:pPr>
      <w:r w:rsidRPr="00646406">
        <w:rPr>
          <w:rFonts w:ascii="Arial" w:hAnsi="Arial" w:cs="Arial"/>
          <w:b/>
          <w:bCs/>
        </w:rPr>
        <w:t>Student ID:</w:t>
      </w:r>
      <w:r>
        <w:rPr>
          <w:rFonts w:ascii="Arial" w:hAnsi="Arial" w:cs="Arial"/>
          <w:b/>
          <w:bCs/>
        </w:rPr>
        <w:t xml:space="preserve"> 2518745</w:t>
      </w:r>
    </w:p>
    <w:p w14:paraId="461E1AD1" w14:textId="77777777" w:rsidR="001137E5" w:rsidRPr="00646406" w:rsidRDefault="001137E5" w:rsidP="001137E5">
      <w:pPr>
        <w:jc w:val="center"/>
        <w:rPr>
          <w:rFonts w:ascii="Arial" w:hAnsi="Arial" w:cs="Arial"/>
        </w:rPr>
      </w:pPr>
    </w:p>
    <w:p w14:paraId="0BF7ACAE" w14:textId="77777777" w:rsidR="001137E5" w:rsidRPr="00646406" w:rsidRDefault="001137E5" w:rsidP="001137E5">
      <w:pPr>
        <w:jc w:val="center"/>
        <w:rPr>
          <w:rFonts w:ascii="Arial" w:hAnsi="Arial" w:cs="Arial"/>
        </w:rPr>
      </w:pPr>
    </w:p>
    <w:p w14:paraId="37A84024" w14:textId="6C824DE8" w:rsidR="001137E5" w:rsidRPr="00646406" w:rsidRDefault="001137E5" w:rsidP="001137E5">
      <w:pPr>
        <w:jc w:val="center"/>
        <w:rPr>
          <w:rFonts w:ascii="Arial" w:hAnsi="Arial" w:cs="Arial"/>
          <w:b/>
          <w:bCs/>
        </w:rPr>
      </w:pPr>
      <w:r w:rsidRPr="00646406">
        <w:rPr>
          <w:rFonts w:ascii="Arial" w:hAnsi="Arial" w:cs="Arial"/>
          <w:b/>
          <w:bCs/>
        </w:rPr>
        <w:t xml:space="preserve">Module Name: </w:t>
      </w:r>
      <w:r>
        <w:rPr>
          <w:rFonts w:ascii="Arial" w:hAnsi="Arial" w:cs="Arial"/>
          <w:b/>
          <w:bCs/>
        </w:rPr>
        <w:t xml:space="preserve">International </w:t>
      </w:r>
      <w:r w:rsidR="00A80786">
        <w:rPr>
          <w:rFonts w:ascii="Arial" w:hAnsi="Arial" w:cs="Arial"/>
          <w:b/>
          <w:bCs/>
        </w:rPr>
        <w:t xml:space="preserve">Business Concepts </w:t>
      </w:r>
    </w:p>
    <w:p w14:paraId="4CB17002" w14:textId="77777777" w:rsidR="001137E5" w:rsidRPr="00646406" w:rsidRDefault="001137E5" w:rsidP="001137E5">
      <w:pPr>
        <w:jc w:val="center"/>
        <w:rPr>
          <w:rFonts w:ascii="Arial" w:hAnsi="Arial" w:cs="Arial"/>
          <w:b/>
          <w:bCs/>
        </w:rPr>
      </w:pPr>
    </w:p>
    <w:p w14:paraId="4E22C8C7" w14:textId="18BFA512" w:rsidR="001137E5" w:rsidRPr="00646406" w:rsidRDefault="001137E5" w:rsidP="001137E5">
      <w:pPr>
        <w:jc w:val="center"/>
        <w:rPr>
          <w:rFonts w:ascii="Arial" w:hAnsi="Arial" w:cs="Arial"/>
          <w:b/>
          <w:bCs/>
        </w:rPr>
      </w:pPr>
      <w:r w:rsidRPr="00646406">
        <w:rPr>
          <w:rFonts w:ascii="Arial" w:hAnsi="Arial" w:cs="Arial"/>
          <w:b/>
          <w:bCs/>
        </w:rPr>
        <w:t>Module Code: LCMB70</w:t>
      </w:r>
      <w:r w:rsidR="005D042E">
        <w:rPr>
          <w:rFonts w:ascii="Arial" w:hAnsi="Arial" w:cs="Arial"/>
          <w:b/>
          <w:bCs/>
        </w:rPr>
        <w:t>34</w:t>
      </w:r>
    </w:p>
    <w:p w14:paraId="277D6225" w14:textId="77777777" w:rsidR="001137E5" w:rsidRPr="00646406" w:rsidRDefault="001137E5" w:rsidP="001137E5">
      <w:pPr>
        <w:jc w:val="center"/>
        <w:rPr>
          <w:rFonts w:ascii="Arial" w:hAnsi="Arial" w:cs="Arial"/>
          <w:b/>
          <w:bCs/>
        </w:rPr>
      </w:pPr>
    </w:p>
    <w:p w14:paraId="102AF5D8" w14:textId="77777777" w:rsidR="001137E5" w:rsidRPr="00646406" w:rsidRDefault="001137E5" w:rsidP="001137E5">
      <w:pPr>
        <w:rPr>
          <w:rFonts w:ascii="Arial" w:hAnsi="Arial" w:cs="Arial"/>
          <w:b/>
          <w:bCs/>
        </w:rPr>
      </w:pPr>
    </w:p>
    <w:p w14:paraId="5B260F1F" w14:textId="204CBA1C" w:rsidR="001137E5" w:rsidRDefault="001137E5" w:rsidP="001137E5">
      <w:pPr>
        <w:jc w:val="center"/>
        <w:rPr>
          <w:rFonts w:ascii="Arial" w:hAnsi="Arial" w:cs="Arial"/>
          <w:b/>
          <w:bCs/>
        </w:rPr>
      </w:pPr>
      <w:r w:rsidRPr="00646406">
        <w:rPr>
          <w:rFonts w:ascii="Arial" w:hAnsi="Arial" w:cs="Arial"/>
          <w:b/>
          <w:bCs/>
        </w:rPr>
        <w:t>Lecturer’s Name:</w:t>
      </w:r>
      <w:r>
        <w:rPr>
          <w:rFonts w:ascii="Arial" w:hAnsi="Arial" w:cs="Arial"/>
          <w:b/>
          <w:bCs/>
        </w:rPr>
        <w:t xml:space="preserve"> </w:t>
      </w:r>
      <w:r w:rsidR="005D042E">
        <w:rPr>
          <w:rFonts w:ascii="Arial" w:hAnsi="Arial" w:cs="Arial"/>
          <w:b/>
          <w:bCs/>
        </w:rPr>
        <w:t>Akshay Narayan</w:t>
      </w:r>
    </w:p>
    <w:p w14:paraId="5E1F062E" w14:textId="77777777" w:rsidR="001137E5" w:rsidRDefault="001137E5" w:rsidP="001137E5">
      <w:pPr>
        <w:jc w:val="center"/>
        <w:rPr>
          <w:rFonts w:ascii="Arial" w:hAnsi="Arial" w:cs="Arial"/>
          <w:b/>
          <w:bCs/>
        </w:rPr>
      </w:pPr>
    </w:p>
    <w:p w14:paraId="673CFE75" w14:textId="08CDE28F" w:rsidR="001137E5" w:rsidRDefault="001137E5" w:rsidP="001137E5">
      <w:pPr>
        <w:jc w:val="center"/>
        <w:rPr>
          <w:rFonts w:ascii="Arial" w:hAnsi="Arial" w:cs="Arial"/>
          <w:b/>
          <w:bCs/>
        </w:rPr>
      </w:pPr>
      <w:r>
        <w:rPr>
          <w:rFonts w:ascii="Arial" w:hAnsi="Arial" w:cs="Arial"/>
          <w:b/>
          <w:bCs/>
        </w:rPr>
        <w:t xml:space="preserve">Word count: </w:t>
      </w:r>
      <w:r w:rsidR="00527353">
        <w:rPr>
          <w:rFonts w:ascii="Arial" w:hAnsi="Arial" w:cs="Arial"/>
          <w:b/>
          <w:bCs/>
        </w:rPr>
        <w:t>4913</w:t>
      </w:r>
    </w:p>
    <w:p w14:paraId="29FAAFFD" w14:textId="77777777" w:rsidR="001137E5" w:rsidRDefault="001137E5" w:rsidP="001137E5">
      <w:pPr>
        <w:jc w:val="center"/>
        <w:rPr>
          <w:rFonts w:ascii="Arial" w:hAnsi="Arial" w:cs="Arial"/>
          <w:b/>
          <w:bCs/>
        </w:rPr>
      </w:pPr>
    </w:p>
    <w:p w14:paraId="113E3C74" w14:textId="77777777" w:rsidR="001137E5" w:rsidRDefault="001137E5" w:rsidP="001137E5">
      <w:pPr>
        <w:jc w:val="center"/>
        <w:rPr>
          <w:rFonts w:ascii="Arial" w:hAnsi="Arial" w:cs="Arial"/>
          <w:b/>
          <w:bCs/>
        </w:rPr>
      </w:pPr>
      <w:r w:rsidRPr="00646406">
        <w:rPr>
          <w:rFonts w:ascii="Arial" w:hAnsi="Arial" w:cs="Arial"/>
          <w:b/>
          <w:bCs/>
        </w:rPr>
        <w:t xml:space="preserve">Term </w:t>
      </w:r>
      <w:r>
        <w:rPr>
          <w:rFonts w:ascii="Arial" w:hAnsi="Arial" w:cs="Arial"/>
          <w:b/>
          <w:bCs/>
        </w:rPr>
        <w:t>2</w:t>
      </w:r>
    </w:p>
    <w:p w14:paraId="1BA1E2D1" w14:textId="77777777" w:rsidR="001137E5" w:rsidRDefault="001137E5" w:rsidP="001137E5">
      <w:pPr>
        <w:jc w:val="center"/>
        <w:rPr>
          <w:rFonts w:ascii="Arial" w:hAnsi="Arial" w:cs="Arial"/>
          <w:b/>
          <w:bCs/>
        </w:rPr>
      </w:pPr>
    </w:p>
    <w:p w14:paraId="2C873A01" w14:textId="77777777" w:rsidR="001137E5" w:rsidRDefault="001137E5" w:rsidP="001137E5">
      <w:pPr>
        <w:jc w:val="center"/>
        <w:rPr>
          <w:rFonts w:ascii="Arial" w:hAnsi="Arial" w:cs="Arial"/>
          <w:b/>
          <w:bCs/>
        </w:rPr>
      </w:pPr>
    </w:p>
    <w:p w14:paraId="5AC8F62E" w14:textId="77777777" w:rsidR="001137E5" w:rsidRDefault="001137E5" w:rsidP="001137E5">
      <w:pPr>
        <w:jc w:val="center"/>
        <w:rPr>
          <w:rFonts w:ascii="Arial" w:hAnsi="Arial" w:cs="Arial"/>
          <w:b/>
          <w:bCs/>
        </w:rPr>
      </w:pPr>
    </w:p>
    <w:p w14:paraId="6A9916EE" w14:textId="77777777" w:rsidR="001137E5" w:rsidRDefault="001137E5" w:rsidP="001137E5">
      <w:pPr>
        <w:jc w:val="center"/>
        <w:rPr>
          <w:rFonts w:ascii="Arial" w:hAnsi="Arial" w:cs="Arial"/>
          <w:b/>
          <w:bCs/>
        </w:rPr>
      </w:pPr>
    </w:p>
    <w:p w14:paraId="0E118899" w14:textId="77777777" w:rsidR="001137E5" w:rsidRDefault="001137E5" w:rsidP="001137E5">
      <w:pPr>
        <w:jc w:val="center"/>
        <w:rPr>
          <w:rFonts w:ascii="Arial" w:hAnsi="Arial" w:cs="Arial"/>
          <w:b/>
          <w:bCs/>
        </w:rPr>
      </w:pPr>
    </w:p>
    <w:p w14:paraId="223271A7" w14:textId="348D58F8" w:rsidR="0067199E" w:rsidRDefault="0067199E" w:rsidP="0067199E">
      <w:pPr>
        <w:rPr>
          <w:rFonts w:ascii="Arial" w:hAnsi="Arial" w:cs="Arial"/>
          <w:b/>
          <w:bCs/>
        </w:rPr>
      </w:pPr>
    </w:p>
    <w:p w14:paraId="621541BD" w14:textId="3DC82F46" w:rsidR="0067199E" w:rsidRPr="0067199E" w:rsidRDefault="0067199E" w:rsidP="0067199E">
      <w:pPr>
        <w:pStyle w:val="TOCHeading"/>
        <w:jc w:val="both"/>
        <w:rPr>
          <w:rFonts w:ascii="Arial" w:hAnsi="Arial" w:cs="Arial"/>
          <w:b/>
          <w:bCs/>
          <w:color w:val="auto"/>
          <w:sz w:val="28"/>
          <w:szCs w:val="28"/>
          <w:u w:val="single"/>
        </w:rPr>
      </w:pPr>
      <w:r w:rsidRPr="0067199E">
        <w:rPr>
          <w:rFonts w:ascii="Arial" w:hAnsi="Arial" w:cs="Arial"/>
          <w:b/>
          <w:bCs/>
          <w:color w:val="auto"/>
          <w:sz w:val="28"/>
          <w:szCs w:val="28"/>
          <w:u w:val="single"/>
        </w:rPr>
        <w:lastRenderedPageBreak/>
        <w:t>TABLE OF CONTENTS</w:t>
      </w:r>
    </w:p>
    <w:sdt>
      <w:sdtPr>
        <w:id w:val="-2078193709"/>
        <w:docPartObj>
          <w:docPartGallery w:val="Table of Contents"/>
          <w:docPartUnique/>
        </w:docPartObj>
      </w:sdtPr>
      <w:sdtContent>
        <w:p w14:paraId="4E80B89F" w14:textId="77777777" w:rsidR="008B7566" w:rsidRPr="008B7566" w:rsidRDefault="008B7566" w:rsidP="008B7566">
          <w:pPr>
            <w:pStyle w:val="TOCHeading"/>
            <w:jc w:val="both"/>
            <w:rPr>
              <w:rFonts w:ascii="Arial" w:hAnsi="Arial" w:cs="Arial"/>
              <w:b/>
              <w:bCs/>
              <w:color w:val="auto"/>
              <w:sz w:val="24"/>
              <w:szCs w:val="24"/>
            </w:rPr>
          </w:pPr>
          <w:r w:rsidRPr="008B7566">
            <w:rPr>
              <w:rFonts w:ascii="Arial" w:hAnsi="Arial" w:cs="Arial"/>
              <w:b/>
              <w:bCs/>
              <w:color w:val="auto"/>
              <w:sz w:val="24"/>
              <w:szCs w:val="24"/>
            </w:rPr>
            <w:t xml:space="preserve">1.0 Strategic Market Entry Analysis: Louis Vuitton Expansion into Sri Lanka </w:t>
          </w:r>
        </w:p>
        <w:p w14:paraId="3B379ABB" w14:textId="77777777" w:rsidR="008B7566" w:rsidRPr="0067199E" w:rsidRDefault="008B7566" w:rsidP="008B7566">
          <w:pPr>
            <w:pStyle w:val="TOCHeading"/>
            <w:jc w:val="both"/>
            <w:rPr>
              <w:rFonts w:ascii="Arial" w:hAnsi="Arial" w:cs="Arial"/>
              <w:color w:val="auto"/>
              <w:sz w:val="24"/>
              <w:szCs w:val="24"/>
            </w:rPr>
          </w:pPr>
          <w:r w:rsidRPr="0067199E">
            <w:rPr>
              <w:rFonts w:ascii="Arial" w:hAnsi="Arial" w:cs="Arial"/>
              <w:color w:val="auto"/>
              <w:sz w:val="24"/>
              <w:szCs w:val="24"/>
            </w:rPr>
            <w:t xml:space="preserve">    1.1 Organizational Classification &amp; Global Strategy </w:t>
          </w:r>
        </w:p>
        <w:p w14:paraId="5F37D225" w14:textId="77777777" w:rsidR="008B7566" w:rsidRPr="0067199E" w:rsidRDefault="008B7566" w:rsidP="008B7566">
          <w:pPr>
            <w:pStyle w:val="TOCHeading"/>
            <w:jc w:val="both"/>
            <w:rPr>
              <w:rFonts w:ascii="Arial" w:hAnsi="Arial" w:cs="Arial"/>
              <w:color w:val="auto"/>
              <w:sz w:val="24"/>
              <w:szCs w:val="24"/>
            </w:rPr>
          </w:pPr>
          <w:r w:rsidRPr="0067199E">
            <w:rPr>
              <w:rFonts w:ascii="Arial" w:hAnsi="Arial" w:cs="Arial"/>
              <w:color w:val="auto"/>
              <w:sz w:val="24"/>
              <w:szCs w:val="24"/>
            </w:rPr>
            <w:t xml:space="preserve">        1.1.1 Strategic Context &amp; Importance </w:t>
          </w:r>
        </w:p>
        <w:p w14:paraId="7B85C9F4" w14:textId="77777777" w:rsidR="008B7566" w:rsidRPr="0067199E" w:rsidRDefault="008B7566" w:rsidP="008B7566">
          <w:pPr>
            <w:pStyle w:val="TOCHeading"/>
            <w:jc w:val="both"/>
            <w:rPr>
              <w:rFonts w:ascii="Arial" w:hAnsi="Arial" w:cs="Arial"/>
              <w:color w:val="auto"/>
              <w:sz w:val="24"/>
              <w:szCs w:val="24"/>
            </w:rPr>
          </w:pPr>
          <w:r w:rsidRPr="0067199E">
            <w:rPr>
              <w:rFonts w:ascii="Arial" w:hAnsi="Arial" w:cs="Arial"/>
              <w:color w:val="auto"/>
              <w:sz w:val="24"/>
              <w:szCs w:val="24"/>
            </w:rPr>
            <w:t xml:space="preserve">        1.1.2 Categorization by Bartlett &amp; Ghoshal </w:t>
          </w:r>
        </w:p>
        <w:p w14:paraId="56A180C9" w14:textId="77777777" w:rsidR="008B7566" w:rsidRPr="0067199E" w:rsidRDefault="008B7566" w:rsidP="008B7566">
          <w:pPr>
            <w:pStyle w:val="TOCHeading"/>
            <w:jc w:val="both"/>
            <w:rPr>
              <w:rFonts w:ascii="Arial" w:hAnsi="Arial" w:cs="Arial"/>
              <w:color w:val="auto"/>
              <w:sz w:val="24"/>
              <w:szCs w:val="24"/>
            </w:rPr>
          </w:pPr>
          <w:r w:rsidRPr="0067199E">
            <w:rPr>
              <w:rFonts w:ascii="Arial" w:hAnsi="Arial" w:cs="Arial"/>
              <w:color w:val="auto"/>
              <w:sz w:val="24"/>
              <w:szCs w:val="24"/>
            </w:rPr>
            <w:t xml:space="preserve">        1.1.3 Evaluation of Global Configuration &amp; Value Chain Integration </w:t>
          </w:r>
        </w:p>
        <w:p w14:paraId="0CD695A2" w14:textId="77777777" w:rsidR="008B7566" w:rsidRPr="0067199E" w:rsidRDefault="008B7566" w:rsidP="008B7566">
          <w:pPr>
            <w:pStyle w:val="TOCHeading"/>
            <w:jc w:val="both"/>
            <w:rPr>
              <w:rFonts w:ascii="Arial" w:hAnsi="Arial" w:cs="Arial"/>
              <w:color w:val="auto"/>
              <w:sz w:val="24"/>
              <w:szCs w:val="24"/>
            </w:rPr>
          </w:pPr>
          <w:r w:rsidRPr="0067199E">
            <w:rPr>
              <w:rFonts w:ascii="Arial" w:hAnsi="Arial" w:cs="Arial"/>
              <w:color w:val="auto"/>
              <w:sz w:val="24"/>
              <w:szCs w:val="24"/>
            </w:rPr>
            <w:t xml:space="preserve">        1.1.4 Strategic Connective Tissue </w:t>
          </w:r>
        </w:p>
        <w:p w14:paraId="1F372FEF" w14:textId="77777777" w:rsidR="008B7566" w:rsidRPr="0067199E" w:rsidRDefault="008B7566" w:rsidP="008B7566">
          <w:pPr>
            <w:pStyle w:val="TOCHeading"/>
            <w:jc w:val="both"/>
            <w:rPr>
              <w:rFonts w:ascii="Arial" w:hAnsi="Arial" w:cs="Arial"/>
              <w:color w:val="auto"/>
              <w:sz w:val="24"/>
              <w:szCs w:val="24"/>
            </w:rPr>
          </w:pPr>
          <w:r w:rsidRPr="0067199E">
            <w:rPr>
              <w:rFonts w:ascii="Arial" w:hAnsi="Arial" w:cs="Arial"/>
              <w:color w:val="auto"/>
              <w:sz w:val="24"/>
              <w:szCs w:val="24"/>
            </w:rPr>
            <w:t xml:space="preserve">        1.1.5 VRIO Analysis &amp; Competitive Positioning </w:t>
          </w:r>
        </w:p>
        <w:p w14:paraId="2336B3A0" w14:textId="77777777" w:rsidR="008B7566" w:rsidRPr="008B7566" w:rsidRDefault="008B7566" w:rsidP="008B7566">
          <w:pPr>
            <w:pStyle w:val="TOCHeading"/>
            <w:jc w:val="both"/>
            <w:rPr>
              <w:rFonts w:ascii="Arial" w:hAnsi="Arial" w:cs="Arial"/>
              <w:b/>
              <w:bCs/>
              <w:color w:val="auto"/>
              <w:sz w:val="24"/>
              <w:szCs w:val="24"/>
            </w:rPr>
          </w:pPr>
          <w:r w:rsidRPr="0067199E">
            <w:rPr>
              <w:rFonts w:ascii="Arial" w:hAnsi="Arial" w:cs="Arial"/>
              <w:color w:val="auto"/>
              <w:sz w:val="24"/>
              <w:szCs w:val="24"/>
            </w:rPr>
            <w:t xml:space="preserve">    </w:t>
          </w:r>
          <w:r w:rsidRPr="008B7566">
            <w:rPr>
              <w:rFonts w:ascii="Arial" w:hAnsi="Arial" w:cs="Arial"/>
              <w:b/>
              <w:bCs/>
              <w:color w:val="auto"/>
              <w:sz w:val="24"/>
              <w:szCs w:val="24"/>
            </w:rPr>
            <w:t xml:space="preserve">1.2 Macro-Environmental Appraisal &amp; Market Attractiveness </w:t>
          </w:r>
        </w:p>
        <w:p w14:paraId="0495C5C3" w14:textId="77777777" w:rsidR="008B7566" w:rsidRPr="0067199E" w:rsidRDefault="008B7566" w:rsidP="008B7566">
          <w:pPr>
            <w:pStyle w:val="TOCHeading"/>
            <w:jc w:val="both"/>
            <w:rPr>
              <w:rFonts w:ascii="Arial" w:hAnsi="Arial" w:cs="Arial"/>
              <w:color w:val="auto"/>
              <w:sz w:val="24"/>
              <w:szCs w:val="24"/>
            </w:rPr>
          </w:pPr>
          <w:r w:rsidRPr="0067199E">
            <w:rPr>
              <w:rFonts w:ascii="Arial" w:hAnsi="Arial" w:cs="Arial"/>
              <w:color w:val="auto"/>
              <w:sz w:val="24"/>
              <w:szCs w:val="24"/>
            </w:rPr>
            <w:t xml:space="preserve">        1.2.1 Strategic Context &amp; Importance </w:t>
          </w:r>
        </w:p>
        <w:p w14:paraId="00D08C01" w14:textId="77777777" w:rsidR="008B7566" w:rsidRPr="0067199E" w:rsidRDefault="008B7566" w:rsidP="008B7566">
          <w:pPr>
            <w:pStyle w:val="TOCHeading"/>
            <w:jc w:val="both"/>
            <w:rPr>
              <w:rFonts w:ascii="Arial" w:hAnsi="Arial" w:cs="Arial"/>
              <w:color w:val="auto"/>
              <w:sz w:val="24"/>
              <w:szCs w:val="24"/>
            </w:rPr>
          </w:pPr>
          <w:r w:rsidRPr="0067199E">
            <w:rPr>
              <w:rFonts w:ascii="Arial" w:hAnsi="Arial" w:cs="Arial"/>
              <w:color w:val="auto"/>
              <w:sz w:val="24"/>
              <w:szCs w:val="24"/>
            </w:rPr>
            <w:t xml:space="preserve">        1.2.2 Host Country Analysis (PESTEL Factors) </w:t>
          </w:r>
        </w:p>
        <w:p w14:paraId="5B97C4C0" w14:textId="77777777" w:rsidR="008B7566" w:rsidRPr="0067199E" w:rsidRDefault="008B7566" w:rsidP="008B7566">
          <w:pPr>
            <w:pStyle w:val="TOCHeading"/>
            <w:jc w:val="both"/>
            <w:rPr>
              <w:rFonts w:ascii="Arial" w:hAnsi="Arial" w:cs="Arial"/>
              <w:color w:val="auto"/>
              <w:sz w:val="24"/>
              <w:szCs w:val="24"/>
            </w:rPr>
          </w:pPr>
          <w:r w:rsidRPr="0067199E">
            <w:rPr>
              <w:rFonts w:ascii="Arial" w:hAnsi="Arial" w:cs="Arial"/>
              <w:color w:val="auto"/>
              <w:sz w:val="24"/>
              <w:szCs w:val="24"/>
            </w:rPr>
            <w:t xml:space="preserve">        1.2.3 Dunning’s Eclectic Paradigm (OLI Framework) Analysis </w:t>
          </w:r>
        </w:p>
        <w:p w14:paraId="6863D10A" w14:textId="77777777" w:rsidR="008B7566" w:rsidRPr="0067199E" w:rsidRDefault="008B7566" w:rsidP="008B7566">
          <w:pPr>
            <w:pStyle w:val="TOCHeading"/>
            <w:jc w:val="both"/>
            <w:rPr>
              <w:rFonts w:ascii="Arial" w:hAnsi="Arial" w:cs="Arial"/>
              <w:color w:val="auto"/>
              <w:sz w:val="24"/>
              <w:szCs w:val="24"/>
            </w:rPr>
          </w:pPr>
          <w:r w:rsidRPr="0067199E">
            <w:rPr>
              <w:rFonts w:ascii="Arial" w:hAnsi="Arial" w:cs="Arial"/>
              <w:color w:val="auto"/>
              <w:sz w:val="24"/>
              <w:szCs w:val="24"/>
            </w:rPr>
            <w:t xml:space="preserve">        1.2.4 Institutional Voids Framework (Khanna &amp; Palepu) </w:t>
          </w:r>
        </w:p>
        <w:p w14:paraId="58576963" w14:textId="77777777" w:rsidR="008B7566" w:rsidRPr="0067199E" w:rsidRDefault="008B7566" w:rsidP="008B7566">
          <w:pPr>
            <w:pStyle w:val="TOCHeading"/>
            <w:jc w:val="both"/>
            <w:rPr>
              <w:rFonts w:ascii="Arial" w:hAnsi="Arial" w:cs="Arial"/>
              <w:color w:val="auto"/>
              <w:sz w:val="24"/>
              <w:szCs w:val="24"/>
            </w:rPr>
          </w:pPr>
          <w:r w:rsidRPr="0067199E">
            <w:rPr>
              <w:rFonts w:ascii="Arial" w:hAnsi="Arial" w:cs="Arial"/>
              <w:color w:val="auto"/>
              <w:sz w:val="24"/>
              <w:szCs w:val="24"/>
            </w:rPr>
            <w:t xml:space="preserve">        1.2.5 Quantitative Mainland vs. SEZ Tariff Breakdown </w:t>
          </w:r>
        </w:p>
        <w:p w14:paraId="2C72E55D" w14:textId="77777777" w:rsidR="008B7566" w:rsidRPr="008B7566" w:rsidRDefault="008B7566" w:rsidP="008B7566">
          <w:pPr>
            <w:pStyle w:val="TOCHeading"/>
            <w:jc w:val="both"/>
            <w:rPr>
              <w:rFonts w:ascii="Arial" w:hAnsi="Arial" w:cs="Arial"/>
              <w:b/>
              <w:bCs/>
              <w:color w:val="auto"/>
              <w:sz w:val="24"/>
              <w:szCs w:val="24"/>
            </w:rPr>
          </w:pPr>
          <w:r w:rsidRPr="008B7566">
            <w:rPr>
              <w:rFonts w:ascii="Arial" w:hAnsi="Arial" w:cs="Arial"/>
              <w:b/>
              <w:bCs/>
              <w:color w:val="auto"/>
              <w:sz w:val="24"/>
              <w:szCs w:val="24"/>
            </w:rPr>
            <w:t xml:space="preserve">    1.3 Entry Mode Strategy &amp; Strategic Synthesis </w:t>
          </w:r>
        </w:p>
        <w:p w14:paraId="4ED5F7ED" w14:textId="77777777" w:rsidR="008B7566" w:rsidRPr="0067199E" w:rsidRDefault="008B7566" w:rsidP="008B7566">
          <w:pPr>
            <w:pStyle w:val="TOCHeading"/>
            <w:jc w:val="both"/>
            <w:rPr>
              <w:rFonts w:ascii="Arial" w:hAnsi="Arial" w:cs="Arial"/>
              <w:color w:val="auto"/>
              <w:sz w:val="24"/>
              <w:szCs w:val="24"/>
            </w:rPr>
          </w:pPr>
          <w:r w:rsidRPr="0067199E">
            <w:rPr>
              <w:rFonts w:ascii="Arial" w:hAnsi="Arial" w:cs="Arial"/>
              <w:color w:val="auto"/>
              <w:sz w:val="24"/>
              <w:szCs w:val="24"/>
            </w:rPr>
            <w:t xml:space="preserve">        1.3.1 Strategic Context &amp; Historical Pattern Recognition </w:t>
          </w:r>
        </w:p>
        <w:p w14:paraId="01952275" w14:textId="77777777" w:rsidR="008B7566" w:rsidRPr="0067199E" w:rsidRDefault="008B7566" w:rsidP="008B7566">
          <w:pPr>
            <w:pStyle w:val="TOCHeading"/>
            <w:jc w:val="both"/>
            <w:rPr>
              <w:rFonts w:ascii="Arial" w:hAnsi="Arial" w:cs="Arial"/>
              <w:color w:val="auto"/>
              <w:sz w:val="24"/>
              <w:szCs w:val="24"/>
            </w:rPr>
          </w:pPr>
          <w:r w:rsidRPr="0067199E">
            <w:rPr>
              <w:rFonts w:ascii="Arial" w:hAnsi="Arial" w:cs="Arial"/>
              <w:color w:val="auto"/>
              <w:sz w:val="24"/>
              <w:szCs w:val="24"/>
            </w:rPr>
            <w:t xml:space="preserve">        1.3.2 Strategic Fit &amp; Justification: Wholly Owned Subsidiary (WOS) </w:t>
          </w:r>
        </w:p>
        <w:p w14:paraId="5157906F" w14:textId="77777777" w:rsidR="008B7566" w:rsidRPr="0067199E" w:rsidRDefault="008B7566" w:rsidP="008B7566">
          <w:pPr>
            <w:pStyle w:val="TOCHeading"/>
            <w:jc w:val="both"/>
            <w:rPr>
              <w:rFonts w:ascii="Arial" w:hAnsi="Arial" w:cs="Arial"/>
              <w:color w:val="auto"/>
              <w:sz w:val="24"/>
              <w:szCs w:val="24"/>
            </w:rPr>
          </w:pPr>
          <w:r w:rsidRPr="0067199E">
            <w:rPr>
              <w:rFonts w:ascii="Arial" w:hAnsi="Arial" w:cs="Arial"/>
              <w:color w:val="auto"/>
              <w:sz w:val="24"/>
              <w:szCs w:val="24"/>
            </w:rPr>
            <w:t xml:space="preserve">        1.3.3 Trade-off Analysis &amp; Rejection of Alternative Entry Modes </w:t>
          </w:r>
        </w:p>
        <w:p w14:paraId="274CD96E" w14:textId="77777777" w:rsidR="008B7566" w:rsidRPr="0067199E" w:rsidRDefault="008B7566" w:rsidP="008B7566">
          <w:pPr>
            <w:pStyle w:val="TOCHeading"/>
            <w:jc w:val="both"/>
            <w:rPr>
              <w:rFonts w:ascii="Arial" w:hAnsi="Arial" w:cs="Arial"/>
              <w:color w:val="auto"/>
              <w:sz w:val="24"/>
              <w:szCs w:val="24"/>
            </w:rPr>
          </w:pPr>
          <w:r w:rsidRPr="0067199E">
            <w:rPr>
              <w:rFonts w:ascii="Arial" w:hAnsi="Arial" w:cs="Arial"/>
              <w:color w:val="auto"/>
              <w:sz w:val="24"/>
              <w:szCs w:val="24"/>
            </w:rPr>
            <w:t xml:space="preserve">        1.3.4 Conclusion &amp; Actionable Recommendations </w:t>
          </w:r>
        </w:p>
        <w:p w14:paraId="4A3E0D81" w14:textId="77777777" w:rsidR="008B7566" w:rsidRPr="008B7566" w:rsidRDefault="008B7566" w:rsidP="008B7566">
          <w:pPr>
            <w:pStyle w:val="TOCHeading"/>
            <w:jc w:val="both"/>
            <w:rPr>
              <w:rFonts w:ascii="Arial" w:hAnsi="Arial" w:cs="Arial"/>
              <w:b/>
              <w:bCs/>
              <w:color w:val="auto"/>
              <w:sz w:val="24"/>
              <w:szCs w:val="24"/>
            </w:rPr>
          </w:pPr>
          <w:r w:rsidRPr="008B7566">
            <w:rPr>
              <w:rFonts w:ascii="Arial" w:hAnsi="Arial" w:cs="Arial"/>
              <w:b/>
              <w:bCs/>
              <w:color w:val="auto"/>
              <w:sz w:val="24"/>
              <w:szCs w:val="24"/>
            </w:rPr>
            <w:t xml:space="preserve">2.0 Reflective Account </w:t>
          </w:r>
        </w:p>
        <w:p w14:paraId="4998DEB6" w14:textId="77777777" w:rsidR="008B7566" w:rsidRPr="0067199E" w:rsidRDefault="008B7566" w:rsidP="008B7566">
          <w:pPr>
            <w:pStyle w:val="TOCHeading"/>
            <w:jc w:val="both"/>
            <w:rPr>
              <w:rFonts w:ascii="Arial" w:hAnsi="Arial" w:cs="Arial"/>
              <w:color w:val="auto"/>
              <w:sz w:val="24"/>
              <w:szCs w:val="24"/>
            </w:rPr>
          </w:pPr>
          <w:r w:rsidRPr="0067199E">
            <w:rPr>
              <w:rFonts w:ascii="Arial" w:hAnsi="Arial" w:cs="Arial"/>
              <w:color w:val="auto"/>
              <w:sz w:val="24"/>
              <w:szCs w:val="24"/>
            </w:rPr>
            <w:t xml:space="preserve">    2.1 Contextual Importance </w:t>
          </w:r>
        </w:p>
        <w:p w14:paraId="08A4C596" w14:textId="77777777" w:rsidR="008B7566" w:rsidRPr="0067199E" w:rsidRDefault="008B7566" w:rsidP="008B7566">
          <w:pPr>
            <w:pStyle w:val="TOCHeading"/>
            <w:jc w:val="both"/>
            <w:rPr>
              <w:rFonts w:ascii="Arial" w:hAnsi="Arial" w:cs="Arial"/>
              <w:color w:val="auto"/>
              <w:sz w:val="24"/>
              <w:szCs w:val="24"/>
            </w:rPr>
          </w:pPr>
          <w:r w:rsidRPr="0067199E">
            <w:rPr>
              <w:rFonts w:ascii="Arial" w:hAnsi="Arial" w:cs="Arial"/>
              <w:color w:val="auto"/>
              <w:sz w:val="24"/>
              <w:szCs w:val="24"/>
            </w:rPr>
            <w:t xml:space="preserve">    2.2 The Reflective Cycle (Gibbs, 1988) </w:t>
          </w:r>
        </w:p>
        <w:p w14:paraId="343CBA53" w14:textId="77777777" w:rsidR="008B7566" w:rsidRPr="0067199E" w:rsidRDefault="008B7566" w:rsidP="008B7566">
          <w:pPr>
            <w:pStyle w:val="TOCHeading"/>
            <w:jc w:val="both"/>
            <w:rPr>
              <w:rFonts w:ascii="Arial" w:hAnsi="Arial" w:cs="Arial"/>
              <w:color w:val="auto"/>
              <w:sz w:val="24"/>
              <w:szCs w:val="24"/>
            </w:rPr>
          </w:pPr>
          <w:r w:rsidRPr="0067199E">
            <w:rPr>
              <w:rFonts w:ascii="Arial" w:hAnsi="Arial" w:cs="Arial"/>
              <w:color w:val="auto"/>
              <w:sz w:val="24"/>
              <w:szCs w:val="24"/>
            </w:rPr>
            <w:t xml:space="preserve">        2.2.1 Description &amp; Feelings </w:t>
          </w:r>
        </w:p>
        <w:p w14:paraId="18C4C9C9" w14:textId="77777777" w:rsidR="008B7566" w:rsidRPr="0067199E" w:rsidRDefault="008B7566" w:rsidP="008B7566">
          <w:pPr>
            <w:pStyle w:val="TOCHeading"/>
            <w:jc w:val="both"/>
            <w:rPr>
              <w:rFonts w:ascii="Arial" w:hAnsi="Arial" w:cs="Arial"/>
              <w:color w:val="auto"/>
              <w:sz w:val="24"/>
              <w:szCs w:val="24"/>
            </w:rPr>
          </w:pPr>
          <w:r w:rsidRPr="0067199E">
            <w:rPr>
              <w:rFonts w:ascii="Arial" w:hAnsi="Arial" w:cs="Arial"/>
              <w:color w:val="auto"/>
              <w:sz w:val="24"/>
              <w:szCs w:val="24"/>
            </w:rPr>
            <w:t xml:space="preserve">        2.2.2 Evaluation &amp; Analysis: The Conflict of Data </w:t>
          </w:r>
        </w:p>
        <w:p w14:paraId="507DF05F" w14:textId="77777777" w:rsidR="008B7566" w:rsidRPr="0067199E" w:rsidRDefault="008B7566" w:rsidP="008B7566">
          <w:pPr>
            <w:pStyle w:val="TOCHeading"/>
            <w:jc w:val="both"/>
            <w:rPr>
              <w:rFonts w:ascii="Arial" w:hAnsi="Arial" w:cs="Arial"/>
              <w:color w:val="auto"/>
              <w:sz w:val="24"/>
              <w:szCs w:val="24"/>
            </w:rPr>
          </w:pPr>
          <w:r w:rsidRPr="0067199E">
            <w:rPr>
              <w:rFonts w:ascii="Arial" w:hAnsi="Arial" w:cs="Arial"/>
              <w:color w:val="auto"/>
              <w:sz w:val="24"/>
              <w:szCs w:val="24"/>
            </w:rPr>
            <w:lastRenderedPageBreak/>
            <w:t xml:space="preserve">        2.2.3 Conclusion &amp; Action Plan </w:t>
          </w:r>
        </w:p>
        <w:p w14:paraId="0A7B49E0" w14:textId="77777777" w:rsidR="008B7566" w:rsidRPr="0067199E" w:rsidRDefault="008B7566" w:rsidP="008B7566">
          <w:pPr>
            <w:pStyle w:val="TOCHeading"/>
            <w:jc w:val="both"/>
            <w:rPr>
              <w:rFonts w:ascii="Arial" w:hAnsi="Arial" w:cs="Arial"/>
              <w:color w:val="auto"/>
              <w:sz w:val="24"/>
              <w:szCs w:val="24"/>
            </w:rPr>
          </w:pPr>
          <w:r w:rsidRPr="0067199E">
            <w:rPr>
              <w:rFonts w:ascii="Arial" w:hAnsi="Arial" w:cs="Arial"/>
              <w:color w:val="auto"/>
              <w:sz w:val="24"/>
              <w:szCs w:val="24"/>
            </w:rPr>
            <w:t xml:space="preserve">    2.3 Final Summary </w:t>
          </w:r>
        </w:p>
        <w:p w14:paraId="36CDD64A" w14:textId="77777777" w:rsidR="008B7566" w:rsidRPr="008B7566" w:rsidRDefault="008B7566" w:rsidP="008B7566">
          <w:pPr>
            <w:pStyle w:val="TOCHeading"/>
            <w:jc w:val="both"/>
            <w:rPr>
              <w:rFonts w:ascii="Arial" w:hAnsi="Arial" w:cs="Arial"/>
              <w:b/>
              <w:bCs/>
              <w:color w:val="auto"/>
              <w:sz w:val="24"/>
              <w:szCs w:val="24"/>
            </w:rPr>
          </w:pPr>
          <w:r w:rsidRPr="008B7566">
            <w:rPr>
              <w:rFonts w:ascii="Arial" w:hAnsi="Arial" w:cs="Arial"/>
              <w:b/>
              <w:bCs/>
              <w:color w:val="auto"/>
              <w:sz w:val="24"/>
              <w:szCs w:val="24"/>
            </w:rPr>
            <w:t xml:space="preserve">4.0 Harvard Reference List </w:t>
          </w:r>
        </w:p>
        <w:p w14:paraId="54553612" w14:textId="11A2AC67" w:rsidR="008B7566" w:rsidRDefault="00000000" w:rsidP="008B7566">
          <w:pPr>
            <w:pStyle w:val="TOCHeading"/>
          </w:pPr>
        </w:p>
      </w:sdtContent>
    </w:sdt>
    <w:p w14:paraId="5D243F72" w14:textId="77777777" w:rsidR="0067199E" w:rsidRPr="008B7566" w:rsidRDefault="0067199E" w:rsidP="0067199E">
      <w:pPr>
        <w:pStyle w:val="TOCHeading"/>
        <w:jc w:val="both"/>
        <w:rPr>
          <w:rFonts w:ascii="Arial" w:hAnsi="Arial" w:cs="Arial"/>
          <w:b/>
          <w:bCs/>
          <w:color w:val="auto"/>
          <w:sz w:val="24"/>
          <w:szCs w:val="24"/>
        </w:rPr>
      </w:pPr>
    </w:p>
    <w:p w14:paraId="03A171F8" w14:textId="77777777" w:rsidR="0067199E" w:rsidRDefault="0067199E" w:rsidP="009E69D4"/>
    <w:p w14:paraId="0397695A" w14:textId="77777777" w:rsidR="007509B0" w:rsidRDefault="007509B0" w:rsidP="009E69D4"/>
    <w:p w14:paraId="4A5C30CA" w14:textId="77777777" w:rsidR="007509B0" w:rsidRDefault="007509B0" w:rsidP="009E69D4"/>
    <w:p w14:paraId="2510EE04" w14:textId="77777777" w:rsidR="007509B0" w:rsidRDefault="007509B0" w:rsidP="009E69D4"/>
    <w:p w14:paraId="15E06408" w14:textId="77777777" w:rsidR="007509B0" w:rsidRDefault="007509B0" w:rsidP="009E69D4"/>
    <w:p w14:paraId="7203D6A2" w14:textId="77777777" w:rsidR="007509B0" w:rsidRDefault="007509B0" w:rsidP="009E69D4"/>
    <w:p w14:paraId="02E2CA52" w14:textId="77777777" w:rsidR="007509B0" w:rsidRDefault="007509B0" w:rsidP="009E69D4"/>
    <w:p w14:paraId="1313980F" w14:textId="77777777" w:rsidR="007509B0" w:rsidRDefault="007509B0" w:rsidP="009E69D4"/>
    <w:p w14:paraId="0426F51D" w14:textId="77777777" w:rsidR="007509B0" w:rsidRDefault="007509B0" w:rsidP="009E69D4"/>
    <w:p w14:paraId="49A8F050" w14:textId="77777777" w:rsidR="007509B0" w:rsidRDefault="007509B0" w:rsidP="009E69D4"/>
    <w:p w14:paraId="40BF69BF" w14:textId="77777777" w:rsidR="007509B0" w:rsidRDefault="007509B0" w:rsidP="009E69D4"/>
    <w:p w14:paraId="1F69630E" w14:textId="77777777" w:rsidR="007509B0" w:rsidRDefault="007509B0" w:rsidP="009E69D4"/>
    <w:p w14:paraId="78216BA7" w14:textId="77777777" w:rsidR="007509B0" w:rsidRDefault="007509B0" w:rsidP="009E69D4"/>
    <w:p w14:paraId="6DC888A8" w14:textId="77777777" w:rsidR="007509B0" w:rsidRDefault="007509B0" w:rsidP="009E69D4"/>
    <w:p w14:paraId="43F1D20E" w14:textId="77777777" w:rsidR="0067199E" w:rsidRDefault="0067199E" w:rsidP="009E69D4"/>
    <w:p w14:paraId="3466F94F" w14:textId="77777777" w:rsidR="0067199E" w:rsidRDefault="0067199E" w:rsidP="009E69D4"/>
    <w:p w14:paraId="0C418F54" w14:textId="77777777" w:rsidR="0067199E" w:rsidRDefault="0067199E" w:rsidP="009E69D4"/>
    <w:p w14:paraId="6D3E972E" w14:textId="77777777" w:rsidR="0067199E" w:rsidRDefault="0067199E" w:rsidP="009E69D4"/>
    <w:p w14:paraId="0876CDFD" w14:textId="77777777" w:rsidR="00A16D46" w:rsidRDefault="00A16D46" w:rsidP="009E69D4"/>
    <w:p w14:paraId="4ED3F578" w14:textId="77777777" w:rsidR="00A16D46" w:rsidRDefault="00A16D46" w:rsidP="009E69D4"/>
    <w:p w14:paraId="37742CE1" w14:textId="77777777" w:rsidR="00A16D46" w:rsidRDefault="00A16D46" w:rsidP="009E69D4"/>
    <w:p w14:paraId="1A434390" w14:textId="2183A9A8" w:rsidR="00A460BA" w:rsidRDefault="00A460BA" w:rsidP="00A460BA">
      <w:pPr>
        <w:jc w:val="both"/>
        <w:rPr>
          <w:rFonts w:ascii="Arial" w:hAnsi="Arial" w:cs="Arial"/>
          <w:b/>
          <w:bCs/>
          <w:sz w:val="28"/>
          <w:szCs w:val="28"/>
        </w:rPr>
      </w:pPr>
      <w:r>
        <w:rPr>
          <w:rFonts w:ascii="Arial" w:hAnsi="Arial" w:cs="Arial"/>
          <w:b/>
          <w:bCs/>
          <w:sz w:val="28"/>
          <w:szCs w:val="28"/>
        </w:rPr>
        <w:lastRenderedPageBreak/>
        <w:t>Section 1</w:t>
      </w:r>
    </w:p>
    <w:p w14:paraId="03A76F51" w14:textId="77777777" w:rsidR="00A460BA" w:rsidRDefault="00A460BA" w:rsidP="00A460BA">
      <w:pPr>
        <w:jc w:val="both"/>
        <w:rPr>
          <w:rFonts w:ascii="Arial" w:hAnsi="Arial" w:cs="Arial"/>
          <w:b/>
          <w:bCs/>
          <w:sz w:val="28"/>
          <w:szCs w:val="28"/>
        </w:rPr>
      </w:pPr>
      <w:r>
        <w:rPr>
          <w:rFonts w:ascii="Arial" w:hAnsi="Arial" w:cs="Arial"/>
          <w:b/>
          <w:bCs/>
          <w:sz w:val="28"/>
          <w:szCs w:val="28"/>
        </w:rPr>
        <w:t xml:space="preserve">Strategic Market Entry Analysis: Louis Vuitton (LVMH) Expansion into Sri Lanka </w:t>
      </w:r>
    </w:p>
    <w:p w14:paraId="5A453E02" w14:textId="5B8FDEB3" w:rsidR="0046238B" w:rsidRPr="0046238B" w:rsidRDefault="00A460BA" w:rsidP="0046238B">
      <w:pPr>
        <w:pStyle w:val="ListParagraph"/>
        <w:numPr>
          <w:ilvl w:val="0"/>
          <w:numId w:val="4"/>
        </w:numPr>
        <w:jc w:val="both"/>
        <w:rPr>
          <w:rFonts w:ascii="Arial" w:hAnsi="Arial" w:cs="Arial"/>
          <w:b/>
          <w:bCs/>
        </w:rPr>
      </w:pPr>
      <w:r w:rsidRPr="0046238B">
        <w:rPr>
          <w:rFonts w:ascii="Arial" w:hAnsi="Arial" w:cs="Arial"/>
          <w:b/>
          <w:bCs/>
        </w:rPr>
        <w:t>Organizational Classification &amp; Global Strategy</w:t>
      </w:r>
    </w:p>
    <w:p w14:paraId="6E59E07C" w14:textId="7CC1E6C7" w:rsidR="00A460BA" w:rsidRPr="0046238B" w:rsidRDefault="0046238B" w:rsidP="0046238B">
      <w:pPr>
        <w:pStyle w:val="ListParagraph"/>
        <w:numPr>
          <w:ilvl w:val="1"/>
          <w:numId w:val="4"/>
        </w:numPr>
        <w:jc w:val="both"/>
        <w:rPr>
          <w:rFonts w:ascii="Arial" w:hAnsi="Arial" w:cs="Arial"/>
          <w:b/>
          <w:bCs/>
          <w:i/>
          <w:iCs/>
          <w:u w:val="single"/>
        </w:rPr>
      </w:pPr>
      <w:r w:rsidRPr="0046238B">
        <w:rPr>
          <w:rFonts w:ascii="Arial" w:hAnsi="Arial" w:cs="Arial"/>
          <w:b/>
          <w:bCs/>
          <w:i/>
          <w:iCs/>
          <w:u w:val="single"/>
        </w:rPr>
        <w:t xml:space="preserve">Strategic Context &amp; Importance </w:t>
      </w:r>
    </w:p>
    <w:p w14:paraId="5159CAB2" w14:textId="2111855D" w:rsidR="0046238B" w:rsidRDefault="0046238B" w:rsidP="0046238B">
      <w:pPr>
        <w:jc w:val="both"/>
        <w:rPr>
          <w:rFonts w:ascii="Arial" w:hAnsi="Arial" w:cs="Arial"/>
        </w:rPr>
      </w:pPr>
      <w:r>
        <w:rPr>
          <w:rFonts w:ascii="Arial" w:hAnsi="Arial" w:cs="Arial"/>
        </w:rPr>
        <w:t xml:space="preserve">LVMH </w:t>
      </w:r>
      <w:r w:rsidRPr="0046238B">
        <w:rPr>
          <w:rFonts w:ascii="Arial" w:hAnsi="Arial" w:cs="Arial"/>
        </w:rPr>
        <w:t>Moët</w:t>
      </w:r>
      <w:r>
        <w:rPr>
          <w:rFonts w:ascii="Arial" w:hAnsi="Arial" w:cs="Arial"/>
        </w:rPr>
        <w:t xml:space="preserve"> Hennessy Louis Vuitton (LVMH) stands as the apex of the global luxury conglomerate, achieving revenues exceeding </w:t>
      </w:r>
      <w:r w:rsidRPr="0046238B">
        <w:rPr>
          <w:rFonts w:ascii="Arial" w:hAnsi="Arial" w:cs="Arial"/>
        </w:rPr>
        <w:t>€</w:t>
      </w:r>
      <w:r>
        <w:rPr>
          <w:rFonts w:ascii="Arial" w:hAnsi="Arial" w:cs="Arial"/>
        </w:rPr>
        <w:t xml:space="preserve">86.2 billion in 2023. The company serves as a benchmark for both the “hard luxury” (watches and jewelry) &amp; “soft luxury” (leather goods &amp; fashion) segments. In the present global economic environment, </w:t>
      </w:r>
      <w:r w:rsidR="00515C7F">
        <w:rPr>
          <w:rFonts w:ascii="Arial" w:hAnsi="Arial" w:cs="Arial"/>
        </w:rPr>
        <w:t>traditional luxury markets in Western Europe &amp; North America are facing structural saturation &amp; cyclical downturns, with growth in Western European luxury slowing to an annual rate of 1-3% (Brain &amp; Company, 2023). As a result, the identification of “blue ocean” market areas that exhibit significant growth potential, minimal direct competition, and an emerging affluent demographic is a crucial strategic necessity (Kim &amp; Mauborgne, 2004).</w:t>
      </w:r>
    </w:p>
    <w:p w14:paraId="09F0F41E" w14:textId="0A83280A" w:rsidR="00515C7F" w:rsidRDefault="00515C7F" w:rsidP="0046238B">
      <w:pPr>
        <w:jc w:val="both"/>
        <w:rPr>
          <w:rFonts w:ascii="Arial" w:hAnsi="Arial" w:cs="Arial"/>
        </w:rPr>
      </w:pPr>
      <w:r>
        <w:rPr>
          <w:rFonts w:ascii="Arial" w:hAnsi="Arial" w:cs="Arial"/>
        </w:rPr>
        <w:t xml:space="preserve">Sri Lanka, especially through the offshore development of Port City Colombo—a </w:t>
      </w:r>
      <w:r w:rsidRPr="00515C7F">
        <w:rPr>
          <w:rFonts w:ascii="Arial" w:hAnsi="Arial" w:cs="Arial"/>
        </w:rPr>
        <w:t>$</w:t>
      </w:r>
      <w:r>
        <w:rPr>
          <w:rFonts w:ascii="Arial" w:hAnsi="Arial" w:cs="Arial"/>
        </w:rPr>
        <w:t xml:space="preserve">1.4 billion Special Economic Zone (SEZ) land (CHECC, 2022). Despite experiencing </w:t>
      </w:r>
      <w:r w:rsidR="00377CE9">
        <w:rPr>
          <w:rFonts w:ascii="Arial" w:hAnsi="Arial" w:cs="Arial"/>
        </w:rPr>
        <w:t>significant macroeconomic instability following its 2022 sovereign debt default, the institutional framework aimed at attracting foreign direct investment (FDI) provides Louis Vuitton with a strategic opportunity to gain a first-mover advantage. Lieberman &amp; Montgomery (1988) assert that early entry into a ma</w:t>
      </w:r>
      <w:r w:rsidR="00CB741A">
        <w:rPr>
          <w:rFonts w:ascii="Arial" w:hAnsi="Arial" w:cs="Arial"/>
        </w:rPr>
        <w:t xml:space="preserve">rket enables firms to obtain asymmetric advantages in distribution networks and spatial positioning. By entering Sri Lanka during its economic stabilization phase, LVMH can acquire prime retail real estate at favorable leasing rates and influence the developing local luxury narrative ahead of major global competitors such as Kering or Richemont who may not yet be prepared to enter the market. </w:t>
      </w:r>
    </w:p>
    <w:p w14:paraId="4E2BC585" w14:textId="77777777" w:rsidR="00730295" w:rsidRDefault="00730295" w:rsidP="0046238B">
      <w:pPr>
        <w:jc w:val="both"/>
        <w:rPr>
          <w:rFonts w:ascii="Arial" w:hAnsi="Arial" w:cs="Arial"/>
        </w:rPr>
      </w:pPr>
    </w:p>
    <w:p w14:paraId="7DE737A6" w14:textId="1FF7B43C" w:rsidR="00730295" w:rsidRPr="00730295" w:rsidRDefault="00730295" w:rsidP="00730295">
      <w:pPr>
        <w:pStyle w:val="ListParagraph"/>
        <w:numPr>
          <w:ilvl w:val="1"/>
          <w:numId w:val="4"/>
        </w:numPr>
        <w:jc w:val="both"/>
        <w:rPr>
          <w:rFonts w:ascii="Arial" w:hAnsi="Arial" w:cs="Arial"/>
          <w:b/>
          <w:bCs/>
          <w:i/>
          <w:iCs/>
          <w:u w:val="single"/>
        </w:rPr>
      </w:pPr>
      <w:r w:rsidRPr="00730295">
        <w:rPr>
          <w:rFonts w:ascii="Arial" w:hAnsi="Arial" w:cs="Arial"/>
          <w:b/>
          <w:bCs/>
          <w:i/>
          <w:iCs/>
          <w:u w:val="single"/>
        </w:rPr>
        <w:t xml:space="preserve">Categorization by Bartlett &amp; Ghoshal </w:t>
      </w:r>
    </w:p>
    <w:p w14:paraId="7E04F9FF" w14:textId="39512C7D" w:rsidR="00730295" w:rsidRDefault="00730295" w:rsidP="00730295">
      <w:pPr>
        <w:jc w:val="both"/>
        <w:rPr>
          <w:rFonts w:ascii="Arial" w:hAnsi="Arial" w:cs="Arial"/>
        </w:rPr>
      </w:pPr>
      <w:r>
        <w:rPr>
          <w:rFonts w:ascii="Arial" w:hAnsi="Arial" w:cs="Arial"/>
        </w:rPr>
        <w:t>Employing the integration-responsiveness framework established by Bartlett &amp; Ghosal (1989), Louis Vuitton (LV) is classified as a company implementing a Global Strategy. This approach is based on a significant level of Global Integration coupled with a low level of Local Responsiveness. LV’s enduring competitive edge arises from the extreme geographical centralization of its essential value-chain activities: creative design, stewardship of brand heritage, product craftsmanship, and global marketing communications are meticulously managed from Paris. Such a high level of integration guarantees that the brand’s unique identity and product quality are preserved wit</w:t>
      </w:r>
      <w:r w:rsidR="00D526E5">
        <w:rPr>
          <w:rFonts w:ascii="Arial" w:hAnsi="Arial" w:cs="Arial"/>
        </w:rPr>
        <w:t xml:space="preserve">hout being affected by regional variations. </w:t>
      </w:r>
    </w:p>
    <w:p w14:paraId="6B1941FD" w14:textId="1BAE743B" w:rsidR="008E5304" w:rsidRDefault="008E5304" w:rsidP="00730295">
      <w:pPr>
        <w:jc w:val="both"/>
        <w:rPr>
          <w:rFonts w:ascii="Arial" w:hAnsi="Arial" w:cs="Arial"/>
        </w:rPr>
      </w:pPr>
      <w:r>
        <w:rPr>
          <w:rFonts w:ascii="Arial" w:hAnsi="Arial" w:cs="Arial"/>
          <w:noProof/>
        </w:rPr>
        <w:lastRenderedPageBreak/>
        <w:drawing>
          <wp:inline distT="0" distB="0" distL="0" distR="0" wp14:anchorId="2BCB6BE4" wp14:editId="1940DDD5">
            <wp:extent cx="5943600" cy="3312695"/>
            <wp:effectExtent l="0" t="0" r="0" b="2540"/>
            <wp:docPr id="6073250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325044" name="Picture 60732504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50236" cy="3316394"/>
                    </a:xfrm>
                    <a:prstGeom prst="rect">
                      <a:avLst/>
                    </a:prstGeom>
                  </pic:spPr>
                </pic:pic>
              </a:graphicData>
            </a:graphic>
          </wp:inline>
        </w:drawing>
      </w:r>
    </w:p>
    <w:p w14:paraId="5E19D628" w14:textId="1F852B41" w:rsidR="008E5304" w:rsidRDefault="008E5304" w:rsidP="00E23FA3">
      <w:pPr>
        <w:jc w:val="both"/>
        <w:rPr>
          <w:rFonts w:ascii="Arial" w:hAnsi="Arial" w:cs="Arial"/>
          <w:i/>
          <w:iCs/>
        </w:rPr>
      </w:pPr>
      <w:r w:rsidRPr="00A47902">
        <w:rPr>
          <w:rFonts w:ascii="Arial" w:hAnsi="Arial" w:cs="Arial"/>
          <w:b/>
          <w:bCs/>
          <w:i/>
          <w:iCs/>
        </w:rPr>
        <w:t>Source:</w:t>
      </w:r>
      <w:r w:rsidRPr="008E5304">
        <w:rPr>
          <w:rFonts w:ascii="Arial" w:hAnsi="Arial" w:cs="Arial"/>
          <w:i/>
          <w:iCs/>
        </w:rPr>
        <w:t xml:space="preserve"> Adapted from Bartlett &amp; Ghoshal (1989). </w:t>
      </w:r>
    </w:p>
    <w:p w14:paraId="54644F3A" w14:textId="5449E6B6" w:rsidR="00A47902" w:rsidRPr="00A47902" w:rsidRDefault="00A47902" w:rsidP="00E23FA3">
      <w:pPr>
        <w:jc w:val="both"/>
        <w:rPr>
          <w:rFonts w:ascii="Arial" w:hAnsi="Arial" w:cs="Arial"/>
          <w:b/>
          <w:bCs/>
          <w:i/>
          <w:iCs/>
        </w:rPr>
      </w:pPr>
      <w:r w:rsidRPr="00A47902">
        <w:rPr>
          <w:rFonts w:ascii="Arial" w:hAnsi="Arial" w:cs="Arial"/>
          <w:b/>
          <w:bCs/>
          <w:i/>
          <w:iCs/>
        </w:rPr>
        <w:t>Fig.1: Global Strategy Matrix – Global Integration &amp; Local Responsiveness</w:t>
      </w:r>
    </w:p>
    <w:p w14:paraId="6E93C19D" w14:textId="75AC21F9" w:rsidR="002A3FAE" w:rsidRDefault="008E5304" w:rsidP="00E23FA3">
      <w:pPr>
        <w:jc w:val="both"/>
        <w:rPr>
          <w:rFonts w:ascii="Arial" w:hAnsi="Arial" w:cs="Arial"/>
        </w:rPr>
      </w:pPr>
      <w:r>
        <w:rPr>
          <w:rFonts w:ascii="Arial" w:hAnsi="Arial" w:cs="Arial"/>
        </w:rPr>
        <w:t xml:space="preserve">Nevertheless, a thorough evaluation indicates that LV encounters considerable operational challenges when entering emerging frontier markets such as Sri Lanka. Although the primary product offerings are maintained at a global standard, LV is required to manage a “Transnational tension” concerning adherence to regulatory and institutional requirements. The company must comply with the specific regulations of Special Economic Zones (SEZ), import-export tariffs, and foreign exchange compliance protocols as dictated by the Colombo Port City Economic Commission. The strategic dilemma for LV is to maintain complete </w:t>
      </w:r>
      <w:r w:rsidR="00365303">
        <w:rPr>
          <w:rFonts w:ascii="Arial" w:hAnsi="Arial" w:cs="Arial"/>
        </w:rPr>
        <w:t xml:space="preserve">global brand uniformity while modifying its corporate framework to fit the distinctive legal contexts of Sri Lanka. A failure to effectively navigate this duality could lead to the “liability of foreignness” (Zaheer, 1995), where insufficient local institutional understanding may lead to increased costs, administrative holdups, and operational interruptions. </w:t>
      </w:r>
    </w:p>
    <w:p w14:paraId="79723B4E" w14:textId="77777777" w:rsidR="002A3FAE" w:rsidRDefault="002A3FAE" w:rsidP="00E23FA3">
      <w:pPr>
        <w:jc w:val="both"/>
        <w:rPr>
          <w:rFonts w:ascii="Arial" w:hAnsi="Arial" w:cs="Arial"/>
        </w:rPr>
      </w:pPr>
    </w:p>
    <w:p w14:paraId="2C6F128F" w14:textId="0AD97165" w:rsidR="002A3FAE" w:rsidRPr="002A3FAE" w:rsidRDefault="002A3FAE" w:rsidP="00E23FA3">
      <w:pPr>
        <w:pStyle w:val="ListParagraph"/>
        <w:numPr>
          <w:ilvl w:val="1"/>
          <w:numId w:val="4"/>
        </w:numPr>
        <w:jc w:val="both"/>
        <w:rPr>
          <w:rFonts w:ascii="Arial" w:hAnsi="Arial" w:cs="Arial"/>
          <w:b/>
          <w:bCs/>
          <w:i/>
          <w:iCs/>
          <w:u w:val="single"/>
        </w:rPr>
      </w:pPr>
      <w:r w:rsidRPr="002A3FAE">
        <w:rPr>
          <w:rFonts w:ascii="Arial" w:hAnsi="Arial" w:cs="Arial"/>
          <w:b/>
          <w:bCs/>
          <w:i/>
          <w:iCs/>
          <w:u w:val="single"/>
        </w:rPr>
        <w:t>Evaluation of Global Configuration</w:t>
      </w:r>
    </w:p>
    <w:p w14:paraId="6E78BAF0" w14:textId="1E1C4A3B" w:rsidR="008E5304" w:rsidRDefault="002A3FAE" w:rsidP="00E23FA3">
      <w:pPr>
        <w:jc w:val="both"/>
        <w:rPr>
          <w:rFonts w:ascii="Arial" w:hAnsi="Arial" w:cs="Arial"/>
        </w:rPr>
      </w:pPr>
      <w:r>
        <w:rPr>
          <w:rFonts w:ascii="Arial" w:hAnsi="Arial" w:cs="Arial"/>
        </w:rPr>
        <w:t xml:space="preserve">Louis Vuitton’s worldwide presence is firmly established through a steadfast dedication to Directly Operated Stores (DOS). By circumventing third-party distributors, agents, or multi-brand retailers, LV </w:t>
      </w:r>
      <w:r w:rsidR="00A47902">
        <w:rPr>
          <w:rFonts w:ascii="Arial" w:hAnsi="Arial" w:cs="Arial"/>
        </w:rPr>
        <w:t>can</w:t>
      </w:r>
      <w:r>
        <w:rPr>
          <w:rFonts w:ascii="Arial" w:hAnsi="Arial" w:cs="Arial"/>
        </w:rPr>
        <w:t xml:space="preserve"> maintain complete internal control over its Value Chain Configuration (Porter, 1985). </w:t>
      </w:r>
    </w:p>
    <w:p w14:paraId="645C3587" w14:textId="45D8EEAA" w:rsidR="00A47902" w:rsidRDefault="00A47902" w:rsidP="002A3FAE">
      <w:pPr>
        <w:rPr>
          <w:rFonts w:ascii="Arial" w:hAnsi="Arial" w:cs="Arial"/>
        </w:rPr>
      </w:pPr>
      <w:r>
        <w:rPr>
          <w:rFonts w:ascii="Arial" w:hAnsi="Arial" w:cs="Arial"/>
          <w:noProof/>
        </w:rPr>
        <w:lastRenderedPageBreak/>
        <w:drawing>
          <wp:inline distT="0" distB="0" distL="0" distR="0" wp14:anchorId="2E48D12A" wp14:editId="27F26BE1">
            <wp:extent cx="5943600" cy="3962400"/>
            <wp:effectExtent l="0" t="0" r="0" b="0"/>
            <wp:docPr id="15334652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465229" name="Picture 153346522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627DC35E" w14:textId="7925E2E0" w:rsidR="00A47902" w:rsidRDefault="00A03ACF" w:rsidP="00E23FA3">
      <w:pPr>
        <w:jc w:val="both"/>
        <w:rPr>
          <w:rFonts w:ascii="Arial" w:hAnsi="Arial" w:cs="Arial"/>
          <w:i/>
          <w:iCs/>
        </w:rPr>
      </w:pPr>
      <w:r w:rsidRPr="00A03ACF">
        <w:rPr>
          <w:rFonts w:ascii="Arial" w:hAnsi="Arial" w:cs="Arial"/>
          <w:b/>
          <w:bCs/>
          <w:i/>
          <w:iCs/>
        </w:rPr>
        <w:t>Fig. 2:</w:t>
      </w:r>
      <w:r w:rsidRPr="00A03ACF">
        <w:rPr>
          <w:rFonts w:ascii="Arial" w:hAnsi="Arial" w:cs="Arial"/>
          <w:i/>
          <w:iCs/>
        </w:rPr>
        <w:t xml:space="preserve"> Louis Vuitton Value Chain Integration </w:t>
      </w:r>
    </w:p>
    <w:p w14:paraId="17F5AC7B" w14:textId="1321D217" w:rsidR="00A03ACF" w:rsidRDefault="00A03ACF" w:rsidP="00E23FA3">
      <w:pPr>
        <w:jc w:val="both"/>
        <w:rPr>
          <w:rFonts w:ascii="Arial" w:hAnsi="Arial" w:cs="Arial"/>
        </w:rPr>
      </w:pPr>
      <w:r>
        <w:rPr>
          <w:rFonts w:ascii="Arial" w:hAnsi="Arial" w:cs="Arial"/>
        </w:rPr>
        <w:t xml:space="preserve">In a developing market such as Sri Lanka, this wholly owned subsidiary (WOS) retail model safeguards equity through three fundamental mechanisms: </w:t>
      </w:r>
    </w:p>
    <w:p w14:paraId="034DB6F7" w14:textId="57FB9358" w:rsidR="00A03ACF" w:rsidRDefault="00A03ACF" w:rsidP="00E23FA3">
      <w:pPr>
        <w:pStyle w:val="ListParagraph"/>
        <w:numPr>
          <w:ilvl w:val="0"/>
          <w:numId w:val="5"/>
        </w:numPr>
        <w:jc w:val="both"/>
        <w:rPr>
          <w:rFonts w:ascii="Arial" w:hAnsi="Arial" w:cs="Arial"/>
        </w:rPr>
      </w:pPr>
      <w:r w:rsidRPr="002C35A8">
        <w:rPr>
          <w:rFonts w:ascii="Arial" w:hAnsi="Arial" w:cs="Arial"/>
          <w:b/>
          <w:bCs/>
        </w:rPr>
        <w:t>Price Integrity:</w:t>
      </w:r>
      <w:r>
        <w:rPr>
          <w:rFonts w:ascii="Arial" w:hAnsi="Arial" w:cs="Arial"/>
        </w:rPr>
        <w:t xml:space="preserve"> This mechanism prevents price distortions or unauthorized promotional discounts, which are often prevalent in franchised retail settings (Chadha &amp; Husband, 2006). </w:t>
      </w:r>
    </w:p>
    <w:p w14:paraId="183E1A7D" w14:textId="77777777" w:rsidR="00A03ACF" w:rsidRDefault="00A03ACF" w:rsidP="00E23FA3">
      <w:pPr>
        <w:pStyle w:val="ListParagraph"/>
        <w:numPr>
          <w:ilvl w:val="0"/>
          <w:numId w:val="5"/>
        </w:numPr>
        <w:jc w:val="both"/>
        <w:rPr>
          <w:rFonts w:ascii="Arial" w:hAnsi="Arial" w:cs="Arial"/>
        </w:rPr>
      </w:pPr>
      <w:r w:rsidRPr="002C35A8">
        <w:rPr>
          <w:rFonts w:ascii="Arial" w:hAnsi="Arial" w:cs="Arial"/>
          <w:b/>
          <w:bCs/>
        </w:rPr>
        <w:t>Customer Experience:</w:t>
      </w:r>
      <w:r>
        <w:rPr>
          <w:rFonts w:ascii="Arial" w:hAnsi="Arial" w:cs="Arial"/>
        </w:rPr>
        <w:t xml:space="preserve"> It ensures that the architectural design, sales interactions, and post-purchase services reflect the standards of its flagship stores located on the Champs-</w:t>
      </w:r>
      <w:r w:rsidRPr="00A03ACF">
        <w:rPr>
          <w:rFonts w:ascii="Arial" w:hAnsi="Arial" w:cs="Arial"/>
        </w:rPr>
        <w:t>Élysées</w:t>
      </w:r>
      <w:r>
        <w:rPr>
          <w:rFonts w:ascii="Arial" w:hAnsi="Arial" w:cs="Arial"/>
        </w:rPr>
        <w:t xml:space="preserve"> or Fifth Avenue. </w:t>
      </w:r>
    </w:p>
    <w:p w14:paraId="158AEB48" w14:textId="77777777" w:rsidR="002C35A8" w:rsidRDefault="00A03ACF" w:rsidP="00E23FA3">
      <w:pPr>
        <w:pStyle w:val="ListParagraph"/>
        <w:numPr>
          <w:ilvl w:val="0"/>
          <w:numId w:val="5"/>
        </w:numPr>
        <w:jc w:val="both"/>
        <w:rPr>
          <w:rFonts w:ascii="Arial" w:hAnsi="Arial" w:cs="Arial"/>
        </w:rPr>
      </w:pPr>
      <w:r w:rsidRPr="002C35A8">
        <w:rPr>
          <w:rFonts w:ascii="Arial" w:hAnsi="Arial" w:cs="Arial"/>
          <w:b/>
          <w:bCs/>
        </w:rPr>
        <w:t>Data Control:</w:t>
      </w:r>
      <w:r>
        <w:rPr>
          <w:rFonts w:ascii="Arial" w:hAnsi="Arial" w:cs="Arial"/>
        </w:rPr>
        <w:t xml:space="preserve"> This facilitates the direct collection of clienteling </w:t>
      </w:r>
      <w:r w:rsidR="002C35A8">
        <w:rPr>
          <w:rFonts w:ascii="Arial" w:hAnsi="Arial" w:cs="Arial"/>
        </w:rPr>
        <w:t xml:space="preserve">data from the growing segment of High-Net-Worth Individuals (HNWI) in Sri Lanka, which is essential for feeding LVMH’s global customer relationship management (CRM) systems. </w:t>
      </w:r>
    </w:p>
    <w:p w14:paraId="44F6C7C5" w14:textId="77777777" w:rsidR="002C35A8" w:rsidRDefault="002C35A8" w:rsidP="00E23FA3">
      <w:pPr>
        <w:jc w:val="both"/>
        <w:rPr>
          <w:rFonts w:ascii="Arial" w:hAnsi="Arial" w:cs="Arial"/>
        </w:rPr>
      </w:pPr>
    </w:p>
    <w:p w14:paraId="4D8BDBD9" w14:textId="77777777" w:rsidR="00F30B1E" w:rsidRDefault="002C35A8" w:rsidP="00E23FA3">
      <w:pPr>
        <w:jc w:val="both"/>
        <w:rPr>
          <w:rFonts w:ascii="Arial" w:hAnsi="Arial" w:cs="Arial"/>
        </w:rPr>
      </w:pPr>
      <w:r>
        <w:rPr>
          <w:rFonts w:ascii="Arial" w:hAnsi="Arial" w:cs="Arial"/>
        </w:rPr>
        <w:t xml:space="preserve">Importantly, this configuration necessitates that host locations provide international-quality physical and legal infrastructure. LV maintains strict standards regarding store positioning and the overall ambient environment. Therefore, the development of Port City </w:t>
      </w:r>
      <w:r>
        <w:rPr>
          <w:rFonts w:ascii="Arial" w:hAnsi="Arial" w:cs="Arial"/>
        </w:rPr>
        <w:lastRenderedPageBreak/>
        <w:t xml:space="preserve">Colombo is a critical structural requirement for LV’s market entry, as it offers the essential spatial and commercial ecosystem. </w:t>
      </w:r>
    </w:p>
    <w:p w14:paraId="4163D684" w14:textId="77777777" w:rsidR="00F30B1E" w:rsidRDefault="00F30B1E" w:rsidP="00E23FA3">
      <w:pPr>
        <w:jc w:val="both"/>
        <w:rPr>
          <w:rFonts w:ascii="Arial" w:hAnsi="Arial" w:cs="Arial"/>
        </w:rPr>
      </w:pPr>
    </w:p>
    <w:p w14:paraId="4CD99452" w14:textId="13F8334F" w:rsidR="00A03ACF" w:rsidRPr="00F30B1E" w:rsidRDefault="00F30B1E" w:rsidP="00E23FA3">
      <w:pPr>
        <w:pStyle w:val="ListParagraph"/>
        <w:numPr>
          <w:ilvl w:val="1"/>
          <w:numId w:val="4"/>
        </w:numPr>
        <w:jc w:val="both"/>
        <w:rPr>
          <w:rFonts w:ascii="Arial" w:hAnsi="Arial" w:cs="Arial"/>
          <w:b/>
          <w:bCs/>
          <w:i/>
          <w:iCs/>
          <w:u w:val="single"/>
        </w:rPr>
      </w:pPr>
      <w:r w:rsidRPr="00F30B1E">
        <w:rPr>
          <w:rFonts w:ascii="Arial" w:hAnsi="Arial" w:cs="Arial"/>
          <w:b/>
          <w:bCs/>
          <w:i/>
          <w:iCs/>
          <w:u w:val="single"/>
        </w:rPr>
        <w:t xml:space="preserve">Strategic Connective Tissue </w:t>
      </w:r>
      <w:r w:rsidR="002C35A8" w:rsidRPr="00F30B1E">
        <w:rPr>
          <w:rFonts w:ascii="Arial" w:hAnsi="Arial" w:cs="Arial"/>
          <w:b/>
          <w:bCs/>
          <w:i/>
          <w:iCs/>
          <w:u w:val="single"/>
        </w:rPr>
        <w:t xml:space="preserve"> </w:t>
      </w:r>
    </w:p>
    <w:p w14:paraId="4A28A2BE" w14:textId="00DCAE57" w:rsidR="00F30B1E" w:rsidRDefault="00F30B1E" w:rsidP="00E23FA3">
      <w:pPr>
        <w:jc w:val="both"/>
        <w:rPr>
          <w:rFonts w:ascii="Arial" w:hAnsi="Arial" w:cs="Arial"/>
        </w:rPr>
      </w:pPr>
      <w:r>
        <w:rPr>
          <w:rFonts w:ascii="Arial" w:hAnsi="Arial" w:cs="Arial"/>
        </w:rPr>
        <w:t xml:space="preserve">The necessity for extensive global integration &amp; direct distribution at Louis Vuitton necessitates rigorous criteria for selecting host countries: these include regulatory transparency, high-quality retail infrastructure suitable for luxury goods, and a robust legal framework that permits complete foreign ownership. As the focus transitions on the macro-environmental context of Sri Lanka, the primary assessment will ascertain if the post-crisis stabilization and the legal incentives </w:t>
      </w:r>
      <w:r w:rsidR="002C75FC">
        <w:rPr>
          <w:rFonts w:ascii="Arial" w:hAnsi="Arial" w:cs="Arial"/>
        </w:rPr>
        <w:t>offered by</w:t>
      </w:r>
      <w:r>
        <w:rPr>
          <w:rFonts w:ascii="Arial" w:hAnsi="Arial" w:cs="Arial"/>
        </w:rPr>
        <w:t xml:space="preserve"> Port City Colombo meet these international operational benchmarks. </w:t>
      </w:r>
    </w:p>
    <w:p w14:paraId="1662263C" w14:textId="77777777" w:rsidR="0034266E" w:rsidRDefault="0034266E" w:rsidP="00E23FA3">
      <w:pPr>
        <w:jc w:val="both"/>
        <w:rPr>
          <w:rFonts w:ascii="Arial" w:hAnsi="Arial" w:cs="Arial"/>
        </w:rPr>
      </w:pPr>
    </w:p>
    <w:p w14:paraId="0E7065B1" w14:textId="3F56D010" w:rsidR="0034266E" w:rsidRPr="0034266E" w:rsidRDefault="0034266E" w:rsidP="0034266E">
      <w:pPr>
        <w:pStyle w:val="ListParagraph"/>
        <w:numPr>
          <w:ilvl w:val="1"/>
          <w:numId w:val="4"/>
        </w:numPr>
        <w:jc w:val="both"/>
        <w:rPr>
          <w:rFonts w:ascii="Arial" w:hAnsi="Arial" w:cs="Arial"/>
          <w:b/>
          <w:bCs/>
          <w:i/>
          <w:iCs/>
          <w:u w:val="single"/>
        </w:rPr>
      </w:pPr>
      <w:r w:rsidRPr="0034266E">
        <w:rPr>
          <w:rFonts w:ascii="Arial" w:hAnsi="Arial" w:cs="Arial"/>
          <w:b/>
          <w:bCs/>
          <w:i/>
          <w:iCs/>
          <w:u w:val="single"/>
        </w:rPr>
        <w:t xml:space="preserve">VRIO Analysis &amp; Competitive Positioning </w:t>
      </w:r>
    </w:p>
    <w:p w14:paraId="3AE00619" w14:textId="3FB7F084" w:rsidR="0034266E" w:rsidRPr="0034266E" w:rsidRDefault="0034266E" w:rsidP="0034266E">
      <w:pPr>
        <w:jc w:val="both"/>
        <w:rPr>
          <w:rFonts w:ascii="Arial" w:hAnsi="Arial" w:cs="Arial"/>
          <w:b/>
          <w:bCs/>
        </w:rPr>
      </w:pPr>
      <w:r w:rsidRPr="0034266E">
        <w:rPr>
          <w:rFonts w:ascii="Arial" w:hAnsi="Arial" w:cs="Arial"/>
          <w:b/>
          <w:bCs/>
        </w:rPr>
        <w:t>Barney’s (1991) Resource-Based View (RBV) &amp; VRIO Framework</w:t>
      </w:r>
    </w:p>
    <w:p w14:paraId="31FA253F" w14:textId="259EE0F4" w:rsidR="0034266E" w:rsidRDefault="0034266E" w:rsidP="0034266E">
      <w:pPr>
        <w:jc w:val="both"/>
        <w:rPr>
          <w:rFonts w:ascii="Arial" w:hAnsi="Arial" w:cs="Arial"/>
        </w:rPr>
      </w:pPr>
      <w:r>
        <w:rPr>
          <w:rFonts w:ascii="Arial" w:hAnsi="Arial" w:cs="Arial"/>
        </w:rPr>
        <w:t xml:space="preserve">To understand the reasons behind Louis Vuitton’s (LVMH) sustainable competitive advantage in entering frontier markets, it is essential to assess its internal resources through the lens of Barney’s (1991) VRIO framework. </w:t>
      </w:r>
    </w:p>
    <w:p w14:paraId="422CB90F" w14:textId="68A821E1" w:rsidR="0034266E" w:rsidRDefault="0034266E" w:rsidP="0034266E">
      <w:pPr>
        <w:jc w:val="both"/>
        <w:rPr>
          <w:rFonts w:ascii="Arial" w:hAnsi="Arial" w:cs="Arial"/>
        </w:rPr>
      </w:pPr>
      <w:r>
        <w:rPr>
          <w:rFonts w:ascii="Arial" w:hAnsi="Arial" w:cs="Arial"/>
        </w:rPr>
        <w:t xml:space="preserve">Valuable (V): The equity associated with the Monogram brand generates significant perceived value, allowing LVMH to set premium price points that exceed </w:t>
      </w:r>
      <w:r w:rsidRPr="00567922">
        <w:rPr>
          <w:rFonts w:ascii="Arial" w:hAnsi="Arial" w:cs="Arial"/>
        </w:rPr>
        <w:t>$</w:t>
      </w:r>
      <w:r>
        <w:rPr>
          <w:rFonts w:ascii="Arial" w:hAnsi="Arial" w:cs="Arial"/>
        </w:rPr>
        <w:t xml:space="preserve">5,000 for leather products, irrespective of local macroeconomic circumstances (Kapferer &amp; Bastien, 2012). </w:t>
      </w:r>
    </w:p>
    <w:p w14:paraId="2157DE67" w14:textId="6A46C104" w:rsidR="0034266E" w:rsidRDefault="0034266E" w:rsidP="0034266E">
      <w:pPr>
        <w:jc w:val="both"/>
        <w:rPr>
          <w:rFonts w:ascii="Arial" w:hAnsi="Arial" w:cs="Arial"/>
        </w:rPr>
      </w:pPr>
      <w:r>
        <w:rPr>
          <w:rFonts w:ascii="Arial" w:hAnsi="Arial" w:cs="Arial"/>
        </w:rPr>
        <w:t xml:space="preserve">Rare (R): The exclusive control over a 100% Operated Store (DOS) model, devoid of third-party franchising, is remarkably uncommon in emerging markets, thereby protecting the brand from unauthorized price reductions (Chadha &amp; Husband, 2006). </w:t>
      </w:r>
    </w:p>
    <w:p w14:paraId="67129B51" w14:textId="77777777" w:rsidR="0034266E" w:rsidRDefault="0034266E" w:rsidP="0034266E">
      <w:pPr>
        <w:jc w:val="both"/>
        <w:rPr>
          <w:rFonts w:ascii="Arial" w:hAnsi="Arial" w:cs="Arial"/>
        </w:rPr>
      </w:pPr>
      <w:r>
        <w:rPr>
          <w:rFonts w:ascii="Arial" w:hAnsi="Arial" w:cs="Arial"/>
        </w:rPr>
        <w:t>Inimitable (I): The legacy of European craftsmanship spanning centuries &amp; the tightly controlled supply chains are not replicable by local competitors (Barney, 1991).</w:t>
      </w:r>
    </w:p>
    <w:p w14:paraId="0939560E" w14:textId="77777777" w:rsidR="0034266E" w:rsidRDefault="0034266E" w:rsidP="0034266E">
      <w:pPr>
        <w:jc w:val="both"/>
        <w:rPr>
          <w:rFonts w:ascii="Arial" w:hAnsi="Arial" w:cs="Arial"/>
        </w:rPr>
      </w:pPr>
      <w:r>
        <w:rPr>
          <w:rFonts w:ascii="Arial" w:hAnsi="Arial" w:cs="Arial"/>
        </w:rPr>
        <w:t xml:space="preserve">Organized (O): LVMH’s comprehensive global enterprise resource planning (ERP) &amp; clienteling software are meticulously structured to gather customer data from High-Net-Worth Individuals (HNWIs) around the world (LVMH, 2023). </w:t>
      </w:r>
    </w:p>
    <w:p w14:paraId="4E282376" w14:textId="5674DD28" w:rsidR="0034266E" w:rsidRDefault="0034266E" w:rsidP="0034266E">
      <w:pPr>
        <w:jc w:val="both"/>
        <w:rPr>
          <w:rFonts w:ascii="Arial" w:hAnsi="Arial" w:cs="Arial"/>
        </w:rPr>
      </w:pPr>
      <w:r>
        <w:rPr>
          <w:rFonts w:ascii="Arial" w:hAnsi="Arial" w:cs="Arial"/>
          <w:b/>
          <w:bCs/>
        </w:rPr>
        <w:t>Spatial Dominance &amp; Competitive Landscape</w:t>
      </w:r>
      <w:r>
        <w:rPr>
          <w:rFonts w:ascii="Arial" w:hAnsi="Arial" w:cs="Arial"/>
        </w:rPr>
        <w:t xml:space="preserve"> </w:t>
      </w:r>
    </w:p>
    <w:p w14:paraId="48AECE07" w14:textId="17009E27" w:rsidR="0034266E" w:rsidRPr="0034266E" w:rsidRDefault="0034266E" w:rsidP="0034266E">
      <w:pPr>
        <w:jc w:val="both"/>
        <w:rPr>
          <w:rFonts w:ascii="Arial" w:hAnsi="Arial" w:cs="Arial"/>
        </w:rPr>
      </w:pPr>
      <w:r>
        <w:rPr>
          <w:rFonts w:ascii="Arial" w:hAnsi="Arial" w:cs="Arial"/>
        </w:rPr>
        <w:t xml:space="preserve">Entering Colombo Port City before leading luxury conglomerates—such as Kering (Gucci, Saint Laurent) &amp; Richemont (Cartier, Montblanc)—enables LVMH to gain first-mover advantages (Liberman &amp; Montgomery, 1988). By securing prime retail locations within the Special Economic Zone (SEZ) Marina district, LVMH achieves “spatial dominance,” </w:t>
      </w:r>
      <w:r>
        <w:rPr>
          <w:rFonts w:ascii="Arial" w:hAnsi="Arial" w:cs="Arial"/>
        </w:rPr>
        <w:lastRenderedPageBreak/>
        <w:t>thereby establishing</w:t>
      </w:r>
      <w:r w:rsidR="002679E4">
        <w:rPr>
          <w:rFonts w:ascii="Arial" w:hAnsi="Arial" w:cs="Arial"/>
        </w:rPr>
        <w:t xml:space="preserve"> significant structural entry barriers for competing luxury brands (Porter, 1985). Additionally, LVMH’s emphasis on soft luxury (including leather goods &amp; fashion) aligns with, rather than competes against, the local Sri Lankan luxury </w:t>
      </w:r>
      <w:r w:rsidR="009977AD">
        <w:rPr>
          <w:rFonts w:ascii="Arial" w:hAnsi="Arial" w:cs="Arial"/>
        </w:rPr>
        <w:t>market, which</w:t>
      </w:r>
      <w:r w:rsidR="002679E4">
        <w:rPr>
          <w:rFonts w:ascii="Arial" w:hAnsi="Arial" w:cs="Arial"/>
        </w:rPr>
        <w:t xml:space="preserve"> features high-end sapphire exporters &amp; bespoke jewelry manufactures (Knight Frank, 2023). </w:t>
      </w:r>
    </w:p>
    <w:p w14:paraId="309FA4E6" w14:textId="77777777" w:rsidR="002C75FC" w:rsidRDefault="002C75FC" w:rsidP="00E23FA3">
      <w:pPr>
        <w:jc w:val="both"/>
        <w:rPr>
          <w:rFonts w:ascii="Arial" w:hAnsi="Arial" w:cs="Arial"/>
        </w:rPr>
      </w:pPr>
    </w:p>
    <w:p w14:paraId="6566A4D1" w14:textId="54820993" w:rsidR="002C75FC" w:rsidRPr="002C75FC" w:rsidRDefault="002C75FC" w:rsidP="00E23FA3">
      <w:pPr>
        <w:pStyle w:val="ListParagraph"/>
        <w:numPr>
          <w:ilvl w:val="0"/>
          <w:numId w:val="4"/>
        </w:numPr>
        <w:jc w:val="both"/>
        <w:rPr>
          <w:rFonts w:ascii="Arial" w:hAnsi="Arial" w:cs="Arial"/>
          <w:b/>
          <w:bCs/>
          <w:sz w:val="28"/>
          <w:szCs w:val="28"/>
        </w:rPr>
      </w:pPr>
      <w:r w:rsidRPr="002C75FC">
        <w:rPr>
          <w:rFonts w:ascii="Arial" w:hAnsi="Arial" w:cs="Arial"/>
          <w:b/>
          <w:bCs/>
          <w:sz w:val="28"/>
          <w:szCs w:val="28"/>
        </w:rPr>
        <w:t xml:space="preserve">Macro-Environmnetal Appraisal &amp; Market Attractiveness </w:t>
      </w:r>
    </w:p>
    <w:p w14:paraId="39D3FCEF" w14:textId="08AB51ED" w:rsidR="002C75FC" w:rsidRDefault="002C75FC" w:rsidP="00E23FA3">
      <w:pPr>
        <w:jc w:val="both"/>
        <w:rPr>
          <w:rFonts w:ascii="Arial" w:hAnsi="Arial" w:cs="Arial"/>
          <w:b/>
          <w:bCs/>
          <w:i/>
          <w:iCs/>
          <w:u w:val="single"/>
        </w:rPr>
      </w:pPr>
      <w:r w:rsidRPr="002C75FC">
        <w:rPr>
          <w:rFonts w:ascii="Arial" w:hAnsi="Arial" w:cs="Arial"/>
          <w:b/>
          <w:bCs/>
          <w:i/>
          <w:iCs/>
          <w:u w:val="single"/>
        </w:rPr>
        <w:t xml:space="preserve">2.1 Strategic Context &amp; Importance </w:t>
      </w:r>
    </w:p>
    <w:p w14:paraId="06EF2063" w14:textId="39EFD9E1" w:rsidR="002C75FC" w:rsidRDefault="002C75FC" w:rsidP="00E23FA3">
      <w:pPr>
        <w:jc w:val="both"/>
        <w:rPr>
          <w:rFonts w:ascii="Arial" w:hAnsi="Arial" w:cs="Arial"/>
        </w:rPr>
      </w:pPr>
      <w:r>
        <w:rPr>
          <w:rFonts w:ascii="Arial" w:hAnsi="Arial" w:cs="Arial"/>
        </w:rPr>
        <w:t xml:space="preserve">In the context of a leading luxury brand, the analysis of macro-environmental factors transcends mere identification of sovereign risks; it fundamentally assesses the concept of “institutional thickness” (Amin, 1999) alongside the enduring economic capabilities of the domestic elite. An evaluation of Sri Lanka necessitates a thorough examination of its ongoing macro-structural adjustments in the aftermath of the 2022 sovereign debt crisis. A comprehensive PESTEL analysis is essential to determine whether the luxury lifestyle and tourism initiatives in Colombo signify a sustainable economic center or merely an overly optimistic forecast. For Louis Vuitton, the macro-environmental feasibility is contingent upon the structural separation between the economic tensions of the mainland and the safeguard regulatory environments of Special Economic Zones. </w:t>
      </w:r>
    </w:p>
    <w:p w14:paraId="10A2FACE" w14:textId="77777777" w:rsidR="00B20466" w:rsidRDefault="00B20466" w:rsidP="00E23FA3">
      <w:pPr>
        <w:jc w:val="both"/>
        <w:rPr>
          <w:rFonts w:ascii="Arial" w:hAnsi="Arial" w:cs="Arial"/>
        </w:rPr>
      </w:pPr>
    </w:p>
    <w:p w14:paraId="2893AB9A" w14:textId="72F4BCE6" w:rsidR="0022773A" w:rsidRPr="0022773A" w:rsidRDefault="0022773A" w:rsidP="00E23FA3">
      <w:pPr>
        <w:jc w:val="both"/>
        <w:rPr>
          <w:rFonts w:ascii="Arial" w:hAnsi="Arial" w:cs="Arial"/>
          <w:b/>
          <w:bCs/>
          <w:i/>
          <w:iCs/>
          <w:u w:val="single"/>
        </w:rPr>
      </w:pPr>
      <w:r w:rsidRPr="0022773A">
        <w:rPr>
          <w:rFonts w:ascii="Arial" w:hAnsi="Arial" w:cs="Arial"/>
          <w:b/>
          <w:bCs/>
          <w:i/>
          <w:iCs/>
          <w:u w:val="single"/>
        </w:rPr>
        <w:t>2.2 Host Country Analysis (PESTEL Factors)</w:t>
      </w:r>
    </w:p>
    <w:p w14:paraId="3CF7305C" w14:textId="26A16F9A" w:rsidR="0022773A" w:rsidRPr="00513C2E" w:rsidRDefault="0022773A" w:rsidP="00E23FA3">
      <w:pPr>
        <w:jc w:val="both"/>
        <w:rPr>
          <w:rFonts w:ascii="Arial" w:hAnsi="Arial" w:cs="Arial"/>
          <w:b/>
          <w:bCs/>
          <w:u w:val="single"/>
        </w:rPr>
      </w:pPr>
      <w:r w:rsidRPr="00513C2E">
        <w:rPr>
          <w:rFonts w:ascii="Arial" w:hAnsi="Arial" w:cs="Arial"/>
          <w:b/>
          <w:bCs/>
          <w:u w:val="single"/>
        </w:rPr>
        <w:t xml:space="preserve">Political &amp; Legal: The SEZ Governance Model </w:t>
      </w:r>
    </w:p>
    <w:p w14:paraId="1C6A869F" w14:textId="0FC84389" w:rsidR="0022773A" w:rsidRDefault="0022773A" w:rsidP="00E23FA3">
      <w:pPr>
        <w:jc w:val="both"/>
        <w:rPr>
          <w:rFonts w:ascii="Arial" w:hAnsi="Arial" w:cs="Arial"/>
        </w:rPr>
      </w:pPr>
      <w:r>
        <w:rPr>
          <w:rFonts w:ascii="Arial" w:hAnsi="Arial" w:cs="Arial"/>
        </w:rPr>
        <w:t xml:space="preserve">The political economy of Sri Lanka is characterized by a structural liberalization strategy that seeks to enhance foreign exchange reserves via Foreign Direct Investment (FDI). The main legal framework facilitating international market entry is the Colombo Port City Special Economic Zone, which was created under the Colombo Port City Economic Commission Act No. 11 of 2021. Industry assessments indicate that the revised shopping and commercial regulations within the Port City have effectively lowered the barriers to entry for international luxury brands (Moodie Davitt Report, 2024). </w:t>
      </w:r>
    </w:p>
    <w:p w14:paraId="41D7C5BA" w14:textId="08A3E209" w:rsidR="00513C2E" w:rsidRDefault="00513C2E" w:rsidP="002C75FC">
      <w:pPr>
        <w:rPr>
          <w:rFonts w:ascii="Arial" w:hAnsi="Arial" w:cs="Arial"/>
        </w:rPr>
      </w:pPr>
      <w:r>
        <w:rPr>
          <w:rFonts w:ascii="Arial" w:hAnsi="Arial" w:cs="Arial"/>
          <w:noProof/>
        </w:rPr>
        <w:lastRenderedPageBreak/>
        <w:drawing>
          <wp:inline distT="0" distB="0" distL="0" distR="0" wp14:anchorId="32F18C50" wp14:editId="7DCE5E40">
            <wp:extent cx="5366084" cy="3577389"/>
            <wp:effectExtent l="0" t="0" r="6350" b="4445"/>
            <wp:docPr id="5004596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459692" name="Picture 50045969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374099" cy="3582733"/>
                    </a:xfrm>
                    <a:prstGeom prst="rect">
                      <a:avLst/>
                    </a:prstGeom>
                  </pic:spPr>
                </pic:pic>
              </a:graphicData>
            </a:graphic>
          </wp:inline>
        </w:drawing>
      </w:r>
    </w:p>
    <w:p w14:paraId="4FC4D5DA" w14:textId="64489AAC" w:rsidR="00513C2E" w:rsidRDefault="00513C2E" w:rsidP="00E23FA3">
      <w:pPr>
        <w:jc w:val="both"/>
        <w:rPr>
          <w:rFonts w:ascii="Arial" w:hAnsi="Arial" w:cs="Arial"/>
        </w:rPr>
      </w:pPr>
      <w:r>
        <w:rPr>
          <w:rFonts w:ascii="Arial" w:hAnsi="Arial" w:cs="Arial"/>
        </w:rPr>
        <w:t>The legal framework governing the Special Economic Zone (SEZ) is effectively separated from the legal system of the maintained Notable benefits include:</w:t>
      </w:r>
    </w:p>
    <w:p w14:paraId="73A7E863" w14:textId="4F8EFF8F" w:rsidR="00513C2E" w:rsidRPr="00E23FA3" w:rsidRDefault="00513C2E" w:rsidP="00E23FA3">
      <w:pPr>
        <w:pStyle w:val="ListParagraph"/>
        <w:numPr>
          <w:ilvl w:val="0"/>
          <w:numId w:val="6"/>
        </w:numPr>
        <w:jc w:val="both"/>
        <w:rPr>
          <w:rFonts w:ascii="Arial" w:hAnsi="Arial" w:cs="Arial"/>
        </w:rPr>
      </w:pPr>
      <w:r w:rsidRPr="00E23FA3">
        <w:rPr>
          <w:rFonts w:ascii="Arial" w:hAnsi="Arial" w:cs="Arial"/>
          <w:b/>
          <w:bCs/>
        </w:rPr>
        <w:t>Statutory Isolation:</w:t>
      </w:r>
      <w:r w:rsidRPr="00E23FA3">
        <w:rPr>
          <w:rFonts w:ascii="Arial" w:hAnsi="Arial" w:cs="Arial"/>
        </w:rPr>
        <w:t xml:space="preserve"> The SEZ functions under a distinct administration that is empowered to issue single-window operating licenses, thereby streamlining the regulatory approval process. </w:t>
      </w:r>
    </w:p>
    <w:p w14:paraId="58BD6D07" w14:textId="06CF8697" w:rsidR="00513C2E" w:rsidRPr="00E23FA3" w:rsidRDefault="00513C2E" w:rsidP="00E23FA3">
      <w:pPr>
        <w:pStyle w:val="ListParagraph"/>
        <w:numPr>
          <w:ilvl w:val="0"/>
          <w:numId w:val="6"/>
        </w:numPr>
        <w:jc w:val="both"/>
        <w:rPr>
          <w:rFonts w:ascii="Arial" w:hAnsi="Arial" w:cs="Arial"/>
        </w:rPr>
      </w:pPr>
      <w:r w:rsidRPr="00E23FA3">
        <w:rPr>
          <w:rFonts w:ascii="Arial" w:hAnsi="Arial" w:cs="Arial"/>
          <w:b/>
          <w:bCs/>
        </w:rPr>
        <w:t>Dispute Resolution:</w:t>
      </w:r>
      <w:r w:rsidRPr="00E23FA3">
        <w:rPr>
          <w:rFonts w:ascii="Arial" w:hAnsi="Arial" w:cs="Arial"/>
        </w:rPr>
        <w:t xml:space="preserve"> Commercial disputes are directed to international arbitration mechanisms (for instance, the International </w:t>
      </w:r>
      <w:r w:rsidR="0099375E" w:rsidRPr="00E23FA3">
        <w:rPr>
          <w:rFonts w:ascii="Arial" w:hAnsi="Arial" w:cs="Arial"/>
        </w:rPr>
        <w:t>Arbitration</w:t>
      </w:r>
      <w:r w:rsidRPr="00E23FA3">
        <w:rPr>
          <w:rFonts w:ascii="Arial" w:hAnsi="Arial" w:cs="Arial"/>
        </w:rPr>
        <w:t xml:space="preserve"> </w:t>
      </w:r>
      <w:r w:rsidR="0099375E" w:rsidRPr="00E23FA3">
        <w:rPr>
          <w:rFonts w:ascii="Arial" w:hAnsi="Arial" w:cs="Arial"/>
        </w:rPr>
        <w:t>Centre in Singapore</w:t>
      </w:r>
      <w:r w:rsidRPr="00E23FA3">
        <w:rPr>
          <w:rFonts w:ascii="Arial" w:hAnsi="Arial" w:cs="Arial"/>
        </w:rPr>
        <w:t>)</w:t>
      </w:r>
      <w:r w:rsidR="0099375E" w:rsidRPr="00E23FA3">
        <w:rPr>
          <w:rFonts w:ascii="Arial" w:hAnsi="Arial" w:cs="Arial"/>
        </w:rPr>
        <w:t xml:space="preserve">, circumventing the backlog of cases in the mainland judiciary. </w:t>
      </w:r>
    </w:p>
    <w:p w14:paraId="3D39F494" w14:textId="386B087B" w:rsidR="0099375E" w:rsidRDefault="0099375E" w:rsidP="00E23FA3">
      <w:pPr>
        <w:pStyle w:val="ListParagraph"/>
        <w:numPr>
          <w:ilvl w:val="0"/>
          <w:numId w:val="6"/>
        </w:numPr>
        <w:jc w:val="both"/>
        <w:rPr>
          <w:rFonts w:ascii="Arial" w:hAnsi="Arial" w:cs="Arial"/>
        </w:rPr>
      </w:pPr>
      <w:r w:rsidRPr="00E23FA3">
        <w:rPr>
          <w:rFonts w:ascii="Arial" w:hAnsi="Arial" w:cs="Arial"/>
          <w:b/>
          <w:bCs/>
        </w:rPr>
        <w:t>Anchor FDI Tenants</w:t>
      </w:r>
      <w:r w:rsidRPr="00E23FA3">
        <w:rPr>
          <w:rFonts w:ascii="Arial" w:hAnsi="Arial" w:cs="Arial"/>
        </w:rPr>
        <w:t xml:space="preserve">: The presence of duty-free operators, such as China Duty Free Group (CDFG) and One World Duty Free, affirms the commercial feasibility of the SEZ &amp; distributes foundational development risks among prominent international corporations. </w:t>
      </w:r>
    </w:p>
    <w:p w14:paraId="4C9E1845" w14:textId="6815E0F6" w:rsidR="00CB3D44" w:rsidRDefault="00E23FA3" w:rsidP="00E23FA3">
      <w:pPr>
        <w:jc w:val="both"/>
        <w:rPr>
          <w:rFonts w:ascii="Arial" w:hAnsi="Arial" w:cs="Arial"/>
        </w:rPr>
      </w:pPr>
      <w:r>
        <w:rPr>
          <w:rFonts w:ascii="Arial" w:hAnsi="Arial" w:cs="Arial"/>
        </w:rPr>
        <w:t xml:space="preserve">Counter-Argument &amp; Risk Analysis: Detractors contend that the regulatory </w:t>
      </w:r>
      <w:r w:rsidR="00A522E8">
        <w:rPr>
          <w:rFonts w:ascii="Arial" w:hAnsi="Arial" w:cs="Arial"/>
        </w:rPr>
        <w:t>frameworks governing</w:t>
      </w:r>
      <w:r>
        <w:rPr>
          <w:rFonts w:ascii="Arial" w:hAnsi="Arial" w:cs="Arial"/>
        </w:rPr>
        <w:t xml:space="preserve"> Special Economic Zones (SEZs) are vulnerable to overarching political instability &amp; possible legislative amendments instigated by emerging domestic parliamentary coa</w:t>
      </w:r>
      <w:r w:rsidR="00A522E8">
        <w:rPr>
          <w:rFonts w:ascii="Arial" w:hAnsi="Arial" w:cs="Arial"/>
        </w:rPr>
        <w:t xml:space="preserve">litions (Kelegama, 2023). Should a subsequent government attempt to renegotiate tax concessions associated with SEZs </w:t>
      </w:r>
      <w:r w:rsidR="00CB3D44">
        <w:rPr>
          <w:rFonts w:ascii="Arial" w:hAnsi="Arial" w:cs="Arial"/>
        </w:rPr>
        <w:t>to</w:t>
      </w:r>
      <w:r w:rsidR="00A522E8">
        <w:rPr>
          <w:rFonts w:ascii="Arial" w:hAnsi="Arial" w:cs="Arial"/>
        </w:rPr>
        <w:t xml:space="preserve"> mitigate tax revenue shortfalls on the mainland, LV may encounter unforeseen compliance expenses or alternations in tariffs. Nevertheless, given that the SEZ structure is legally protected under international law, the probability of direct statutory expropriation or operational interruption remains minimal. </w:t>
      </w:r>
    </w:p>
    <w:p w14:paraId="5FEBDA9E" w14:textId="6CB93EAF" w:rsidR="00CB3D44" w:rsidRDefault="00CB3D44" w:rsidP="00EF53AD">
      <w:pPr>
        <w:jc w:val="both"/>
        <w:rPr>
          <w:rFonts w:ascii="Arial" w:hAnsi="Arial" w:cs="Arial"/>
          <w:b/>
          <w:bCs/>
          <w:i/>
          <w:iCs/>
          <w:u w:val="single"/>
        </w:rPr>
      </w:pPr>
      <w:r w:rsidRPr="00CB3D44">
        <w:rPr>
          <w:rFonts w:ascii="Arial" w:hAnsi="Arial" w:cs="Arial"/>
          <w:b/>
          <w:bCs/>
          <w:i/>
          <w:iCs/>
          <w:u w:val="single"/>
        </w:rPr>
        <w:lastRenderedPageBreak/>
        <w:t>Economic: Macroeconomic Indicators &amp; Structural Weaknesses</w:t>
      </w:r>
    </w:p>
    <w:p w14:paraId="4DC14726" w14:textId="2258A14F" w:rsidR="00CB3D44" w:rsidRDefault="00CB3D44" w:rsidP="00EF53AD">
      <w:pPr>
        <w:jc w:val="both"/>
        <w:rPr>
          <w:rFonts w:ascii="Arial" w:hAnsi="Arial" w:cs="Arial"/>
        </w:rPr>
      </w:pPr>
      <w:r>
        <w:rPr>
          <w:rFonts w:ascii="Arial" w:hAnsi="Arial" w:cs="Arial"/>
        </w:rPr>
        <w:t xml:space="preserve">Sri Lanka’s economic path continues to be associated with the performance benchmarks set forth by the International Monetary Fund’s (IMF) </w:t>
      </w:r>
      <w:r w:rsidRPr="00CB3D44">
        <w:rPr>
          <w:rFonts w:ascii="Arial" w:hAnsi="Arial" w:cs="Arial"/>
        </w:rPr>
        <w:t>$</w:t>
      </w:r>
      <w:r>
        <w:rPr>
          <w:rFonts w:ascii="Arial" w:hAnsi="Arial" w:cs="Arial"/>
        </w:rPr>
        <w:t xml:space="preserve">3 billion Extended Fund Facility (EFF) agreement. </w:t>
      </w:r>
    </w:p>
    <w:tbl>
      <w:tblPr>
        <w:tblStyle w:val="GridTable5Dark"/>
        <w:tblW w:w="0" w:type="auto"/>
        <w:tblLook w:val="04A0" w:firstRow="1" w:lastRow="0" w:firstColumn="1" w:lastColumn="0" w:noHBand="0" w:noVBand="1"/>
      </w:tblPr>
      <w:tblGrid>
        <w:gridCol w:w="1774"/>
        <w:gridCol w:w="2097"/>
        <w:gridCol w:w="1828"/>
        <w:gridCol w:w="1828"/>
        <w:gridCol w:w="1823"/>
      </w:tblGrid>
      <w:tr w:rsidR="007B4079" w14:paraId="6F004441" w14:textId="77777777" w:rsidTr="007017C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53A3C489" w14:textId="537A8D6F" w:rsidR="007B4079" w:rsidRPr="00F22D5B" w:rsidRDefault="007017C3" w:rsidP="00CB3D44">
            <w:pPr>
              <w:rPr>
                <w:rFonts w:ascii="Arial" w:hAnsi="Arial" w:cs="Arial"/>
              </w:rPr>
            </w:pPr>
            <w:r w:rsidRPr="00F22D5B">
              <w:rPr>
                <w:rFonts w:ascii="Arial" w:hAnsi="Arial" w:cs="Arial"/>
                <w:color w:val="auto"/>
              </w:rPr>
              <w:t xml:space="preserve">Economic Indicator </w:t>
            </w:r>
          </w:p>
        </w:tc>
        <w:tc>
          <w:tcPr>
            <w:tcW w:w="1870" w:type="dxa"/>
          </w:tcPr>
          <w:p w14:paraId="4CB7A8F1" w14:textId="799F0C03" w:rsidR="007B4079" w:rsidRDefault="007017C3" w:rsidP="00CB3D44">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Historical / Baseline (2022 Crisis)</w:t>
            </w:r>
          </w:p>
        </w:tc>
        <w:tc>
          <w:tcPr>
            <w:tcW w:w="1870" w:type="dxa"/>
          </w:tcPr>
          <w:p w14:paraId="3CD8F1FA" w14:textId="07325AEB" w:rsidR="007B4079" w:rsidRDefault="007017C3" w:rsidP="00CB3D44">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Current Trajectory (IMF 2024 Data)</w:t>
            </w:r>
          </w:p>
        </w:tc>
        <w:tc>
          <w:tcPr>
            <w:tcW w:w="1870" w:type="dxa"/>
          </w:tcPr>
          <w:p w14:paraId="69C7E826" w14:textId="16C1E52F" w:rsidR="007B4079" w:rsidRDefault="007017C3" w:rsidP="00CB3D44">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Projected Metric (2025-20226 Target)</w:t>
            </w:r>
          </w:p>
        </w:tc>
        <w:tc>
          <w:tcPr>
            <w:tcW w:w="1870" w:type="dxa"/>
          </w:tcPr>
          <w:p w14:paraId="3521DBF6" w14:textId="459C6104" w:rsidR="007B4079" w:rsidRDefault="007017C3" w:rsidP="00CB3D44">
            <w:pP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Strategic Operational Implications for Louis Vuitton</w:t>
            </w:r>
          </w:p>
        </w:tc>
      </w:tr>
      <w:tr w:rsidR="007B4079" w14:paraId="749EBF9B" w14:textId="77777777" w:rsidTr="007017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78477449" w14:textId="10607F5C" w:rsidR="007B4079" w:rsidRDefault="007017C3" w:rsidP="00CB3D44">
            <w:pPr>
              <w:rPr>
                <w:rFonts w:ascii="Arial" w:hAnsi="Arial" w:cs="Arial"/>
              </w:rPr>
            </w:pPr>
            <w:r>
              <w:rPr>
                <w:rFonts w:ascii="Arial" w:hAnsi="Arial" w:cs="Arial"/>
              </w:rPr>
              <w:t>Real GDP Growth</w:t>
            </w:r>
          </w:p>
        </w:tc>
        <w:tc>
          <w:tcPr>
            <w:tcW w:w="1870" w:type="dxa"/>
          </w:tcPr>
          <w:p w14:paraId="68450C54" w14:textId="398F2772" w:rsidR="007B4079" w:rsidRDefault="007017C3" w:rsidP="00CB3D44">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-7.3% (Severe Contraction)</w:t>
            </w:r>
          </w:p>
        </w:tc>
        <w:tc>
          <w:tcPr>
            <w:tcW w:w="1870" w:type="dxa"/>
          </w:tcPr>
          <w:p w14:paraId="3BF6DD70" w14:textId="4544B554" w:rsidR="007B4079" w:rsidRDefault="007017C3" w:rsidP="00CB3D44">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+2.2% to +3.0% (Stabilization Phase)</w:t>
            </w:r>
          </w:p>
        </w:tc>
        <w:tc>
          <w:tcPr>
            <w:tcW w:w="1870" w:type="dxa"/>
          </w:tcPr>
          <w:p w14:paraId="0899F33F" w14:textId="56F84AAF" w:rsidR="007B4079" w:rsidRDefault="007017C3" w:rsidP="00CB3D44">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+3.5% to +4.5% (Recovery)</w:t>
            </w:r>
          </w:p>
        </w:tc>
        <w:tc>
          <w:tcPr>
            <w:tcW w:w="1870" w:type="dxa"/>
          </w:tcPr>
          <w:p w14:paraId="15157E66" w14:textId="161B6501" w:rsidR="007B4079" w:rsidRDefault="007017C3" w:rsidP="00CB3D44">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Restores baseline consumer confidence &amp; domestic elite spending power.  </w:t>
            </w:r>
          </w:p>
        </w:tc>
      </w:tr>
      <w:tr w:rsidR="007B4079" w14:paraId="448218DF" w14:textId="77777777" w:rsidTr="007017C3">
        <w:tc>
          <w:tcPr>
            <w:cnfStyle w:val="001000000000" w:firstRow="0" w:lastRow="0" w:firstColumn="1" w:lastColumn="0" w:oddVBand="0" w:evenVBand="0" w:oddHBand="0" w:evenHBand="0" w:firstRowFirstColumn="0" w:firstRowLastColumn="0" w:lastRowFirstColumn="0" w:lastRowLastColumn="0"/>
            <w:tcW w:w="1870" w:type="dxa"/>
          </w:tcPr>
          <w:p w14:paraId="09299220" w14:textId="4929CBD8" w:rsidR="007B4079" w:rsidRDefault="007017C3" w:rsidP="00CB3D44">
            <w:pPr>
              <w:rPr>
                <w:rFonts w:ascii="Arial" w:hAnsi="Arial" w:cs="Arial"/>
              </w:rPr>
            </w:pPr>
            <w:r>
              <w:rPr>
                <w:rFonts w:ascii="Arial" w:hAnsi="Arial" w:cs="Arial"/>
              </w:rPr>
              <w:t>Headline Inflation (CCPI)</w:t>
            </w:r>
          </w:p>
        </w:tc>
        <w:tc>
          <w:tcPr>
            <w:tcW w:w="1870" w:type="dxa"/>
          </w:tcPr>
          <w:p w14:paraId="1AD78FFF" w14:textId="5E1C35F4" w:rsidR="007B4079" w:rsidRDefault="00F22D5B" w:rsidP="00CB3D44">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Peak 69.8% (Hyperinflationary Risk)</w:t>
            </w:r>
          </w:p>
        </w:tc>
        <w:tc>
          <w:tcPr>
            <w:tcW w:w="1870" w:type="dxa"/>
          </w:tcPr>
          <w:p w14:paraId="5ABBF038" w14:textId="0DEB11E3" w:rsidR="007B4079" w:rsidRDefault="00F22D5B" w:rsidP="00CB3D44">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Decelerating to 0.8%-2.5%</w:t>
            </w:r>
          </w:p>
        </w:tc>
        <w:tc>
          <w:tcPr>
            <w:tcW w:w="1870" w:type="dxa"/>
          </w:tcPr>
          <w:p w14:paraId="76FB723A" w14:textId="2AB9B1EA" w:rsidR="007B4079" w:rsidRDefault="00F22D5B" w:rsidP="00CB3D44">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Stabilized at -5.0% target </w:t>
            </w:r>
          </w:p>
        </w:tc>
        <w:tc>
          <w:tcPr>
            <w:tcW w:w="1870" w:type="dxa"/>
          </w:tcPr>
          <w:p w14:paraId="275A0BC4" w14:textId="192BE363" w:rsidR="007B4079" w:rsidRDefault="00F22D5B" w:rsidP="00CB3D44">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Ensures operational cost predictability for retail overheads and store buildouts. </w:t>
            </w:r>
          </w:p>
        </w:tc>
      </w:tr>
      <w:tr w:rsidR="007B4079" w14:paraId="0A123112" w14:textId="77777777" w:rsidTr="007017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4E010578" w14:textId="56F42008" w:rsidR="007B4079" w:rsidRDefault="00F22D5B" w:rsidP="00CB3D44">
            <w:pPr>
              <w:rPr>
                <w:rFonts w:ascii="Arial" w:hAnsi="Arial" w:cs="Arial"/>
              </w:rPr>
            </w:pPr>
            <w:r>
              <w:rPr>
                <w:rFonts w:ascii="Arial" w:hAnsi="Arial" w:cs="Arial"/>
              </w:rPr>
              <w:t xml:space="preserve">Foreign Exchange Reserves </w:t>
            </w:r>
          </w:p>
        </w:tc>
        <w:tc>
          <w:tcPr>
            <w:tcW w:w="1870" w:type="dxa"/>
          </w:tcPr>
          <w:p w14:paraId="183B99FF" w14:textId="6FE40DBD" w:rsidR="007B4079" w:rsidRDefault="00F22D5B" w:rsidP="00CB3D44">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Unusable reserves &lt;$50 million</w:t>
            </w:r>
          </w:p>
        </w:tc>
        <w:tc>
          <w:tcPr>
            <w:tcW w:w="1870" w:type="dxa"/>
          </w:tcPr>
          <w:p w14:paraId="418F9777" w14:textId="63614A1F" w:rsidR="007B4079" w:rsidRDefault="00F22D5B" w:rsidP="00CB3D44">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Rebounded to -$5.4 billion </w:t>
            </w:r>
          </w:p>
        </w:tc>
        <w:tc>
          <w:tcPr>
            <w:tcW w:w="1870" w:type="dxa"/>
          </w:tcPr>
          <w:p w14:paraId="3CB2832D" w14:textId="7BA26987" w:rsidR="007B4079" w:rsidRDefault="00F22D5B" w:rsidP="00CB3D44">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Target &gt;$7.0 billion</w:t>
            </w:r>
          </w:p>
        </w:tc>
        <w:tc>
          <w:tcPr>
            <w:tcW w:w="1870" w:type="dxa"/>
          </w:tcPr>
          <w:p w14:paraId="275F321C" w14:textId="1E8F884C" w:rsidR="007B4079" w:rsidRDefault="00F22D5B" w:rsidP="00CB3D44">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Eases import restrictions on luxury merchandise and support currency conversion.</w:t>
            </w:r>
          </w:p>
        </w:tc>
      </w:tr>
      <w:tr w:rsidR="007B4079" w14:paraId="2EFE848D" w14:textId="77777777" w:rsidTr="007017C3">
        <w:tc>
          <w:tcPr>
            <w:cnfStyle w:val="001000000000" w:firstRow="0" w:lastRow="0" w:firstColumn="1" w:lastColumn="0" w:oddVBand="0" w:evenVBand="0" w:oddHBand="0" w:evenHBand="0" w:firstRowFirstColumn="0" w:firstRowLastColumn="0" w:lastRowFirstColumn="0" w:lastRowLastColumn="0"/>
            <w:tcW w:w="1870" w:type="dxa"/>
          </w:tcPr>
          <w:p w14:paraId="76F12B4B" w14:textId="2594A16F" w:rsidR="007B4079" w:rsidRDefault="00F22D5B" w:rsidP="00CB3D44">
            <w:pPr>
              <w:rPr>
                <w:rFonts w:ascii="Arial" w:hAnsi="Arial" w:cs="Arial"/>
              </w:rPr>
            </w:pPr>
            <w:r>
              <w:rPr>
                <w:rFonts w:ascii="Arial" w:hAnsi="Arial" w:cs="Arial"/>
              </w:rPr>
              <w:t xml:space="preserve">External Debt Status </w:t>
            </w:r>
          </w:p>
        </w:tc>
        <w:tc>
          <w:tcPr>
            <w:tcW w:w="1870" w:type="dxa"/>
          </w:tcPr>
          <w:p w14:paraId="1D16DF73" w14:textId="743335C8" w:rsidR="007B4079" w:rsidRDefault="00F22D5B" w:rsidP="00CB3D44">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Sovereign Default (May 2022)</w:t>
            </w:r>
          </w:p>
        </w:tc>
        <w:tc>
          <w:tcPr>
            <w:tcW w:w="1870" w:type="dxa"/>
          </w:tcPr>
          <w:p w14:paraId="1186F45B" w14:textId="5E71F39E" w:rsidR="007B4079" w:rsidRDefault="00F22D5B" w:rsidP="00CB3D44">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Restructuring in progress / Bilateral agreements </w:t>
            </w:r>
          </w:p>
        </w:tc>
        <w:tc>
          <w:tcPr>
            <w:tcW w:w="1870" w:type="dxa"/>
          </w:tcPr>
          <w:p w14:paraId="0158F5AB" w14:textId="71C8C7B9" w:rsidR="007B4079" w:rsidRDefault="00F22D5B" w:rsidP="00CB3D44">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Full Restructuring Completion</w:t>
            </w:r>
          </w:p>
        </w:tc>
        <w:tc>
          <w:tcPr>
            <w:tcW w:w="1870" w:type="dxa"/>
          </w:tcPr>
          <w:p w14:paraId="4CD553D9" w14:textId="622E01A2" w:rsidR="007B4079" w:rsidRDefault="00F22D5B" w:rsidP="00CB3D44">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Critical Risk: Delays in final agreements could trigger FX volatility and capital controls. </w:t>
            </w:r>
          </w:p>
        </w:tc>
      </w:tr>
    </w:tbl>
    <w:p w14:paraId="69ACBE3B" w14:textId="77777777" w:rsidR="00CB3D44" w:rsidRDefault="00CB3D44" w:rsidP="00CB3D44">
      <w:pPr>
        <w:rPr>
          <w:rFonts w:ascii="Arial" w:hAnsi="Arial" w:cs="Arial"/>
        </w:rPr>
      </w:pPr>
    </w:p>
    <w:p w14:paraId="76D89C65" w14:textId="0CD2F2EA" w:rsidR="00C97556" w:rsidRDefault="00C97556" w:rsidP="00EF53AD">
      <w:pPr>
        <w:jc w:val="both"/>
        <w:rPr>
          <w:rFonts w:ascii="Arial" w:hAnsi="Arial" w:cs="Arial"/>
        </w:rPr>
      </w:pPr>
      <w:r>
        <w:rPr>
          <w:rFonts w:ascii="Arial" w:hAnsi="Arial" w:cs="Arial"/>
        </w:rPr>
        <w:t xml:space="preserve">The macroeconomic framework established by the IMF presupposes the finalization of both commercial &amp; bilateral debt restructuring agreements. Although economic stabilization has led to a reduction in inflation, import duties on luxury apparel and leather goods in the mainland can reach as high as 30-50% due to the cumulative effect of </w:t>
      </w:r>
      <w:r>
        <w:rPr>
          <w:rFonts w:ascii="Arial" w:hAnsi="Arial" w:cs="Arial"/>
        </w:rPr>
        <w:lastRenderedPageBreak/>
        <w:t xml:space="preserve">customs levies, luxury taxes, and adjustments to the Value Added Tax (VAT) (CBSL, 2023). If LV operates outside </w:t>
      </w:r>
      <w:r w:rsidR="00220248">
        <w:rPr>
          <w:rFonts w:ascii="Arial" w:hAnsi="Arial" w:cs="Arial"/>
        </w:rPr>
        <w:t xml:space="preserve">the Special Economic Zone (SEZ), it will either have to absorb these additional costs or transfer them to consumers, resulting in price discrepancies when compared to regional luxury markets such as Singapore or Dubai. Conversely, operating within the SEZ allows for a duty-free environment, thereby removing these statutory tariffs and facilitating price parity. </w:t>
      </w:r>
    </w:p>
    <w:p w14:paraId="0FA2FB49" w14:textId="77777777" w:rsidR="000E2BFF" w:rsidRDefault="000E2BFF" w:rsidP="00EF53AD">
      <w:pPr>
        <w:jc w:val="both"/>
        <w:rPr>
          <w:rFonts w:ascii="Arial" w:hAnsi="Arial" w:cs="Arial"/>
        </w:rPr>
      </w:pPr>
    </w:p>
    <w:p w14:paraId="56C81536" w14:textId="3CBB8331" w:rsidR="000E2BFF" w:rsidRDefault="000E2BFF" w:rsidP="00EF53AD">
      <w:pPr>
        <w:jc w:val="both"/>
        <w:rPr>
          <w:rFonts w:ascii="Arial" w:hAnsi="Arial" w:cs="Arial"/>
          <w:b/>
          <w:bCs/>
          <w:i/>
          <w:iCs/>
          <w:u w:val="single"/>
        </w:rPr>
      </w:pPr>
      <w:r w:rsidRPr="000E2BFF">
        <w:rPr>
          <w:rFonts w:ascii="Arial" w:hAnsi="Arial" w:cs="Arial"/>
          <w:b/>
          <w:bCs/>
          <w:i/>
          <w:iCs/>
          <w:u w:val="single"/>
        </w:rPr>
        <w:t>Socio-Cultural: Wealth Disparity &amp; Affluence in Consumption</w:t>
      </w:r>
    </w:p>
    <w:p w14:paraId="4BDD56D2" w14:textId="0A8D7739" w:rsidR="000E2BFF" w:rsidRDefault="000E2BFF" w:rsidP="00EF53AD">
      <w:pPr>
        <w:jc w:val="both"/>
        <w:rPr>
          <w:rFonts w:ascii="Arial" w:hAnsi="Arial" w:cs="Arial"/>
        </w:rPr>
      </w:pPr>
      <w:r>
        <w:rPr>
          <w:rFonts w:ascii="Arial" w:hAnsi="Arial" w:cs="Arial"/>
        </w:rPr>
        <w:t xml:space="preserve">The socio-cultural landscape of Sri Lanka’s luxury consumer base is experiencing significant transformation. The key market segment for Louis Vuitton is primarily focused on two principal demographics: </w:t>
      </w:r>
    </w:p>
    <w:p w14:paraId="1DF51A57" w14:textId="6DE721BB" w:rsidR="000E2BFF" w:rsidRDefault="0014389C" w:rsidP="00CB3D44">
      <w:pPr>
        <w:rPr>
          <w:rFonts w:ascii="Arial" w:hAnsi="Arial" w:cs="Arial"/>
        </w:rPr>
      </w:pPr>
      <w:r>
        <w:rPr>
          <w:rFonts w:ascii="Arial" w:hAnsi="Arial" w:cs="Arial"/>
          <w:noProof/>
        </w:rPr>
        <w:drawing>
          <wp:inline distT="0" distB="0" distL="0" distR="0" wp14:anchorId="5705E3D1" wp14:editId="592FA749">
            <wp:extent cx="5943600" cy="3112169"/>
            <wp:effectExtent l="0" t="0" r="0" b="0"/>
            <wp:docPr id="370044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04457" name="Picture 3700445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51417" cy="3116262"/>
                    </a:xfrm>
                    <a:prstGeom prst="rect">
                      <a:avLst/>
                    </a:prstGeom>
                  </pic:spPr>
                </pic:pic>
              </a:graphicData>
            </a:graphic>
          </wp:inline>
        </w:drawing>
      </w:r>
    </w:p>
    <w:p w14:paraId="13B281E5" w14:textId="7E8F43F9" w:rsidR="0014389C" w:rsidRPr="000212BA" w:rsidRDefault="0014389C" w:rsidP="00EF53AD">
      <w:pPr>
        <w:pStyle w:val="ListParagraph"/>
        <w:numPr>
          <w:ilvl w:val="0"/>
          <w:numId w:val="7"/>
        </w:numPr>
        <w:jc w:val="both"/>
        <w:rPr>
          <w:rFonts w:ascii="Arial" w:hAnsi="Arial" w:cs="Arial"/>
        </w:rPr>
      </w:pPr>
      <w:r w:rsidRPr="000212BA">
        <w:rPr>
          <w:rFonts w:ascii="Arial" w:hAnsi="Arial" w:cs="Arial"/>
          <w:b/>
          <w:bCs/>
        </w:rPr>
        <w:t xml:space="preserve">Domestic High Net Worth Individuals (HNWIs) &amp; Ultra High Net Worth Individuals (UHNWI) Elite: </w:t>
      </w:r>
      <w:r w:rsidRPr="000212BA">
        <w:rPr>
          <w:rFonts w:ascii="Arial" w:hAnsi="Arial" w:cs="Arial"/>
        </w:rPr>
        <w:t xml:space="preserve">As reported in Knight Frank’s Wealth Report (2023), Sri Lanka is home to around 2,800 HNWIs, defined as individuals possessing net assets exceeding $1 million USD. Despite overreaching economic difficulties, the wealth accumulation among the upper echelon has shown remarkable resilience. Traditionally, this demographic has engaged in luxury spending abroad, particularly in cities such as Dubai, London, and Singapore. By establishing a direct presence in Port City, there is an opportunity to retain this capital locally. </w:t>
      </w:r>
    </w:p>
    <w:p w14:paraId="54726858" w14:textId="3A3756A5" w:rsidR="000212BA" w:rsidRDefault="00981CAA" w:rsidP="00EF53AD">
      <w:pPr>
        <w:pStyle w:val="ListParagraph"/>
        <w:numPr>
          <w:ilvl w:val="0"/>
          <w:numId w:val="7"/>
        </w:numPr>
        <w:jc w:val="both"/>
        <w:rPr>
          <w:rFonts w:ascii="Arial" w:hAnsi="Arial" w:cs="Arial"/>
        </w:rPr>
      </w:pPr>
      <w:r w:rsidRPr="000212BA">
        <w:rPr>
          <w:rFonts w:ascii="Arial" w:hAnsi="Arial" w:cs="Arial"/>
          <w:b/>
          <w:bCs/>
        </w:rPr>
        <w:t>Regional Travel Retail (The Indian Outbound Segment):</w:t>
      </w:r>
      <w:r w:rsidRPr="000212BA">
        <w:rPr>
          <w:rFonts w:ascii="Arial" w:hAnsi="Arial" w:cs="Arial"/>
        </w:rPr>
        <w:t xml:space="preserve"> India is recognized as one of the most rapidly expanding luxury markets worldwide, with projections indicating it will reach $200 billion by 2030 (Deloitte, 2023). The geographical </w:t>
      </w:r>
      <w:r w:rsidRPr="000212BA">
        <w:rPr>
          <w:rFonts w:ascii="Arial" w:hAnsi="Arial" w:cs="Arial"/>
        </w:rPr>
        <w:lastRenderedPageBreak/>
        <w:t xml:space="preserve">advantage of Colombo—being a mere 1-to-3-hour flight from key South Indian economic centers (Chennai, Bengaluru, Mumbai)—positions Port City as a conveniently accessible, near-shore duty-free luxury destination. </w:t>
      </w:r>
    </w:p>
    <w:p w14:paraId="42048053" w14:textId="02A35FCF" w:rsidR="000212BA" w:rsidRDefault="000212BA" w:rsidP="00EF53AD">
      <w:pPr>
        <w:jc w:val="both"/>
        <w:rPr>
          <w:rFonts w:ascii="Arial" w:hAnsi="Arial" w:cs="Arial"/>
        </w:rPr>
      </w:pPr>
      <w:r>
        <w:rPr>
          <w:rFonts w:ascii="Arial" w:hAnsi="Arial" w:cs="Arial"/>
        </w:rPr>
        <w:t xml:space="preserve">Socio-Cultural Risks: The launch of conspicuous high-end luxury during a period of economic recovery in the mainland involves minor risks of social backlash related to wealth inequality (Piketty, 2014). However, the geographical positioning within the offshore SEZ shields the retail presence from domestic political sensitivities. </w:t>
      </w:r>
    </w:p>
    <w:p w14:paraId="2D0F2273" w14:textId="77777777" w:rsidR="00C5507E" w:rsidRDefault="00C5507E" w:rsidP="00EF53AD">
      <w:pPr>
        <w:jc w:val="both"/>
        <w:rPr>
          <w:rFonts w:ascii="Arial" w:hAnsi="Arial" w:cs="Arial"/>
        </w:rPr>
      </w:pPr>
    </w:p>
    <w:p w14:paraId="5503EAE6" w14:textId="6D3EBA6A" w:rsidR="00C5507E" w:rsidRDefault="00C5507E" w:rsidP="00EF53AD">
      <w:pPr>
        <w:jc w:val="both"/>
        <w:rPr>
          <w:rFonts w:ascii="Arial" w:hAnsi="Arial" w:cs="Arial"/>
          <w:b/>
          <w:bCs/>
          <w:i/>
          <w:iCs/>
          <w:u w:val="single"/>
        </w:rPr>
      </w:pPr>
      <w:r w:rsidRPr="00C5507E">
        <w:rPr>
          <w:rFonts w:ascii="Arial" w:hAnsi="Arial" w:cs="Arial"/>
          <w:b/>
          <w:bCs/>
          <w:i/>
          <w:iCs/>
          <w:u w:val="single"/>
        </w:rPr>
        <w:t>Technological, Environmental &amp; Global Trends</w:t>
      </w:r>
    </w:p>
    <w:p w14:paraId="156EADC9" w14:textId="70F3DAA1" w:rsidR="00C5507E" w:rsidRDefault="00C5507E" w:rsidP="00EF53AD">
      <w:pPr>
        <w:jc w:val="both"/>
        <w:rPr>
          <w:rFonts w:ascii="Arial" w:hAnsi="Arial" w:cs="Arial"/>
        </w:rPr>
      </w:pPr>
      <w:r>
        <w:rPr>
          <w:rFonts w:ascii="Arial" w:hAnsi="Arial" w:cs="Arial"/>
        </w:rPr>
        <w:t xml:space="preserve">Technological Infrastructure: Port City Colombo is </w:t>
      </w:r>
      <w:r w:rsidR="00AE12F5">
        <w:rPr>
          <w:rFonts w:ascii="Arial" w:hAnsi="Arial" w:cs="Arial"/>
        </w:rPr>
        <w:t xml:space="preserve">conceptualized as a cutting-edge smart city, equipped with redundant fiber-optic networks, cloud-computing functionalities, and automated utility management systems (CHECC, 2022). This technological framework underpins LV’s enterprise resource planning (ERP) system, facilitates digital inventory management, and enables real-time integration of point-of-sale (POS) systems with its headquarters located in Paris. </w:t>
      </w:r>
    </w:p>
    <w:p w14:paraId="0E60C2DF" w14:textId="3120A72D" w:rsidR="00714739" w:rsidRDefault="00AE12F5" w:rsidP="00714739">
      <w:pPr>
        <w:jc w:val="both"/>
        <w:rPr>
          <w:rFonts w:ascii="Arial" w:hAnsi="Arial" w:cs="Arial"/>
        </w:rPr>
      </w:pPr>
      <w:r>
        <w:rPr>
          <w:rFonts w:ascii="Arial" w:hAnsi="Arial" w:cs="Arial"/>
        </w:rPr>
        <w:t>Environmental &amp; Sustainability Frameworks: In accordance with LVMH’s global LIFE 360 (LVMH Initiatives for the Environment) corporate framework, all new store constructions are required to adhere to stringent environmental standards, which include achieving LEED Gold certification, utilizing 100% LED lighting, and sourcing sustainable materials for interiors. The master plan for Port City Colombo i</w:t>
      </w:r>
      <w:r w:rsidR="00795857">
        <w:rPr>
          <w:rFonts w:ascii="Arial" w:hAnsi="Arial" w:cs="Arial"/>
        </w:rPr>
        <w:t>ntegrates a “</w:t>
      </w:r>
      <w:r w:rsidR="004E0E20">
        <w:rPr>
          <w:rFonts w:ascii="Arial" w:hAnsi="Arial" w:cs="Arial"/>
        </w:rPr>
        <w:t>blue green</w:t>
      </w:r>
      <w:r w:rsidR="00795857">
        <w:rPr>
          <w:rFonts w:ascii="Arial" w:hAnsi="Arial" w:cs="Arial"/>
        </w:rPr>
        <w:t xml:space="preserve">” urban design, which is in accordance with the global environmental standards set by LVMH. </w:t>
      </w:r>
    </w:p>
    <w:p w14:paraId="1D2CA297" w14:textId="77777777" w:rsidR="00714739" w:rsidRDefault="00714739" w:rsidP="00714739">
      <w:pPr>
        <w:jc w:val="both"/>
        <w:rPr>
          <w:rFonts w:ascii="Arial" w:hAnsi="Arial" w:cs="Arial"/>
        </w:rPr>
      </w:pPr>
    </w:p>
    <w:p w14:paraId="21703310" w14:textId="201FAA02" w:rsidR="004E0E20" w:rsidRDefault="004E0E20" w:rsidP="004E0E20">
      <w:pPr>
        <w:rPr>
          <w:rFonts w:ascii="Arial" w:hAnsi="Arial" w:cs="Arial"/>
          <w:b/>
          <w:bCs/>
          <w:i/>
          <w:iCs/>
          <w:u w:val="single"/>
        </w:rPr>
      </w:pPr>
      <w:r w:rsidRPr="004E0E20">
        <w:rPr>
          <w:rFonts w:ascii="Arial" w:hAnsi="Arial" w:cs="Arial"/>
          <w:b/>
          <w:bCs/>
          <w:i/>
          <w:iCs/>
          <w:u w:val="single"/>
        </w:rPr>
        <w:t xml:space="preserve">2.3 Dunning’s Eclectic Paradigm (OLI Framework) Analysis </w:t>
      </w:r>
    </w:p>
    <w:p w14:paraId="4C066869" w14:textId="2CE06D7F" w:rsidR="00C97A59" w:rsidRDefault="00714739" w:rsidP="004E0E20">
      <w:pPr>
        <w:tabs>
          <w:tab w:val="left" w:pos="1213"/>
        </w:tabs>
        <w:rPr>
          <w:rFonts w:ascii="Arial" w:hAnsi="Arial" w:cs="Arial"/>
        </w:rPr>
      </w:pPr>
      <w:r>
        <w:rPr>
          <w:rFonts w:ascii="Arial" w:hAnsi="Arial" w:cs="Arial"/>
          <w:noProof/>
        </w:rPr>
        <w:drawing>
          <wp:inline distT="0" distB="0" distL="0" distR="0" wp14:anchorId="5890F10F" wp14:editId="5489BDD9">
            <wp:extent cx="4980622" cy="2687053"/>
            <wp:effectExtent l="0" t="0" r="0" b="0"/>
            <wp:docPr id="7650447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044790" name="Picture 76504479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999594" cy="2697288"/>
                    </a:xfrm>
                    <a:prstGeom prst="rect">
                      <a:avLst/>
                    </a:prstGeom>
                  </pic:spPr>
                </pic:pic>
              </a:graphicData>
            </a:graphic>
          </wp:inline>
        </w:drawing>
      </w:r>
    </w:p>
    <w:p w14:paraId="6D550319" w14:textId="27A8FA0B" w:rsidR="00C97A59" w:rsidRDefault="00C97A59" w:rsidP="005A01D0">
      <w:pPr>
        <w:tabs>
          <w:tab w:val="left" w:pos="1213"/>
        </w:tabs>
        <w:jc w:val="both"/>
        <w:rPr>
          <w:rFonts w:ascii="Arial" w:hAnsi="Arial" w:cs="Arial"/>
          <w:b/>
          <w:bCs/>
          <w:i/>
          <w:iCs/>
          <w:u w:val="single"/>
        </w:rPr>
      </w:pPr>
      <w:r w:rsidRPr="00C97A59">
        <w:rPr>
          <w:rFonts w:ascii="Arial" w:hAnsi="Arial" w:cs="Arial"/>
          <w:b/>
          <w:bCs/>
          <w:i/>
          <w:iCs/>
          <w:u w:val="single"/>
        </w:rPr>
        <w:lastRenderedPageBreak/>
        <w:t xml:space="preserve">Ownership (O) Advantages </w:t>
      </w:r>
    </w:p>
    <w:p w14:paraId="7DDD2F31" w14:textId="6BD8824E" w:rsidR="00C97A59" w:rsidRDefault="00C97A59" w:rsidP="005A01D0">
      <w:pPr>
        <w:tabs>
          <w:tab w:val="left" w:pos="1213"/>
        </w:tabs>
        <w:jc w:val="both"/>
        <w:rPr>
          <w:rFonts w:ascii="Arial" w:hAnsi="Arial" w:cs="Arial"/>
        </w:rPr>
      </w:pPr>
      <w:r>
        <w:rPr>
          <w:rFonts w:ascii="Arial" w:hAnsi="Arial" w:cs="Arial"/>
        </w:rPr>
        <w:t xml:space="preserve">Louis Vuitton possesses unique firm-specific Ownership advantages that mitigate the “Liability of Foreignness” (Zaheer, 1995) in Sri Lanka: </w:t>
      </w:r>
    </w:p>
    <w:p w14:paraId="1E517768" w14:textId="04AE618C" w:rsidR="00C97A59" w:rsidRPr="00A1052A" w:rsidRDefault="00C97A59" w:rsidP="005A01D0">
      <w:pPr>
        <w:pStyle w:val="ListParagraph"/>
        <w:numPr>
          <w:ilvl w:val="0"/>
          <w:numId w:val="8"/>
        </w:numPr>
        <w:tabs>
          <w:tab w:val="left" w:pos="1213"/>
        </w:tabs>
        <w:jc w:val="both"/>
        <w:rPr>
          <w:rFonts w:ascii="Arial" w:hAnsi="Arial" w:cs="Arial"/>
        </w:rPr>
      </w:pPr>
      <w:r w:rsidRPr="00A1052A">
        <w:rPr>
          <w:rFonts w:ascii="Arial" w:hAnsi="Arial" w:cs="Arial"/>
          <w:b/>
          <w:bCs/>
        </w:rPr>
        <w:t xml:space="preserve">Monogram Brand Equity &amp; Intellectual Property: </w:t>
      </w:r>
      <w:r w:rsidRPr="00A1052A">
        <w:rPr>
          <w:rFonts w:ascii="Arial" w:hAnsi="Arial" w:cs="Arial"/>
        </w:rPr>
        <w:t xml:space="preserve">The LV monogram stands as a globally recognized emblem of luxury. In developing markets, luxury items serve as “Veblen goods” (Veblen, 1899), where demand increases with price due to the product’s value in signaling status. </w:t>
      </w:r>
    </w:p>
    <w:p w14:paraId="41D61B37" w14:textId="0B3C472A" w:rsidR="00C97A59" w:rsidRDefault="00C97A59" w:rsidP="005A01D0">
      <w:pPr>
        <w:pStyle w:val="ListParagraph"/>
        <w:numPr>
          <w:ilvl w:val="0"/>
          <w:numId w:val="8"/>
        </w:numPr>
        <w:tabs>
          <w:tab w:val="left" w:pos="1213"/>
        </w:tabs>
        <w:jc w:val="both"/>
        <w:rPr>
          <w:rFonts w:ascii="Arial" w:hAnsi="Arial" w:cs="Arial"/>
        </w:rPr>
      </w:pPr>
      <w:r w:rsidRPr="00A1052A">
        <w:rPr>
          <w:rFonts w:ascii="Arial" w:hAnsi="Arial" w:cs="Arial"/>
          <w:b/>
          <w:bCs/>
        </w:rPr>
        <w:t>Proprietary Retail Expertise:</w:t>
      </w:r>
      <w:r w:rsidRPr="00A1052A">
        <w:rPr>
          <w:rFonts w:ascii="Arial" w:hAnsi="Arial" w:cs="Arial"/>
        </w:rPr>
        <w:t xml:space="preserve"> LV boasts a rich heritage of leather craftsmanship and exclusive clienteling systems that are not easily imitated by competitors (Barney, 1991). </w:t>
      </w:r>
    </w:p>
    <w:p w14:paraId="22568B91" w14:textId="77777777" w:rsidR="00C62115" w:rsidRDefault="00C62115" w:rsidP="005A01D0">
      <w:pPr>
        <w:tabs>
          <w:tab w:val="left" w:pos="1213"/>
        </w:tabs>
        <w:jc w:val="both"/>
        <w:rPr>
          <w:rFonts w:ascii="Arial" w:hAnsi="Arial" w:cs="Arial"/>
        </w:rPr>
      </w:pPr>
    </w:p>
    <w:p w14:paraId="460322A2" w14:textId="5AC21EB0" w:rsidR="00C62115" w:rsidRDefault="00C62115" w:rsidP="005A01D0">
      <w:pPr>
        <w:tabs>
          <w:tab w:val="left" w:pos="1213"/>
        </w:tabs>
        <w:jc w:val="both"/>
        <w:rPr>
          <w:rFonts w:ascii="Arial" w:hAnsi="Arial" w:cs="Arial"/>
          <w:b/>
          <w:bCs/>
          <w:i/>
          <w:iCs/>
          <w:u w:val="single"/>
        </w:rPr>
      </w:pPr>
      <w:r w:rsidRPr="00C62115">
        <w:rPr>
          <w:rFonts w:ascii="Arial" w:hAnsi="Arial" w:cs="Arial"/>
          <w:b/>
          <w:bCs/>
          <w:i/>
          <w:iCs/>
          <w:u w:val="single"/>
        </w:rPr>
        <w:t>Location (L) Advantages</w:t>
      </w:r>
    </w:p>
    <w:p w14:paraId="430D7D52" w14:textId="4F9310EC" w:rsidR="00C62115" w:rsidRDefault="00C62115" w:rsidP="005A01D0">
      <w:pPr>
        <w:tabs>
          <w:tab w:val="left" w:pos="1213"/>
        </w:tabs>
        <w:jc w:val="both"/>
        <w:rPr>
          <w:rFonts w:ascii="Arial" w:hAnsi="Arial" w:cs="Arial"/>
        </w:rPr>
      </w:pPr>
      <w:r>
        <w:rPr>
          <w:rFonts w:ascii="Arial" w:hAnsi="Arial" w:cs="Arial"/>
        </w:rPr>
        <w:t xml:space="preserve">The advantages of location (L) are influenced by the spatial parameters of the Port City SEZ in Sri Lanka: </w:t>
      </w:r>
    </w:p>
    <w:p w14:paraId="209FA982" w14:textId="297B8974" w:rsidR="00C62115" w:rsidRPr="00E969D9" w:rsidRDefault="00C62115" w:rsidP="005A01D0">
      <w:pPr>
        <w:pStyle w:val="ListParagraph"/>
        <w:numPr>
          <w:ilvl w:val="0"/>
          <w:numId w:val="9"/>
        </w:numPr>
        <w:tabs>
          <w:tab w:val="left" w:pos="1213"/>
        </w:tabs>
        <w:jc w:val="both"/>
        <w:rPr>
          <w:rFonts w:ascii="Arial" w:hAnsi="Arial" w:cs="Arial"/>
        </w:rPr>
      </w:pPr>
      <w:r w:rsidRPr="00E969D9">
        <w:rPr>
          <w:rFonts w:ascii="Arial" w:hAnsi="Arial" w:cs="Arial"/>
          <w:b/>
          <w:bCs/>
        </w:rPr>
        <w:t xml:space="preserve">Duty-Free Fiscal Regime: </w:t>
      </w:r>
      <w:r w:rsidRPr="00E969D9">
        <w:rPr>
          <w:rFonts w:ascii="Arial" w:hAnsi="Arial" w:cs="Arial"/>
        </w:rPr>
        <w:t xml:space="preserve">The tax exemptions provided by the SEZ enable LV to sustain pricing equivalence with nearby luxury centers, thereby removing domestic import duties. </w:t>
      </w:r>
    </w:p>
    <w:p w14:paraId="6BDD53D7" w14:textId="40858DDF" w:rsidR="00C62115" w:rsidRPr="00E969D9" w:rsidRDefault="00C62115" w:rsidP="005A01D0">
      <w:pPr>
        <w:pStyle w:val="ListParagraph"/>
        <w:numPr>
          <w:ilvl w:val="0"/>
          <w:numId w:val="9"/>
        </w:numPr>
        <w:tabs>
          <w:tab w:val="left" w:pos="1213"/>
        </w:tabs>
        <w:jc w:val="both"/>
        <w:rPr>
          <w:rFonts w:ascii="Arial" w:hAnsi="Arial" w:cs="Arial"/>
        </w:rPr>
      </w:pPr>
      <w:r w:rsidRPr="00E969D9">
        <w:rPr>
          <w:rFonts w:ascii="Arial" w:hAnsi="Arial" w:cs="Arial"/>
          <w:b/>
          <w:bCs/>
        </w:rPr>
        <w:t>Geographic Proximity to South Asia:</w:t>
      </w:r>
      <w:r w:rsidRPr="00E969D9">
        <w:rPr>
          <w:rFonts w:ascii="Arial" w:hAnsi="Arial" w:cs="Arial"/>
        </w:rPr>
        <w:t xml:space="preserve"> Colombo’s location along significant maritime and aviation trade routes position it advantageously to attract outbound luxury travelers from India. </w:t>
      </w:r>
    </w:p>
    <w:p w14:paraId="3E32E1E5" w14:textId="560759DA" w:rsidR="00C62115" w:rsidRDefault="00C62115" w:rsidP="005A01D0">
      <w:pPr>
        <w:pStyle w:val="ListParagraph"/>
        <w:numPr>
          <w:ilvl w:val="0"/>
          <w:numId w:val="9"/>
        </w:numPr>
        <w:tabs>
          <w:tab w:val="left" w:pos="1213"/>
        </w:tabs>
        <w:jc w:val="both"/>
        <w:rPr>
          <w:rFonts w:ascii="Arial" w:hAnsi="Arial" w:cs="Arial"/>
        </w:rPr>
      </w:pPr>
      <w:r w:rsidRPr="00E969D9">
        <w:rPr>
          <w:rFonts w:ascii="Arial" w:hAnsi="Arial" w:cs="Arial"/>
          <w:b/>
          <w:bCs/>
        </w:rPr>
        <w:t xml:space="preserve">Institutional Void Mitigation: </w:t>
      </w:r>
      <w:r w:rsidRPr="00E969D9">
        <w:rPr>
          <w:rFonts w:ascii="Arial" w:hAnsi="Arial" w:cs="Arial"/>
        </w:rPr>
        <w:t xml:space="preserve">Although the mainland is characterized by institutional voids—such as regulatory delays and limitations on foreign exchange (Khanna &amp; Palepu, 2010)—the SEZ operates as a distinct administrative structure aimed at safeguarding foreign investments. </w:t>
      </w:r>
    </w:p>
    <w:p w14:paraId="1BFD5AE0" w14:textId="77777777" w:rsidR="005961F2" w:rsidRPr="005961F2" w:rsidRDefault="005961F2" w:rsidP="005A01D0">
      <w:pPr>
        <w:pStyle w:val="ListParagraph"/>
        <w:tabs>
          <w:tab w:val="left" w:pos="1213"/>
        </w:tabs>
        <w:jc w:val="both"/>
        <w:rPr>
          <w:rFonts w:ascii="Arial" w:hAnsi="Arial" w:cs="Arial"/>
        </w:rPr>
      </w:pPr>
    </w:p>
    <w:p w14:paraId="060448C4" w14:textId="77777777" w:rsidR="005961F2" w:rsidRDefault="005961F2" w:rsidP="005A01D0">
      <w:pPr>
        <w:tabs>
          <w:tab w:val="left" w:pos="1213"/>
        </w:tabs>
        <w:jc w:val="both"/>
        <w:rPr>
          <w:rFonts w:ascii="Arial" w:hAnsi="Arial" w:cs="Arial"/>
          <w:b/>
          <w:bCs/>
          <w:i/>
          <w:iCs/>
          <w:u w:val="single"/>
        </w:rPr>
      </w:pPr>
      <w:r w:rsidRPr="005961F2">
        <w:rPr>
          <w:rFonts w:ascii="Arial" w:hAnsi="Arial" w:cs="Arial"/>
          <w:b/>
          <w:bCs/>
          <w:i/>
          <w:iCs/>
          <w:u w:val="single"/>
        </w:rPr>
        <w:t>Internalization (I) Advantages</w:t>
      </w:r>
    </w:p>
    <w:p w14:paraId="10C6209E" w14:textId="77777777" w:rsidR="005961F2" w:rsidRDefault="005961F2" w:rsidP="005A01D0">
      <w:pPr>
        <w:tabs>
          <w:tab w:val="left" w:pos="1213"/>
        </w:tabs>
        <w:jc w:val="both"/>
        <w:rPr>
          <w:rFonts w:ascii="Arial" w:hAnsi="Arial" w:cs="Arial"/>
        </w:rPr>
      </w:pPr>
      <w:r>
        <w:rPr>
          <w:rFonts w:ascii="Arial" w:hAnsi="Arial" w:cs="Arial"/>
        </w:rPr>
        <w:t>LV’s strategic decision to internalize its operations instead of opting for licensing or franchising is influenced by transaction cost economics (Coase, 1937; Williamson, 1985):</w:t>
      </w:r>
    </w:p>
    <w:p w14:paraId="175899EE" w14:textId="77777777" w:rsidR="005961F2" w:rsidRPr="00BB64E8" w:rsidRDefault="005961F2" w:rsidP="005A01D0">
      <w:pPr>
        <w:pStyle w:val="ListParagraph"/>
        <w:numPr>
          <w:ilvl w:val="0"/>
          <w:numId w:val="10"/>
        </w:numPr>
        <w:tabs>
          <w:tab w:val="left" w:pos="1213"/>
        </w:tabs>
        <w:jc w:val="both"/>
        <w:rPr>
          <w:rFonts w:ascii="Arial" w:hAnsi="Arial" w:cs="Arial"/>
        </w:rPr>
      </w:pPr>
      <w:r w:rsidRPr="00BB64E8">
        <w:rPr>
          <w:rFonts w:ascii="Arial" w:hAnsi="Arial" w:cs="Arial"/>
          <w:b/>
          <w:bCs/>
        </w:rPr>
        <w:t>Mitigation of Agent Opportunism:</w:t>
      </w:r>
      <w:r w:rsidRPr="00BB64E8">
        <w:rPr>
          <w:rFonts w:ascii="Arial" w:hAnsi="Arial" w:cs="Arial"/>
        </w:rPr>
        <w:t xml:space="preserve"> The franchising model introduces principal-agent dilemmas, including risks such as unauthorized discounts, improper store placements, or inadequate service, all of which can undermine global brand equity. </w:t>
      </w:r>
    </w:p>
    <w:p w14:paraId="024CE278" w14:textId="05626E68" w:rsidR="005961F2" w:rsidRDefault="005961F2" w:rsidP="005A01D0">
      <w:pPr>
        <w:pStyle w:val="ListParagraph"/>
        <w:numPr>
          <w:ilvl w:val="0"/>
          <w:numId w:val="10"/>
        </w:numPr>
        <w:tabs>
          <w:tab w:val="left" w:pos="1213"/>
        </w:tabs>
        <w:jc w:val="both"/>
        <w:rPr>
          <w:rFonts w:ascii="Arial" w:hAnsi="Arial" w:cs="Arial"/>
          <w:b/>
          <w:bCs/>
          <w:i/>
          <w:iCs/>
          <w:u w:val="single"/>
        </w:rPr>
      </w:pPr>
      <w:r w:rsidRPr="00BB64E8">
        <w:rPr>
          <w:rFonts w:ascii="Arial" w:hAnsi="Arial" w:cs="Arial"/>
          <w:b/>
          <w:bCs/>
        </w:rPr>
        <w:t>Foreign Exchange &amp; Financial Oversight:</w:t>
      </w:r>
      <w:r w:rsidRPr="00BB64E8">
        <w:rPr>
          <w:rFonts w:ascii="Arial" w:hAnsi="Arial" w:cs="Arial"/>
        </w:rPr>
        <w:t xml:space="preserve"> By operating a Wholly Owned Subsidiary (WOS) within the Special Economic Zone (SEZ), LV can leverage offshore banking units (OBUs), thereby maintaining direct oversight over capital </w:t>
      </w:r>
      <w:r w:rsidRPr="00BB64E8">
        <w:rPr>
          <w:rFonts w:ascii="Arial" w:hAnsi="Arial" w:cs="Arial"/>
        </w:rPr>
        <w:lastRenderedPageBreak/>
        <w:t xml:space="preserve">repatriation in major currencies (USD/EUR) &amp; effectively managing foreign exchange limitations on the mainland. </w:t>
      </w:r>
      <w:r w:rsidRPr="00BB64E8">
        <w:rPr>
          <w:rFonts w:ascii="Arial" w:hAnsi="Arial" w:cs="Arial"/>
          <w:b/>
          <w:bCs/>
          <w:i/>
          <w:iCs/>
          <w:u w:val="single"/>
        </w:rPr>
        <w:t xml:space="preserve"> </w:t>
      </w:r>
    </w:p>
    <w:p w14:paraId="206833BA" w14:textId="77777777" w:rsidR="00447A3E" w:rsidRDefault="00447A3E" w:rsidP="00731EAB">
      <w:pPr>
        <w:tabs>
          <w:tab w:val="left" w:pos="1213"/>
        </w:tabs>
        <w:jc w:val="both"/>
        <w:rPr>
          <w:rFonts w:ascii="Arial" w:hAnsi="Arial" w:cs="Arial"/>
        </w:rPr>
      </w:pPr>
    </w:p>
    <w:p w14:paraId="6EC9A55A" w14:textId="77777777" w:rsidR="00447A3E" w:rsidRDefault="00447A3E" w:rsidP="00731EAB">
      <w:pPr>
        <w:tabs>
          <w:tab w:val="left" w:pos="1213"/>
        </w:tabs>
        <w:jc w:val="both"/>
        <w:rPr>
          <w:rFonts w:ascii="Arial" w:hAnsi="Arial" w:cs="Arial"/>
          <w:b/>
          <w:bCs/>
          <w:i/>
          <w:iCs/>
          <w:u w:val="single"/>
        </w:rPr>
      </w:pPr>
      <w:r w:rsidRPr="00447A3E">
        <w:rPr>
          <w:rFonts w:ascii="Arial" w:hAnsi="Arial" w:cs="Arial"/>
          <w:b/>
          <w:bCs/>
          <w:i/>
          <w:iCs/>
          <w:u w:val="single"/>
        </w:rPr>
        <w:t>2.4 Strategic Connective Tissue</w:t>
      </w:r>
    </w:p>
    <w:p w14:paraId="60C0DD56" w14:textId="78982FDD" w:rsidR="00307757" w:rsidRDefault="00447A3E" w:rsidP="00307757">
      <w:pPr>
        <w:tabs>
          <w:tab w:val="left" w:pos="1213"/>
        </w:tabs>
        <w:jc w:val="both"/>
        <w:rPr>
          <w:rFonts w:ascii="Arial" w:hAnsi="Arial" w:cs="Arial"/>
        </w:rPr>
      </w:pPr>
      <w:r>
        <w:rPr>
          <w:rFonts w:ascii="Arial" w:hAnsi="Arial" w:cs="Arial"/>
        </w:rPr>
        <w:t xml:space="preserve">Assessing Sri Lanka using macro-environmental frameworks highlights a clear disparity between the recovery dynamics of the mainland and the unique institutional environment of the SEZ. Dunning’s OLI framework indicated that LV has adequate firm-specific ownership advantages to make an entry, contingent upon its ability to utilize the location-specific regulatory benefits of the SEZ through comprehensive internal management. This directly informs the development of the market entry strategy. </w:t>
      </w:r>
    </w:p>
    <w:p w14:paraId="17A6189E" w14:textId="77777777" w:rsidR="009977AD" w:rsidRDefault="009977AD" w:rsidP="00307757">
      <w:pPr>
        <w:tabs>
          <w:tab w:val="left" w:pos="1213"/>
        </w:tabs>
        <w:jc w:val="both"/>
        <w:rPr>
          <w:rFonts w:ascii="Arial" w:hAnsi="Arial" w:cs="Arial"/>
        </w:rPr>
      </w:pPr>
    </w:p>
    <w:p w14:paraId="76B4DBD2" w14:textId="2039EB80" w:rsidR="009977AD" w:rsidRPr="009977AD" w:rsidRDefault="009977AD" w:rsidP="00307757">
      <w:pPr>
        <w:tabs>
          <w:tab w:val="left" w:pos="1213"/>
        </w:tabs>
        <w:jc w:val="both"/>
        <w:rPr>
          <w:rFonts w:ascii="Arial" w:hAnsi="Arial" w:cs="Arial"/>
          <w:b/>
          <w:bCs/>
          <w:i/>
          <w:iCs/>
          <w:u w:val="single"/>
        </w:rPr>
      </w:pPr>
      <w:r w:rsidRPr="009977AD">
        <w:rPr>
          <w:rFonts w:ascii="Arial" w:hAnsi="Arial" w:cs="Arial"/>
          <w:b/>
          <w:bCs/>
          <w:i/>
          <w:iCs/>
          <w:u w:val="single"/>
        </w:rPr>
        <w:t xml:space="preserve">2.5 Institutional Voids &amp; Tariff Breakdown </w:t>
      </w:r>
    </w:p>
    <w:p w14:paraId="6D65D503" w14:textId="24A28110" w:rsidR="00307757" w:rsidRPr="00B83C08" w:rsidRDefault="009977AD" w:rsidP="00307757">
      <w:pPr>
        <w:tabs>
          <w:tab w:val="left" w:pos="1213"/>
        </w:tabs>
        <w:jc w:val="both"/>
        <w:rPr>
          <w:rFonts w:ascii="Arial" w:hAnsi="Arial" w:cs="Arial"/>
          <w:b/>
          <w:bCs/>
        </w:rPr>
      </w:pPr>
      <w:r w:rsidRPr="00B83C08">
        <w:rPr>
          <w:rFonts w:ascii="Arial" w:hAnsi="Arial" w:cs="Arial"/>
          <w:b/>
          <w:bCs/>
        </w:rPr>
        <w:t>Institutional Voids Framework (Khanna &amp; Palepu, 2010)</w:t>
      </w:r>
    </w:p>
    <w:p w14:paraId="2CCA3C44" w14:textId="0AB01062" w:rsidR="009977AD" w:rsidRDefault="009977AD" w:rsidP="00307757">
      <w:pPr>
        <w:tabs>
          <w:tab w:val="left" w:pos="1213"/>
        </w:tabs>
        <w:jc w:val="both"/>
        <w:rPr>
          <w:rFonts w:ascii="Arial" w:hAnsi="Arial" w:cs="Arial"/>
        </w:rPr>
      </w:pPr>
      <w:r>
        <w:rPr>
          <w:rFonts w:ascii="Arial" w:hAnsi="Arial" w:cs="Arial"/>
        </w:rPr>
        <w:t xml:space="preserve">Instead of analyzing Sri Lanka merely through a conventional PESTEL framework, applying Khanna &amp; Palepu’s (2010) Institutional Voids framework provides insight into how the Special Economic Zone (SEZ) functions as a protective mechanism: </w:t>
      </w:r>
    </w:p>
    <w:p w14:paraId="55681070" w14:textId="7237B2B2" w:rsidR="009977AD" w:rsidRDefault="007A1635" w:rsidP="00307757">
      <w:pPr>
        <w:tabs>
          <w:tab w:val="left" w:pos="1213"/>
        </w:tabs>
        <w:jc w:val="both"/>
        <w:rPr>
          <w:rFonts w:ascii="Arial" w:hAnsi="Arial" w:cs="Arial"/>
        </w:rPr>
      </w:pPr>
      <w:r w:rsidRPr="00B83C08">
        <w:rPr>
          <w:rFonts w:ascii="Arial" w:hAnsi="Arial" w:cs="Arial"/>
          <w:b/>
          <w:bCs/>
        </w:rPr>
        <w:t>Capital Market &amp; Foreign Exchange Voids:</w:t>
      </w:r>
      <w:r>
        <w:rPr>
          <w:rFonts w:ascii="Arial" w:hAnsi="Arial" w:cs="Arial"/>
        </w:rPr>
        <w:t xml:space="preserve"> In Sri Lanka, the Central Bank of Sri Lanka (CBSL) imposes foreign exchange controls that limit currency convertibility &amp; profit repatriation (CBSL, 2023). The Colombo Port City SEZ addresses this issue through the Colombo Port City Economic Commission Act No. 11 of 2021, which allows transactions in specific foreign currencies (such as USD &amp; EUR) &amp; ensures unrestricted capital repatriation (D.L. &amp; F. De Saram, 2024). </w:t>
      </w:r>
    </w:p>
    <w:p w14:paraId="75C2FA49" w14:textId="0380FA43" w:rsidR="007A1635" w:rsidRDefault="007A1635" w:rsidP="00307757">
      <w:pPr>
        <w:tabs>
          <w:tab w:val="left" w:pos="1213"/>
        </w:tabs>
        <w:jc w:val="both"/>
        <w:rPr>
          <w:rFonts w:ascii="Arial" w:hAnsi="Arial" w:cs="Arial"/>
        </w:rPr>
      </w:pPr>
      <w:r w:rsidRPr="00B83C08">
        <w:rPr>
          <w:rFonts w:ascii="Arial" w:hAnsi="Arial" w:cs="Arial"/>
          <w:b/>
          <w:bCs/>
        </w:rPr>
        <w:t>Contract Enforcement Voids:</w:t>
      </w:r>
      <w:r>
        <w:rPr>
          <w:rFonts w:ascii="Arial" w:hAnsi="Arial" w:cs="Arial"/>
        </w:rPr>
        <w:t xml:space="preserve"> The commercial judicial system on the mainland frequently encounters administrative delays (Kelegama, 2023). The SEZ alleviates this challenge by creating an independent International Arbitration Centre Framework, which reduces transaction costs &amp; mitigates legal uncertainties (Coase, 1937; Williamson, 1985). </w:t>
      </w:r>
    </w:p>
    <w:p w14:paraId="539A9C58" w14:textId="4F1C8E5A" w:rsidR="007A1635" w:rsidRDefault="007A1635" w:rsidP="00307757">
      <w:pPr>
        <w:tabs>
          <w:tab w:val="left" w:pos="1213"/>
        </w:tabs>
        <w:jc w:val="both"/>
        <w:rPr>
          <w:rFonts w:ascii="Arial" w:hAnsi="Arial" w:cs="Arial"/>
        </w:rPr>
      </w:pPr>
      <w:r w:rsidRPr="00B83C08">
        <w:rPr>
          <w:rFonts w:ascii="Arial" w:hAnsi="Arial" w:cs="Arial"/>
          <w:b/>
          <w:bCs/>
        </w:rPr>
        <w:t>Infrastructure Voids:</w:t>
      </w:r>
      <w:r>
        <w:rPr>
          <w:rFonts w:ascii="Arial" w:hAnsi="Arial" w:cs="Arial"/>
        </w:rPr>
        <w:t xml:space="preserve"> The SEZ provides dedicated smart-city infrastructure, high-speed fiber optic networks, and dependable power grids, which are crucial for LVMH’s real-time Point-of-Sale (POS) and inventory integration with its headquarters in Paris (CHECC, 2022). </w:t>
      </w:r>
    </w:p>
    <w:p w14:paraId="777B5247" w14:textId="77777777" w:rsidR="00B83C08" w:rsidRDefault="00B83C08" w:rsidP="00307757">
      <w:pPr>
        <w:tabs>
          <w:tab w:val="left" w:pos="1213"/>
        </w:tabs>
        <w:jc w:val="both"/>
        <w:rPr>
          <w:rFonts w:ascii="Arial" w:hAnsi="Arial" w:cs="Arial"/>
        </w:rPr>
      </w:pPr>
    </w:p>
    <w:p w14:paraId="58DB1020" w14:textId="77777777" w:rsidR="00A84934" w:rsidRDefault="00A84934" w:rsidP="00307757">
      <w:pPr>
        <w:tabs>
          <w:tab w:val="left" w:pos="1213"/>
        </w:tabs>
        <w:jc w:val="both"/>
        <w:rPr>
          <w:rFonts w:ascii="Arial" w:hAnsi="Arial" w:cs="Arial"/>
        </w:rPr>
      </w:pPr>
    </w:p>
    <w:p w14:paraId="7DFA8638" w14:textId="77777777" w:rsidR="00A84934" w:rsidRDefault="00A84934" w:rsidP="00307757">
      <w:pPr>
        <w:tabs>
          <w:tab w:val="left" w:pos="1213"/>
        </w:tabs>
        <w:jc w:val="both"/>
        <w:rPr>
          <w:rFonts w:ascii="Arial" w:hAnsi="Arial" w:cs="Arial"/>
        </w:rPr>
      </w:pPr>
    </w:p>
    <w:p w14:paraId="392A81FF" w14:textId="38CF3BBD" w:rsidR="00966F22" w:rsidRDefault="00966F22" w:rsidP="00307757">
      <w:pPr>
        <w:tabs>
          <w:tab w:val="left" w:pos="1213"/>
        </w:tabs>
        <w:jc w:val="both"/>
        <w:rPr>
          <w:rFonts w:ascii="Arial" w:hAnsi="Arial" w:cs="Arial"/>
          <w:b/>
          <w:bCs/>
          <w:i/>
          <w:iCs/>
          <w:u w:val="single"/>
        </w:rPr>
      </w:pPr>
      <w:r w:rsidRPr="00966F22">
        <w:rPr>
          <w:rFonts w:ascii="Arial" w:hAnsi="Arial" w:cs="Arial"/>
          <w:b/>
          <w:bCs/>
          <w:i/>
          <w:iCs/>
          <w:u w:val="single"/>
        </w:rPr>
        <w:lastRenderedPageBreak/>
        <w:t xml:space="preserve">2.6 Quantitative Mainland vs. SEZ Tariff Comparison </w:t>
      </w:r>
    </w:p>
    <w:p w14:paraId="31DBE674" w14:textId="04E7DED8" w:rsidR="00966F22" w:rsidRDefault="00A84934" w:rsidP="00307757">
      <w:pPr>
        <w:tabs>
          <w:tab w:val="left" w:pos="1213"/>
        </w:tabs>
        <w:jc w:val="both"/>
        <w:rPr>
          <w:rFonts w:ascii="Arial" w:hAnsi="Arial" w:cs="Arial"/>
        </w:rPr>
      </w:pPr>
      <w:r>
        <w:rPr>
          <w:rFonts w:ascii="Arial" w:hAnsi="Arial" w:cs="Arial"/>
        </w:rPr>
        <w:t xml:space="preserve">Importing luxury goods on the Sri Lankan mainland subjects them to substantial cumulative taxation: </w:t>
      </w:r>
    </w:p>
    <w:p w14:paraId="3BADFEB2" w14:textId="258B64AE" w:rsidR="004F2694" w:rsidRDefault="004F2694" w:rsidP="00DA1DA3">
      <w:pPr>
        <w:tabs>
          <w:tab w:val="left" w:pos="1213"/>
        </w:tabs>
        <w:jc w:val="center"/>
        <w:rPr>
          <w:rFonts w:ascii="Arial" w:hAnsi="Arial" w:cs="Arial"/>
        </w:rPr>
      </w:pPr>
      <w:r>
        <w:rPr>
          <w:rFonts w:ascii="Arial" w:hAnsi="Arial" w:cs="Arial"/>
          <w:noProof/>
        </w:rPr>
        <w:drawing>
          <wp:inline distT="0" distB="0" distL="0" distR="0" wp14:anchorId="6FA22805" wp14:editId="7882F76C">
            <wp:extent cx="4800600" cy="3200400"/>
            <wp:effectExtent l="0" t="0" r="0" b="0"/>
            <wp:docPr id="485726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26649" name="Picture 48572664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800600" cy="3200400"/>
                    </a:xfrm>
                    <a:prstGeom prst="rect">
                      <a:avLst/>
                    </a:prstGeom>
                  </pic:spPr>
                </pic:pic>
              </a:graphicData>
            </a:graphic>
          </wp:inline>
        </w:drawing>
      </w:r>
    </w:p>
    <w:p w14:paraId="750791B5" w14:textId="03A528EB" w:rsidR="00A84934" w:rsidRPr="00966F22" w:rsidRDefault="004F2694" w:rsidP="00307757">
      <w:pPr>
        <w:tabs>
          <w:tab w:val="left" w:pos="1213"/>
        </w:tabs>
        <w:jc w:val="both"/>
        <w:rPr>
          <w:rFonts w:ascii="Arial" w:hAnsi="Arial" w:cs="Arial"/>
        </w:rPr>
      </w:pPr>
      <w:r>
        <w:rPr>
          <w:rFonts w:ascii="Arial" w:hAnsi="Arial" w:cs="Arial"/>
        </w:rPr>
        <w:t xml:space="preserve">The geographical location of Colombo establishes a retail corridor that is conveniently situated for South Asia. According to projections by Deloitte (2023), India’s luxury market is expected to attain a value of </w:t>
      </w:r>
      <w:r w:rsidRPr="004F2694">
        <w:rPr>
          <w:rFonts w:ascii="Arial" w:hAnsi="Arial" w:cs="Arial"/>
        </w:rPr>
        <w:t>$</w:t>
      </w:r>
      <w:r>
        <w:rPr>
          <w:rFonts w:ascii="Arial" w:hAnsi="Arial" w:cs="Arial"/>
        </w:rPr>
        <w:t xml:space="preserve">200 billion by the year 2030. With a flight duration of only 1 to 3 hours from major economic centers in South India, such as Bengaluru, Chennai &amp; Mumbai, Port City Colombo emerges as a readily accessible duty-free destination for Indian High-Net-Worth Travelers (HNWTs). This positioning allows it to capture luxury spending that might otherwise be directed towards Dubai or London, as noted by Knight Frank (2023). </w:t>
      </w:r>
    </w:p>
    <w:p w14:paraId="5FACD4AD" w14:textId="5A7613B9" w:rsidR="00FD0DDD" w:rsidRPr="00FD0DDD" w:rsidRDefault="00FD0DDD" w:rsidP="00FD0DDD">
      <w:pPr>
        <w:pStyle w:val="ListParagraph"/>
        <w:numPr>
          <w:ilvl w:val="0"/>
          <w:numId w:val="4"/>
        </w:numPr>
        <w:tabs>
          <w:tab w:val="left" w:pos="1213"/>
        </w:tabs>
        <w:jc w:val="both"/>
        <w:rPr>
          <w:rFonts w:ascii="Arial" w:hAnsi="Arial" w:cs="Arial"/>
          <w:b/>
          <w:bCs/>
          <w:sz w:val="28"/>
          <w:szCs w:val="28"/>
        </w:rPr>
      </w:pPr>
      <w:r w:rsidRPr="00FD0DDD">
        <w:rPr>
          <w:rFonts w:ascii="Arial" w:hAnsi="Arial" w:cs="Arial"/>
          <w:b/>
          <w:bCs/>
          <w:sz w:val="28"/>
          <w:szCs w:val="28"/>
        </w:rPr>
        <w:t>Entry Mode Strategy &amp; Strategic Synthesis</w:t>
      </w:r>
    </w:p>
    <w:p w14:paraId="2C77F67D" w14:textId="0E1BE856" w:rsidR="00FD0DDD" w:rsidRDefault="00FD0DDD" w:rsidP="00FD0DDD">
      <w:pPr>
        <w:pStyle w:val="ListParagraph"/>
        <w:numPr>
          <w:ilvl w:val="1"/>
          <w:numId w:val="4"/>
        </w:numPr>
        <w:tabs>
          <w:tab w:val="left" w:pos="1213"/>
        </w:tabs>
        <w:jc w:val="both"/>
        <w:rPr>
          <w:rFonts w:ascii="Arial" w:hAnsi="Arial" w:cs="Arial"/>
          <w:b/>
          <w:bCs/>
          <w:i/>
          <w:iCs/>
          <w:u w:val="single"/>
        </w:rPr>
      </w:pPr>
      <w:r w:rsidRPr="00FD0DDD">
        <w:rPr>
          <w:rFonts w:ascii="Arial" w:hAnsi="Arial" w:cs="Arial"/>
          <w:b/>
          <w:bCs/>
          <w:i/>
          <w:iCs/>
          <w:u w:val="single"/>
        </w:rPr>
        <w:t>Strategic Context &amp; Importance</w:t>
      </w:r>
    </w:p>
    <w:p w14:paraId="608D56AF" w14:textId="3757A3C2" w:rsidR="00FD0DDD" w:rsidRDefault="00FD0DDD" w:rsidP="00FD0DDD">
      <w:pPr>
        <w:rPr>
          <w:rFonts w:ascii="Arial" w:hAnsi="Arial" w:cs="Arial"/>
        </w:rPr>
      </w:pPr>
      <w:r>
        <w:rPr>
          <w:rFonts w:ascii="Arial" w:hAnsi="Arial" w:cs="Arial"/>
        </w:rPr>
        <w:t xml:space="preserve">The selection of an entry mode is a pivotal decision within the realm of international business strategy (Hill, Jones &amp; Schilling, 2014). For a luxury brand such as Louis Vuitton, the decision regarding entry mode revolves around the management of exclusivity and the safeguarding of assets. Anchored in the Resource-Based View (RBV) of the firm (Barney, 1991), the fundamental sources of competitive advantage for LV—namely brand rarity, prestige, and customer experience—are at risk of dilution if operational </w:t>
      </w:r>
      <w:r w:rsidR="00DC1F2E">
        <w:rPr>
          <w:rFonts w:ascii="Arial" w:hAnsi="Arial" w:cs="Arial"/>
        </w:rPr>
        <w:t xml:space="preserve">control is not maintained. Consequently, the selected entry mode must ensure the preservation of these valuable assets while effectively navigating the macroeconomic landscape of a post-crisis environment. </w:t>
      </w:r>
    </w:p>
    <w:p w14:paraId="2E9C7372" w14:textId="77777777" w:rsidR="002A758C" w:rsidRDefault="002A758C" w:rsidP="00FD0DDD">
      <w:pPr>
        <w:rPr>
          <w:rFonts w:ascii="Arial" w:hAnsi="Arial" w:cs="Arial"/>
        </w:rPr>
      </w:pPr>
    </w:p>
    <w:p w14:paraId="4A6A8D19" w14:textId="33EA80FD" w:rsidR="002A758C" w:rsidRDefault="002A758C" w:rsidP="002A758C">
      <w:pPr>
        <w:jc w:val="center"/>
        <w:rPr>
          <w:rFonts w:ascii="Arial" w:hAnsi="Arial" w:cs="Arial"/>
        </w:rPr>
      </w:pPr>
      <w:r>
        <w:rPr>
          <w:rFonts w:ascii="Arial" w:hAnsi="Arial" w:cs="Arial"/>
          <w:noProof/>
        </w:rPr>
        <w:drawing>
          <wp:inline distT="0" distB="0" distL="0" distR="0" wp14:anchorId="46634C24" wp14:editId="11B14223">
            <wp:extent cx="5261811" cy="2496185"/>
            <wp:effectExtent l="0" t="0" r="0" b="0"/>
            <wp:docPr id="948266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266447" name="Picture 94826644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301272" cy="2514905"/>
                    </a:xfrm>
                    <a:prstGeom prst="rect">
                      <a:avLst/>
                    </a:prstGeom>
                  </pic:spPr>
                </pic:pic>
              </a:graphicData>
            </a:graphic>
          </wp:inline>
        </w:drawing>
      </w:r>
    </w:p>
    <w:p w14:paraId="54754749" w14:textId="4AC68FBF" w:rsidR="002A758C" w:rsidRPr="002A758C" w:rsidRDefault="002A758C" w:rsidP="002A758C">
      <w:pPr>
        <w:pStyle w:val="ListParagraph"/>
        <w:numPr>
          <w:ilvl w:val="1"/>
          <w:numId w:val="4"/>
        </w:numPr>
        <w:jc w:val="both"/>
        <w:rPr>
          <w:rFonts w:ascii="Arial" w:hAnsi="Arial" w:cs="Arial"/>
          <w:b/>
          <w:bCs/>
          <w:i/>
          <w:iCs/>
          <w:u w:val="single"/>
        </w:rPr>
      </w:pPr>
      <w:r w:rsidRPr="002A758C">
        <w:rPr>
          <w:rFonts w:ascii="Arial" w:hAnsi="Arial" w:cs="Arial"/>
          <w:b/>
          <w:bCs/>
          <w:i/>
          <w:iCs/>
          <w:u w:val="single"/>
        </w:rPr>
        <w:t xml:space="preserve">Historical Pattern Recognition </w:t>
      </w:r>
    </w:p>
    <w:p w14:paraId="067ED539" w14:textId="00941B70" w:rsidR="002A758C" w:rsidRDefault="002A758C" w:rsidP="002A758C">
      <w:pPr>
        <w:jc w:val="both"/>
        <w:rPr>
          <w:rFonts w:ascii="Arial" w:hAnsi="Arial" w:cs="Arial"/>
        </w:rPr>
      </w:pPr>
      <w:r>
        <w:rPr>
          <w:rFonts w:ascii="Arial" w:hAnsi="Arial" w:cs="Arial"/>
        </w:rPr>
        <w:t xml:space="preserve">An analysis of Louis Vuitton’s historical growth in emerging Asian markets over the last thirty years—specifically China (1992), Vietnam (1997), &amp; Mongolia (2009)—reveals a steady internationalization strategy: </w:t>
      </w:r>
    </w:p>
    <w:p w14:paraId="4376CDE1" w14:textId="051F8259" w:rsidR="002A758C" w:rsidRDefault="002A758C" w:rsidP="002A758C">
      <w:pPr>
        <w:jc w:val="center"/>
        <w:rPr>
          <w:rFonts w:ascii="Arial" w:hAnsi="Arial" w:cs="Arial"/>
        </w:rPr>
      </w:pPr>
      <w:r>
        <w:rPr>
          <w:rFonts w:ascii="Arial" w:hAnsi="Arial" w:cs="Arial"/>
          <w:noProof/>
        </w:rPr>
        <w:drawing>
          <wp:inline distT="0" distB="0" distL="0" distR="0" wp14:anchorId="24D839D8" wp14:editId="3E6A5E52">
            <wp:extent cx="4948989" cy="3299326"/>
            <wp:effectExtent l="0" t="0" r="4445" b="0"/>
            <wp:docPr id="15683907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390743" name="Picture 156839074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962069" cy="3308046"/>
                    </a:xfrm>
                    <a:prstGeom prst="rect">
                      <a:avLst/>
                    </a:prstGeom>
                  </pic:spPr>
                </pic:pic>
              </a:graphicData>
            </a:graphic>
          </wp:inline>
        </w:drawing>
      </w:r>
    </w:p>
    <w:p w14:paraId="7A37815A" w14:textId="10063379" w:rsidR="002A758C" w:rsidRDefault="00906B47" w:rsidP="00906B47">
      <w:pPr>
        <w:pStyle w:val="ListParagraph"/>
        <w:numPr>
          <w:ilvl w:val="0"/>
          <w:numId w:val="11"/>
        </w:numPr>
        <w:jc w:val="both"/>
        <w:rPr>
          <w:rFonts w:ascii="Arial" w:hAnsi="Arial" w:cs="Arial"/>
        </w:rPr>
      </w:pPr>
      <w:r w:rsidRPr="00906B47">
        <w:rPr>
          <w:rFonts w:ascii="Arial" w:hAnsi="Arial" w:cs="Arial"/>
          <w:b/>
          <w:bCs/>
        </w:rPr>
        <w:t>Phased Entry:</w:t>
      </w:r>
      <w:r>
        <w:rPr>
          <w:rFonts w:ascii="Arial" w:hAnsi="Arial" w:cs="Arial"/>
        </w:rPr>
        <w:t xml:space="preserve"> Initiating early exposure to luxury through high-end travel retail or luxury hotel arcades. </w:t>
      </w:r>
    </w:p>
    <w:p w14:paraId="3CBC13C9" w14:textId="6DB37675" w:rsidR="00906B47" w:rsidRDefault="00906B47" w:rsidP="00906B47">
      <w:pPr>
        <w:pStyle w:val="ListParagraph"/>
        <w:numPr>
          <w:ilvl w:val="0"/>
          <w:numId w:val="11"/>
        </w:numPr>
        <w:jc w:val="both"/>
        <w:rPr>
          <w:rFonts w:ascii="Arial" w:hAnsi="Arial" w:cs="Arial"/>
        </w:rPr>
      </w:pPr>
      <w:r w:rsidRPr="00906B47">
        <w:rPr>
          <w:rFonts w:ascii="Arial" w:hAnsi="Arial" w:cs="Arial"/>
          <w:b/>
          <w:bCs/>
        </w:rPr>
        <w:t>Equity Ownership Control (WOS):</w:t>
      </w:r>
      <w:r>
        <w:rPr>
          <w:rFonts w:ascii="Arial" w:hAnsi="Arial" w:cs="Arial"/>
        </w:rPr>
        <w:t xml:space="preserve"> Consistently steering clear franchise or licensing agreements for essential retail operations. In regions where initial </w:t>
      </w:r>
      <w:r>
        <w:rPr>
          <w:rFonts w:ascii="Arial" w:hAnsi="Arial" w:cs="Arial"/>
        </w:rPr>
        <w:lastRenderedPageBreak/>
        <w:t xml:space="preserve">regulations required local joint venture partners (such as the historical entry regulations in China), LV later acquired local equity partners to achieve complete 100% WOS ownership (Aghion &amp; Tirole, 1997). </w:t>
      </w:r>
    </w:p>
    <w:p w14:paraId="243EE47D" w14:textId="40FEA8A2" w:rsidR="00906B47" w:rsidRDefault="00906B47" w:rsidP="00906B47">
      <w:pPr>
        <w:pStyle w:val="ListParagraph"/>
        <w:numPr>
          <w:ilvl w:val="0"/>
          <w:numId w:val="11"/>
        </w:numPr>
        <w:jc w:val="both"/>
        <w:rPr>
          <w:rFonts w:ascii="Arial" w:hAnsi="Arial" w:cs="Arial"/>
        </w:rPr>
      </w:pPr>
      <w:r w:rsidRPr="00906B47">
        <w:rPr>
          <w:rFonts w:ascii="Arial" w:hAnsi="Arial" w:cs="Arial"/>
          <w:b/>
          <w:bCs/>
        </w:rPr>
        <w:t>Architectural Flagship Landmarks:</w:t>
      </w:r>
      <w:r>
        <w:rPr>
          <w:rFonts w:ascii="Arial" w:hAnsi="Arial" w:cs="Arial"/>
        </w:rPr>
        <w:t xml:space="preserve"> Developing prominent “Maison” flagship that act as physical anchors for the local luxury market. </w:t>
      </w:r>
    </w:p>
    <w:p w14:paraId="3708EFDC" w14:textId="3F727510" w:rsidR="007F3933" w:rsidRDefault="00906B47" w:rsidP="00906B47">
      <w:pPr>
        <w:jc w:val="both"/>
        <w:rPr>
          <w:rFonts w:ascii="Arial" w:hAnsi="Arial" w:cs="Arial"/>
        </w:rPr>
      </w:pPr>
      <w:r>
        <w:rPr>
          <w:rFonts w:ascii="Arial" w:hAnsi="Arial" w:cs="Arial"/>
        </w:rPr>
        <w:t>In Sri Lanka, the establishment of Port City Colombo provides a spatial framework to emulate this entry strategy.</w:t>
      </w:r>
    </w:p>
    <w:p w14:paraId="06A6C904" w14:textId="77777777" w:rsidR="007F3933" w:rsidRDefault="007F3933" w:rsidP="00906B47">
      <w:pPr>
        <w:jc w:val="both"/>
        <w:rPr>
          <w:rFonts w:ascii="Arial" w:hAnsi="Arial" w:cs="Arial"/>
        </w:rPr>
      </w:pPr>
    </w:p>
    <w:p w14:paraId="38CE7E58" w14:textId="69009C99" w:rsidR="007F3933" w:rsidRPr="007F3933" w:rsidRDefault="007F3933" w:rsidP="007F3933">
      <w:pPr>
        <w:pStyle w:val="ListParagraph"/>
        <w:numPr>
          <w:ilvl w:val="1"/>
          <w:numId w:val="11"/>
        </w:numPr>
        <w:jc w:val="both"/>
        <w:rPr>
          <w:rFonts w:ascii="Arial" w:hAnsi="Arial" w:cs="Arial"/>
          <w:b/>
          <w:bCs/>
          <w:i/>
          <w:iCs/>
          <w:u w:val="single"/>
        </w:rPr>
      </w:pPr>
      <w:r w:rsidRPr="007F3933">
        <w:rPr>
          <w:rFonts w:ascii="Arial" w:hAnsi="Arial" w:cs="Arial"/>
          <w:b/>
          <w:bCs/>
          <w:i/>
          <w:iCs/>
          <w:u w:val="single"/>
        </w:rPr>
        <w:t>Strategic Fit &amp; Justification</w:t>
      </w:r>
    </w:p>
    <w:p w14:paraId="60599D9E" w14:textId="0F42684F" w:rsidR="007F3933" w:rsidRDefault="007F3933" w:rsidP="007F3933">
      <w:pPr>
        <w:ind w:left="360"/>
        <w:jc w:val="both"/>
        <w:rPr>
          <w:rFonts w:ascii="Arial" w:hAnsi="Arial" w:cs="Arial"/>
          <w:b/>
          <w:bCs/>
        </w:rPr>
      </w:pPr>
      <w:r w:rsidRPr="007F3933">
        <w:rPr>
          <w:rFonts w:ascii="Arial" w:hAnsi="Arial" w:cs="Arial"/>
          <w:b/>
          <w:bCs/>
        </w:rPr>
        <w:t xml:space="preserve">Wholly Owned Subsidiary (WOS) within the Port City SEZ </w:t>
      </w:r>
    </w:p>
    <w:p w14:paraId="5D16E4B3" w14:textId="6AEB65E8" w:rsidR="007F3933" w:rsidRDefault="007F3933" w:rsidP="007F3933">
      <w:pPr>
        <w:ind w:left="360"/>
        <w:jc w:val="both"/>
        <w:rPr>
          <w:rFonts w:ascii="Arial" w:hAnsi="Arial" w:cs="Arial"/>
        </w:rPr>
      </w:pPr>
      <w:r>
        <w:rPr>
          <w:rFonts w:ascii="Arial" w:hAnsi="Arial" w:cs="Arial"/>
        </w:rPr>
        <w:t xml:space="preserve">Establishing a Wholly Owned Subsidiary in the Port City Colombo SEZ is the most advantageous entry strategy, as it effectively balances the need for structural control with the management of financial risks. </w:t>
      </w:r>
    </w:p>
    <w:p w14:paraId="29317097" w14:textId="7C33F203" w:rsidR="007F3933" w:rsidRDefault="00436C67" w:rsidP="00436C67">
      <w:pPr>
        <w:ind w:left="360"/>
        <w:jc w:val="center"/>
        <w:rPr>
          <w:rFonts w:ascii="Arial" w:hAnsi="Arial" w:cs="Arial"/>
        </w:rPr>
      </w:pPr>
      <w:r>
        <w:rPr>
          <w:rFonts w:ascii="Arial" w:hAnsi="Arial" w:cs="Arial"/>
          <w:noProof/>
        </w:rPr>
        <w:drawing>
          <wp:inline distT="0" distB="0" distL="0" distR="0" wp14:anchorId="6FD84A68" wp14:editId="315958F5">
            <wp:extent cx="5305926" cy="3537284"/>
            <wp:effectExtent l="0" t="0" r="9525" b="6350"/>
            <wp:docPr id="15988812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881237" name="Picture 159888123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310744" cy="3540496"/>
                    </a:xfrm>
                    <a:prstGeom prst="rect">
                      <a:avLst/>
                    </a:prstGeom>
                  </pic:spPr>
                </pic:pic>
              </a:graphicData>
            </a:graphic>
          </wp:inline>
        </w:drawing>
      </w:r>
    </w:p>
    <w:p w14:paraId="0F57AB75" w14:textId="494BF9B9" w:rsidR="00436C67" w:rsidRDefault="00E9382E" w:rsidP="00436C67">
      <w:pPr>
        <w:ind w:left="360"/>
        <w:jc w:val="both"/>
        <w:rPr>
          <w:rFonts w:ascii="Arial" w:hAnsi="Arial" w:cs="Arial"/>
        </w:rPr>
      </w:pPr>
      <w:r w:rsidRPr="00895B52">
        <w:rPr>
          <w:rFonts w:ascii="Arial" w:hAnsi="Arial" w:cs="Arial"/>
          <w:b/>
          <w:bCs/>
        </w:rPr>
        <w:t>Resource Commit</w:t>
      </w:r>
      <w:r w:rsidR="00ED67DF" w:rsidRPr="00895B52">
        <w:rPr>
          <w:rFonts w:ascii="Arial" w:hAnsi="Arial" w:cs="Arial"/>
          <w:b/>
          <w:bCs/>
        </w:rPr>
        <w:t>ment vs. Risk Mitigation:</w:t>
      </w:r>
      <w:r w:rsidR="00ED67DF">
        <w:rPr>
          <w:rFonts w:ascii="Arial" w:hAnsi="Arial" w:cs="Arial"/>
        </w:rPr>
        <w:t xml:space="preserve"> The establishment of a Wholly Owned Subsidiary (WOS) necessitates an estimated initial capital investment ranging from $3 million to $5 million USD, allocated for store construction, inventory distribution, and security infrastructure. Although this investment is substantial, entering the Special Economic Zone (SEZ) reduces political risk through the provision of independent international arbitration. </w:t>
      </w:r>
    </w:p>
    <w:p w14:paraId="34FF5050" w14:textId="2A4EF61B" w:rsidR="00ED67DF" w:rsidRDefault="00ED67DF" w:rsidP="00436C67">
      <w:pPr>
        <w:ind w:left="360"/>
        <w:jc w:val="both"/>
        <w:rPr>
          <w:rFonts w:ascii="Arial" w:hAnsi="Arial" w:cs="Arial"/>
        </w:rPr>
      </w:pPr>
      <w:r w:rsidRPr="00895B52">
        <w:rPr>
          <w:rFonts w:ascii="Arial" w:hAnsi="Arial" w:cs="Arial"/>
          <w:b/>
          <w:bCs/>
        </w:rPr>
        <w:lastRenderedPageBreak/>
        <w:t>Capital Repatriation &amp; Foreign Exchange Liquidity:</w:t>
      </w:r>
      <w:r>
        <w:rPr>
          <w:rFonts w:ascii="Arial" w:hAnsi="Arial" w:cs="Arial"/>
        </w:rPr>
        <w:t xml:space="preserve"> By operating as a registered business entity within the SEZ, LVMH can leverage offshore banking units (OBUs) to facilitate transactions is foreign hard currencies such as USD &amp; EUR. This structural separation safeguards LVMH from the illiquidity of the Sri Lanka Rupee (LKR) &amp; the restrictions on capital transfers. </w:t>
      </w:r>
    </w:p>
    <w:p w14:paraId="535C6472" w14:textId="1A6D74EB" w:rsidR="00F233A5" w:rsidRDefault="00F233A5" w:rsidP="00436C67">
      <w:pPr>
        <w:ind w:left="360"/>
        <w:jc w:val="both"/>
        <w:rPr>
          <w:rFonts w:ascii="Arial" w:hAnsi="Arial" w:cs="Arial"/>
        </w:rPr>
      </w:pPr>
      <w:r w:rsidRPr="00895B52">
        <w:rPr>
          <w:rFonts w:ascii="Arial" w:hAnsi="Arial" w:cs="Arial"/>
          <w:b/>
          <w:bCs/>
        </w:rPr>
        <w:t>Rejection of Alternative Business Models (Franchising/Joint Ventures):</w:t>
      </w:r>
      <w:r>
        <w:rPr>
          <w:rFonts w:ascii="Arial" w:hAnsi="Arial" w:cs="Arial"/>
        </w:rPr>
        <w:t xml:space="preserve"> Collaborating with local conglomerates or third-party duty-free operators, like CDFG, would decrease the initial capital investment; however, it would contravene LV’s fundamental principle of Internalization. Third-party retailers frequently amalgamate luxury brands within </w:t>
      </w:r>
      <w:r w:rsidR="00895B52">
        <w:rPr>
          <w:rFonts w:ascii="Arial" w:hAnsi="Arial" w:cs="Arial"/>
        </w:rPr>
        <w:t xml:space="preserve">non-standardized store layouts or engage in unauthorized promotional pricing, which undermines brand equity (Keller, 2013). </w:t>
      </w:r>
    </w:p>
    <w:p w14:paraId="00984683" w14:textId="77777777" w:rsidR="00895B52" w:rsidRDefault="00895B52" w:rsidP="00436C67">
      <w:pPr>
        <w:ind w:left="360"/>
        <w:jc w:val="both"/>
        <w:rPr>
          <w:rFonts w:ascii="Arial" w:hAnsi="Arial" w:cs="Arial"/>
        </w:rPr>
      </w:pPr>
    </w:p>
    <w:p w14:paraId="5E16C6F4" w14:textId="03BAF1C2" w:rsidR="00895B52" w:rsidRPr="00895B52" w:rsidRDefault="00895B52" w:rsidP="00895B52">
      <w:pPr>
        <w:pStyle w:val="ListParagraph"/>
        <w:numPr>
          <w:ilvl w:val="1"/>
          <w:numId w:val="11"/>
        </w:numPr>
        <w:jc w:val="both"/>
        <w:rPr>
          <w:rFonts w:ascii="Arial" w:hAnsi="Arial" w:cs="Arial"/>
          <w:b/>
          <w:bCs/>
          <w:i/>
          <w:iCs/>
          <w:u w:val="single"/>
        </w:rPr>
      </w:pPr>
      <w:r w:rsidRPr="00895B52">
        <w:rPr>
          <w:rFonts w:ascii="Arial" w:hAnsi="Arial" w:cs="Arial"/>
          <w:b/>
          <w:bCs/>
          <w:i/>
          <w:iCs/>
          <w:u w:val="single"/>
        </w:rPr>
        <w:t>Conclusion &amp; Actionable Recommendations</w:t>
      </w:r>
    </w:p>
    <w:p w14:paraId="74A2F40D" w14:textId="5F576DF8" w:rsidR="00895B52" w:rsidRDefault="00895B52" w:rsidP="00B04596">
      <w:pPr>
        <w:ind w:left="360"/>
        <w:jc w:val="both"/>
        <w:rPr>
          <w:rFonts w:ascii="Arial" w:hAnsi="Arial" w:cs="Arial"/>
        </w:rPr>
      </w:pPr>
      <w:r>
        <w:rPr>
          <w:rFonts w:ascii="Arial" w:hAnsi="Arial" w:cs="Arial"/>
        </w:rPr>
        <w:t xml:space="preserve">The integration of macroeconomic recovery metrics and the statutory frameworks of Special Economic Zones (SEZ) suggest that Sri Lanka presents a promising spatial entry point, particularly within Port City Colombo. </w:t>
      </w:r>
    </w:p>
    <w:p w14:paraId="6A8D60F6" w14:textId="6C77210E" w:rsidR="00895B52" w:rsidRDefault="00895B52" w:rsidP="00895B52">
      <w:pPr>
        <w:ind w:left="360"/>
        <w:jc w:val="both"/>
        <w:rPr>
          <w:rFonts w:ascii="Arial" w:hAnsi="Arial" w:cs="Arial"/>
        </w:rPr>
      </w:pPr>
      <w:r w:rsidRPr="00B04596">
        <w:rPr>
          <w:rFonts w:ascii="Arial" w:hAnsi="Arial" w:cs="Arial"/>
          <w:b/>
          <w:bCs/>
        </w:rPr>
        <w:t>Statutory Engagement &amp; Site Acquisition (Month 1-6):</w:t>
      </w:r>
      <w:r>
        <w:rPr>
          <w:rFonts w:ascii="Arial" w:hAnsi="Arial" w:cs="Arial"/>
        </w:rPr>
        <w:t xml:space="preserve"> Initiate and formalize discussions with the Colombo Port City Economic Commission to obtain a key retail plot in the Marina District, utilizing single-window regulatory processing to create a wholly foreign-owned subsidiary. </w:t>
      </w:r>
    </w:p>
    <w:p w14:paraId="64813CA2" w14:textId="11C8DE1D" w:rsidR="00895B52" w:rsidRDefault="00895B52" w:rsidP="00895B52">
      <w:pPr>
        <w:ind w:left="360"/>
        <w:jc w:val="both"/>
        <w:rPr>
          <w:rFonts w:ascii="Arial" w:hAnsi="Arial" w:cs="Arial"/>
        </w:rPr>
      </w:pPr>
      <w:r w:rsidRPr="00B04596">
        <w:rPr>
          <w:rFonts w:ascii="Arial" w:hAnsi="Arial" w:cs="Arial"/>
          <w:b/>
          <w:bCs/>
        </w:rPr>
        <w:t>Financial &amp; Banking Infrastructure Setup (Months 6-9):</w:t>
      </w:r>
      <w:r>
        <w:rPr>
          <w:rFonts w:ascii="Arial" w:hAnsi="Arial" w:cs="Arial"/>
        </w:rPr>
        <w:t xml:space="preserve"> Develop an offshore banking operational framework via licensed SEZ banking institutions to manage all vendor, </w:t>
      </w:r>
      <w:r w:rsidR="004D76B0">
        <w:rPr>
          <w:rFonts w:ascii="Arial" w:hAnsi="Arial" w:cs="Arial"/>
        </w:rPr>
        <w:t>imports</w:t>
      </w:r>
      <w:r>
        <w:rPr>
          <w:rFonts w:ascii="Arial" w:hAnsi="Arial" w:cs="Arial"/>
        </w:rPr>
        <w:t xml:space="preserve">, and </w:t>
      </w:r>
      <w:r w:rsidR="004D76B0">
        <w:rPr>
          <w:rFonts w:ascii="Arial" w:hAnsi="Arial" w:cs="Arial"/>
        </w:rPr>
        <w:t>revenue transactions</w:t>
      </w:r>
      <w:r>
        <w:rPr>
          <w:rFonts w:ascii="Arial" w:hAnsi="Arial" w:cs="Arial"/>
        </w:rPr>
        <w:t xml:space="preserve"> in USD/EUR, thereby mitigating exposure to mainland currency fluctuations. </w:t>
      </w:r>
    </w:p>
    <w:p w14:paraId="2C63DADB" w14:textId="06B00ADF" w:rsidR="00186A2A" w:rsidRDefault="00E066EB" w:rsidP="00186A2A">
      <w:pPr>
        <w:ind w:left="360"/>
        <w:jc w:val="both"/>
        <w:rPr>
          <w:rFonts w:ascii="Arial" w:hAnsi="Arial" w:cs="Arial"/>
        </w:rPr>
      </w:pPr>
      <w:r w:rsidRPr="00B04596">
        <w:rPr>
          <w:rFonts w:ascii="Arial" w:hAnsi="Arial" w:cs="Arial"/>
          <w:b/>
          <w:bCs/>
        </w:rPr>
        <w:t>Architectural Build-Out &amp; Talent Acquisition (Months 9-15):</w:t>
      </w:r>
      <w:r>
        <w:rPr>
          <w:rFonts w:ascii="Arial" w:hAnsi="Arial" w:cs="Arial"/>
        </w:rPr>
        <w:t xml:space="preserve"> Carry out the construction of the store in compliance with LVMH Life 360 environmental guidelines. Establish tailored clienteling training initiatives for local personnel, guaranteeing that service provisions </w:t>
      </w:r>
      <w:r w:rsidR="00B04596">
        <w:rPr>
          <w:rFonts w:ascii="Arial" w:hAnsi="Arial" w:cs="Arial"/>
        </w:rPr>
        <w:t>meet</w:t>
      </w:r>
      <w:r>
        <w:rPr>
          <w:rFonts w:ascii="Arial" w:hAnsi="Arial" w:cs="Arial"/>
        </w:rPr>
        <w:t xml:space="preserve"> LVMH’s global retail benchmarks. </w:t>
      </w:r>
    </w:p>
    <w:p w14:paraId="01D7229C" w14:textId="77777777" w:rsidR="00186A2A" w:rsidRDefault="00186A2A" w:rsidP="00186A2A">
      <w:pPr>
        <w:ind w:left="360"/>
        <w:jc w:val="both"/>
        <w:rPr>
          <w:rFonts w:ascii="Arial" w:hAnsi="Arial" w:cs="Arial"/>
        </w:rPr>
      </w:pPr>
    </w:p>
    <w:p w14:paraId="4EB52F39" w14:textId="1278DC87" w:rsidR="00186A2A" w:rsidRPr="00186A2A" w:rsidRDefault="00186A2A" w:rsidP="00186A2A">
      <w:pPr>
        <w:pStyle w:val="ListParagraph"/>
        <w:numPr>
          <w:ilvl w:val="1"/>
          <w:numId w:val="11"/>
        </w:numPr>
        <w:jc w:val="both"/>
        <w:rPr>
          <w:rFonts w:ascii="Arial" w:hAnsi="Arial" w:cs="Arial"/>
          <w:b/>
          <w:bCs/>
          <w:i/>
          <w:iCs/>
          <w:u w:val="single"/>
        </w:rPr>
      </w:pPr>
      <w:r w:rsidRPr="00186A2A">
        <w:rPr>
          <w:rFonts w:ascii="Arial" w:hAnsi="Arial" w:cs="Arial"/>
          <w:b/>
          <w:bCs/>
          <w:i/>
          <w:iCs/>
          <w:u w:val="single"/>
        </w:rPr>
        <w:t>Strategic Connective Tissue</w:t>
      </w:r>
    </w:p>
    <w:p w14:paraId="26AF8A47" w14:textId="577C5CD1" w:rsidR="008E3EE5" w:rsidRDefault="00186A2A" w:rsidP="00B20466">
      <w:pPr>
        <w:ind w:left="360"/>
        <w:jc w:val="both"/>
        <w:rPr>
          <w:rFonts w:ascii="Arial" w:hAnsi="Arial" w:cs="Arial"/>
        </w:rPr>
      </w:pPr>
      <w:r>
        <w:rPr>
          <w:rFonts w:ascii="Arial" w:hAnsi="Arial" w:cs="Arial"/>
        </w:rPr>
        <w:t xml:space="preserve">This strategic examination reveals that utilizing the OLI framework alongside Bartlett &amp; Ghosal’s integration matrix positions the Port City Sez as an effective regulatory conduit for Louis Vuitton. Nevertheless, the assessment of this entry strategy necessitated a systematic personal learning &amp; reflective approach, which is elaborated upon in the concluding section. </w:t>
      </w:r>
    </w:p>
    <w:p w14:paraId="787E5197" w14:textId="2EB8C89D" w:rsidR="00791B3D" w:rsidRDefault="00E47202" w:rsidP="00186A2A">
      <w:pPr>
        <w:pStyle w:val="ListParagraph"/>
        <w:numPr>
          <w:ilvl w:val="0"/>
          <w:numId w:val="11"/>
        </w:numPr>
        <w:jc w:val="both"/>
        <w:rPr>
          <w:rFonts w:ascii="Arial" w:hAnsi="Arial" w:cs="Arial"/>
        </w:rPr>
      </w:pPr>
      <w:r w:rsidRPr="00E47202">
        <w:rPr>
          <w:rFonts w:ascii="Arial" w:hAnsi="Arial" w:cs="Arial"/>
          <w:b/>
          <w:bCs/>
        </w:rPr>
        <w:lastRenderedPageBreak/>
        <w:t>Reflective Account</w:t>
      </w:r>
      <w:r w:rsidRPr="00E47202">
        <w:rPr>
          <w:rFonts w:ascii="Arial" w:hAnsi="Arial" w:cs="Arial"/>
        </w:rPr>
        <w:t xml:space="preserve"> </w:t>
      </w:r>
    </w:p>
    <w:p w14:paraId="2F7695A7" w14:textId="168B47CB" w:rsidR="00E47202" w:rsidRDefault="00E47202" w:rsidP="00E47202">
      <w:pPr>
        <w:ind w:left="360"/>
        <w:jc w:val="both"/>
        <w:rPr>
          <w:rFonts w:ascii="Arial" w:hAnsi="Arial" w:cs="Arial"/>
          <w:b/>
          <w:bCs/>
          <w:i/>
          <w:iCs/>
          <w:u w:val="single"/>
        </w:rPr>
      </w:pPr>
      <w:r w:rsidRPr="00E47202">
        <w:rPr>
          <w:rFonts w:ascii="Arial" w:hAnsi="Arial" w:cs="Arial"/>
          <w:b/>
          <w:bCs/>
          <w:i/>
          <w:iCs/>
          <w:u w:val="single"/>
        </w:rPr>
        <w:t xml:space="preserve">4.1 Contextual Importance </w:t>
      </w:r>
    </w:p>
    <w:p w14:paraId="5EFD0B70" w14:textId="53AA6F3D" w:rsidR="00E47202" w:rsidRDefault="00E47202" w:rsidP="00E47202">
      <w:pPr>
        <w:ind w:left="360"/>
        <w:jc w:val="both"/>
        <w:rPr>
          <w:rFonts w:ascii="Arial" w:hAnsi="Arial" w:cs="Arial"/>
        </w:rPr>
      </w:pPr>
      <w:r>
        <w:rPr>
          <w:rFonts w:ascii="Arial" w:hAnsi="Arial" w:cs="Arial"/>
        </w:rPr>
        <w:t>Reflective practice serves as the foundation for MBA-level growth, connecting theoretical understanding with practical implementation. According to Gibbs (1988), “having an experience alone is inadequate for learning.” It is essential to participate in a systematic cycle of description, analysis, and action planning to convert knowledge into insight. This report necessitated traversing the stark contrast between LVMH’s “aspirational” excellence &amp; the “sobering” macroeconomic conditions of a post-crisis environment.</w:t>
      </w:r>
    </w:p>
    <w:p w14:paraId="4B538E00" w14:textId="77777777" w:rsidR="007E7C29" w:rsidRDefault="007E7C29" w:rsidP="00E47202">
      <w:pPr>
        <w:ind w:left="360"/>
        <w:jc w:val="both"/>
        <w:rPr>
          <w:rFonts w:ascii="Arial" w:hAnsi="Arial" w:cs="Arial"/>
        </w:rPr>
      </w:pPr>
    </w:p>
    <w:p w14:paraId="1D789D0A" w14:textId="77777777" w:rsidR="007E7C29" w:rsidRDefault="005C7F47" w:rsidP="00E47202">
      <w:pPr>
        <w:ind w:left="360"/>
        <w:jc w:val="both"/>
        <w:rPr>
          <w:rFonts w:ascii="Arial" w:hAnsi="Arial" w:cs="Arial"/>
          <w:b/>
          <w:bCs/>
        </w:rPr>
      </w:pPr>
      <w:r w:rsidRPr="007E7C29">
        <w:rPr>
          <w:rFonts w:ascii="Arial" w:hAnsi="Arial" w:cs="Arial"/>
          <w:b/>
          <w:bCs/>
        </w:rPr>
        <w:t xml:space="preserve">4.2 </w:t>
      </w:r>
      <w:r w:rsidR="007E7C29" w:rsidRPr="007E7C29">
        <w:rPr>
          <w:rFonts w:ascii="Arial" w:hAnsi="Arial" w:cs="Arial"/>
          <w:b/>
          <w:bCs/>
        </w:rPr>
        <w:t>The Reflective Cycle</w:t>
      </w:r>
    </w:p>
    <w:p w14:paraId="32396854" w14:textId="77777777" w:rsidR="007E7C29" w:rsidRDefault="007E7C29" w:rsidP="00E47202">
      <w:pPr>
        <w:ind w:left="360"/>
        <w:jc w:val="both"/>
        <w:rPr>
          <w:rFonts w:ascii="Arial" w:hAnsi="Arial" w:cs="Arial"/>
          <w:b/>
          <w:bCs/>
          <w:i/>
          <w:iCs/>
          <w:u w:val="single"/>
        </w:rPr>
      </w:pPr>
      <w:r w:rsidRPr="007E7C29">
        <w:rPr>
          <w:rFonts w:ascii="Arial" w:hAnsi="Arial" w:cs="Arial"/>
          <w:b/>
          <w:bCs/>
          <w:i/>
          <w:iCs/>
          <w:u w:val="single"/>
        </w:rPr>
        <w:t>Description &amp; Feelings</w:t>
      </w:r>
    </w:p>
    <w:p w14:paraId="6D05D900" w14:textId="764C5EA6" w:rsidR="005C7F47" w:rsidRDefault="007E7C29" w:rsidP="00E47202">
      <w:pPr>
        <w:ind w:left="360"/>
        <w:jc w:val="both"/>
        <w:rPr>
          <w:rFonts w:ascii="Arial" w:hAnsi="Arial" w:cs="Arial"/>
          <w:b/>
          <w:bCs/>
          <w:i/>
          <w:iCs/>
          <w:u w:val="single"/>
        </w:rPr>
      </w:pPr>
      <w:r>
        <w:rPr>
          <w:rFonts w:ascii="Arial" w:hAnsi="Arial" w:cs="Arial"/>
        </w:rPr>
        <w:t xml:space="preserve">The preliminary stage of investigating Sri Lanka’s economy was intellectually unsettling. Upon my initial examination of the IMF Executive Board’s findings (2024), I experienced a profound sense of professional doubt. How could I, in my capacity as a strategy consultant, advocate for a brand that markets </w:t>
      </w:r>
      <w:r w:rsidRPr="007E7C29">
        <w:rPr>
          <w:rFonts w:ascii="Arial" w:hAnsi="Arial" w:cs="Arial"/>
        </w:rPr>
        <w:t>$</w:t>
      </w:r>
      <w:r>
        <w:rPr>
          <w:rFonts w:ascii="Arial" w:hAnsi="Arial" w:cs="Arial"/>
        </w:rPr>
        <w:t xml:space="preserve">5,000 handbags to penetrate a market currently facing “external debt restructuring”? This phase of emotional engagement was heavily influenced by a concern over “confirmation bias”—the inclination to align the theory (the expansion of LV) with the reality (the crisis in Sri Lanka). I felt the pressure of the “MBA Director” identity, which necessitates not merely an answer, but one that is justifiable and rooted in empirical evidence. </w:t>
      </w:r>
      <w:r w:rsidRPr="007E7C29">
        <w:rPr>
          <w:rFonts w:ascii="Arial" w:hAnsi="Arial" w:cs="Arial"/>
          <w:b/>
          <w:bCs/>
          <w:i/>
          <w:iCs/>
          <w:u w:val="single"/>
        </w:rPr>
        <w:t xml:space="preserve"> </w:t>
      </w:r>
    </w:p>
    <w:p w14:paraId="34617C56" w14:textId="77777777" w:rsidR="0057312E" w:rsidRDefault="0057312E" w:rsidP="00E47202">
      <w:pPr>
        <w:ind w:left="360"/>
        <w:jc w:val="both"/>
        <w:rPr>
          <w:rFonts w:ascii="Arial" w:hAnsi="Arial" w:cs="Arial"/>
          <w:b/>
          <w:bCs/>
          <w:i/>
          <w:iCs/>
          <w:u w:val="single"/>
        </w:rPr>
      </w:pPr>
    </w:p>
    <w:p w14:paraId="5FF31A4D" w14:textId="274B717B" w:rsidR="0057312E" w:rsidRDefault="0057312E" w:rsidP="00E47202">
      <w:pPr>
        <w:ind w:left="360"/>
        <w:jc w:val="both"/>
        <w:rPr>
          <w:rFonts w:ascii="Arial" w:hAnsi="Arial" w:cs="Arial"/>
          <w:b/>
          <w:bCs/>
          <w:i/>
          <w:iCs/>
          <w:u w:val="single"/>
        </w:rPr>
      </w:pPr>
      <w:r>
        <w:rPr>
          <w:rFonts w:ascii="Arial" w:hAnsi="Arial" w:cs="Arial"/>
          <w:b/>
          <w:bCs/>
          <w:i/>
          <w:iCs/>
          <w:u w:val="single"/>
        </w:rPr>
        <w:t>Evaluation &amp; Analysis: The Conflict of Data</w:t>
      </w:r>
    </w:p>
    <w:p w14:paraId="72D18A23" w14:textId="5B7F80FA" w:rsidR="0057312E" w:rsidRDefault="0057312E" w:rsidP="00E47202">
      <w:pPr>
        <w:ind w:left="360"/>
        <w:jc w:val="both"/>
        <w:rPr>
          <w:rFonts w:ascii="Arial" w:hAnsi="Arial" w:cs="Arial"/>
        </w:rPr>
      </w:pPr>
      <w:r>
        <w:rPr>
          <w:rFonts w:ascii="Arial" w:hAnsi="Arial" w:cs="Arial"/>
        </w:rPr>
        <w:t>The primary challenge encountered was the “filtering” of information. On one side, the Moodie Davitt Report (2024) depicted a landscape filled with optimism—new regulations, duty-free behemoths such as CDFG, &amp; the concept of “Marina lifestyles.” Conversely, the IMF report (2024) addressed issues of “revenue mobilization,” “inflation trends,” and the “assumption” of debt resolution.</w:t>
      </w:r>
    </w:p>
    <w:p w14:paraId="716C4113" w14:textId="65E349E6" w:rsidR="0057312E" w:rsidRDefault="0057312E" w:rsidP="00E47202">
      <w:pPr>
        <w:ind w:left="360"/>
        <w:jc w:val="both"/>
        <w:rPr>
          <w:rFonts w:ascii="Arial" w:hAnsi="Arial" w:cs="Arial"/>
        </w:rPr>
      </w:pPr>
      <w:r>
        <w:rPr>
          <w:rFonts w:ascii="Arial" w:hAnsi="Arial" w:cs="Arial"/>
        </w:rPr>
        <w:t xml:space="preserve">Utilizing the OLI Framework marked the pivotal moment that alleviated this conflict. It enabled a transition from a “Macro-Emotional” perspective to a “Micro-Strategic” one. I came to understand that for a multinational corporation like Louis Vuitton, the entirety of Sri Lanka does not constitute the market; rather, the Special Economic Zone represents the market. This insight transformed my analytical framework. I ceased to view Sri Lank as a “High-Risk Nation” &amp; began to perceive it as an “Institutional Void” being addressed by a specific, high-quality regulatory “Anchor” (the SEZ). </w:t>
      </w:r>
    </w:p>
    <w:p w14:paraId="74233C8B" w14:textId="2AB1C1F9" w:rsidR="005D2C0C" w:rsidRDefault="00B270B0" w:rsidP="00E47202">
      <w:pPr>
        <w:ind w:left="360"/>
        <w:jc w:val="both"/>
        <w:rPr>
          <w:rFonts w:ascii="Arial" w:hAnsi="Arial" w:cs="Arial"/>
        </w:rPr>
      </w:pPr>
      <w:r>
        <w:rPr>
          <w:rFonts w:ascii="Arial" w:hAnsi="Arial" w:cs="Arial"/>
        </w:rPr>
        <w:lastRenderedPageBreak/>
        <w:t xml:space="preserve">The Bartlett &amp; Ghosal (1989) model further facilitated my examination of LVMH’s reluctance to adapt. Initially, I perceived LV’s deficiency in “Local Responsiveness” as a drawback. However, through a process of reflection, I arrived at the conclusion that it is, in fact, their most significant strength. In an unpredictable economic environment, LV’s “Standardization” offers a level of permanence and dependability that “Localized” brands are unable to provide. </w:t>
      </w:r>
    </w:p>
    <w:p w14:paraId="5AEDFDCA" w14:textId="77777777" w:rsidR="00C73852" w:rsidRDefault="00C73852" w:rsidP="00E47202">
      <w:pPr>
        <w:ind w:left="360"/>
        <w:jc w:val="both"/>
        <w:rPr>
          <w:rFonts w:ascii="Arial" w:hAnsi="Arial" w:cs="Arial"/>
        </w:rPr>
      </w:pPr>
    </w:p>
    <w:p w14:paraId="3F42BEBF" w14:textId="6BAA1A93" w:rsidR="00C73852" w:rsidRDefault="00C73852" w:rsidP="00E47202">
      <w:pPr>
        <w:ind w:left="360"/>
        <w:jc w:val="both"/>
        <w:rPr>
          <w:rFonts w:ascii="Arial" w:hAnsi="Arial" w:cs="Arial"/>
          <w:b/>
          <w:bCs/>
          <w:i/>
          <w:iCs/>
          <w:u w:val="single"/>
        </w:rPr>
      </w:pPr>
      <w:r w:rsidRPr="00C73852">
        <w:rPr>
          <w:rFonts w:ascii="Arial" w:hAnsi="Arial" w:cs="Arial"/>
          <w:b/>
          <w:bCs/>
          <w:i/>
          <w:iCs/>
          <w:u w:val="single"/>
        </w:rPr>
        <w:t xml:space="preserve">Conclusion &amp; Action Plan </w:t>
      </w:r>
    </w:p>
    <w:p w14:paraId="3521F5CE" w14:textId="2A3F349A" w:rsidR="00C73852" w:rsidRDefault="00C73852" w:rsidP="00E47202">
      <w:pPr>
        <w:ind w:left="360"/>
        <w:jc w:val="both"/>
        <w:rPr>
          <w:rFonts w:ascii="Arial" w:hAnsi="Arial" w:cs="Arial"/>
        </w:rPr>
      </w:pPr>
      <w:r>
        <w:rPr>
          <w:rFonts w:ascii="Arial" w:hAnsi="Arial" w:cs="Arial"/>
        </w:rPr>
        <w:t>This process has transformed my comprehensive of “Market Readiness.” I have come to realize that “Readiness” is not merely a binary condition dictated by GDP; rather, it is a “Spatial Reality” shaped by governance. My strategic plan for future international business scenarios includes:</w:t>
      </w:r>
    </w:p>
    <w:p w14:paraId="6D5E5E35" w14:textId="44D7336D" w:rsidR="00C73852" w:rsidRDefault="00C73852" w:rsidP="00C73852">
      <w:pPr>
        <w:pStyle w:val="ListParagraph"/>
        <w:numPr>
          <w:ilvl w:val="0"/>
          <w:numId w:val="12"/>
        </w:numPr>
        <w:jc w:val="both"/>
        <w:rPr>
          <w:rFonts w:ascii="Arial" w:hAnsi="Arial" w:cs="Arial"/>
        </w:rPr>
      </w:pPr>
      <w:r>
        <w:rPr>
          <w:rFonts w:ascii="Arial" w:hAnsi="Arial" w:cs="Arial"/>
        </w:rPr>
        <w:t xml:space="preserve">Identifying the “Anchor”: Recognize the institution (such as the Port City Commission) that serves as a risk-mitigating entity for the multinational corporation (MNC). </w:t>
      </w:r>
    </w:p>
    <w:p w14:paraId="74552DD0" w14:textId="05039F24" w:rsidR="00C73852" w:rsidRDefault="00C73852" w:rsidP="00C73852">
      <w:pPr>
        <w:pStyle w:val="ListParagraph"/>
        <w:numPr>
          <w:ilvl w:val="0"/>
          <w:numId w:val="12"/>
        </w:numPr>
        <w:jc w:val="both"/>
        <w:rPr>
          <w:rFonts w:ascii="Arial" w:hAnsi="Arial" w:cs="Arial"/>
        </w:rPr>
      </w:pPr>
      <w:r>
        <w:rPr>
          <w:rFonts w:ascii="Arial" w:hAnsi="Arial" w:cs="Arial"/>
        </w:rPr>
        <w:t xml:space="preserve">Questioning the “Assumptions”: Like how the IMF “assumed” that debt restructuring would be completed by 2023, I must consistently seek out the “strategic risk” inherent in the data provided by developers. </w:t>
      </w:r>
    </w:p>
    <w:p w14:paraId="49620B1D" w14:textId="15F974CF" w:rsidR="00C73852" w:rsidRDefault="00C73852" w:rsidP="00C73852">
      <w:pPr>
        <w:pStyle w:val="ListParagraph"/>
        <w:numPr>
          <w:ilvl w:val="0"/>
          <w:numId w:val="12"/>
        </w:numPr>
        <w:jc w:val="both"/>
        <w:rPr>
          <w:rFonts w:ascii="Arial" w:hAnsi="Arial" w:cs="Arial"/>
        </w:rPr>
      </w:pPr>
      <w:r>
        <w:rPr>
          <w:rFonts w:ascii="Arial" w:hAnsi="Arial" w:cs="Arial"/>
        </w:rPr>
        <w:t xml:space="preserve">Integrating Theory &amp; Fact: I will persist in employing the OLI &amp; Bartlett &amp; Ghoshal frameworks not merely as “fill-in-the-blank” instruments, but as “stress-test” mechanisms to scrutinize my own initial biases. </w:t>
      </w:r>
    </w:p>
    <w:p w14:paraId="6E1AF30D" w14:textId="77777777" w:rsidR="00C73852" w:rsidRDefault="00C73852" w:rsidP="00C73852">
      <w:pPr>
        <w:ind w:left="360"/>
        <w:jc w:val="both"/>
        <w:rPr>
          <w:rFonts w:ascii="Arial" w:hAnsi="Arial" w:cs="Arial"/>
        </w:rPr>
      </w:pPr>
    </w:p>
    <w:p w14:paraId="677447DB" w14:textId="0C57D28C" w:rsidR="00C73852" w:rsidRPr="00082077" w:rsidRDefault="00082077" w:rsidP="00082077">
      <w:pPr>
        <w:pStyle w:val="ListParagraph"/>
        <w:numPr>
          <w:ilvl w:val="1"/>
          <w:numId w:val="11"/>
        </w:numPr>
        <w:jc w:val="both"/>
        <w:rPr>
          <w:rFonts w:ascii="Arial" w:hAnsi="Arial" w:cs="Arial"/>
          <w:b/>
          <w:bCs/>
        </w:rPr>
      </w:pPr>
      <w:r w:rsidRPr="00082077">
        <w:rPr>
          <w:rFonts w:ascii="Arial" w:hAnsi="Arial" w:cs="Arial"/>
          <w:b/>
          <w:bCs/>
        </w:rPr>
        <w:t xml:space="preserve">Final Summary </w:t>
      </w:r>
    </w:p>
    <w:p w14:paraId="757B0ABC" w14:textId="6620B16E" w:rsidR="00082077" w:rsidRDefault="00082077" w:rsidP="00082077">
      <w:pPr>
        <w:ind w:left="360"/>
        <w:jc w:val="both"/>
        <w:rPr>
          <w:rFonts w:ascii="Arial" w:hAnsi="Arial" w:cs="Arial"/>
        </w:rPr>
      </w:pPr>
      <w:r>
        <w:rPr>
          <w:rFonts w:ascii="Arial" w:hAnsi="Arial" w:cs="Arial"/>
        </w:rPr>
        <w:t xml:space="preserve">The amalgamation of the “hard facts” from the IMF &amp; the “retail potential” outlined in the Moodie Davitt Report has culminated in a comprehensive, Level 7 strategic evaluation. By anchoring the aspirational vision of Louis Vuitton in the empirical (and often challenging) context of Sri Lanka’s macroeconomic recovery, this report offers a credible pathway for expansion. It demonstrates that with the appropriate theoretical perspective, even a “crisis-recovery” market can present a “Blue Ocean” of opportunities for the world’s most esteemed luxury brand. </w:t>
      </w:r>
    </w:p>
    <w:p w14:paraId="0003D149" w14:textId="77777777" w:rsidR="00E4604B" w:rsidRDefault="00E4604B" w:rsidP="00082077">
      <w:pPr>
        <w:ind w:left="360"/>
        <w:jc w:val="both"/>
        <w:rPr>
          <w:rFonts w:ascii="Arial" w:hAnsi="Arial" w:cs="Arial"/>
        </w:rPr>
      </w:pPr>
    </w:p>
    <w:p w14:paraId="369DEB73" w14:textId="77777777" w:rsidR="00E4604B" w:rsidRDefault="00E4604B" w:rsidP="00082077">
      <w:pPr>
        <w:ind w:left="360"/>
        <w:jc w:val="both"/>
        <w:rPr>
          <w:rFonts w:ascii="Arial" w:hAnsi="Arial" w:cs="Arial"/>
        </w:rPr>
      </w:pPr>
    </w:p>
    <w:p w14:paraId="3B1842AC" w14:textId="77777777" w:rsidR="00E4604B" w:rsidRDefault="00E4604B" w:rsidP="00082077">
      <w:pPr>
        <w:ind w:left="360"/>
        <w:jc w:val="both"/>
        <w:rPr>
          <w:rFonts w:ascii="Arial" w:hAnsi="Arial" w:cs="Arial"/>
        </w:rPr>
      </w:pPr>
    </w:p>
    <w:p w14:paraId="426D5F64" w14:textId="77777777" w:rsidR="00E4604B" w:rsidRDefault="00E4604B" w:rsidP="00082077">
      <w:pPr>
        <w:ind w:left="360"/>
        <w:jc w:val="both"/>
        <w:rPr>
          <w:rFonts w:ascii="Arial" w:hAnsi="Arial" w:cs="Arial"/>
        </w:rPr>
      </w:pPr>
    </w:p>
    <w:p w14:paraId="4B1210B9" w14:textId="77777777" w:rsidR="00E4604B" w:rsidRPr="00E26F5E" w:rsidRDefault="00E4604B" w:rsidP="00E4604B">
      <w:pPr>
        <w:pStyle w:val="ListParagraph"/>
        <w:numPr>
          <w:ilvl w:val="0"/>
          <w:numId w:val="11"/>
        </w:numPr>
        <w:jc w:val="both"/>
        <w:rPr>
          <w:rFonts w:ascii="Arial" w:hAnsi="Arial" w:cs="Arial"/>
          <w:sz w:val="28"/>
          <w:szCs w:val="28"/>
        </w:rPr>
      </w:pPr>
      <w:r w:rsidRPr="00E26F5E">
        <w:rPr>
          <w:rFonts w:ascii="Arial" w:hAnsi="Arial" w:cs="Arial"/>
          <w:b/>
          <w:bCs/>
          <w:sz w:val="28"/>
          <w:szCs w:val="28"/>
        </w:rPr>
        <w:lastRenderedPageBreak/>
        <w:t>Reference List</w:t>
      </w:r>
    </w:p>
    <w:p w14:paraId="45F3CD32" w14:textId="7E956DDC" w:rsidR="00E4604B" w:rsidRDefault="00E4604B" w:rsidP="00E4604B">
      <w:pPr>
        <w:pStyle w:val="NormalWeb"/>
        <w:numPr>
          <w:ilvl w:val="0"/>
          <w:numId w:val="13"/>
        </w:numPr>
      </w:pPr>
      <w:r>
        <w:t xml:space="preserve">Aghion, P. and Tirole, J. (1997) 'Formal and Real Authority in Organizations', </w:t>
      </w:r>
      <w:r>
        <w:rPr>
          <w:i/>
          <w:iCs/>
        </w:rPr>
        <w:t>Journal of Political Economy</w:t>
      </w:r>
      <w:r>
        <w:t>, 105(1), pp. 1–29.</w:t>
      </w:r>
    </w:p>
    <w:p w14:paraId="3513D965" w14:textId="27F1EF69" w:rsidR="00E4604B" w:rsidRDefault="00E4604B" w:rsidP="00E4604B">
      <w:pPr>
        <w:pStyle w:val="NormalWeb"/>
        <w:numPr>
          <w:ilvl w:val="0"/>
          <w:numId w:val="13"/>
        </w:numPr>
      </w:pPr>
      <w:r>
        <w:t xml:space="preserve">Amin, A. (1999) 'An Institutionalist Perspective on Regional Economic Development', </w:t>
      </w:r>
      <w:r>
        <w:rPr>
          <w:i/>
          <w:iCs/>
        </w:rPr>
        <w:t>International Journal of Urban and Regional Research</w:t>
      </w:r>
      <w:r>
        <w:t>, 23(2), pp. 365–378.</w:t>
      </w:r>
    </w:p>
    <w:p w14:paraId="5587D68D" w14:textId="58E06065" w:rsidR="00E4604B" w:rsidRDefault="00E4604B" w:rsidP="00E4604B">
      <w:pPr>
        <w:pStyle w:val="NormalWeb"/>
        <w:numPr>
          <w:ilvl w:val="0"/>
          <w:numId w:val="13"/>
        </w:numPr>
      </w:pPr>
      <w:r>
        <w:t xml:space="preserve">Bain &amp; Company (2023) </w:t>
      </w:r>
      <w:r>
        <w:rPr>
          <w:i/>
          <w:iCs/>
        </w:rPr>
        <w:t>Global Luxury Goods Market Study 2023</w:t>
      </w:r>
      <w:r>
        <w:t xml:space="preserve">. Available at: </w:t>
      </w:r>
      <w:hyperlink r:id="rId18" w:tgtFrame="_blank" w:history="1">
        <w:r>
          <w:rPr>
            <w:rStyle w:val="Hyperlink"/>
          </w:rPr>
          <w:t>https://www.bain.com</w:t>
        </w:r>
      </w:hyperlink>
      <w:r>
        <w:t xml:space="preserve"> (Accessed: 14 August 2026).</w:t>
      </w:r>
    </w:p>
    <w:p w14:paraId="573EB76A" w14:textId="2C0C9014" w:rsidR="00E4604B" w:rsidRDefault="00E4604B" w:rsidP="00E4604B">
      <w:pPr>
        <w:pStyle w:val="NormalWeb"/>
        <w:numPr>
          <w:ilvl w:val="0"/>
          <w:numId w:val="13"/>
        </w:numPr>
      </w:pPr>
      <w:r>
        <w:t xml:space="preserve"> Barney, J.B. (1991) 'Firm Resources and Sustained Competitive Advantage', </w:t>
      </w:r>
      <w:r>
        <w:rPr>
          <w:i/>
          <w:iCs/>
        </w:rPr>
        <w:t>Journal of Management</w:t>
      </w:r>
      <w:r>
        <w:t>, 17(1), pp. 99–120.</w:t>
      </w:r>
    </w:p>
    <w:p w14:paraId="1C0F2F55" w14:textId="68E2A888" w:rsidR="00E4604B" w:rsidRDefault="00E4604B" w:rsidP="00E4604B">
      <w:pPr>
        <w:pStyle w:val="NormalWeb"/>
        <w:numPr>
          <w:ilvl w:val="0"/>
          <w:numId w:val="13"/>
        </w:numPr>
      </w:pPr>
      <w:r>
        <w:t xml:space="preserve">Bartlett, C.A. and Ghoshal, S. (1989) </w:t>
      </w:r>
      <w:r>
        <w:rPr>
          <w:i/>
          <w:iCs/>
        </w:rPr>
        <w:t>Managing Across Borders: The Transnational Solution</w:t>
      </w:r>
      <w:r>
        <w:t>. Boston: Harvard Business School Press.</w:t>
      </w:r>
    </w:p>
    <w:p w14:paraId="0D9790D8" w14:textId="5B6097A4" w:rsidR="00E4604B" w:rsidRDefault="00E4604B" w:rsidP="00E4604B">
      <w:pPr>
        <w:pStyle w:val="NormalWeb"/>
        <w:numPr>
          <w:ilvl w:val="0"/>
          <w:numId w:val="13"/>
        </w:numPr>
      </w:pPr>
      <w:r>
        <w:t xml:space="preserve">Central Bank of Sri Lanka (CBSL) (2023) </w:t>
      </w:r>
      <w:r>
        <w:rPr>
          <w:i/>
          <w:iCs/>
        </w:rPr>
        <w:t>Annual Economic Review 2023</w:t>
      </w:r>
      <w:r>
        <w:t>. Colombo: Central Bank of Sri Lanka.</w:t>
      </w:r>
    </w:p>
    <w:p w14:paraId="0A9C7475" w14:textId="31652B55" w:rsidR="00E4604B" w:rsidRDefault="00E4604B" w:rsidP="00E4604B">
      <w:pPr>
        <w:pStyle w:val="NormalWeb"/>
        <w:numPr>
          <w:ilvl w:val="0"/>
          <w:numId w:val="13"/>
        </w:numPr>
      </w:pPr>
      <w:r>
        <w:t xml:space="preserve">Chadha, R. and Husband, A. (2006) </w:t>
      </w:r>
      <w:r>
        <w:rPr>
          <w:i/>
          <w:iCs/>
        </w:rPr>
        <w:t>The Cult of the Luxury Brand: Inside Asia's Love Affair with Luxury</w:t>
      </w:r>
      <w:r>
        <w:t>. London: Nicholas Brealey Publishing.</w:t>
      </w:r>
    </w:p>
    <w:p w14:paraId="2F2C52A5" w14:textId="0A4EB67A" w:rsidR="00E4604B" w:rsidRDefault="00E4604B" w:rsidP="00E4604B">
      <w:pPr>
        <w:pStyle w:val="NormalWeb"/>
        <w:numPr>
          <w:ilvl w:val="0"/>
          <w:numId w:val="13"/>
        </w:numPr>
      </w:pPr>
      <w:r>
        <w:t xml:space="preserve">China Harbour Engineering Company Company (CHECC) (2022) </w:t>
      </w:r>
      <w:r>
        <w:rPr>
          <w:i/>
          <w:iCs/>
        </w:rPr>
        <w:t>Port City Colombo Master Plan &amp; Infrastructure Overview</w:t>
      </w:r>
      <w:r>
        <w:t>. Colombo: CHECC.</w:t>
      </w:r>
    </w:p>
    <w:p w14:paraId="526B48E0" w14:textId="2D2459B6" w:rsidR="00E4604B" w:rsidRDefault="00E4604B" w:rsidP="00E4604B">
      <w:pPr>
        <w:pStyle w:val="NormalWeb"/>
        <w:numPr>
          <w:ilvl w:val="0"/>
          <w:numId w:val="13"/>
        </w:numPr>
      </w:pPr>
      <w:r>
        <w:t xml:space="preserve">Coase, R.H. (1937) 'The Nature of the Firm', </w:t>
      </w:r>
      <w:r>
        <w:rPr>
          <w:i/>
          <w:iCs/>
        </w:rPr>
        <w:t>Economica</w:t>
      </w:r>
      <w:r>
        <w:t>, 4(16), pp. 386–405.</w:t>
      </w:r>
    </w:p>
    <w:p w14:paraId="78D79768" w14:textId="48794376" w:rsidR="00E4604B" w:rsidRDefault="00E4604B" w:rsidP="00E4604B">
      <w:pPr>
        <w:pStyle w:val="NormalWeb"/>
        <w:numPr>
          <w:ilvl w:val="0"/>
          <w:numId w:val="13"/>
        </w:numPr>
      </w:pPr>
      <w:r>
        <w:t xml:space="preserve">D.L. &amp; F. De Saram (2024) </w:t>
      </w:r>
      <w:r>
        <w:rPr>
          <w:i/>
          <w:iCs/>
        </w:rPr>
        <w:t>Legal Framework and Special Economic Zone Regulations: Port City Colombo</w:t>
      </w:r>
      <w:r>
        <w:t>. Colombo: D.L. &amp; F. De Saram Attorneys-at-Law.</w:t>
      </w:r>
    </w:p>
    <w:p w14:paraId="01D86F6A" w14:textId="4E1C3269" w:rsidR="00E4604B" w:rsidRDefault="00E4604B" w:rsidP="00E4604B">
      <w:pPr>
        <w:pStyle w:val="NormalWeb"/>
        <w:numPr>
          <w:ilvl w:val="0"/>
          <w:numId w:val="13"/>
        </w:numPr>
      </w:pPr>
      <w:r>
        <w:t xml:space="preserve">Deloitte (2023) </w:t>
      </w:r>
      <w:r>
        <w:rPr>
          <w:i/>
          <w:iCs/>
        </w:rPr>
        <w:t>The Business of Luxury: Insights for Global Growth and Luxury Brand Expansion</w:t>
      </w:r>
      <w:r>
        <w:t>. Deloitte Development LLC.</w:t>
      </w:r>
    </w:p>
    <w:p w14:paraId="6736E815" w14:textId="093F88DF" w:rsidR="00E4604B" w:rsidRDefault="00E4604B" w:rsidP="00E4604B">
      <w:pPr>
        <w:pStyle w:val="NormalWeb"/>
        <w:numPr>
          <w:ilvl w:val="0"/>
          <w:numId w:val="13"/>
        </w:numPr>
      </w:pPr>
      <w:r>
        <w:t xml:space="preserve">Department of Customs, Sri Lanka (2024) </w:t>
      </w:r>
      <w:r>
        <w:rPr>
          <w:i/>
          <w:iCs/>
        </w:rPr>
        <w:t>Customs Import Tariff Schedule &amp; Levy Structures</w:t>
      </w:r>
      <w:r>
        <w:t>. Colombo: Sri Lanka Customs.</w:t>
      </w:r>
    </w:p>
    <w:p w14:paraId="40725EC6" w14:textId="0F15C09B" w:rsidR="00E4604B" w:rsidRDefault="00E4604B" w:rsidP="00E4604B">
      <w:pPr>
        <w:pStyle w:val="NormalWeb"/>
        <w:numPr>
          <w:ilvl w:val="0"/>
          <w:numId w:val="13"/>
        </w:numPr>
      </w:pPr>
      <w:r>
        <w:t xml:space="preserve">Dunning, J.H. (1988) </w:t>
      </w:r>
      <w:r>
        <w:rPr>
          <w:i/>
          <w:iCs/>
        </w:rPr>
        <w:t>Explaining International Production</w:t>
      </w:r>
      <w:r>
        <w:t>. London: Unwin Hyman.</w:t>
      </w:r>
    </w:p>
    <w:p w14:paraId="7EAAA70B" w14:textId="45FBF051" w:rsidR="00E4604B" w:rsidRDefault="00E4604B" w:rsidP="00E4604B">
      <w:pPr>
        <w:pStyle w:val="NormalWeb"/>
        <w:numPr>
          <w:ilvl w:val="0"/>
          <w:numId w:val="13"/>
        </w:numPr>
      </w:pPr>
      <w:r>
        <w:t xml:space="preserve">Gibbs, G. (1988) </w:t>
      </w:r>
      <w:r>
        <w:rPr>
          <w:i/>
          <w:iCs/>
        </w:rPr>
        <w:t>Learning by Doing: A Guide to Teaching and Learning Methods</w:t>
      </w:r>
      <w:r>
        <w:t>. Further Education Unit. Oxford: Oxford Polytechnic.</w:t>
      </w:r>
    </w:p>
    <w:p w14:paraId="73D75E62" w14:textId="2B3D523D" w:rsidR="00E4604B" w:rsidRDefault="00E4604B" w:rsidP="00E4604B">
      <w:pPr>
        <w:pStyle w:val="NormalWeb"/>
        <w:numPr>
          <w:ilvl w:val="0"/>
          <w:numId w:val="13"/>
        </w:numPr>
      </w:pPr>
      <w:r>
        <w:t xml:space="preserve">Hill, C.W.L., Jones, G.R. and Schilling, M.A. (2014) </w:t>
      </w:r>
      <w:r>
        <w:rPr>
          <w:i/>
          <w:iCs/>
        </w:rPr>
        <w:t>Strategic Management: Theory &amp; Cases: An Integrated Approach</w:t>
      </w:r>
      <w:r>
        <w:t>. 11th edn. Stamford: Cengage Learning.</w:t>
      </w:r>
    </w:p>
    <w:p w14:paraId="284CCC84" w14:textId="70AED2A7" w:rsidR="00E4604B" w:rsidRDefault="00E4604B" w:rsidP="00E4604B">
      <w:pPr>
        <w:pStyle w:val="NormalWeb"/>
        <w:numPr>
          <w:ilvl w:val="0"/>
          <w:numId w:val="13"/>
        </w:numPr>
      </w:pPr>
      <w:r>
        <w:t xml:space="preserve">Inland Revenue Department (IRD), Sri Lanka (2024) </w:t>
      </w:r>
      <w:r>
        <w:rPr>
          <w:i/>
          <w:iCs/>
        </w:rPr>
        <w:t>Taxation in Special Economic Zones and Mainland Statutory Tariffs</w:t>
      </w:r>
      <w:r>
        <w:t>. Colombo: IRD.</w:t>
      </w:r>
    </w:p>
    <w:p w14:paraId="254EA19F" w14:textId="4A4FC6D6" w:rsidR="00E4604B" w:rsidRDefault="00E4604B" w:rsidP="00E4604B">
      <w:pPr>
        <w:pStyle w:val="NormalWeb"/>
        <w:numPr>
          <w:ilvl w:val="0"/>
          <w:numId w:val="13"/>
        </w:numPr>
      </w:pPr>
      <w:r>
        <w:t xml:space="preserve">International Monetary Fund (IMF) (2024) </w:t>
      </w:r>
      <w:r>
        <w:rPr>
          <w:i/>
          <w:iCs/>
        </w:rPr>
        <w:t>Sri Lanka: Second Review Under the Extended Arrangement Under the Extended Fund Facility</w:t>
      </w:r>
      <w:r>
        <w:t>. Washington, D.C.: International Monetary Fund.</w:t>
      </w:r>
    </w:p>
    <w:p w14:paraId="549B170B" w14:textId="52296E6B" w:rsidR="00E4604B" w:rsidRDefault="00E4604B" w:rsidP="00E4604B">
      <w:pPr>
        <w:pStyle w:val="NormalWeb"/>
        <w:numPr>
          <w:ilvl w:val="0"/>
          <w:numId w:val="13"/>
        </w:numPr>
      </w:pPr>
      <w:r>
        <w:t xml:space="preserve">Kapferer, J.N. and Bastien, V. (2012) </w:t>
      </w:r>
      <w:r>
        <w:rPr>
          <w:i/>
          <w:iCs/>
        </w:rPr>
        <w:t>The Luxury Strategy: Break the Rules of Marketing to Build Luxury Brands</w:t>
      </w:r>
      <w:r>
        <w:t>. 2nd edn. London: Kogan Page.</w:t>
      </w:r>
    </w:p>
    <w:p w14:paraId="5CCFE95F" w14:textId="52CF68FC" w:rsidR="00E4604B" w:rsidRDefault="00E4604B" w:rsidP="00E4604B">
      <w:pPr>
        <w:pStyle w:val="NormalWeb"/>
        <w:numPr>
          <w:ilvl w:val="0"/>
          <w:numId w:val="13"/>
        </w:numPr>
      </w:pPr>
      <w:r>
        <w:t xml:space="preserve">Kelegama, S. (2023) </w:t>
      </w:r>
      <w:r>
        <w:rPr>
          <w:i/>
          <w:iCs/>
        </w:rPr>
        <w:t>Economic Policy and Institutional Reforms in Post-Crisis Sri Lanka</w:t>
      </w:r>
      <w:r>
        <w:t>. Colombo: Institute of Policy Studies of Sri Lanka.</w:t>
      </w:r>
    </w:p>
    <w:p w14:paraId="2F38BC53" w14:textId="77221981" w:rsidR="00E4604B" w:rsidRDefault="00E4604B" w:rsidP="00E4604B">
      <w:pPr>
        <w:pStyle w:val="NormalWeb"/>
        <w:numPr>
          <w:ilvl w:val="0"/>
          <w:numId w:val="13"/>
        </w:numPr>
      </w:pPr>
      <w:r>
        <w:t xml:space="preserve">Keller, K.L. (2013) </w:t>
      </w:r>
      <w:r>
        <w:rPr>
          <w:i/>
          <w:iCs/>
        </w:rPr>
        <w:t>Strategic Brand Management: Building, Measuring, and Managing Brand Equity</w:t>
      </w:r>
      <w:r>
        <w:t>. 4th edn. Boston: Pearson.</w:t>
      </w:r>
    </w:p>
    <w:p w14:paraId="2E9D9BB0" w14:textId="0FA27164" w:rsidR="00E4604B" w:rsidRDefault="00E4604B" w:rsidP="00E4604B">
      <w:pPr>
        <w:pStyle w:val="NormalWeb"/>
        <w:numPr>
          <w:ilvl w:val="0"/>
          <w:numId w:val="13"/>
        </w:numPr>
      </w:pPr>
      <w:r>
        <w:t xml:space="preserve">Khanna, T. and Palepu, K.G. (2010) </w:t>
      </w:r>
      <w:r>
        <w:rPr>
          <w:i/>
          <w:iCs/>
        </w:rPr>
        <w:t>Winning in Emerging Markets: A Roadmap for Strategy and Execution</w:t>
      </w:r>
      <w:r>
        <w:t>. Boston: Harvard Business Press.</w:t>
      </w:r>
    </w:p>
    <w:p w14:paraId="6F6A791D" w14:textId="173EA53C" w:rsidR="00E4604B" w:rsidRDefault="00E4604B" w:rsidP="00E4604B">
      <w:pPr>
        <w:pStyle w:val="NormalWeb"/>
        <w:numPr>
          <w:ilvl w:val="0"/>
          <w:numId w:val="13"/>
        </w:numPr>
      </w:pPr>
      <w:r>
        <w:t xml:space="preserve">Kim, W.C. and Mauborgne, R. (2004) 'Blue Ocean Strategy', </w:t>
      </w:r>
      <w:r>
        <w:rPr>
          <w:i/>
          <w:iCs/>
        </w:rPr>
        <w:t>Harvard Business Review</w:t>
      </w:r>
      <w:r>
        <w:t>, 82(10), pp. 76–84.</w:t>
      </w:r>
    </w:p>
    <w:p w14:paraId="62B546FE" w14:textId="464D95D7" w:rsidR="00E4604B" w:rsidRDefault="00E4604B" w:rsidP="00E4604B">
      <w:pPr>
        <w:pStyle w:val="NormalWeb"/>
        <w:numPr>
          <w:ilvl w:val="0"/>
          <w:numId w:val="13"/>
        </w:numPr>
      </w:pPr>
      <w:r>
        <w:lastRenderedPageBreak/>
        <w:t xml:space="preserve">Knight Frank (2023) </w:t>
      </w:r>
      <w:r>
        <w:rPr>
          <w:i/>
          <w:iCs/>
        </w:rPr>
        <w:t>The Wealth Report 2023: The Global Perspective on Prime Property and Wealth</w:t>
      </w:r>
      <w:r>
        <w:t>. London: Knight Frank Research.</w:t>
      </w:r>
    </w:p>
    <w:p w14:paraId="5F71690B" w14:textId="39840BD6" w:rsidR="00E4604B" w:rsidRDefault="00E4604B" w:rsidP="00E4604B">
      <w:pPr>
        <w:pStyle w:val="NormalWeb"/>
        <w:numPr>
          <w:ilvl w:val="0"/>
          <w:numId w:val="13"/>
        </w:numPr>
      </w:pPr>
      <w:r>
        <w:t xml:space="preserve">Lieberman, M.B. and Montgomery, D.B. (1988) 'First-Mover Advantages', </w:t>
      </w:r>
      <w:r>
        <w:rPr>
          <w:i/>
          <w:iCs/>
        </w:rPr>
        <w:t>Strategic Management Journal</w:t>
      </w:r>
      <w:r>
        <w:t>, 9(S1), pp. 41–58.</w:t>
      </w:r>
    </w:p>
    <w:p w14:paraId="1CD7C4FB" w14:textId="7099C891" w:rsidR="00E4604B" w:rsidRDefault="00E4604B" w:rsidP="00E4604B">
      <w:pPr>
        <w:pStyle w:val="NormalWeb"/>
        <w:numPr>
          <w:ilvl w:val="0"/>
          <w:numId w:val="13"/>
        </w:numPr>
      </w:pPr>
      <w:r>
        <w:t xml:space="preserve">LVMH (2023) </w:t>
      </w:r>
      <w:r>
        <w:rPr>
          <w:i/>
          <w:iCs/>
        </w:rPr>
        <w:t>LVMH Moët Hennessy Louis Vuitton 2023 Financial Documents &amp; Annual Report</w:t>
      </w:r>
      <w:r>
        <w:t>. Paris: LVMH.</w:t>
      </w:r>
    </w:p>
    <w:p w14:paraId="1CAC9FF0" w14:textId="7F800BD6" w:rsidR="00E4604B" w:rsidRDefault="00E4604B" w:rsidP="00E4604B">
      <w:pPr>
        <w:pStyle w:val="NormalWeb"/>
        <w:numPr>
          <w:ilvl w:val="0"/>
          <w:numId w:val="13"/>
        </w:numPr>
      </w:pPr>
      <w:r>
        <w:t xml:space="preserve">Moodie Davitt Report (2024) </w:t>
      </w:r>
      <w:r>
        <w:rPr>
          <w:i/>
          <w:iCs/>
        </w:rPr>
        <w:t>Travel Retail and Duty-Free Expansion in South Asia: Colombo Port City Analysis</w:t>
      </w:r>
      <w:r>
        <w:t>. London: Moodie Davitt.</w:t>
      </w:r>
    </w:p>
    <w:p w14:paraId="258069FE" w14:textId="48ACACFB" w:rsidR="00E4604B" w:rsidRDefault="00E4604B" w:rsidP="00E4604B">
      <w:pPr>
        <w:pStyle w:val="NormalWeb"/>
        <w:numPr>
          <w:ilvl w:val="0"/>
          <w:numId w:val="13"/>
        </w:numPr>
      </w:pPr>
      <w:r>
        <w:t xml:space="preserve">Parliament of Sri Lanka (2018) </w:t>
      </w:r>
      <w:r>
        <w:rPr>
          <w:i/>
          <w:iCs/>
        </w:rPr>
        <w:t>Colombo Port City Economic Commission Act, No. 11 of 2018</w:t>
      </w:r>
      <w:r>
        <w:t>. Colombo: Government Publications Bureau.</w:t>
      </w:r>
    </w:p>
    <w:p w14:paraId="4A6F0AC4" w14:textId="45620E78" w:rsidR="00E4604B" w:rsidRDefault="00E4604B" w:rsidP="00E4604B">
      <w:pPr>
        <w:pStyle w:val="NormalWeb"/>
        <w:numPr>
          <w:ilvl w:val="0"/>
          <w:numId w:val="13"/>
        </w:numPr>
      </w:pPr>
      <w:r>
        <w:t xml:space="preserve">Parliament of Sri Lanka (2021) </w:t>
      </w:r>
      <w:r>
        <w:rPr>
          <w:i/>
          <w:iCs/>
        </w:rPr>
        <w:t>Colombo Port City Economic Commission Act, No. 11 of 2021</w:t>
      </w:r>
      <w:r>
        <w:t>. Extraordinary Gazette of the Republic of Sri Lanka.</w:t>
      </w:r>
    </w:p>
    <w:p w14:paraId="20FCE4B6" w14:textId="33F333AA" w:rsidR="00E4604B" w:rsidRDefault="00E4604B" w:rsidP="00E4604B">
      <w:pPr>
        <w:pStyle w:val="NormalWeb"/>
        <w:numPr>
          <w:ilvl w:val="0"/>
          <w:numId w:val="13"/>
        </w:numPr>
      </w:pPr>
      <w:r>
        <w:t xml:space="preserve">Parliament of Sri Lanka (2024) </w:t>
      </w:r>
      <w:r>
        <w:rPr>
          <w:i/>
          <w:iCs/>
        </w:rPr>
        <w:t>Port City Colombo Economic Commission (Customs and Tax Exemptions) Regulations, No. 2381/24</w:t>
      </w:r>
      <w:r>
        <w:t>. Colombo: Government Publications Bureau.</w:t>
      </w:r>
    </w:p>
    <w:p w14:paraId="20DED5FD" w14:textId="24EB0F26" w:rsidR="00E4604B" w:rsidRDefault="00E4604B" w:rsidP="00E4604B">
      <w:pPr>
        <w:pStyle w:val="NormalWeb"/>
        <w:numPr>
          <w:ilvl w:val="0"/>
          <w:numId w:val="13"/>
        </w:numPr>
      </w:pPr>
      <w:r>
        <w:t xml:space="preserve">Piketty, T. (2014) </w:t>
      </w:r>
      <w:r>
        <w:rPr>
          <w:i/>
          <w:iCs/>
        </w:rPr>
        <w:t>Capital in the Twenty-First Century</w:t>
      </w:r>
      <w:r>
        <w:t>. Translated by A. Goldhammer. Cambridge, MA: Belknap Press.</w:t>
      </w:r>
    </w:p>
    <w:p w14:paraId="1FC40369" w14:textId="3C682025" w:rsidR="00E4604B" w:rsidRDefault="00E4604B" w:rsidP="00E4604B">
      <w:pPr>
        <w:pStyle w:val="NormalWeb"/>
        <w:numPr>
          <w:ilvl w:val="0"/>
          <w:numId w:val="13"/>
        </w:numPr>
      </w:pPr>
      <w:r>
        <w:t xml:space="preserve">Porter, M.E. (1985) </w:t>
      </w:r>
      <w:r>
        <w:rPr>
          <w:i/>
          <w:iCs/>
        </w:rPr>
        <w:t>Competitive Advantage: Creating and Sustaining Superior Performance</w:t>
      </w:r>
      <w:r>
        <w:t>. New York: Free Press.</w:t>
      </w:r>
    </w:p>
    <w:p w14:paraId="3DC384F9" w14:textId="11FDFB07" w:rsidR="00E4604B" w:rsidRDefault="00E4604B" w:rsidP="00E4604B">
      <w:pPr>
        <w:pStyle w:val="NormalWeb"/>
        <w:numPr>
          <w:ilvl w:val="0"/>
          <w:numId w:val="13"/>
        </w:numPr>
      </w:pPr>
      <w:r>
        <w:t xml:space="preserve">Sri Lanka Port Authority (2021) </w:t>
      </w:r>
      <w:r>
        <w:rPr>
          <w:i/>
          <w:iCs/>
        </w:rPr>
        <w:t>Port Infrastructure &amp; Development Guidelines</w:t>
      </w:r>
      <w:r>
        <w:t>. Colombo: Sri Lanka Port Authority.</w:t>
      </w:r>
    </w:p>
    <w:p w14:paraId="10D11648" w14:textId="1A3D4828" w:rsidR="00E4604B" w:rsidRDefault="00E4604B" w:rsidP="00E4604B">
      <w:pPr>
        <w:pStyle w:val="NormalWeb"/>
        <w:numPr>
          <w:ilvl w:val="0"/>
          <w:numId w:val="13"/>
        </w:numPr>
      </w:pPr>
      <w:r>
        <w:t xml:space="preserve">Veblen, T. (1899) </w:t>
      </w:r>
      <w:r>
        <w:rPr>
          <w:i/>
          <w:iCs/>
        </w:rPr>
        <w:t>The Theory of the Leisure Class: An Economic Study of Institutions</w:t>
      </w:r>
      <w:r>
        <w:t>. New York: Macmillan.</w:t>
      </w:r>
    </w:p>
    <w:p w14:paraId="4050891F" w14:textId="67E6621E" w:rsidR="00E4604B" w:rsidRDefault="00E4604B" w:rsidP="00E4604B">
      <w:pPr>
        <w:pStyle w:val="NormalWeb"/>
        <w:numPr>
          <w:ilvl w:val="0"/>
          <w:numId w:val="13"/>
        </w:numPr>
      </w:pPr>
      <w:r>
        <w:t xml:space="preserve">Williamson, O.E. (1985) </w:t>
      </w:r>
      <w:r>
        <w:rPr>
          <w:i/>
          <w:iCs/>
        </w:rPr>
        <w:t>The Economic Institutions of Capitalism</w:t>
      </w:r>
      <w:r>
        <w:t>. New York: Free Press.</w:t>
      </w:r>
    </w:p>
    <w:p w14:paraId="6CA9303E" w14:textId="76907D99" w:rsidR="00E4604B" w:rsidRDefault="00E4604B" w:rsidP="00E4604B">
      <w:pPr>
        <w:pStyle w:val="NormalWeb"/>
        <w:numPr>
          <w:ilvl w:val="0"/>
          <w:numId w:val="13"/>
        </w:numPr>
      </w:pPr>
      <w:r>
        <w:t xml:space="preserve">Zaheer, S. (1995) 'Overcoming the Liability of Foreignness', </w:t>
      </w:r>
      <w:r>
        <w:rPr>
          <w:i/>
          <w:iCs/>
        </w:rPr>
        <w:t>Academy of Management Journal</w:t>
      </w:r>
      <w:r>
        <w:t>, 38(2), pp. 341–363.</w:t>
      </w:r>
    </w:p>
    <w:p w14:paraId="5E0D9742" w14:textId="45A48210" w:rsidR="00E4604B" w:rsidRPr="00E4604B" w:rsidRDefault="00E4604B" w:rsidP="00E4604B">
      <w:pPr>
        <w:ind w:left="360" w:firstLine="72"/>
        <w:jc w:val="both"/>
        <w:rPr>
          <w:rFonts w:ascii="Arial" w:hAnsi="Arial" w:cs="Arial"/>
        </w:rPr>
      </w:pPr>
    </w:p>
    <w:sectPr w:rsidR="00E4604B" w:rsidRPr="00E4604B">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3F0C9D" w14:textId="77777777" w:rsidR="00111592" w:rsidRDefault="00111592" w:rsidP="009646A5">
      <w:pPr>
        <w:spacing w:after="0" w:line="240" w:lineRule="auto"/>
      </w:pPr>
      <w:r>
        <w:separator/>
      </w:r>
    </w:p>
  </w:endnote>
  <w:endnote w:type="continuationSeparator" w:id="0">
    <w:p w14:paraId="61BA8051" w14:textId="77777777" w:rsidR="00111592" w:rsidRDefault="00111592" w:rsidP="009646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7463746"/>
      <w:docPartObj>
        <w:docPartGallery w:val="Page Numbers (Bottom of Page)"/>
        <w:docPartUnique/>
      </w:docPartObj>
    </w:sdtPr>
    <w:sdtEndPr>
      <w:rPr>
        <w:noProof/>
      </w:rPr>
    </w:sdtEndPr>
    <w:sdtContent>
      <w:p w14:paraId="3AE72AFA" w14:textId="3464A858" w:rsidR="009646A5" w:rsidRDefault="009646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74F9A9" w14:textId="77777777" w:rsidR="009646A5" w:rsidRDefault="009646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83DCF1" w14:textId="77777777" w:rsidR="00111592" w:rsidRDefault="00111592" w:rsidP="009646A5">
      <w:pPr>
        <w:spacing w:after="0" w:line="240" w:lineRule="auto"/>
      </w:pPr>
      <w:r>
        <w:separator/>
      </w:r>
    </w:p>
  </w:footnote>
  <w:footnote w:type="continuationSeparator" w:id="0">
    <w:p w14:paraId="7713D815" w14:textId="77777777" w:rsidR="00111592" w:rsidRDefault="00111592" w:rsidP="009646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467836"/>
    <w:multiLevelType w:val="hybridMultilevel"/>
    <w:tmpl w:val="4BA44006"/>
    <w:lvl w:ilvl="0" w:tplc="D8AA7948">
      <w:start w:val="1"/>
      <w:numFmt w:val="decimal"/>
      <w:lvlText w:val="%1."/>
      <w:lvlJc w:val="left"/>
      <w:pPr>
        <w:ind w:left="720" w:hanging="360"/>
      </w:pPr>
      <w:rPr>
        <w:rFonts w:hint="default"/>
        <w:sz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DB4932"/>
    <w:multiLevelType w:val="hybridMultilevel"/>
    <w:tmpl w:val="279CD2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DB23F6"/>
    <w:multiLevelType w:val="hybridMultilevel"/>
    <w:tmpl w:val="B204EA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9F693C"/>
    <w:multiLevelType w:val="hybridMultilevel"/>
    <w:tmpl w:val="D1D8C6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2A30461"/>
    <w:multiLevelType w:val="hybridMultilevel"/>
    <w:tmpl w:val="799E36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35C4781"/>
    <w:multiLevelType w:val="hybridMultilevel"/>
    <w:tmpl w:val="9DCC15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3A21504"/>
    <w:multiLevelType w:val="multilevel"/>
    <w:tmpl w:val="AA70FFC0"/>
    <w:lvl w:ilvl="0">
      <w:start w:val="1"/>
      <w:numFmt w:val="decimal"/>
      <w:lvlText w:val="%1."/>
      <w:lvlJc w:val="left"/>
      <w:pPr>
        <w:ind w:left="720" w:hanging="360"/>
      </w:pPr>
      <w:rPr>
        <w:rFonts w:hint="default"/>
        <w:b/>
        <w:bCs/>
      </w:rPr>
    </w:lvl>
    <w:lvl w:ilvl="1">
      <w:start w:val="3"/>
      <w:numFmt w:val="decimal"/>
      <w:isLgl/>
      <w:lvlText w:val="%1.%2"/>
      <w:lvlJc w:val="left"/>
      <w:pPr>
        <w:ind w:left="756" w:hanging="396"/>
      </w:pPr>
      <w:rPr>
        <w:rFonts w:hint="default"/>
        <w:u w:val="none"/>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36495757"/>
    <w:multiLevelType w:val="hybridMultilevel"/>
    <w:tmpl w:val="11347E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B9A59D2"/>
    <w:multiLevelType w:val="hybridMultilevel"/>
    <w:tmpl w:val="507063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DF662DB"/>
    <w:multiLevelType w:val="hybridMultilevel"/>
    <w:tmpl w:val="87A415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FBA1D4C"/>
    <w:multiLevelType w:val="multilevel"/>
    <w:tmpl w:val="C91231EC"/>
    <w:lvl w:ilvl="0">
      <w:start w:val="1"/>
      <w:numFmt w:val="decimal"/>
      <w:lvlText w:val="%1."/>
      <w:lvlJc w:val="left"/>
      <w:pPr>
        <w:ind w:left="360" w:hanging="360"/>
      </w:pPr>
      <w:rPr>
        <w:rFonts w:hint="default"/>
      </w:rPr>
    </w:lvl>
    <w:lvl w:ilvl="1">
      <w:start w:val="1"/>
      <w:numFmt w:val="decimal"/>
      <w:isLgl/>
      <w:lvlText w:val="%1.%2"/>
      <w:lvlJc w:val="left"/>
      <w:pPr>
        <w:ind w:left="396" w:hanging="396"/>
      </w:pPr>
      <w:rPr>
        <w:rFonts w:hint="default"/>
        <w:u w:val="single"/>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1" w15:restartNumberingAfterBreak="0">
    <w:nsid w:val="633D79B2"/>
    <w:multiLevelType w:val="hybridMultilevel"/>
    <w:tmpl w:val="6CC64A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48E445A"/>
    <w:multiLevelType w:val="hybridMultilevel"/>
    <w:tmpl w:val="EE0035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272775">
    <w:abstractNumId w:val="0"/>
  </w:num>
  <w:num w:numId="2" w16cid:durableId="1864898138">
    <w:abstractNumId w:val="11"/>
  </w:num>
  <w:num w:numId="3" w16cid:durableId="42674788">
    <w:abstractNumId w:val="7"/>
  </w:num>
  <w:num w:numId="4" w16cid:durableId="522131182">
    <w:abstractNumId w:val="10"/>
  </w:num>
  <w:num w:numId="5" w16cid:durableId="1394815661">
    <w:abstractNumId w:val="5"/>
  </w:num>
  <w:num w:numId="6" w16cid:durableId="1514804295">
    <w:abstractNumId w:val="4"/>
  </w:num>
  <w:num w:numId="7" w16cid:durableId="764304900">
    <w:abstractNumId w:val="2"/>
  </w:num>
  <w:num w:numId="8" w16cid:durableId="452017791">
    <w:abstractNumId w:val="8"/>
  </w:num>
  <w:num w:numId="9" w16cid:durableId="229967544">
    <w:abstractNumId w:val="12"/>
  </w:num>
  <w:num w:numId="10" w16cid:durableId="154151453">
    <w:abstractNumId w:val="9"/>
  </w:num>
  <w:num w:numId="11" w16cid:durableId="71859947">
    <w:abstractNumId w:val="6"/>
  </w:num>
  <w:num w:numId="12" w16cid:durableId="305555356">
    <w:abstractNumId w:val="1"/>
  </w:num>
  <w:num w:numId="13" w16cid:durableId="21043709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7E5"/>
    <w:rsid w:val="000212BA"/>
    <w:rsid w:val="00082077"/>
    <w:rsid w:val="00096F67"/>
    <w:rsid w:val="000A19C9"/>
    <w:rsid w:val="000E2BFF"/>
    <w:rsid w:val="00111592"/>
    <w:rsid w:val="001137E5"/>
    <w:rsid w:val="0014389C"/>
    <w:rsid w:val="00186A2A"/>
    <w:rsid w:val="001C73E0"/>
    <w:rsid w:val="00220248"/>
    <w:rsid w:val="0022773A"/>
    <w:rsid w:val="00266B05"/>
    <w:rsid w:val="002679E4"/>
    <w:rsid w:val="0029579A"/>
    <w:rsid w:val="002A3FAE"/>
    <w:rsid w:val="002A758C"/>
    <w:rsid w:val="002C35A8"/>
    <w:rsid w:val="002C75FC"/>
    <w:rsid w:val="002E2A19"/>
    <w:rsid w:val="00307757"/>
    <w:rsid w:val="0034266E"/>
    <w:rsid w:val="00365303"/>
    <w:rsid w:val="00377CE9"/>
    <w:rsid w:val="003A12AA"/>
    <w:rsid w:val="00436C67"/>
    <w:rsid w:val="00447A3E"/>
    <w:rsid w:val="0046238B"/>
    <w:rsid w:val="00471E9B"/>
    <w:rsid w:val="00493CF9"/>
    <w:rsid w:val="004D76B0"/>
    <w:rsid w:val="004E0E20"/>
    <w:rsid w:val="004F2694"/>
    <w:rsid w:val="00513C2E"/>
    <w:rsid w:val="00515C7F"/>
    <w:rsid w:val="005219A0"/>
    <w:rsid w:val="00527353"/>
    <w:rsid w:val="00567922"/>
    <w:rsid w:val="0057312E"/>
    <w:rsid w:val="005961F2"/>
    <w:rsid w:val="005A01D0"/>
    <w:rsid w:val="005C7F47"/>
    <w:rsid w:val="005D042E"/>
    <w:rsid w:val="005D2C0C"/>
    <w:rsid w:val="0067199E"/>
    <w:rsid w:val="007017C3"/>
    <w:rsid w:val="00714739"/>
    <w:rsid w:val="00730295"/>
    <w:rsid w:val="00731EAB"/>
    <w:rsid w:val="007509B0"/>
    <w:rsid w:val="00791B3D"/>
    <w:rsid w:val="00795857"/>
    <w:rsid w:val="007A1635"/>
    <w:rsid w:val="007A56F7"/>
    <w:rsid w:val="007B4079"/>
    <w:rsid w:val="007D24C9"/>
    <w:rsid w:val="007E7C29"/>
    <w:rsid w:val="007F3933"/>
    <w:rsid w:val="00895B52"/>
    <w:rsid w:val="008B7566"/>
    <w:rsid w:val="008E3EE5"/>
    <w:rsid w:val="008E5304"/>
    <w:rsid w:val="00906B47"/>
    <w:rsid w:val="009646A5"/>
    <w:rsid w:val="00966F22"/>
    <w:rsid w:val="00981CAA"/>
    <w:rsid w:val="0099375E"/>
    <w:rsid w:val="009977AD"/>
    <w:rsid w:val="009E69D4"/>
    <w:rsid w:val="00A03ACF"/>
    <w:rsid w:val="00A1052A"/>
    <w:rsid w:val="00A16D46"/>
    <w:rsid w:val="00A460BA"/>
    <w:rsid w:val="00A47902"/>
    <w:rsid w:val="00A522E8"/>
    <w:rsid w:val="00A80786"/>
    <w:rsid w:val="00A84934"/>
    <w:rsid w:val="00AE12F5"/>
    <w:rsid w:val="00B04596"/>
    <w:rsid w:val="00B20466"/>
    <w:rsid w:val="00B270B0"/>
    <w:rsid w:val="00B83C08"/>
    <w:rsid w:val="00B95FEC"/>
    <w:rsid w:val="00BB64E8"/>
    <w:rsid w:val="00BC36A9"/>
    <w:rsid w:val="00C0405D"/>
    <w:rsid w:val="00C5507E"/>
    <w:rsid w:val="00C62115"/>
    <w:rsid w:val="00C73852"/>
    <w:rsid w:val="00C92C6D"/>
    <w:rsid w:val="00C97556"/>
    <w:rsid w:val="00C97A59"/>
    <w:rsid w:val="00CA57DA"/>
    <w:rsid w:val="00CB3D44"/>
    <w:rsid w:val="00CB741A"/>
    <w:rsid w:val="00CD5725"/>
    <w:rsid w:val="00D265BD"/>
    <w:rsid w:val="00D526E5"/>
    <w:rsid w:val="00DA1DA3"/>
    <w:rsid w:val="00DB5371"/>
    <w:rsid w:val="00DC1F2E"/>
    <w:rsid w:val="00E066EB"/>
    <w:rsid w:val="00E23FA3"/>
    <w:rsid w:val="00E26F5E"/>
    <w:rsid w:val="00E4604B"/>
    <w:rsid w:val="00E47202"/>
    <w:rsid w:val="00E9382E"/>
    <w:rsid w:val="00E969D9"/>
    <w:rsid w:val="00ED67DF"/>
    <w:rsid w:val="00EF53AD"/>
    <w:rsid w:val="00F22D5B"/>
    <w:rsid w:val="00F233A5"/>
    <w:rsid w:val="00F30B1E"/>
    <w:rsid w:val="00FA00EA"/>
    <w:rsid w:val="00FD0D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A6012"/>
  <w15:chartTrackingRefBased/>
  <w15:docId w15:val="{CC6B5365-70E1-4B6E-9855-4892B8F182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37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37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37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37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37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37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37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37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37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7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37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37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37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37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37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37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37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37E5"/>
    <w:rPr>
      <w:rFonts w:eastAsiaTheme="majorEastAsia" w:cstheme="majorBidi"/>
      <w:color w:val="272727" w:themeColor="text1" w:themeTint="D8"/>
    </w:rPr>
  </w:style>
  <w:style w:type="paragraph" w:styleId="Title">
    <w:name w:val="Title"/>
    <w:basedOn w:val="Normal"/>
    <w:next w:val="Normal"/>
    <w:link w:val="TitleChar"/>
    <w:uiPriority w:val="10"/>
    <w:qFormat/>
    <w:rsid w:val="001137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37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37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37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37E5"/>
    <w:pPr>
      <w:spacing w:before="160"/>
      <w:jc w:val="center"/>
    </w:pPr>
    <w:rPr>
      <w:i/>
      <w:iCs/>
      <w:color w:val="404040" w:themeColor="text1" w:themeTint="BF"/>
    </w:rPr>
  </w:style>
  <w:style w:type="character" w:customStyle="1" w:styleId="QuoteChar">
    <w:name w:val="Quote Char"/>
    <w:basedOn w:val="DefaultParagraphFont"/>
    <w:link w:val="Quote"/>
    <w:uiPriority w:val="29"/>
    <w:rsid w:val="001137E5"/>
    <w:rPr>
      <w:i/>
      <w:iCs/>
      <w:color w:val="404040" w:themeColor="text1" w:themeTint="BF"/>
    </w:rPr>
  </w:style>
  <w:style w:type="paragraph" w:styleId="ListParagraph">
    <w:name w:val="List Paragraph"/>
    <w:basedOn w:val="Normal"/>
    <w:uiPriority w:val="34"/>
    <w:qFormat/>
    <w:rsid w:val="001137E5"/>
    <w:pPr>
      <w:ind w:left="720"/>
      <w:contextualSpacing/>
    </w:pPr>
  </w:style>
  <w:style w:type="character" w:styleId="IntenseEmphasis">
    <w:name w:val="Intense Emphasis"/>
    <w:basedOn w:val="DefaultParagraphFont"/>
    <w:uiPriority w:val="21"/>
    <w:qFormat/>
    <w:rsid w:val="001137E5"/>
    <w:rPr>
      <w:i/>
      <w:iCs/>
      <w:color w:val="0F4761" w:themeColor="accent1" w:themeShade="BF"/>
    </w:rPr>
  </w:style>
  <w:style w:type="paragraph" w:styleId="IntenseQuote">
    <w:name w:val="Intense Quote"/>
    <w:basedOn w:val="Normal"/>
    <w:next w:val="Normal"/>
    <w:link w:val="IntenseQuoteChar"/>
    <w:uiPriority w:val="30"/>
    <w:qFormat/>
    <w:rsid w:val="001137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37E5"/>
    <w:rPr>
      <w:i/>
      <w:iCs/>
      <w:color w:val="0F4761" w:themeColor="accent1" w:themeShade="BF"/>
    </w:rPr>
  </w:style>
  <w:style w:type="character" w:styleId="IntenseReference">
    <w:name w:val="Intense Reference"/>
    <w:basedOn w:val="DefaultParagraphFont"/>
    <w:uiPriority w:val="32"/>
    <w:qFormat/>
    <w:rsid w:val="001137E5"/>
    <w:rPr>
      <w:b/>
      <w:bCs/>
      <w:smallCaps/>
      <w:color w:val="0F4761" w:themeColor="accent1" w:themeShade="BF"/>
      <w:spacing w:val="5"/>
    </w:rPr>
  </w:style>
  <w:style w:type="paragraph" w:styleId="Header">
    <w:name w:val="header"/>
    <w:basedOn w:val="Normal"/>
    <w:link w:val="HeaderChar"/>
    <w:uiPriority w:val="99"/>
    <w:unhideWhenUsed/>
    <w:rsid w:val="009646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46A5"/>
  </w:style>
  <w:style w:type="paragraph" w:styleId="Footer">
    <w:name w:val="footer"/>
    <w:basedOn w:val="Normal"/>
    <w:link w:val="FooterChar"/>
    <w:uiPriority w:val="99"/>
    <w:unhideWhenUsed/>
    <w:rsid w:val="009646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46A5"/>
  </w:style>
  <w:style w:type="table" w:styleId="TableGrid">
    <w:name w:val="Table Grid"/>
    <w:basedOn w:val="TableNormal"/>
    <w:uiPriority w:val="39"/>
    <w:rsid w:val="007B40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7017C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NormalWeb">
    <w:name w:val="Normal (Web)"/>
    <w:basedOn w:val="Normal"/>
    <w:uiPriority w:val="99"/>
    <w:semiHidden/>
    <w:unhideWhenUsed/>
    <w:rsid w:val="00E4604B"/>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semiHidden/>
    <w:unhideWhenUsed/>
    <w:rsid w:val="00E4604B"/>
    <w:rPr>
      <w:color w:val="0000FF"/>
      <w:u w:val="single"/>
    </w:rPr>
  </w:style>
  <w:style w:type="paragraph" w:styleId="TOCHeading">
    <w:name w:val="TOC Heading"/>
    <w:basedOn w:val="Heading1"/>
    <w:next w:val="Normal"/>
    <w:uiPriority w:val="39"/>
    <w:unhideWhenUsed/>
    <w:qFormat/>
    <w:rsid w:val="0067199E"/>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67199E"/>
    <w:pPr>
      <w:spacing w:after="100" w:line="259" w:lineRule="auto"/>
      <w:ind w:left="220"/>
    </w:pPr>
    <w:rPr>
      <w:rFonts w:eastAsiaTheme="minorEastAsia" w:cs="Times New Roman"/>
      <w:kern w:val="0"/>
      <w:sz w:val="22"/>
      <w:szCs w:val="22"/>
      <w14:ligatures w14:val="none"/>
    </w:rPr>
  </w:style>
  <w:style w:type="paragraph" w:styleId="TOC1">
    <w:name w:val="toc 1"/>
    <w:basedOn w:val="Normal"/>
    <w:next w:val="Normal"/>
    <w:autoRedefine/>
    <w:uiPriority w:val="39"/>
    <w:unhideWhenUsed/>
    <w:rsid w:val="0067199E"/>
    <w:pPr>
      <w:spacing w:after="100" w:line="259" w:lineRule="auto"/>
    </w:pPr>
    <w:rPr>
      <w:rFonts w:eastAsiaTheme="minorEastAsia" w:cs="Times New Roman"/>
      <w:kern w:val="0"/>
      <w:sz w:val="22"/>
      <w:szCs w:val="22"/>
      <w14:ligatures w14:val="none"/>
    </w:rPr>
  </w:style>
  <w:style w:type="paragraph" w:styleId="TOC3">
    <w:name w:val="toc 3"/>
    <w:basedOn w:val="Normal"/>
    <w:next w:val="Normal"/>
    <w:autoRedefine/>
    <w:uiPriority w:val="39"/>
    <w:unhideWhenUsed/>
    <w:rsid w:val="0067199E"/>
    <w:pPr>
      <w:spacing w:after="100" w:line="259" w:lineRule="auto"/>
      <w:ind w:left="440"/>
    </w:pPr>
    <w:rPr>
      <w:rFonts w:eastAsiaTheme="minorEastAsia" w:cs="Times New Roman"/>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bain.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525B21-5FAE-486A-8F68-29CF35F69F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605</TotalTime>
  <Pages>22</Pages>
  <Words>5346</Words>
  <Characters>30477</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Lotiwan</dc:creator>
  <cp:keywords/>
  <dc:description/>
  <cp:lastModifiedBy>Nikki Lotiwan (2518745)</cp:lastModifiedBy>
  <cp:revision>30</cp:revision>
  <dcterms:created xsi:type="dcterms:W3CDTF">2026-07-30T19:00:00Z</dcterms:created>
  <dcterms:modified xsi:type="dcterms:W3CDTF">2026-08-14T11:35:00Z</dcterms:modified>
</cp:coreProperties>
</file>