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1C948" w14:textId="77777777" w:rsidR="009D228A" w:rsidRDefault="009D228A" w:rsidP="00287D52">
      <w:pPr>
        <w:spacing w:line="480" w:lineRule="auto"/>
        <w:rPr>
          <w:rFonts w:ascii="Arial" w:hAnsi="Arial" w:cs="Arial"/>
          <w:sz w:val="24"/>
          <w:szCs w:val="24"/>
        </w:rPr>
      </w:pPr>
      <w:bookmarkStart w:id="0" w:name="_Hlk124188524"/>
    </w:p>
    <w:p w14:paraId="36F7C8C1" w14:textId="77777777" w:rsidR="009D228A" w:rsidRDefault="009D228A" w:rsidP="00287D52">
      <w:pPr>
        <w:spacing w:line="480" w:lineRule="auto"/>
        <w:rPr>
          <w:rFonts w:ascii="Arial" w:hAnsi="Arial" w:cs="Arial"/>
          <w:sz w:val="24"/>
          <w:szCs w:val="24"/>
        </w:rPr>
      </w:pPr>
    </w:p>
    <w:p w14:paraId="77BF6A20" w14:textId="77777777" w:rsidR="009D228A" w:rsidRDefault="009D228A" w:rsidP="00287D52">
      <w:pPr>
        <w:spacing w:line="480" w:lineRule="auto"/>
        <w:rPr>
          <w:rFonts w:ascii="Arial" w:hAnsi="Arial" w:cs="Arial"/>
          <w:sz w:val="24"/>
          <w:szCs w:val="24"/>
        </w:rPr>
      </w:pPr>
    </w:p>
    <w:p w14:paraId="0099980B" w14:textId="77777777" w:rsidR="009D228A" w:rsidRDefault="009D228A" w:rsidP="00287D52">
      <w:pPr>
        <w:spacing w:line="480" w:lineRule="auto"/>
        <w:rPr>
          <w:rFonts w:ascii="Arial" w:hAnsi="Arial" w:cs="Arial"/>
          <w:sz w:val="24"/>
          <w:szCs w:val="24"/>
        </w:rPr>
      </w:pPr>
    </w:p>
    <w:p w14:paraId="569DBDA8" w14:textId="71F7E8B0" w:rsidR="009D228A" w:rsidRPr="003C2899" w:rsidRDefault="009D228A" w:rsidP="003C2899">
      <w:pPr>
        <w:spacing w:line="480" w:lineRule="auto"/>
        <w:jc w:val="center"/>
        <w:rPr>
          <w:rFonts w:ascii="Arial" w:hAnsi="Arial" w:cs="Arial"/>
          <w:sz w:val="24"/>
          <w:szCs w:val="24"/>
        </w:rPr>
      </w:pPr>
      <w:r w:rsidRPr="003C2899">
        <w:rPr>
          <w:rFonts w:ascii="Arial" w:hAnsi="Arial" w:cs="Arial"/>
          <w:sz w:val="24"/>
          <w:szCs w:val="24"/>
        </w:rPr>
        <w:t xml:space="preserve">Catherine Lewis </w:t>
      </w:r>
      <w:r w:rsidR="003C2899">
        <w:rPr>
          <w:rFonts w:ascii="Arial" w:hAnsi="Arial" w:cs="Arial"/>
          <w:sz w:val="24"/>
          <w:szCs w:val="24"/>
        </w:rPr>
        <w:t>(</w:t>
      </w:r>
      <w:r w:rsidR="003C2899" w:rsidRPr="003C2899">
        <w:rPr>
          <w:rFonts w:ascii="Arial" w:hAnsi="Arial" w:cs="Arial"/>
          <w:sz w:val="24"/>
          <w:szCs w:val="24"/>
        </w:rPr>
        <w:t>2116818</w:t>
      </w:r>
      <w:r w:rsidR="003C2899">
        <w:rPr>
          <w:rFonts w:ascii="Arial" w:hAnsi="Arial" w:cs="Arial"/>
          <w:sz w:val="24"/>
          <w:szCs w:val="24"/>
        </w:rPr>
        <w:t>)</w:t>
      </w:r>
    </w:p>
    <w:p w14:paraId="0E43F832" w14:textId="28C81065" w:rsidR="003C2899" w:rsidRPr="003C2899" w:rsidRDefault="003C2899" w:rsidP="003C2899">
      <w:pPr>
        <w:spacing w:line="480" w:lineRule="auto"/>
        <w:jc w:val="center"/>
        <w:rPr>
          <w:rFonts w:ascii="Arial" w:eastAsia="Cambria" w:hAnsi="Arial" w:cs="Arial"/>
          <w:b/>
          <w:sz w:val="24"/>
          <w:szCs w:val="24"/>
        </w:rPr>
      </w:pPr>
      <w:r w:rsidRPr="003C2899">
        <w:rPr>
          <w:rFonts w:ascii="Arial" w:eastAsia="Cambria" w:hAnsi="Arial" w:cs="Arial"/>
          <w:b/>
          <w:sz w:val="24"/>
          <w:szCs w:val="24"/>
        </w:rPr>
        <w:t>The Governance Challenges of 21</w:t>
      </w:r>
      <w:r w:rsidRPr="003C2899">
        <w:rPr>
          <w:rFonts w:ascii="Arial" w:eastAsia="Cambria" w:hAnsi="Arial" w:cs="Arial"/>
          <w:b/>
          <w:sz w:val="24"/>
          <w:szCs w:val="24"/>
          <w:vertAlign w:val="superscript"/>
        </w:rPr>
        <w:t>st</w:t>
      </w:r>
      <w:r w:rsidRPr="003C2899">
        <w:rPr>
          <w:rFonts w:ascii="Arial" w:eastAsia="Cambria" w:hAnsi="Arial" w:cs="Arial"/>
          <w:b/>
          <w:sz w:val="24"/>
          <w:szCs w:val="24"/>
        </w:rPr>
        <w:t xml:space="preserve"> Century Policing</w:t>
      </w:r>
    </w:p>
    <w:p w14:paraId="1E29C2B8" w14:textId="5E82ED84" w:rsidR="003C2899" w:rsidRPr="003C2899" w:rsidRDefault="003C2899" w:rsidP="003C2899">
      <w:pPr>
        <w:spacing w:line="480" w:lineRule="auto"/>
        <w:jc w:val="center"/>
        <w:rPr>
          <w:rFonts w:ascii="Arial" w:eastAsia="Cambria" w:hAnsi="Arial" w:cs="Arial"/>
          <w:bCs/>
          <w:sz w:val="24"/>
          <w:szCs w:val="24"/>
        </w:rPr>
      </w:pPr>
      <w:r w:rsidRPr="003C2899">
        <w:rPr>
          <w:rFonts w:ascii="Arial" w:eastAsia="Cambria" w:hAnsi="Arial" w:cs="Arial"/>
          <w:bCs/>
          <w:sz w:val="24"/>
          <w:szCs w:val="24"/>
        </w:rPr>
        <w:t>January 10, 2022</w:t>
      </w:r>
    </w:p>
    <w:p w14:paraId="3977175D" w14:textId="77777777" w:rsidR="003C2899" w:rsidRDefault="003C2899" w:rsidP="00287D52">
      <w:pPr>
        <w:spacing w:line="480" w:lineRule="auto"/>
        <w:rPr>
          <w:rFonts w:ascii="Arial" w:hAnsi="Arial" w:cs="Arial"/>
          <w:sz w:val="24"/>
          <w:szCs w:val="24"/>
        </w:rPr>
      </w:pPr>
    </w:p>
    <w:p w14:paraId="15380BBE" w14:textId="77777777" w:rsidR="009D228A" w:rsidRDefault="009D228A" w:rsidP="00287D52">
      <w:pPr>
        <w:spacing w:line="480" w:lineRule="auto"/>
        <w:rPr>
          <w:rFonts w:ascii="Arial" w:hAnsi="Arial" w:cs="Arial"/>
          <w:sz w:val="24"/>
          <w:szCs w:val="24"/>
        </w:rPr>
      </w:pPr>
    </w:p>
    <w:p w14:paraId="536C22CB" w14:textId="77777777" w:rsidR="009D228A" w:rsidRDefault="009D228A" w:rsidP="00287D52">
      <w:pPr>
        <w:spacing w:line="480" w:lineRule="auto"/>
        <w:rPr>
          <w:rFonts w:ascii="Arial" w:hAnsi="Arial" w:cs="Arial"/>
          <w:sz w:val="24"/>
          <w:szCs w:val="24"/>
        </w:rPr>
      </w:pPr>
    </w:p>
    <w:p w14:paraId="19144F6D" w14:textId="4EA6A777" w:rsidR="009D228A" w:rsidRDefault="009D228A" w:rsidP="00287D52">
      <w:pPr>
        <w:spacing w:line="480" w:lineRule="auto"/>
        <w:rPr>
          <w:rFonts w:ascii="Arial" w:hAnsi="Arial" w:cs="Arial"/>
          <w:sz w:val="24"/>
          <w:szCs w:val="24"/>
        </w:rPr>
      </w:pPr>
    </w:p>
    <w:p w14:paraId="6A736010" w14:textId="67392BDD" w:rsidR="003C2899" w:rsidRDefault="003C2899" w:rsidP="00287D52">
      <w:pPr>
        <w:spacing w:line="480" w:lineRule="auto"/>
        <w:rPr>
          <w:rFonts w:ascii="Arial" w:hAnsi="Arial" w:cs="Arial"/>
          <w:sz w:val="24"/>
          <w:szCs w:val="24"/>
        </w:rPr>
      </w:pPr>
    </w:p>
    <w:p w14:paraId="1754A643" w14:textId="257B1E2D" w:rsidR="003C2899" w:rsidRDefault="003C2899" w:rsidP="00287D52">
      <w:pPr>
        <w:spacing w:line="480" w:lineRule="auto"/>
        <w:rPr>
          <w:rFonts w:ascii="Arial" w:hAnsi="Arial" w:cs="Arial"/>
          <w:sz w:val="24"/>
          <w:szCs w:val="24"/>
        </w:rPr>
      </w:pPr>
    </w:p>
    <w:p w14:paraId="7F4162E9" w14:textId="0A7C7830" w:rsidR="003C2899" w:rsidRDefault="003C2899" w:rsidP="00287D52">
      <w:pPr>
        <w:spacing w:line="480" w:lineRule="auto"/>
        <w:rPr>
          <w:rFonts w:ascii="Arial" w:hAnsi="Arial" w:cs="Arial"/>
          <w:sz w:val="24"/>
          <w:szCs w:val="24"/>
        </w:rPr>
      </w:pPr>
    </w:p>
    <w:p w14:paraId="641B8082" w14:textId="0E1DE87A" w:rsidR="003C2899" w:rsidRDefault="003C2899" w:rsidP="00287D52">
      <w:pPr>
        <w:spacing w:line="480" w:lineRule="auto"/>
        <w:rPr>
          <w:rFonts w:ascii="Arial" w:hAnsi="Arial" w:cs="Arial"/>
          <w:sz w:val="24"/>
          <w:szCs w:val="24"/>
        </w:rPr>
      </w:pPr>
    </w:p>
    <w:p w14:paraId="2C6C3D5B" w14:textId="4F7A85E7" w:rsidR="003C2899" w:rsidRDefault="003C2899" w:rsidP="00287D52">
      <w:pPr>
        <w:spacing w:line="480" w:lineRule="auto"/>
        <w:rPr>
          <w:rFonts w:ascii="Arial" w:hAnsi="Arial" w:cs="Arial"/>
          <w:sz w:val="24"/>
          <w:szCs w:val="24"/>
        </w:rPr>
      </w:pPr>
    </w:p>
    <w:p w14:paraId="2A6FD173" w14:textId="1EC2FD26" w:rsidR="003C2899" w:rsidRDefault="003C2899" w:rsidP="00287D52">
      <w:pPr>
        <w:spacing w:line="480" w:lineRule="auto"/>
        <w:rPr>
          <w:rFonts w:ascii="Arial" w:hAnsi="Arial" w:cs="Arial"/>
          <w:sz w:val="24"/>
          <w:szCs w:val="24"/>
        </w:rPr>
      </w:pPr>
    </w:p>
    <w:p w14:paraId="39766283" w14:textId="0DAE0EEA" w:rsidR="003C2899" w:rsidRDefault="003C2899" w:rsidP="00287D52">
      <w:pPr>
        <w:spacing w:line="480" w:lineRule="auto"/>
        <w:rPr>
          <w:rFonts w:ascii="Arial" w:hAnsi="Arial" w:cs="Arial"/>
          <w:sz w:val="24"/>
          <w:szCs w:val="24"/>
        </w:rPr>
      </w:pPr>
    </w:p>
    <w:p w14:paraId="697ED9E2" w14:textId="77777777" w:rsidR="003C2899" w:rsidRDefault="003C2899" w:rsidP="00287D52">
      <w:pPr>
        <w:spacing w:line="480" w:lineRule="auto"/>
        <w:rPr>
          <w:rFonts w:ascii="Arial" w:hAnsi="Arial" w:cs="Arial"/>
          <w:sz w:val="24"/>
          <w:szCs w:val="24"/>
        </w:rPr>
      </w:pPr>
    </w:p>
    <w:p w14:paraId="34EAC43E" w14:textId="767F9F6F" w:rsidR="00287D52" w:rsidRDefault="00287D52" w:rsidP="00287D52">
      <w:pPr>
        <w:spacing w:line="480" w:lineRule="auto"/>
        <w:rPr>
          <w:rFonts w:ascii="Arial" w:hAnsi="Arial" w:cs="Arial"/>
          <w:sz w:val="24"/>
          <w:szCs w:val="24"/>
        </w:rPr>
      </w:pPr>
      <w:r w:rsidRPr="00E53D09">
        <w:rPr>
          <w:rFonts w:ascii="Arial" w:hAnsi="Arial" w:cs="Arial"/>
          <w:sz w:val="24"/>
          <w:szCs w:val="24"/>
        </w:rPr>
        <w:lastRenderedPageBreak/>
        <w:t xml:space="preserve">Governance, as reviewed in a wide range of academic literature, presents an array of definitions. </w:t>
      </w:r>
      <w:r>
        <w:rPr>
          <w:rFonts w:ascii="Arial" w:hAnsi="Arial" w:cs="Arial"/>
          <w:sz w:val="24"/>
          <w:szCs w:val="24"/>
        </w:rPr>
        <w:t>The</w:t>
      </w:r>
      <w:r w:rsidRPr="00E53D09">
        <w:rPr>
          <w:rFonts w:ascii="Arial" w:hAnsi="Arial" w:cs="Arial"/>
          <w:sz w:val="24"/>
          <w:szCs w:val="24"/>
        </w:rPr>
        <w:t xml:space="preserve"> etymology of the word governance originates from Ancient Greece </w:t>
      </w:r>
      <w:r>
        <w:rPr>
          <w:rFonts w:ascii="Arial" w:hAnsi="Arial" w:cs="Arial"/>
          <w:sz w:val="24"/>
          <w:szCs w:val="24"/>
        </w:rPr>
        <w:t>(</w:t>
      </w:r>
      <w:proofErr w:type="spellStart"/>
      <w:r w:rsidRPr="00E53D09">
        <w:rPr>
          <w:rFonts w:ascii="Arial" w:hAnsi="Arial" w:cs="Arial"/>
          <w:sz w:val="24"/>
          <w:szCs w:val="24"/>
        </w:rPr>
        <w:t>Vymětal</w:t>
      </w:r>
      <w:proofErr w:type="spellEnd"/>
      <w:r>
        <w:rPr>
          <w:rFonts w:ascii="Arial" w:hAnsi="Arial" w:cs="Arial"/>
          <w:sz w:val="24"/>
          <w:szCs w:val="24"/>
        </w:rPr>
        <w:t xml:space="preserve">, </w:t>
      </w:r>
      <w:r w:rsidRPr="00E53D09">
        <w:rPr>
          <w:rFonts w:ascii="Arial" w:hAnsi="Arial" w:cs="Arial"/>
          <w:sz w:val="24"/>
          <w:szCs w:val="24"/>
        </w:rPr>
        <w:t>2007)</w:t>
      </w:r>
      <w:r>
        <w:rPr>
          <w:rFonts w:ascii="Arial" w:hAnsi="Arial" w:cs="Arial"/>
          <w:sz w:val="24"/>
          <w:szCs w:val="24"/>
        </w:rPr>
        <w:t>.</w:t>
      </w:r>
      <w:r w:rsidRPr="00E53D09">
        <w:rPr>
          <w:rFonts w:ascii="Arial" w:hAnsi="Arial" w:cs="Arial"/>
          <w:sz w:val="24"/>
          <w:szCs w:val="24"/>
        </w:rPr>
        <w:t xml:space="preserve"> The word </w:t>
      </w:r>
      <w:proofErr w:type="spellStart"/>
      <w:r w:rsidRPr="00E53D09">
        <w:rPr>
          <w:rFonts w:ascii="Arial" w:hAnsi="Arial" w:cs="Arial"/>
          <w:sz w:val="24"/>
          <w:szCs w:val="24"/>
        </w:rPr>
        <w:t>kubernān</w:t>
      </w:r>
      <w:proofErr w:type="spellEnd"/>
      <w:r w:rsidRPr="00E53D09">
        <w:rPr>
          <w:rFonts w:ascii="Arial" w:hAnsi="Arial" w:cs="Arial"/>
          <w:sz w:val="24"/>
          <w:szCs w:val="24"/>
        </w:rPr>
        <w:t xml:space="preserve">, later adopted in Latin as the word </w:t>
      </w:r>
      <w:proofErr w:type="spellStart"/>
      <w:r w:rsidRPr="00E53D09">
        <w:rPr>
          <w:rFonts w:ascii="Arial" w:hAnsi="Arial" w:cs="Arial"/>
          <w:sz w:val="24"/>
          <w:szCs w:val="24"/>
        </w:rPr>
        <w:t>gubernāre</w:t>
      </w:r>
      <w:proofErr w:type="spellEnd"/>
      <w:r w:rsidRPr="00E53D09">
        <w:rPr>
          <w:rFonts w:ascii="Arial" w:hAnsi="Arial" w:cs="Arial"/>
          <w:sz w:val="24"/>
          <w:szCs w:val="24"/>
        </w:rPr>
        <w:t>, meaning “to steer”, visually represents governance in the terms of piloting a ship. Derived from the old French word “</w:t>
      </w:r>
      <w:proofErr w:type="spellStart"/>
      <w:r w:rsidRPr="00E53D09">
        <w:rPr>
          <w:rFonts w:ascii="Arial" w:hAnsi="Arial" w:cs="Arial"/>
          <w:sz w:val="24"/>
          <w:szCs w:val="24"/>
        </w:rPr>
        <w:t>gouvernance</w:t>
      </w:r>
      <w:proofErr w:type="spellEnd"/>
      <w:r w:rsidRPr="00E53D09">
        <w:rPr>
          <w:rFonts w:ascii="Arial" w:hAnsi="Arial" w:cs="Arial"/>
          <w:sz w:val="24"/>
          <w:szCs w:val="24"/>
        </w:rPr>
        <w:t>”</w:t>
      </w:r>
      <w:r>
        <w:rPr>
          <w:rFonts w:ascii="Arial" w:hAnsi="Arial" w:cs="Arial"/>
          <w:sz w:val="24"/>
          <w:szCs w:val="24"/>
        </w:rPr>
        <w:t>,</w:t>
      </w:r>
      <w:r w:rsidRPr="00E53D09">
        <w:rPr>
          <w:rFonts w:ascii="Arial" w:hAnsi="Arial" w:cs="Arial"/>
          <w:sz w:val="24"/>
          <w:szCs w:val="24"/>
        </w:rPr>
        <w:t xml:space="preserve"> the word governance came into usage in English in the late fourteenth century. It denoted the act or manner of governing.</w:t>
      </w:r>
      <w:r>
        <w:rPr>
          <w:rFonts w:ascii="Arial" w:hAnsi="Arial" w:cs="Arial"/>
          <w:sz w:val="24"/>
          <w:szCs w:val="24"/>
        </w:rPr>
        <w:t xml:space="preserve"> </w:t>
      </w:r>
      <w:bookmarkStart w:id="1" w:name="_Hlk123201505"/>
      <w:proofErr w:type="spellStart"/>
      <w:r w:rsidRPr="00E53D09">
        <w:rPr>
          <w:rFonts w:ascii="Arial" w:hAnsi="Arial" w:cs="Arial"/>
          <w:sz w:val="24"/>
          <w:szCs w:val="24"/>
        </w:rPr>
        <w:t>Vymětal</w:t>
      </w:r>
      <w:proofErr w:type="spellEnd"/>
      <w:r w:rsidRPr="00E53D09">
        <w:rPr>
          <w:rFonts w:ascii="Arial" w:hAnsi="Arial" w:cs="Arial"/>
          <w:sz w:val="24"/>
          <w:szCs w:val="24"/>
        </w:rPr>
        <w:t xml:space="preserve"> </w:t>
      </w:r>
      <w:bookmarkEnd w:id="1"/>
      <w:r>
        <w:rPr>
          <w:rFonts w:ascii="Arial" w:hAnsi="Arial" w:cs="Arial"/>
          <w:sz w:val="24"/>
          <w:szCs w:val="24"/>
        </w:rPr>
        <w:t xml:space="preserve">(2007) </w:t>
      </w:r>
      <w:r w:rsidRPr="00E53D09">
        <w:rPr>
          <w:rFonts w:ascii="Arial" w:hAnsi="Arial" w:cs="Arial"/>
          <w:sz w:val="24"/>
          <w:szCs w:val="24"/>
        </w:rPr>
        <w:t>goes on to describe the structure of government and the exercise of power as being historically associated with the idea of governance, proposing</w:t>
      </w:r>
      <w:r>
        <w:rPr>
          <w:rFonts w:ascii="Arial" w:hAnsi="Arial" w:cs="Arial"/>
          <w:sz w:val="24"/>
          <w:szCs w:val="24"/>
        </w:rPr>
        <w:t xml:space="preserve"> a clear delineation between structure and function is</w:t>
      </w:r>
      <w:r>
        <w:rPr>
          <w:rFonts w:ascii="Arial" w:hAnsi="Arial" w:cs="Arial"/>
          <w:sz w:val="24"/>
          <w:szCs w:val="24"/>
        </w:rPr>
        <w:t xml:space="preserve"> </w:t>
      </w:r>
      <w:r>
        <w:rPr>
          <w:rFonts w:ascii="Arial" w:hAnsi="Arial" w:cs="Arial"/>
          <w:sz w:val="24"/>
          <w:szCs w:val="24"/>
        </w:rPr>
        <w:t xml:space="preserve">not possible because they are so closely interrelated. </w:t>
      </w:r>
    </w:p>
    <w:p w14:paraId="2D774EFF" w14:textId="002EF3A8" w:rsidR="00287D52" w:rsidRPr="00E53D09" w:rsidRDefault="00287D52" w:rsidP="00287D52">
      <w:pPr>
        <w:spacing w:line="480" w:lineRule="auto"/>
        <w:rPr>
          <w:rFonts w:ascii="Arial" w:hAnsi="Arial" w:cs="Arial"/>
          <w:sz w:val="24"/>
          <w:szCs w:val="24"/>
        </w:rPr>
      </w:pPr>
      <w:r>
        <w:rPr>
          <w:rFonts w:ascii="Arial" w:hAnsi="Arial" w:cs="Arial"/>
          <w:sz w:val="24"/>
          <w:szCs w:val="24"/>
        </w:rPr>
        <w:t>However, evidence from several credible academic sources confirms that governance relates to the diverse patterns of rule, whilst government pertains to the structures within which organisations work</w:t>
      </w:r>
      <w:r w:rsidRPr="004069A7">
        <w:rPr>
          <w:rFonts w:ascii="Arial" w:hAnsi="Arial" w:cs="Arial"/>
          <w:sz w:val="24"/>
          <w:szCs w:val="24"/>
        </w:rPr>
        <w:t xml:space="preserve"> </w:t>
      </w:r>
      <w:r>
        <w:rPr>
          <w:rFonts w:ascii="Arial" w:hAnsi="Arial" w:cs="Arial"/>
          <w:sz w:val="24"/>
          <w:szCs w:val="24"/>
        </w:rPr>
        <w:t>(</w:t>
      </w:r>
      <w:r w:rsidRPr="004069A7">
        <w:rPr>
          <w:rFonts w:ascii="Arial" w:hAnsi="Arial" w:cs="Arial"/>
          <w:sz w:val="24"/>
          <w:szCs w:val="24"/>
        </w:rPr>
        <w:t>Osborne and Gaebler</w:t>
      </w:r>
      <w:r>
        <w:rPr>
          <w:rFonts w:ascii="Arial" w:hAnsi="Arial" w:cs="Arial"/>
          <w:sz w:val="24"/>
          <w:szCs w:val="24"/>
        </w:rPr>
        <w:t>,</w:t>
      </w:r>
      <w:r w:rsidRPr="004069A7">
        <w:rPr>
          <w:rFonts w:ascii="Arial" w:hAnsi="Arial" w:cs="Arial"/>
          <w:sz w:val="24"/>
          <w:szCs w:val="24"/>
        </w:rPr>
        <w:t>1992</w:t>
      </w:r>
      <w:r>
        <w:rPr>
          <w:rFonts w:ascii="Arial" w:hAnsi="Arial" w:cs="Arial"/>
          <w:sz w:val="24"/>
          <w:szCs w:val="24"/>
        </w:rPr>
        <w:t>;</w:t>
      </w:r>
      <w:r w:rsidRPr="004069A7">
        <w:rPr>
          <w:rFonts w:ascii="Arial" w:hAnsi="Arial" w:cs="Arial"/>
          <w:sz w:val="24"/>
          <w:szCs w:val="24"/>
        </w:rPr>
        <w:t xml:space="preserve"> </w:t>
      </w:r>
      <w:proofErr w:type="spellStart"/>
      <w:r w:rsidRPr="004069A7">
        <w:rPr>
          <w:rFonts w:ascii="Arial" w:hAnsi="Arial" w:cs="Arial"/>
          <w:sz w:val="24"/>
          <w:szCs w:val="24"/>
        </w:rPr>
        <w:t>Asaduzzaman</w:t>
      </w:r>
      <w:proofErr w:type="spellEnd"/>
      <w:r w:rsidRPr="004069A7">
        <w:rPr>
          <w:rFonts w:ascii="Arial" w:hAnsi="Arial" w:cs="Arial"/>
          <w:sz w:val="24"/>
          <w:szCs w:val="24"/>
        </w:rPr>
        <w:t xml:space="preserve"> and Virtanen</w:t>
      </w:r>
      <w:r>
        <w:rPr>
          <w:rFonts w:ascii="Arial" w:hAnsi="Arial" w:cs="Arial"/>
          <w:sz w:val="24"/>
          <w:szCs w:val="24"/>
        </w:rPr>
        <w:t>,</w:t>
      </w:r>
      <w:r w:rsidRPr="004069A7">
        <w:rPr>
          <w:rFonts w:ascii="Arial" w:hAnsi="Arial" w:cs="Arial"/>
          <w:sz w:val="24"/>
          <w:szCs w:val="24"/>
        </w:rPr>
        <w:t xml:space="preserve"> 2016</w:t>
      </w:r>
      <w:r>
        <w:rPr>
          <w:rFonts w:ascii="Arial" w:hAnsi="Arial" w:cs="Arial"/>
          <w:sz w:val="24"/>
          <w:szCs w:val="24"/>
        </w:rPr>
        <w:t>;</w:t>
      </w:r>
      <w:r w:rsidRPr="004069A7">
        <w:rPr>
          <w:rFonts w:ascii="Arial" w:hAnsi="Arial" w:cs="Arial"/>
          <w:sz w:val="24"/>
          <w:szCs w:val="24"/>
        </w:rPr>
        <w:t xml:space="preserve"> Jordan et al.</w:t>
      </w:r>
      <w:r>
        <w:rPr>
          <w:rFonts w:ascii="Arial" w:hAnsi="Arial" w:cs="Arial"/>
          <w:sz w:val="24"/>
          <w:szCs w:val="24"/>
        </w:rPr>
        <w:t>,</w:t>
      </w:r>
      <w:r w:rsidRPr="004069A7">
        <w:rPr>
          <w:rFonts w:ascii="Arial" w:hAnsi="Arial" w:cs="Arial"/>
          <w:sz w:val="24"/>
          <w:szCs w:val="24"/>
        </w:rPr>
        <w:t xml:space="preserve"> 2003)</w:t>
      </w:r>
      <w:r>
        <w:rPr>
          <w:rFonts w:ascii="Arial" w:hAnsi="Arial" w:cs="Arial"/>
          <w:sz w:val="24"/>
          <w:szCs w:val="24"/>
        </w:rPr>
        <w:t>. G</w:t>
      </w:r>
      <w:r w:rsidRPr="004069A7">
        <w:rPr>
          <w:rFonts w:ascii="Arial" w:hAnsi="Arial" w:cs="Arial"/>
          <w:sz w:val="24"/>
          <w:szCs w:val="24"/>
        </w:rPr>
        <w:t xml:space="preserve">overnance </w:t>
      </w:r>
      <w:r>
        <w:rPr>
          <w:rFonts w:ascii="Arial" w:hAnsi="Arial" w:cs="Arial"/>
          <w:sz w:val="24"/>
          <w:szCs w:val="24"/>
        </w:rPr>
        <w:t xml:space="preserve">is differentiated </w:t>
      </w:r>
      <w:r w:rsidRPr="004069A7">
        <w:rPr>
          <w:rFonts w:ascii="Arial" w:hAnsi="Arial" w:cs="Arial"/>
          <w:sz w:val="24"/>
          <w:szCs w:val="24"/>
        </w:rPr>
        <w:t>from government</w:t>
      </w:r>
      <w:r>
        <w:rPr>
          <w:rFonts w:ascii="Arial" w:hAnsi="Arial" w:cs="Arial"/>
          <w:sz w:val="24"/>
          <w:szCs w:val="24"/>
        </w:rPr>
        <w:t xml:space="preserve"> by these academics</w:t>
      </w:r>
      <w:r w:rsidRPr="004069A7">
        <w:rPr>
          <w:rFonts w:ascii="Arial" w:hAnsi="Arial" w:cs="Arial"/>
          <w:sz w:val="24"/>
          <w:szCs w:val="24"/>
        </w:rPr>
        <w:t xml:space="preserve">, </w:t>
      </w:r>
      <w:r>
        <w:rPr>
          <w:rFonts w:ascii="Arial" w:hAnsi="Arial" w:cs="Arial"/>
          <w:sz w:val="24"/>
          <w:szCs w:val="24"/>
        </w:rPr>
        <w:t>who emphasise</w:t>
      </w:r>
      <w:r w:rsidRPr="004069A7">
        <w:rPr>
          <w:rFonts w:ascii="Arial" w:hAnsi="Arial" w:cs="Arial"/>
          <w:sz w:val="24"/>
          <w:szCs w:val="24"/>
        </w:rPr>
        <w:t xml:space="preserve"> governance as the process through which society cooperates to solve its issues and meet its needs</w:t>
      </w:r>
      <w:r>
        <w:rPr>
          <w:rFonts w:ascii="Arial" w:hAnsi="Arial" w:cs="Arial"/>
          <w:sz w:val="24"/>
          <w:szCs w:val="24"/>
        </w:rPr>
        <w:t xml:space="preserve">, </w:t>
      </w:r>
      <w:r w:rsidR="00585F12">
        <w:rPr>
          <w:rFonts w:ascii="Arial" w:hAnsi="Arial" w:cs="Arial"/>
          <w:sz w:val="24"/>
          <w:szCs w:val="24"/>
        </w:rPr>
        <w:t>g</w:t>
      </w:r>
      <w:r w:rsidRPr="004069A7">
        <w:rPr>
          <w:rFonts w:ascii="Arial" w:hAnsi="Arial" w:cs="Arial"/>
          <w:sz w:val="24"/>
          <w:szCs w:val="24"/>
        </w:rPr>
        <w:t xml:space="preserve">overnment </w:t>
      </w:r>
      <w:r>
        <w:rPr>
          <w:rFonts w:ascii="Arial" w:hAnsi="Arial" w:cs="Arial"/>
          <w:sz w:val="24"/>
          <w:szCs w:val="24"/>
        </w:rPr>
        <w:t>being</w:t>
      </w:r>
      <w:r w:rsidRPr="004069A7">
        <w:rPr>
          <w:rFonts w:ascii="Arial" w:hAnsi="Arial" w:cs="Arial"/>
          <w:sz w:val="24"/>
          <w:szCs w:val="24"/>
        </w:rPr>
        <w:t xml:space="preserve"> </w:t>
      </w:r>
      <w:r w:rsidRPr="004069A7">
        <w:rPr>
          <w:rFonts w:ascii="Arial" w:hAnsi="Arial" w:cs="Arial"/>
          <w:sz w:val="24"/>
          <w:szCs w:val="24"/>
        </w:rPr>
        <w:t>the system that society uses to this end.</w:t>
      </w:r>
      <w:r>
        <w:rPr>
          <w:rFonts w:ascii="Arial" w:hAnsi="Arial" w:cs="Arial"/>
          <w:sz w:val="24"/>
          <w:szCs w:val="24"/>
        </w:rPr>
        <w:t xml:space="preserve"> </w:t>
      </w:r>
      <w:proofErr w:type="spellStart"/>
      <w:r w:rsidRPr="00530E25">
        <w:rPr>
          <w:rFonts w:ascii="Arial" w:hAnsi="Arial" w:cs="Arial"/>
          <w:sz w:val="24"/>
          <w:szCs w:val="24"/>
        </w:rPr>
        <w:t>Vymětal</w:t>
      </w:r>
      <w:proofErr w:type="spellEnd"/>
      <w:r w:rsidRPr="00530E25">
        <w:rPr>
          <w:rFonts w:ascii="Arial" w:hAnsi="Arial" w:cs="Arial"/>
          <w:sz w:val="24"/>
          <w:szCs w:val="24"/>
        </w:rPr>
        <w:t xml:space="preserve"> </w:t>
      </w:r>
      <w:r>
        <w:rPr>
          <w:rFonts w:ascii="Arial" w:hAnsi="Arial" w:cs="Arial"/>
          <w:sz w:val="24"/>
          <w:szCs w:val="24"/>
        </w:rPr>
        <w:t>(</w:t>
      </w:r>
      <w:r w:rsidRPr="00530E25">
        <w:rPr>
          <w:rFonts w:ascii="Arial" w:hAnsi="Arial" w:cs="Arial"/>
          <w:sz w:val="24"/>
          <w:szCs w:val="24"/>
        </w:rPr>
        <w:t>2007</w:t>
      </w:r>
      <w:r>
        <w:rPr>
          <w:rFonts w:ascii="Arial" w:hAnsi="Arial" w:cs="Arial"/>
          <w:sz w:val="24"/>
          <w:szCs w:val="24"/>
        </w:rPr>
        <w:t>)</w:t>
      </w:r>
      <w:r w:rsidRPr="00E53D09">
        <w:rPr>
          <w:rFonts w:ascii="Arial" w:hAnsi="Arial" w:cs="Arial"/>
          <w:sz w:val="24"/>
          <w:szCs w:val="24"/>
        </w:rPr>
        <w:t xml:space="preserve"> </w:t>
      </w:r>
      <w:r>
        <w:rPr>
          <w:rFonts w:ascii="Arial" w:hAnsi="Arial" w:cs="Arial"/>
          <w:sz w:val="24"/>
          <w:szCs w:val="24"/>
        </w:rPr>
        <w:t xml:space="preserve">goes on to say </w:t>
      </w:r>
      <w:r w:rsidRPr="00E53D09">
        <w:rPr>
          <w:rFonts w:ascii="Arial" w:hAnsi="Arial" w:cs="Arial"/>
          <w:sz w:val="24"/>
          <w:szCs w:val="24"/>
        </w:rPr>
        <w:t xml:space="preserve">a more current understanding of governance incorporates a wide range of methods and practices for enhancing </w:t>
      </w:r>
      <w:r>
        <w:rPr>
          <w:rFonts w:ascii="Arial" w:hAnsi="Arial" w:cs="Arial"/>
          <w:sz w:val="24"/>
          <w:szCs w:val="24"/>
        </w:rPr>
        <w:t>‘</w:t>
      </w:r>
      <w:r w:rsidRPr="00E53D09">
        <w:rPr>
          <w:rFonts w:ascii="Arial" w:hAnsi="Arial" w:cs="Arial"/>
          <w:sz w:val="24"/>
          <w:szCs w:val="24"/>
        </w:rPr>
        <w:t>coordination</w:t>
      </w:r>
      <w:r>
        <w:rPr>
          <w:rFonts w:ascii="Arial" w:hAnsi="Arial" w:cs="Arial"/>
          <w:sz w:val="24"/>
          <w:szCs w:val="24"/>
        </w:rPr>
        <w:t>’</w:t>
      </w:r>
      <w:r w:rsidRPr="00E53D09">
        <w:rPr>
          <w:rFonts w:ascii="Arial" w:hAnsi="Arial" w:cs="Arial"/>
          <w:sz w:val="24"/>
          <w:szCs w:val="24"/>
        </w:rPr>
        <w:t xml:space="preserve"> across the different tiers of society</w:t>
      </w:r>
      <w:r>
        <w:rPr>
          <w:rFonts w:ascii="Arial" w:hAnsi="Arial" w:cs="Arial"/>
          <w:sz w:val="24"/>
          <w:szCs w:val="24"/>
        </w:rPr>
        <w:t xml:space="preserve">, </w:t>
      </w:r>
      <w:r w:rsidRPr="00E53D09">
        <w:rPr>
          <w:rFonts w:ascii="Arial" w:hAnsi="Arial" w:cs="Arial"/>
          <w:sz w:val="24"/>
          <w:szCs w:val="24"/>
        </w:rPr>
        <w:t xml:space="preserve">established </w:t>
      </w:r>
      <w:r>
        <w:rPr>
          <w:rFonts w:ascii="Arial" w:hAnsi="Arial" w:cs="Arial"/>
          <w:sz w:val="24"/>
          <w:szCs w:val="24"/>
        </w:rPr>
        <w:t>by</w:t>
      </w:r>
      <w:r w:rsidRPr="00E53D09">
        <w:rPr>
          <w:rFonts w:ascii="Arial" w:hAnsi="Arial" w:cs="Arial"/>
          <w:sz w:val="24"/>
          <w:szCs w:val="24"/>
        </w:rPr>
        <w:t xml:space="preserve"> </w:t>
      </w:r>
      <w:r>
        <w:rPr>
          <w:rFonts w:ascii="Arial" w:hAnsi="Arial" w:cs="Arial"/>
          <w:sz w:val="24"/>
          <w:szCs w:val="24"/>
        </w:rPr>
        <w:t>‘</w:t>
      </w:r>
      <w:r w:rsidRPr="00E53D09">
        <w:rPr>
          <w:rFonts w:ascii="Arial" w:hAnsi="Arial" w:cs="Arial"/>
          <w:sz w:val="24"/>
          <w:szCs w:val="24"/>
        </w:rPr>
        <w:t>partnership and dialogue</w:t>
      </w:r>
      <w:r>
        <w:rPr>
          <w:rFonts w:ascii="Arial" w:hAnsi="Arial" w:cs="Arial"/>
          <w:sz w:val="24"/>
          <w:szCs w:val="24"/>
        </w:rPr>
        <w:t>’</w:t>
      </w:r>
      <w:r w:rsidRPr="00E53D09">
        <w:rPr>
          <w:rFonts w:ascii="Arial" w:hAnsi="Arial" w:cs="Arial"/>
          <w:sz w:val="24"/>
          <w:szCs w:val="24"/>
        </w:rPr>
        <w:t xml:space="preserve">. </w:t>
      </w:r>
      <w:proofErr w:type="spellStart"/>
      <w:r>
        <w:rPr>
          <w:rFonts w:ascii="Arial" w:hAnsi="Arial" w:cs="Arial"/>
          <w:sz w:val="24"/>
          <w:szCs w:val="24"/>
        </w:rPr>
        <w:t>Bevi</w:t>
      </w:r>
      <w:r w:rsidRPr="00E53D09">
        <w:rPr>
          <w:rFonts w:ascii="Arial" w:hAnsi="Arial" w:cs="Arial"/>
          <w:sz w:val="24"/>
          <w:szCs w:val="24"/>
        </w:rPr>
        <w:t>r</w:t>
      </w:r>
      <w:proofErr w:type="spellEnd"/>
      <w:r w:rsidRPr="00E53D09">
        <w:rPr>
          <w:rFonts w:ascii="Arial" w:hAnsi="Arial" w:cs="Arial"/>
          <w:sz w:val="24"/>
          <w:szCs w:val="24"/>
        </w:rPr>
        <w:t xml:space="preserve"> </w:t>
      </w:r>
      <w:r>
        <w:rPr>
          <w:rFonts w:ascii="Arial" w:hAnsi="Arial" w:cs="Arial"/>
          <w:sz w:val="24"/>
          <w:szCs w:val="24"/>
        </w:rPr>
        <w:t>(2010) echoes this notion of collaboration as</w:t>
      </w:r>
      <w:r>
        <w:rPr>
          <w:rFonts w:ascii="Arial" w:hAnsi="Arial" w:cs="Arial"/>
          <w:sz w:val="24"/>
          <w:szCs w:val="24"/>
        </w:rPr>
        <w:t xml:space="preserve"> </w:t>
      </w:r>
      <w:r>
        <w:rPr>
          <w:rFonts w:ascii="Arial" w:hAnsi="Arial" w:cs="Arial"/>
          <w:sz w:val="24"/>
          <w:szCs w:val="24"/>
        </w:rPr>
        <w:t xml:space="preserve">a key feature of governance, with governance concentrating more on the connections and approaches that bond the state to civil society than on the state institutions themselves. </w:t>
      </w:r>
    </w:p>
    <w:p w14:paraId="551E699F" w14:textId="77777777" w:rsidR="00287D52" w:rsidRPr="00E53D09" w:rsidRDefault="00287D52" w:rsidP="00287D52">
      <w:pPr>
        <w:spacing w:line="480" w:lineRule="auto"/>
        <w:rPr>
          <w:rFonts w:ascii="Arial" w:hAnsi="Arial" w:cs="Arial"/>
          <w:sz w:val="24"/>
          <w:szCs w:val="24"/>
        </w:rPr>
      </w:pPr>
      <w:r w:rsidRPr="00E53D09">
        <w:rPr>
          <w:rFonts w:ascii="Arial" w:hAnsi="Arial" w:cs="Arial"/>
          <w:sz w:val="24"/>
          <w:szCs w:val="24"/>
        </w:rPr>
        <w:t>F</w:t>
      </w:r>
      <w:r>
        <w:rPr>
          <w:rFonts w:ascii="Arial" w:hAnsi="Arial" w:cs="Arial"/>
          <w:sz w:val="24"/>
          <w:szCs w:val="24"/>
        </w:rPr>
        <w:t>ré</w:t>
      </w:r>
      <w:r w:rsidRPr="00E53D09">
        <w:rPr>
          <w:rFonts w:ascii="Arial" w:hAnsi="Arial" w:cs="Arial"/>
          <w:sz w:val="24"/>
          <w:szCs w:val="24"/>
        </w:rPr>
        <w:t>chette</w:t>
      </w:r>
      <w:r>
        <w:rPr>
          <w:rFonts w:ascii="Arial" w:hAnsi="Arial" w:cs="Arial"/>
          <w:sz w:val="24"/>
          <w:szCs w:val="24"/>
        </w:rPr>
        <w:t xml:space="preserve"> (1999), United Nations </w:t>
      </w:r>
      <w:r w:rsidRPr="00E53D09">
        <w:rPr>
          <w:rFonts w:ascii="Arial" w:hAnsi="Arial" w:cs="Arial"/>
          <w:sz w:val="24"/>
          <w:szCs w:val="24"/>
        </w:rPr>
        <w:t xml:space="preserve">Deputy Secretary General, </w:t>
      </w:r>
      <w:r>
        <w:rPr>
          <w:rFonts w:ascii="Arial" w:hAnsi="Arial" w:cs="Arial"/>
          <w:sz w:val="24"/>
          <w:szCs w:val="24"/>
        </w:rPr>
        <w:t xml:space="preserve">emphasised governance as the way a nation manages its affairs. </w:t>
      </w:r>
      <w:r w:rsidRPr="00E53D09">
        <w:rPr>
          <w:rFonts w:ascii="Arial" w:hAnsi="Arial" w:cs="Arial"/>
          <w:sz w:val="24"/>
          <w:szCs w:val="24"/>
        </w:rPr>
        <w:t xml:space="preserve">It is the product of many </w:t>
      </w:r>
      <w:r w:rsidRPr="00E53D09">
        <w:rPr>
          <w:rFonts w:ascii="Arial" w:hAnsi="Arial" w:cs="Arial"/>
          <w:sz w:val="24"/>
          <w:szCs w:val="24"/>
        </w:rPr>
        <w:lastRenderedPageBreak/>
        <w:t xml:space="preserve">complex relationships, not only among the different institutions of </w:t>
      </w:r>
      <w:r>
        <w:rPr>
          <w:rFonts w:ascii="Arial" w:hAnsi="Arial" w:cs="Arial"/>
          <w:sz w:val="24"/>
          <w:szCs w:val="24"/>
        </w:rPr>
        <w:t>s</w:t>
      </w:r>
      <w:r w:rsidRPr="00E53D09">
        <w:rPr>
          <w:rFonts w:ascii="Arial" w:hAnsi="Arial" w:cs="Arial"/>
          <w:sz w:val="24"/>
          <w:szCs w:val="24"/>
        </w:rPr>
        <w:t>tate, but among all stakeholders, from the most powerful titans of industry to the poorest and most vulnerable people on society</w:t>
      </w:r>
      <w:r>
        <w:rPr>
          <w:rFonts w:ascii="Arial" w:hAnsi="Arial" w:cs="Arial"/>
          <w:sz w:val="24"/>
          <w:szCs w:val="24"/>
        </w:rPr>
        <w:t>’</w:t>
      </w:r>
      <w:r w:rsidRPr="00E53D09">
        <w:rPr>
          <w:rFonts w:ascii="Arial" w:hAnsi="Arial" w:cs="Arial"/>
          <w:sz w:val="24"/>
          <w:szCs w:val="24"/>
        </w:rPr>
        <w:t xml:space="preserve">s margins. She </w:t>
      </w:r>
      <w:r>
        <w:rPr>
          <w:rFonts w:ascii="Arial" w:hAnsi="Arial" w:cs="Arial"/>
          <w:sz w:val="24"/>
          <w:szCs w:val="24"/>
        </w:rPr>
        <w:t>described governance as “not something that the state does to society, but the way society itself and the individuals who compose it, regulate all the different aspects of their collective life”.</w:t>
      </w:r>
    </w:p>
    <w:p w14:paraId="1CAB443C" w14:textId="77777777" w:rsidR="009B7D6D" w:rsidRDefault="00287D52" w:rsidP="00287D52">
      <w:pPr>
        <w:spacing w:line="480" w:lineRule="auto"/>
        <w:rPr>
          <w:rFonts w:ascii="Arial" w:hAnsi="Arial" w:cs="Arial"/>
          <w:sz w:val="24"/>
          <w:szCs w:val="24"/>
        </w:rPr>
      </w:pPr>
      <w:r w:rsidRPr="00E53D09">
        <w:rPr>
          <w:rFonts w:ascii="Arial" w:hAnsi="Arial" w:cs="Arial"/>
          <w:sz w:val="24"/>
          <w:szCs w:val="24"/>
        </w:rPr>
        <w:t xml:space="preserve">This </w:t>
      </w:r>
      <w:r>
        <w:rPr>
          <w:rFonts w:ascii="Arial" w:hAnsi="Arial" w:cs="Arial"/>
          <w:sz w:val="24"/>
          <w:szCs w:val="24"/>
        </w:rPr>
        <w:t xml:space="preserve">emphasis on the relationship between the state and its citizens </w:t>
      </w:r>
      <w:r w:rsidRPr="00E53D09">
        <w:rPr>
          <w:rFonts w:ascii="Arial" w:hAnsi="Arial" w:cs="Arial"/>
          <w:sz w:val="24"/>
          <w:szCs w:val="24"/>
        </w:rPr>
        <w:t>resonate</w:t>
      </w:r>
      <w:r>
        <w:rPr>
          <w:rFonts w:ascii="Arial" w:hAnsi="Arial" w:cs="Arial"/>
          <w:sz w:val="24"/>
          <w:szCs w:val="24"/>
        </w:rPr>
        <w:t>s</w:t>
      </w:r>
      <w:r w:rsidRPr="00E53D09">
        <w:rPr>
          <w:rFonts w:ascii="Arial" w:hAnsi="Arial" w:cs="Arial"/>
          <w:sz w:val="24"/>
          <w:szCs w:val="24"/>
        </w:rPr>
        <w:t xml:space="preserve"> with Cadbury (2002) </w:t>
      </w:r>
      <w:r>
        <w:rPr>
          <w:rFonts w:ascii="Arial" w:hAnsi="Arial" w:cs="Arial"/>
          <w:sz w:val="24"/>
          <w:szCs w:val="24"/>
        </w:rPr>
        <w:t xml:space="preserve">and </w:t>
      </w:r>
      <w:proofErr w:type="spellStart"/>
      <w:r>
        <w:rPr>
          <w:rFonts w:ascii="Arial" w:hAnsi="Arial" w:cs="Arial"/>
          <w:sz w:val="24"/>
          <w:szCs w:val="24"/>
        </w:rPr>
        <w:t>Plumptre</w:t>
      </w:r>
      <w:proofErr w:type="spellEnd"/>
      <w:r>
        <w:rPr>
          <w:rFonts w:ascii="Arial" w:hAnsi="Arial" w:cs="Arial"/>
          <w:sz w:val="24"/>
          <w:szCs w:val="24"/>
        </w:rPr>
        <w:t xml:space="preserve"> and Graham (1999), </w:t>
      </w:r>
      <w:r w:rsidRPr="00E53D09">
        <w:rPr>
          <w:rFonts w:ascii="Arial" w:hAnsi="Arial" w:cs="Arial"/>
          <w:sz w:val="24"/>
          <w:szCs w:val="24"/>
        </w:rPr>
        <w:t xml:space="preserve">who </w:t>
      </w:r>
      <w:r>
        <w:rPr>
          <w:rFonts w:ascii="Arial" w:hAnsi="Arial" w:cs="Arial"/>
          <w:sz w:val="24"/>
          <w:szCs w:val="24"/>
        </w:rPr>
        <w:t>added that</w:t>
      </w:r>
      <w:r w:rsidRPr="00E53D09">
        <w:rPr>
          <w:rFonts w:ascii="Arial" w:hAnsi="Arial" w:cs="Arial"/>
          <w:sz w:val="24"/>
          <w:szCs w:val="24"/>
        </w:rPr>
        <w:t xml:space="preserve"> governance importantly</w:t>
      </w:r>
      <w:r>
        <w:rPr>
          <w:rFonts w:ascii="Arial" w:hAnsi="Arial" w:cs="Arial"/>
          <w:sz w:val="24"/>
          <w:szCs w:val="24"/>
        </w:rPr>
        <w:t xml:space="preserve"> ensures that </w:t>
      </w:r>
      <w:r w:rsidRPr="0050160C">
        <w:rPr>
          <w:rFonts w:ascii="Arial" w:hAnsi="Arial" w:cs="Arial"/>
          <w:sz w:val="24"/>
          <w:szCs w:val="24"/>
          <w:lang w:val="en-US"/>
        </w:rPr>
        <w:t xml:space="preserve">corporations </w:t>
      </w:r>
      <w:r>
        <w:rPr>
          <w:rFonts w:ascii="Arial" w:hAnsi="Arial" w:cs="Arial"/>
          <w:sz w:val="24"/>
          <w:szCs w:val="24"/>
          <w:lang w:val="en-US"/>
        </w:rPr>
        <w:t>are</w:t>
      </w:r>
      <w:r w:rsidRPr="00E53D09">
        <w:rPr>
          <w:rFonts w:ascii="Arial" w:hAnsi="Arial" w:cs="Arial"/>
          <w:sz w:val="24"/>
          <w:szCs w:val="24"/>
          <w:lang w:val="en-US"/>
        </w:rPr>
        <w:t xml:space="preserve"> kept accountable to</w:t>
      </w:r>
      <w:r w:rsidRPr="0050160C">
        <w:rPr>
          <w:rFonts w:ascii="Arial" w:hAnsi="Arial" w:cs="Arial"/>
          <w:sz w:val="24"/>
          <w:szCs w:val="24"/>
          <w:lang w:val="en-US"/>
        </w:rPr>
        <w:t xml:space="preserve"> </w:t>
      </w:r>
      <w:r w:rsidRPr="00E53D09">
        <w:rPr>
          <w:rFonts w:ascii="Arial" w:hAnsi="Arial" w:cs="Arial"/>
          <w:sz w:val="24"/>
          <w:szCs w:val="24"/>
          <w:lang w:val="en-US"/>
        </w:rPr>
        <w:t xml:space="preserve">their </w:t>
      </w:r>
      <w:r w:rsidRPr="0050160C">
        <w:rPr>
          <w:rFonts w:ascii="Arial" w:hAnsi="Arial" w:cs="Arial"/>
          <w:sz w:val="24"/>
          <w:szCs w:val="24"/>
          <w:lang w:val="en-US"/>
        </w:rPr>
        <w:t>stakeholders</w:t>
      </w:r>
      <w:r w:rsidRPr="00E53D09">
        <w:rPr>
          <w:rFonts w:ascii="Arial" w:hAnsi="Arial" w:cs="Arial"/>
          <w:sz w:val="24"/>
          <w:szCs w:val="24"/>
          <w:lang w:val="en-US"/>
        </w:rPr>
        <w:t xml:space="preserve"> and is the method by which the shifting needs of society are tracked, and focus is directed to meeting these needs. </w:t>
      </w:r>
      <w:r w:rsidRPr="00E53D09">
        <w:rPr>
          <w:rFonts w:ascii="Arial" w:hAnsi="Arial" w:cs="Arial"/>
          <w:sz w:val="24"/>
          <w:szCs w:val="24"/>
        </w:rPr>
        <w:t xml:space="preserve">Quirk focuses on </w:t>
      </w:r>
      <w:r>
        <w:rPr>
          <w:rFonts w:ascii="Arial" w:hAnsi="Arial" w:cs="Arial"/>
          <w:sz w:val="24"/>
          <w:szCs w:val="24"/>
        </w:rPr>
        <w:t xml:space="preserve">the needs of stakeholders being </w:t>
      </w:r>
      <w:r w:rsidRPr="00E53D09">
        <w:rPr>
          <w:rFonts w:ascii="Arial" w:hAnsi="Arial" w:cs="Arial"/>
          <w:sz w:val="24"/>
          <w:szCs w:val="24"/>
        </w:rPr>
        <w:t>at the heart</w:t>
      </w:r>
      <w:r>
        <w:rPr>
          <w:rFonts w:ascii="Arial" w:hAnsi="Arial" w:cs="Arial"/>
          <w:sz w:val="24"/>
          <w:szCs w:val="24"/>
        </w:rPr>
        <w:t xml:space="preserve"> of </w:t>
      </w:r>
      <w:r w:rsidRPr="00E53D09">
        <w:rPr>
          <w:rFonts w:ascii="Arial" w:hAnsi="Arial" w:cs="Arial"/>
          <w:sz w:val="24"/>
          <w:szCs w:val="24"/>
        </w:rPr>
        <w:t>governance</w:t>
      </w:r>
      <w:r>
        <w:rPr>
          <w:rFonts w:ascii="Arial" w:hAnsi="Arial" w:cs="Arial"/>
          <w:sz w:val="24"/>
          <w:szCs w:val="24"/>
        </w:rPr>
        <w:t>,</w:t>
      </w:r>
      <w:r w:rsidRPr="00E53D09">
        <w:rPr>
          <w:rFonts w:ascii="Arial" w:hAnsi="Arial" w:cs="Arial"/>
          <w:sz w:val="24"/>
          <w:szCs w:val="24"/>
        </w:rPr>
        <w:t xml:space="preserve"> “</w:t>
      </w:r>
      <w:proofErr w:type="spellStart"/>
      <w:r w:rsidRPr="00E53D09">
        <w:rPr>
          <w:rFonts w:ascii="Arial" w:hAnsi="Arial" w:cs="Arial"/>
          <w:sz w:val="24"/>
          <w:szCs w:val="24"/>
        </w:rPr>
        <w:t>salus</w:t>
      </w:r>
      <w:proofErr w:type="spellEnd"/>
      <w:r w:rsidRPr="00E53D09">
        <w:rPr>
          <w:rFonts w:ascii="Arial" w:hAnsi="Arial" w:cs="Arial"/>
          <w:sz w:val="24"/>
          <w:szCs w:val="24"/>
        </w:rPr>
        <w:t xml:space="preserve"> papule suprema lex </w:t>
      </w:r>
      <w:proofErr w:type="spellStart"/>
      <w:r w:rsidRPr="00E53D09">
        <w:rPr>
          <w:rFonts w:ascii="Arial" w:hAnsi="Arial" w:cs="Arial"/>
          <w:sz w:val="24"/>
          <w:szCs w:val="24"/>
        </w:rPr>
        <w:t>esta</w:t>
      </w:r>
      <w:proofErr w:type="spellEnd"/>
      <w:r>
        <w:rPr>
          <w:rFonts w:ascii="Arial" w:hAnsi="Arial" w:cs="Arial"/>
          <w:sz w:val="24"/>
          <w:szCs w:val="24"/>
        </w:rPr>
        <w:t>,</w:t>
      </w:r>
      <w:r w:rsidRPr="00E53D09">
        <w:rPr>
          <w:rFonts w:ascii="Arial" w:hAnsi="Arial" w:cs="Arial"/>
          <w:sz w:val="24"/>
          <w:szCs w:val="24"/>
        </w:rPr>
        <w:t xml:space="preserve"> holding the welfare of the people above all</w:t>
      </w:r>
      <w:r>
        <w:rPr>
          <w:rFonts w:ascii="Arial" w:hAnsi="Arial" w:cs="Arial"/>
          <w:sz w:val="24"/>
          <w:szCs w:val="24"/>
        </w:rPr>
        <w:t>”</w:t>
      </w:r>
      <w:r w:rsidRPr="00E53D09">
        <w:rPr>
          <w:rFonts w:ascii="Arial" w:hAnsi="Arial" w:cs="Arial"/>
          <w:sz w:val="24"/>
          <w:szCs w:val="24"/>
        </w:rPr>
        <w:t xml:space="preserve"> (2011, p3). </w:t>
      </w:r>
    </w:p>
    <w:p w14:paraId="0AEE7413" w14:textId="056206CB" w:rsidR="00287D52" w:rsidRPr="009B7D6D" w:rsidRDefault="00287D52" w:rsidP="00287D52">
      <w:pPr>
        <w:spacing w:line="480" w:lineRule="auto"/>
        <w:rPr>
          <w:rFonts w:ascii="Arial" w:hAnsi="Arial" w:cs="Arial"/>
          <w:sz w:val="24"/>
          <w:szCs w:val="24"/>
          <w:lang w:val="en-US"/>
        </w:rPr>
      </w:pPr>
      <w:r w:rsidRPr="00A100F6">
        <w:rPr>
          <w:rFonts w:ascii="Arial" w:hAnsi="Arial" w:cs="Arial"/>
          <w:sz w:val="24"/>
          <w:szCs w:val="24"/>
        </w:rPr>
        <w:t xml:space="preserve">Modern democratic society has its genesis in ancient Greek culture and the self-governing assemblies. </w:t>
      </w:r>
      <w:r>
        <w:rPr>
          <w:rFonts w:ascii="Arial" w:hAnsi="Arial" w:cs="Arial"/>
          <w:sz w:val="24"/>
          <w:szCs w:val="24"/>
        </w:rPr>
        <w:t>T</w:t>
      </w:r>
      <w:r w:rsidRPr="00A100F6">
        <w:rPr>
          <w:rFonts w:ascii="Arial" w:hAnsi="Arial" w:cs="Arial"/>
          <w:sz w:val="24"/>
          <w:szCs w:val="24"/>
        </w:rPr>
        <w:t>he Romans developed the concept by limiting the powers of governors, “claiming their ‘Republic’ as a ‘public possession’ (</w:t>
      </w:r>
      <w:r w:rsidRPr="00A100F6">
        <w:rPr>
          <w:rFonts w:ascii="Arial" w:hAnsi="Arial" w:cs="Arial"/>
          <w:i/>
          <w:iCs/>
          <w:sz w:val="24"/>
          <w:szCs w:val="24"/>
        </w:rPr>
        <w:t>res publica</w:t>
      </w:r>
      <w:r w:rsidRPr="00A100F6">
        <w:rPr>
          <w:rFonts w:ascii="Arial" w:hAnsi="Arial" w:cs="Arial"/>
          <w:sz w:val="24"/>
          <w:szCs w:val="24"/>
        </w:rPr>
        <w:t>) and introduced the rule of law” (Quirk</w:t>
      </w:r>
      <w:r>
        <w:rPr>
          <w:rFonts w:ascii="Arial" w:hAnsi="Arial" w:cs="Arial"/>
          <w:sz w:val="24"/>
          <w:szCs w:val="24"/>
        </w:rPr>
        <w:t>,</w:t>
      </w:r>
      <w:r w:rsidRPr="00A100F6">
        <w:rPr>
          <w:rFonts w:ascii="Arial" w:hAnsi="Arial" w:cs="Arial"/>
          <w:sz w:val="24"/>
          <w:szCs w:val="24"/>
        </w:rPr>
        <w:t xml:space="preserve"> 2011, p3). </w:t>
      </w:r>
      <w:r>
        <w:rPr>
          <w:rFonts w:ascii="Arial" w:hAnsi="Arial" w:cs="Arial"/>
          <w:sz w:val="24"/>
          <w:szCs w:val="24"/>
        </w:rPr>
        <w:t>In Britain, t</w:t>
      </w:r>
      <w:r w:rsidRPr="00281BF7">
        <w:rPr>
          <w:rFonts w:ascii="Arial" w:hAnsi="Arial" w:cs="Arial"/>
          <w:sz w:val="24"/>
          <w:szCs w:val="24"/>
        </w:rPr>
        <w:t xml:space="preserve">he Reform Act of 1832 </w:t>
      </w:r>
      <w:r>
        <w:rPr>
          <w:rFonts w:ascii="Arial" w:hAnsi="Arial" w:cs="Arial"/>
          <w:sz w:val="24"/>
          <w:szCs w:val="24"/>
        </w:rPr>
        <w:t>heralded the beginning of a change in parliamentary democracy, with suffrage being extended to a limited 7% of the adult population (National Archives). The extension of the parliamentary vote was not completed until further Acts were inaugurated, culminating in the 1928 Equal Franchise Act, when women were finally included (UK Parliament). Notably in Wales, people as young as 16 and 17 can vote in local elections. (Welsh Government).</w:t>
      </w:r>
      <w:bookmarkEnd w:id="0"/>
    </w:p>
    <w:p w14:paraId="276ACC35" w14:textId="25C3656E"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Governance is a challenging business of interaction between state and social actors through an array of structures and processes that can differ between organisations. </w:t>
      </w:r>
      <w:r w:rsidRPr="00287D52">
        <w:rPr>
          <w:rFonts w:ascii="Arial" w:hAnsi="Arial" w:cs="Arial"/>
          <w:sz w:val="24"/>
          <w:szCs w:val="24"/>
        </w:rPr>
        <w:lastRenderedPageBreak/>
        <w:t xml:space="preserve">This is best achieved through decentralisation and engaging citizens, ensuring accountability, transparency and responsiveness (Pratchett 2004).  </w:t>
      </w:r>
    </w:p>
    <w:p w14:paraId="4728E1C6" w14:textId="40BDF032"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Good governance, therefore, essentially features effective partnering by government and organisations with all stakeholders. The approaches utilised to facilitate governance, according to academic publications, should meet society’s needs in the broadest context, giving a voice not only to those occupying positions of high-ranking influence but to those at the margins of society who traditionally have very little power, such as young people. </w:t>
      </w:r>
    </w:p>
    <w:p w14:paraId="066A3E94" w14:textId="18B9EA23"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This paper intends to explore how governance in policing has evolved since its inception</w:t>
      </w:r>
      <w:r w:rsidR="006F0B54">
        <w:rPr>
          <w:rFonts w:ascii="Arial" w:hAnsi="Arial" w:cs="Arial"/>
          <w:sz w:val="24"/>
          <w:szCs w:val="24"/>
        </w:rPr>
        <w:t xml:space="preserve"> in the UK</w:t>
      </w:r>
      <w:r w:rsidRPr="00287D52">
        <w:rPr>
          <w:rFonts w:ascii="Arial" w:hAnsi="Arial" w:cs="Arial"/>
          <w:sz w:val="24"/>
          <w:szCs w:val="24"/>
        </w:rPr>
        <w:t xml:space="preserve">, and how the governing systems or structures that exist to link and serve all stakeholders operate within controls to ensure that accountability, transparency, responsiveness, </w:t>
      </w:r>
      <w:bookmarkStart w:id="2" w:name="_Hlk120533222"/>
      <w:r w:rsidRPr="00287D52">
        <w:rPr>
          <w:rFonts w:ascii="Arial" w:hAnsi="Arial" w:cs="Arial"/>
          <w:sz w:val="24"/>
          <w:szCs w:val="24"/>
        </w:rPr>
        <w:t xml:space="preserve">equity and inclusiveness, empowerment and broad-based participation are achieved or not. </w:t>
      </w:r>
      <w:bookmarkEnd w:id="2"/>
    </w:p>
    <w:p w14:paraId="34EF587B" w14:textId="055F9E08"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Policing in the eighteenth century was largely a local concern, with paid watchmen or constables patrolling the streets at night from the 1730s. This early form of policing had its roots in local communities; however, it relied on local watchmen undertaking a low-paid role with no special training. The role controversially required them to report on those they lived alongside in their communities (UK parliament). With such a lack of formal structure and governance, its operational effectiveness was negligible. Before the shift to a more centralised approach to policing with Robert Peel, the Bow Street Runners were established by Henry Fielding in 1749. Although this was a more successful approach to policing due to training and better funding, it was very London-centric and was yet to have a wider impact in the UK (UK Parliament). Emsley (2007) described the introduction of Peel’s Metropolitan Police </w:t>
      </w:r>
      <w:r w:rsidRPr="00287D52">
        <w:rPr>
          <w:rFonts w:ascii="Arial" w:hAnsi="Arial" w:cs="Arial"/>
          <w:sz w:val="24"/>
          <w:szCs w:val="24"/>
        </w:rPr>
        <w:lastRenderedPageBreak/>
        <w:t xml:space="preserve">as being the first centralised body for policing, and although better in structure and training, it had no links to local government. Police commanders were responsible directly to the home secretary (HS). Ironically, this central governance approach was at odds with the </w:t>
      </w:r>
      <w:proofErr w:type="spellStart"/>
      <w:r w:rsidRPr="00287D52">
        <w:rPr>
          <w:rFonts w:ascii="Arial" w:hAnsi="Arial" w:cs="Arial"/>
          <w:sz w:val="24"/>
          <w:szCs w:val="24"/>
        </w:rPr>
        <w:t>Peelian</w:t>
      </w:r>
      <w:proofErr w:type="spellEnd"/>
      <w:r w:rsidRPr="00287D52">
        <w:rPr>
          <w:rFonts w:ascii="Arial" w:hAnsi="Arial" w:cs="Arial"/>
          <w:sz w:val="24"/>
          <w:szCs w:val="24"/>
        </w:rPr>
        <w:t xml:space="preserve"> principle of policing by consent attributed to the 1829 Metropolitan Police Act, which is essentially about engagement with local communities, dealing with the daily issues that concern people, whilst earning their respect and assistance with preventing crime. Therefore, an incongruity existed from the outset between the mechanism for accountability, which resided centrally with the HS, and the challenge of engaging the consent and cooperation of local communities, who had little influence over their police service. </w:t>
      </w:r>
    </w:p>
    <w:p w14:paraId="5D2240AC" w14:textId="01FA3099"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Jones and Lister (2019) speak</w:t>
      </w:r>
      <w:r w:rsidRPr="00287D52">
        <w:rPr>
          <w:rFonts w:ascii="Arial" w:hAnsi="Arial" w:cs="Arial"/>
          <w:sz w:val="24"/>
          <w:szCs w:val="24"/>
        </w:rPr>
        <w:t xml:space="preserve"> </w:t>
      </w:r>
      <w:r w:rsidRPr="00287D52">
        <w:rPr>
          <w:rFonts w:ascii="Arial" w:hAnsi="Arial" w:cs="Arial"/>
          <w:sz w:val="24"/>
          <w:szCs w:val="24"/>
        </w:rPr>
        <w:t>about the further development of this centralised approach as established under the ‘tripartite structure’ of police governance, founded by the 1964 Police Act. This governance structure included, in addition to the HS, the Police Authority and Chief Constable (CC). According to Jones (1994), the HS had significant formal legal powers that constrained those of the other parties in the governance framework. From the 1980s forwards, the Home Office (HO) resolutely increased its grip over policing, dictating direction in policing through frequent policy circulars</w:t>
      </w:r>
      <w:r w:rsidR="00587976">
        <w:rPr>
          <w:rFonts w:ascii="Arial" w:hAnsi="Arial" w:cs="Arial"/>
          <w:sz w:val="24"/>
          <w:szCs w:val="24"/>
        </w:rPr>
        <w:t>,</w:t>
      </w:r>
      <w:r w:rsidRPr="00287D52">
        <w:rPr>
          <w:rFonts w:ascii="Arial" w:hAnsi="Arial" w:cs="Arial"/>
          <w:sz w:val="24"/>
          <w:szCs w:val="24"/>
        </w:rPr>
        <w:t xml:space="preserve"> whilst tightening controls over senior police appointments and progressively more centralised target-driven performance management (Savage, 2007). </w:t>
      </w:r>
    </w:p>
    <w:p w14:paraId="5DE2F7DD" w14:textId="15451670" w:rsidR="00287D52" w:rsidRPr="00287D52" w:rsidRDefault="00287D52" w:rsidP="00287D52">
      <w:pPr>
        <w:spacing w:line="480" w:lineRule="auto"/>
        <w:rPr>
          <w:rFonts w:ascii="Arial" w:hAnsi="Arial" w:cs="Arial"/>
          <w:b/>
          <w:bCs/>
          <w:sz w:val="24"/>
          <w:szCs w:val="24"/>
        </w:rPr>
      </w:pPr>
      <w:r w:rsidRPr="00287D52">
        <w:rPr>
          <w:rFonts w:ascii="Arial" w:hAnsi="Arial" w:cs="Arial"/>
          <w:sz w:val="24"/>
          <w:szCs w:val="24"/>
        </w:rPr>
        <w:t xml:space="preserve">By the mid-2000s, the HO had overseen a ‘National Policing Plan’, including national objectives, priorities and targets for police, with a Police Standards Unit to oversee the performance of local forces and intervene where a force was deemed to be ‘failing’ (Jones and Lister, 2019). </w:t>
      </w:r>
      <w:bookmarkStart w:id="3" w:name="a39"/>
      <w:r w:rsidRPr="00287D52">
        <w:rPr>
          <w:rFonts w:ascii="Arial" w:hAnsi="Arial" w:cs="Arial"/>
          <w:sz w:val="24"/>
          <w:szCs w:val="24"/>
        </w:rPr>
        <w:t xml:space="preserve">The HS is accountable to parliament for, amongst other things, the national role the police play in delivering a response to issues that </w:t>
      </w:r>
      <w:r w:rsidRPr="00287D52">
        <w:rPr>
          <w:rFonts w:ascii="Arial" w:hAnsi="Arial" w:cs="Arial"/>
          <w:sz w:val="24"/>
          <w:szCs w:val="24"/>
        </w:rPr>
        <w:lastRenderedPageBreak/>
        <w:t>arise. They have a duty to issue a Strategic Policing Requirement that sets out what are, in their</w:t>
      </w:r>
      <w:r w:rsidRPr="00287D52">
        <w:rPr>
          <w:rFonts w:ascii="Arial" w:hAnsi="Arial" w:cs="Arial"/>
          <w:sz w:val="24"/>
          <w:szCs w:val="24"/>
        </w:rPr>
        <w:t xml:space="preserve"> </w:t>
      </w:r>
      <w:r w:rsidRPr="00287D52">
        <w:rPr>
          <w:rFonts w:ascii="Arial" w:hAnsi="Arial" w:cs="Arial"/>
          <w:sz w:val="24"/>
          <w:szCs w:val="24"/>
        </w:rPr>
        <w:t xml:space="preserve">view, the national threats at the time and the appropriate national policing capabilities required to counter them. This is a wholly political role and not independent. The politics of the HS may well, therefore, be an influencing factor of policy, and before 2012, the HO was criticised for being too involved with the delivery of local policing. Recommendations by Flanagan (2008) drew attention to this imbalance in the tripartite structure that at this time paid little attention to the role of partners and the need for forces to have some accountability to these and other bodies. Over half of the public felt they had no influence over the police, and little say in decisions around policing. </w:t>
      </w:r>
    </w:p>
    <w:p w14:paraId="674BCE9F" w14:textId="1F528F98"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Further important diversification in governance occurred from the late 1990s with the emergence of several other ‘governing authorities’ below national level, including Community Safety Partnerships in local areas following the 1998 Crime and Disorder Act and, later, Neighbourhood Policing in the 2000s (Jones and Lister, 2019). After New Labour’s 1997 General Election victory came major constitutional reforms resulting in significant shifts in governing through devolution in Wales, Scotland and Ireland (Constitution Unit). </w:t>
      </w:r>
      <w:r w:rsidRPr="00287D52">
        <w:rPr>
          <w:rFonts w:ascii="Arial" w:hAnsi="Arial" w:cs="Arial"/>
        </w:rPr>
        <w:t xml:space="preserve">Welsh Government </w:t>
      </w:r>
      <w:r w:rsidR="00587976">
        <w:rPr>
          <w:rFonts w:ascii="Arial" w:hAnsi="Arial" w:cs="Arial"/>
        </w:rPr>
        <w:t xml:space="preserve">(WG) </w:t>
      </w:r>
      <w:r w:rsidRPr="00287D52">
        <w:rPr>
          <w:rFonts w:ascii="Arial" w:hAnsi="Arial" w:cs="Arial"/>
        </w:rPr>
        <w:t>does not directly govern policing in Wales as it does education. It does, however, drive policies by which all organisations in Wales must be accountable</w:t>
      </w:r>
      <w:r w:rsidRPr="00287D52">
        <w:rPr>
          <w:rFonts w:ascii="Arial" w:hAnsi="Arial" w:cs="Arial"/>
          <w:sz w:val="24"/>
          <w:szCs w:val="24"/>
        </w:rPr>
        <w:t xml:space="preserve">, such as the Well-being of Future Generations Act (2015), which exists to stitch national goals and community aspirations together through the development of sustainable actions. </w:t>
      </w:r>
    </w:p>
    <w:p w14:paraId="624294D5" w14:textId="79B3FE81"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Under the Police Reform and Social Responsibility Act </w:t>
      </w:r>
      <w:bookmarkEnd w:id="3"/>
      <w:r w:rsidRPr="00287D52">
        <w:rPr>
          <w:rFonts w:ascii="Arial" w:hAnsi="Arial" w:cs="Arial"/>
          <w:sz w:val="24"/>
          <w:szCs w:val="24"/>
        </w:rPr>
        <w:t xml:space="preserve">2011, the Police and Crime Commissioner (PCC) became democratically elected to be the voice of the people and hold the CC and their force to account for operational policing, making the police answerable to the communities they serve. Under this Act, PCCs aim to cut crime </w:t>
      </w:r>
      <w:r w:rsidRPr="00287D52">
        <w:rPr>
          <w:rFonts w:ascii="Arial" w:hAnsi="Arial" w:cs="Arial"/>
          <w:sz w:val="24"/>
          <w:szCs w:val="24"/>
        </w:rPr>
        <w:lastRenderedPageBreak/>
        <w:t>and deliver an effective and efficient police service within their force area. The needs of the community come first, which they prioritise, working in partnership across a wide range of agencies at local and national level</w:t>
      </w:r>
      <w:r w:rsidR="00587976">
        <w:rPr>
          <w:rFonts w:ascii="Arial" w:hAnsi="Arial" w:cs="Arial"/>
          <w:sz w:val="24"/>
          <w:szCs w:val="24"/>
        </w:rPr>
        <w:t>,</w:t>
      </w:r>
      <w:r w:rsidRPr="00287D52">
        <w:rPr>
          <w:rFonts w:ascii="Arial" w:hAnsi="Arial" w:cs="Arial"/>
          <w:sz w:val="24"/>
          <w:szCs w:val="24"/>
        </w:rPr>
        <w:t xml:space="preserve"> to ensure there is a unified approach to preventing and reducing crime</w:t>
      </w:r>
      <w:r w:rsidR="00587976">
        <w:rPr>
          <w:rFonts w:ascii="Arial" w:hAnsi="Arial" w:cs="Arial"/>
          <w:sz w:val="24"/>
          <w:szCs w:val="24"/>
        </w:rPr>
        <w:t>,</w:t>
      </w:r>
      <w:r w:rsidRPr="00287D52">
        <w:rPr>
          <w:rFonts w:ascii="Arial" w:hAnsi="Arial" w:cs="Arial"/>
          <w:sz w:val="24"/>
          <w:szCs w:val="24"/>
        </w:rPr>
        <w:t xml:space="preserve"> whilst improving local relationships through building confidence and trust. This is a steer away from the more centralised approach of governance to a more regional approach, although the PCC is still directly accountable to the HS. </w:t>
      </w:r>
    </w:p>
    <w:p w14:paraId="2F549EE0"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In contrast to the role of the PCC, the College of Policing describes the CC as owning the weighty position of Corporation Sole. The CC is responsible for fulfilling all statutory and legal obligations of their office and complying with any Schemes of Governance or consent that exist which determine force governance arrangements. The CC is responsible for influencing the development of regional and national policing and may be accountable for national operations or standard setting.</w:t>
      </w:r>
      <w:r w:rsidRPr="00287D52">
        <w:rPr>
          <w:rFonts w:ascii="Arial" w:hAnsi="Arial" w:cs="Arial"/>
          <w:color w:val="000000"/>
          <w:sz w:val="24"/>
          <w:szCs w:val="24"/>
          <w:shd w:val="clear" w:color="auto" w:fill="FFFFF6"/>
        </w:rPr>
        <w:t xml:space="preserve"> </w:t>
      </w:r>
      <w:r w:rsidRPr="00287D52">
        <w:rPr>
          <w:rFonts w:ascii="Arial" w:hAnsi="Arial" w:cs="Arial"/>
          <w:sz w:val="24"/>
          <w:szCs w:val="24"/>
        </w:rPr>
        <w:t xml:space="preserve">The CC is directly accountable for the operational delivery of policing services and the effective command and leadership of the policing response to crime, and major and critical incidents. Overall responsibility for leading the force, creating a vision and setting direction and culture that builds public and organisational confidence and trust, and enables the delivery of a professional, effective and efficient policing service is the requirement of the CC. The CC faces the challenge of scrutiny on a national and regional basis. </w:t>
      </w:r>
    </w:p>
    <w:p w14:paraId="5C5FB5A4" w14:textId="38FFE1BD"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Other agencies that provide guidance and oversight in policing include the Independent Office for Police Conduct (IOPC). Through the IOPC, police complaints are investigated, and a decision is made whether a police constable has a case or not to answer for their conduct, whether disciplinary measures should be </w:t>
      </w:r>
      <w:r w:rsidR="00587976" w:rsidRPr="00287D52">
        <w:rPr>
          <w:rFonts w:ascii="Arial" w:hAnsi="Arial" w:cs="Arial"/>
          <w:sz w:val="24"/>
          <w:szCs w:val="24"/>
        </w:rPr>
        <w:t>instigated,</w:t>
      </w:r>
      <w:r w:rsidRPr="00287D52">
        <w:rPr>
          <w:rFonts w:ascii="Arial" w:hAnsi="Arial" w:cs="Arial"/>
          <w:sz w:val="24"/>
          <w:szCs w:val="24"/>
        </w:rPr>
        <w:t xml:space="preserve"> or evidence supplied to the Crown Prosecution Service.</w:t>
      </w:r>
    </w:p>
    <w:p w14:paraId="5EC82C3E"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lastRenderedPageBreak/>
        <w:t>Legally mandated by the Police Act 1996 to report on the efficiency and effectiveness of the police, Her Majesty’s Inspectorate for Constabulary and Fire and Rescue Services also offers valuable independent assessment in the interest of the public. According to Savage (2007), the Inspectorate functions similarly to a ‘police regulator’ minus direct powers to interfere or control. Information is made available in the public sphere regarding how a force is performing compared to others. It makes recommendations to forces to offer guidance for improvements or recognise and celebrate good practice.</w:t>
      </w:r>
    </w:p>
    <w:p w14:paraId="4056344B"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2012 was a significant year for change in policing in England and Wales. In addition to the introduction of PCCs, it saw the launch of the College of Policing, which replaced the National Policing Improvement Agency. Established by the HO, it operates independently with a focus on further professionalising policing standards, skills and capabilities through evidence-based approaches, providing a platform for enhancing connections for those working in police and law enforcement. Importantly in early 2014, the UK Government, via the College of Policing,</w:t>
      </w:r>
      <w:r w:rsidRPr="00287D52">
        <w:t xml:space="preserve"> </w:t>
      </w:r>
      <w:r w:rsidRPr="00287D52">
        <w:rPr>
          <w:rFonts w:ascii="Arial" w:hAnsi="Arial" w:cs="Arial"/>
          <w:sz w:val="24"/>
          <w:szCs w:val="24"/>
        </w:rPr>
        <w:t>published the Code of Ethics, an extensive list of rules and regulations. These ten standards provide clear expectations for police conduct and parameters for accountability purposes.</w:t>
      </w:r>
    </w:p>
    <w:p w14:paraId="4620FF0E" w14:textId="25F0D3B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With governance in policing being of such a broad and complex nature, this paper intends to focus on one key mechanism for governance in policing. As the introduction of the PCC is the most significant</w:t>
      </w:r>
      <w:r w:rsidR="005D36B6">
        <w:rPr>
          <w:rFonts w:ascii="Arial" w:hAnsi="Arial" w:cs="Arial"/>
          <w:sz w:val="24"/>
          <w:szCs w:val="24"/>
        </w:rPr>
        <w:t xml:space="preserve"> </w:t>
      </w:r>
      <w:r w:rsidR="00ED5645" w:rsidRPr="00287D52">
        <w:rPr>
          <w:rFonts w:ascii="Arial" w:hAnsi="Arial" w:cs="Arial"/>
          <w:sz w:val="24"/>
          <w:szCs w:val="24"/>
        </w:rPr>
        <w:t xml:space="preserve">structural </w:t>
      </w:r>
      <w:r w:rsidR="005D36B6">
        <w:rPr>
          <w:rFonts w:ascii="Arial" w:hAnsi="Arial" w:cs="Arial"/>
          <w:sz w:val="24"/>
          <w:szCs w:val="24"/>
        </w:rPr>
        <w:t>and important</w:t>
      </w:r>
      <w:r w:rsidRPr="00287D52">
        <w:rPr>
          <w:rFonts w:ascii="Arial" w:hAnsi="Arial" w:cs="Arial"/>
          <w:sz w:val="24"/>
          <w:szCs w:val="24"/>
        </w:rPr>
        <w:t xml:space="preserve"> reform in policing governance for decades (Jones et al., 2012; Reiner, 2013; and Lister, 2013), it is worth considering more closely. The PCC, on behalf of the public, provides a steer towards localism in police governance, under the scrutiny of the Police and Crime Panel, which provides a range of checks and balances to assist and support the PCC in the role. </w:t>
      </w:r>
      <w:r w:rsidR="00C57EA7">
        <w:rPr>
          <w:rFonts w:ascii="Arial" w:hAnsi="Arial" w:cs="Arial"/>
          <w:sz w:val="24"/>
          <w:szCs w:val="24"/>
        </w:rPr>
        <w:t>Notably</w:t>
      </w:r>
      <w:r w:rsidR="00A63618">
        <w:rPr>
          <w:rFonts w:ascii="Arial" w:hAnsi="Arial" w:cs="Arial"/>
          <w:sz w:val="24"/>
          <w:szCs w:val="24"/>
        </w:rPr>
        <w:t>, l</w:t>
      </w:r>
      <w:r w:rsidR="00F76184" w:rsidRPr="00287D52">
        <w:rPr>
          <w:rFonts w:ascii="Arial" w:hAnsi="Arial" w:cs="Arial"/>
          <w:sz w:val="24"/>
          <w:szCs w:val="24"/>
        </w:rPr>
        <w:t xml:space="preserve">ocalism promotes the intrinsic rights of local </w:t>
      </w:r>
      <w:r w:rsidR="00F76184" w:rsidRPr="00287D52">
        <w:rPr>
          <w:rFonts w:ascii="Arial" w:hAnsi="Arial" w:cs="Arial"/>
          <w:sz w:val="24"/>
          <w:szCs w:val="24"/>
        </w:rPr>
        <w:lastRenderedPageBreak/>
        <w:t>communities, whereas centralism favours the concentration of power with National authority (</w:t>
      </w:r>
      <w:proofErr w:type="spellStart"/>
      <w:r w:rsidR="00F76184" w:rsidRPr="00287D52">
        <w:rPr>
          <w:rFonts w:ascii="Arial" w:hAnsi="Arial" w:cs="Arial"/>
          <w:sz w:val="24"/>
          <w:szCs w:val="24"/>
        </w:rPr>
        <w:t>Beeri</w:t>
      </w:r>
      <w:proofErr w:type="spellEnd"/>
      <w:r w:rsidR="00F76184" w:rsidRPr="00287D52">
        <w:rPr>
          <w:rFonts w:ascii="Arial" w:hAnsi="Arial" w:cs="Arial"/>
          <w:sz w:val="24"/>
          <w:szCs w:val="24"/>
        </w:rPr>
        <w:t xml:space="preserve"> and Yuval, 2004).</w:t>
      </w:r>
    </w:p>
    <w:p w14:paraId="7894D30C" w14:textId="7402F6D6" w:rsidR="00F76184" w:rsidRPr="00287D52" w:rsidRDefault="00287D52" w:rsidP="00F76184">
      <w:pPr>
        <w:spacing w:line="480" w:lineRule="auto"/>
        <w:rPr>
          <w:rFonts w:ascii="Arial" w:hAnsi="Arial" w:cs="Arial"/>
          <w:sz w:val="24"/>
          <w:szCs w:val="24"/>
        </w:rPr>
      </w:pPr>
      <w:r w:rsidRPr="00287D52">
        <w:rPr>
          <w:rFonts w:ascii="Arial" w:hAnsi="Arial" w:cs="Arial"/>
          <w:sz w:val="24"/>
          <w:szCs w:val="24"/>
        </w:rPr>
        <w:t>Loveday (2018, p29) described this shift</w:t>
      </w:r>
      <w:r w:rsidR="0039144C">
        <w:rPr>
          <w:rFonts w:ascii="Arial" w:hAnsi="Arial" w:cs="Arial"/>
          <w:sz w:val="24"/>
          <w:szCs w:val="24"/>
        </w:rPr>
        <w:t xml:space="preserve"> from central to regional governance in policing</w:t>
      </w:r>
      <w:r w:rsidRPr="00287D52">
        <w:rPr>
          <w:rFonts w:ascii="Arial" w:hAnsi="Arial" w:cs="Arial"/>
          <w:sz w:val="24"/>
          <w:szCs w:val="24"/>
        </w:rPr>
        <w:t xml:space="preserve"> as “being a new model of principal-agent relationship, in which the Commissioner, as principal, holds the Chief Constable [as agent] to account”. HM Treasury (2010) described a shift to localism as a policy solution to the perceived problems of power being concentrated in ‘the centre’, generating inefficiencies in the local delivery of public services, which were evidenced by disparities and a lack of local solutions and a democratic deficit resulting from the divide between government and citizens. </w:t>
      </w:r>
    </w:p>
    <w:p w14:paraId="7AE5A5CE" w14:textId="0364F894"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However, the Commission on the Future of Localism (2017) reports that the ‘fundamental shift of power</w:t>
      </w:r>
      <w:r w:rsidR="00720676">
        <w:rPr>
          <w:rFonts w:ascii="Arial" w:hAnsi="Arial" w:cs="Arial"/>
          <w:sz w:val="24"/>
          <w:szCs w:val="24"/>
        </w:rPr>
        <w:t>’</w:t>
      </w:r>
      <w:r w:rsidRPr="00287D52">
        <w:rPr>
          <w:rFonts w:ascii="Arial" w:hAnsi="Arial" w:cs="Arial"/>
          <w:sz w:val="24"/>
          <w:szCs w:val="24"/>
        </w:rPr>
        <w:t xml:space="preserve"> promised by The Localism Act 2011 has not yet been achieved. The commission could not be stronger in its assertion that a significant change must take place in devolving power, resources and control in a tangible way that shores up community participation, resulting in cultural shifts that allow local communities to thrive. The Silk Commission (2014, p9) recommended that “policing and related areas of community safety and crime prevention should be devolved”. However, devolution in Wales is not an event but a journey and one in which devolving policing to the Senedd will require some monumental steps to be undertaken and consideration given to the potential creation of one Welsh force from the current four. </w:t>
      </w:r>
      <w:r w:rsidR="00F74936">
        <w:rPr>
          <w:rFonts w:ascii="Arial" w:hAnsi="Arial" w:cs="Arial"/>
          <w:sz w:val="24"/>
          <w:szCs w:val="24"/>
        </w:rPr>
        <w:t>However, the idea of one PCC</w:t>
      </w:r>
      <w:r w:rsidR="00484B3E">
        <w:rPr>
          <w:rFonts w:ascii="Arial" w:hAnsi="Arial" w:cs="Arial"/>
          <w:sz w:val="24"/>
          <w:szCs w:val="24"/>
        </w:rPr>
        <w:t xml:space="preserve"> to effect governance across Wales </w:t>
      </w:r>
      <w:r w:rsidRPr="00287D52">
        <w:rPr>
          <w:rFonts w:ascii="Arial" w:hAnsi="Arial" w:cs="Arial"/>
          <w:sz w:val="24"/>
          <w:szCs w:val="24"/>
        </w:rPr>
        <w:t xml:space="preserve">is </w:t>
      </w:r>
      <w:r w:rsidR="00837847">
        <w:rPr>
          <w:rFonts w:ascii="Arial" w:hAnsi="Arial" w:cs="Arial"/>
          <w:sz w:val="24"/>
          <w:szCs w:val="24"/>
        </w:rPr>
        <w:t xml:space="preserve">unpopular and </w:t>
      </w:r>
      <w:r w:rsidRPr="00287D52">
        <w:rPr>
          <w:rFonts w:ascii="Arial" w:hAnsi="Arial" w:cs="Arial"/>
          <w:sz w:val="24"/>
          <w:szCs w:val="24"/>
        </w:rPr>
        <w:t>vehemently opposed by PCC Alun Michael (BBC News, 25</w:t>
      </w:r>
      <w:r w:rsidRPr="00287D52">
        <w:rPr>
          <w:rFonts w:ascii="Arial" w:hAnsi="Arial" w:cs="Arial"/>
          <w:sz w:val="24"/>
          <w:szCs w:val="24"/>
          <w:vertAlign w:val="superscript"/>
        </w:rPr>
        <w:t>th</w:t>
      </w:r>
      <w:r w:rsidRPr="00287D52">
        <w:rPr>
          <w:rFonts w:ascii="Arial" w:hAnsi="Arial" w:cs="Arial"/>
          <w:sz w:val="24"/>
          <w:szCs w:val="24"/>
        </w:rPr>
        <w:t xml:space="preserve"> November 2013). In reality, devolution in Wales may not transpire without a change of government at Westminster. (Labour Party, 2022).</w:t>
      </w:r>
    </w:p>
    <w:p w14:paraId="5716DB5A"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lastRenderedPageBreak/>
        <w:t>The remainder of this paper will focus on the effectiveness of the PCC in engaging communities, identifying the key enablers and barriers to progressing more effective localised governance of operational policing, and suggesting new approaches, where appropriate, to how the PCC engages with harder-to-reach members of the community, such as young people.</w:t>
      </w:r>
    </w:p>
    <w:p w14:paraId="22E9EDEE"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A key enabler for effective policing in England and Wales is legitimacy and consent by the public. Jackson et al. (2012) describe legitimacy as a belief by citizens that an organisation has the right to exist and carry out the roles designated to it, prescribing appropriate behaviour. Power that is perceived as legitimate carries with it a sense of responsibility to obey, based on moral alignment. Legitimacy is “a psychological property of an authority, institution, or social arrangement that leads those connected to it to believe that it is appropriate, proper, and just” (Tyler, 2006, p375). </w:t>
      </w:r>
    </w:p>
    <w:p w14:paraId="03597BF6"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Foundational to policing by consent is the trust between the public and its police forces. Sunshine and Tyler (2003) recognised that people trust the police to exercise their power when the public’s interests are foremostly upheld; it is then they believe the organisation has the moral right to its powers. This need for a symbiotic partnership between the police and its citizens is present in Stakeholder Theory, which identifies who the stakeholders are in relation to an organisation. Mitchell et al. (1997) asserted that stakeholders fit into three categories based on their power to influence an organisation, the validity of a stakeholder’s relationship with an organisation and the exigency of the stakeholder’s right to make a demand on an organisation. A positive connection between the police and society is foundational to policing by consent (Nick Herbert, 2021). Therefore, as policing is a public service, it is required to listen to and meet the needs of a wide range of people. This is where the role of the PCC is critical, as they work collaboratively in multi-agency </w:t>
      </w:r>
      <w:r w:rsidRPr="00287D52">
        <w:rPr>
          <w:rFonts w:ascii="Arial" w:hAnsi="Arial" w:cs="Arial"/>
          <w:sz w:val="24"/>
          <w:szCs w:val="24"/>
        </w:rPr>
        <w:lastRenderedPageBreak/>
        <w:t>partnerships to engage with the public. Collaborative working is an approach to problem solving where one organisation is unable to resolve an issue alone and incorporates co-labouring with other organisations or groups to achieve mutual outcomes “across boundaries and in multi-sector and multi-actor relationships” (</w:t>
      </w:r>
      <w:proofErr w:type="spellStart"/>
      <w:r w:rsidRPr="00287D52">
        <w:rPr>
          <w:rFonts w:ascii="Arial" w:hAnsi="Arial" w:cs="Arial"/>
          <w:sz w:val="24"/>
          <w:szCs w:val="24"/>
        </w:rPr>
        <w:t>Agranoff</w:t>
      </w:r>
      <w:proofErr w:type="spellEnd"/>
      <w:r w:rsidRPr="00287D52">
        <w:rPr>
          <w:rFonts w:ascii="Arial" w:hAnsi="Arial" w:cs="Arial"/>
          <w:sz w:val="24"/>
          <w:szCs w:val="24"/>
        </w:rPr>
        <w:t xml:space="preserve"> and McGuire, 2003, p4).</w:t>
      </w:r>
    </w:p>
    <w:p w14:paraId="1AF53E32"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Central to reform and modernisation of public services is ‘collaboration’. (Dickinson and Sullivan, 2014). It is the cornerstone of New Public Governance (Osborne, 2006). The PCC is an important conduit for engagement with communities and critical in assisting the police to understand public needs and in turn ensure operational policing is meeting these needs whilst managing expectations. </w:t>
      </w:r>
    </w:p>
    <w:p w14:paraId="4D5FD5FC"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The PCC for Dyfed Powys Dafydd Llewelyn, when speaking about the challenges of engaging communities in 2022, said it was “poor policing communication channels that lead to the belief that the police are not there for communities or creates apathy from the public”. He believes that if apathy is a barrier to engaging with policing, then PCCs must explore solutions to this, such as through social media platforms or in more innovative ways, to ensure the public is more inspired to engage with its PCC and force.</w:t>
      </w:r>
      <w:r w:rsidRPr="00287D52" w:rsidDel="00EB75EC">
        <w:rPr>
          <w:rFonts w:ascii="Arial" w:hAnsi="Arial" w:cs="Arial"/>
          <w:sz w:val="24"/>
          <w:szCs w:val="24"/>
        </w:rPr>
        <w:t xml:space="preserve"> </w:t>
      </w:r>
    </w:p>
    <w:p w14:paraId="70A10BDF"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There are, however, inherent challenges within the PCC’s democratically elected governance system when it comes to how truly representative it is of the public’s needs. The Committee for Standards in Public Life (CSPL) (2015) recorded that the inaugural elections for PCC in 2012 saw a voter turnout of only 15%; this was attributed to timing and holding elections independently of any other local elections. In turn, this cast doubt over the extent and legitimacy of the PCCs’ electoral mandate when, so few voted. According to UK Parliament, the 2021 PCC elections across </w:t>
      </w:r>
      <w:r w:rsidRPr="00287D52">
        <w:rPr>
          <w:rFonts w:ascii="Arial" w:hAnsi="Arial" w:cs="Arial"/>
          <w:sz w:val="24"/>
          <w:szCs w:val="24"/>
        </w:rPr>
        <w:lastRenderedPageBreak/>
        <w:t>England and Wales attracted an average of 33% of the population, with a slightly higher turnout in Wales. Although a vast improvement on 2012, it still meant that a large cohort of the voting population did not engage in this opportunity for choosing PCC representation. The CSPL reported that “68% of people surveyed in 2014 had heard of PCCs, but less than half knew that they are elected to their role and that they are elected by the public” (2015, p.24). Only 40% of under 25s are</w:t>
      </w:r>
      <w:r w:rsidRPr="00287D52">
        <w:rPr>
          <w:rFonts w:ascii="Arial" w:hAnsi="Arial" w:cs="Arial"/>
          <w:sz w:val="24"/>
          <w:szCs w:val="24"/>
        </w:rPr>
        <w:t xml:space="preserve"> </w:t>
      </w:r>
      <w:r w:rsidRPr="00287D52">
        <w:rPr>
          <w:rFonts w:ascii="Arial" w:hAnsi="Arial" w:cs="Arial"/>
          <w:sz w:val="24"/>
          <w:szCs w:val="24"/>
        </w:rPr>
        <w:t xml:space="preserve">aware of the PCC’s role. This calls into question, perhaps, how effective the PCC is at communicating with and engaging younger communities. It is unclear from the literature why people have such limited awareness of the democratic process of electing PCCs, particularly those under the age of 35, and this especially presents a barrier to engagement between PCCs and their younger communities. </w:t>
      </w:r>
    </w:p>
    <w:p w14:paraId="6D51565B"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There is an interesting correlation between the public’s lack of awareness of PCCs and its lack of awareness of Police and Community Together (PACT) meetings, as observed by Bullock and Sindall (2014). Acknowledging the substantial investment in Neighbourhood Policing (NP) across all police services in England and Wales since 2005, they drew upon studies by </w:t>
      </w:r>
      <w:proofErr w:type="spellStart"/>
      <w:r w:rsidRPr="00287D52">
        <w:rPr>
          <w:rFonts w:ascii="Arial" w:hAnsi="Arial" w:cs="Arial"/>
          <w:sz w:val="24"/>
          <w:szCs w:val="24"/>
        </w:rPr>
        <w:t>Grinc</w:t>
      </w:r>
      <w:proofErr w:type="spellEnd"/>
      <w:r w:rsidRPr="00287D52">
        <w:rPr>
          <w:rFonts w:ascii="Arial" w:hAnsi="Arial" w:cs="Arial"/>
          <w:sz w:val="24"/>
          <w:szCs w:val="24"/>
        </w:rPr>
        <w:t xml:space="preserve"> (1994) and Herbert (2006) to evidence that it has been challenging to engage public interest and activity in this mechanism for giving the public a say in how their community is policed. Bullock and Sindall identified that although awareness and knowledge of NP is low, it “is higher among older, white, well-educated population groups, as well as those who own their own homes, are in professional or managerial occupations and those that had been victims of crime in the previous 12 months” (2014, p92). Kitchen et al. (2006) concur with this, noting that in the UK, participation in voluntary activities and civic engagement is considerably greater amongst those with formal qualifications compared with those who have none. </w:t>
      </w:r>
      <w:bookmarkStart w:id="4" w:name="_Hlk121237513"/>
      <w:r w:rsidRPr="00287D52">
        <w:rPr>
          <w:rFonts w:ascii="Arial" w:hAnsi="Arial" w:cs="Arial"/>
          <w:sz w:val="24"/>
          <w:szCs w:val="24"/>
        </w:rPr>
        <w:t>They also noted, unsurprisingly, that “16–29-</w:t>
      </w:r>
      <w:r w:rsidRPr="00287D52">
        <w:rPr>
          <w:rFonts w:ascii="Arial" w:hAnsi="Arial" w:cs="Arial"/>
          <w:sz w:val="24"/>
          <w:szCs w:val="24"/>
        </w:rPr>
        <w:lastRenderedPageBreak/>
        <w:t>year-olds are 57% less likely than those aged 60 years or over to be aware of NP. Additionally, this age group is 29% less likely to proactively contact local police, compared to those aged 60 years or older (Bullock and Sindall, 2014, p394).</w:t>
      </w:r>
      <w:bookmarkEnd w:id="4"/>
      <w:r w:rsidRPr="00287D52">
        <w:rPr>
          <w:rFonts w:ascii="Arial" w:hAnsi="Arial" w:cs="Arial"/>
          <w:sz w:val="24"/>
          <w:szCs w:val="24"/>
        </w:rPr>
        <w:t xml:space="preserve"> Education has a positive effect on civic</w:t>
      </w:r>
      <w:r w:rsidRPr="00287D52">
        <w:rPr>
          <w:rFonts w:ascii="Arial" w:hAnsi="Arial" w:cs="Arial"/>
          <w:sz w:val="24"/>
          <w:szCs w:val="24"/>
        </w:rPr>
        <w:t xml:space="preserve"> </w:t>
      </w:r>
      <w:r w:rsidRPr="00287D52">
        <w:rPr>
          <w:rFonts w:ascii="Arial" w:hAnsi="Arial" w:cs="Arial"/>
          <w:sz w:val="24"/>
          <w:szCs w:val="24"/>
        </w:rPr>
        <w:t xml:space="preserve">engagement in that it raises awareness of social problems, creates empathy, scaffolds self-confidence and fosters social connection. More invitations also arise for educated people to volunteer because of their social and professional connections (Wilson, 2000). </w:t>
      </w:r>
    </w:p>
    <w:p w14:paraId="646AD412"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Barrett (2017) attested to an alarming crisis in young people’s civic and political engagement, and this worrying trend is putting democracy in jeopardy. However, he went on to clarify this does not mean that young people do not care about issues, but that they are more likely to express their concerns through a single-issue focus or things they feel strongly about, like the environment. Another barrier, therefore, to effective local governance in policing is the tendency of young people to be less engaged in civic activity. This requires radical solutions, which are proposed later.</w:t>
      </w:r>
    </w:p>
    <w:p w14:paraId="7156AFD8"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Bullock and Sindall (2014, p401) questioned whether “the mechanisms of New Localism can stimulate new forms of self-governance as is purported by its advocates”. Engagement with communities in socio-economically deprived areas of high crime and lower educational attainment is essential for localism to succeed. To engage wider representation from the community, policing according to Tyler (2006), consistent with Procedural Justice theories, should promote</w:t>
      </w:r>
      <w:r w:rsidRPr="00287D52">
        <w:rPr>
          <w:rFonts w:ascii="Arial" w:hAnsi="Arial" w:cs="Arial"/>
          <w:sz w:val="24"/>
          <w:szCs w:val="24"/>
        </w:rPr>
        <w:t xml:space="preserve"> </w:t>
      </w:r>
      <w:r w:rsidRPr="00287D52">
        <w:rPr>
          <w:rFonts w:ascii="Arial" w:hAnsi="Arial" w:cs="Arial"/>
          <w:sz w:val="24"/>
          <w:szCs w:val="24"/>
        </w:rPr>
        <w:t>strengthening social bonds between the police and its public, ensuring that officers on an individual basis act with respect and fairness through all their interactions with them.</w:t>
      </w:r>
    </w:p>
    <w:p w14:paraId="25A4F498" w14:textId="27D1BFDF"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Pósch and Jackson (2021) noted that police working in schools with children and young people, to deliver crime prevention and safety messages, engineered positive </w:t>
      </w:r>
      <w:r w:rsidRPr="00287D52">
        <w:rPr>
          <w:rFonts w:ascii="Arial" w:hAnsi="Arial" w:cs="Arial"/>
          <w:sz w:val="24"/>
          <w:szCs w:val="24"/>
        </w:rPr>
        <w:lastRenderedPageBreak/>
        <w:t xml:space="preserve">experiences that created a sense of trust and legitimacy. A successful example of this kind of </w:t>
      </w:r>
      <w:r w:rsidR="000611A5">
        <w:rPr>
          <w:rFonts w:ascii="Arial" w:hAnsi="Arial" w:cs="Arial"/>
          <w:sz w:val="24"/>
          <w:szCs w:val="24"/>
        </w:rPr>
        <w:t>evidence-based policing</w:t>
      </w:r>
      <w:r w:rsidRPr="00287D52">
        <w:rPr>
          <w:rFonts w:ascii="Arial" w:hAnsi="Arial" w:cs="Arial"/>
          <w:sz w:val="24"/>
          <w:szCs w:val="24"/>
        </w:rPr>
        <w:t xml:space="preserve"> undertaken by the PCCs and four forces in Wales is the WG- and PCC-funded Wales Police Schools Programme (WPSP), which provides dedicated Police Schools Officers to all schools in Wales. (See appendix 1). These specially trained officers build relationships with children and young people through regular visits and, wherever possible, decriminalise young people who may break laws in school settings through the use of the School Crime Beat Protocol (</w:t>
      </w:r>
      <w:r w:rsidR="009D228A">
        <w:rPr>
          <w:rFonts w:ascii="Arial" w:hAnsi="Arial" w:cs="Arial"/>
          <w:sz w:val="24"/>
          <w:szCs w:val="24"/>
        </w:rPr>
        <w:t>WPSP, 2021</w:t>
      </w:r>
      <w:r w:rsidRPr="00287D52">
        <w:rPr>
          <w:rFonts w:ascii="Arial" w:hAnsi="Arial" w:cs="Arial"/>
          <w:sz w:val="24"/>
          <w:szCs w:val="24"/>
        </w:rPr>
        <w:t xml:space="preserve">). </w:t>
      </w:r>
    </w:p>
    <w:p w14:paraId="44484043" w14:textId="00E61155"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Forging trust establishes bridges with the public, trust being at once both an enabler and barrier to collaboration between police and communities. There has unfortunately been a general deterioration in public perceptions of trust in the police. 74% of those surveyed by the Annual Ipsos MORI Survey of Trust in Professions, 2016, thought police officers could be trusted to tell the truth, whilst in the most recent Office for National Statistics 2015 Survey, 61% of adults gave positive ratings of local police. However, more recent You Gov polls indicate that this has changed. The headline in their statistics is that since February 2020, when 70% of the public noted that they thought ‘the police were doing well’, now in 2022, only 53% do so, whilst those who say the police are ‘doing a bad job’ has jumped from 15% to 37%. This stark decline in public trust and confidence is not captured elsewhere currently.</w:t>
      </w:r>
    </w:p>
    <w:p w14:paraId="22D62A66" w14:textId="77777777" w:rsidR="00287D52" w:rsidRPr="00287D52" w:rsidRDefault="00287D52" w:rsidP="00287D52">
      <w:pPr>
        <w:spacing w:line="480" w:lineRule="auto"/>
        <w:rPr>
          <w:rFonts w:ascii="Arial" w:hAnsi="Arial" w:cs="Arial"/>
          <w:color w:val="000000"/>
          <w:spacing w:val="3"/>
          <w:sz w:val="24"/>
          <w:szCs w:val="24"/>
        </w:rPr>
      </w:pPr>
      <w:r w:rsidRPr="00287D52">
        <w:rPr>
          <w:rFonts w:ascii="Arial" w:hAnsi="Arial" w:cs="Arial"/>
          <w:sz w:val="24"/>
          <w:szCs w:val="24"/>
        </w:rPr>
        <w:t xml:space="preserve">To understand the public’s view of the police, it is necessary to navigate an array of complex issues that impact perceptions, which are evident in the literature. One contentious area is police visibility and trust. </w:t>
      </w:r>
      <w:hyperlink r:id="rId8" w:anchor="bibr7-1477370818764835" w:history="1">
        <w:r w:rsidRPr="00287D52">
          <w:rPr>
            <w:rFonts w:ascii="Arial" w:hAnsi="Arial" w:cs="Arial"/>
            <w:sz w:val="24"/>
            <w:szCs w:val="24"/>
          </w:rPr>
          <w:t xml:space="preserve">Dalgleish and </w:t>
        </w:r>
        <w:proofErr w:type="spellStart"/>
        <w:r w:rsidRPr="00287D52">
          <w:rPr>
            <w:rFonts w:ascii="Arial" w:hAnsi="Arial" w:cs="Arial"/>
            <w:sz w:val="24"/>
            <w:szCs w:val="24"/>
          </w:rPr>
          <w:t>Myhill</w:t>
        </w:r>
        <w:proofErr w:type="spellEnd"/>
        <w:r w:rsidRPr="00287D52">
          <w:rPr>
            <w:rFonts w:ascii="Arial" w:hAnsi="Arial" w:cs="Arial"/>
            <w:sz w:val="24"/>
            <w:szCs w:val="24"/>
          </w:rPr>
          <w:t xml:space="preserve"> (2004</w:t>
        </w:r>
      </w:hyperlink>
      <w:r w:rsidRPr="00287D52">
        <w:rPr>
          <w:rFonts w:ascii="Arial" w:hAnsi="Arial" w:cs="Arial"/>
          <w:sz w:val="24"/>
          <w:szCs w:val="24"/>
        </w:rPr>
        <w:t>) and </w:t>
      </w:r>
      <w:hyperlink r:id="rId9" w:anchor="bibr36-1477370818764835" w:history="1">
        <w:r w:rsidRPr="00287D52">
          <w:rPr>
            <w:rFonts w:ascii="Arial" w:hAnsi="Arial" w:cs="Arial"/>
            <w:sz w:val="24"/>
            <w:szCs w:val="24"/>
          </w:rPr>
          <w:t xml:space="preserve">Quinton and </w:t>
        </w:r>
        <w:proofErr w:type="spellStart"/>
        <w:r w:rsidRPr="00287D52">
          <w:rPr>
            <w:rFonts w:ascii="Arial" w:hAnsi="Arial" w:cs="Arial"/>
            <w:sz w:val="24"/>
            <w:szCs w:val="24"/>
          </w:rPr>
          <w:t>Tuffin</w:t>
        </w:r>
        <w:proofErr w:type="spellEnd"/>
        <w:r w:rsidRPr="00287D52">
          <w:rPr>
            <w:rFonts w:ascii="Arial" w:hAnsi="Arial" w:cs="Arial"/>
            <w:sz w:val="24"/>
            <w:szCs w:val="24"/>
          </w:rPr>
          <w:t xml:space="preserve"> (2007</w:t>
        </w:r>
      </w:hyperlink>
      <w:r w:rsidRPr="00287D52">
        <w:rPr>
          <w:rFonts w:ascii="Arial" w:hAnsi="Arial" w:cs="Arial"/>
          <w:sz w:val="24"/>
          <w:szCs w:val="24"/>
        </w:rPr>
        <w:t xml:space="preserve">) reported that the public strongly associates visible policing with public trust, as people associate visible patrols with crime reduction. However, Sherman and Eck (2002) and Weisburd and Eck (2004) stated that evidence-based </w:t>
      </w:r>
      <w:r w:rsidRPr="00287D52">
        <w:rPr>
          <w:rFonts w:ascii="Arial" w:hAnsi="Arial" w:cs="Arial"/>
          <w:sz w:val="24"/>
          <w:szCs w:val="24"/>
        </w:rPr>
        <w:lastRenderedPageBreak/>
        <w:t xml:space="preserve">policing indicates that such patrols are only effective in reducing crimes in hot spots, where crime is concentrated. </w:t>
      </w:r>
      <w:r w:rsidRPr="00287D52">
        <w:rPr>
          <w:rFonts w:ascii="Arial" w:hAnsi="Arial" w:cs="Arial"/>
          <w:color w:val="000000"/>
          <w:spacing w:val="3"/>
          <w:sz w:val="24"/>
          <w:szCs w:val="24"/>
        </w:rPr>
        <w:t>Ratcliffe et al. (</w:t>
      </w:r>
      <w:r w:rsidRPr="00287D52">
        <w:rPr>
          <w:rFonts w:ascii="Arial" w:hAnsi="Arial" w:cs="Arial"/>
          <w:color w:val="000000"/>
          <w:spacing w:val="3"/>
          <w:sz w:val="24"/>
          <w:szCs w:val="24"/>
        </w:rPr>
        <w:t>20</w:t>
      </w:r>
      <w:r w:rsidRPr="00287D52">
        <w:rPr>
          <w:rFonts w:ascii="Arial" w:hAnsi="Arial" w:cs="Arial"/>
          <w:color w:val="000000"/>
          <w:spacing w:val="3"/>
          <w:sz w:val="24"/>
          <w:szCs w:val="24"/>
        </w:rPr>
        <w:t xml:space="preserve">11) concurred with these findings, noting that property crime fell by 31% in hot spots patrolled by marked police cars, compared to those where patrols were not a feature. There is an incongruity between the perception of the public regarding the effectiveness of general patrols and the outcomes of these patrols, which, although they are likely to reassure the public, do less to reduce crime than the instigation of targeted patrols at hot spots. </w:t>
      </w:r>
    </w:p>
    <w:p w14:paraId="0D255FA7" w14:textId="77777777" w:rsidR="00287D52" w:rsidRPr="00287D52" w:rsidRDefault="00287D52" w:rsidP="00287D52">
      <w:pPr>
        <w:spacing w:line="480" w:lineRule="auto"/>
        <w:rPr>
          <w:rFonts w:ascii="Arial" w:hAnsi="Arial" w:cs="Arial"/>
          <w:color w:val="000000"/>
          <w:spacing w:val="3"/>
          <w:sz w:val="24"/>
          <w:szCs w:val="24"/>
        </w:rPr>
      </w:pPr>
      <w:r w:rsidRPr="00287D52">
        <w:rPr>
          <w:rFonts w:ascii="Arial" w:hAnsi="Arial" w:cs="Arial"/>
          <w:color w:val="000000"/>
          <w:spacing w:val="3"/>
          <w:sz w:val="24"/>
          <w:szCs w:val="24"/>
        </w:rPr>
        <w:t>Traditional crime has fallen by 75% since 1995; however, other crimes have increased exponentially (Barber, 2022). An example is crimes arising in tandem with technological advancements: he noted “</w:t>
      </w:r>
      <w:r w:rsidRPr="00287D52">
        <w:rPr>
          <w:rFonts w:ascii="Arial" w:hAnsi="Arial" w:cs="Arial"/>
          <w:sz w:val="24"/>
          <w:szCs w:val="24"/>
        </w:rPr>
        <w:t>in the year to June 2021, 53% of all crime affecting people in England and Wales was fraud and cybercrime” (Barber, 2022, p9).</w:t>
      </w:r>
      <w:r w:rsidRPr="00287D52">
        <w:rPr>
          <w:rFonts w:ascii="Arial" w:hAnsi="Arial" w:cs="Arial"/>
          <w:color w:val="000000"/>
          <w:spacing w:val="3"/>
          <w:sz w:val="24"/>
          <w:szCs w:val="24"/>
        </w:rPr>
        <w:t xml:space="preserve"> Visible patrols would not reduce crime in this domain. This exemplifies the contradiction between what the public might want from operational policing and what it may need. In this instance, statistics show more policing and crime reduction activity being required in the digital world. The public’s perceptions of crime and of how well the police meet their needs can be negatively impacted by something as basic as a lack of police patrols in non-hot spot areas.</w:t>
      </w:r>
    </w:p>
    <w:p w14:paraId="6DD33FEA" w14:textId="5C79B4F6" w:rsidR="00287D52" w:rsidRDefault="00287D52" w:rsidP="00287D52">
      <w:pPr>
        <w:spacing w:line="480" w:lineRule="auto"/>
        <w:rPr>
          <w:rFonts w:ascii="Arial" w:hAnsi="Arial" w:cs="Arial"/>
          <w:sz w:val="24"/>
          <w:szCs w:val="24"/>
        </w:rPr>
      </w:pPr>
      <w:r w:rsidRPr="00287D52">
        <w:rPr>
          <w:rFonts w:ascii="Arial" w:hAnsi="Arial" w:cs="Arial"/>
          <w:sz w:val="24"/>
          <w:szCs w:val="24"/>
        </w:rPr>
        <w:t>In contrast, the success of the WPSP in engendering the trust of many of its young communities indicates that the right model of high-visibility community engagement can forge positive relationships between the police and some of the most vulnerable members of society</w:t>
      </w:r>
      <w:r w:rsidR="000B3BC7">
        <w:rPr>
          <w:rFonts w:ascii="Arial" w:hAnsi="Arial" w:cs="Arial"/>
          <w:sz w:val="24"/>
          <w:szCs w:val="24"/>
        </w:rPr>
        <w:t>. “</w:t>
      </w:r>
      <w:r w:rsidR="000B3BC7" w:rsidRPr="000B3BC7">
        <w:rPr>
          <w:rFonts w:ascii="Arial" w:hAnsi="Arial" w:cs="Arial"/>
          <w:sz w:val="24"/>
          <w:szCs w:val="24"/>
        </w:rPr>
        <w:t xml:space="preserve">In all schools, the whole school community speak highly of the work of the School Police Officer, not only their delivery of the </w:t>
      </w:r>
      <w:r w:rsidR="000B3BC7">
        <w:rPr>
          <w:rFonts w:ascii="Arial" w:hAnsi="Arial" w:cs="Arial"/>
          <w:sz w:val="24"/>
          <w:szCs w:val="24"/>
        </w:rPr>
        <w:t>WPSP</w:t>
      </w:r>
      <w:r w:rsidR="000B3BC7" w:rsidRPr="000B3BC7">
        <w:rPr>
          <w:rFonts w:ascii="Arial" w:hAnsi="Arial" w:cs="Arial"/>
          <w:sz w:val="24"/>
          <w:szCs w:val="24"/>
        </w:rPr>
        <w:t xml:space="preserve"> but about their supportive school policing initiative as School Beat officers</w:t>
      </w:r>
      <w:r w:rsidR="00420C94">
        <w:rPr>
          <w:rFonts w:ascii="Arial" w:hAnsi="Arial" w:cs="Arial"/>
          <w:sz w:val="24"/>
          <w:szCs w:val="24"/>
        </w:rPr>
        <w:t xml:space="preserve"> </w:t>
      </w:r>
      <w:r w:rsidR="000B3BC7">
        <w:rPr>
          <w:rFonts w:ascii="Arial" w:hAnsi="Arial" w:cs="Arial"/>
          <w:sz w:val="24"/>
          <w:szCs w:val="24"/>
        </w:rPr>
        <w:t>(Estyn, 2021, p.40).</w:t>
      </w:r>
    </w:p>
    <w:p w14:paraId="5C47E154"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lastRenderedPageBreak/>
        <w:t xml:space="preserve">The reluctance of citizens to engage effectively with policing can directly relate to the nature of the role of police constable, whereby they are servants of the Crown and have legal powers that differ from other public officials, such as teachers, social workers and medical staff. Rowe acknowledges that police have “discretionary powers to interpret and enforce public policy in ways that directly impact on their client’s life chances” (2020, p11). They have the option to use legitimate force against the public in ways seldom open to other public bodies, which elevates concerns about power and therefore accountability. Police are in a unique position to both protect the freedoms of others and curtail them. As established, police powers rest not simply on the government that prescribes them and the Crown that endorses them, but on the public too, who consents to them. This generates the necessity for policing to consider citizen-centred thinking across all aspects of its work. </w:t>
      </w:r>
    </w:p>
    <w:p w14:paraId="4C9C2DF4"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To better understand the effectiveness of a collaborative, citizen-centred approach to policing, it helps to understand thinking around ‘Communitarian Theory’. Community-focused policing is based upon a central principle that police forces and the people they serve have shared rights and responsibilities relative to maintaining public safety and public order. It is the principle that with rights come responsibilities (</w:t>
      </w:r>
      <w:proofErr w:type="spellStart"/>
      <w:r w:rsidRPr="00287D52">
        <w:rPr>
          <w:rFonts w:ascii="Arial" w:hAnsi="Arial" w:cs="Arial"/>
          <w:sz w:val="24"/>
          <w:szCs w:val="24"/>
        </w:rPr>
        <w:t>Trojanowicz</w:t>
      </w:r>
      <w:proofErr w:type="spellEnd"/>
      <w:r w:rsidRPr="00287D52">
        <w:rPr>
          <w:rFonts w:ascii="Arial" w:hAnsi="Arial" w:cs="Arial"/>
          <w:sz w:val="24"/>
          <w:szCs w:val="24"/>
        </w:rPr>
        <w:t xml:space="preserve"> and </w:t>
      </w:r>
      <w:proofErr w:type="spellStart"/>
      <w:r w:rsidRPr="00287D52">
        <w:rPr>
          <w:rFonts w:ascii="Arial" w:hAnsi="Arial" w:cs="Arial"/>
          <w:sz w:val="24"/>
          <w:szCs w:val="24"/>
        </w:rPr>
        <w:t>Bucqueroux</w:t>
      </w:r>
      <w:proofErr w:type="spellEnd"/>
      <w:r w:rsidRPr="00287D52">
        <w:rPr>
          <w:rFonts w:ascii="Arial" w:hAnsi="Arial" w:cs="Arial"/>
          <w:sz w:val="24"/>
          <w:szCs w:val="24"/>
        </w:rPr>
        <w:t>, 1994). Williams et al. (</w:t>
      </w:r>
      <w:r w:rsidRPr="00287D52">
        <w:rPr>
          <w:rFonts w:ascii="Arial" w:hAnsi="Arial" w:cs="Arial"/>
          <w:sz w:val="24"/>
          <w:szCs w:val="24"/>
        </w:rPr>
        <w:t>201</w:t>
      </w:r>
      <w:r w:rsidRPr="00287D52">
        <w:rPr>
          <w:rFonts w:ascii="Arial" w:hAnsi="Arial" w:cs="Arial"/>
          <w:sz w:val="24"/>
          <w:szCs w:val="24"/>
        </w:rPr>
        <w:t>6) explore the theory of communitarianism in policing, explaining that community members have knowledge that professional services do not have. This idea conflicts with the organisational-centric model of professionalism that supposes that the most significant knowledge rests with and is best implemented by the organisation. In addition to a high standard of conventional policing skills, the community-oriented model requires police to have skills that extend beyond this. S</w:t>
      </w:r>
      <w:r w:rsidRPr="00287D52">
        <w:rPr>
          <w:rFonts w:ascii="Arial" w:hAnsi="Arial" w:cs="Arial"/>
          <w:sz w:val="24"/>
          <w:szCs w:val="24"/>
        </w:rPr>
        <w:t xml:space="preserve">uch </w:t>
      </w:r>
      <w:r w:rsidRPr="00287D52">
        <w:rPr>
          <w:rFonts w:ascii="Arial" w:hAnsi="Arial" w:cs="Arial"/>
          <w:sz w:val="24"/>
          <w:szCs w:val="24"/>
        </w:rPr>
        <w:t xml:space="preserve">policing seeks to actively empower citizens. Citing Wilson and Kelling (1982), Williams et al. suggested a focus on looking </w:t>
      </w:r>
      <w:r w:rsidRPr="00287D52">
        <w:rPr>
          <w:rFonts w:ascii="Arial" w:hAnsi="Arial" w:cs="Arial"/>
          <w:sz w:val="24"/>
          <w:szCs w:val="24"/>
        </w:rPr>
        <w:lastRenderedPageBreak/>
        <w:t>“beyond broken windows to address the more pertinent issues of broken families and broken communities” (2014, p159).</w:t>
      </w:r>
    </w:p>
    <w:p w14:paraId="1E9BCCB3"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This approach shifts the emphasis away from police management level towards neighbourhood beat officers, who “must network as a change agent within their sector” (Williams et al., 2014, p10). This approach was evident in Goldstein’s framework of problem-oriented policing (POP)</w:t>
      </w:r>
      <w:r w:rsidRPr="00287D52">
        <w:t xml:space="preserve"> </w:t>
      </w:r>
      <w:r w:rsidRPr="00287D52">
        <w:rPr>
          <w:rFonts w:ascii="Arial" w:hAnsi="Arial" w:cs="Arial"/>
          <w:sz w:val="24"/>
          <w:szCs w:val="24"/>
        </w:rPr>
        <w:t>(1990, 2003). Individual officers are required to be reflective of and well connected to those in their community beyond their organisation. This kind of networking takes time and policing experience to achieve and is a challenge for some police forces, made up of frontline officers who have</w:t>
      </w:r>
      <w:r w:rsidRPr="00287D52">
        <w:rPr>
          <w:rFonts w:ascii="Arial" w:hAnsi="Arial" w:cs="Arial"/>
          <w:sz w:val="24"/>
          <w:szCs w:val="24"/>
        </w:rPr>
        <w:t xml:space="preserve"> </w:t>
      </w:r>
      <w:r w:rsidRPr="00287D52">
        <w:rPr>
          <w:rFonts w:ascii="Arial" w:hAnsi="Arial" w:cs="Arial"/>
          <w:sz w:val="24"/>
          <w:szCs w:val="24"/>
        </w:rPr>
        <w:t>only a few years’ service and lack skills commensurate with effective engagement in this kind of work.</w:t>
      </w:r>
    </w:p>
    <w:p w14:paraId="5A08A772"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Hinkle et al. (2020), in their systematic review of POP, reported that there was an average of 33.8% reduction in crime and disorder in groups where it was employed. However, although they reported that POP was largely cost</w:t>
      </w:r>
      <w:r w:rsidRPr="00287D52">
        <w:rPr>
          <w:rFonts w:ascii="Cambria Math" w:hAnsi="Cambria Math" w:cs="Cambria Math"/>
          <w:sz w:val="24"/>
          <w:szCs w:val="24"/>
        </w:rPr>
        <w:t>‐</w:t>
      </w:r>
      <w:r w:rsidRPr="00287D52">
        <w:rPr>
          <w:rFonts w:ascii="Arial" w:hAnsi="Arial" w:cs="Arial"/>
          <w:sz w:val="24"/>
          <w:szCs w:val="24"/>
        </w:rPr>
        <w:t xml:space="preserve">effective, notably it had little impact on fear of crime, legitimacy and collective efficacy. Such activities take a significant commitment to resourcing for CCs, and, although they are effective, may still be inversely viewed negatively with regard to perceptions of policing’s operational effectiveness. </w:t>
      </w:r>
    </w:p>
    <w:p w14:paraId="190CB801"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In addressing this disconnect between the public and its perceptions of policing, it is incumbent upon PCCs to recognise the importance of engaging people in partnership earlier, whilst they are still young, to address community issues that affect them and others. </w:t>
      </w:r>
    </w:p>
    <w:p w14:paraId="17FBADF2" w14:textId="63F5F625"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A European Commission-funded large-scale research project called Processes Influencing Democratic Ownership and Participation (2012)</w:t>
      </w:r>
      <w:r w:rsidR="005D2D0F">
        <w:rPr>
          <w:rFonts w:ascii="Arial" w:hAnsi="Arial" w:cs="Arial"/>
          <w:sz w:val="24"/>
          <w:szCs w:val="24"/>
        </w:rPr>
        <w:t>,</w:t>
      </w:r>
      <w:r w:rsidRPr="00287D52">
        <w:rPr>
          <w:rFonts w:ascii="Arial" w:hAnsi="Arial" w:cs="Arial"/>
          <w:sz w:val="24"/>
          <w:szCs w:val="24"/>
        </w:rPr>
        <w:t xml:space="preserve"> revealed that young </w:t>
      </w:r>
      <w:r w:rsidRPr="00287D52">
        <w:rPr>
          <w:rFonts w:ascii="Arial" w:hAnsi="Arial" w:cs="Arial"/>
          <w:sz w:val="24"/>
          <w:szCs w:val="24"/>
        </w:rPr>
        <w:lastRenderedPageBreak/>
        <w:t>people often have a negative perspective of conventional political activity and see it as ineffective with regard to bringing change. However, it lauded the impact of competence-based educational curricula</w:t>
      </w:r>
      <w:r w:rsidRPr="00287D52">
        <w:rPr>
          <w:rFonts w:ascii="Arial" w:hAnsi="Arial" w:cs="Arial"/>
          <w:sz w:val="24"/>
          <w:szCs w:val="24"/>
        </w:rPr>
        <w:t xml:space="preserve"> </w:t>
      </w:r>
      <w:r w:rsidRPr="00287D52">
        <w:rPr>
          <w:rFonts w:ascii="Arial" w:hAnsi="Arial" w:cs="Arial"/>
          <w:sz w:val="24"/>
          <w:szCs w:val="24"/>
        </w:rPr>
        <w:t>that aim</w:t>
      </w:r>
      <w:r w:rsidR="00746CD1">
        <w:rPr>
          <w:rFonts w:ascii="Arial" w:hAnsi="Arial" w:cs="Arial"/>
          <w:sz w:val="24"/>
          <w:szCs w:val="24"/>
        </w:rPr>
        <w:t>s</w:t>
      </w:r>
      <w:r w:rsidRPr="00287D52">
        <w:rPr>
          <w:rFonts w:ascii="Arial" w:hAnsi="Arial" w:cs="Arial"/>
          <w:sz w:val="24"/>
          <w:szCs w:val="24"/>
        </w:rPr>
        <w:t xml:space="preserve"> to enhance not only learners’ knowledge and skills, but also values, attitudes and critical thinking relevant to the development of civic and political engagement.</w:t>
      </w:r>
    </w:p>
    <w:p w14:paraId="2D4CDD81" w14:textId="4C7E5CF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Education in Wales has recently undergone significant changes and </w:t>
      </w:r>
      <w:r w:rsidR="00420C94">
        <w:rPr>
          <w:rFonts w:ascii="Arial" w:hAnsi="Arial" w:cs="Arial"/>
          <w:sz w:val="24"/>
          <w:szCs w:val="24"/>
        </w:rPr>
        <w:t>aligns</w:t>
      </w:r>
      <w:r w:rsidRPr="00287D52">
        <w:rPr>
          <w:rFonts w:ascii="Arial" w:hAnsi="Arial" w:cs="Arial"/>
          <w:sz w:val="24"/>
          <w:szCs w:val="24"/>
        </w:rPr>
        <w:t xml:space="preserve"> with the aims of the Future Generations Act 2015. The curriculum aims to promote individual and national well-being, tackl</w:t>
      </w:r>
      <w:r w:rsidR="00F74F55">
        <w:rPr>
          <w:rFonts w:ascii="Arial" w:hAnsi="Arial" w:cs="Arial"/>
          <w:sz w:val="24"/>
          <w:szCs w:val="24"/>
        </w:rPr>
        <w:t>ing</w:t>
      </w:r>
      <w:r w:rsidRPr="00287D52">
        <w:rPr>
          <w:rFonts w:ascii="Arial" w:hAnsi="Arial" w:cs="Arial"/>
          <w:sz w:val="24"/>
          <w:szCs w:val="24"/>
        </w:rPr>
        <w:t xml:space="preserve"> ignorance and misinformation. Two of the ‘Four Purposes’ that steer children and young people’s direction are to be ethically informed citizens who are ready to be citizens of Wales and the world, and enterprising creative contributors, who are ready to play a full part in life and work (Welsh Government).</w:t>
      </w:r>
    </w:p>
    <w:p w14:paraId="78DA675D" w14:textId="75653DA5"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This new national curriculum, which came fully into operation in 2022, affords an opportune moment for the PCC to work in partnership with the Children’s Commissioner, local authorities and education at large, with policing to promote children’s rights and responsibilities, promoting opportunities for civic activity</w:t>
      </w:r>
      <w:r w:rsidRPr="00287D52">
        <w:t>.</w:t>
      </w:r>
      <w:r w:rsidRPr="00287D52">
        <w:rPr>
          <w:rFonts w:ascii="Arial" w:hAnsi="Arial" w:cs="Arial"/>
          <w:sz w:val="24"/>
          <w:szCs w:val="24"/>
        </w:rPr>
        <w:t xml:space="preserve"> The police currently facilitate civic activity </w:t>
      </w:r>
      <w:r w:rsidR="00D22ED2">
        <w:rPr>
          <w:rFonts w:ascii="Arial" w:hAnsi="Arial" w:cs="Arial"/>
          <w:sz w:val="24"/>
          <w:szCs w:val="24"/>
        </w:rPr>
        <w:t xml:space="preserve">amongst the young </w:t>
      </w:r>
      <w:r w:rsidRPr="00287D52">
        <w:rPr>
          <w:rFonts w:ascii="Arial" w:hAnsi="Arial" w:cs="Arial"/>
          <w:sz w:val="24"/>
          <w:szCs w:val="24"/>
        </w:rPr>
        <w:t>through groups such as the Police Youth Volunteers in South Wales, often referred to as Police Cadets in other forces. Several national societies support local clubs that encourage self-efficacy and community connectedness, like the Scouts, Cubs, Girl Guides and Brownies; however, to effect change on a national scale in Wales, it will take bigger thinking and the WG working in partnership with multiple organisations</w:t>
      </w:r>
      <w:r w:rsidR="00420C94">
        <w:rPr>
          <w:rFonts w:ascii="Arial" w:hAnsi="Arial" w:cs="Arial"/>
          <w:sz w:val="24"/>
          <w:szCs w:val="24"/>
        </w:rPr>
        <w:t xml:space="preserve">, including the </w:t>
      </w:r>
      <w:r w:rsidR="005D5B85">
        <w:rPr>
          <w:rFonts w:ascii="Arial" w:hAnsi="Arial" w:cs="Arial"/>
          <w:sz w:val="24"/>
          <w:szCs w:val="24"/>
        </w:rPr>
        <w:t xml:space="preserve">PCCs and </w:t>
      </w:r>
      <w:r w:rsidR="00420C94">
        <w:rPr>
          <w:rFonts w:ascii="Arial" w:hAnsi="Arial" w:cs="Arial"/>
          <w:sz w:val="24"/>
          <w:szCs w:val="24"/>
        </w:rPr>
        <w:t>police</w:t>
      </w:r>
      <w:r w:rsidR="005D5B85">
        <w:rPr>
          <w:rFonts w:ascii="Arial" w:hAnsi="Arial" w:cs="Arial"/>
          <w:sz w:val="24"/>
          <w:szCs w:val="24"/>
        </w:rPr>
        <w:t xml:space="preserve"> forces</w:t>
      </w:r>
      <w:r w:rsidRPr="00287D52">
        <w:rPr>
          <w:rFonts w:ascii="Arial" w:hAnsi="Arial" w:cs="Arial"/>
          <w:sz w:val="24"/>
          <w:szCs w:val="24"/>
        </w:rPr>
        <w:t xml:space="preserve">. </w:t>
      </w:r>
    </w:p>
    <w:p w14:paraId="6DBC6241" w14:textId="403597AB"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lastRenderedPageBreak/>
        <w:t xml:space="preserve">France is planning to reintroduce compulsory national service for its young people in 2024. Initially, at age sixteen, young people will be required to serve their country for one month </w:t>
      </w:r>
      <w:r w:rsidR="005D5B85">
        <w:rPr>
          <w:rFonts w:ascii="Arial" w:hAnsi="Arial" w:cs="Arial"/>
          <w:sz w:val="24"/>
          <w:szCs w:val="24"/>
        </w:rPr>
        <w:t xml:space="preserve">in a civic capacity </w:t>
      </w:r>
      <w:r w:rsidRPr="00287D52">
        <w:rPr>
          <w:rFonts w:ascii="Arial" w:hAnsi="Arial" w:cs="Arial"/>
          <w:sz w:val="24"/>
          <w:szCs w:val="24"/>
        </w:rPr>
        <w:t>and later a further three to twelve months, which is intended to have a more military or security-oriented direction. Macron’s intention is to reinvigorate a sense of French civic duty (BBC News, 2019). Interestingly, national service of some kind or other exists in other European countries too, such as Sweden, Denmark and Finland</w:t>
      </w:r>
      <w:r w:rsidR="005D5B85">
        <w:rPr>
          <w:rFonts w:ascii="Arial" w:hAnsi="Arial" w:cs="Arial"/>
          <w:sz w:val="24"/>
          <w:szCs w:val="24"/>
        </w:rPr>
        <w:t>, therefore</w:t>
      </w:r>
      <w:r w:rsidR="004C1289">
        <w:rPr>
          <w:rFonts w:ascii="Arial" w:hAnsi="Arial" w:cs="Arial"/>
          <w:sz w:val="24"/>
          <w:szCs w:val="24"/>
        </w:rPr>
        <w:t>,</w:t>
      </w:r>
      <w:r w:rsidR="005D5B85">
        <w:rPr>
          <w:rFonts w:ascii="Arial" w:hAnsi="Arial" w:cs="Arial"/>
          <w:sz w:val="24"/>
          <w:szCs w:val="24"/>
        </w:rPr>
        <w:t xml:space="preserve"> there are a number of models to consider</w:t>
      </w:r>
      <w:r w:rsidRPr="00287D52">
        <w:rPr>
          <w:rFonts w:ascii="Arial" w:hAnsi="Arial" w:cs="Arial"/>
          <w:sz w:val="24"/>
          <w:szCs w:val="24"/>
        </w:rPr>
        <w:t xml:space="preserve">. </w:t>
      </w:r>
    </w:p>
    <w:p w14:paraId="6F124109" w14:textId="0654687C"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The Committee on Improving the Health, Safety, and Well-Being of Young Adults commissioned a report in 2015 that promoted the positive impact of civic engagement and national service. Amongst the many positive outcomes, the report noted that volunteering amongst young people is associated with improved health and well-being. Evidence also suggests that civic engagement and national service contribute to educational and occupational development and sustained citizenship.</w:t>
      </w:r>
    </w:p>
    <w:p w14:paraId="2A55E5FD"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Wales has already embraced visionary approaches to developing its future generations, through policy and changes in education; however, it has not gone far enough in addressing its core challenges in communities across Wales. </w:t>
      </w:r>
    </w:p>
    <w:p w14:paraId="3C64EE28" w14:textId="77777777"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Barber suggested that a concerted “cross-agency effort is required to tackle the deep-seated problems in society which the police end up dealing with, frequently beyond their own capabilities”. He urged the development of a “more integrated system of local accountability” (2022, p167).</w:t>
      </w:r>
    </w:p>
    <w:p w14:paraId="071146CE" w14:textId="3C206F2B" w:rsidR="00287D52" w:rsidRPr="00287D52" w:rsidRDefault="00287D52" w:rsidP="00287D52">
      <w:pPr>
        <w:spacing w:line="480" w:lineRule="auto"/>
        <w:rPr>
          <w:rFonts w:ascii="Arial" w:hAnsi="Arial" w:cs="Arial"/>
          <w:sz w:val="24"/>
          <w:szCs w:val="24"/>
        </w:rPr>
      </w:pPr>
      <w:r w:rsidRPr="00287D52">
        <w:rPr>
          <w:rFonts w:ascii="Arial" w:hAnsi="Arial" w:cs="Arial"/>
          <w:sz w:val="24"/>
          <w:szCs w:val="24"/>
        </w:rPr>
        <w:t xml:space="preserve">Enhanced collaboration between young people, the PCC, policing, education and other state actors in turn would give rise to a broader base of community participation in Wales, offering greater opportunities for equity and inclusiveness, extending to young people the chance to contribute to governance through </w:t>
      </w:r>
      <w:r w:rsidRPr="00287D52">
        <w:rPr>
          <w:rFonts w:ascii="Arial" w:hAnsi="Arial" w:cs="Arial"/>
          <w:sz w:val="24"/>
          <w:szCs w:val="24"/>
        </w:rPr>
        <w:lastRenderedPageBreak/>
        <w:t xml:space="preserve">partnership with the PCC. WG </w:t>
      </w:r>
      <w:r w:rsidR="00207054">
        <w:rPr>
          <w:rFonts w:ascii="Arial" w:hAnsi="Arial" w:cs="Arial"/>
          <w:sz w:val="24"/>
          <w:szCs w:val="24"/>
        </w:rPr>
        <w:t>in partnership with the PCC and others</w:t>
      </w:r>
      <w:r w:rsidR="00F73709">
        <w:rPr>
          <w:rFonts w:ascii="Arial" w:hAnsi="Arial" w:cs="Arial"/>
          <w:sz w:val="24"/>
          <w:szCs w:val="24"/>
        </w:rPr>
        <w:t xml:space="preserve"> </w:t>
      </w:r>
      <w:r w:rsidRPr="00287D52">
        <w:rPr>
          <w:rFonts w:ascii="Arial" w:hAnsi="Arial" w:cs="Arial"/>
          <w:sz w:val="24"/>
          <w:szCs w:val="24"/>
        </w:rPr>
        <w:t>should explore the introduction of a model of national civic service, promoting the systematic participation of young people in community-based activities. This approach would empower young people to be agents of change in partnership with organisations like the police and PCC at a regional and local level. It would demonstrate the power of citizens to influence change, whilst ensuring the changes that are happening through services such as the police are the ones required, creating futures for the citizens of Wales that focus on well-being and thriving for all</w:t>
      </w:r>
      <w:r w:rsidR="00FB4943">
        <w:rPr>
          <w:rFonts w:ascii="Arial" w:hAnsi="Arial" w:cs="Arial"/>
          <w:sz w:val="24"/>
          <w:szCs w:val="24"/>
        </w:rPr>
        <w:t>, simultaneously ensuring that PCC</w:t>
      </w:r>
      <w:r w:rsidR="002234E3">
        <w:rPr>
          <w:rFonts w:ascii="Arial" w:hAnsi="Arial" w:cs="Arial"/>
          <w:sz w:val="24"/>
          <w:szCs w:val="24"/>
        </w:rPr>
        <w:t>s more effectively engage young communities</w:t>
      </w:r>
      <w:r w:rsidR="00501E01">
        <w:rPr>
          <w:rFonts w:ascii="Arial" w:hAnsi="Arial" w:cs="Arial"/>
          <w:sz w:val="24"/>
          <w:szCs w:val="24"/>
        </w:rPr>
        <w:t>,</w:t>
      </w:r>
      <w:r w:rsidR="002234E3">
        <w:rPr>
          <w:rFonts w:ascii="Arial" w:hAnsi="Arial" w:cs="Arial"/>
          <w:sz w:val="24"/>
          <w:szCs w:val="24"/>
        </w:rPr>
        <w:t xml:space="preserve"> </w:t>
      </w:r>
      <w:r w:rsidR="000767E0">
        <w:rPr>
          <w:rFonts w:ascii="Arial" w:hAnsi="Arial" w:cs="Arial"/>
          <w:sz w:val="24"/>
          <w:szCs w:val="24"/>
        </w:rPr>
        <w:t>inspiring a new generation</w:t>
      </w:r>
      <w:r w:rsidR="00F014C2">
        <w:rPr>
          <w:rFonts w:ascii="Arial" w:hAnsi="Arial" w:cs="Arial"/>
          <w:sz w:val="24"/>
          <w:szCs w:val="24"/>
        </w:rPr>
        <w:t xml:space="preserve"> of</w:t>
      </w:r>
      <w:r w:rsidR="00B772D4">
        <w:rPr>
          <w:rFonts w:ascii="Arial" w:hAnsi="Arial" w:cs="Arial"/>
          <w:sz w:val="24"/>
          <w:szCs w:val="24"/>
        </w:rPr>
        <w:t xml:space="preserve"> localism in police governance.</w:t>
      </w:r>
    </w:p>
    <w:p w14:paraId="33D677E3" w14:textId="77777777" w:rsidR="00E57B30" w:rsidRDefault="00E57B30" w:rsidP="00287D52">
      <w:pPr>
        <w:pStyle w:val="Bibliography"/>
        <w:rPr>
          <w:rFonts w:ascii="Arial" w:hAnsi="Arial" w:cs="Arial"/>
          <w:b/>
          <w:bCs/>
          <w:sz w:val="24"/>
          <w:szCs w:val="24"/>
        </w:rPr>
      </w:pPr>
    </w:p>
    <w:p w14:paraId="4379A9B0" w14:textId="77777777" w:rsidR="00E57B30" w:rsidRDefault="00E57B30" w:rsidP="00287D52">
      <w:pPr>
        <w:pStyle w:val="Bibliography"/>
        <w:rPr>
          <w:rFonts w:ascii="Arial" w:hAnsi="Arial" w:cs="Arial"/>
          <w:b/>
          <w:bCs/>
          <w:sz w:val="24"/>
          <w:szCs w:val="24"/>
        </w:rPr>
      </w:pPr>
    </w:p>
    <w:p w14:paraId="2DBAEF03" w14:textId="77777777" w:rsidR="00E57B30" w:rsidRDefault="00E57B30" w:rsidP="00287D52">
      <w:pPr>
        <w:pStyle w:val="Bibliography"/>
        <w:rPr>
          <w:rFonts w:ascii="Arial" w:hAnsi="Arial" w:cs="Arial"/>
          <w:b/>
          <w:bCs/>
          <w:sz w:val="24"/>
          <w:szCs w:val="24"/>
        </w:rPr>
      </w:pPr>
    </w:p>
    <w:p w14:paraId="1ECB9595" w14:textId="77777777" w:rsidR="00E57B30" w:rsidRDefault="00E57B30" w:rsidP="00287D52">
      <w:pPr>
        <w:pStyle w:val="Bibliography"/>
        <w:rPr>
          <w:rFonts w:ascii="Arial" w:hAnsi="Arial" w:cs="Arial"/>
          <w:b/>
          <w:bCs/>
          <w:sz w:val="24"/>
          <w:szCs w:val="24"/>
        </w:rPr>
      </w:pPr>
    </w:p>
    <w:p w14:paraId="50FCC5C1" w14:textId="77777777" w:rsidR="00E57B30" w:rsidRDefault="00E57B30" w:rsidP="00287D52">
      <w:pPr>
        <w:pStyle w:val="Bibliography"/>
        <w:rPr>
          <w:rFonts w:ascii="Arial" w:hAnsi="Arial" w:cs="Arial"/>
          <w:b/>
          <w:bCs/>
          <w:sz w:val="24"/>
          <w:szCs w:val="24"/>
        </w:rPr>
      </w:pPr>
    </w:p>
    <w:p w14:paraId="5C80ABEF" w14:textId="77777777" w:rsidR="00E57B30" w:rsidRDefault="00E57B30" w:rsidP="00287D52">
      <w:pPr>
        <w:pStyle w:val="Bibliography"/>
        <w:rPr>
          <w:rFonts w:ascii="Arial" w:hAnsi="Arial" w:cs="Arial"/>
          <w:b/>
          <w:bCs/>
          <w:sz w:val="24"/>
          <w:szCs w:val="24"/>
        </w:rPr>
      </w:pPr>
    </w:p>
    <w:p w14:paraId="6B0D1CA4" w14:textId="77777777" w:rsidR="00E57B30" w:rsidRDefault="00E57B30" w:rsidP="00287D52">
      <w:pPr>
        <w:pStyle w:val="Bibliography"/>
        <w:rPr>
          <w:rFonts w:ascii="Arial" w:hAnsi="Arial" w:cs="Arial"/>
          <w:b/>
          <w:bCs/>
          <w:sz w:val="24"/>
          <w:szCs w:val="24"/>
        </w:rPr>
      </w:pPr>
    </w:p>
    <w:p w14:paraId="2807EB18" w14:textId="77777777" w:rsidR="00E57B30" w:rsidRDefault="00E57B30" w:rsidP="00287D52">
      <w:pPr>
        <w:pStyle w:val="Bibliography"/>
        <w:rPr>
          <w:rFonts w:ascii="Arial" w:hAnsi="Arial" w:cs="Arial"/>
          <w:b/>
          <w:bCs/>
          <w:sz w:val="24"/>
          <w:szCs w:val="24"/>
        </w:rPr>
      </w:pPr>
    </w:p>
    <w:p w14:paraId="7C792FB9" w14:textId="77777777" w:rsidR="00E57B30" w:rsidRDefault="00E57B30" w:rsidP="00287D52">
      <w:pPr>
        <w:pStyle w:val="Bibliography"/>
        <w:rPr>
          <w:rFonts w:ascii="Arial" w:hAnsi="Arial" w:cs="Arial"/>
          <w:b/>
          <w:bCs/>
          <w:sz w:val="24"/>
          <w:szCs w:val="24"/>
        </w:rPr>
      </w:pPr>
    </w:p>
    <w:p w14:paraId="45B8869A" w14:textId="77777777" w:rsidR="00E57B30" w:rsidRDefault="00E57B30" w:rsidP="00287D52">
      <w:pPr>
        <w:pStyle w:val="Bibliography"/>
        <w:rPr>
          <w:rFonts w:ascii="Arial" w:hAnsi="Arial" w:cs="Arial"/>
          <w:b/>
          <w:bCs/>
          <w:sz w:val="24"/>
          <w:szCs w:val="24"/>
        </w:rPr>
      </w:pPr>
    </w:p>
    <w:p w14:paraId="3F4F1E87" w14:textId="77777777" w:rsidR="00E57B30" w:rsidRDefault="00E57B30" w:rsidP="00287D52">
      <w:pPr>
        <w:pStyle w:val="Bibliography"/>
        <w:rPr>
          <w:rFonts w:ascii="Arial" w:hAnsi="Arial" w:cs="Arial"/>
          <w:b/>
          <w:bCs/>
          <w:sz w:val="24"/>
          <w:szCs w:val="24"/>
        </w:rPr>
      </w:pPr>
    </w:p>
    <w:p w14:paraId="5F8F2059" w14:textId="77777777" w:rsidR="00E57B30" w:rsidRDefault="00E57B30" w:rsidP="00287D52">
      <w:pPr>
        <w:pStyle w:val="Bibliography"/>
        <w:rPr>
          <w:rFonts w:ascii="Arial" w:hAnsi="Arial" w:cs="Arial"/>
          <w:b/>
          <w:bCs/>
          <w:sz w:val="24"/>
          <w:szCs w:val="24"/>
        </w:rPr>
      </w:pPr>
    </w:p>
    <w:p w14:paraId="6D5A243E" w14:textId="77777777" w:rsidR="00E57B30" w:rsidRDefault="00E57B30" w:rsidP="00287D52">
      <w:pPr>
        <w:pStyle w:val="Bibliography"/>
        <w:rPr>
          <w:rFonts w:ascii="Arial" w:hAnsi="Arial" w:cs="Arial"/>
          <w:b/>
          <w:bCs/>
          <w:sz w:val="24"/>
          <w:szCs w:val="24"/>
        </w:rPr>
      </w:pPr>
    </w:p>
    <w:p w14:paraId="036D105B" w14:textId="77777777" w:rsidR="00E57B30" w:rsidRDefault="00E57B30" w:rsidP="00287D52">
      <w:pPr>
        <w:pStyle w:val="Bibliography"/>
        <w:rPr>
          <w:rFonts w:ascii="Arial" w:hAnsi="Arial" w:cs="Arial"/>
          <w:b/>
          <w:bCs/>
          <w:sz w:val="24"/>
          <w:szCs w:val="24"/>
        </w:rPr>
      </w:pPr>
    </w:p>
    <w:p w14:paraId="0263C1E2" w14:textId="77777777" w:rsidR="00E57B30" w:rsidRDefault="00E57B30" w:rsidP="00287D52">
      <w:pPr>
        <w:pStyle w:val="Bibliography"/>
        <w:rPr>
          <w:rFonts w:ascii="Arial" w:hAnsi="Arial" w:cs="Arial"/>
          <w:b/>
          <w:bCs/>
          <w:sz w:val="24"/>
          <w:szCs w:val="24"/>
        </w:rPr>
      </w:pPr>
    </w:p>
    <w:p w14:paraId="6B827CFF" w14:textId="77777777" w:rsidR="00E57B30" w:rsidRDefault="00E57B30" w:rsidP="00287D52">
      <w:pPr>
        <w:pStyle w:val="Bibliography"/>
        <w:rPr>
          <w:rFonts w:ascii="Arial" w:hAnsi="Arial" w:cs="Arial"/>
          <w:b/>
          <w:bCs/>
          <w:sz w:val="24"/>
          <w:szCs w:val="24"/>
        </w:rPr>
      </w:pPr>
    </w:p>
    <w:p w14:paraId="55AEF32F" w14:textId="77777777" w:rsidR="00E57B30" w:rsidRDefault="00E57B30" w:rsidP="00287D52">
      <w:pPr>
        <w:pStyle w:val="Bibliography"/>
        <w:rPr>
          <w:rFonts w:ascii="Arial" w:hAnsi="Arial" w:cs="Arial"/>
          <w:b/>
          <w:bCs/>
          <w:sz w:val="24"/>
          <w:szCs w:val="24"/>
        </w:rPr>
      </w:pPr>
    </w:p>
    <w:p w14:paraId="24D1417B" w14:textId="77777777" w:rsidR="00E57B30" w:rsidRDefault="00E57B30" w:rsidP="00287D52">
      <w:pPr>
        <w:pStyle w:val="Bibliography"/>
        <w:rPr>
          <w:rFonts w:ascii="Arial" w:hAnsi="Arial" w:cs="Arial"/>
          <w:b/>
          <w:bCs/>
          <w:sz w:val="24"/>
          <w:szCs w:val="24"/>
        </w:rPr>
      </w:pPr>
    </w:p>
    <w:p w14:paraId="5C0DA650" w14:textId="33B43E92" w:rsidR="00287D52" w:rsidRPr="00FD1C2B" w:rsidRDefault="00287D52" w:rsidP="00287D52">
      <w:pPr>
        <w:pStyle w:val="Bibliography"/>
        <w:rPr>
          <w:rFonts w:ascii="Arial" w:hAnsi="Arial" w:cs="Arial"/>
          <w:b/>
          <w:bCs/>
          <w:sz w:val="24"/>
          <w:szCs w:val="24"/>
        </w:rPr>
      </w:pPr>
      <w:r w:rsidRPr="00FD1C2B">
        <w:rPr>
          <w:rFonts w:ascii="Arial" w:hAnsi="Arial" w:cs="Arial"/>
          <w:b/>
          <w:bCs/>
          <w:sz w:val="24"/>
          <w:szCs w:val="24"/>
        </w:rPr>
        <w:lastRenderedPageBreak/>
        <w:t>Bibliography</w:t>
      </w:r>
    </w:p>
    <w:p w14:paraId="12B232B1"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sz w:val="24"/>
          <w:szCs w:val="24"/>
        </w:rPr>
        <w:fldChar w:fldCharType="begin"/>
      </w:r>
      <w:r w:rsidRPr="00E53D09">
        <w:rPr>
          <w:rFonts w:ascii="Arial" w:hAnsi="Arial" w:cs="Arial"/>
          <w:sz w:val="24"/>
          <w:szCs w:val="24"/>
        </w:rPr>
        <w:instrText xml:space="preserve"> BIBLIOGRAPHY  \l 2057 </w:instrText>
      </w:r>
      <w:r w:rsidRPr="00E53D09">
        <w:rPr>
          <w:rFonts w:ascii="Arial" w:hAnsi="Arial" w:cs="Arial"/>
          <w:sz w:val="24"/>
          <w:szCs w:val="24"/>
        </w:rPr>
        <w:fldChar w:fldCharType="separate"/>
      </w:r>
    </w:p>
    <w:p w14:paraId="56E72D20" w14:textId="4D1115C4" w:rsidR="00287D52" w:rsidRPr="00D20C13" w:rsidRDefault="00287D52" w:rsidP="00D20C13">
      <w:pPr>
        <w:pStyle w:val="Bibliography"/>
        <w:ind w:left="720" w:hanging="720"/>
        <w:rPr>
          <w:rFonts w:ascii="Arial" w:hAnsi="Arial" w:cs="Arial"/>
          <w:noProof/>
          <w:sz w:val="24"/>
          <w:szCs w:val="24"/>
        </w:rPr>
      </w:pPr>
      <w:r w:rsidRPr="00E53D09">
        <w:rPr>
          <w:rFonts w:ascii="Arial" w:hAnsi="Arial" w:cs="Arial"/>
          <w:noProof/>
          <w:sz w:val="24"/>
          <w:szCs w:val="24"/>
        </w:rPr>
        <w:t xml:space="preserve">Agranoff, R. &amp; McGuire, M. (2003). </w:t>
      </w:r>
      <w:r w:rsidRPr="00E53D09">
        <w:rPr>
          <w:rFonts w:ascii="Arial" w:hAnsi="Arial" w:cs="Arial"/>
          <w:i/>
          <w:iCs/>
          <w:noProof/>
          <w:sz w:val="24"/>
          <w:szCs w:val="24"/>
        </w:rPr>
        <w:t>Collaborative Public Management: New Strategies for Local Gover</w:t>
      </w:r>
      <w:r>
        <w:rPr>
          <w:rFonts w:ascii="Arial" w:hAnsi="Arial" w:cs="Arial"/>
          <w:i/>
          <w:iCs/>
          <w:noProof/>
          <w:sz w:val="24"/>
          <w:szCs w:val="24"/>
        </w:rPr>
        <w:t>n</w:t>
      </w:r>
      <w:r w:rsidRPr="00E53D09">
        <w:rPr>
          <w:rFonts w:ascii="Arial" w:hAnsi="Arial" w:cs="Arial"/>
          <w:i/>
          <w:iCs/>
          <w:noProof/>
          <w:sz w:val="24"/>
          <w:szCs w:val="24"/>
        </w:rPr>
        <w:t>ments.</w:t>
      </w:r>
      <w:r w:rsidRPr="00E53D09">
        <w:rPr>
          <w:rFonts w:ascii="Arial" w:hAnsi="Arial" w:cs="Arial"/>
          <w:noProof/>
          <w:sz w:val="24"/>
          <w:szCs w:val="24"/>
        </w:rPr>
        <w:t xml:space="preserve"> Washington, DC: Georgetown University Press.</w:t>
      </w:r>
    </w:p>
    <w:p w14:paraId="7DBB116B"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Asaduzzaman, M</w:t>
      </w:r>
      <w:r>
        <w:rPr>
          <w:rFonts w:ascii="Arial" w:hAnsi="Arial" w:cs="Arial"/>
          <w:noProof/>
          <w:sz w:val="24"/>
          <w:szCs w:val="24"/>
        </w:rPr>
        <w:t>.</w:t>
      </w:r>
      <w:r w:rsidRPr="00E53D09">
        <w:rPr>
          <w:rFonts w:ascii="Arial" w:hAnsi="Arial" w:cs="Arial"/>
          <w:noProof/>
          <w:sz w:val="24"/>
          <w:szCs w:val="24"/>
        </w:rPr>
        <w:t xml:space="preserve"> &amp; Virtanen, P. (2016).</w:t>
      </w:r>
      <w:r>
        <w:rPr>
          <w:rFonts w:ascii="Arial" w:hAnsi="Arial" w:cs="Arial"/>
          <w:noProof/>
          <w:sz w:val="24"/>
          <w:szCs w:val="24"/>
        </w:rPr>
        <w:t xml:space="preserve"> </w:t>
      </w:r>
      <w:r w:rsidRPr="00E53D09">
        <w:rPr>
          <w:rFonts w:ascii="Arial" w:hAnsi="Arial" w:cs="Arial"/>
          <w:noProof/>
          <w:sz w:val="24"/>
          <w:szCs w:val="24"/>
        </w:rPr>
        <w:t xml:space="preserve">Governance Theories and Models. </w:t>
      </w:r>
      <w:r w:rsidRPr="00A95376">
        <w:rPr>
          <w:rFonts w:ascii="Arial" w:hAnsi="Arial" w:cs="Arial"/>
          <w:noProof/>
          <w:sz w:val="24"/>
          <w:szCs w:val="24"/>
        </w:rPr>
        <w:t>In</w:t>
      </w:r>
      <w:r w:rsidRPr="00E53D09">
        <w:rPr>
          <w:rFonts w:ascii="Arial" w:hAnsi="Arial" w:cs="Arial"/>
          <w:i/>
          <w:iCs/>
          <w:noProof/>
          <w:sz w:val="24"/>
          <w:szCs w:val="24"/>
        </w:rPr>
        <w:t xml:space="preserve"> Global Encyclopedia of Public Administration, Public Policy, and Governance.</w:t>
      </w:r>
      <w:r w:rsidRPr="00E53D09">
        <w:rPr>
          <w:rFonts w:ascii="Arial" w:hAnsi="Arial" w:cs="Arial"/>
          <w:noProof/>
          <w:sz w:val="24"/>
          <w:szCs w:val="24"/>
        </w:rPr>
        <w:t xml:space="preserve"> Springer, Cham. doi:10.1007/978-3-319-31816-5_2612-1. </w:t>
      </w:r>
    </w:p>
    <w:p w14:paraId="0C982C30"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Association of Police and </w:t>
      </w:r>
      <w:r>
        <w:rPr>
          <w:rFonts w:ascii="Arial" w:hAnsi="Arial" w:cs="Arial"/>
          <w:noProof/>
          <w:sz w:val="24"/>
          <w:szCs w:val="24"/>
        </w:rPr>
        <w:t>C</w:t>
      </w:r>
      <w:r w:rsidRPr="00E53D09">
        <w:rPr>
          <w:rFonts w:ascii="Arial" w:hAnsi="Arial" w:cs="Arial"/>
          <w:noProof/>
          <w:sz w:val="24"/>
          <w:szCs w:val="24"/>
        </w:rPr>
        <w:t xml:space="preserve">rime Commissioners. (2022, November 29). </w:t>
      </w:r>
      <w:r w:rsidRPr="00E53D09">
        <w:rPr>
          <w:rFonts w:ascii="Arial" w:hAnsi="Arial" w:cs="Arial"/>
          <w:i/>
          <w:iCs/>
          <w:noProof/>
          <w:sz w:val="24"/>
          <w:szCs w:val="24"/>
        </w:rPr>
        <w:t>Role of the PCC</w:t>
      </w:r>
      <w:r w:rsidRPr="00E53D09">
        <w:rPr>
          <w:rFonts w:ascii="Arial" w:hAnsi="Arial" w:cs="Arial"/>
          <w:noProof/>
          <w:sz w:val="24"/>
          <w:szCs w:val="24"/>
        </w:rPr>
        <w:t>. Retrieved from Association of Police and Crime Commissioners: https://apccs.police.uk/role-of-the-pcc/</w:t>
      </w:r>
    </w:p>
    <w:p w14:paraId="44E3D9B8"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Barb</w:t>
      </w:r>
      <w:r>
        <w:rPr>
          <w:rFonts w:ascii="Arial" w:hAnsi="Arial" w:cs="Arial"/>
          <w:noProof/>
          <w:sz w:val="24"/>
          <w:szCs w:val="24"/>
        </w:rPr>
        <w:t>e</w:t>
      </w:r>
      <w:r w:rsidRPr="00E53D09">
        <w:rPr>
          <w:rFonts w:ascii="Arial" w:hAnsi="Arial" w:cs="Arial"/>
          <w:noProof/>
          <w:sz w:val="24"/>
          <w:szCs w:val="24"/>
        </w:rPr>
        <w:t xml:space="preserve">r, M. (2022). </w:t>
      </w:r>
      <w:r w:rsidRPr="00E53D09">
        <w:rPr>
          <w:rFonts w:ascii="Arial" w:hAnsi="Arial" w:cs="Arial"/>
          <w:i/>
          <w:iCs/>
          <w:noProof/>
          <w:sz w:val="24"/>
          <w:szCs w:val="24"/>
        </w:rPr>
        <w:t>A NEW MODE OF PROTECTION: Redesigning policing and public Safety for the 21st Century.</w:t>
      </w:r>
      <w:r w:rsidRPr="00E53D09">
        <w:rPr>
          <w:rFonts w:ascii="Arial" w:hAnsi="Arial" w:cs="Arial"/>
          <w:noProof/>
          <w:sz w:val="24"/>
          <w:szCs w:val="24"/>
        </w:rPr>
        <w:t xml:space="preserve"> London: The Police Foundation. Retrieved from file:///C:/Users/swp54722/OneDrive%20-%20South%20Wales%20Police/Documents/MSC%20Module%204/srpew_final_report.pdf</w:t>
      </w:r>
    </w:p>
    <w:p w14:paraId="74244F18"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BBC News. (2013, July 15). </w:t>
      </w:r>
      <w:r w:rsidRPr="00E53D09">
        <w:rPr>
          <w:rFonts w:ascii="Arial" w:hAnsi="Arial" w:cs="Arial"/>
          <w:i/>
          <w:iCs/>
          <w:noProof/>
          <w:sz w:val="24"/>
          <w:szCs w:val="24"/>
        </w:rPr>
        <w:t>'Devolve policing' says South Wales PCC Alun Michael</w:t>
      </w:r>
      <w:r w:rsidRPr="00E53D09">
        <w:rPr>
          <w:rFonts w:ascii="Arial" w:hAnsi="Arial" w:cs="Arial"/>
          <w:noProof/>
          <w:sz w:val="24"/>
          <w:szCs w:val="24"/>
        </w:rPr>
        <w:t>. Retrieved December 14, 2022, from BBC News: https://www.bbc.co.uk/news/uk-wales-23306279</w:t>
      </w:r>
    </w:p>
    <w:p w14:paraId="2FFB3119" w14:textId="77777777" w:rsidR="00287D52" w:rsidRDefault="00287D52" w:rsidP="00287D52">
      <w:pPr>
        <w:ind w:left="720" w:hanging="720"/>
        <w:rPr>
          <w:rFonts w:ascii="Arial" w:hAnsi="Arial" w:cs="Arial"/>
          <w:sz w:val="24"/>
          <w:szCs w:val="24"/>
        </w:rPr>
      </w:pPr>
      <w:r w:rsidRPr="0016187B">
        <w:rPr>
          <w:rFonts w:ascii="Arial" w:hAnsi="Arial" w:cs="Arial"/>
          <w:sz w:val="24"/>
          <w:szCs w:val="24"/>
        </w:rPr>
        <w:t xml:space="preserve">BBC News (2013, November 25) </w:t>
      </w:r>
      <w:r w:rsidRPr="000E17B5">
        <w:rPr>
          <w:rFonts w:ascii="Arial" w:hAnsi="Arial" w:cs="Arial"/>
          <w:sz w:val="24"/>
          <w:szCs w:val="24"/>
        </w:rPr>
        <w:t>Call for single Welsh police force as 'cost effective'</w:t>
      </w:r>
      <w:r>
        <w:rPr>
          <w:rFonts w:ascii="Arial" w:hAnsi="Arial" w:cs="Arial"/>
          <w:sz w:val="24"/>
          <w:szCs w:val="24"/>
        </w:rPr>
        <w:t xml:space="preserve">. Retrieved January 4, 2023, from BBC News </w:t>
      </w:r>
      <w:r w:rsidRPr="00C50B96">
        <w:rPr>
          <w:rFonts w:ascii="Arial" w:hAnsi="Arial" w:cs="Arial"/>
          <w:sz w:val="24"/>
          <w:szCs w:val="24"/>
        </w:rPr>
        <w:t>https://www.bbc.co.uk/news/uk-wales-south-east-wales-25088796</w:t>
      </w:r>
    </w:p>
    <w:p w14:paraId="13CF3030" w14:textId="5A923CBF" w:rsidR="00287D52" w:rsidRPr="0016187B" w:rsidRDefault="00287D52" w:rsidP="00D20C13">
      <w:pPr>
        <w:ind w:left="720" w:hanging="720"/>
        <w:rPr>
          <w:rFonts w:ascii="Arial" w:hAnsi="Arial" w:cs="Arial"/>
          <w:sz w:val="24"/>
          <w:szCs w:val="24"/>
        </w:rPr>
      </w:pPr>
      <w:proofErr w:type="spellStart"/>
      <w:r w:rsidRPr="001658E7">
        <w:rPr>
          <w:rFonts w:ascii="Arial" w:hAnsi="Arial" w:cs="Arial"/>
          <w:sz w:val="24"/>
          <w:szCs w:val="24"/>
        </w:rPr>
        <w:t>Beeri</w:t>
      </w:r>
      <w:proofErr w:type="spellEnd"/>
      <w:r w:rsidRPr="001658E7">
        <w:rPr>
          <w:rFonts w:ascii="Arial" w:hAnsi="Arial" w:cs="Arial"/>
          <w:sz w:val="24"/>
          <w:szCs w:val="24"/>
        </w:rPr>
        <w:t xml:space="preserve">, </w:t>
      </w:r>
      <w:r>
        <w:rPr>
          <w:rFonts w:ascii="Arial" w:hAnsi="Arial" w:cs="Arial"/>
          <w:sz w:val="24"/>
          <w:szCs w:val="24"/>
        </w:rPr>
        <w:t xml:space="preserve">I. &amp; </w:t>
      </w:r>
      <w:r w:rsidRPr="001658E7">
        <w:rPr>
          <w:rFonts w:ascii="Arial" w:hAnsi="Arial" w:cs="Arial"/>
          <w:sz w:val="24"/>
          <w:szCs w:val="24"/>
        </w:rPr>
        <w:t>Yuval,</w:t>
      </w:r>
      <w:r>
        <w:rPr>
          <w:rFonts w:ascii="Arial" w:hAnsi="Arial" w:cs="Arial"/>
          <w:sz w:val="24"/>
          <w:szCs w:val="24"/>
        </w:rPr>
        <w:t xml:space="preserve"> F. (2005).</w:t>
      </w:r>
      <w:r w:rsidRPr="001658E7">
        <w:rPr>
          <w:rFonts w:ascii="Arial" w:hAnsi="Arial" w:cs="Arial"/>
          <w:sz w:val="24"/>
          <w:szCs w:val="24"/>
        </w:rPr>
        <w:t xml:space="preserve"> New Localism and Neutralizing Local Government: Has Anyone Bothered Asking the Public for Its Opinion? </w:t>
      </w:r>
      <w:r w:rsidRPr="001658E7">
        <w:rPr>
          <w:rFonts w:ascii="Arial" w:hAnsi="Arial" w:cs="Arial"/>
          <w:i/>
          <w:iCs/>
          <w:sz w:val="24"/>
          <w:szCs w:val="24"/>
        </w:rPr>
        <w:t>Journal of Public Administration Research and Theory,</w:t>
      </w:r>
      <w:r w:rsidRPr="001658E7">
        <w:rPr>
          <w:rFonts w:ascii="Arial" w:hAnsi="Arial" w:cs="Arial"/>
          <w:sz w:val="24"/>
          <w:szCs w:val="24"/>
        </w:rPr>
        <w:t xml:space="preserve"> </w:t>
      </w:r>
      <w:r>
        <w:rPr>
          <w:rFonts w:ascii="Arial" w:hAnsi="Arial" w:cs="Arial"/>
          <w:sz w:val="24"/>
          <w:szCs w:val="24"/>
        </w:rPr>
        <w:t>(</w:t>
      </w:r>
      <w:r w:rsidRPr="001658E7">
        <w:rPr>
          <w:rFonts w:ascii="Arial" w:hAnsi="Arial" w:cs="Arial"/>
          <w:sz w:val="24"/>
          <w:szCs w:val="24"/>
        </w:rPr>
        <w:t>25</w:t>
      </w:r>
      <w:r>
        <w:rPr>
          <w:rFonts w:ascii="Arial" w:hAnsi="Arial" w:cs="Arial"/>
          <w:sz w:val="24"/>
          <w:szCs w:val="24"/>
        </w:rPr>
        <w:t>)</w:t>
      </w:r>
      <w:r w:rsidRPr="001658E7">
        <w:rPr>
          <w:rFonts w:ascii="Arial" w:hAnsi="Arial" w:cs="Arial"/>
          <w:sz w:val="24"/>
          <w:szCs w:val="24"/>
        </w:rPr>
        <w:t xml:space="preserve"> 2</w:t>
      </w:r>
      <w:r>
        <w:rPr>
          <w:rFonts w:ascii="Arial" w:hAnsi="Arial" w:cs="Arial"/>
          <w:sz w:val="24"/>
          <w:szCs w:val="24"/>
        </w:rPr>
        <w:t xml:space="preserve">. </w:t>
      </w:r>
      <w:r w:rsidRPr="001658E7">
        <w:rPr>
          <w:rFonts w:ascii="Arial" w:hAnsi="Arial" w:cs="Arial"/>
          <w:sz w:val="24"/>
          <w:szCs w:val="24"/>
        </w:rPr>
        <w:t>Page</w:t>
      </w:r>
      <w:r>
        <w:rPr>
          <w:rFonts w:ascii="Arial" w:hAnsi="Arial" w:cs="Arial"/>
          <w:sz w:val="24"/>
          <w:szCs w:val="24"/>
        </w:rPr>
        <w:t>s</w:t>
      </w:r>
      <w:r w:rsidRPr="001658E7">
        <w:rPr>
          <w:rFonts w:ascii="Arial" w:hAnsi="Arial" w:cs="Arial"/>
          <w:sz w:val="24"/>
          <w:szCs w:val="24"/>
        </w:rPr>
        <w:t xml:space="preserve"> 623–653, https://doi.org/10.1093/jopart/mut031</w:t>
      </w:r>
    </w:p>
    <w:p w14:paraId="0E785883"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Bevir, M. (2010). </w:t>
      </w:r>
      <w:r w:rsidRPr="00A95376">
        <w:rPr>
          <w:rFonts w:ascii="Arial" w:hAnsi="Arial" w:cs="Arial"/>
          <w:i/>
          <w:iCs/>
          <w:noProof/>
          <w:sz w:val="24"/>
          <w:szCs w:val="24"/>
        </w:rPr>
        <w:t>Democratic Governance</w:t>
      </w:r>
      <w:r w:rsidRPr="00E53D09">
        <w:rPr>
          <w:rFonts w:ascii="Arial" w:hAnsi="Arial" w:cs="Arial"/>
          <w:noProof/>
          <w:sz w:val="24"/>
          <w:szCs w:val="24"/>
        </w:rPr>
        <w:t xml:space="preserve">. </w:t>
      </w:r>
      <w:r w:rsidRPr="00A95376">
        <w:rPr>
          <w:rFonts w:ascii="Arial" w:hAnsi="Arial" w:cs="Arial"/>
          <w:noProof/>
          <w:sz w:val="24"/>
          <w:szCs w:val="24"/>
        </w:rPr>
        <w:t>Princeton University Press</w:t>
      </w:r>
      <w:r w:rsidRPr="00E53D09">
        <w:rPr>
          <w:rFonts w:ascii="Arial" w:hAnsi="Arial" w:cs="Arial"/>
          <w:noProof/>
          <w:sz w:val="24"/>
          <w:szCs w:val="24"/>
        </w:rPr>
        <w:t>, 320. Retrieved October 31, 2022, from http://www.jstor.org/stable/j.ctt7sxxb</w:t>
      </w:r>
    </w:p>
    <w:p w14:paraId="39E86079"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Bradford</w:t>
      </w:r>
      <w:r>
        <w:rPr>
          <w:rFonts w:ascii="Arial" w:hAnsi="Arial" w:cs="Arial"/>
          <w:noProof/>
          <w:sz w:val="24"/>
          <w:szCs w:val="24"/>
        </w:rPr>
        <w:t>,</w:t>
      </w:r>
      <w:r w:rsidRPr="00E53D09">
        <w:rPr>
          <w:rFonts w:ascii="Arial" w:hAnsi="Arial" w:cs="Arial"/>
          <w:noProof/>
          <w:sz w:val="24"/>
          <w:szCs w:val="24"/>
        </w:rPr>
        <w:t xml:space="preserve"> B</w:t>
      </w:r>
      <w:r>
        <w:rPr>
          <w:rFonts w:ascii="Arial" w:hAnsi="Arial" w:cs="Arial"/>
          <w:noProof/>
          <w:sz w:val="24"/>
          <w:szCs w:val="24"/>
        </w:rPr>
        <w:t>.</w:t>
      </w:r>
      <w:r w:rsidRPr="00E53D09">
        <w:rPr>
          <w:rFonts w:ascii="Arial" w:hAnsi="Arial" w:cs="Arial"/>
          <w:noProof/>
          <w:sz w:val="24"/>
          <w:szCs w:val="24"/>
        </w:rPr>
        <w:t>, Jackson</w:t>
      </w:r>
      <w:r>
        <w:rPr>
          <w:rFonts w:ascii="Arial" w:hAnsi="Arial" w:cs="Arial"/>
          <w:noProof/>
          <w:sz w:val="24"/>
          <w:szCs w:val="24"/>
        </w:rPr>
        <w:t>,</w:t>
      </w:r>
      <w:r w:rsidRPr="00E53D09">
        <w:rPr>
          <w:rFonts w:ascii="Arial" w:hAnsi="Arial" w:cs="Arial"/>
          <w:noProof/>
          <w:sz w:val="24"/>
          <w:szCs w:val="24"/>
        </w:rPr>
        <w:t xml:space="preserve"> J</w:t>
      </w:r>
      <w:r>
        <w:rPr>
          <w:rFonts w:ascii="Arial" w:hAnsi="Arial" w:cs="Arial"/>
          <w:noProof/>
          <w:sz w:val="24"/>
          <w:szCs w:val="24"/>
        </w:rPr>
        <w:t>.</w:t>
      </w:r>
      <w:r w:rsidRPr="00E53D09">
        <w:rPr>
          <w:rFonts w:ascii="Arial" w:hAnsi="Arial" w:cs="Arial"/>
          <w:noProof/>
          <w:sz w:val="24"/>
          <w:szCs w:val="24"/>
        </w:rPr>
        <w:t xml:space="preserve"> &amp; Hough</w:t>
      </w:r>
      <w:r>
        <w:rPr>
          <w:rFonts w:ascii="Arial" w:hAnsi="Arial" w:cs="Arial"/>
          <w:noProof/>
          <w:sz w:val="24"/>
          <w:szCs w:val="24"/>
        </w:rPr>
        <w:t>,</w:t>
      </w:r>
      <w:r w:rsidRPr="00E53D09">
        <w:rPr>
          <w:rFonts w:ascii="Arial" w:hAnsi="Arial" w:cs="Arial"/>
          <w:noProof/>
          <w:sz w:val="24"/>
          <w:szCs w:val="24"/>
        </w:rPr>
        <w:t xml:space="preserve"> M. (2013). </w:t>
      </w:r>
      <w:r w:rsidRPr="00E53D09">
        <w:rPr>
          <w:rFonts w:ascii="Arial" w:hAnsi="Arial" w:cs="Arial"/>
          <w:i/>
          <w:iCs/>
          <w:noProof/>
          <w:sz w:val="24"/>
          <w:szCs w:val="24"/>
        </w:rPr>
        <w:t>Police futures and legitimacy: Redefining ‘good policing’.</w:t>
      </w:r>
      <w:r w:rsidRPr="00E53D09">
        <w:rPr>
          <w:rFonts w:ascii="Arial" w:hAnsi="Arial" w:cs="Arial"/>
          <w:noProof/>
          <w:sz w:val="24"/>
          <w:szCs w:val="24"/>
        </w:rPr>
        <w:t xml:space="preserve"> (J. Brown, </w:t>
      </w:r>
      <w:r>
        <w:rPr>
          <w:rFonts w:ascii="Arial" w:hAnsi="Arial" w:cs="Arial"/>
          <w:noProof/>
          <w:sz w:val="24"/>
          <w:szCs w:val="24"/>
        </w:rPr>
        <w:t>e</w:t>
      </w:r>
      <w:r w:rsidRPr="00E53D09">
        <w:rPr>
          <w:rFonts w:ascii="Arial" w:hAnsi="Arial" w:cs="Arial"/>
          <w:noProof/>
          <w:sz w:val="24"/>
          <w:szCs w:val="24"/>
        </w:rPr>
        <w:t>d.) Abingdon: Routledge.</w:t>
      </w:r>
    </w:p>
    <w:p w14:paraId="22C9D55B"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Bryson, J. M. (2004). ‘What to do when stakeholders matter: stakeholder identification and analysis techniques. </w:t>
      </w:r>
      <w:r w:rsidRPr="00E53D09">
        <w:rPr>
          <w:rFonts w:ascii="Arial" w:hAnsi="Arial" w:cs="Arial"/>
          <w:i/>
          <w:iCs/>
          <w:noProof/>
          <w:sz w:val="24"/>
          <w:szCs w:val="24"/>
        </w:rPr>
        <w:t>Public Management Review, 6</w:t>
      </w:r>
      <w:r w:rsidRPr="00E53D09">
        <w:rPr>
          <w:rFonts w:ascii="Arial" w:hAnsi="Arial" w:cs="Arial"/>
          <w:noProof/>
          <w:sz w:val="24"/>
          <w:szCs w:val="24"/>
        </w:rPr>
        <w:t>(1), 21–53. Retrieved November 24, 2022</w:t>
      </w:r>
    </w:p>
    <w:p w14:paraId="340ABDE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Bullock, K. &amp; Sindall, K. (2014). Examining the nature and extent of public participation in neighbourhood policing. </w:t>
      </w:r>
      <w:r w:rsidRPr="00E53D09">
        <w:rPr>
          <w:rFonts w:ascii="Arial" w:hAnsi="Arial" w:cs="Arial"/>
          <w:i/>
          <w:iCs/>
          <w:noProof/>
          <w:sz w:val="24"/>
          <w:szCs w:val="24"/>
        </w:rPr>
        <w:t>Policing and Society, 24</w:t>
      </w:r>
      <w:r w:rsidRPr="00E53D09">
        <w:rPr>
          <w:rFonts w:ascii="Arial" w:hAnsi="Arial" w:cs="Arial"/>
          <w:noProof/>
          <w:sz w:val="24"/>
          <w:szCs w:val="24"/>
        </w:rPr>
        <w:t>(4), 385</w:t>
      </w:r>
      <w:r>
        <w:rPr>
          <w:rFonts w:ascii="Arial" w:hAnsi="Arial" w:cs="Arial"/>
          <w:noProof/>
          <w:sz w:val="24"/>
          <w:szCs w:val="24"/>
        </w:rPr>
        <w:t>–</w:t>
      </w:r>
      <w:r w:rsidRPr="00E53D09">
        <w:rPr>
          <w:rFonts w:ascii="Arial" w:hAnsi="Arial" w:cs="Arial"/>
          <w:noProof/>
          <w:sz w:val="24"/>
          <w:szCs w:val="24"/>
        </w:rPr>
        <w:t>404. doi:https://doi.org/10.1080/10439463.2013.844130</w:t>
      </w:r>
    </w:p>
    <w:p w14:paraId="1B242974"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Cadbury. (2002). </w:t>
      </w:r>
      <w:r w:rsidRPr="00E53D09">
        <w:rPr>
          <w:rFonts w:ascii="Arial" w:hAnsi="Arial" w:cs="Arial"/>
          <w:i/>
          <w:iCs/>
          <w:noProof/>
          <w:sz w:val="24"/>
          <w:szCs w:val="24"/>
        </w:rPr>
        <w:t>Corporate governance and chairmanship : a personal view.</w:t>
      </w:r>
      <w:r w:rsidRPr="00E53D09">
        <w:rPr>
          <w:rFonts w:ascii="Arial" w:hAnsi="Arial" w:cs="Arial"/>
          <w:noProof/>
          <w:sz w:val="24"/>
          <w:szCs w:val="24"/>
        </w:rPr>
        <w:t xml:space="preserve"> Oxford University Press.</w:t>
      </w:r>
    </w:p>
    <w:p w14:paraId="5556F525"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lastRenderedPageBreak/>
        <w:t xml:space="preserve">College of Policing. (2022, November 29). </w:t>
      </w:r>
      <w:r w:rsidRPr="00E53D09">
        <w:rPr>
          <w:rFonts w:ascii="Arial" w:hAnsi="Arial" w:cs="Arial"/>
          <w:i/>
          <w:iCs/>
          <w:noProof/>
          <w:sz w:val="24"/>
          <w:szCs w:val="24"/>
        </w:rPr>
        <w:t>Chief Constable</w:t>
      </w:r>
      <w:r w:rsidRPr="00E53D09">
        <w:rPr>
          <w:rFonts w:ascii="Arial" w:hAnsi="Arial" w:cs="Arial"/>
          <w:noProof/>
          <w:sz w:val="24"/>
          <w:szCs w:val="24"/>
        </w:rPr>
        <w:t>. Retrieved from College of Policing: https://profdev.college.police.uk/professional-profile/chief-constable/</w:t>
      </w:r>
    </w:p>
    <w:p w14:paraId="04077A84" w14:textId="77777777" w:rsidR="00287D52" w:rsidRPr="004650FE" w:rsidRDefault="00287D52" w:rsidP="00287D52">
      <w:pPr>
        <w:ind w:left="720" w:hanging="720"/>
        <w:rPr>
          <w:rFonts w:ascii="Arial" w:hAnsi="Arial" w:cs="Arial"/>
          <w:sz w:val="24"/>
          <w:szCs w:val="24"/>
        </w:rPr>
      </w:pPr>
      <w:r w:rsidRPr="004650FE">
        <w:rPr>
          <w:rFonts w:ascii="Arial" w:hAnsi="Arial" w:cs="Arial"/>
          <w:sz w:val="24"/>
          <w:szCs w:val="24"/>
        </w:rPr>
        <w:t xml:space="preserve">Committee on Improving the Health, Safety, and Well-Being of Young Adults; Board on Children, Youth, and Families; Institute of Medicine; National Research Council; </w:t>
      </w:r>
      <w:r>
        <w:rPr>
          <w:rFonts w:ascii="Arial" w:hAnsi="Arial" w:cs="Arial"/>
          <w:sz w:val="24"/>
          <w:szCs w:val="24"/>
        </w:rPr>
        <w:t>(</w:t>
      </w:r>
      <w:r w:rsidRPr="004650FE">
        <w:rPr>
          <w:rFonts w:ascii="Arial" w:hAnsi="Arial" w:cs="Arial"/>
          <w:sz w:val="24"/>
          <w:szCs w:val="24"/>
        </w:rPr>
        <w:t xml:space="preserve">Bonnie RJ, Stroud C, </w:t>
      </w:r>
      <w:proofErr w:type="spellStart"/>
      <w:r w:rsidRPr="004650FE">
        <w:rPr>
          <w:rFonts w:ascii="Arial" w:hAnsi="Arial" w:cs="Arial"/>
          <w:sz w:val="24"/>
          <w:szCs w:val="24"/>
        </w:rPr>
        <w:t>Breiner</w:t>
      </w:r>
      <w:proofErr w:type="spellEnd"/>
      <w:r w:rsidRPr="004650FE">
        <w:rPr>
          <w:rFonts w:ascii="Arial" w:hAnsi="Arial" w:cs="Arial"/>
          <w:sz w:val="24"/>
          <w:szCs w:val="24"/>
        </w:rPr>
        <w:t xml:space="preserve"> H, eds</w:t>
      </w:r>
      <w:r>
        <w:rPr>
          <w:rFonts w:ascii="Arial" w:hAnsi="Arial" w:cs="Arial"/>
          <w:sz w:val="24"/>
          <w:szCs w:val="24"/>
        </w:rPr>
        <w:t>)</w:t>
      </w:r>
      <w:r w:rsidRPr="004650FE">
        <w:rPr>
          <w:rFonts w:ascii="Arial" w:hAnsi="Arial" w:cs="Arial"/>
          <w:sz w:val="24"/>
          <w:szCs w:val="24"/>
        </w:rPr>
        <w:t>. Investing in the Health and Well-Being of Young Adults. Washington (DC): National Academies Press (US); 2015 Jan 27. Available from: https://www.ncbi.nlm.nih.gov/books/NBK284787/ doi: 10.17226/18869</w:t>
      </w:r>
    </w:p>
    <w:p w14:paraId="2DF3C6E9"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Council of Europe. (n.d.). The European Label of Governa</w:t>
      </w:r>
      <w:r>
        <w:rPr>
          <w:rFonts w:ascii="Arial" w:hAnsi="Arial" w:cs="Arial"/>
          <w:noProof/>
          <w:sz w:val="24"/>
          <w:szCs w:val="24"/>
        </w:rPr>
        <w:t>n</w:t>
      </w:r>
      <w:r w:rsidRPr="00E53D09">
        <w:rPr>
          <w:rFonts w:ascii="Arial" w:hAnsi="Arial" w:cs="Arial"/>
          <w:noProof/>
          <w:sz w:val="24"/>
          <w:szCs w:val="24"/>
        </w:rPr>
        <w:t>ce E</w:t>
      </w:r>
      <w:r>
        <w:rPr>
          <w:rFonts w:ascii="Arial" w:hAnsi="Arial" w:cs="Arial"/>
          <w:noProof/>
          <w:sz w:val="24"/>
          <w:szCs w:val="24"/>
        </w:rPr>
        <w:t>x</w:t>
      </w:r>
      <w:r w:rsidRPr="00E53D09">
        <w:rPr>
          <w:rFonts w:ascii="Arial" w:hAnsi="Arial" w:cs="Arial"/>
          <w:noProof/>
          <w:sz w:val="24"/>
          <w:szCs w:val="24"/>
        </w:rPr>
        <w:t xml:space="preserve">cellence. Retrieved November 25, 2022, from https://www.coe.int/en/web/good-governance/eloge </w:t>
      </w:r>
    </w:p>
    <w:p w14:paraId="7C22B1E1"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Dalgleish</w:t>
      </w:r>
      <w:r>
        <w:rPr>
          <w:rFonts w:ascii="Arial" w:hAnsi="Arial" w:cs="Arial"/>
          <w:noProof/>
          <w:sz w:val="24"/>
          <w:szCs w:val="24"/>
        </w:rPr>
        <w:t>,</w:t>
      </w:r>
      <w:r w:rsidRPr="00E53D09">
        <w:rPr>
          <w:rFonts w:ascii="Arial" w:hAnsi="Arial" w:cs="Arial"/>
          <w:noProof/>
          <w:sz w:val="24"/>
          <w:szCs w:val="24"/>
        </w:rPr>
        <w:t xml:space="preserve"> D</w:t>
      </w:r>
      <w:r>
        <w:rPr>
          <w:rFonts w:ascii="Arial" w:hAnsi="Arial" w:cs="Arial"/>
          <w:noProof/>
          <w:sz w:val="24"/>
          <w:szCs w:val="24"/>
        </w:rPr>
        <w:t>.</w:t>
      </w:r>
      <w:r w:rsidRPr="00E53D09">
        <w:rPr>
          <w:rFonts w:ascii="Arial" w:hAnsi="Arial" w:cs="Arial"/>
          <w:noProof/>
          <w:sz w:val="24"/>
          <w:szCs w:val="24"/>
        </w:rPr>
        <w:t xml:space="preserve"> &amp; Myhill</w:t>
      </w:r>
      <w:r>
        <w:rPr>
          <w:rFonts w:ascii="Arial" w:hAnsi="Arial" w:cs="Arial"/>
          <w:noProof/>
          <w:sz w:val="24"/>
          <w:szCs w:val="24"/>
        </w:rPr>
        <w:t>,</w:t>
      </w:r>
      <w:r w:rsidRPr="00E53D09">
        <w:rPr>
          <w:rFonts w:ascii="Arial" w:hAnsi="Arial" w:cs="Arial"/>
          <w:noProof/>
          <w:sz w:val="24"/>
          <w:szCs w:val="24"/>
        </w:rPr>
        <w:t xml:space="preserve"> A. (2004). </w:t>
      </w:r>
      <w:r w:rsidRPr="00E53D09">
        <w:rPr>
          <w:rFonts w:ascii="Arial" w:hAnsi="Arial" w:cs="Arial"/>
          <w:i/>
          <w:iCs/>
          <w:noProof/>
          <w:sz w:val="24"/>
          <w:szCs w:val="24"/>
        </w:rPr>
        <w:t>Reassuring the public: A review of international policing interventions.</w:t>
      </w:r>
      <w:r w:rsidRPr="00E53D09">
        <w:rPr>
          <w:rFonts w:ascii="Arial" w:hAnsi="Arial" w:cs="Arial"/>
          <w:noProof/>
          <w:sz w:val="24"/>
          <w:szCs w:val="24"/>
        </w:rPr>
        <w:t xml:space="preserve"> London: Home Office Findings</w:t>
      </w:r>
      <w:r>
        <w:rPr>
          <w:rFonts w:ascii="Arial" w:hAnsi="Arial" w:cs="Arial"/>
          <w:noProof/>
          <w:sz w:val="24"/>
          <w:szCs w:val="24"/>
        </w:rPr>
        <w:t>,</w:t>
      </w:r>
      <w:r w:rsidRPr="00E53D09">
        <w:rPr>
          <w:rFonts w:ascii="Arial" w:hAnsi="Arial" w:cs="Arial"/>
          <w:noProof/>
          <w:sz w:val="24"/>
          <w:szCs w:val="24"/>
        </w:rPr>
        <w:t xml:space="preserve"> 241. Retrieved from https://www.semanticscholar.org/paper/Reassuring-the-public-a-review-of-international-e-n-Dalgleish-Myhill/15a848ad4b5af922f2be426d7e891217ac6f7589</w:t>
      </w:r>
    </w:p>
    <w:p w14:paraId="5A0F11C1"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Dickinson, H. &amp; Sullivan, H. (2014). Towards a General Theory of Collaborative Performance: The Importance of Efficacy and Agency. </w:t>
      </w:r>
      <w:r w:rsidRPr="00E53D09">
        <w:rPr>
          <w:rFonts w:ascii="Arial" w:hAnsi="Arial" w:cs="Arial"/>
          <w:i/>
          <w:iCs/>
          <w:noProof/>
          <w:sz w:val="24"/>
          <w:szCs w:val="24"/>
        </w:rPr>
        <w:t>Public Administration , 92</w:t>
      </w:r>
      <w:r w:rsidRPr="00E53D09">
        <w:rPr>
          <w:rFonts w:ascii="Arial" w:hAnsi="Arial" w:cs="Arial"/>
          <w:noProof/>
          <w:sz w:val="24"/>
          <w:szCs w:val="24"/>
        </w:rPr>
        <w:t>(1), 161–177. doi:doi:10.1111/padm.12048</w:t>
      </w:r>
    </w:p>
    <w:p w14:paraId="0F28ED43"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Dodd, V. (2021, April 18). </w:t>
      </w:r>
      <w:r w:rsidRPr="00E53D09">
        <w:rPr>
          <w:rFonts w:ascii="Arial" w:hAnsi="Arial" w:cs="Arial"/>
          <w:i/>
          <w:iCs/>
          <w:noProof/>
          <w:sz w:val="24"/>
          <w:szCs w:val="24"/>
        </w:rPr>
        <w:t>Tackle poverty and inequality to reduce crime, says police chief</w:t>
      </w:r>
      <w:r w:rsidRPr="00E53D09">
        <w:rPr>
          <w:rFonts w:ascii="Arial" w:hAnsi="Arial" w:cs="Arial"/>
          <w:noProof/>
          <w:sz w:val="24"/>
          <w:szCs w:val="24"/>
        </w:rPr>
        <w:t>. Retrieved December 14, 2022, from The Guardian: https://www.theguardian.com/uk-news/2021/apr/18/tackle-poverty-and-inequality-to-reduce-says-police-chief</w:t>
      </w:r>
    </w:p>
    <w:p w14:paraId="3022D624" w14:textId="77777777" w:rsidR="00287D52" w:rsidRPr="00712194" w:rsidRDefault="00287D52" w:rsidP="00287D52">
      <w:pPr>
        <w:ind w:left="720" w:hanging="720"/>
        <w:rPr>
          <w:rFonts w:ascii="Arial" w:hAnsi="Arial" w:cs="Arial"/>
          <w:sz w:val="24"/>
          <w:szCs w:val="24"/>
        </w:rPr>
      </w:pPr>
      <w:r w:rsidRPr="00712194">
        <w:rPr>
          <w:rFonts w:ascii="Arial" w:hAnsi="Arial" w:cs="Arial"/>
          <w:sz w:val="24"/>
          <w:szCs w:val="24"/>
        </w:rPr>
        <w:t>Emsley, C. (2007). Crime, Police, and Penal Policy: European Experiences 1750</w:t>
      </w:r>
      <w:r>
        <w:rPr>
          <w:rFonts w:ascii="Arial" w:hAnsi="Arial" w:cs="Arial"/>
          <w:sz w:val="24"/>
          <w:szCs w:val="24"/>
        </w:rPr>
        <w:t>–</w:t>
      </w:r>
      <w:r w:rsidRPr="00712194">
        <w:rPr>
          <w:rFonts w:ascii="Arial" w:hAnsi="Arial" w:cs="Arial"/>
          <w:sz w:val="24"/>
          <w:szCs w:val="24"/>
        </w:rPr>
        <w:t>1940</w:t>
      </w:r>
      <w:r>
        <w:rPr>
          <w:rFonts w:ascii="Arial" w:hAnsi="Arial" w:cs="Arial"/>
          <w:sz w:val="24"/>
          <w:szCs w:val="24"/>
        </w:rPr>
        <w:t xml:space="preserve">. Oxford University. Available at: </w:t>
      </w:r>
      <w:r w:rsidRPr="00712194">
        <w:rPr>
          <w:rFonts w:ascii="Arial" w:hAnsi="Arial" w:cs="Arial"/>
          <w:sz w:val="24"/>
          <w:szCs w:val="24"/>
        </w:rPr>
        <w:t>https://doi.org/10.1093/acprof:oso/9780199202850.001.0001</w:t>
      </w:r>
      <w:r>
        <w:rPr>
          <w:rFonts w:ascii="Arial" w:hAnsi="Arial" w:cs="Arial"/>
          <w:sz w:val="24"/>
          <w:szCs w:val="24"/>
        </w:rPr>
        <w:t xml:space="preserve"> accessed 28 December 2022.</w:t>
      </w:r>
    </w:p>
    <w:p w14:paraId="437E02C3" w14:textId="544A2BF5" w:rsidR="00287D52" w:rsidRDefault="00287D52" w:rsidP="00287D52">
      <w:pPr>
        <w:pStyle w:val="Bibliography"/>
        <w:ind w:left="720" w:hanging="720"/>
        <w:rPr>
          <w:rFonts w:ascii="Arial" w:hAnsi="Arial" w:cs="Arial"/>
          <w:sz w:val="24"/>
          <w:szCs w:val="24"/>
        </w:rPr>
      </w:pPr>
      <w:r w:rsidRPr="001B1EB1">
        <w:rPr>
          <w:rFonts w:ascii="Arial" w:hAnsi="Arial" w:cs="Arial"/>
          <w:sz w:val="24"/>
          <w:szCs w:val="24"/>
        </w:rPr>
        <w:t>Emsley, C</w:t>
      </w:r>
      <w:r>
        <w:rPr>
          <w:rFonts w:ascii="Arial" w:hAnsi="Arial" w:cs="Arial"/>
          <w:sz w:val="24"/>
          <w:szCs w:val="24"/>
        </w:rPr>
        <w:t>.</w:t>
      </w:r>
      <w:r w:rsidRPr="001B1EB1">
        <w:rPr>
          <w:rFonts w:ascii="Arial" w:hAnsi="Arial" w:cs="Arial"/>
          <w:sz w:val="24"/>
          <w:szCs w:val="24"/>
        </w:rPr>
        <w:t xml:space="preserve"> (2013) ‘Peel’s Principles, Police Principles’, in J</w:t>
      </w:r>
      <w:r>
        <w:rPr>
          <w:rFonts w:ascii="Arial" w:hAnsi="Arial" w:cs="Arial"/>
          <w:sz w:val="24"/>
          <w:szCs w:val="24"/>
        </w:rPr>
        <w:t>.</w:t>
      </w:r>
      <w:r w:rsidRPr="001B1EB1">
        <w:rPr>
          <w:rFonts w:ascii="Arial" w:hAnsi="Arial" w:cs="Arial"/>
          <w:sz w:val="24"/>
          <w:szCs w:val="24"/>
        </w:rPr>
        <w:t xml:space="preserve"> Brown (ed.) </w:t>
      </w:r>
      <w:r w:rsidRPr="00A95376">
        <w:rPr>
          <w:rFonts w:ascii="Arial" w:hAnsi="Arial" w:cs="Arial"/>
          <w:i/>
          <w:iCs/>
          <w:sz w:val="24"/>
          <w:szCs w:val="24"/>
        </w:rPr>
        <w:t>The Future of Policing</w:t>
      </w:r>
      <w:r>
        <w:rPr>
          <w:rFonts w:ascii="Arial" w:hAnsi="Arial" w:cs="Arial"/>
          <w:sz w:val="24"/>
          <w:szCs w:val="24"/>
        </w:rPr>
        <w:t>.</w:t>
      </w:r>
      <w:r w:rsidRPr="001B1EB1">
        <w:rPr>
          <w:rFonts w:ascii="Arial" w:hAnsi="Arial" w:cs="Arial"/>
          <w:sz w:val="24"/>
          <w:szCs w:val="24"/>
        </w:rPr>
        <w:t xml:space="preserve"> London:</w:t>
      </w:r>
      <w:r>
        <w:rPr>
          <w:rFonts w:ascii="Arial" w:hAnsi="Arial" w:cs="Arial"/>
          <w:sz w:val="24"/>
          <w:szCs w:val="24"/>
        </w:rPr>
        <w:t xml:space="preserve"> </w:t>
      </w:r>
      <w:r w:rsidRPr="001B1EB1">
        <w:rPr>
          <w:rFonts w:ascii="Arial" w:hAnsi="Arial" w:cs="Arial"/>
          <w:sz w:val="24"/>
          <w:szCs w:val="24"/>
        </w:rPr>
        <w:t>Routledge.</w:t>
      </w:r>
    </w:p>
    <w:p w14:paraId="3C852B93" w14:textId="685C0EDF" w:rsidR="000B3BC7" w:rsidRPr="00420C94" w:rsidRDefault="000B3BC7" w:rsidP="00420C94">
      <w:pPr>
        <w:ind w:left="720" w:hanging="720"/>
        <w:rPr>
          <w:rFonts w:ascii="Arial" w:hAnsi="Arial" w:cs="Arial"/>
          <w:sz w:val="24"/>
          <w:szCs w:val="24"/>
        </w:rPr>
      </w:pPr>
      <w:r w:rsidRPr="00420C94">
        <w:rPr>
          <w:rFonts w:ascii="Arial" w:hAnsi="Arial" w:cs="Arial"/>
          <w:sz w:val="24"/>
          <w:szCs w:val="24"/>
        </w:rPr>
        <w:t>Estyn (2021)</w:t>
      </w:r>
      <w:r w:rsidR="00420C94" w:rsidRPr="00420C94">
        <w:rPr>
          <w:rFonts w:ascii="Arial" w:hAnsi="Arial" w:cs="Arial"/>
          <w:sz w:val="24"/>
          <w:szCs w:val="24"/>
        </w:rPr>
        <w:t xml:space="preserve">. </w:t>
      </w:r>
      <w:r w:rsidR="00420C94" w:rsidRPr="00420C94">
        <w:rPr>
          <w:rFonts w:ascii="Arial" w:hAnsi="Arial" w:cs="Arial"/>
          <w:sz w:val="24"/>
          <w:szCs w:val="24"/>
        </w:rPr>
        <w:t>“We don’t tell our teachers”</w:t>
      </w:r>
      <w:r w:rsidR="00420C94">
        <w:rPr>
          <w:rFonts w:ascii="Arial" w:hAnsi="Arial" w:cs="Arial"/>
          <w:sz w:val="24"/>
          <w:szCs w:val="24"/>
        </w:rPr>
        <w:t>:</w:t>
      </w:r>
      <w:r w:rsidR="00420C94" w:rsidRPr="00420C94">
        <w:rPr>
          <w:rFonts w:ascii="Arial" w:hAnsi="Arial" w:cs="Arial"/>
          <w:sz w:val="24"/>
          <w:szCs w:val="24"/>
        </w:rPr>
        <w:t xml:space="preserve"> Experiences of peer-on-peer sexual harassment among secondary school pupils in Wales</w:t>
      </w:r>
      <w:r w:rsidR="00420C94">
        <w:rPr>
          <w:rFonts w:ascii="Arial" w:hAnsi="Arial" w:cs="Arial"/>
          <w:sz w:val="24"/>
          <w:szCs w:val="24"/>
        </w:rPr>
        <w:t>. Estyn Publications. Retrieved on January 5, 2023, from:</w:t>
      </w:r>
      <w:r w:rsidR="00420C94">
        <w:t xml:space="preserve"> </w:t>
      </w:r>
      <w:r w:rsidR="00420C94" w:rsidRPr="00420C94">
        <w:rPr>
          <w:rFonts w:ascii="Arial" w:hAnsi="Arial" w:cs="Arial"/>
          <w:sz w:val="24"/>
          <w:szCs w:val="24"/>
        </w:rPr>
        <w:t>https://www.estyn.gov.wales/system/files/2021-12/Experiences%20of%20peer-on-peer%20sexual%20harassment%20among%20secondary%20school%20pupils%20in%20Wales_0.pdf</w:t>
      </w:r>
    </w:p>
    <w:p w14:paraId="543CCAF4"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Flanagan, R. (2008). </w:t>
      </w:r>
      <w:r w:rsidRPr="00E53D09">
        <w:rPr>
          <w:rFonts w:ascii="Arial" w:hAnsi="Arial" w:cs="Arial"/>
          <w:i/>
          <w:iCs/>
          <w:noProof/>
          <w:sz w:val="24"/>
          <w:szCs w:val="24"/>
        </w:rPr>
        <w:t>The Review of Policing: Final Report.</w:t>
      </w:r>
      <w:r w:rsidRPr="00E53D09">
        <w:rPr>
          <w:rFonts w:ascii="Arial" w:hAnsi="Arial" w:cs="Arial"/>
          <w:noProof/>
          <w:sz w:val="24"/>
          <w:szCs w:val="24"/>
        </w:rPr>
        <w:t xml:space="preserve"> Retrieved from https://www.justiceinspectorates.gov.uk/hmicfrs/media/flanagan-review-of-policing-20080201.pdf</w:t>
      </w:r>
    </w:p>
    <w:p w14:paraId="3B42E3D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lastRenderedPageBreak/>
        <w:t xml:space="preserve">Fraser, N. 2. (1990). Rethinking the Public Sphere: A Contribution to the Critique of Actually Existing Democracy. </w:t>
      </w:r>
      <w:r w:rsidRPr="00E53D09">
        <w:rPr>
          <w:rFonts w:ascii="Arial" w:hAnsi="Arial" w:cs="Arial"/>
          <w:i/>
          <w:iCs/>
          <w:noProof/>
          <w:sz w:val="24"/>
          <w:szCs w:val="24"/>
        </w:rPr>
        <w:t>Social Text, 26/27</w:t>
      </w:r>
      <w:r w:rsidRPr="00E53D09">
        <w:rPr>
          <w:rFonts w:ascii="Arial" w:hAnsi="Arial" w:cs="Arial"/>
          <w:noProof/>
          <w:sz w:val="24"/>
          <w:szCs w:val="24"/>
        </w:rPr>
        <w:t>, 56–80. doi:https://doi.org/10.2307/466240</w:t>
      </w:r>
    </w:p>
    <w:p w14:paraId="102C3402" w14:textId="77777777" w:rsidR="00287D52" w:rsidRPr="00E53D09" w:rsidRDefault="00287D52" w:rsidP="00287D52">
      <w:pPr>
        <w:pStyle w:val="Bibliography"/>
        <w:ind w:left="720" w:hanging="720"/>
        <w:rPr>
          <w:rFonts w:ascii="Arial" w:hAnsi="Arial" w:cs="Arial"/>
          <w:noProof/>
          <w:sz w:val="24"/>
          <w:szCs w:val="24"/>
        </w:rPr>
      </w:pPr>
      <w:bookmarkStart w:id="5" w:name="_Hlk124168830"/>
      <w:r w:rsidRPr="00E53D09">
        <w:rPr>
          <w:rFonts w:ascii="Arial" w:hAnsi="Arial" w:cs="Arial"/>
          <w:noProof/>
          <w:sz w:val="24"/>
          <w:szCs w:val="24"/>
        </w:rPr>
        <w:t>F</w:t>
      </w:r>
      <w:r>
        <w:rPr>
          <w:rFonts w:ascii="Arial" w:hAnsi="Arial" w:cs="Arial"/>
          <w:noProof/>
          <w:sz w:val="24"/>
          <w:szCs w:val="24"/>
        </w:rPr>
        <w:t>ré</w:t>
      </w:r>
      <w:r w:rsidRPr="00E53D09">
        <w:rPr>
          <w:rFonts w:ascii="Arial" w:hAnsi="Arial" w:cs="Arial"/>
          <w:noProof/>
          <w:sz w:val="24"/>
          <w:szCs w:val="24"/>
        </w:rPr>
        <w:t>chette, L. (1999). Good Governance Crucial in Global Struggle For Development and Peace. Manilla: United Nations. Retrieved October 31, 2022, from https://press.un.org/en/1999/19990528.DSGSM53.html</w:t>
      </w:r>
    </w:p>
    <w:bookmarkEnd w:id="5"/>
    <w:p w14:paraId="0AD3F65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Freeman, R. E. (1984). </w:t>
      </w:r>
      <w:r w:rsidRPr="00E53D09">
        <w:rPr>
          <w:rFonts w:ascii="Arial" w:hAnsi="Arial" w:cs="Arial"/>
          <w:i/>
          <w:iCs/>
          <w:noProof/>
          <w:sz w:val="24"/>
          <w:szCs w:val="24"/>
        </w:rPr>
        <w:t>Strategic Management: A Stakeholder Approach.</w:t>
      </w:r>
      <w:r w:rsidRPr="00E53D09">
        <w:rPr>
          <w:rFonts w:ascii="Arial" w:hAnsi="Arial" w:cs="Arial"/>
          <w:noProof/>
          <w:sz w:val="24"/>
          <w:szCs w:val="24"/>
        </w:rPr>
        <w:t xml:space="preserve"> Boston (MA): Pitman.</w:t>
      </w:r>
    </w:p>
    <w:p w14:paraId="009E114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Goldstein, H. (1990). </w:t>
      </w:r>
      <w:r w:rsidRPr="00E53D09">
        <w:rPr>
          <w:rFonts w:ascii="Arial" w:hAnsi="Arial" w:cs="Arial"/>
          <w:i/>
          <w:iCs/>
          <w:noProof/>
          <w:sz w:val="24"/>
          <w:szCs w:val="24"/>
        </w:rPr>
        <w:t>Problem</w:t>
      </w:r>
      <w:r w:rsidRPr="00E53D09">
        <w:rPr>
          <w:rFonts w:ascii="Cambria Math" w:hAnsi="Cambria Math" w:cs="Cambria Math"/>
          <w:i/>
          <w:iCs/>
          <w:noProof/>
          <w:sz w:val="24"/>
          <w:szCs w:val="24"/>
        </w:rPr>
        <w:t>‐</w:t>
      </w:r>
      <w:r w:rsidRPr="00E53D09">
        <w:rPr>
          <w:rFonts w:ascii="Arial" w:hAnsi="Arial" w:cs="Arial"/>
          <w:i/>
          <w:iCs/>
          <w:noProof/>
          <w:sz w:val="24"/>
          <w:szCs w:val="24"/>
        </w:rPr>
        <w:t>oriented policing.</w:t>
      </w:r>
      <w:r w:rsidRPr="00E53D09">
        <w:rPr>
          <w:rFonts w:ascii="Arial" w:hAnsi="Arial" w:cs="Arial"/>
          <w:noProof/>
          <w:sz w:val="24"/>
          <w:szCs w:val="24"/>
        </w:rPr>
        <w:t xml:space="preserve"> Philidelphia, PA: Temple University Press.</w:t>
      </w:r>
    </w:p>
    <w:p w14:paraId="4B09373E"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Government Office for Science. (2012). Introduction to Systems </w:t>
      </w:r>
      <w:r>
        <w:rPr>
          <w:rFonts w:ascii="Arial" w:hAnsi="Arial" w:cs="Arial"/>
          <w:noProof/>
          <w:sz w:val="24"/>
          <w:szCs w:val="24"/>
        </w:rPr>
        <w:t>T</w:t>
      </w:r>
      <w:r w:rsidRPr="00E53D09">
        <w:rPr>
          <w:rFonts w:ascii="Arial" w:hAnsi="Arial" w:cs="Arial"/>
          <w:noProof/>
          <w:sz w:val="24"/>
          <w:szCs w:val="24"/>
        </w:rPr>
        <w:t xml:space="preserve">hinking. </w:t>
      </w:r>
      <w:r w:rsidRPr="00E53D09">
        <w:rPr>
          <w:rFonts w:ascii="Arial" w:hAnsi="Arial" w:cs="Arial"/>
          <w:i/>
          <w:iCs/>
          <w:noProof/>
          <w:sz w:val="24"/>
          <w:szCs w:val="24"/>
        </w:rPr>
        <w:t>Government Operational Research Service</w:t>
      </w:r>
      <w:r w:rsidRPr="00E53D09">
        <w:rPr>
          <w:rFonts w:ascii="Arial" w:hAnsi="Arial" w:cs="Arial"/>
          <w:noProof/>
          <w:sz w:val="24"/>
          <w:szCs w:val="24"/>
        </w:rPr>
        <w:t>. Retrieved November 29, 2022, from https://assets.publishing.service.gov.uk/government/uploads/system/uploads/attachment_data/file/285442/12-1043-introduction-to-systems-thinking-gse-seminar.pdf</w:t>
      </w:r>
    </w:p>
    <w:p w14:paraId="3B9921B0"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Grinc, R. (1994). </w:t>
      </w:r>
      <w:r>
        <w:rPr>
          <w:rFonts w:ascii="Arial" w:hAnsi="Arial" w:cs="Arial"/>
          <w:noProof/>
          <w:sz w:val="24"/>
          <w:szCs w:val="24"/>
        </w:rPr>
        <w:t>“</w:t>
      </w:r>
      <w:r w:rsidRPr="00E53D09">
        <w:rPr>
          <w:rFonts w:ascii="Arial" w:hAnsi="Arial" w:cs="Arial"/>
          <w:noProof/>
          <w:sz w:val="24"/>
          <w:szCs w:val="24"/>
        </w:rPr>
        <w:t xml:space="preserve">Angels in Marble”: problems in stimulating community involvement in community policing. </w:t>
      </w:r>
      <w:r w:rsidRPr="00E53D09">
        <w:rPr>
          <w:rFonts w:ascii="Arial" w:hAnsi="Arial" w:cs="Arial"/>
          <w:i/>
          <w:iCs/>
          <w:noProof/>
          <w:sz w:val="24"/>
          <w:szCs w:val="24"/>
        </w:rPr>
        <w:t>Crime and delinquency, 40</w:t>
      </w:r>
      <w:r w:rsidRPr="00E53D09">
        <w:rPr>
          <w:rFonts w:ascii="Arial" w:hAnsi="Arial" w:cs="Arial"/>
          <w:noProof/>
          <w:sz w:val="24"/>
          <w:szCs w:val="24"/>
        </w:rPr>
        <w:t>(3), 437–468. doi:https://doi.org/10.1177/0011128794040003008</w:t>
      </w:r>
    </w:p>
    <w:p w14:paraId="7CAE2BE9"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Herbert, N. (20, november 21). </w:t>
      </w:r>
      <w:r w:rsidRPr="00E53D09">
        <w:rPr>
          <w:rFonts w:ascii="Arial" w:hAnsi="Arial" w:cs="Arial"/>
          <w:i/>
          <w:iCs/>
          <w:noProof/>
          <w:sz w:val="24"/>
          <w:szCs w:val="24"/>
        </w:rPr>
        <w:t>A New Era in Policing, Speech to the Institute for Government</w:t>
      </w:r>
      <w:r w:rsidRPr="00E53D09">
        <w:rPr>
          <w:rFonts w:ascii="Arial" w:hAnsi="Arial" w:cs="Arial"/>
          <w:noProof/>
          <w:sz w:val="24"/>
          <w:szCs w:val="24"/>
        </w:rPr>
        <w:t>. Retrieved November 30, 2022, from Gov.uk: https://www.gov.uk/government/speeches/a-new-era-in-policing-nick-herberts-speech-to-the-institute-for-government</w:t>
      </w:r>
    </w:p>
    <w:p w14:paraId="40D774B8"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Herbert, S. (2006). </w:t>
      </w:r>
      <w:r w:rsidRPr="00E53D09">
        <w:rPr>
          <w:rFonts w:ascii="Arial" w:hAnsi="Arial" w:cs="Arial"/>
          <w:i/>
          <w:iCs/>
          <w:noProof/>
          <w:sz w:val="24"/>
          <w:szCs w:val="24"/>
        </w:rPr>
        <w:t>Citizens, cops, and power: recognizing the limits of community.</w:t>
      </w:r>
      <w:r w:rsidRPr="00E53D09">
        <w:rPr>
          <w:rFonts w:ascii="Arial" w:hAnsi="Arial" w:cs="Arial"/>
          <w:noProof/>
          <w:sz w:val="24"/>
          <w:szCs w:val="24"/>
        </w:rPr>
        <w:t xml:space="preserve"> Chicago: The University of Chicago Press.</w:t>
      </w:r>
    </w:p>
    <w:p w14:paraId="24A5800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Hinkle, J., Weisburd, D., Telep, C. &amp; Peterson, K. (</w:t>
      </w:r>
      <w:r>
        <w:rPr>
          <w:rFonts w:ascii="Arial" w:hAnsi="Arial" w:cs="Arial"/>
          <w:noProof/>
          <w:sz w:val="24"/>
          <w:szCs w:val="24"/>
        </w:rPr>
        <w:t>2020</w:t>
      </w:r>
      <w:r w:rsidRPr="00E53D09">
        <w:rPr>
          <w:rFonts w:ascii="Arial" w:hAnsi="Arial" w:cs="Arial"/>
          <w:noProof/>
          <w:sz w:val="24"/>
          <w:szCs w:val="24"/>
        </w:rPr>
        <w:t>). Problem</w:t>
      </w:r>
      <w:r w:rsidRPr="00E53D09">
        <w:rPr>
          <w:rFonts w:ascii="Cambria Math" w:hAnsi="Cambria Math" w:cs="Cambria Math"/>
          <w:noProof/>
          <w:sz w:val="24"/>
          <w:szCs w:val="24"/>
        </w:rPr>
        <w:t>‐</w:t>
      </w:r>
      <w:r w:rsidRPr="00E53D09">
        <w:rPr>
          <w:rFonts w:ascii="Arial" w:hAnsi="Arial" w:cs="Arial"/>
          <w:noProof/>
          <w:sz w:val="24"/>
          <w:szCs w:val="24"/>
        </w:rPr>
        <w:t>oriented policing for reducing crime and disorder:</w:t>
      </w:r>
      <w:r>
        <w:rPr>
          <w:rFonts w:ascii="Arial" w:hAnsi="Arial" w:cs="Arial"/>
          <w:noProof/>
          <w:sz w:val="24"/>
          <w:szCs w:val="24"/>
        </w:rPr>
        <w:t xml:space="preserve"> </w:t>
      </w:r>
      <w:r w:rsidRPr="00E53D09">
        <w:rPr>
          <w:rFonts w:ascii="Arial" w:hAnsi="Arial" w:cs="Arial"/>
          <w:noProof/>
          <w:sz w:val="24"/>
          <w:szCs w:val="24"/>
        </w:rPr>
        <w:t>An updated systematic review and meta</w:t>
      </w:r>
      <w:r w:rsidRPr="00E53D09">
        <w:rPr>
          <w:rFonts w:ascii="Cambria Math" w:hAnsi="Cambria Math" w:cs="Cambria Math"/>
          <w:noProof/>
          <w:sz w:val="24"/>
          <w:szCs w:val="24"/>
        </w:rPr>
        <w:t>‐</w:t>
      </w:r>
      <w:r w:rsidRPr="00E53D09">
        <w:rPr>
          <w:rFonts w:ascii="Arial" w:hAnsi="Arial" w:cs="Arial"/>
          <w:noProof/>
          <w:sz w:val="24"/>
          <w:szCs w:val="24"/>
        </w:rPr>
        <w:t xml:space="preserve">analysis. </w:t>
      </w:r>
      <w:r w:rsidRPr="00E53D09">
        <w:rPr>
          <w:rFonts w:ascii="Arial" w:hAnsi="Arial" w:cs="Arial"/>
          <w:i/>
          <w:iCs/>
          <w:noProof/>
          <w:sz w:val="24"/>
          <w:szCs w:val="24"/>
        </w:rPr>
        <w:t>Problem Solving and Demand Reduction</w:t>
      </w:r>
      <w:r w:rsidRPr="00E53D09">
        <w:rPr>
          <w:rFonts w:ascii="Arial" w:hAnsi="Arial" w:cs="Arial"/>
          <w:noProof/>
          <w:sz w:val="24"/>
          <w:szCs w:val="24"/>
        </w:rPr>
        <w:t>, 1</w:t>
      </w:r>
      <w:r>
        <w:rPr>
          <w:rFonts w:ascii="Arial" w:hAnsi="Arial" w:cs="Arial"/>
          <w:noProof/>
          <w:sz w:val="24"/>
          <w:szCs w:val="24"/>
        </w:rPr>
        <w:t>–</w:t>
      </w:r>
      <w:r w:rsidRPr="00E53D09">
        <w:rPr>
          <w:rFonts w:ascii="Arial" w:hAnsi="Arial" w:cs="Arial"/>
          <w:noProof/>
          <w:sz w:val="24"/>
          <w:szCs w:val="24"/>
        </w:rPr>
        <w:t>86. doi://doi.org/10.1002/cl2.1089DOI: 10.1002/cl2</w:t>
      </w:r>
    </w:p>
    <w:p w14:paraId="7C2E37F4"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i/>
          <w:iCs/>
          <w:noProof/>
          <w:sz w:val="24"/>
          <w:szCs w:val="24"/>
        </w:rPr>
        <w:t>HMICIFRS</w:t>
      </w:r>
      <w:r w:rsidRPr="00E53D09">
        <w:rPr>
          <w:rFonts w:ascii="Arial" w:hAnsi="Arial" w:cs="Arial"/>
          <w:noProof/>
          <w:sz w:val="24"/>
          <w:szCs w:val="24"/>
        </w:rPr>
        <w:t>. (2022, November 29). Retrieved from Her Majesty's Inspectorate of Constabulary and Fire and Rescue Services: https://www.justiceinspectorates.gov.uk/hmicfrs/</w:t>
      </w:r>
    </w:p>
    <w:p w14:paraId="1425858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Home Office. (2012, December 20). </w:t>
      </w:r>
      <w:r w:rsidRPr="00E53D09">
        <w:rPr>
          <w:rFonts w:ascii="Arial" w:hAnsi="Arial" w:cs="Arial"/>
          <w:i/>
          <w:iCs/>
          <w:noProof/>
          <w:sz w:val="24"/>
          <w:szCs w:val="24"/>
        </w:rPr>
        <w:t xml:space="preserve">Definition of Policing by </w:t>
      </w:r>
      <w:r>
        <w:rPr>
          <w:rFonts w:ascii="Arial" w:hAnsi="Arial" w:cs="Arial"/>
          <w:i/>
          <w:iCs/>
          <w:noProof/>
          <w:sz w:val="24"/>
          <w:szCs w:val="24"/>
        </w:rPr>
        <w:t>C</w:t>
      </w:r>
      <w:r w:rsidRPr="00E53D09">
        <w:rPr>
          <w:rFonts w:ascii="Arial" w:hAnsi="Arial" w:cs="Arial"/>
          <w:i/>
          <w:iCs/>
          <w:noProof/>
          <w:sz w:val="24"/>
          <w:szCs w:val="24"/>
        </w:rPr>
        <w:t>onsent</w:t>
      </w:r>
      <w:r w:rsidRPr="00E53D09">
        <w:rPr>
          <w:rFonts w:ascii="Arial" w:hAnsi="Arial" w:cs="Arial"/>
          <w:noProof/>
          <w:sz w:val="24"/>
          <w:szCs w:val="24"/>
        </w:rPr>
        <w:t>. Retrieved December 2, 2022, from Gov.uk: https://www.gov.uk/government/publications/policing-by-consent/definition-of-policing-by-consent</w:t>
      </w:r>
    </w:p>
    <w:p w14:paraId="7E813A13"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Home Office. (2022, </w:t>
      </w:r>
      <w:r>
        <w:rPr>
          <w:rFonts w:ascii="Arial" w:hAnsi="Arial" w:cs="Arial"/>
          <w:noProof/>
          <w:sz w:val="24"/>
          <w:szCs w:val="24"/>
        </w:rPr>
        <w:t>N</w:t>
      </w:r>
      <w:r w:rsidRPr="00E53D09">
        <w:rPr>
          <w:rFonts w:ascii="Arial" w:hAnsi="Arial" w:cs="Arial"/>
          <w:noProof/>
          <w:sz w:val="24"/>
          <w:szCs w:val="24"/>
        </w:rPr>
        <w:t xml:space="preserve">ovember 28). </w:t>
      </w:r>
      <w:r w:rsidRPr="00E53D09">
        <w:rPr>
          <w:rFonts w:ascii="Arial" w:hAnsi="Arial" w:cs="Arial"/>
          <w:i/>
          <w:iCs/>
          <w:noProof/>
          <w:sz w:val="24"/>
          <w:szCs w:val="24"/>
        </w:rPr>
        <w:t>Have you got what it take</w:t>
      </w:r>
      <w:r>
        <w:rPr>
          <w:rFonts w:ascii="Arial" w:hAnsi="Arial" w:cs="Arial"/>
          <w:i/>
          <w:iCs/>
          <w:noProof/>
          <w:sz w:val="24"/>
          <w:szCs w:val="24"/>
        </w:rPr>
        <w:t>s</w:t>
      </w:r>
      <w:r w:rsidRPr="00E53D09">
        <w:rPr>
          <w:rFonts w:ascii="Arial" w:hAnsi="Arial" w:cs="Arial"/>
          <w:i/>
          <w:iCs/>
          <w:noProof/>
          <w:sz w:val="24"/>
          <w:szCs w:val="24"/>
        </w:rPr>
        <w:t>: Working with the Home Secretary and the Home Office.</w:t>
      </w:r>
      <w:r w:rsidRPr="00E53D09">
        <w:rPr>
          <w:rFonts w:ascii="Arial" w:hAnsi="Arial" w:cs="Arial"/>
          <w:noProof/>
          <w:sz w:val="24"/>
          <w:szCs w:val="24"/>
        </w:rPr>
        <w:t xml:space="preserve"> Retrieved </w:t>
      </w:r>
      <w:r>
        <w:rPr>
          <w:rFonts w:ascii="Arial" w:hAnsi="Arial" w:cs="Arial"/>
          <w:noProof/>
          <w:sz w:val="24"/>
          <w:szCs w:val="24"/>
        </w:rPr>
        <w:t>N</w:t>
      </w:r>
      <w:r w:rsidRPr="00E53D09">
        <w:rPr>
          <w:rFonts w:ascii="Arial" w:hAnsi="Arial" w:cs="Arial"/>
          <w:noProof/>
          <w:sz w:val="24"/>
          <w:szCs w:val="24"/>
        </w:rPr>
        <w:t>ovember 27, 2022, from https://assets.publishing.service.gov.uk/: https://assets.publishing.service.gov.uk/government/uploads/system/uploads/</w:t>
      </w:r>
      <w:r w:rsidRPr="00E53D09">
        <w:rPr>
          <w:rFonts w:ascii="Arial" w:hAnsi="Arial" w:cs="Arial"/>
          <w:noProof/>
          <w:sz w:val="24"/>
          <w:szCs w:val="24"/>
        </w:rPr>
        <w:lastRenderedPageBreak/>
        <w:t>attachment_data/file/511452/2016_Candidate_Briefing__Working_with_the_Home_Secretary__v1.pdf</w:t>
      </w:r>
    </w:p>
    <w:p w14:paraId="3E9DF286"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Independent Office for Police Conduct. (2022, </w:t>
      </w:r>
      <w:r>
        <w:rPr>
          <w:rFonts w:ascii="Arial" w:hAnsi="Arial" w:cs="Arial"/>
          <w:noProof/>
          <w:sz w:val="24"/>
          <w:szCs w:val="24"/>
        </w:rPr>
        <w:t>N</w:t>
      </w:r>
      <w:r w:rsidRPr="00E53D09">
        <w:rPr>
          <w:rFonts w:ascii="Arial" w:hAnsi="Arial" w:cs="Arial"/>
          <w:noProof/>
          <w:sz w:val="24"/>
          <w:szCs w:val="24"/>
        </w:rPr>
        <w:t xml:space="preserve">ovember 29). </w:t>
      </w:r>
      <w:r w:rsidRPr="00E53D09">
        <w:rPr>
          <w:rFonts w:ascii="Arial" w:hAnsi="Arial" w:cs="Arial"/>
          <w:i/>
          <w:iCs/>
          <w:noProof/>
          <w:sz w:val="24"/>
          <w:szCs w:val="24"/>
        </w:rPr>
        <w:t>Becoming the IOPC</w:t>
      </w:r>
      <w:r w:rsidRPr="00E53D09">
        <w:rPr>
          <w:rFonts w:ascii="Arial" w:hAnsi="Arial" w:cs="Arial"/>
          <w:noProof/>
          <w:sz w:val="24"/>
          <w:szCs w:val="24"/>
        </w:rPr>
        <w:t>. Retrieved from Independent Office for Police Conduct: https://www.policeconduct.gov.uk/becoming-iopc</w:t>
      </w:r>
    </w:p>
    <w:p w14:paraId="4C6DCFD4"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Ipsos. (2017, November 30). </w:t>
      </w:r>
      <w:r w:rsidRPr="00E53D09">
        <w:rPr>
          <w:rFonts w:ascii="Arial" w:hAnsi="Arial" w:cs="Arial"/>
          <w:i/>
          <w:iCs/>
          <w:noProof/>
          <w:sz w:val="24"/>
          <w:szCs w:val="24"/>
        </w:rPr>
        <w:t>Trust in Professions: Long-term trends</w:t>
      </w:r>
      <w:r w:rsidRPr="00E53D09">
        <w:rPr>
          <w:rFonts w:ascii="Arial" w:hAnsi="Arial" w:cs="Arial"/>
          <w:noProof/>
          <w:sz w:val="24"/>
          <w:szCs w:val="24"/>
        </w:rPr>
        <w:t>. Retrieved December 2, 2022, from Ipsos.com: https://www.ipsos.com/en-uk/trust-professions-long-term-trends</w:t>
      </w:r>
    </w:p>
    <w:p w14:paraId="2BCAC6FE" w14:textId="2B8E8870"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Jackson, J.</w:t>
      </w:r>
      <w:r>
        <w:rPr>
          <w:rFonts w:ascii="Arial" w:hAnsi="Arial" w:cs="Arial"/>
          <w:noProof/>
          <w:sz w:val="24"/>
          <w:szCs w:val="24"/>
        </w:rPr>
        <w:t>,</w:t>
      </w:r>
      <w:r w:rsidRPr="00E53D09">
        <w:rPr>
          <w:rFonts w:ascii="Arial" w:hAnsi="Arial" w:cs="Arial"/>
          <w:noProof/>
          <w:sz w:val="24"/>
          <w:szCs w:val="24"/>
        </w:rPr>
        <w:t xml:space="preserve"> Kuha, J.</w:t>
      </w:r>
      <w:r>
        <w:rPr>
          <w:rFonts w:ascii="Arial" w:hAnsi="Arial" w:cs="Arial"/>
          <w:noProof/>
          <w:sz w:val="24"/>
          <w:szCs w:val="24"/>
        </w:rPr>
        <w:t>,</w:t>
      </w:r>
      <w:r w:rsidRPr="00E53D09">
        <w:rPr>
          <w:rFonts w:ascii="Arial" w:hAnsi="Arial" w:cs="Arial"/>
          <w:noProof/>
          <w:sz w:val="24"/>
          <w:szCs w:val="24"/>
        </w:rPr>
        <w:t xml:space="preserve"> Bradford, B.</w:t>
      </w:r>
      <w:r>
        <w:rPr>
          <w:rFonts w:ascii="Arial" w:hAnsi="Arial" w:cs="Arial"/>
          <w:noProof/>
          <w:sz w:val="24"/>
          <w:szCs w:val="24"/>
        </w:rPr>
        <w:t>,</w:t>
      </w:r>
      <w:r w:rsidRPr="00E53D09">
        <w:rPr>
          <w:rFonts w:ascii="Arial" w:hAnsi="Arial" w:cs="Arial"/>
          <w:noProof/>
          <w:sz w:val="24"/>
          <w:szCs w:val="24"/>
        </w:rPr>
        <w:t xml:space="preserve"> Hohl, K. &amp; Hough, M. (2012). </w:t>
      </w:r>
      <w:r w:rsidRPr="00E53D09">
        <w:rPr>
          <w:rFonts w:ascii="Arial" w:hAnsi="Arial" w:cs="Arial"/>
          <w:i/>
          <w:iCs/>
          <w:noProof/>
          <w:sz w:val="24"/>
          <w:szCs w:val="24"/>
        </w:rPr>
        <w:t>Policing by Consent:</w:t>
      </w:r>
      <w:r>
        <w:rPr>
          <w:rFonts w:ascii="Arial" w:hAnsi="Arial" w:cs="Arial"/>
          <w:i/>
          <w:iCs/>
          <w:noProof/>
          <w:sz w:val="24"/>
          <w:szCs w:val="24"/>
        </w:rPr>
        <w:t xml:space="preserve"> </w:t>
      </w:r>
      <w:r w:rsidRPr="00E53D09">
        <w:rPr>
          <w:rFonts w:ascii="Arial" w:hAnsi="Arial" w:cs="Arial"/>
          <w:i/>
          <w:iCs/>
          <w:noProof/>
          <w:sz w:val="24"/>
          <w:szCs w:val="24"/>
        </w:rPr>
        <w:t>Topline Results (UK) from Round 5 of the European Social Survey.</w:t>
      </w:r>
      <w:r w:rsidRPr="00E53D09">
        <w:rPr>
          <w:rFonts w:ascii="Arial" w:hAnsi="Arial" w:cs="Arial"/>
          <w:noProof/>
          <w:sz w:val="24"/>
          <w:szCs w:val="24"/>
        </w:rPr>
        <w:t xml:space="preserve"> European Social Survey.</w:t>
      </w:r>
    </w:p>
    <w:p w14:paraId="4AB7AC20" w14:textId="19B25EE0" w:rsidR="00C02E6A" w:rsidRPr="00CB2DCC" w:rsidRDefault="00C02E6A" w:rsidP="00C02E6A">
      <w:pPr>
        <w:rPr>
          <w:rFonts w:ascii="Arial" w:hAnsi="Arial" w:cs="Arial"/>
          <w:sz w:val="24"/>
          <w:szCs w:val="24"/>
        </w:rPr>
      </w:pPr>
      <w:r w:rsidRPr="00CB2DCC">
        <w:rPr>
          <w:rFonts w:ascii="Arial" w:hAnsi="Arial" w:cs="Arial"/>
          <w:sz w:val="24"/>
          <w:szCs w:val="24"/>
        </w:rPr>
        <w:t>Jefferson, T</w:t>
      </w:r>
      <w:r w:rsidR="003069B9" w:rsidRPr="00CB2DCC">
        <w:rPr>
          <w:rFonts w:ascii="Arial" w:hAnsi="Arial" w:cs="Arial"/>
          <w:sz w:val="24"/>
          <w:szCs w:val="24"/>
        </w:rPr>
        <w:t xml:space="preserve">. &amp; Grimshaw, R. (1984). </w:t>
      </w:r>
      <w:r w:rsidR="00AE34F4" w:rsidRPr="00CB2DCC">
        <w:rPr>
          <w:rFonts w:ascii="Arial" w:hAnsi="Arial" w:cs="Arial"/>
          <w:sz w:val="24"/>
          <w:szCs w:val="24"/>
        </w:rPr>
        <w:t xml:space="preserve">Controlling the Constable: Police Accountability in England and Wales. </w:t>
      </w:r>
      <w:r w:rsidR="00CB2DCC" w:rsidRPr="00C82196">
        <w:rPr>
          <w:rFonts w:ascii="Arial" w:hAnsi="Arial" w:cs="Arial"/>
          <w:i/>
          <w:iCs/>
          <w:sz w:val="24"/>
          <w:szCs w:val="24"/>
        </w:rPr>
        <w:t>University of Michigan.</w:t>
      </w:r>
      <w:r w:rsidR="00CB2DCC" w:rsidRPr="00CB2DCC">
        <w:rPr>
          <w:rFonts w:ascii="Arial" w:hAnsi="Arial" w:cs="Arial"/>
          <w:sz w:val="24"/>
          <w:szCs w:val="24"/>
        </w:rPr>
        <w:t xml:space="preserve"> </w:t>
      </w:r>
      <w:r w:rsidR="00C346FB" w:rsidRPr="00CB2DCC">
        <w:rPr>
          <w:rFonts w:ascii="Arial" w:hAnsi="Arial" w:cs="Arial"/>
          <w:noProof/>
          <w:sz w:val="24"/>
          <w:szCs w:val="24"/>
        </w:rPr>
        <w:t>F Muller</w:t>
      </w:r>
    </w:p>
    <w:p w14:paraId="38A6B3B7" w14:textId="77777777" w:rsidR="005D662A" w:rsidRPr="00E53D09" w:rsidRDefault="005D662A" w:rsidP="005D662A">
      <w:pPr>
        <w:pStyle w:val="Bibliography"/>
        <w:ind w:left="720" w:hanging="720"/>
        <w:rPr>
          <w:rFonts w:ascii="Arial" w:hAnsi="Arial" w:cs="Arial"/>
          <w:noProof/>
          <w:sz w:val="24"/>
          <w:szCs w:val="24"/>
        </w:rPr>
      </w:pPr>
      <w:r w:rsidRPr="00E53D09">
        <w:rPr>
          <w:rFonts w:ascii="Arial" w:hAnsi="Arial" w:cs="Arial"/>
          <w:noProof/>
          <w:sz w:val="24"/>
          <w:szCs w:val="24"/>
        </w:rPr>
        <w:t xml:space="preserve">Jones, T. N. (1994). </w:t>
      </w:r>
      <w:r w:rsidRPr="00E53D09">
        <w:rPr>
          <w:rFonts w:ascii="Arial" w:hAnsi="Arial" w:cs="Arial"/>
          <w:i/>
          <w:iCs/>
          <w:noProof/>
          <w:sz w:val="24"/>
          <w:szCs w:val="24"/>
        </w:rPr>
        <w:t>Democracy and Policing,.</w:t>
      </w:r>
      <w:r w:rsidRPr="00E53D09">
        <w:rPr>
          <w:rFonts w:ascii="Arial" w:hAnsi="Arial" w:cs="Arial"/>
          <w:noProof/>
          <w:sz w:val="24"/>
          <w:szCs w:val="24"/>
        </w:rPr>
        <w:t xml:space="preserve"> London: Policy Studies.</w:t>
      </w:r>
    </w:p>
    <w:p w14:paraId="4B8B99F1" w14:textId="77777777" w:rsidR="00C02E6A" w:rsidRPr="00E53D09" w:rsidRDefault="00C02E6A" w:rsidP="00C02E6A">
      <w:pPr>
        <w:ind w:left="720" w:hanging="720"/>
        <w:rPr>
          <w:rFonts w:ascii="Arial" w:hAnsi="Arial" w:cs="Arial"/>
          <w:sz w:val="24"/>
          <w:szCs w:val="24"/>
        </w:rPr>
      </w:pPr>
      <w:r w:rsidRPr="00B4583A">
        <w:rPr>
          <w:rFonts w:ascii="Arial" w:hAnsi="Arial" w:cs="Arial"/>
          <w:sz w:val="24"/>
          <w:szCs w:val="24"/>
        </w:rPr>
        <w:t>Jones, T., Newburn, T. &amp; Smith, D. (2012)</w:t>
      </w:r>
      <w:r>
        <w:rPr>
          <w:rFonts w:ascii="Arial" w:hAnsi="Arial" w:cs="Arial"/>
          <w:sz w:val="24"/>
          <w:szCs w:val="24"/>
        </w:rPr>
        <w:t>.</w:t>
      </w:r>
      <w:r w:rsidRPr="00B4583A">
        <w:rPr>
          <w:rFonts w:ascii="Arial" w:hAnsi="Arial" w:cs="Arial"/>
          <w:sz w:val="24"/>
          <w:szCs w:val="24"/>
        </w:rPr>
        <w:t xml:space="preserve"> ‘Democracy and Police and Crime Commissioners’, in T. Newburn and J. </w:t>
      </w:r>
      <w:proofErr w:type="spellStart"/>
      <w:r w:rsidRPr="00B4583A">
        <w:rPr>
          <w:rFonts w:ascii="Arial" w:hAnsi="Arial" w:cs="Arial"/>
          <w:sz w:val="24"/>
          <w:szCs w:val="24"/>
        </w:rPr>
        <w:t>Peay</w:t>
      </w:r>
      <w:proofErr w:type="spellEnd"/>
      <w:r w:rsidRPr="00B4583A">
        <w:rPr>
          <w:rFonts w:ascii="Arial" w:hAnsi="Arial" w:cs="Arial"/>
          <w:sz w:val="24"/>
          <w:szCs w:val="24"/>
        </w:rPr>
        <w:t xml:space="preserve"> (eds) </w:t>
      </w:r>
      <w:r w:rsidRPr="00A95376">
        <w:rPr>
          <w:rFonts w:ascii="Arial" w:hAnsi="Arial" w:cs="Arial"/>
          <w:i/>
          <w:iCs/>
          <w:sz w:val="24"/>
          <w:szCs w:val="24"/>
        </w:rPr>
        <w:t>Policing: Politics, Culture and Control</w:t>
      </w:r>
      <w:r w:rsidRPr="00B4583A">
        <w:rPr>
          <w:rFonts w:ascii="Arial" w:hAnsi="Arial" w:cs="Arial"/>
          <w:sz w:val="24"/>
          <w:szCs w:val="24"/>
        </w:rPr>
        <w:t>, Oxford: Hart Publishing, 219</w:t>
      </w:r>
      <w:r>
        <w:rPr>
          <w:rFonts w:ascii="Arial" w:hAnsi="Arial" w:cs="Arial"/>
          <w:sz w:val="24"/>
          <w:szCs w:val="24"/>
        </w:rPr>
        <w:t>–</w:t>
      </w:r>
      <w:r w:rsidRPr="00B4583A">
        <w:rPr>
          <w:rFonts w:ascii="Arial" w:hAnsi="Arial" w:cs="Arial"/>
          <w:sz w:val="24"/>
          <w:szCs w:val="24"/>
        </w:rPr>
        <w:t>244.</w:t>
      </w:r>
    </w:p>
    <w:p w14:paraId="1D40C2F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Jones, T. &amp; Lister, S. (2019). Localism and police governance in England &amp; Wales: Exploring continuity and change. </w:t>
      </w:r>
      <w:r w:rsidRPr="00E53D09">
        <w:rPr>
          <w:rFonts w:ascii="Arial" w:hAnsi="Arial" w:cs="Arial"/>
          <w:i/>
          <w:iCs/>
          <w:noProof/>
          <w:sz w:val="24"/>
          <w:szCs w:val="24"/>
        </w:rPr>
        <w:t>European Journal of Criminology</w:t>
      </w:r>
      <w:r w:rsidRPr="00E53D09">
        <w:rPr>
          <w:rFonts w:ascii="Arial" w:hAnsi="Arial" w:cs="Arial"/>
          <w:noProof/>
          <w:sz w:val="24"/>
          <w:szCs w:val="24"/>
        </w:rPr>
        <w:t>, 1</w:t>
      </w:r>
      <w:r>
        <w:rPr>
          <w:rFonts w:ascii="Arial" w:hAnsi="Arial" w:cs="Arial"/>
          <w:noProof/>
          <w:sz w:val="24"/>
          <w:szCs w:val="24"/>
        </w:rPr>
        <w:t>–</w:t>
      </w:r>
      <w:r w:rsidRPr="00E53D09">
        <w:rPr>
          <w:rFonts w:ascii="Arial" w:hAnsi="Arial" w:cs="Arial"/>
          <w:noProof/>
          <w:sz w:val="24"/>
          <w:szCs w:val="24"/>
        </w:rPr>
        <w:t>35. doi:DOI:10.1177/1477370819860689</w:t>
      </w:r>
    </w:p>
    <w:p w14:paraId="6B1EC2FC"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Jordan A.</w:t>
      </w:r>
      <w:r>
        <w:rPr>
          <w:rFonts w:ascii="Arial" w:hAnsi="Arial" w:cs="Arial"/>
          <w:noProof/>
          <w:sz w:val="24"/>
          <w:szCs w:val="24"/>
        </w:rPr>
        <w:t>,</w:t>
      </w:r>
      <w:r w:rsidRPr="00E53D09">
        <w:rPr>
          <w:rFonts w:ascii="Arial" w:hAnsi="Arial" w:cs="Arial"/>
          <w:noProof/>
          <w:sz w:val="24"/>
          <w:szCs w:val="24"/>
        </w:rPr>
        <w:t xml:space="preserve"> Wurzel, R. &amp; Zito, A. (2003). </w:t>
      </w:r>
      <w:r w:rsidRPr="00A95376">
        <w:rPr>
          <w:rFonts w:ascii="Arial" w:hAnsi="Arial" w:cs="Arial"/>
          <w:i/>
          <w:iCs/>
          <w:noProof/>
          <w:sz w:val="24"/>
          <w:szCs w:val="24"/>
        </w:rPr>
        <w:t>H</w:t>
      </w:r>
      <w:r w:rsidRPr="00E53D09">
        <w:rPr>
          <w:rFonts w:ascii="Arial" w:hAnsi="Arial" w:cs="Arial"/>
          <w:i/>
          <w:iCs/>
          <w:noProof/>
          <w:sz w:val="24"/>
          <w:szCs w:val="24"/>
        </w:rPr>
        <w:t>as governance eclipsed govern-ment? Pattern of environmental instrument selectionand use in eight states and the EU.</w:t>
      </w:r>
      <w:r w:rsidRPr="00E53D09">
        <w:rPr>
          <w:rFonts w:ascii="Arial" w:hAnsi="Arial" w:cs="Arial"/>
          <w:noProof/>
          <w:sz w:val="24"/>
          <w:szCs w:val="24"/>
        </w:rPr>
        <w:t xml:space="preserve"> Norwich: University of East Anglia.</w:t>
      </w:r>
    </w:p>
    <w:p w14:paraId="1129B73E" w14:textId="7AE8738B" w:rsidR="00287D52" w:rsidRPr="00D20C13" w:rsidRDefault="00287D52" w:rsidP="00D20C13">
      <w:pPr>
        <w:ind w:left="720" w:hanging="720"/>
        <w:rPr>
          <w:rFonts w:ascii="Arial" w:hAnsi="Arial" w:cs="Arial"/>
          <w:sz w:val="24"/>
          <w:szCs w:val="24"/>
        </w:rPr>
      </w:pPr>
      <w:r w:rsidRPr="003761E8">
        <w:rPr>
          <w:rFonts w:ascii="Arial" w:hAnsi="Arial" w:cs="Arial"/>
          <w:sz w:val="24"/>
          <w:szCs w:val="24"/>
        </w:rPr>
        <w:t>Kitchen, S</w:t>
      </w:r>
      <w:r>
        <w:rPr>
          <w:rFonts w:ascii="Arial" w:hAnsi="Arial" w:cs="Arial"/>
          <w:sz w:val="24"/>
          <w:szCs w:val="24"/>
        </w:rPr>
        <w:t>.</w:t>
      </w:r>
      <w:r w:rsidRPr="003761E8">
        <w:rPr>
          <w:rFonts w:ascii="Arial" w:hAnsi="Arial" w:cs="Arial"/>
          <w:sz w:val="24"/>
          <w:szCs w:val="24"/>
        </w:rPr>
        <w:t xml:space="preserve">, </w:t>
      </w:r>
      <w:proofErr w:type="spellStart"/>
      <w:r w:rsidRPr="003761E8">
        <w:rPr>
          <w:rFonts w:ascii="Arial" w:hAnsi="Arial" w:cs="Arial"/>
          <w:sz w:val="24"/>
          <w:szCs w:val="24"/>
        </w:rPr>
        <w:t>Michaelston</w:t>
      </w:r>
      <w:proofErr w:type="spellEnd"/>
      <w:r w:rsidRPr="003761E8">
        <w:rPr>
          <w:rFonts w:ascii="Arial" w:hAnsi="Arial" w:cs="Arial"/>
          <w:sz w:val="24"/>
          <w:szCs w:val="24"/>
        </w:rPr>
        <w:t>, J.</w:t>
      </w:r>
      <w:r>
        <w:rPr>
          <w:rFonts w:ascii="Arial" w:hAnsi="Arial" w:cs="Arial"/>
          <w:sz w:val="24"/>
          <w:szCs w:val="24"/>
        </w:rPr>
        <w:t>,</w:t>
      </w:r>
      <w:r w:rsidRPr="003761E8">
        <w:rPr>
          <w:rFonts w:ascii="Arial" w:hAnsi="Arial" w:cs="Arial"/>
          <w:sz w:val="24"/>
          <w:szCs w:val="24"/>
        </w:rPr>
        <w:t xml:space="preserve"> Wood, N.</w:t>
      </w:r>
      <w:r>
        <w:rPr>
          <w:rFonts w:ascii="Arial" w:hAnsi="Arial" w:cs="Arial"/>
          <w:sz w:val="24"/>
          <w:szCs w:val="24"/>
        </w:rPr>
        <w:t>,</w:t>
      </w:r>
      <w:r w:rsidRPr="003761E8">
        <w:rPr>
          <w:rFonts w:ascii="Arial" w:hAnsi="Arial" w:cs="Arial"/>
          <w:sz w:val="24"/>
          <w:szCs w:val="24"/>
        </w:rPr>
        <w:t xml:space="preserve"> &amp; John, P. (2006) 2005 citizenship survey: A</w:t>
      </w:r>
      <w:r w:rsidRPr="003761E8">
        <w:rPr>
          <w:rFonts w:ascii="Arial" w:hAnsi="Arial" w:cs="Arial"/>
          <w:sz w:val="24"/>
          <w:szCs w:val="24"/>
        </w:rPr>
        <w:t xml:space="preserve">ctive </w:t>
      </w:r>
      <w:r w:rsidRPr="003761E8">
        <w:rPr>
          <w:rFonts w:ascii="Arial" w:hAnsi="Arial" w:cs="Arial"/>
          <w:sz w:val="24"/>
          <w:szCs w:val="24"/>
        </w:rPr>
        <w:t xml:space="preserve">communities topic report. London: </w:t>
      </w:r>
      <w:r w:rsidRPr="003761E8">
        <w:rPr>
          <w:rFonts w:ascii="Arial" w:hAnsi="Arial" w:cs="Arial"/>
          <w:i/>
          <w:iCs/>
          <w:sz w:val="24"/>
          <w:szCs w:val="24"/>
        </w:rPr>
        <w:t>Department for Communities &amp; Local Government</w:t>
      </w:r>
      <w:r w:rsidRPr="003761E8">
        <w:rPr>
          <w:rFonts w:ascii="Arial" w:hAnsi="Arial" w:cs="Arial"/>
          <w:sz w:val="24"/>
          <w:szCs w:val="24"/>
        </w:rPr>
        <w:t>. Retrieved on January 5, 2023, from https://webarchive.nationalarchives.gov.uk/ukgwa/20120919132719/http://www.communities.gov.uk/documents/communities/pdf/452564.pdf</w:t>
      </w:r>
    </w:p>
    <w:p w14:paraId="08677FD2"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Labour Party. (2022). </w:t>
      </w:r>
      <w:r w:rsidRPr="00E53D09">
        <w:rPr>
          <w:rFonts w:ascii="Arial" w:hAnsi="Arial" w:cs="Arial"/>
          <w:i/>
          <w:iCs/>
          <w:noProof/>
          <w:sz w:val="24"/>
          <w:szCs w:val="24"/>
        </w:rPr>
        <w:t>A New Britain: Renewing our Democracy and Rebuilding our Economy.</w:t>
      </w:r>
      <w:r w:rsidRPr="00E53D09">
        <w:rPr>
          <w:rFonts w:ascii="Arial" w:hAnsi="Arial" w:cs="Arial"/>
          <w:noProof/>
          <w:sz w:val="24"/>
          <w:szCs w:val="24"/>
        </w:rPr>
        <w:t xml:space="preserve"> Labour. Retrieved December 15, 2022, from file:///C:/Users/swp54722/Downloads/Labour%20Party%20Renewing%20Our%20Democracy.pdf</w:t>
      </w:r>
    </w:p>
    <w:p w14:paraId="059F5AE8"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Lister, S. (2013). ‘The New Politics of the Police: Police and Crime Commissioners and the operational Independence of the Police’. </w:t>
      </w:r>
      <w:r w:rsidRPr="00E53D09">
        <w:rPr>
          <w:rFonts w:ascii="Arial" w:hAnsi="Arial" w:cs="Arial"/>
          <w:i/>
          <w:iCs/>
          <w:noProof/>
          <w:sz w:val="24"/>
          <w:szCs w:val="24"/>
        </w:rPr>
        <w:t>Policing: A Journal of Policy and Practice, 7</w:t>
      </w:r>
      <w:r w:rsidRPr="00E53D09">
        <w:rPr>
          <w:rFonts w:ascii="Arial" w:hAnsi="Arial" w:cs="Arial"/>
          <w:noProof/>
          <w:sz w:val="24"/>
          <w:szCs w:val="24"/>
        </w:rPr>
        <w:t>(3), 239-247. Retrieved November 30, 2022, from file:///C:/Users/swp54722/Downloads/Lister-Newpoliticsofthepolice13.full.pdf</w:t>
      </w:r>
    </w:p>
    <w:p w14:paraId="4D6F31EC" w14:textId="77777777" w:rsidR="00287D52" w:rsidRPr="00E53D09" w:rsidRDefault="00287D52" w:rsidP="00287D52">
      <w:pPr>
        <w:ind w:left="720" w:hanging="720"/>
        <w:rPr>
          <w:rFonts w:ascii="Arial" w:hAnsi="Arial" w:cs="Arial"/>
          <w:sz w:val="24"/>
          <w:szCs w:val="24"/>
        </w:rPr>
      </w:pPr>
      <w:r w:rsidRPr="002A006F">
        <w:rPr>
          <w:rFonts w:ascii="Arial" w:hAnsi="Arial" w:cs="Arial"/>
          <w:color w:val="373A3C"/>
          <w:sz w:val="24"/>
          <w:szCs w:val="24"/>
          <w:shd w:val="clear" w:color="auto" w:fill="F9F9F9"/>
        </w:rPr>
        <w:t>Llewelyn, D. (2022) Policing Governance: Wales and the Future. A seminar delivered for MSc Policing students on 13th December 2022 by the Dyfed Powys Police and Crime Commissioner.</w:t>
      </w:r>
    </w:p>
    <w:p w14:paraId="3DDB1B0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lastRenderedPageBreak/>
        <w:t xml:space="preserve">Locality. (2017). </w:t>
      </w:r>
      <w:r w:rsidRPr="00E53D09">
        <w:rPr>
          <w:rFonts w:ascii="Arial" w:hAnsi="Arial" w:cs="Arial"/>
          <w:i/>
          <w:iCs/>
          <w:noProof/>
          <w:sz w:val="24"/>
          <w:szCs w:val="24"/>
        </w:rPr>
        <w:t>People Power: Findings from the Commission on the future of Localism.</w:t>
      </w:r>
      <w:r w:rsidRPr="00E53D09">
        <w:rPr>
          <w:rFonts w:ascii="Arial" w:hAnsi="Arial" w:cs="Arial"/>
          <w:noProof/>
          <w:sz w:val="24"/>
          <w:szCs w:val="24"/>
        </w:rPr>
        <w:t xml:space="preserve"> Retrieved December 14, 2022, from https://ccednet-rcdec.ca/sites/ccednet-rcdec.ca/wp-content/uploads/2022/09/locality-localism-full-online-report.pdf</w:t>
      </w:r>
    </w:p>
    <w:p w14:paraId="19A9A64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Loeffler, E. (2016). </w:t>
      </w:r>
      <w:r w:rsidRPr="00E53D09">
        <w:rPr>
          <w:rFonts w:ascii="Arial" w:hAnsi="Arial" w:cs="Arial"/>
          <w:i/>
          <w:iCs/>
          <w:noProof/>
          <w:sz w:val="24"/>
          <w:szCs w:val="24"/>
        </w:rPr>
        <w:t xml:space="preserve">Public Governance in a Network Society, Public Management and Governance </w:t>
      </w:r>
      <w:r w:rsidRPr="00A95376">
        <w:rPr>
          <w:rFonts w:ascii="Arial" w:hAnsi="Arial" w:cs="Arial"/>
          <w:noProof/>
          <w:sz w:val="24"/>
          <w:szCs w:val="24"/>
        </w:rPr>
        <w:t>in Bovaird, T. and Loeffler</w:t>
      </w:r>
      <w:r>
        <w:rPr>
          <w:rFonts w:ascii="Arial" w:hAnsi="Arial" w:cs="Arial"/>
          <w:noProof/>
          <w:sz w:val="24"/>
          <w:szCs w:val="24"/>
        </w:rPr>
        <w:t>, E.</w:t>
      </w:r>
      <w:r w:rsidRPr="00A95376">
        <w:rPr>
          <w:rFonts w:ascii="Arial" w:hAnsi="Arial" w:cs="Arial"/>
          <w:noProof/>
          <w:sz w:val="24"/>
          <w:szCs w:val="24"/>
        </w:rPr>
        <w:t xml:space="preserve"> (eds)</w:t>
      </w:r>
      <w:r w:rsidRPr="00E53D09">
        <w:rPr>
          <w:rFonts w:ascii="Arial" w:hAnsi="Arial" w:cs="Arial"/>
          <w:noProof/>
          <w:sz w:val="24"/>
          <w:szCs w:val="24"/>
        </w:rPr>
        <w:t xml:space="preserve"> (3 ed.). Abingdon: Routledge.</w:t>
      </w:r>
    </w:p>
    <w:p w14:paraId="1C5CC27E"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Loveday</w:t>
      </w:r>
      <w:r>
        <w:rPr>
          <w:rFonts w:ascii="Arial" w:hAnsi="Arial" w:cs="Arial"/>
          <w:noProof/>
          <w:sz w:val="24"/>
          <w:szCs w:val="24"/>
        </w:rPr>
        <w:t>, B</w:t>
      </w:r>
      <w:r w:rsidRPr="00E53D09">
        <w:rPr>
          <w:rFonts w:ascii="Arial" w:hAnsi="Arial" w:cs="Arial"/>
          <w:noProof/>
          <w:sz w:val="24"/>
          <w:szCs w:val="24"/>
        </w:rPr>
        <w:t xml:space="preserve">. (2018). Police Scotland: challenging the current democratic deficit in police governance and public accountability. </w:t>
      </w:r>
      <w:r w:rsidRPr="00E53D09">
        <w:rPr>
          <w:rFonts w:ascii="Arial" w:hAnsi="Arial" w:cs="Arial"/>
          <w:i/>
          <w:iCs/>
          <w:noProof/>
          <w:sz w:val="24"/>
          <w:szCs w:val="24"/>
        </w:rPr>
        <w:t>Crime Prevention and Community Safety, 20</w:t>
      </w:r>
      <w:r w:rsidRPr="00E53D09">
        <w:rPr>
          <w:rFonts w:ascii="Arial" w:hAnsi="Arial" w:cs="Arial"/>
          <w:noProof/>
          <w:sz w:val="24"/>
          <w:szCs w:val="24"/>
        </w:rPr>
        <w:t>(3), 154–167. doi:https://doi.org/10.1057/s41300-018-0044-9</w:t>
      </w:r>
    </w:p>
    <w:p w14:paraId="2D9E274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Loveday, B. (2018). ‘Police and Crime Commissioners: Developing and sustaining a new model of police governance in England &amp; Wales’. </w:t>
      </w:r>
      <w:r w:rsidRPr="00E53D09">
        <w:rPr>
          <w:rFonts w:ascii="Arial" w:hAnsi="Arial" w:cs="Arial"/>
          <w:i/>
          <w:iCs/>
          <w:noProof/>
          <w:sz w:val="24"/>
          <w:szCs w:val="24"/>
        </w:rPr>
        <w:t>International Journal of Police Science &amp; Management</w:t>
      </w:r>
      <w:r w:rsidRPr="00E53D09">
        <w:rPr>
          <w:rFonts w:ascii="Arial" w:hAnsi="Arial" w:cs="Arial"/>
          <w:noProof/>
          <w:sz w:val="24"/>
          <w:szCs w:val="24"/>
        </w:rPr>
        <w:t>, 1–10. Retrieved December 10, 2022, from https://pure.port.ac.uk/ws/files/8205380/Police_and_Crime_Commissioners_2017_2.pdf</w:t>
      </w:r>
    </w:p>
    <w:p w14:paraId="27569269"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Machura, S.</w:t>
      </w:r>
      <w:r>
        <w:rPr>
          <w:rFonts w:ascii="Arial" w:hAnsi="Arial" w:cs="Arial"/>
          <w:noProof/>
          <w:sz w:val="24"/>
          <w:szCs w:val="24"/>
        </w:rPr>
        <w:t>,</w:t>
      </w:r>
      <w:r w:rsidRPr="00E53D09">
        <w:rPr>
          <w:rFonts w:ascii="Arial" w:hAnsi="Arial" w:cs="Arial"/>
          <w:noProof/>
          <w:sz w:val="24"/>
          <w:szCs w:val="24"/>
        </w:rPr>
        <w:t xml:space="preserve"> Jones, S. O., Würgler, A., Cuthbertson, J. &amp; Hemmings, A. (2019). National identity and distrust in the police: The case of North West Wales. </w:t>
      </w:r>
      <w:r w:rsidRPr="00E53D09">
        <w:rPr>
          <w:rFonts w:ascii="Arial" w:hAnsi="Arial" w:cs="Arial"/>
          <w:i/>
          <w:iCs/>
          <w:noProof/>
          <w:sz w:val="24"/>
          <w:szCs w:val="24"/>
        </w:rPr>
        <w:t>European Journal of Criminology, 16</w:t>
      </w:r>
      <w:r w:rsidRPr="00E53D09">
        <w:rPr>
          <w:rFonts w:ascii="Arial" w:hAnsi="Arial" w:cs="Arial"/>
          <w:noProof/>
          <w:sz w:val="24"/>
          <w:szCs w:val="24"/>
        </w:rPr>
        <w:t>(1), 60–80. doi:https://doi.org/10.1177/1477370818764835</w:t>
      </w:r>
    </w:p>
    <w:p w14:paraId="3F3B8D0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Mangan, A.</w:t>
      </w:r>
      <w:r>
        <w:rPr>
          <w:rFonts w:ascii="Arial" w:hAnsi="Arial" w:cs="Arial"/>
          <w:noProof/>
          <w:sz w:val="24"/>
          <w:szCs w:val="24"/>
        </w:rPr>
        <w:t>,</w:t>
      </w:r>
      <w:r w:rsidRPr="00E53D09">
        <w:rPr>
          <w:rFonts w:ascii="Arial" w:hAnsi="Arial" w:cs="Arial"/>
          <w:noProof/>
          <w:sz w:val="24"/>
          <w:szCs w:val="24"/>
        </w:rPr>
        <w:t xml:space="preserve"> Thomas, R., Davies, A. &amp; Gaspe, R. (2018). The challenges of police-community collaboration: identity manoeuvres and power struggles in a neighbourhood based meeting. </w:t>
      </w:r>
      <w:r w:rsidRPr="00E53D09">
        <w:rPr>
          <w:rFonts w:ascii="Arial" w:hAnsi="Arial" w:cs="Arial"/>
          <w:i/>
          <w:iCs/>
          <w:noProof/>
          <w:sz w:val="24"/>
          <w:szCs w:val="24"/>
        </w:rPr>
        <w:t>Public Management Review, 20</w:t>
      </w:r>
      <w:r w:rsidRPr="00E53D09">
        <w:rPr>
          <w:rFonts w:ascii="Arial" w:hAnsi="Arial" w:cs="Arial"/>
          <w:noProof/>
          <w:sz w:val="24"/>
          <w:szCs w:val="24"/>
        </w:rPr>
        <w:t>(9), 1353</w:t>
      </w:r>
      <w:r>
        <w:rPr>
          <w:rFonts w:ascii="Arial" w:hAnsi="Arial" w:cs="Arial"/>
          <w:noProof/>
          <w:sz w:val="24"/>
          <w:szCs w:val="24"/>
        </w:rPr>
        <w:t>–</w:t>
      </w:r>
      <w:r w:rsidRPr="00E53D09">
        <w:rPr>
          <w:rFonts w:ascii="Arial" w:hAnsi="Arial" w:cs="Arial"/>
          <w:noProof/>
          <w:sz w:val="24"/>
          <w:szCs w:val="24"/>
        </w:rPr>
        <w:t>1373. doi:https://doi.org/10.1080/14719037.2017.1383718</w:t>
      </w:r>
    </w:p>
    <w:p w14:paraId="6A9E18F0"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Martin, G. P. (2012). “Public Deliberation in Action: Emotion, Inclusion and Exclusion in Participatory'Decision-Making.”. </w:t>
      </w:r>
      <w:r w:rsidRPr="00E53D09">
        <w:rPr>
          <w:rFonts w:ascii="Arial" w:hAnsi="Arial" w:cs="Arial"/>
          <w:i/>
          <w:iCs/>
          <w:noProof/>
          <w:sz w:val="24"/>
          <w:szCs w:val="24"/>
        </w:rPr>
        <w:t>Critical Social Policy, 32</w:t>
      </w:r>
      <w:r w:rsidRPr="00E53D09">
        <w:rPr>
          <w:rFonts w:ascii="Arial" w:hAnsi="Arial" w:cs="Arial"/>
          <w:noProof/>
          <w:sz w:val="24"/>
          <w:szCs w:val="24"/>
        </w:rPr>
        <w:t>(2), 163</w:t>
      </w:r>
      <w:r>
        <w:rPr>
          <w:rFonts w:ascii="Arial" w:hAnsi="Arial" w:cs="Arial"/>
          <w:noProof/>
          <w:sz w:val="24"/>
          <w:szCs w:val="24"/>
        </w:rPr>
        <w:t>–</w:t>
      </w:r>
      <w:r w:rsidRPr="00E53D09">
        <w:rPr>
          <w:rFonts w:ascii="Arial" w:hAnsi="Arial" w:cs="Arial"/>
          <w:noProof/>
          <w:sz w:val="24"/>
          <w:szCs w:val="24"/>
        </w:rPr>
        <w:t>183. doi:https://doi.org/10.1177/0261018311420276</w:t>
      </w:r>
    </w:p>
    <w:p w14:paraId="4E2F8F6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Mintzberg. (1996). Managing government governing management. </w:t>
      </w:r>
      <w:r w:rsidRPr="00E53D09">
        <w:rPr>
          <w:rFonts w:ascii="Arial" w:hAnsi="Arial" w:cs="Arial"/>
          <w:i/>
          <w:iCs/>
          <w:noProof/>
          <w:sz w:val="24"/>
          <w:szCs w:val="24"/>
        </w:rPr>
        <w:t>Harvard Business Review, 74</w:t>
      </w:r>
      <w:r w:rsidRPr="00E53D09">
        <w:rPr>
          <w:rFonts w:ascii="Arial" w:hAnsi="Arial" w:cs="Arial"/>
          <w:noProof/>
          <w:sz w:val="24"/>
          <w:szCs w:val="24"/>
        </w:rPr>
        <w:t>(3), 75</w:t>
      </w:r>
      <w:r>
        <w:rPr>
          <w:rFonts w:ascii="Arial" w:hAnsi="Arial" w:cs="Arial"/>
          <w:noProof/>
          <w:sz w:val="24"/>
          <w:szCs w:val="24"/>
        </w:rPr>
        <w:t>–</w:t>
      </w:r>
      <w:r w:rsidRPr="00E53D09">
        <w:rPr>
          <w:rFonts w:ascii="Arial" w:hAnsi="Arial" w:cs="Arial"/>
          <w:noProof/>
          <w:sz w:val="24"/>
          <w:szCs w:val="24"/>
        </w:rPr>
        <w:t xml:space="preserve">83. Retrieved </w:t>
      </w:r>
      <w:r>
        <w:rPr>
          <w:rFonts w:ascii="Arial" w:hAnsi="Arial" w:cs="Arial"/>
          <w:noProof/>
          <w:sz w:val="24"/>
          <w:szCs w:val="24"/>
        </w:rPr>
        <w:t>N</w:t>
      </w:r>
      <w:r w:rsidRPr="00E53D09">
        <w:rPr>
          <w:rFonts w:ascii="Arial" w:hAnsi="Arial" w:cs="Arial"/>
          <w:noProof/>
          <w:sz w:val="24"/>
          <w:szCs w:val="24"/>
        </w:rPr>
        <w:t>ovember 28, 2022, from https://web-s-ebscohost-com.ezproxy.uwtsd.ac.uk/ehost/pdfviewer/pdfviewer?vid=1&amp;sid=ce00988d-0386-4768-bf78-a47a5b4ab75e%40redis</w:t>
      </w:r>
    </w:p>
    <w:p w14:paraId="119CF83A"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Mitchell, R. K., Agle, B. R. &amp; Wood, D. J. (1997). Toward a Theory of Stakeholder Identification and Salience: Defining the Principle of Who and What Really Counts. </w:t>
      </w:r>
      <w:r w:rsidRPr="00E53D09">
        <w:rPr>
          <w:rFonts w:ascii="Arial" w:hAnsi="Arial" w:cs="Arial"/>
          <w:i/>
          <w:iCs/>
          <w:noProof/>
          <w:sz w:val="24"/>
          <w:szCs w:val="24"/>
        </w:rPr>
        <w:t>The Academy of Management Review, 22</w:t>
      </w:r>
      <w:r w:rsidRPr="00E53D09">
        <w:rPr>
          <w:rFonts w:ascii="Arial" w:hAnsi="Arial" w:cs="Arial"/>
          <w:noProof/>
          <w:sz w:val="24"/>
          <w:szCs w:val="24"/>
        </w:rPr>
        <w:t>(4), 853–886. doi:https://doi.org/10.2</w:t>
      </w:r>
    </w:p>
    <w:p w14:paraId="4DEB7713"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Muir, R. &amp; Lodge, G. (2008). </w:t>
      </w:r>
      <w:r w:rsidRPr="00E53D09">
        <w:rPr>
          <w:rFonts w:ascii="Arial" w:hAnsi="Arial" w:cs="Arial"/>
          <w:i/>
          <w:iCs/>
          <w:noProof/>
          <w:sz w:val="24"/>
          <w:szCs w:val="24"/>
        </w:rPr>
        <w:t>A New Beat: Options for more accountable policing.</w:t>
      </w:r>
      <w:r w:rsidRPr="00E53D09">
        <w:rPr>
          <w:rFonts w:ascii="Arial" w:hAnsi="Arial" w:cs="Arial"/>
          <w:noProof/>
          <w:sz w:val="24"/>
          <w:szCs w:val="24"/>
        </w:rPr>
        <w:t xml:space="preserve"> Institute for Public Policy Research. Retrieved november 29, 2022, from https://www.ippr.org/files/images/media/files/publication/2011/05/a_new_beat_1644.pdf</w:t>
      </w:r>
    </w:p>
    <w:p w14:paraId="5D4401F8" w14:textId="77777777" w:rsidR="00287D52" w:rsidRPr="00B206F6" w:rsidRDefault="00287D52" w:rsidP="00287D52">
      <w:pPr>
        <w:ind w:left="720" w:hanging="720"/>
      </w:pPr>
      <w:r w:rsidRPr="00CC7176">
        <w:rPr>
          <w:rFonts w:ascii="Arial" w:hAnsi="Arial" w:cs="Arial"/>
          <w:sz w:val="24"/>
          <w:szCs w:val="24"/>
        </w:rPr>
        <w:lastRenderedPageBreak/>
        <w:t xml:space="preserve">National Archives. (n.d.). </w:t>
      </w:r>
      <w:r w:rsidRPr="00003C55">
        <w:rPr>
          <w:rFonts w:ascii="Arial" w:hAnsi="Arial" w:cs="Arial"/>
          <w:i/>
          <w:iCs/>
          <w:sz w:val="24"/>
          <w:szCs w:val="24"/>
        </w:rPr>
        <w:t xml:space="preserve">What caused the 1832 Great Reform Act? </w:t>
      </w:r>
      <w:r w:rsidRPr="00CC7176">
        <w:rPr>
          <w:rFonts w:ascii="Arial" w:hAnsi="Arial" w:cs="Arial"/>
          <w:sz w:val="24"/>
          <w:szCs w:val="24"/>
        </w:rPr>
        <w:t>Retrieved January 5, 2023, from: https://www.nationalarchives.gov.uk/education/resources/what-caused-the-1832-great-reform-act/</w:t>
      </w:r>
    </w:p>
    <w:p w14:paraId="150C80C8"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National Police Chiefs’ Council. (2016). </w:t>
      </w:r>
      <w:r w:rsidRPr="00E53D09">
        <w:rPr>
          <w:rFonts w:ascii="Arial" w:hAnsi="Arial" w:cs="Arial"/>
          <w:i/>
          <w:iCs/>
          <w:noProof/>
          <w:sz w:val="24"/>
          <w:szCs w:val="24"/>
        </w:rPr>
        <w:t>National Strategy for the Policing of Children &amp; Young People.</w:t>
      </w:r>
      <w:r w:rsidRPr="00E53D09">
        <w:rPr>
          <w:rFonts w:ascii="Arial" w:hAnsi="Arial" w:cs="Arial"/>
          <w:noProof/>
          <w:sz w:val="24"/>
          <w:szCs w:val="24"/>
        </w:rPr>
        <w:t xml:space="preserve"> National Police Chief's Council. Retrieved November 30, 2022, from https://www.npcc.police.uk/documents/edhr/2015/CYP%20Strategy%202015%202017%20August%202015.pdf</w:t>
      </w:r>
    </w:p>
    <w:p w14:paraId="1BB52B89" w14:textId="76D5B94D"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Office for National Statistics. (2015). </w:t>
      </w:r>
      <w:r w:rsidRPr="00E53D09">
        <w:rPr>
          <w:rFonts w:ascii="Arial" w:hAnsi="Arial" w:cs="Arial"/>
          <w:i/>
          <w:iCs/>
          <w:noProof/>
          <w:sz w:val="24"/>
          <w:szCs w:val="24"/>
        </w:rPr>
        <w:t>Chapter 1: Perceptions of the Police: Crime statistics from the Crime Survey for England and Wales and police recorded crime.</w:t>
      </w:r>
      <w:r w:rsidRPr="00E53D09">
        <w:rPr>
          <w:rFonts w:ascii="Arial" w:hAnsi="Arial" w:cs="Arial"/>
          <w:noProof/>
          <w:sz w:val="24"/>
          <w:szCs w:val="24"/>
        </w:rPr>
        <w:t xml:space="preserve"> Office for National Statistics. Retrieved December 2, 2022, from file:///C:/Users/swp54722/Downloads/Chapter%201_%20Perceptions%20of%20the%20Police.pdf</w:t>
      </w:r>
    </w:p>
    <w:p w14:paraId="13C3A208" w14:textId="77777777" w:rsidR="002B0AB7" w:rsidRDefault="002B0AB7" w:rsidP="002B0AB7">
      <w:pPr>
        <w:pStyle w:val="Bibliography"/>
        <w:ind w:left="720" w:hanging="720"/>
        <w:rPr>
          <w:rFonts w:ascii="Arial" w:hAnsi="Arial" w:cs="Arial"/>
          <w:noProof/>
          <w:sz w:val="24"/>
          <w:szCs w:val="24"/>
        </w:rPr>
      </w:pPr>
      <w:r w:rsidRPr="00E53D09">
        <w:rPr>
          <w:rFonts w:ascii="Arial" w:hAnsi="Arial" w:cs="Arial"/>
          <w:noProof/>
          <w:sz w:val="24"/>
          <w:szCs w:val="24"/>
        </w:rPr>
        <w:t xml:space="preserve">Osborne, S. (2006). Editorial: The New Public Governance?. </w:t>
      </w:r>
      <w:r w:rsidRPr="00E53D09">
        <w:rPr>
          <w:rFonts w:ascii="Arial" w:hAnsi="Arial" w:cs="Arial"/>
          <w:i/>
          <w:iCs/>
          <w:noProof/>
          <w:sz w:val="24"/>
          <w:szCs w:val="24"/>
        </w:rPr>
        <w:t>Public Management Review, 8</w:t>
      </w:r>
      <w:r w:rsidRPr="00E53D09">
        <w:rPr>
          <w:rFonts w:ascii="Arial" w:hAnsi="Arial" w:cs="Arial"/>
          <w:noProof/>
          <w:sz w:val="24"/>
          <w:szCs w:val="24"/>
        </w:rPr>
        <w:t>(3), 377–387. doi: doi:10.1080/14719030600853022.</w:t>
      </w:r>
    </w:p>
    <w:p w14:paraId="48D526A4" w14:textId="4BFBC0A4" w:rsidR="00287D52" w:rsidRPr="002B0AB7" w:rsidRDefault="00287D52" w:rsidP="002B0AB7">
      <w:pPr>
        <w:pStyle w:val="Bibliography"/>
        <w:ind w:left="720" w:hanging="720"/>
        <w:rPr>
          <w:rFonts w:ascii="Arial" w:hAnsi="Arial" w:cs="Arial"/>
          <w:noProof/>
          <w:sz w:val="24"/>
          <w:szCs w:val="24"/>
        </w:rPr>
      </w:pPr>
      <w:r w:rsidRPr="00E53D09">
        <w:rPr>
          <w:rFonts w:ascii="Arial" w:hAnsi="Arial" w:cs="Arial"/>
          <w:noProof/>
          <w:sz w:val="24"/>
          <w:szCs w:val="24"/>
        </w:rPr>
        <w:t xml:space="preserve">Osborne, D. </w:t>
      </w:r>
      <w:r>
        <w:rPr>
          <w:rFonts w:ascii="Arial" w:hAnsi="Arial" w:cs="Arial"/>
          <w:noProof/>
          <w:sz w:val="24"/>
          <w:szCs w:val="24"/>
        </w:rPr>
        <w:t>A</w:t>
      </w:r>
      <w:r w:rsidRPr="00E53D09">
        <w:rPr>
          <w:rFonts w:ascii="Arial" w:hAnsi="Arial" w:cs="Arial"/>
          <w:noProof/>
          <w:sz w:val="24"/>
          <w:szCs w:val="24"/>
        </w:rPr>
        <w:t xml:space="preserve">. </w:t>
      </w:r>
      <w:r w:rsidR="00B555B3">
        <w:rPr>
          <w:rFonts w:ascii="Arial" w:hAnsi="Arial" w:cs="Arial"/>
          <w:noProof/>
          <w:sz w:val="24"/>
          <w:szCs w:val="24"/>
        </w:rPr>
        <w:t xml:space="preserve">&amp; Gaebler, T. </w:t>
      </w:r>
      <w:r w:rsidRPr="00E53D09">
        <w:rPr>
          <w:rFonts w:ascii="Arial" w:hAnsi="Arial" w:cs="Arial"/>
          <w:noProof/>
          <w:sz w:val="24"/>
          <w:szCs w:val="24"/>
        </w:rPr>
        <w:t xml:space="preserve">(1992). </w:t>
      </w:r>
      <w:r w:rsidRPr="00E53D09">
        <w:rPr>
          <w:rFonts w:ascii="Arial" w:hAnsi="Arial" w:cs="Arial"/>
          <w:i/>
          <w:iCs/>
          <w:noProof/>
          <w:sz w:val="24"/>
          <w:szCs w:val="24"/>
        </w:rPr>
        <w:t>Reinventing Government: How the entrepreneurial spirit is transforming the public sector.</w:t>
      </w:r>
      <w:r w:rsidRPr="00E53D09">
        <w:rPr>
          <w:rFonts w:ascii="Arial" w:hAnsi="Arial" w:cs="Arial"/>
          <w:noProof/>
          <w:sz w:val="24"/>
          <w:szCs w:val="24"/>
        </w:rPr>
        <w:t xml:space="preserve"> Reading: Addison-Wellesley.</w:t>
      </w:r>
      <w:r w:rsidR="00E00E72">
        <w:rPr>
          <w:rFonts w:ascii="Arial" w:hAnsi="Arial" w:cs="Arial"/>
          <w:noProof/>
          <w:sz w:val="24"/>
          <w:szCs w:val="24"/>
        </w:rPr>
        <w:t xml:space="preserve"> </w:t>
      </w:r>
    </w:p>
    <w:p w14:paraId="34384981" w14:textId="77777777" w:rsidR="00287D52" w:rsidRPr="00505C3E" w:rsidRDefault="00287D52" w:rsidP="00287D52">
      <w:pPr>
        <w:ind w:left="720" w:hanging="720"/>
        <w:rPr>
          <w:rFonts w:ascii="Arial" w:hAnsi="Arial" w:cs="Arial"/>
          <w:sz w:val="24"/>
          <w:szCs w:val="24"/>
        </w:rPr>
      </w:pPr>
      <w:r w:rsidRPr="00505C3E">
        <w:rPr>
          <w:rFonts w:ascii="Arial" w:hAnsi="Arial" w:cs="Arial"/>
          <w:sz w:val="24"/>
          <w:szCs w:val="24"/>
        </w:rPr>
        <w:t>Pratchett L.</w:t>
      </w:r>
      <w:r>
        <w:rPr>
          <w:rFonts w:ascii="Arial" w:hAnsi="Arial" w:cs="Arial"/>
          <w:sz w:val="24"/>
          <w:szCs w:val="24"/>
        </w:rPr>
        <w:t>,</w:t>
      </w:r>
      <w:r w:rsidRPr="00505C3E">
        <w:rPr>
          <w:rFonts w:ascii="Arial" w:hAnsi="Arial" w:cs="Arial"/>
          <w:sz w:val="24"/>
          <w:szCs w:val="24"/>
        </w:rPr>
        <w:t xml:space="preserve"> </w:t>
      </w:r>
      <w:r>
        <w:rPr>
          <w:rFonts w:ascii="Arial" w:hAnsi="Arial" w:cs="Arial"/>
          <w:sz w:val="24"/>
          <w:szCs w:val="24"/>
        </w:rPr>
        <w:t>(</w:t>
      </w:r>
      <w:r w:rsidRPr="00505C3E">
        <w:rPr>
          <w:rFonts w:ascii="Arial" w:hAnsi="Arial" w:cs="Arial"/>
          <w:sz w:val="24"/>
          <w:szCs w:val="24"/>
        </w:rPr>
        <w:t>2004</w:t>
      </w:r>
      <w:r>
        <w:rPr>
          <w:rFonts w:ascii="Arial" w:hAnsi="Arial" w:cs="Arial"/>
          <w:sz w:val="24"/>
          <w:szCs w:val="24"/>
        </w:rPr>
        <w:t>)</w:t>
      </w:r>
      <w:r w:rsidRPr="00505C3E">
        <w:rPr>
          <w:rFonts w:ascii="Arial" w:hAnsi="Arial" w:cs="Arial"/>
          <w:sz w:val="24"/>
          <w:szCs w:val="24"/>
        </w:rPr>
        <w:t xml:space="preserve">. Local autonomy, local democracy and the ‘new localism’. </w:t>
      </w:r>
      <w:r w:rsidRPr="00505C3E">
        <w:rPr>
          <w:rFonts w:ascii="Arial" w:hAnsi="Arial" w:cs="Arial"/>
          <w:i/>
          <w:iCs/>
          <w:sz w:val="24"/>
          <w:szCs w:val="24"/>
        </w:rPr>
        <w:t xml:space="preserve">Political Studies </w:t>
      </w:r>
      <w:r w:rsidRPr="00505C3E">
        <w:rPr>
          <w:rFonts w:ascii="Arial" w:hAnsi="Arial" w:cs="Arial"/>
          <w:sz w:val="24"/>
          <w:szCs w:val="24"/>
        </w:rPr>
        <w:t>52:358–75.</w:t>
      </w:r>
      <w:r>
        <w:rPr>
          <w:rFonts w:ascii="Arial" w:hAnsi="Arial" w:cs="Arial"/>
          <w:sz w:val="24"/>
          <w:szCs w:val="24"/>
        </w:rPr>
        <w:t xml:space="preserve"> Retrieved on January 4, 2023, from: </w:t>
      </w:r>
      <w:r w:rsidRPr="00505C3E">
        <w:rPr>
          <w:rFonts w:ascii="Arial" w:hAnsi="Arial" w:cs="Arial"/>
          <w:sz w:val="24"/>
          <w:szCs w:val="24"/>
        </w:rPr>
        <w:t>https://academic.oup.com/jpart/article/25/2/623/898368</w:t>
      </w:r>
    </w:p>
    <w:p w14:paraId="6E68B13A"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Patten, C. (1999). </w:t>
      </w:r>
      <w:r w:rsidRPr="00E53D09">
        <w:rPr>
          <w:rFonts w:ascii="Arial" w:hAnsi="Arial" w:cs="Arial"/>
          <w:i/>
          <w:iCs/>
          <w:noProof/>
          <w:sz w:val="24"/>
          <w:szCs w:val="24"/>
        </w:rPr>
        <w:t>A New Beginning: Policing in Northern Ireland.</w:t>
      </w:r>
      <w:r w:rsidRPr="00E53D09">
        <w:rPr>
          <w:rFonts w:ascii="Arial" w:hAnsi="Arial" w:cs="Arial"/>
          <w:noProof/>
          <w:sz w:val="24"/>
          <w:szCs w:val="24"/>
        </w:rPr>
        <w:t xml:space="preserve"> Northern Ireland: Independent Commission for Policing. Retrieved December 13, 2022, from https://cain.ulster.ac.uk/issues/police/patten/patten99.pdf</w:t>
      </w:r>
    </w:p>
    <w:p w14:paraId="4163F65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Plumptre, T. &amp; Graham, J. (1999). Governance and Good Governance. </w:t>
      </w:r>
      <w:r w:rsidRPr="00E53D09">
        <w:rPr>
          <w:rFonts w:ascii="Arial" w:hAnsi="Arial" w:cs="Arial"/>
          <w:i/>
          <w:iCs/>
          <w:noProof/>
          <w:sz w:val="24"/>
          <w:szCs w:val="24"/>
        </w:rPr>
        <w:t>Institu</w:t>
      </w:r>
      <w:r>
        <w:rPr>
          <w:rFonts w:ascii="Arial" w:hAnsi="Arial" w:cs="Arial"/>
          <w:i/>
          <w:iCs/>
          <w:noProof/>
          <w:sz w:val="24"/>
          <w:szCs w:val="24"/>
        </w:rPr>
        <w:t>t</w:t>
      </w:r>
      <w:r w:rsidRPr="00E53D09">
        <w:rPr>
          <w:rFonts w:ascii="Arial" w:hAnsi="Arial" w:cs="Arial"/>
          <w:i/>
          <w:iCs/>
          <w:noProof/>
          <w:sz w:val="24"/>
          <w:szCs w:val="24"/>
        </w:rPr>
        <w:t>e on Governance</w:t>
      </w:r>
      <w:r w:rsidRPr="00E53D09">
        <w:rPr>
          <w:rFonts w:ascii="Arial" w:hAnsi="Arial" w:cs="Arial"/>
          <w:noProof/>
          <w:sz w:val="24"/>
          <w:szCs w:val="24"/>
        </w:rPr>
        <w:t>, 1</w:t>
      </w:r>
      <w:r>
        <w:rPr>
          <w:rFonts w:ascii="Arial" w:hAnsi="Arial" w:cs="Arial"/>
          <w:noProof/>
          <w:sz w:val="24"/>
          <w:szCs w:val="24"/>
        </w:rPr>
        <w:t>–</w:t>
      </w:r>
      <w:r w:rsidRPr="00E53D09">
        <w:rPr>
          <w:rFonts w:ascii="Arial" w:hAnsi="Arial" w:cs="Arial"/>
          <w:noProof/>
          <w:sz w:val="24"/>
          <w:szCs w:val="24"/>
        </w:rPr>
        <w:t>27. Retrieved from https://www.files.ethz.ch/isn/122184/govgoodgov.pdf</w:t>
      </w:r>
    </w:p>
    <w:p w14:paraId="32EDE2E3"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Pósch, K.</w:t>
      </w:r>
      <w:r>
        <w:rPr>
          <w:rFonts w:ascii="Arial" w:hAnsi="Arial" w:cs="Arial"/>
          <w:noProof/>
          <w:sz w:val="24"/>
          <w:szCs w:val="24"/>
        </w:rPr>
        <w:t>,</w:t>
      </w:r>
      <w:r w:rsidRPr="00E53D09">
        <w:rPr>
          <w:rFonts w:ascii="Arial" w:hAnsi="Arial" w:cs="Arial"/>
          <w:noProof/>
          <w:sz w:val="24"/>
          <w:szCs w:val="24"/>
        </w:rPr>
        <w:t xml:space="preserve"> Jackson, J.</w:t>
      </w:r>
      <w:r>
        <w:rPr>
          <w:rFonts w:ascii="Arial" w:hAnsi="Arial" w:cs="Arial"/>
          <w:noProof/>
          <w:sz w:val="24"/>
          <w:szCs w:val="24"/>
        </w:rPr>
        <w:t>,</w:t>
      </w:r>
      <w:r w:rsidRPr="00E53D09">
        <w:rPr>
          <w:rFonts w:ascii="Arial" w:hAnsi="Arial" w:cs="Arial"/>
          <w:noProof/>
          <w:sz w:val="24"/>
          <w:szCs w:val="24"/>
        </w:rPr>
        <w:t xml:space="preserve"> Bradford, B. &amp; MacQueen, S. (2021). “Truly free consent?</w:t>
      </w:r>
      <w:r w:rsidRPr="004A28BE">
        <w:t xml:space="preserve"> </w:t>
      </w:r>
      <w:r w:rsidRPr="004A28BE">
        <w:rPr>
          <w:rFonts w:ascii="Arial" w:hAnsi="Arial" w:cs="Arial"/>
          <w:noProof/>
          <w:sz w:val="24"/>
          <w:szCs w:val="24"/>
        </w:rPr>
        <w:t>”</w:t>
      </w:r>
      <w:r w:rsidRPr="00E53D09">
        <w:rPr>
          <w:rFonts w:ascii="Arial" w:hAnsi="Arial" w:cs="Arial"/>
          <w:noProof/>
          <w:sz w:val="24"/>
          <w:szCs w:val="24"/>
        </w:rPr>
        <w:t xml:space="preserve"> Clarifying the nature of police legitimacy using causal mediation analysis. </w:t>
      </w:r>
      <w:r w:rsidRPr="00E53D09">
        <w:rPr>
          <w:rFonts w:ascii="Arial" w:hAnsi="Arial" w:cs="Arial"/>
          <w:i/>
          <w:iCs/>
          <w:noProof/>
          <w:sz w:val="24"/>
          <w:szCs w:val="24"/>
        </w:rPr>
        <w:t>Journal of Experimental Criminology, 17</w:t>
      </w:r>
      <w:r w:rsidRPr="00E53D09">
        <w:rPr>
          <w:rFonts w:ascii="Arial" w:hAnsi="Arial" w:cs="Arial"/>
          <w:noProof/>
          <w:sz w:val="24"/>
          <w:szCs w:val="24"/>
        </w:rPr>
        <w:t>, 563</w:t>
      </w:r>
      <w:r>
        <w:rPr>
          <w:rFonts w:ascii="Arial" w:hAnsi="Arial" w:cs="Arial"/>
          <w:noProof/>
          <w:sz w:val="24"/>
          <w:szCs w:val="24"/>
        </w:rPr>
        <w:t>–</w:t>
      </w:r>
      <w:r w:rsidRPr="00E53D09">
        <w:rPr>
          <w:rFonts w:ascii="Arial" w:hAnsi="Arial" w:cs="Arial"/>
          <w:noProof/>
          <w:sz w:val="24"/>
          <w:szCs w:val="24"/>
        </w:rPr>
        <w:t>595. Retrieved from file:///C:/Users/swp54722/Downloads/s11292-020-09426-x.pdf</w:t>
      </w:r>
    </w:p>
    <w:p w14:paraId="6B25E74B" w14:textId="77777777" w:rsidR="00287D52" w:rsidRPr="007345E5" w:rsidRDefault="00287D52" w:rsidP="00287D52">
      <w:pPr>
        <w:ind w:left="720" w:hanging="720"/>
        <w:rPr>
          <w:rFonts w:ascii="Arial" w:hAnsi="Arial" w:cs="Arial"/>
          <w:sz w:val="24"/>
          <w:szCs w:val="24"/>
        </w:rPr>
      </w:pPr>
      <w:r w:rsidRPr="007345E5">
        <w:rPr>
          <w:rFonts w:ascii="Arial" w:hAnsi="Arial" w:cs="Arial"/>
          <w:sz w:val="24"/>
          <w:szCs w:val="24"/>
        </w:rPr>
        <w:t>Pósch, K. &amp; Jackson, J. (2021)</w:t>
      </w:r>
      <w:r>
        <w:rPr>
          <w:rFonts w:ascii="Arial" w:hAnsi="Arial" w:cs="Arial"/>
          <w:sz w:val="24"/>
          <w:szCs w:val="24"/>
        </w:rPr>
        <w:t>.</w:t>
      </w:r>
      <w:r w:rsidRPr="007345E5">
        <w:rPr>
          <w:rFonts w:ascii="Arial" w:hAnsi="Arial" w:cs="Arial"/>
          <w:sz w:val="24"/>
          <w:szCs w:val="24"/>
        </w:rPr>
        <w:t xml:space="preserve"> </w:t>
      </w:r>
      <w:r w:rsidRPr="00CD4E27">
        <w:rPr>
          <w:rFonts w:ascii="Arial" w:hAnsi="Arial" w:cs="Arial"/>
          <w:sz w:val="24"/>
          <w:szCs w:val="24"/>
        </w:rPr>
        <w:t>Police in the classroom</w:t>
      </w:r>
      <w:r>
        <w:rPr>
          <w:rFonts w:ascii="Arial" w:hAnsi="Arial" w:cs="Arial"/>
          <w:sz w:val="24"/>
          <w:szCs w:val="24"/>
        </w:rPr>
        <w:t>:</w:t>
      </w:r>
      <w:r w:rsidRPr="00CD4E27">
        <w:rPr>
          <w:rFonts w:ascii="Arial" w:hAnsi="Arial" w:cs="Arial"/>
          <w:sz w:val="24"/>
          <w:szCs w:val="24"/>
        </w:rPr>
        <w:t xml:space="preserve"> Evaluation of a three-wave cluster-randomised controlled trial</w:t>
      </w:r>
      <w:r>
        <w:rPr>
          <w:rFonts w:ascii="Arial" w:hAnsi="Arial" w:cs="Arial"/>
          <w:sz w:val="24"/>
          <w:szCs w:val="24"/>
        </w:rPr>
        <w:t xml:space="preserve">. </w:t>
      </w:r>
      <w:r w:rsidRPr="0007652A">
        <w:rPr>
          <w:rFonts w:ascii="Arial" w:hAnsi="Arial" w:cs="Arial"/>
          <w:i/>
          <w:iCs/>
          <w:sz w:val="24"/>
          <w:szCs w:val="24"/>
        </w:rPr>
        <w:t>The London School of Economics and Political Science</w:t>
      </w:r>
      <w:r>
        <w:rPr>
          <w:rFonts w:ascii="Arial" w:hAnsi="Arial" w:cs="Arial"/>
          <w:sz w:val="24"/>
          <w:szCs w:val="24"/>
        </w:rPr>
        <w:t xml:space="preserve">. Retrieved from </w:t>
      </w:r>
      <w:r w:rsidRPr="00E32BCD">
        <w:rPr>
          <w:rFonts w:ascii="Arial" w:hAnsi="Arial" w:cs="Arial"/>
          <w:sz w:val="24"/>
          <w:szCs w:val="24"/>
        </w:rPr>
        <w:t>https://eprints.lse.ac.uk/108632/1/Posch_police_in_the_classroom_published.pdf</w:t>
      </w:r>
    </w:p>
    <w:p w14:paraId="2827175E"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Quinton</w:t>
      </w:r>
      <w:r>
        <w:rPr>
          <w:rFonts w:ascii="Arial" w:hAnsi="Arial" w:cs="Arial"/>
          <w:noProof/>
          <w:sz w:val="24"/>
          <w:szCs w:val="24"/>
        </w:rPr>
        <w:t>,</w:t>
      </w:r>
      <w:r w:rsidRPr="00E53D09">
        <w:rPr>
          <w:rFonts w:ascii="Arial" w:hAnsi="Arial" w:cs="Arial"/>
          <w:noProof/>
          <w:sz w:val="24"/>
          <w:szCs w:val="24"/>
        </w:rPr>
        <w:t xml:space="preserve"> P. &amp; Tuffin</w:t>
      </w:r>
      <w:r>
        <w:rPr>
          <w:rFonts w:ascii="Arial" w:hAnsi="Arial" w:cs="Arial"/>
          <w:noProof/>
          <w:sz w:val="24"/>
          <w:szCs w:val="24"/>
        </w:rPr>
        <w:t>,</w:t>
      </w:r>
      <w:r w:rsidRPr="00E53D09">
        <w:rPr>
          <w:rFonts w:ascii="Arial" w:hAnsi="Arial" w:cs="Arial"/>
          <w:noProof/>
          <w:sz w:val="24"/>
          <w:szCs w:val="24"/>
        </w:rPr>
        <w:t xml:space="preserve"> R. (2007). Neighbourhood change: The impact of the National Reassurance Policing Programme. </w:t>
      </w:r>
      <w:r w:rsidRPr="00E53D09">
        <w:rPr>
          <w:rFonts w:ascii="Arial" w:hAnsi="Arial" w:cs="Arial"/>
          <w:i/>
          <w:iCs/>
          <w:noProof/>
          <w:sz w:val="24"/>
          <w:szCs w:val="24"/>
        </w:rPr>
        <w:t>Policing, 1</w:t>
      </w:r>
      <w:r w:rsidRPr="00E53D09">
        <w:rPr>
          <w:rFonts w:ascii="Arial" w:hAnsi="Arial" w:cs="Arial"/>
          <w:noProof/>
          <w:sz w:val="24"/>
          <w:szCs w:val="24"/>
        </w:rPr>
        <w:t>(2), 149–160. doi:https://doi.org/10.1093/police/pam024</w:t>
      </w:r>
    </w:p>
    <w:p w14:paraId="7EB83302"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lastRenderedPageBreak/>
        <w:t xml:space="preserve">Quirk, B. (2011). </w:t>
      </w:r>
      <w:r w:rsidRPr="00E53D09">
        <w:rPr>
          <w:rFonts w:ascii="Arial" w:hAnsi="Arial" w:cs="Arial"/>
          <w:i/>
          <w:iCs/>
          <w:noProof/>
          <w:sz w:val="24"/>
          <w:szCs w:val="24"/>
        </w:rPr>
        <w:t xml:space="preserve">Re-imagining Government: public leadership and management in challenging times. </w:t>
      </w:r>
      <w:r w:rsidRPr="00E53D09">
        <w:rPr>
          <w:rFonts w:ascii="Arial" w:hAnsi="Arial" w:cs="Arial"/>
          <w:noProof/>
          <w:sz w:val="24"/>
          <w:szCs w:val="24"/>
        </w:rPr>
        <w:t>Basingstoke:: Palgrave Macmillan.</w:t>
      </w:r>
    </w:p>
    <w:p w14:paraId="7B89C6F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Ratcliffe, J., Taniguchi, T., Groff</w:t>
      </w:r>
      <w:r>
        <w:rPr>
          <w:rFonts w:ascii="Arial" w:hAnsi="Arial" w:cs="Arial"/>
          <w:noProof/>
          <w:sz w:val="24"/>
          <w:szCs w:val="24"/>
        </w:rPr>
        <w:t>,</w:t>
      </w:r>
      <w:r w:rsidRPr="00E53D09">
        <w:rPr>
          <w:rFonts w:ascii="Arial" w:hAnsi="Arial" w:cs="Arial"/>
          <w:noProof/>
          <w:sz w:val="24"/>
          <w:szCs w:val="24"/>
        </w:rPr>
        <w:t xml:space="preserve"> E. &amp; Wood, J. (2011). 'The Philadelphia foot patrol experiment: A randomized controlled trial of police patrol effectiveness in violent crime hot spots'. </w:t>
      </w:r>
      <w:r w:rsidRPr="00E53D09">
        <w:rPr>
          <w:rFonts w:ascii="Arial" w:hAnsi="Arial" w:cs="Arial"/>
          <w:i/>
          <w:iCs/>
          <w:noProof/>
          <w:sz w:val="24"/>
          <w:szCs w:val="24"/>
        </w:rPr>
        <w:t>Criminology, 49</w:t>
      </w:r>
      <w:r w:rsidRPr="00E53D09">
        <w:rPr>
          <w:rFonts w:ascii="Arial" w:hAnsi="Arial" w:cs="Arial"/>
          <w:noProof/>
          <w:sz w:val="24"/>
          <w:szCs w:val="24"/>
        </w:rPr>
        <w:t>(3), 795</w:t>
      </w:r>
      <w:r>
        <w:rPr>
          <w:rFonts w:ascii="Arial" w:hAnsi="Arial" w:cs="Arial"/>
          <w:noProof/>
          <w:sz w:val="24"/>
          <w:szCs w:val="24"/>
        </w:rPr>
        <w:t>–</w:t>
      </w:r>
      <w:r w:rsidRPr="00E53D09">
        <w:rPr>
          <w:rFonts w:ascii="Arial" w:hAnsi="Arial" w:cs="Arial"/>
          <w:noProof/>
          <w:sz w:val="24"/>
          <w:szCs w:val="24"/>
        </w:rPr>
        <w:t xml:space="preserve">831. doi: </w:t>
      </w:r>
      <w:bookmarkStart w:id="6" w:name="_Hlk124185728"/>
      <w:r w:rsidRPr="00E53D09">
        <w:rPr>
          <w:rFonts w:ascii="Arial" w:hAnsi="Arial" w:cs="Arial"/>
          <w:noProof/>
          <w:sz w:val="24"/>
          <w:szCs w:val="24"/>
        </w:rPr>
        <w:t>https://doi.org/10.1111/j.1745-9125.2011.00240.x</w:t>
      </w:r>
      <w:bookmarkEnd w:id="6"/>
    </w:p>
    <w:p w14:paraId="6FA2D9A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Reiner, R. (1985). A Watershed in Policing. </w:t>
      </w:r>
      <w:r w:rsidRPr="00E53D09">
        <w:rPr>
          <w:rFonts w:ascii="Arial" w:hAnsi="Arial" w:cs="Arial"/>
          <w:i/>
          <w:iCs/>
          <w:noProof/>
          <w:sz w:val="24"/>
          <w:szCs w:val="24"/>
        </w:rPr>
        <w:t>The Political Quarterly, 56</w:t>
      </w:r>
      <w:r w:rsidRPr="00E53D09">
        <w:rPr>
          <w:rFonts w:ascii="Arial" w:hAnsi="Arial" w:cs="Arial"/>
          <w:noProof/>
          <w:sz w:val="24"/>
          <w:szCs w:val="24"/>
        </w:rPr>
        <w:t>(2), 122</w:t>
      </w:r>
      <w:r>
        <w:rPr>
          <w:rFonts w:ascii="Arial" w:hAnsi="Arial" w:cs="Arial"/>
          <w:noProof/>
          <w:sz w:val="24"/>
          <w:szCs w:val="24"/>
        </w:rPr>
        <w:t>–</w:t>
      </w:r>
      <w:r w:rsidRPr="00E53D09">
        <w:rPr>
          <w:rFonts w:ascii="Arial" w:hAnsi="Arial" w:cs="Arial"/>
          <w:noProof/>
          <w:sz w:val="24"/>
          <w:szCs w:val="24"/>
        </w:rPr>
        <w:t>131. doi:https://doi.org/10.1111/j.1467-923X.1985.tb02344.x</w:t>
      </w:r>
    </w:p>
    <w:p w14:paraId="5584D979" w14:textId="63A20762" w:rsidR="00287D52" w:rsidRPr="00E53D09" w:rsidRDefault="00925D75" w:rsidP="00287D52">
      <w:pPr>
        <w:pStyle w:val="Bibliography"/>
        <w:ind w:left="720" w:hanging="720"/>
        <w:rPr>
          <w:rFonts w:ascii="Arial" w:hAnsi="Arial" w:cs="Arial"/>
          <w:noProof/>
          <w:sz w:val="24"/>
          <w:szCs w:val="24"/>
        </w:rPr>
      </w:pPr>
      <w:r w:rsidRPr="00925D75">
        <w:rPr>
          <w:rFonts w:ascii="Arial" w:hAnsi="Arial" w:cs="Arial"/>
          <w:noProof/>
          <w:sz w:val="24"/>
          <w:szCs w:val="24"/>
        </w:rPr>
        <w:t>Reiner, R. (1985). [Review of </w:t>
      </w:r>
      <w:r w:rsidRPr="00925D75">
        <w:rPr>
          <w:rFonts w:ascii="Arial" w:hAnsi="Arial" w:cs="Arial"/>
          <w:i/>
          <w:iCs/>
          <w:noProof/>
          <w:sz w:val="24"/>
          <w:szCs w:val="24"/>
        </w:rPr>
        <w:t>Controlling the Constable: Police Accountability in England and Wales</w:t>
      </w:r>
      <w:r w:rsidRPr="00925D75">
        <w:rPr>
          <w:rFonts w:ascii="Arial" w:hAnsi="Arial" w:cs="Arial"/>
          <w:noProof/>
          <w:sz w:val="24"/>
          <w:szCs w:val="24"/>
        </w:rPr>
        <w:t>, by T. Jefferson &amp; R. Grimshaw]. </w:t>
      </w:r>
      <w:r w:rsidRPr="00925D75">
        <w:rPr>
          <w:rFonts w:ascii="Arial" w:hAnsi="Arial" w:cs="Arial"/>
          <w:i/>
          <w:iCs/>
          <w:noProof/>
          <w:sz w:val="24"/>
          <w:szCs w:val="24"/>
        </w:rPr>
        <w:t>The British Journal of Criminology</w:t>
      </w:r>
      <w:r w:rsidRPr="00925D75">
        <w:rPr>
          <w:rFonts w:ascii="Arial" w:hAnsi="Arial" w:cs="Arial"/>
          <w:noProof/>
          <w:sz w:val="24"/>
          <w:szCs w:val="24"/>
        </w:rPr>
        <w:t>, </w:t>
      </w:r>
      <w:r w:rsidRPr="00925D75">
        <w:rPr>
          <w:rFonts w:ascii="Arial" w:hAnsi="Arial" w:cs="Arial"/>
          <w:i/>
          <w:iCs/>
          <w:noProof/>
          <w:sz w:val="24"/>
          <w:szCs w:val="24"/>
        </w:rPr>
        <w:t>25</w:t>
      </w:r>
      <w:r w:rsidRPr="00925D75">
        <w:rPr>
          <w:rFonts w:ascii="Arial" w:hAnsi="Arial" w:cs="Arial"/>
          <w:noProof/>
          <w:sz w:val="24"/>
          <w:szCs w:val="24"/>
        </w:rPr>
        <w:t xml:space="preserve">(3), 296–298. </w:t>
      </w:r>
      <w:r w:rsidR="00287D52" w:rsidRPr="00E53D09">
        <w:rPr>
          <w:rFonts w:ascii="Arial" w:hAnsi="Arial" w:cs="Arial"/>
          <w:noProof/>
          <w:sz w:val="24"/>
          <w:szCs w:val="24"/>
        </w:rPr>
        <w:t xml:space="preserve">Retrieved </w:t>
      </w:r>
      <w:r w:rsidR="00A14FCF">
        <w:rPr>
          <w:rFonts w:ascii="Arial" w:hAnsi="Arial" w:cs="Arial"/>
          <w:noProof/>
          <w:sz w:val="24"/>
          <w:szCs w:val="24"/>
        </w:rPr>
        <w:t>N</w:t>
      </w:r>
      <w:r w:rsidR="00287D52" w:rsidRPr="00E53D09">
        <w:rPr>
          <w:rFonts w:ascii="Arial" w:hAnsi="Arial" w:cs="Arial"/>
          <w:noProof/>
          <w:sz w:val="24"/>
          <w:szCs w:val="24"/>
        </w:rPr>
        <w:t>ovember 1, 2022, from www.jstor.org/stable/23636909</w:t>
      </w:r>
    </w:p>
    <w:p w14:paraId="6497CFE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Reiner, R. (2013). Who Governs? Democracy, Plutocracy, Science and Prophecy in Shaping Policing. </w:t>
      </w:r>
      <w:r w:rsidRPr="00E53D09">
        <w:rPr>
          <w:rFonts w:ascii="Arial" w:hAnsi="Arial" w:cs="Arial"/>
          <w:i/>
          <w:iCs/>
          <w:noProof/>
          <w:sz w:val="24"/>
          <w:szCs w:val="24"/>
        </w:rPr>
        <w:t>Criminology &amp; Criminal Justice, 13</w:t>
      </w:r>
      <w:r w:rsidRPr="00E53D09">
        <w:rPr>
          <w:rFonts w:ascii="Arial" w:hAnsi="Arial" w:cs="Arial"/>
          <w:noProof/>
          <w:sz w:val="24"/>
          <w:szCs w:val="24"/>
        </w:rPr>
        <w:t>(2), 161</w:t>
      </w:r>
      <w:r>
        <w:rPr>
          <w:rFonts w:ascii="Arial" w:hAnsi="Arial" w:cs="Arial"/>
          <w:noProof/>
          <w:sz w:val="24"/>
          <w:szCs w:val="24"/>
        </w:rPr>
        <w:t>–</w:t>
      </w:r>
      <w:r w:rsidRPr="00E53D09">
        <w:rPr>
          <w:rFonts w:ascii="Arial" w:hAnsi="Arial" w:cs="Arial"/>
          <w:noProof/>
          <w:sz w:val="24"/>
          <w:szCs w:val="24"/>
        </w:rPr>
        <w:t>180. doi:https://doi.org/10.1177/1748895812474282</w:t>
      </w:r>
    </w:p>
    <w:p w14:paraId="2F0F7556" w14:textId="0F3DED9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Reiner, R. (201</w:t>
      </w:r>
      <w:r w:rsidR="0039391D">
        <w:rPr>
          <w:rFonts w:ascii="Arial" w:hAnsi="Arial" w:cs="Arial"/>
          <w:noProof/>
          <w:sz w:val="24"/>
          <w:szCs w:val="24"/>
        </w:rPr>
        <w:t>5</w:t>
      </w:r>
      <w:r w:rsidRPr="00E53D09">
        <w:rPr>
          <w:rFonts w:ascii="Arial" w:hAnsi="Arial" w:cs="Arial"/>
          <w:noProof/>
          <w:sz w:val="24"/>
          <w:szCs w:val="24"/>
        </w:rPr>
        <w:t>). Power to the people? A social democratic critique of the Coalition’s police reforms. (</w:t>
      </w:r>
      <w:r w:rsidR="00CA66C0">
        <w:rPr>
          <w:rFonts w:ascii="Arial" w:hAnsi="Arial" w:cs="Arial"/>
          <w:noProof/>
          <w:sz w:val="24"/>
          <w:szCs w:val="24"/>
        </w:rPr>
        <w:t>Editors</w:t>
      </w:r>
      <w:r w:rsidR="00CA7E43">
        <w:rPr>
          <w:rFonts w:ascii="Arial" w:hAnsi="Arial" w:cs="Arial"/>
          <w:noProof/>
          <w:sz w:val="24"/>
          <w:szCs w:val="24"/>
        </w:rPr>
        <w:t xml:space="preserve"> Lister</w:t>
      </w:r>
      <w:r w:rsidR="00F41716">
        <w:rPr>
          <w:rFonts w:ascii="Arial" w:hAnsi="Arial" w:cs="Arial"/>
          <w:noProof/>
          <w:sz w:val="24"/>
          <w:szCs w:val="24"/>
        </w:rPr>
        <w:t>, S. &amp; Rowe, M.</w:t>
      </w:r>
      <w:r w:rsidRPr="00E53D09">
        <w:rPr>
          <w:rFonts w:ascii="Arial" w:hAnsi="Arial" w:cs="Arial"/>
          <w:noProof/>
          <w:sz w:val="24"/>
          <w:szCs w:val="24"/>
        </w:rPr>
        <w:t xml:space="preserve">) </w:t>
      </w:r>
      <w:r w:rsidR="0039391D">
        <w:rPr>
          <w:rFonts w:ascii="Arial" w:hAnsi="Arial" w:cs="Arial"/>
          <w:i/>
          <w:iCs/>
          <w:noProof/>
          <w:sz w:val="24"/>
          <w:szCs w:val="24"/>
        </w:rPr>
        <w:t>Routledge</w:t>
      </w:r>
      <w:r w:rsidR="00F10B6A">
        <w:rPr>
          <w:rFonts w:ascii="Arial" w:hAnsi="Arial" w:cs="Arial"/>
          <w:i/>
          <w:iCs/>
          <w:noProof/>
          <w:sz w:val="24"/>
          <w:szCs w:val="24"/>
        </w:rPr>
        <w:t>.</w:t>
      </w:r>
    </w:p>
    <w:p w14:paraId="7F15225B" w14:textId="77777777" w:rsidR="00287D52" w:rsidRPr="00E53D09" w:rsidRDefault="00287D52" w:rsidP="00287D52">
      <w:pPr>
        <w:ind w:left="720" w:hanging="720"/>
        <w:rPr>
          <w:rFonts w:ascii="Arial" w:hAnsi="Arial" w:cs="Arial"/>
          <w:sz w:val="24"/>
          <w:szCs w:val="24"/>
        </w:rPr>
      </w:pPr>
      <w:proofErr w:type="spellStart"/>
      <w:r w:rsidRPr="00E53D09">
        <w:rPr>
          <w:rFonts w:ascii="Arial" w:hAnsi="Arial" w:cs="Arial"/>
          <w:sz w:val="24"/>
          <w:szCs w:val="24"/>
        </w:rPr>
        <w:t>Romzek</w:t>
      </w:r>
      <w:proofErr w:type="spellEnd"/>
      <w:r w:rsidRPr="00E53D09">
        <w:rPr>
          <w:rFonts w:ascii="Arial" w:hAnsi="Arial" w:cs="Arial"/>
          <w:sz w:val="24"/>
          <w:szCs w:val="24"/>
        </w:rPr>
        <w:t xml:space="preserve"> </w:t>
      </w:r>
      <w:r>
        <w:rPr>
          <w:rFonts w:ascii="Arial" w:hAnsi="Arial" w:cs="Arial"/>
          <w:sz w:val="24"/>
          <w:szCs w:val="24"/>
        </w:rPr>
        <w:t>&amp;</w:t>
      </w:r>
      <w:proofErr w:type="spellStart"/>
      <w:r w:rsidRPr="00E53D09">
        <w:rPr>
          <w:rFonts w:ascii="Arial" w:hAnsi="Arial" w:cs="Arial"/>
          <w:sz w:val="24"/>
          <w:szCs w:val="24"/>
        </w:rPr>
        <w:t>Dubnick</w:t>
      </w:r>
      <w:proofErr w:type="spellEnd"/>
      <w:r w:rsidRPr="00E53D09">
        <w:rPr>
          <w:rFonts w:ascii="Arial" w:hAnsi="Arial" w:cs="Arial"/>
          <w:sz w:val="24"/>
          <w:szCs w:val="24"/>
        </w:rPr>
        <w:t xml:space="preserve">. (1985). Accountability in the Public Sector: Lessons from the Challenger </w:t>
      </w:r>
      <w:proofErr w:type="spellStart"/>
      <w:r w:rsidRPr="00E53D09">
        <w:rPr>
          <w:rFonts w:ascii="Arial" w:hAnsi="Arial" w:cs="Arial"/>
          <w:sz w:val="24"/>
          <w:szCs w:val="24"/>
        </w:rPr>
        <w:t>Tradegy</w:t>
      </w:r>
      <w:proofErr w:type="spellEnd"/>
      <w:r w:rsidRPr="00E53D09">
        <w:rPr>
          <w:rFonts w:ascii="Arial" w:hAnsi="Arial" w:cs="Arial"/>
          <w:sz w:val="24"/>
          <w:szCs w:val="24"/>
        </w:rPr>
        <w:t xml:space="preserve">. </w:t>
      </w:r>
      <w:r w:rsidRPr="00E53D09">
        <w:rPr>
          <w:rFonts w:ascii="Arial" w:hAnsi="Arial" w:cs="Arial"/>
          <w:i/>
          <w:iCs/>
          <w:sz w:val="24"/>
          <w:szCs w:val="24"/>
        </w:rPr>
        <w:t>Public Administration Review, 47</w:t>
      </w:r>
      <w:r w:rsidRPr="00E53D09">
        <w:rPr>
          <w:rFonts w:ascii="Arial" w:hAnsi="Arial" w:cs="Arial"/>
          <w:sz w:val="24"/>
          <w:szCs w:val="24"/>
        </w:rPr>
        <w:t>(3), 227</w:t>
      </w:r>
      <w:r>
        <w:rPr>
          <w:rFonts w:ascii="Arial" w:hAnsi="Arial" w:cs="Arial"/>
          <w:sz w:val="24"/>
          <w:szCs w:val="24"/>
        </w:rPr>
        <w:t>–</w:t>
      </w:r>
      <w:r w:rsidRPr="00E53D09">
        <w:rPr>
          <w:rFonts w:ascii="Arial" w:hAnsi="Arial" w:cs="Arial"/>
          <w:sz w:val="24"/>
          <w:szCs w:val="24"/>
        </w:rPr>
        <w:t xml:space="preserve">238. </w:t>
      </w:r>
      <w:proofErr w:type="spellStart"/>
      <w:r w:rsidRPr="00E53D09">
        <w:rPr>
          <w:rFonts w:ascii="Arial" w:hAnsi="Arial" w:cs="Arial"/>
          <w:sz w:val="24"/>
          <w:szCs w:val="24"/>
        </w:rPr>
        <w:t>doi:https</w:t>
      </w:r>
      <w:proofErr w:type="spellEnd"/>
      <w:r w:rsidRPr="00E53D09">
        <w:rPr>
          <w:rFonts w:ascii="Arial" w:hAnsi="Arial" w:cs="Arial"/>
          <w:sz w:val="24"/>
          <w:szCs w:val="24"/>
        </w:rPr>
        <w:t>://doi.org/10.2307/975901</w:t>
      </w:r>
    </w:p>
    <w:p w14:paraId="68D3ED26"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Rosenberger, &amp; Dierenfeldt, R. (2022). Media and Confidence in the Police: Differences across Race/Ethnicity. </w:t>
      </w:r>
      <w:r w:rsidRPr="00E53D09">
        <w:rPr>
          <w:rFonts w:ascii="Arial" w:hAnsi="Arial" w:cs="Arial"/>
          <w:i/>
          <w:iCs/>
          <w:noProof/>
          <w:sz w:val="24"/>
          <w:szCs w:val="24"/>
        </w:rPr>
        <w:t>American Journal of Criminal Justice, 47</w:t>
      </w:r>
      <w:r w:rsidRPr="00E53D09">
        <w:rPr>
          <w:rFonts w:ascii="Arial" w:hAnsi="Arial" w:cs="Arial"/>
          <w:noProof/>
          <w:sz w:val="24"/>
          <w:szCs w:val="24"/>
        </w:rPr>
        <w:t>(3), 589–613. doi:https://doi.org/10.1007/s12103-020-09603-8</w:t>
      </w:r>
    </w:p>
    <w:p w14:paraId="253DC0D2"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Rowe, M. (2020). </w:t>
      </w:r>
      <w:r w:rsidRPr="00E53D09">
        <w:rPr>
          <w:rFonts w:ascii="Arial" w:hAnsi="Arial" w:cs="Arial"/>
          <w:i/>
          <w:iCs/>
          <w:noProof/>
          <w:sz w:val="24"/>
          <w:szCs w:val="24"/>
        </w:rPr>
        <w:t>Policing the police:changes of democracy and accountability</w:t>
      </w:r>
      <w:r w:rsidRPr="00E53D09">
        <w:rPr>
          <w:rFonts w:ascii="Arial" w:hAnsi="Arial" w:cs="Arial"/>
          <w:noProof/>
          <w:sz w:val="24"/>
          <w:szCs w:val="24"/>
        </w:rPr>
        <w:t xml:space="preserve"> (11 ed.). Policy Press.</w:t>
      </w:r>
    </w:p>
    <w:p w14:paraId="4D1AEEF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Savage, S. (2007). </w:t>
      </w:r>
      <w:r w:rsidRPr="00E53D09">
        <w:rPr>
          <w:rFonts w:ascii="Arial" w:hAnsi="Arial" w:cs="Arial"/>
          <w:i/>
          <w:iCs/>
          <w:noProof/>
          <w:sz w:val="24"/>
          <w:szCs w:val="24"/>
        </w:rPr>
        <w:t>Police Reform: Forces for Change.</w:t>
      </w:r>
      <w:r w:rsidRPr="00E53D09">
        <w:rPr>
          <w:rFonts w:ascii="Arial" w:hAnsi="Arial" w:cs="Arial"/>
          <w:noProof/>
          <w:sz w:val="24"/>
          <w:szCs w:val="24"/>
        </w:rPr>
        <w:t xml:space="preserve"> Oxford: Oxford University Press.</w:t>
      </w:r>
    </w:p>
    <w:p w14:paraId="1D4F2A51"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Select Home Affairs Committee. (2007-2008). </w:t>
      </w:r>
      <w:r w:rsidRPr="00E53D09">
        <w:rPr>
          <w:rFonts w:ascii="Arial" w:hAnsi="Arial" w:cs="Arial"/>
          <w:i/>
          <w:iCs/>
          <w:noProof/>
          <w:sz w:val="24"/>
          <w:szCs w:val="24"/>
        </w:rPr>
        <w:t>Home Affairs Seventh Report.</w:t>
      </w:r>
      <w:r w:rsidRPr="00E53D09">
        <w:rPr>
          <w:rFonts w:ascii="Arial" w:hAnsi="Arial" w:cs="Arial"/>
          <w:noProof/>
          <w:sz w:val="24"/>
          <w:szCs w:val="24"/>
        </w:rPr>
        <w:t xml:space="preserve"> Retrieved nov 28, 2022, from parliament.uk: ttps://publications.parliament.uk/pa/cm200708/cmselect/cmhaff/364/36409.htm</w:t>
      </w:r>
    </w:p>
    <w:p w14:paraId="01172711"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Sherman</w:t>
      </w:r>
      <w:r>
        <w:rPr>
          <w:rFonts w:ascii="Arial" w:hAnsi="Arial" w:cs="Arial"/>
          <w:noProof/>
          <w:sz w:val="24"/>
          <w:szCs w:val="24"/>
        </w:rPr>
        <w:t>,</w:t>
      </w:r>
      <w:r w:rsidRPr="00E53D09">
        <w:rPr>
          <w:rFonts w:ascii="Arial" w:hAnsi="Arial" w:cs="Arial"/>
          <w:noProof/>
          <w:sz w:val="24"/>
          <w:szCs w:val="24"/>
        </w:rPr>
        <w:t xml:space="preserve"> L</w:t>
      </w:r>
      <w:r>
        <w:rPr>
          <w:rFonts w:ascii="Arial" w:hAnsi="Arial" w:cs="Arial"/>
          <w:noProof/>
          <w:sz w:val="24"/>
          <w:szCs w:val="24"/>
        </w:rPr>
        <w:t>.</w:t>
      </w:r>
      <w:r w:rsidRPr="00E53D09">
        <w:rPr>
          <w:rFonts w:ascii="Arial" w:hAnsi="Arial" w:cs="Arial"/>
          <w:noProof/>
          <w:sz w:val="24"/>
          <w:szCs w:val="24"/>
        </w:rPr>
        <w:t xml:space="preserve"> &amp; Eck</w:t>
      </w:r>
      <w:r>
        <w:rPr>
          <w:rFonts w:ascii="Arial" w:hAnsi="Arial" w:cs="Arial"/>
          <w:noProof/>
          <w:sz w:val="24"/>
          <w:szCs w:val="24"/>
        </w:rPr>
        <w:t>,</w:t>
      </w:r>
      <w:r w:rsidRPr="00E53D09">
        <w:rPr>
          <w:rFonts w:ascii="Arial" w:hAnsi="Arial" w:cs="Arial"/>
          <w:noProof/>
          <w:sz w:val="24"/>
          <w:szCs w:val="24"/>
        </w:rPr>
        <w:t xml:space="preserve"> J. (2002). Police for Crime Prevention In: Sherman L and others, eds. </w:t>
      </w:r>
      <w:r w:rsidRPr="00E53D09">
        <w:rPr>
          <w:rFonts w:ascii="Arial" w:hAnsi="Arial" w:cs="Arial"/>
          <w:i/>
          <w:iCs/>
          <w:noProof/>
          <w:sz w:val="24"/>
          <w:szCs w:val="24"/>
        </w:rPr>
        <w:t>Evidence-Based Crime Prevention</w:t>
      </w:r>
      <w:r w:rsidRPr="00E53D09">
        <w:rPr>
          <w:rFonts w:ascii="Arial" w:hAnsi="Arial" w:cs="Arial"/>
          <w:noProof/>
          <w:sz w:val="24"/>
          <w:szCs w:val="24"/>
        </w:rPr>
        <w:t>, 295</w:t>
      </w:r>
      <w:r>
        <w:rPr>
          <w:rFonts w:ascii="Arial" w:hAnsi="Arial" w:cs="Arial"/>
          <w:noProof/>
          <w:sz w:val="24"/>
          <w:szCs w:val="24"/>
        </w:rPr>
        <w:t>–</w:t>
      </w:r>
      <w:r w:rsidRPr="00E53D09">
        <w:rPr>
          <w:rFonts w:ascii="Arial" w:hAnsi="Arial" w:cs="Arial"/>
          <w:noProof/>
          <w:sz w:val="24"/>
          <w:szCs w:val="24"/>
        </w:rPr>
        <w:t>329. Retrieved November 2, 2022</w:t>
      </w:r>
    </w:p>
    <w:p w14:paraId="70426F2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Sherman, L. W. (1998, </w:t>
      </w:r>
      <w:r>
        <w:rPr>
          <w:rFonts w:ascii="Arial" w:hAnsi="Arial" w:cs="Arial"/>
          <w:noProof/>
          <w:sz w:val="24"/>
          <w:szCs w:val="24"/>
        </w:rPr>
        <w:t>N</w:t>
      </w:r>
      <w:r w:rsidRPr="00E53D09">
        <w:rPr>
          <w:rFonts w:ascii="Arial" w:hAnsi="Arial" w:cs="Arial"/>
          <w:noProof/>
          <w:sz w:val="24"/>
          <w:szCs w:val="24"/>
        </w:rPr>
        <w:t xml:space="preserve">ovember 29). Evidence Based Policing. Ideas in American Policing. </w:t>
      </w:r>
      <w:r w:rsidRPr="00E53D09">
        <w:rPr>
          <w:rFonts w:ascii="Arial" w:hAnsi="Arial" w:cs="Arial"/>
          <w:i/>
          <w:iCs/>
          <w:noProof/>
          <w:sz w:val="24"/>
          <w:szCs w:val="24"/>
        </w:rPr>
        <w:t>Police Foundation</w:t>
      </w:r>
      <w:r w:rsidRPr="00E53D09">
        <w:rPr>
          <w:rFonts w:ascii="Arial" w:hAnsi="Arial" w:cs="Arial"/>
          <w:noProof/>
          <w:sz w:val="24"/>
          <w:szCs w:val="24"/>
        </w:rPr>
        <w:t>, 1</w:t>
      </w:r>
      <w:r>
        <w:rPr>
          <w:rFonts w:ascii="Arial" w:hAnsi="Arial" w:cs="Arial"/>
          <w:noProof/>
          <w:sz w:val="24"/>
          <w:szCs w:val="24"/>
        </w:rPr>
        <w:t>–</w:t>
      </w:r>
      <w:r w:rsidRPr="00E53D09">
        <w:rPr>
          <w:rFonts w:ascii="Arial" w:hAnsi="Arial" w:cs="Arial"/>
          <w:noProof/>
          <w:sz w:val="24"/>
          <w:szCs w:val="24"/>
        </w:rPr>
        <w:t>16.</w:t>
      </w:r>
    </w:p>
    <w:p w14:paraId="3FAED295"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Silk, P. (2014). </w:t>
      </w:r>
      <w:r w:rsidRPr="00E53D09">
        <w:rPr>
          <w:rFonts w:ascii="Arial" w:hAnsi="Arial" w:cs="Arial"/>
          <w:i/>
          <w:iCs/>
          <w:noProof/>
          <w:sz w:val="24"/>
          <w:szCs w:val="24"/>
        </w:rPr>
        <w:t>Empowerment and Responsibility: Legislative Powers to Strengthen Wales Executive Summary.</w:t>
      </w:r>
      <w:r w:rsidRPr="00E53D09">
        <w:rPr>
          <w:rFonts w:ascii="Arial" w:hAnsi="Arial" w:cs="Arial"/>
          <w:noProof/>
          <w:sz w:val="24"/>
          <w:szCs w:val="24"/>
        </w:rPr>
        <w:t xml:space="preserve"> Commis</w:t>
      </w:r>
      <w:r>
        <w:rPr>
          <w:rFonts w:ascii="Arial" w:hAnsi="Arial" w:cs="Arial"/>
          <w:noProof/>
          <w:sz w:val="24"/>
          <w:szCs w:val="24"/>
        </w:rPr>
        <w:t>s</w:t>
      </w:r>
      <w:r w:rsidRPr="00E53D09">
        <w:rPr>
          <w:rFonts w:ascii="Arial" w:hAnsi="Arial" w:cs="Arial"/>
          <w:noProof/>
          <w:sz w:val="24"/>
          <w:szCs w:val="24"/>
        </w:rPr>
        <w:t xml:space="preserve">ion on Devolution in Wales. Retrieved December 15, 2022, from </w:t>
      </w:r>
      <w:r w:rsidRPr="00E53D09">
        <w:rPr>
          <w:rFonts w:ascii="Arial" w:hAnsi="Arial" w:cs="Arial"/>
          <w:noProof/>
          <w:sz w:val="24"/>
          <w:szCs w:val="24"/>
        </w:rPr>
        <w:lastRenderedPageBreak/>
        <w:t>https://webarchive.nationalarchives.gov.uk/ukgwa/20140605075122/http://commissionondevolutioninwales.independent.gov.uk//files/2014/03/Empowerment-Responsibility-Legislative-Powers-to-strengthen-Wales-Executive-Summary.pdf</w:t>
      </w:r>
    </w:p>
    <w:p w14:paraId="30D171FA"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South Wales Police and Crime Commissioner. (2021). </w:t>
      </w:r>
      <w:r w:rsidRPr="00E53D09">
        <w:rPr>
          <w:rFonts w:ascii="Arial" w:hAnsi="Arial" w:cs="Arial"/>
          <w:i/>
          <w:iCs/>
          <w:noProof/>
          <w:sz w:val="24"/>
          <w:szCs w:val="24"/>
        </w:rPr>
        <w:t>Annual report - Summary of our Impact 2020-2021.</w:t>
      </w:r>
      <w:r w:rsidRPr="00E53D09">
        <w:rPr>
          <w:rFonts w:ascii="Arial" w:hAnsi="Arial" w:cs="Arial"/>
          <w:noProof/>
          <w:sz w:val="24"/>
          <w:szCs w:val="24"/>
        </w:rPr>
        <w:t xml:space="preserve"> Bridgend: South Wales Police and Crime Commissioner. Retrieved December 2, 2022, from Southwalescommissioner.org.uk: https://www.southwalescommissioner.org.uk/media/2186/2021-09-14-swpcc-annual-report-final.pdf</w:t>
      </w:r>
    </w:p>
    <w:p w14:paraId="6E0E411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i/>
          <w:iCs/>
          <w:noProof/>
          <w:sz w:val="24"/>
          <w:szCs w:val="24"/>
        </w:rPr>
        <w:t>South Wales Police and Crime Panel</w:t>
      </w:r>
      <w:r w:rsidRPr="00E53D09">
        <w:rPr>
          <w:rFonts w:ascii="Arial" w:hAnsi="Arial" w:cs="Arial"/>
          <w:noProof/>
          <w:sz w:val="24"/>
          <w:szCs w:val="24"/>
        </w:rPr>
        <w:t xml:space="preserve">. (2022, </w:t>
      </w:r>
      <w:r>
        <w:rPr>
          <w:rFonts w:ascii="Arial" w:hAnsi="Arial" w:cs="Arial"/>
          <w:noProof/>
          <w:sz w:val="24"/>
          <w:szCs w:val="24"/>
        </w:rPr>
        <w:t>N</w:t>
      </w:r>
      <w:r w:rsidRPr="00E53D09">
        <w:rPr>
          <w:rFonts w:ascii="Arial" w:hAnsi="Arial" w:cs="Arial"/>
          <w:noProof/>
          <w:sz w:val="24"/>
          <w:szCs w:val="24"/>
        </w:rPr>
        <w:t>ovember 29). Retrieved from Merthyr Government: https://www.merthyr.gov.uk/council/councillors-and-committees/south-wales-police-and-crime-panel/</w:t>
      </w:r>
    </w:p>
    <w:p w14:paraId="33E4BF5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Sunshine, J. &amp; Tyler, T. R. (2003). The role of procedural justice and legitimacy in shaping public support for policing. </w:t>
      </w:r>
      <w:r w:rsidRPr="00E53D09">
        <w:rPr>
          <w:rFonts w:ascii="Arial" w:hAnsi="Arial" w:cs="Arial"/>
          <w:i/>
          <w:iCs/>
          <w:noProof/>
          <w:sz w:val="24"/>
          <w:szCs w:val="24"/>
        </w:rPr>
        <w:t>Law and Society Review, 37</w:t>
      </w:r>
      <w:r w:rsidRPr="00E53D09">
        <w:rPr>
          <w:rFonts w:ascii="Arial" w:hAnsi="Arial" w:cs="Arial"/>
          <w:noProof/>
          <w:sz w:val="24"/>
          <w:szCs w:val="24"/>
        </w:rPr>
        <w:t>(3), 513–548. doi:https://doi.org/10.1111/1540-5893.3703002</w:t>
      </w:r>
    </w:p>
    <w:p w14:paraId="698D434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The Auditor General. (2022). </w:t>
      </w:r>
      <w:r w:rsidRPr="00E53D09">
        <w:rPr>
          <w:rFonts w:ascii="Arial" w:hAnsi="Arial" w:cs="Arial"/>
          <w:i/>
          <w:iCs/>
          <w:noProof/>
          <w:sz w:val="24"/>
          <w:szCs w:val="24"/>
        </w:rPr>
        <w:t>‘Time for Change’ – Poverty in Wales.</w:t>
      </w:r>
      <w:r w:rsidRPr="00E53D09">
        <w:rPr>
          <w:rFonts w:ascii="Arial" w:hAnsi="Arial" w:cs="Arial"/>
          <w:noProof/>
          <w:sz w:val="24"/>
          <w:szCs w:val="24"/>
        </w:rPr>
        <w:t xml:space="preserve"> Audit Wales. Retrieved December 14, 2022, from https://outlook.office.com/mail/inbox/id/AAQkADE5NTNhODEyLWE5NTEtNDNjNS1hMzAwLTI3Yzk4YjFkZWVlZAAQAC%2BiNC%2Bq25RHmVXLu7iWcX4%3D/sxs/AAMkADE5NTNhODEyLWE5NTEtNDNjNS1hMzAwLTI3Yzk4YjFkZWVlZABGAAAAAAD183K77Eq8S52%2FR6Q63ijPBwActAeycazGTay4CVe6BSFDAAAAAAEMAAAct</w:t>
      </w:r>
    </w:p>
    <w:p w14:paraId="6B5B9A84"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The Committee for Standards in Public Life. (2015). </w:t>
      </w:r>
      <w:r w:rsidRPr="00E53D09">
        <w:rPr>
          <w:rFonts w:ascii="Arial" w:hAnsi="Arial" w:cs="Arial"/>
          <w:i/>
          <w:iCs/>
          <w:noProof/>
          <w:sz w:val="24"/>
          <w:szCs w:val="24"/>
        </w:rPr>
        <w:t>Tone from the Top: Leadership, Ethics and Accountability in Policing.</w:t>
      </w:r>
      <w:r w:rsidRPr="00E53D09">
        <w:rPr>
          <w:rFonts w:ascii="Arial" w:hAnsi="Arial" w:cs="Arial"/>
          <w:noProof/>
          <w:sz w:val="24"/>
          <w:szCs w:val="24"/>
        </w:rPr>
        <w:t xml:space="preserve"> London: UK Government. Retrieved December 2, 2022, from https://assets.publishing.service.gov.uk/government/uploads/system/uploads/attachment_data/file/439208/Tone_from_the_top_-_CSPL.pdf</w:t>
      </w:r>
    </w:p>
    <w:p w14:paraId="3443A6FA" w14:textId="77777777" w:rsidR="00287D52" w:rsidRPr="003103B9" w:rsidRDefault="00287D52" w:rsidP="00287D52">
      <w:pPr>
        <w:ind w:left="720" w:hanging="720"/>
        <w:rPr>
          <w:rFonts w:ascii="Arial" w:hAnsi="Arial" w:cs="Arial"/>
          <w:sz w:val="24"/>
          <w:szCs w:val="24"/>
        </w:rPr>
      </w:pPr>
      <w:r w:rsidRPr="003103B9">
        <w:rPr>
          <w:rFonts w:ascii="Arial" w:hAnsi="Arial" w:cs="Arial"/>
          <w:sz w:val="24"/>
          <w:szCs w:val="24"/>
        </w:rPr>
        <w:t>The Constitution Unit</w:t>
      </w:r>
      <w:r>
        <w:rPr>
          <w:rFonts w:ascii="Arial" w:hAnsi="Arial" w:cs="Arial"/>
          <w:sz w:val="24"/>
          <w:szCs w:val="24"/>
        </w:rPr>
        <w:t xml:space="preserve"> (June 18, 2022). </w:t>
      </w:r>
      <w:r w:rsidRPr="009633A1">
        <w:rPr>
          <w:rFonts w:ascii="Arial" w:hAnsi="Arial" w:cs="Arial"/>
          <w:i/>
          <w:iCs/>
          <w:sz w:val="24"/>
          <w:szCs w:val="24"/>
        </w:rPr>
        <w:t>The 1997 Labour government’s constitutional reform programme: 25 years on</w:t>
      </w:r>
      <w:r>
        <w:rPr>
          <w:rFonts w:ascii="Arial" w:hAnsi="Arial" w:cs="Arial"/>
          <w:sz w:val="24"/>
          <w:szCs w:val="24"/>
        </w:rPr>
        <w:t xml:space="preserve">. Retrieved on January 5, 2023, from: </w:t>
      </w:r>
      <w:hyperlink r:id="rId10" w:anchor=":~:text=25%20years%20have%20passed%20since%20the%20Labour%20election,and%20Northern%20Ireland%2C%20and%20the%20Human%20Rights%20Act." w:history="1">
        <w:r w:rsidRPr="00854CA5">
          <w:rPr>
            <w:rStyle w:val="Hyperlink"/>
            <w:rFonts w:ascii="Arial" w:hAnsi="Arial" w:cs="Arial"/>
            <w:sz w:val="24"/>
            <w:szCs w:val="24"/>
          </w:rPr>
          <w:t>The 1997 Labour government’s constitutional reform programme: 25 years on | The Constitution Unit Blog (constitution-unit.com)</w:t>
        </w:r>
      </w:hyperlink>
    </w:p>
    <w:p w14:paraId="22698363"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Trojanowicz, F. &amp; Bucqueroux, B. (1994). </w:t>
      </w:r>
      <w:r w:rsidRPr="00E53D09">
        <w:rPr>
          <w:rFonts w:ascii="Arial" w:hAnsi="Arial" w:cs="Arial"/>
          <w:i/>
          <w:iCs/>
          <w:noProof/>
          <w:sz w:val="24"/>
          <w:szCs w:val="24"/>
        </w:rPr>
        <w:t>Community Policing: How to Get Started.</w:t>
      </w:r>
      <w:r w:rsidRPr="00E53D09">
        <w:rPr>
          <w:rFonts w:ascii="Arial" w:hAnsi="Arial" w:cs="Arial"/>
          <w:noProof/>
          <w:sz w:val="24"/>
          <w:szCs w:val="24"/>
        </w:rPr>
        <w:t xml:space="preserve"> Cincinnati, OH: Anderson Publishing.</w:t>
      </w:r>
    </w:p>
    <w:p w14:paraId="44E23A24"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Tyler, T. (2003). Procedural justice, legitimacy, and the effective rule of law . </w:t>
      </w:r>
      <w:r w:rsidRPr="00E53D09">
        <w:rPr>
          <w:rFonts w:ascii="Arial" w:hAnsi="Arial" w:cs="Arial"/>
          <w:i/>
          <w:iCs/>
          <w:noProof/>
          <w:sz w:val="24"/>
          <w:szCs w:val="24"/>
        </w:rPr>
        <w:t>Crime and Justice, 30</w:t>
      </w:r>
      <w:r w:rsidRPr="00E53D09">
        <w:rPr>
          <w:rFonts w:ascii="Arial" w:hAnsi="Arial" w:cs="Arial"/>
          <w:noProof/>
          <w:sz w:val="24"/>
          <w:szCs w:val="24"/>
        </w:rPr>
        <w:t>, 283</w:t>
      </w:r>
      <w:r>
        <w:rPr>
          <w:rFonts w:ascii="Arial" w:hAnsi="Arial" w:cs="Arial"/>
          <w:noProof/>
          <w:sz w:val="24"/>
          <w:szCs w:val="24"/>
        </w:rPr>
        <w:t>–</w:t>
      </w:r>
      <w:r w:rsidRPr="00E53D09">
        <w:rPr>
          <w:rFonts w:ascii="Arial" w:hAnsi="Arial" w:cs="Arial"/>
          <w:noProof/>
          <w:sz w:val="24"/>
          <w:szCs w:val="24"/>
        </w:rPr>
        <w:t>357. doi:https://doi.org/10.1007/s11292-020-09426-x</w:t>
      </w:r>
    </w:p>
    <w:p w14:paraId="35DD545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Tyler, T. (2006). </w:t>
      </w:r>
      <w:r w:rsidRPr="00E53D09">
        <w:rPr>
          <w:rFonts w:ascii="Arial" w:hAnsi="Arial" w:cs="Arial"/>
          <w:i/>
          <w:iCs/>
          <w:noProof/>
          <w:sz w:val="24"/>
          <w:szCs w:val="24"/>
        </w:rPr>
        <w:t>Why people obey the law.</w:t>
      </w:r>
      <w:r w:rsidRPr="00E53D09">
        <w:rPr>
          <w:rFonts w:ascii="Arial" w:hAnsi="Arial" w:cs="Arial"/>
          <w:noProof/>
          <w:sz w:val="24"/>
          <w:szCs w:val="24"/>
        </w:rPr>
        <w:t xml:space="preserve"> Princeton, NJ: Princeton University Press.</w:t>
      </w:r>
    </w:p>
    <w:p w14:paraId="06FA5319"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Tyler, T. R., Jackson, J. &amp; Mentovich, A. (2015). The consequences of being an object of suspicion -</w:t>
      </w:r>
      <w:r>
        <w:rPr>
          <w:rFonts w:ascii="Arial" w:hAnsi="Arial" w:cs="Arial"/>
          <w:noProof/>
          <w:sz w:val="24"/>
          <w:szCs w:val="24"/>
        </w:rPr>
        <w:t xml:space="preserve"> </w:t>
      </w:r>
      <w:r w:rsidRPr="00E53D09">
        <w:rPr>
          <w:rFonts w:ascii="Arial" w:hAnsi="Arial" w:cs="Arial"/>
          <w:noProof/>
          <w:sz w:val="24"/>
          <w:szCs w:val="24"/>
        </w:rPr>
        <w:t xml:space="preserve">potential pitfalls of proactive police contact. </w:t>
      </w:r>
      <w:r w:rsidRPr="00E53D09">
        <w:rPr>
          <w:rFonts w:ascii="Arial" w:hAnsi="Arial" w:cs="Arial"/>
          <w:i/>
          <w:iCs/>
          <w:noProof/>
          <w:sz w:val="24"/>
          <w:szCs w:val="24"/>
        </w:rPr>
        <w:t xml:space="preserve">Journal of </w:t>
      </w:r>
      <w:r w:rsidRPr="00E53D09">
        <w:rPr>
          <w:rFonts w:ascii="Arial" w:hAnsi="Arial" w:cs="Arial"/>
          <w:i/>
          <w:iCs/>
          <w:noProof/>
          <w:sz w:val="24"/>
          <w:szCs w:val="24"/>
        </w:rPr>
        <w:lastRenderedPageBreak/>
        <w:t>Empirical Legal Studies, 12</w:t>
      </w:r>
      <w:r w:rsidRPr="00E53D09">
        <w:rPr>
          <w:rFonts w:ascii="Arial" w:hAnsi="Arial" w:cs="Arial"/>
          <w:noProof/>
          <w:sz w:val="24"/>
          <w:szCs w:val="24"/>
        </w:rPr>
        <w:t xml:space="preserve">(4), 602–636. Retrieved </w:t>
      </w:r>
      <w:r>
        <w:rPr>
          <w:rFonts w:ascii="Arial" w:hAnsi="Arial" w:cs="Arial"/>
          <w:noProof/>
          <w:sz w:val="24"/>
          <w:szCs w:val="24"/>
        </w:rPr>
        <w:t>N</w:t>
      </w:r>
      <w:r w:rsidRPr="00E53D09">
        <w:rPr>
          <w:rFonts w:ascii="Arial" w:hAnsi="Arial" w:cs="Arial"/>
          <w:noProof/>
          <w:sz w:val="24"/>
          <w:szCs w:val="24"/>
        </w:rPr>
        <w:t>ovember 30, 2022, from file:///C:/Users/swp54722/Downloads/SSRN-id2681422.pdf</w:t>
      </w:r>
    </w:p>
    <w:p w14:paraId="4C529B5B"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UK Government. (2012, October 24). </w:t>
      </w:r>
      <w:r w:rsidRPr="00E53D09">
        <w:rPr>
          <w:rFonts w:ascii="Arial" w:hAnsi="Arial" w:cs="Arial"/>
          <w:i/>
          <w:iCs/>
          <w:noProof/>
          <w:sz w:val="24"/>
          <w:szCs w:val="24"/>
        </w:rPr>
        <w:t>Establishment of the College of Policing</w:t>
      </w:r>
      <w:r w:rsidRPr="00E53D09">
        <w:rPr>
          <w:rFonts w:ascii="Arial" w:hAnsi="Arial" w:cs="Arial"/>
          <w:noProof/>
          <w:sz w:val="24"/>
          <w:szCs w:val="24"/>
        </w:rPr>
        <w:t>. Retrieved from UK Government: https://www.gov.uk/government/speeches/establishment-of-the-college-of-policing-update</w:t>
      </w:r>
    </w:p>
    <w:p w14:paraId="181ED185"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UK Government. (2017). </w:t>
      </w:r>
      <w:r w:rsidRPr="00E53D09">
        <w:rPr>
          <w:rFonts w:ascii="Arial" w:hAnsi="Arial" w:cs="Arial"/>
          <w:i/>
          <w:iCs/>
          <w:noProof/>
          <w:sz w:val="24"/>
          <w:szCs w:val="24"/>
        </w:rPr>
        <w:t xml:space="preserve">Policing and Crime </w:t>
      </w:r>
      <w:r>
        <w:rPr>
          <w:rFonts w:ascii="Arial" w:hAnsi="Arial" w:cs="Arial"/>
          <w:i/>
          <w:iCs/>
          <w:noProof/>
          <w:sz w:val="24"/>
          <w:szCs w:val="24"/>
        </w:rPr>
        <w:t>A</w:t>
      </w:r>
      <w:r w:rsidRPr="00E53D09">
        <w:rPr>
          <w:rFonts w:ascii="Arial" w:hAnsi="Arial" w:cs="Arial"/>
          <w:i/>
          <w:iCs/>
          <w:noProof/>
          <w:sz w:val="24"/>
          <w:szCs w:val="24"/>
        </w:rPr>
        <w:t>ct 2017</w:t>
      </w:r>
      <w:r w:rsidRPr="00E53D09">
        <w:rPr>
          <w:rFonts w:ascii="Arial" w:hAnsi="Arial" w:cs="Arial"/>
          <w:noProof/>
          <w:sz w:val="24"/>
          <w:szCs w:val="24"/>
        </w:rPr>
        <w:t>. Retrieved from Legislation: https://www.legislation.gov.uk/ukpga/2017/3/contents/enacted</w:t>
      </w:r>
    </w:p>
    <w:p w14:paraId="71589E86" w14:textId="77777777" w:rsidR="00287D52" w:rsidRPr="006B19D1" w:rsidRDefault="00287D52" w:rsidP="00792CB5">
      <w:pPr>
        <w:ind w:left="720" w:hanging="720"/>
        <w:rPr>
          <w:rFonts w:ascii="Arial" w:hAnsi="Arial" w:cs="Arial"/>
          <w:sz w:val="24"/>
          <w:szCs w:val="24"/>
        </w:rPr>
      </w:pPr>
      <w:r w:rsidRPr="00783EDB">
        <w:rPr>
          <w:rFonts w:ascii="Arial" w:hAnsi="Arial" w:cs="Arial"/>
          <w:sz w:val="24"/>
          <w:szCs w:val="24"/>
        </w:rPr>
        <w:t>U</w:t>
      </w:r>
      <w:r w:rsidRPr="006B19D1">
        <w:rPr>
          <w:rFonts w:ascii="Arial" w:hAnsi="Arial" w:cs="Arial"/>
          <w:sz w:val="24"/>
          <w:szCs w:val="24"/>
        </w:rPr>
        <w:t xml:space="preserve">K Parliament. (n.d.). </w:t>
      </w:r>
      <w:r w:rsidRPr="006B19D1">
        <w:rPr>
          <w:rFonts w:ascii="Arial" w:hAnsi="Arial" w:cs="Arial"/>
          <w:i/>
          <w:iCs/>
          <w:sz w:val="24"/>
          <w:szCs w:val="24"/>
        </w:rPr>
        <w:t>1928 Equal Franchise Act.</w:t>
      </w:r>
      <w:r w:rsidRPr="006B19D1">
        <w:rPr>
          <w:rFonts w:ascii="Arial" w:hAnsi="Arial" w:cs="Arial"/>
          <w:sz w:val="24"/>
          <w:szCs w:val="24"/>
        </w:rPr>
        <w:t xml:space="preserve"> Retrieved January 5, 2023</w:t>
      </w:r>
      <w:r>
        <w:rPr>
          <w:rFonts w:ascii="Arial" w:hAnsi="Arial" w:cs="Arial"/>
          <w:sz w:val="24"/>
          <w:szCs w:val="24"/>
        </w:rPr>
        <w:t>,</w:t>
      </w:r>
      <w:r w:rsidRPr="006B19D1">
        <w:rPr>
          <w:rFonts w:ascii="Arial" w:hAnsi="Arial" w:cs="Arial"/>
          <w:sz w:val="24"/>
          <w:szCs w:val="24"/>
        </w:rPr>
        <w:t xml:space="preserve"> from: https://www.parliament.uk/about/living-heritage/transformingsociety/electionsvoting/womenvote/case-study-the-right-to-vote/the-right-to-vote/birmingham-and-the-equal-franchise/1928-equal-franchise-act/</w:t>
      </w:r>
    </w:p>
    <w:p w14:paraId="6FC67842"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UK Parliament. (2021, </w:t>
      </w:r>
      <w:r>
        <w:rPr>
          <w:rFonts w:ascii="Arial" w:hAnsi="Arial" w:cs="Arial"/>
          <w:noProof/>
          <w:sz w:val="24"/>
          <w:szCs w:val="24"/>
        </w:rPr>
        <w:t>M</w:t>
      </w:r>
      <w:r w:rsidRPr="00E53D09">
        <w:rPr>
          <w:rFonts w:ascii="Arial" w:hAnsi="Arial" w:cs="Arial"/>
          <w:noProof/>
          <w:sz w:val="24"/>
          <w:szCs w:val="24"/>
        </w:rPr>
        <w:t xml:space="preserve">ay 28). </w:t>
      </w:r>
      <w:r w:rsidRPr="00E53D09">
        <w:rPr>
          <w:rFonts w:ascii="Arial" w:hAnsi="Arial" w:cs="Arial"/>
          <w:i/>
          <w:iCs/>
          <w:noProof/>
          <w:sz w:val="24"/>
          <w:szCs w:val="24"/>
        </w:rPr>
        <w:t xml:space="preserve">House of </w:t>
      </w:r>
      <w:r>
        <w:rPr>
          <w:rFonts w:ascii="Arial" w:hAnsi="Arial" w:cs="Arial"/>
          <w:i/>
          <w:iCs/>
          <w:noProof/>
          <w:sz w:val="24"/>
          <w:szCs w:val="24"/>
        </w:rPr>
        <w:t>C</w:t>
      </w:r>
      <w:r w:rsidRPr="00E53D09">
        <w:rPr>
          <w:rFonts w:ascii="Arial" w:hAnsi="Arial" w:cs="Arial"/>
          <w:i/>
          <w:iCs/>
          <w:noProof/>
          <w:sz w:val="24"/>
          <w:szCs w:val="24"/>
        </w:rPr>
        <w:t>ommons library: PCC elections</w:t>
      </w:r>
      <w:r w:rsidRPr="00E53D09">
        <w:rPr>
          <w:rFonts w:ascii="Arial" w:hAnsi="Arial" w:cs="Arial"/>
          <w:noProof/>
          <w:sz w:val="24"/>
          <w:szCs w:val="24"/>
        </w:rPr>
        <w:t>. Retrieved December 2, 2022, from UK Parliament: https://researchbriefings.files.parliament.uk/documents/CBP-9244/CBP-9244.pdf</w:t>
      </w:r>
    </w:p>
    <w:p w14:paraId="2C00664D"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Van Dijk, A., Hoogewoning, F. &amp; Punch, M. (2015). </w:t>
      </w:r>
      <w:r w:rsidRPr="00A95376">
        <w:rPr>
          <w:rFonts w:ascii="Arial" w:hAnsi="Arial" w:cs="Arial"/>
          <w:noProof/>
          <w:sz w:val="24"/>
          <w:szCs w:val="24"/>
        </w:rPr>
        <w:t>Towards a comprehensive paradigm. In</w:t>
      </w:r>
      <w:r w:rsidRPr="00E53D09">
        <w:rPr>
          <w:rFonts w:ascii="Arial" w:hAnsi="Arial" w:cs="Arial"/>
          <w:i/>
          <w:iCs/>
          <w:noProof/>
          <w:sz w:val="24"/>
          <w:szCs w:val="24"/>
        </w:rPr>
        <w:t xml:space="preserve"> What Matters In Policing?</w:t>
      </w:r>
      <w:r w:rsidRPr="00E53D09">
        <w:rPr>
          <w:rFonts w:ascii="Arial" w:hAnsi="Arial" w:cs="Arial"/>
          <w:noProof/>
          <w:sz w:val="24"/>
          <w:szCs w:val="24"/>
        </w:rPr>
        <w:t xml:space="preserve"> (1 ed.) Policy Press. doi:https://doi.org/10.1332/policypress/9781447326915.003.0006</w:t>
      </w:r>
    </w:p>
    <w:p w14:paraId="26616839" w14:textId="4F616E22"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Vymětal, P. (2007). Governance: defining the concept. </w:t>
      </w:r>
      <w:r w:rsidRPr="00E53D09">
        <w:rPr>
          <w:rFonts w:ascii="Arial" w:hAnsi="Arial" w:cs="Arial"/>
          <w:i/>
          <w:iCs/>
          <w:noProof/>
          <w:sz w:val="24"/>
          <w:szCs w:val="24"/>
        </w:rPr>
        <w:t>Working Papers Fakulty mezinárodních vztahů., 1</w:t>
      </w:r>
      <w:r w:rsidRPr="00E53D09">
        <w:rPr>
          <w:rFonts w:ascii="Arial" w:hAnsi="Arial" w:cs="Arial"/>
          <w:noProof/>
          <w:sz w:val="24"/>
          <w:szCs w:val="24"/>
        </w:rPr>
        <w:t>, 5</w:t>
      </w:r>
      <w:r>
        <w:rPr>
          <w:rFonts w:ascii="Arial" w:hAnsi="Arial" w:cs="Arial"/>
          <w:noProof/>
          <w:sz w:val="24"/>
          <w:szCs w:val="24"/>
        </w:rPr>
        <w:t>–</w:t>
      </w:r>
      <w:r w:rsidRPr="00E53D09">
        <w:rPr>
          <w:rFonts w:ascii="Arial" w:hAnsi="Arial" w:cs="Arial"/>
          <w:noProof/>
          <w:sz w:val="24"/>
          <w:szCs w:val="24"/>
        </w:rPr>
        <w:t>16. Retrieved October 31, 2022, from file:///C:/Users/swp54722/Downloads/1_2007.pdf</w:t>
      </w:r>
    </w:p>
    <w:p w14:paraId="67CADF1F" w14:textId="049255F1" w:rsidR="005D5B85" w:rsidRPr="009D228A" w:rsidRDefault="005D5B85" w:rsidP="009D228A">
      <w:pPr>
        <w:ind w:left="720" w:hanging="720"/>
        <w:rPr>
          <w:rFonts w:ascii="Arial" w:hAnsi="Arial" w:cs="Arial"/>
          <w:sz w:val="24"/>
          <w:szCs w:val="24"/>
        </w:rPr>
      </w:pPr>
      <w:r w:rsidRPr="009D228A">
        <w:rPr>
          <w:rFonts w:ascii="Arial" w:hAnsi="Arial" w:cs="Arial"/>
          <w:sz w:val="24"/>
          <w:szCs w:val="24"/>
        </w:rPr>
        <w:t>Wales Police Schools Programme</w:t>
      </w:r>
      <w:r w:rsidR="009D228A" w:rsidRPr="009D228A">
        <w:rPr>
          <w:rFonts w:ascii="Arial" w:hAnsi="Arial" w:cs="Arial"/>
          <w:sz w:val="24"/>
          <w:szCs w:val="24"/>
        </w:rPr>
        <w:t xml:space="preserve"> (2021) School Crime Beat Protocol: </w:t>
      </w:r>
      <w:r w:rsidR="009D228A" w:rsidRPr="009D228A">
        <w:rPr>
          <w:rFonts w:ascii="Arial" w:hAnsi="Arial" w:cs="Arial"/>
          <w:sz w:val="24"/>
          <w:szCs w:val="24"/>
        </w:rPr>
        <w:t>A Protocol for Police Supporting Schools with Incidents of Crime &amp; Disorder</w:t>
      </w:r>
      <w:r w:rsidR="009D228A" w:rsidRPr="009D228A">
        <w:rPr>
          <w:rFonts w:ascii="Arial" w:hAnsi="Arial" w:cs="Arial"/>
          <w:sz w:val="24"/>
          <w:szCs w:val="24"/>
        </w:rPr>
        <w:t xml:space="preserve">. Retrieved on January 5, 2023, from </w:t>
      </w:r>
      <w:r w:rsidR="009D228A" w:rsidRPr="009D228A">
        <w:rPr>
          <w:rFonts w:ascii="Arial" w:hAnsi="Arial" w:cs="Arial"/>
          <w:sz w:val="24"/>
          <w:szCs w:val="24"/>
        </w:rPr>
        <w:t>https://schoolbeat.cymru/uploads/media/WPSP_School_Crime_Beat_Protocol_ENG_wpsp_scbp_20211119_rev1.pdf</w:t>
      </w:r>
      <w:r w:rsidR="009D228A" w:rsidRPr="009D228A">
        <w:rPr>
          <w:rFonts w:ascii="Arial" w:hAnsi="Arial" w:cs="Arial"/>
          <w:sz w:val="24"/>
          <w:szCs w:val="24"/>
        </w:rPr>
        <w:t xml:space="preserve"> </w:t>
      </w:r>
    </w:p>
    <w:p w14:paraId="01E81ACB"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Weisburd, </w:t>
      </w:r>
      <w:r>
        <w:rPr>
          <w:rFonts w:ascii="Arial" w:hAnsi="Arial" w:cs="Arial"/>
          <w:noProof/>
          <w:sz w:val="24"/>
          <w:szCs w:val="24"/>
        </w:rPr>
        <w:t>D.</w:t>
      </w:r>
      <w:r w:rsidRPr="00E53D09">
        <w:rPr>
          <w:rFonts w:ascii="Arial" w:hAnsi="Arial" w:cs="Arial"/>
          <w:noProof/>
          <w:sz w:val="24"/>
          <w:szCs w:val="24"/>
        </w:rPr>
        <w:t xml:space="preserve"> &amp; Eck, J. E. (2004). What Can Police Do to Reduce Crime, Disorder, and Fear? </w:t>
      </w:r>
      <w:r w:rsidRPr="00E53D09">
        <w:rPr>
          <w:rFonts w:ascii="Arial" w:hAnsi="Arial" w:cs="Arial"/>
          <w:i/>
          <w:iCs/>
          <w:noProof/>
          <w:sz w:val="24"/>
          <w:szCs w:val="24"/>
        </w:rPr>
        <w:t>The Annals of the American Academy of Political and Social Science, 593</w:t>
      </w:r>
      <w:r w:rsidRPr="00E53D09">
        <w:rPr>
          <w:rFonts w:ascii="Arial" w:hAnsi="Arial" w:cs="Arial"/>
          <w:noProof/>
          <w:sz w:val="24"/>
          <w:szCs w:val="24"/>
        </w:rPr>
        <w:t>(1), 42</w:t>
      </w:r>
      <w:r>
        <w:rPr>
          <w:rFonts w:ascii="Arial" w:hAnsi="Arial" w:cs="Arial"/>
          <w:noProof/>
          <w:sz w:val="24"/>
          <w:szCs w:val="24"/>
        </w:rPr>
        <w:t>–</w:t>
      </w:r>
      <w:r w:rsidRPr="00E53D09">
        <w:rPr>
          <w:rFonts w:ascii="Arial" w:hAnsi="Arial" w:cs="Arial"/>
          <w:noProof/>
          <w:sz w:val="24"/>
          <w:szCs w:val="24"/>
        </w:rPr>
        <w:t>65. doi:https://doi.org/10.1177/0002716203262548</w:t>
      </w:r>
    </w:p>
    <w:p w14:paraId="4058872F" w14:textId="77777777" w:rsidR="00287D52"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Westmarland, L. (2016). Governance of policing and cultural codes:. </w:t>
      </w:r>
      <w:r w:rsidRPr="00E53D09">
        <w:rPr>
          <w:rFonts w:ascii="Arial" w:hAnsi="Arial" w:cs="Arial"/>
          <w:i/>
          <w:iCs/>
          <w:noProof/>
          <w:sz w:val="24"/>
          <w:szCs w:val="24"/>
        </w:rPr>
        <w:t>Global Crime, 17</w:t>
      </w:r>
      <w:r w:rsidRPr="00E53D09">
        <w:rPr>
          <w:rFonts w:ascii="Arial" w:hAnsi="Arial" w:cs="Arial"/>
          <w:noProof/>
          <w:sz w:val="24"/>
          <w:szCs w:val="24"/>
        </w:rPr>
        <w:t>(3-4), 352</w:t>
      </w:r>
      <w:r>
        <w:rPr>
          <w:rFonts w:ascii="Arial" w:hAnsi="Arial" w:cs="Arial"/>
          <w:noProof/>
          <w:sz w:val="24"/>
          <w:szCs w:val="24"/>
        </w:rPr>
        <w:t>–</w:t>
      </w:r>
      <w:r w:rsidRPr="00E53D09">
        <w:rPr>
          <w:rFonts w:ascii="Arial" w:hAnsi="Arial" w:cs="Arial"/>
          <w:noProof/>
          <w:sz w:val="24"/>
          <w:szCs w:val="24"/>
        </w:rPr>
        <w:t>369,. doi:https://doi.org/10.1080/17440572.2016.1179630</w:t>
      </w:r>
    </w:p>
    <w:p w14:paraId="1F46DAB7" w14:textId="77777777" w:rsidR="00287D52" w:rsidRPr="0021703E" w:rsidRDefault="00287D52" w:rsidP="00287D52">
      <w:pPr>
        <w:ind w:left="720" w:hanging="720"/>
        <w:rPr>
          <w:rFonts w:ascii="Arial" w:hAnsi="Arial" w:cs="Arial"/>
          <w:sz w:val="24"/>
          <w:szCs w:val="24"/>
        </w:rPr>
      </w:pPr>
      <w:r w:rsidRPr="0021703E">
        <w:rPr>
          <w:rFonts w:ascii="Arial" w:hAnsi="Arial" w:cs="Arial"/>
          <w:sz w:val="24"/>
          <w:szCs w:val="24"/>
        </w:rPr>
        <w:t>Welsh Government, (November 18</w:t>
      </w:r>
      <w:r>
        <w:rPr>
          <w:rFonts w:ascii="Arial" w:hAnsi="Arial" w:cs="Arial"/>
          <w:sz w:val="24"/>
          <w:szCs w:val="24"/>
        </w:rPr>
        <w:t>,</w:t>
      </w:r>
      <w:r w:rsidRPr="0021703E">
        <w:rPr>
          <w:rFonts w:ascii="Arial" w:hAnsi="Arial" w:cs="Arial"/>
          <w:sz w:val="24"/>
          <w:szCs w:val="24"/>
        </w:rPr>
        <w:t xml:space="preserve"> 2019) </w:t>
      </w:r>
      <w:r w:rsidRPr="004B555C">
        <w:rPr>
          <w:rFonts w:ascii="Arial" w:hAnsi="Arial" w:cs="Arial"/>
          <w:i/>
          <w:iCs/>
          <w:sz w:val="24"/>
          <w:szCs w:val="24"/>
        </w:rPr>
        <w:t>New law to introduce votes for 16- and 17-year-olds at local council elections in Wales unveiled.</w:t>
      </w:r>
      <w:r w:rsidRPr="0021703E">
        <w:rPr>
          <w:rFonts w:ascii="Arial" w:hAnsi="Arial" w:cs="Arial"/>
          <w:sz w:val="24"/>
          <w:szCs w:val="24"/>
        </w:rPr>
        <w:t xml:space="preserve"> Retrieved January 5, 2023</w:t>
      </w:r>
      <w:r>
        <w:rPr>
          <w:rFonts w:ascii="Arial" w:hAnsi="Arial" w:cs="Arial"/>
          <w:sz w:val="24"/>
          <w:szCs w:val="24"/>
        </w:rPr>
        <w:t>,</w:t>
      </w:r>
      <w:r w:rsidRPr="0021703E">
        <w:rPr>
          <w:rFonts w:ascii="Arial" w:hAnsi="Arial" w:cs="Arial"/>
          <w:sz w:val="24"/>
          <w:szCs w:val="24"/>
        </w:rPr>
        <w:t xml:space="preserve"> from: https://www.gov.wales/new-law-introduce-votes-16-and-17-year-olds-local-council-elections-wales-unveiled</w:t>
      </w:r>
    </w:p>
    <w:p w14:paraId="7C415147"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Williams, B., Brower, R. &amp; Klay, W. (2016). Community-centred police professionalism: A template for reflective professionals and learning organisations with implications for the co-production of public safety and </w:t>
      </w:r>
      <w:r w:rsidRPr="00E53D09">
        <w:rPr>
          <w:rFonts w:ascii="Arial" w:hAnsi="Arial" w:cs="Arial"/>
          <w:noProof/>
          <w:sz w:val="24"/>
          <w:szCs w:val="24"/>
        </w:rPr>
        <w:lastRenderedPageBreak/>
        <w:t xml:space="preserve">public order. </w:t>
      </w:r>
      <w:r w:rsidRPr="00E53D09">
        <w:rPr>
          <w:rFonts w:ascii="Arial" w:hAnsi="Arial" w:cs="Arial"/>
          <w:i/>
          <w:iCs/>
          <w:noProof/>
          <w:sz w:val="24"/>
          <w:szCs w:val="24"/>
        </w:rPr>
        <w:t>The Police Journal: Theory, Practice and Principles, 89</w:t>
      </w:r>
      <w:r w:rsidRPr="00E53D09">
        <w:rPr>
          <w:rFonts w:ascii="Arial" w:hAnsi="Arial" w:cs="Arial"/>
          <w:noProof/>
          <w:sz w:val="24"/>
          <w:szCs w:val="24"/>
        </w:rPr>
        <w:t>(2), 151</w:t>
      </w:r>
      <w:r>
        <w:rPr>
          <w:rFonts w:ascii="Arial" w:hAnsi="Arial" w:cs="Arial"/>
          <w:noProof/>
          <w:sz w:val="24"/>
          <w:szCs w:val="24"/>
        </w:rPr>
        <w:t>–</w:t>
      </w:r>
      <w:r w:rsidRPr="00E53D09">
        <w:rPr>
          <w:rFonts w:ascii="Arial" w:hAnsi="Arial" w:cs="Arial"/>
          <w:noProof/>
          <w:sz w:val="24"/>
          <w:szCs w:val="24"/>
        </w:rPr>
        <w:t>173. doi:https://doi-org.ezproxy.uwtsd.ac.uk/10.1177/0032258X16642449</w:t>
      </w:r>
    </w:p>
    <w:p w14:paraId="70D816D6"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Wilson J.</w:t>
      </w:r>
      <w:r>
        <w:rPr>
          <w:rFonts w:ascii="Arial" w:hAnsi="Arial" w:cs="Arial"/>
          <w:noProof/>
          <w:sz w:val="24"/>
          <w:szCs w:val="24"/>
        </w:rPr>
        <w:t xml:space="preserve"> </w:t>
      </w:r>
      <w:r w:rsidRPr="00E53D09">
        <w:rPr>
          <w:rFonts w:ascii="Arial" w:hAnsi="Arial" w:cs="Arial"/>
          <w:noProof/>
          <w:sz w:val="24"/>
          <w:szCs w:val="24"/>
        </w:rPr>
        <w:t>&amp; Kelling</w:t>
      </w:r>
      <w:r>
        <w:rPr>
          <w:rFonts w:ascii="Arial" w:hAnsi="Arial" w:cs="Arial"/>
          <w:noProof/>
          <w:sz w:val="24"/>
          <w:szCs w:val="24"/>
        </w:rPr>
        <w:t>,</w:t>
      </w:r>
      <w:r w:rsidRPr="00E53D09">
        <w:rPr>
          <w:rFonts w:ascii="Arial" w:hAnsi="Arial" w:cs="Arial"/>
          <w:noProof/>
          <w:sz w:val="24"/>
          <w:szCs w:val="24"/>
        </w:rPr>
        <w:t xml:space="preserve"> G. (1982). Broken Window. </w:t>
      </w:r>
      <w:r w:rsidRPr="00E53D09">
        <w:rPr>
          <w:rFonts w:ascii="Arial" w:hAnsi="Arial" w:cs="Arial"/>
          <w:i/>
          <w:iCs/>
          <w:noProof/>
          <w:sz w:val="24"/>
          <w:szCs w:val="24"/>
        </w:rPr>
        <w:t>Atlantic Monthly, 249</w:t>
      </w:r>
      <w:r w:rsidRPr="00E53D09">
        <w:rPr>
          <w:rFonts w:ascii="Arial" w:hAnsi="Arial" w:cs="Arial"/>
          <w:noProof/>
          <w:sz w:val="24"/>
          <w:szCs w:val="24"/>
        </w:rPr>
        <w:t>(3), 29</w:t>
      </w:r>
      <w:r>
        <w:rPr>
          <w:rFonts w:ascii="Arial" w:hAnsi="Arial" w:cs="Arial"/>
          <w:noProof/>
          <w:sz w:val="24"/>
          <w:szCs w:val="24"/>
        </w:rPr>
        <w:t>–</w:t>
      </w:r>
      <w:r w:rsidRPr="00E53D09">
        <w:rPr>
          <w:rFonts w:ascii="Arial" w:hAnsi="Arial" w:cs="Arial"/>
          <w:noProof/>
          <w:sz w:val="24"/>
          <w:szCs w:val="24"/>
        </w:rPr>
        <w:t>38. Retrieved December 8, 2022</w:t>
      </w:r>
    </w:p>
    <w:p w14:paraId="2CF10E4C"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Wilson, J. (2000). Volunteering. </w:t>
      </w:r>
      <w:r w:rsidRPr="00E53D09">
        <w:rPr>
          <w:rFonts w:ascii="Arial" w:hAnsi="Arial" w:cs="Arial"/>
          <w:i/>
          <w:iCs/>
          <w:noProof/>
          <w:sz w:val="24"/>
          <w:szCs w:val="24"/>
        </w:rPr>
        <w:t xml:space="preserve">Annual </w:t>
      </w:r>
      <w:r>
        <w:rPr>
          <w:rFonts w:ascii="Arial" w:hAnsi="Arial" w:cs="Arial"/>
          <w:i/>
          <w:iCs/>
          <w:noProof/>
          <w:sz w:val="24"/>
          <w:szCs w:val="24"/>
        </w:rPr>
        <w:t>R</w:t>
      </w:r>
      <w:r w:rsidRPr="00E53D09">
        <w:rPr>
          <w:rFonts w:ascii="Arial" w:hAnsi="Arial" w:cs="Arial"/>
          <w:i/>
          <w:iCs/>
          <w:noProof/>
          <w:sz w:val="24"/>
          <w:szCs w:val="24"/>
        </w:rPr>
        <w:t xml:space="preserve">eview of </w:t>
      </w:r>
      <w:r>
        <w:rPr>
          <w:rFonts w:ascii="Arial" w:hAnsi="Arial" w:cs="Arial"/>
          <w:i/>
          <w:iCs/>
          <w:noProof/>
          <w:sz w:val="24"/>
          <w:szCs w:val="24"/>
        </w:rPr>
        <w:t>S</w:t>
      </w:r>
      <w:r w:rsidRPr="00E53D09">
        <w:rPr>
          <w:rFonts w:ascii="Arial" w:hAnsi="Arial" w:cs="Arial"/>
          <w:i/>
          <w:iCs/>
          <w:noProof/>
          <w:sz w:val="24"/>
          <w:szCs w:val="24"/>
        </w:rPr>
        <w:t>ociology, 26</w:t>
      </w:r>
      <w:r w:rsidRPr="00E53D09">
        <w:rPr>
          <w:rFonts w:ascii="Arial" w:hAnsi="Arial" w:cs="Arial"/>
          <w:noProof/>
          <w:sz w:val="24"/>
          <w:szCs w:val="24"/>
        </w:rPr>
        <w:t xml:space="preserve">(1), 215–240. doi:10.1146/annurev.soc.26.1.215. </w:t>
      </w:r>
    </w:p>
    <w:p w14:paraId="36BE4B82" w14:textId="77777777" w:rsidR="00287D52" w:rsidRPr="00E53D09" w:rsidRDefault="00287D52" w:rsidP="00287D52">
      <w:pPr>
        <w:pStyle w:val="Bibliography"/>
        <w:ind w:left="720" w:hanging="720"/>
        <w:rPr>
          <w:rFonts w:ascii="Arial" w:hAnsi="Arial" w:cs="Arial"/>
          <w:noProof/>
          <w:sz w:val="24"/>
          <w:szCs w:val="24"/>
        </w:rPr>
      </w:pPr>
      <w:r w:rsidRPr="00E53D09">
        <w:rPr>
          <w:rFonts w:ascii="Arial" w:hAnsi="Arial" w:cs="Arial"/>
          <w:noProof/>
          <w:sz w:val="24"/>
          <w:szCs w:val="24"/>
        </w:rPr>
        <w:t xml:space="preserve">You Gov. (2022, March 15). </w:t>
      </w:r>
      <w:r w:rsidRPr="00E53D09">
        <w:rPr>
          <w:rFonts w:ascii="Arial" w:hAnsi="Arial" w:cs="Arial"/>
          <w:i/>
          <w:iCs/>
          <w:noProof/>
          <w:sz w:val="24"/>
          <w:szCs w:val="24"/>
        </w:rPr>
        <w:t xml:space="preserve">Confidence in the </w:t>
      </w:r>
      <w:r>
        <w:rPr>
          <w:rFonts w:ascii="Arial" w:hAnsi="Arial" w:cs="Arial"/>
          <w:i/>
          <w:iCs/>
          <w:noProof/>
          <w:sz w:val="24"/>
          <w:szCs w:val="24"/>
        </w:rPr>
        <w:t>p</w:t>
      </w:r>
      <w:r w:rsidRPr="00E53D09">
        <w:rPr>
          <w:rFonts w:ascii="Arial" w:hAnsi="Arial" w:cs="Arial"/>
          <w:i/>
          <w:iCs/>
          <w:noProof/>
          <w:sz w:val="24"/>
          <w:szCs w:val="24"/>
        </w:rPr>
        <w:t xml:space="preserve">olice </w:t>
      </w:r>
      <w:r>
        <w:rPr>
          <w:rFonts w:ascii="Arial" w:hAnsi="Arial" w:cs="Arial"/>
          <w:i/>
          <w:iCs/>
          <w:noProof/>
          <w:sz w:val="24"/>
          <w:szCs w:val="24"/>
        </w:rPr>
        <w:t>s</w:t>
      </w:r>
      <w:r w:rsidRPr="00E53D09">
        <w:rPr>
          <w:rFonts w:ascii="Arial" w:hAnsi="Arial" w:cs="Arial"/>
          <w:i/>
          <w:iCs/>
          <w:noProof/>
          <w:sz w:val="24"/>
          <w:szCs w:val="24"/>
        </w:rPr>
        <w:t>inks in two years</w:t>
      </w:r>
      <w:r w:rsidRPr="00E53D09">
        <w:rPr>
          <w:rFonts w:ascii="Arial" w:hAnsi="Arial" w:cs="Arial"/>
          <w:noProof/>
          <w:sz w:val="24"/>
          <w:szCs w:val="24"/>
        </w:rPr>
        <w:t>. Retrieved December 2, 2022, from YouGov.com: https://yougov.co.uk/topics/politics/articles-reports/2022/03/15/confidence-police-sinks-two-years</w:t>
      </w:r>
    </w:p>
    <w:p w14:paraId="3D638229" w14:textId="1F4496F0" w:rsidR="00287D52" w:rsidRDefault="00287D52" w:rsidP="00287D52">
      <w:pPr>
        <w:spacing w:line="480" w:lineRule="auto"/>
        <w:rPr>
          <w:rFonts w:ascii="Arial" w:hAnsi="Arial" w:cs="Arial"/>
          <w:sz w:val="24"/>
          <w:szCs w:val="24"/>
        </w:rPr>
      </w:pPr>
      <w:r w:rsidRPr="00E53D09">
        <w:rPr>
          <w:rFonts w:ascii="Arial" w:hAnsi="Arial" w:cs="Arial"/>
          <w:sz w:val="24"/>
          <w:szCs w:val="24"/>
        </w:rPr>
        <w:fldChar w:fldCharType="end"/>
      </w:r>
    </w:p>
    <w:p w14:paraId="33C8240D" w14:textId="77777777" w:rsidR="005D5B85" w:rsidRDefault="005D5B85" w:rsidP="00287D52">
      <w:pPr>
        <w:spacing w:line="480" w:lineRule="auto"/>
        <w:rPr>
          <w:rFonts w:ascii="Arial" w:hAnsi="Arial" w:cs="Arial"/>
          <w:b/>
          <w:bCs/>
          <w:sz w:val="24"/>
          <w:szCs w:val="24"/>
        </w:rPr>
      </w:pPr>
    </w:p>
    <w:p w14:paraId="6901404B" w14:textId="77777777" w:rsidR="005D5B85" w:rsidRDefault="005D5B85" w:rsidP="00287D52">
      <w:pPr>
        <w:spacing w:line="480" w:lineRule="auto"/>
        <w:rPr>
          <w:rFonts w:ascii="Arial" w:hAnsi="Arial" w:cs="Arial"/>
          <w:b/>
          <w:bCs/>
          <w:sz w:val="24"/>
          <w:szCs w:val="24"/>
        </w:rPr>
      </w:pPr>
    </w:p>
    <w:p w14:paraId="25F6E756" w14:textId="77777777" w:rsidR="005D5B85" w:rsidRDefault="005D5B85" w:rsidP="00287D52">
      <w:pPr>
        <w:spacing w:line="480" w:lineRule="auto"/>
        <w:rPr>
          <w:rFonts w:ascii="Arial" w:hAnsi="Arial" w:cs="Arial"/>
          <w:b/>
          <w:bCs/>
          <w:sz w:val="24"/>
          <w:szCs w:val="24"/>
        </w:rPr>
      </w:pPr>
    </w:p>
    <w:p w14:paraId="33881A34" w14:textId="77777777" w:rsidR="005D5B85" w:rsidRDefault="005D5B85" w:rsidP="00287D52">
      <w:pPr>
        <w:spacing w:line="480" w:lineRule="auto"/>
        <w:rPr>
          <w:rFonts w:ascii="Arial" w:hAnsi="Arial" w:cs="Arial"/>
          <w:b/>
          <w:bCs/>
          <w:sz w:val="24"/>
          <w:szCs w:val="24"/>
        </w:rPr>
      </w:pPr>
    </w:p>
    <w:p w14:paraId="5537C1D5" w14:textId="77777777" w:rsidR="005D5B85" w:rsidRDefault="005D5B85" w:rsidP="00287D52">
      <w:pPr>
        <w:spacing w:line="480" w:lineRule="auto"/>
        <w:rPr>
          <w:rFonts w:ascii="Arial" w:hAnsi="Arial" w:cs="Arial"/>
          <w:b/>
          <w:bCs/>
          <w:sz w:val="24"/>
          <w:szCs w:val="24"/>
        </w:rPr>
      </w:pPr>
    </w:p>
    <w:p w14:paraId="35079FE8" w14:textId="77777777" w:rsidR="005D5B85" w:rsidRDefault="005D5B85" w:rsidP="00287D52">
      <w:pPr>
        <w:spacing w:line="480" w:lineRule="auto"/>
        <w:rPr>
          <w:rFonts w:ascii="Arial" w:hAnsi="Arial" w:cs="Arial"/>
          <w:b/>
          <w:bCs/>
          <w:sz w:val="24"/>
          <w:szCs w:val="24"/>
        </w:rPr>
      </w:pPr>
    </w:p>
    <w:p w14:paraId="7158F21F" w14:textId="77777777" w:rsidR="005D5B85" w:rsidRDefault="005D5B85" w:rsidP="00287D52">
      <w:pPr>
        <w:spacing w:line="480" w:lineRule="auto"/>
        <w:rPr>
          <w:rFonts w:ascii="Arial" w:hAnsi="Arial" w:cs="Arial"/>
          <w:b/>
          <w:bCs/>
          <w:sz w:val="24"/>
          <w:szCs w:val="24"/>
        </w:rPr>
      </w:pPr>
    </w:p>
    <w:p w14:paraId="438EC7A9" w14:textId="77777777" w:rsidR="005D5B85" w:rsidRDefault="005D5B85" w:rsidP="00287D52">
      <w:pPr>
        <w:spacing w:line="480" w:lineRule="auto"/>
        <w:rPr>
          <w:rFonts w:ascii="Arial" w:hAnsi="Arial" w:cs="Arial"/>
          <w:b/>
          <w:bCs/>
          <w:sz w:val="24"/>
          <w:szCs w:val="24"/>
        </w:rPr>
      </w:pPr>
    </w:p>
    <w:p w14:paraId="2BDEF264" w14:textId="77777777" w:rsidR="005D5B85" w:rsidRDefault="005D5B85" w:rsidP="00287D52">
      <w:pPr>
        <w:spacing w:line="480" w:lineRule="auto"/>
        <w:rPr>
          <w:rFonts w:ascii="Arial" w:hAnsi="Arial" w:cs="Arial"/>
          <w:b/>
          <w:bCs/>
          <w:sz w:val="24"/>
          <w:szCs w:val="24"/>
        </w:rPr>
      </w:pPr>
    </w:p>
    <w:p w14:paraId="7A18E9A8"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39EB8858"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22842F75"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34829850"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2D3F422C"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4AD7C14D"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1D2A8269" w14:textId="77777777" w:rsidR="00E57B30" w:rsidRDefault="00E57B30"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p>
    <w:p w14:paraId="56D16F78" w14:textId="521F7DD0" w:rsidR="005D5B85" w:rsidRPr="00AC31D7" w:rsidRDefault="005D5B85" w:rsidP="005D5B85">
      <w:pPr>
        <w:pBdr>
          <w:bottom w:val="dotted" w:sz="6" w:space="4" w:color="0080AF"/>
        </w:pBdr>
        <w:shd w:val="clear" w:color="auto" w:fill="FFFFFF"/>
        <w:spacing w:after="150" w:line="240" w:lineRule="auto"/>
        <w:outlineLvl w:val="0"/>
        <w:rPr>
          <w:rFonts w:ascii="Arial" w:eastAsia="Times New Roman" w:hAnsi="Arial" w:cs="Arial"/>
          <w:b/>
          <w:bCs/>
          <w:color w:val="0080AF"/>
          <w:kern w:val="36"/>
          <w:sz w:val="28"/>
          <w:szCs w:val="28"/>
          <w:lang w:eastAsia="en-GB"/>
        </w:rPr>
      </w:pPr>
      <w:r>
        <w:rPr>
          <w:rFonts w:ascii="Arial" w:eastAsia="Times New Roman" w:hAnsi="Arial" w:cs="Arial"/>
          <w:b/>
          <w:bCs/>
          <w:noProof/>
          <w:color w:val="0080AF"/>
          <w:kern w:val="36"/>
          <w:sz w:val="28"/>
          <w:szCs w:val="28"/>
          <w:lang w:eastAsia="en-GB"/>
        </w:rPr>
        <w:lastRenderedPageBreak/>
        <w:drawing>
          <wp:anchor distT="0" distB="0" distL="114300" distR="114300" simplePos="0" relativeHeight="251659264" behindDoc="1" locked="0" layoutInCell="1" allowOverlap="1" wp14:anchorId="57D25315" wp14:editId="3ACA2FC2">
            <wp:simplePos x="0" y="0"/>
            <wp:positionH relativeFrom="margin">
              <wp:align>right</wp:align>
            </wp:positionH>
            <wp:positionV relativeFrom="paragraph">
              <wp:posOffset>505</wp:posOffset>
            </wp:positionV>
            <wp:extent cx="1322705" cy="652145"/>
            <wp:effectExtent l="0" t="0" r="0" b="0"/>
            <wp:wrapTight wrapText="bothSides">
              <wp:wrapPolygon edited="0">
                <wp:start x="0" y="0"/>
                <wp:lineTo x="0" y="20822"/>
                <wp:lineTo x="21154" y="20822"/>
                <wp:lineTo x="211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705" cy="6521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color w:val="0080AF"/>
          <w:kern w:val="36"/>
          <w:sz w:val="28"/>
          <w:szCs w:val="28"/>
          <w:lang w:eastAsia="en-GB"/>
        </w:rPr>
        <w:t xml:space="preserve">Appendix 1: </w:t>
      </w:r>
      <w:r w:rsidRPr="00AC31D7">
        <w:rPr>
          <w:rFonts w:ascii="Arial" w:eastAsia="Times New Roman" w:hAnsi="Arial" w:cs="Arial"/>
          <w:b/>
          <w:bCs/>
          <w:color w:val="0080AF"/>
          <w:kern w:val="36"/>
          <w:sz w:val="28"/>
          <w:szCs w:val="28"/>
          <w:lang w:eastAsia="en-GB"/>
        </w:rPr>
        <w:t xml:space="preserve">What is the </w:t>
      </w:r>
      <w:r w:rsidRPr="00D572BA">
        <w:rPr>
          <w:rFonts w:ascii="Arial" w:eastAsia="Times New Roman" w:hAnsi="Arial" w:cs="Arial"/>
          <w:b/>
          <w:bCs/>
          <w:color w:val="0080AF"/>
          <w:kern w:val="36"/>
          <w:sz w:val="28"/>
          <w:szCs w:val="28"/>
          <w:lang w:eastAsia="en-GB"/>
        </w:rPr>
        <w:t xml:space="preserve">Wales Police Schools </w:t>
      </w:r>
      <w:r w:rsidRPr="00AC31D7">
        <w:rPr>
          <w:rFonts w:ascii="Arial" w:eastAsia="Times New Roman" w:hAnsi="Arial" w:cs="Arial"/>
          <w:b/>
          <w:bCs/>
          <w:color w:val="0080AF"/>
          <w:kern w:val="36"/>
          <w:sz w:val="28"/>
          <w:szCs w:val="28"/>
          <w:lang w:eastAsia="en-GB"/>
        </w:rPr>
        <w:t>Programme</w:t>
      </w:r>
      <w:r w:rsidRPr="00D572BA">
        <w:rPr>
          <w:rFonts w:ascii="Arial" w:eastAsia="Times New Roman" w:hAnsi="Arial" w:cs="Arial"/>
          <w:b/>
          <w:bCs/>
          <w:color w:val="0080AF"/>
          <w:kern w:val="36"/>
          <w:sz w:val="28"/>
          <w:szCs w:val="28"/>
          <w:lang w:eastAsia="en-GB"/>
        </w:rPr>
        <w:t xml:space="preserve"> -</w:t>
      </w:r>
      <w:r>
        <w:rPr>
          <w:rFonts w:ascii="Arial" w:eastAsia="Times New Roman" w:hAnsi="Arial" w:cs="Arial"/>
          <w:b/>
          <w:bCs/>
          <w:color w:val="0080AF"/>
          <w:kern w:val="36"/>
          <w:sz w:val="28"/>
          <w:szCs w:val="28"/>
          <w:lang w:eastAsia="en-GB"/>
        </w:rPr>
        <w:t xml:space="preserve"> </w:t>
      </w:r>
      <w:r w:rsidRPr="00AC31D7">
        <w:rPr>
          <w:rFonts w:ascii="Arial" w:eastAsia="Times New Roman" w:hAnsi="Arial" w:cs="Arial"/>
          <w:b/>
          <w:bCs/>
          <w:color w:val="0080AF"/>
          <w:kern w:val="36"/>
          <w:sz w:val="28"/>
          <w:szCs w:val="28"/>
          <w:lang w:eastAsia="en-GB"/>
        </w:rPr>
        <w:t>also known as SchoolBeat?</w:t>
      </w:r>
    </w:p>
    <w:p w14:paraId="3BAE2955" w14:textId="77777777" w:rsidR="005D5B85" w:rsidRDefault="005D5B85" w:rsidP="005D5B85">
      <w:pPr>
        <w:shd w:val="clear" w:color="auto" w:fill="FFFFFF"/>
        <w:spacing w:after="0" w:line="240" w:lineRule="auto"/>
        <w:rPr>
          <w:rFonts w:ascii="Arial" w:eastAsia="Times New Roman" w:hAnsi="Arial" w:cs="Arial"/>
          <w:color w:val="272727"/>
          <w:sz w:val="23"/>
          <w:szCs w:val="23"/>
          <w:lang w:eastAsia="en-GB"/>
        </w:rPr>
      </w:pPr>
    </w:p>
    <w:p w14:paraId="23747A72" w14:textId="77777777" w:rsidR="005D5B85" w:rsidRPr="00AC31D7" w:rsidRDefault="005D5B85" w:rsidP="005D5B85">
      <w:p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 xml:space="preserve">The </w:t>
      </w:r>
      <w:r>
        <w:rPr>
          <w:rFonts w:ascii="Arial" w:eastAsia="Times New Roman" w:hAnsi="Arial" w:cs="Arial"/>
          <w:color w:val="272727"/>
          <w:sz w:val="23"/>
          <w:szCs w:val="23"/>
          <w:lang w:eastAsia="en-GB"/>
        </w:rPr>
        <w:t>WPSP</w:t>
      </w:r>
      <w:r w:rsidRPr="00AC31D7">
        <w:rPr>
          <w:rFonts w:ascii="Arial" w:eastAsia="Times New Roman" w:hAnsi="Arial" w:cs="Arial"/>
          <w:color w:val="272727"/>
          <w:sz w:val="23"/>
          <w:szCs w:val="23"/>
          <w:lang w:eastAsia="en-GB"/>
        </w:rPr>
        <w:t xml:space="preserve"> is an example of Partnership Working between the Welsh Government and the four Welsh Police Forces and consists of a series of Crime Prevention</w:t>
      </w:r>
      <w:r>
        <w:rPr>
          <w:rFonts w:ascii="Arial" w:eastAsia="Times New Roman" w:hAnsi="Arial" w:cs="Arial"/>
          <w:color w:val="272727"/>
          <w:sz w:val="23"/>
          <w:szCs w:val="23"/>
          <w:lang w:eastAsia="en-GB"/>
        </w:rPr>
        <w:t xml:space="preserve"> </w:t>
      </w:r>
      <w:r w:rsidRPr="00AC31D7">
        <w:rPr>
          <w:rFonts w:ascii="Arial" w:eastAsia="Times New Roman" w:hAnsi="Arial" w:cs="Arial"/>
          <w:color w:val="272727"/>
          <w:sz w:val="23"/>
          <w:szCs w:val="23"/>
          <w:lang w:eastAsia="en-GB"/>
        </w:rPr>
        <w:t>lesson deliveries and Supportive School Policing initiatives that aim to:</w:t>
      </w:r>
    </w:p>
    <w:p w14:paraId="468A35B7" w14:textId="77777777" w:rsidR="005D5B85" w:rsidRPr="00AC31D7" w:rsidRDefault="005D5B85" w:rsidP="005D5B85">
      <w:pPr>
        <w:numPr>
          <w:ilvl w:val="0"/>
          <w:numId w:val="7"/>
        </w:num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educate children and young people about the harm substance misuse can cause to their health, their families and the wider community</w:t>
      </w:r>
    </w:p>
    <w:p w14:paraId="3F3B8034" w14:textId="77777777" w:rsidR="005D5B85" w:rsidRPr="00AC31D7" w:rsidRDefault="005D5B85" w:rsidP="005D5B85">
      <w:pPr>
        <w:numPr>
          <w:ilvl w:val="0"/>
          <w:numId w:val="7"/>
        </w:num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promote the principles of positive citizenship through the medium of education</w:t>
      </w:r>
    </w:p>
    <w:p w14:paraId="68B212BF" w14:textId="77777777" w:rsidR="005D5B85" w:rsidRPr="00AC31D7" w:rsidRDefault="005D5B85" w:rsidP="005D5B85">
      <w:pPr>
        <w:numPr>
          <w:ilvl w:val="0"/>
          <w:numId w:val="7"/>
        </w:num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achieve a reduction in the levels of crime and disorder within our young communities.</w:t>
      </w:r>
    </w:p>
    <w:p w14:paraId="12860AA6" w14:textId="77777777" w:rsidR="005D5B85" w:rsidRPr="00AC31D7" w:rsidRDefault="005D5B85" w:rsidP="005D5B85">
      <w:p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 xml:space="preserve">The </w:t>
      </w:r>
      <w:r>
        <w:rPr>
          <w:rFonts w:ascii="Arial" w:eastAsia="Times New Roman" w:hAnsi="Arial" w:cs="Arial"/>
          <w:color w:val="272727"/>
          <w:sz w:val="23"/>
          <w:szCs w:val="23"/>
          <w:lang w:eastAsia="en-GB"/>
        </w:rPr>
        <w:t>WPSP</w:t>
      </w:r>
      <w:r w:rsidRPr="00AC31D7">
        <w:rPr>
          <w:rFonts w:ascii="Arial" w:eastAsia="Times New Roman" w:hAnsi="Arial" w:cs="Arial"/>
          <w:color w:val="272727"/>
          <w:sz w:val="23"/>
          <w:szCs w:val="23"/>
          <w:lang w:eastAsia="en-GB"/>
        </w:rPr>
        <w:t xml:space="preserve"> provides a wrap-around service to </w:t>
      </w:r>
      <w:r>
        <w:rPr>
          <w:rFonts w:ascii="Arial" w:eastAsia="Times New Roman" w:hAnsi="Arial" w:cs="Arial"/>
          <w:color w:val="272727"/>
          <w:sz w:val="23"/>
          <w:szCs w:val="23"/>
          <w:lang w:eastAsia="en-GB"/>
        </w:rPr>
        <w:t xml:space="preserve">all </w:t>
      </w:r>
      <w:r w:rsidRPr="00AC31D7">
        <w:rPr>
          <w:rFonts w:ascii="Arial" w:eastAsia="Times New Roman" w:hAnsi="Arial" w:cs="Arial"/>
          <w:color w:val="272727"/>
          <w:sz w:val="23"/>
          <w:szCs w:val="23"/>
          <w:lang w:eastAsia="en-GB"/>
        </w:rPr>
        <w:t>schools</w:t>
      </w:r>
      <w:r>
        <w:rPr>
          <w:rFonts w:ascii="Arial" w:eastAsia="Times New Roman" w:hAnsi="Arial" w:cs="Arial"/>
          <w:color w:val="272727"/>
          <w:sz w:val="23"/>
          <w:szCs w:val="23"/>
          <w:lang w:eastAsia="en-GB"/>
        </w:rPr>
        <w:t xml:space="preserve"> and educational settings</w:t>
      </w:r>
      <w:r w:rsidRPr="00AC31D7">
        <w:rPr>
          <w:rFonts w:ascii="Arial" w:eastAsia="Times New Roman" w:hAnsi="Arial" w:cs="Arial"/>
          <w:color w:val="272727"/>
          <w:sz w:val="23"/>
          <w:szCs w:val="23"/>
          <w:lang w:eastAsia="en-GB"/>
        </w:rPr>
        <w:t xml:space="preserve"> in Wales offering crime prevention education and supportive policing services captured in the Programme’s strap line,</w:t>
      </w:r>
    </w:p>
    <w:p w14:paraId="3B532CF1" w14:textId="77777777" w:rsidR="005D5B85" w:rsidRDefault="005D5B85" w:rsidP="005D5B85">
      <w:pPr>
        <w:shd w:val="clear" w:color="auto" w:fill="FFFFFF"/>
        <w:spacing w:after="0" w:line="240" w:lineRule="auto"/>
        <w:outlineLvl w:val="1"/>
        <w:rPr>
          <w:rFonts w:ascii="Arial" w:eastAsia="Times New Roman" w:hAnsi="Arial" w:cs="Arial"/>
          <w:b/>
          <w:bCs/>
          <w:color w:val="0080AF"/>
          <w:sz w:val="24"/>
          <w:szCs w:val="24"/>
          <w:lang w:eastAsia="en-GB"/>
        </w:rPr>
      </w:pPr>
      <w:r>
        <w:rPr>
          <w:rFonts w:ascii="Arial" w:eastAsia="Times New Roman" w:hAnsi="Arial" w:cs="Arial"/>
          <w:b/>
          <w:bCs/>
          <w:color w:val="0080AF"/>
          <w:sz w:val="24"/>
          <w:szCs w:val="24"/>
          <w:lang w:eastAsia="en-GB"/>
        </w:rPr>
        <w:t>‘</w:t>
      </w:r>
      <w:r w:rsidRPr="00AC31D7">
        <w:rPr>
          <w:rFonts w:ascii="Arial" w:eastAsia="Times New Roman" w:hAnsi="Arial" w:cs="Arial"/>
          <w:b/>
          <w:bCs/>
          <w:color w:val="0080AF"/>
          <w:sz w:val="24"/>
          <w:szCs w:val="24"/>
          <w:lang w:eastAsia="en-GB"/>
        </w:rPr>
        <w:t>Police safeguarding the children of Wales through crime prevention education</w:t>
      </w:r>
      <w:r>
        <w:rPr>
          <w:rFonts w:ascii="Arial" w:eastAsia="Times New Roman" w:hAnsi="Arial" w:cs="Arial"/>
          <w:b/>
          <w:bCs/>
          <w:color w:val="0080AF"/>
          <w:sz w:val="24"/>
          <w:szCs w:val="24"/>
          <w:lang w:eastAsia="en-GB"/>
        </w:rPr>
        <w:t>’</w:t>
      </w:r>
    </w:p>
    <w:p w14:paraId="00EFDA98" w14:textId="77777777" w:rsidR="005D5B85" w:rsidRPr="00322DC1" w:rsidRDefault="005D5B85" w:rsidP="005D5B85">
      <w:pPr>
        <w:shd w:val="clear" w:color="auto" w:fill="FFFFFF"/>
        <w:spacing w:after="0" w:line="240" w:lineRule="auto"/>
        <w:outlineLvl w:val="1"/>
        <w:rPr>
          <w:rFonts w:ascii="Arial" w:eastAsia="Times New Roman" w:hAnsi="Arial" w:cs="Arial"/>
          <w:b/>
          <w:bCs/>
          <w:color w:val="0080AF"/>
          <w:sz w:val="16"/>
          <w:szCs w:val="16"/>
          <w:lang w:eastAsia="en-GB"/>
        </w:rPr>
      </w:pPr>
    </w:p>
    <w:p w14:paraId="0CA19FCF" w14:textId="77777777" w:rsidR="005D5B85" w:rsidRDefault="005D5B85" w:rsidP="005D5B85">
      <w:pPr>
        <w:shd w:val="clear" w:color="auto" w:fill="FFFFFF"/>
        <w:spacing w:after="0"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The</w:t>
      </w:r>
      <w:r>
        <w:rPr>
          <w:rFonts w:ascii="Arial" w:eastAsia="Times New Roman" w:hAnsi="Arial" w:cs="Arial"/>
          <w:color w:val="272727"/>
          <w:sz w:val="23"/>
          <w:szCs w:val="23"/>
          <w:lang w:eastAsia="en-GB"/>
        </w:rPr>
        <w:t>re are 68</w:t>
      </w:r>
      <w:r w:rsidRPr="00AC31D7">
        <w:rPr>
          <w:rFonts w:ascii="Arial" w:eastAsia="Times New Roman" w:hAnsi="Arial" w:cs="Arial"/>
          <w:color w:val="272727"/>
          <w:sz w:val="23"/>
          <w:szCs w:val="23"/>
          <w:lang w:eastAsia="en-GB"/>
        </w:rPr>
        <w:t xml:space="preserve"> S</w:t>
      </w:r>
      <w:r>
        <w:rPr>
          <w:rFonts w:ascii="Arial" w:eastAsia="Times New Roman" w:hAnsi="Arial" w:cs="Arial"/>
          <w:color w:val="272727"/>
          <w:sz w:val="23"/>
          <w:szCs w:val="23"/>
          <w:lang w:eastAsia="en-GB"/>
        </w:rPr>
        <w:t>chool Police Officers (SPO) who</w:t>
      </w:r>
      <w:r w:rsidRPr="00AC31D7">
        <w:rPr>
          <w:rFonts w:ascii="Arial" w:eastAsia="Times New Roman" w:hAnsi="Arial" w:cs="Arial"/>
          <w:color w:val="272727"/>
          <w:sz w:val="23"/>
          <w:szCs w:val="23"/>
          <w:lang w:eastAsia="en-GB"/>
        </w:rPr>
        <w:t xml:space="preserve"> </w:t>
      </w:r>
      <w:r>
        <w:rPr>
          <w:rFonts w:ascii="Arial" w:eastAsia="Times New Roman" w:hAnsi="Arial" w:cs="Arial"/>
          <w:color w:val="272727"/>
          <w:sz w:val="23"/>
          <w:szCs w:val="23"/>
          <w:lang w:eastAsia="en-GB"/>
        </w:rPr>
        <w:t xml:space="preserve">in addition </w:t>
      </w:r>
      <w:r w:rsidRPr="00AC31D7">
        <w:rPr>
          <w:rFonts w:ascii="Arial" w:eastAsia="Times New Roman" w:hAnsi="Arial" w:cs="Arial"/>
          <w:color w:val="272727"/>
          <w:sz w:val="23"/>
          <w:szCs w:val="23"/>
          <w:lang w:eastAsia="en-GB"/>
        </w:rPr>
        <w:t>to their professional training as Police Officers</w:t>
      </w:r>
      <w:r>
        <w:rPr>
          <w:rFonts w:ascii="Arial" w:eastAsia="Times New Roman" w:hAnsi="Arial" w:cs="Arial"/>
          <w:color w:val="272727"/>
          <w:sz w:val="23"/>
          <w:szCs w:val="23"/>
          <w:lang w:eastAsia="en-GB"/>
        </w:rPr>
        <w:t xml:space="preserve"> take a child centred approach and</w:t>
      </w:r>
      <w:r w:rsidRPr="00AC31D7">
        <w:rPr>
          <w:rFonts w:ascii="Arial" w:eastAsia="Times New Roman" w:hAnsi="Arial" w:cs="Arial"/>
          <w:color w:val="272727"/>
          <w:sz w:val="23"/>
          <w:szCs w:val="23"/>
          <w:lang w:eastAsia="en-GB"/>
        </w:rPr>
        <w:t xml:space="preserve"> are trained to </w:t>
      </w:r>
      <w:r w:rsidRPr="008D5BB9">
        <w:rPr>
          <w:rFonts w:ascii="Arial" w:eastAsia="Times New Roman" w:hAnsi="Arial" w:cs="Arial"/>
          <w:b/>
          <w:bCs/>
          <w:color w:val="272727"/>
          <w:sz w:val="23"/>
          <w:szCs w:val="23"/>
          <w:lang w:eastAsia="en-GB"/>
        </w:rPr>
        <w:t>deliver lessons</w:t>
      </w:r>
      <w:r w:rsidRPr="00AC31D7">
        <w:rPr>
          <w:rFonts w:ascii="Arial" w:eastAsia="Times New Roman" w:hAnsi="Arial" w:cs="Arial"/>
          <w:color w:val="272727"/>
          <w:sz w:val="23"/>
          <w:szCs w:val="23"/>
          <w:lang w:eastAsia="en-GB"/>
        </w:rPr>
        <w:t xml:space="preserve"> on the themes of </w:t>
      </w:r>
      <w:r w:rsidRPr="00AC31D7">
        <w:rPr>
          <w:rFonts w:ascii="Arial" w:eastAsia="Times New Roman" w:hAnsi="Arial" w:cs="Arial"/>
          <w:i/>
          <w:iCs/>
          <w:color w:val="272727"/>
          <w:sz w:val="23"/>
          <w:szCs w:val="23"/>
          <w:lang w:eastAsia="en-GB"/>
        </w:rPr>
        <w:t>substance misuse</w:t>
      </w:r>
      <w:r w:rsidRPr="00AC31D7">
        <w:rPr>
          <w:rFonts w:ascii="Arial" w:eastAsia="Times New Roman" w:hAnsi="Arial" w:cs="Arial"/>
          <w:color w:val="272727"/>
          <w:sz w:val="23"/>
          <w:szCs w:val="23"/>
          <w:lang w:eastAsia="en-GB"/>
        </w:rPr>
        <w:t xml:space="preserve">, </w:t>
      </w:r>
      <w:r w:rsidRPr="00AC31D7">
        <w:rPr>
          <w:rFonts w:ascii="Arial" w:eastAsia="Times New Roman" w:hAnsi="Arial" w:cs="Arial"/>
          <w:i/>
          <w:iCs/>
          <w:color w:val="272727"/>
          <w:sz w:val="23"/>
          <w:szCs w:val="23"/>
          <w:lang w:eastAsia="en-GB"/>
        </w:rPr>
        <w:t>personal safety</w:t>
      </w:r>
      <w:r w:rsidRPr="00AC31D7">
        <w:rPr>
          <w:rFonts w:ascii="Arial" w:eastAsia="Times New Roman" w:hAnsi="Arial" w:cs="Arial"/>
          <w:color w:val="272727"/>
          <w:sz w:val="23"/>
          <w:szCs w:val="23"/>
          <w:lang w:eastAsia="en-GB"/>
        </w:rPr>
        <w:t xml:space="preserve">, </w:t>
      </w:r>
      <w:r w:rsidRPr="00AC31D7">
        <w:rPr>
          <w:rFonts w:ascii="Arial" w:eastAsia="Times New Roman" w:hAnsi="Arial" w:cs="Arial"/>
          <w:i/>
          <w:iCs/>
          <w:color w:val="272727"/>
          <w:sz w:val="23"/>
          <w:szCs w:val="23"/>
          <w:lang w:eastAsia="en-GB"/>
        </w:rPr>
        <w:t>safeguarding</w:t>
      </w:r>
      <w:r w:rsidRPr="00AC31D7">
        <w:rPr>
          <w:rFonts w:ascii="Arial" w:eastAsia="Times New Roman" w:hAnsi="Arial" w:cs="Arial"/>
          <w:color w:val="272727"/>
          <w:sz w:val="23"/>
          <w:szCs w:val="23"/>
          <w:lang w:eastAsia="en-GB"/>
        </w:rPr>
        <w:t xml:space="preserve"> and </w:t>
      </w:r>
      <w:r w:rsidRPr="00AC31D7">
        <w:rPr>
          <w:rFonts w:ascii="Arial" w:eastAsia="Times New Roman" w:hAnsi="Arial" w:cs="Arial"/>
          <w:i/>
          <w:iCs/>
          <w:color w:val="272727"/>
          <w:sz w:val="23"/>
          <w:szCs w:val="23"/>
          <w:lang w:eastAsia="en-GB"/>
        </w:rPr>
        <w:t>behaviour and community</w:t>
      </w:r>
      <w:r w:rsidRPr="00AC31D7">
        <w:rPr>
          <w:rFonts w:ascii="Arial" w:eastAsia="Times New Roman" w:hAnsi="Arial" w:cs="Arial"/>
          <w:color w:val="272727"/>
          <w:sz w:val="23"/>
          <w:szCs w:val="23"/>
          <w:lang w:eastAsia="en-GB"/>
        </w:rPr>
        <w:t xml:space="preserve"> to a best practice educational standard that is </w:t>
      </w:r>
      <w:r>
        <w:rPr>
          <w:rFonts w:ascii="Arial" w:eastAsia="Times New Roman" w:hAnsi="Arial" w:cs="Arial"/>
          <w:color w:val="272727"/>
          <w:sz w:val="23"/>
          <w:szCs w:val="23"/>
          <w:lang w:eastAsia="en-GB"/>
        </w:rPr>
        <w:t xml:space="preserve">warmly </w:t>
      </w:r>
      <w:r w:rsidRPr="00AC31D7">
        <w:rPr>
          <w:rFonts w:ascii="Arial" w:eastAsia="Times New Roman" w:hAnsi="Arial" w:cs="Arial"/>
          <w:color w:val="272727"/>
          <w:sz w:val="23"/>
          <w:szCs w:val="23"/>
          <w:lang w:eastAsia="en-GB"/>
        </w:rPr>
        <w:t xml:space="preserve">welcomed by schools.  </w:t>
      </w:r>
    </w:p>
    <w:p w14:paraId="2F7C9095" w14:textId="77777777" w:rsidR="005D5B85" w:rsidRDefault="005D5B85" w:rsidP="005D5B85">
      <w:pPr>
        <w:shd w:val="clear" w:color="auto" w:fill="FFFFFF"/>
        <w:spacing w:after="0" w:line="240" w:lineRule="auto"/>
        <w:rPr>
          <w:rFonts w:ascii="Arial" w:eastAsia="Times New Roman" w:hAnsi="Arial" w:cs="Arial"/>
          <w:color w:val="272727"/>
          <w:sz w:val="23"/>
          <w:szCs w:val="23"/>
          <w:lang w:eastAsia="en-GB"/>
        </w:rPr>
      </w:pPr>
      <w:r>
        <w:rPr>
          <w:rFonts w:ascii="Arial" w:eastAsia="Times New Roman" w:hAnsi="Arial" w:cs="Arial"/>
          <w:sz w:val="23"/>
          <w:szCs w:val="23"/>
          <w:lang w:eastAsia="en-GB"/>
        </w:rPr>
        <w:t>They</w:t>
      </w:r>
      <w:r w:rsidRPr="008D5BB9">
        <w:rPr>
          <w:rFonts w:ascii="Arial" w:eastAsia="Times New Roman" w:hAnsi="Arial" w:cs="Arial"/>
          <w:sz w:val="23"/>
          <w:szCs w:val="23"/>
          <w:lang w:eastAsia="en-GB"/>
        </w:rPr>
        <w:t xml:space="preserve"> are also able to offer a wide variety of </w:t>
      </w:r>
      <w:r w:rsidRPr="008D5BB9">
        <w:rPr>
          <w:rFonts w:ascii="Arial" w:eastAsia="Times New Roman" w:hAnsi="Arial" w:cs="Arial"/>
          <w:b/>
          <w:bCs/>
          <w:sz w:val="23"/>
          <w:szCs w:val="23"/>
          <w:lang w:eastAsia="en-GB"/>
        </w:rPr>
        <w:t>assembly presentations</w:t>
      </w:r>
      <w:r w:rsidRPr="008D5BB9">
        <w:rPr>
          <w:rFonts w:ascii="Arial" w:eastAsia="Times New Roman" w:hAnsi="Arial" w:cs="Arial"/>
          <w:sz w:val="23"/>
          <w:szCs w:val="23"/>
          <w:lang w:eastAsia="en-GB"/>
        </w:rPr>
        <w:t xml:space="preserve">. The assemblies offer flexibility and ensure the WPSP keeps pace with emerging </w:t>
      </w:r>
      <w:r>
        <w:rPr>
          <w:rFonts w:ascii="Arial" w:eastAsia="Times New Roman" w:hAnsi="Arial" w:cs="Arial"/>
          <w:sz w:val="23"/>
          <w:szCs w:val="23"/>
          <w:lang w:eastAsia="en-GB"/>
        </w:rPr>
        <w:t xml:space="preserve">threats, </w:t>
      </w:r>
      <w:r w:rsidRPr="008D5BB9">
        <w:rPr>
          <w:rFonts w:ascii="Arial" w:eastAsia="Times New Roman" w:hAnsi="Arial" w:cs="Arial"/>
          <w:sz w:val="23"/>
          <w:szCs w:val="23"/>
          <w:lang w:eastAsia="en-GB"/>
        </w:rPr>
        <w:t>trends and issues.</w:t>
      </w:r>
      <w:r>
        <w:rPr>
          <w:rFonts w:ascii="Arial" w:eastAsia="Times New Roman" w:hAnsi="Arial" w:cs="Arial"/>
          <w:sz w:val="23"/>
          <w:szCs w:val="23"/>
          <w:lang w:eastAsia="en-GB"/>
        </w:rPr>
        <w:t xml:space="preserve">  </w:t>
      </w:r>
      <w:r w:rsidRPr="008D5BB9">
        <w:rPr>
          <w:rFonts w:ascii="Arial" w:eastAsia="Times New Roman" w:hAnsi="Arial" w:cs="Arial"/>
          <w:sz w:val="23"/>
          <w:szCs w:val="23"/>
          <w:lang w:eastAsia="en-GB"/>
        </w:rPr>
        <w:t>A series of vlogs</w:t>
      </w:r>
      <w:r>
        <w:rPr>
          <w:rFonts w:ascii="Arial" w:eastAsia="Times New Roman" w:hAnsi="Arial" w:cs="Arial"/>
          <w:sz w:val="23"/>
          <w:szCs w:val="23"/>
          <w:lang w:eastAsia="en-GB"/>
        </w:rPr>
        <w:t xml:space="preserve"> and other materials</w:t>
      </w:r>
      <w:r w:rsidRPr="008D5BB9">
        <w:rPr>
          <w:rFonts w:ascii="Arial" w:eastAsia="Times New Roman" w:hAnsi="Arial" w:cs="Arial"/>
          <w:sz w:val="23"/>
          <w:szCs w:val="23"/>
          <w:lang w:eastAsia="en-GB"/>
        </w:rPr>
        <w:t xml:space="preserve"> </w:t>
      </w:r>
      <w:r>
        <w:rPr>
          <w:rFonts w:ascii="Arial" w:eastAsia="Times New Roman" w:hAnsi="Arial" w:cs="Arial"/>
          <w:sz w:val="23"/>
          <w:szCs w:val="23"/>
          <w:lang w:eastAsia="en-GB"/>
        </w:rPr>
        <w:t>are</w:t>
      </w:r>
      <w:r w:rsidRPr="008D5BB9">
        <w:rPr>
          <w:rFonts w:ascii="Arial" w:eastAsia="Times New Roman" w:hAnsi="Arial" w:cs="Arial"/>
          <w:sz w:val="23"/>
          <w:szCs w:val="23"/>
          <w:lang w:eastAsia="en-GB"/>
        </w:rPr>
        <w:t xml:space="preserve"> also available on our dedicated </w:t>
      </w:r>
      <w:hyperlink r:id="rId12" w:history="1">
        <w:r w:rsidRPr="003211B6">
          <w:rPr>
            <w:rStyle w:val="Hyperlink"/>
            <w:rFonts w:ascii="Arial" w:eastAsia="Times New Roman" w:hAnsi="Arial" w:cs="Arial"/>
            <w:sz w:val="23"/>
            <w:szCs w:val="23"/>
            <w:lang w:eastAsia="en-GB"/>
          </w:rPr>
          <w:t>www.SchoolBeat.cymru</w:t>
        </w:r>
      </w:hyperlink>
      <w:r>
        <w:rPr>
          <w:rFonts w:ascii="Arial" w:eastAsia="Times New Roman" w:hAnsi="Arial" w:cs="Arial"/>
          <w:sz w:val="23"/>
          <w:szCs w:val="23"/>
          <w:lang w:eastAsia="en-GB"/>
        </w:rPr>
        <w:t xml:space="preserve"> </w:t>
      </w:r>
      <w:r w:rsidRPr="008D5BB9">
        <w:rPr>
          <w:rFonts w:ascii="Arial" w:eastAsia="Times New Roman" w:hAnsi="Arial" w:cs="Arial"/>
          <w:sz w:val="23"/>
          <w:szCs w:val="23"/>
          <w:lang w:eastAsia="en-GB"/>
        </w:rPr>
        <w:t xml:space="preserve"> website.</w:t>
      </w:r>
      <w:r w:rsidRPr="00A02144">
        <w:rPr>
          <w:rFonts w:ascii="Arial" w:eastAsia="Times New Roman" w:hAnsi="Arial" w:cs="Arial"/>
          <w:color w:val="272727"/>
          <w:sz w:val="23"/>
          <w:szCs w:val="23"/>
          <w:lang w:eastAsia="en-GB"/>
        </w:rPr>
        <w:t xml:space="preserve"> </w:t>
      </w:r>
    </w:p>
    <w:p w14:paraId="58C374F0" w14:textId="77777777" w:rsidR="005D5B85" w:rsidRDefault="005D5B85" w:rsidP="005D5B85">
      <w:pPr>
        <w:shd w:val="clear" w:color="auto" w:fill="FFFFFF"/>
        <w:spacing w:after="0" w:line="240" w:lineRule="auto"/>
        <w:rPr>
          <w:rFonts w:ascii="Arial" w:eastAsia="Times New Roman" w:hAnsi="Arial" w:cs="Arial"/>
          <w:color w:val="272727"/>
          <w:sz w:val="23"/>
          <w:szCs w:val="23"/>
          <w:lang w:eastAsia="en-GB"/>
        </w:rPr>
      </w:pPr>
    </w:p>
    <w:p w14:paraId="5D6A0459" w14:textId="77777777" w:rsidR="005D5B85" w:rsidRPr="008D5BB9" w:rsidRDefault="005D5B85" w:rsidP="005D5B85">
      <w:pPr>
        <w:shd w:val="clear" w:color="auto" w:fill="FFFFFF"/>
        <w:spacing w:after="0" w:line="240" w:lineRule="auto"/>
        <w:rPr>
          <w:rFonts w:ascii="Arial" w:eastAsia="Times New Roman" w:hAnsi="Arial" w:cs="Arial"/>
          <w:sz w:val="23"/>
          <w:szCs w:val="23"/>
          <w:lang w:eastAsia="en-GB"/>
        </w:rPr>
      </w:pPr>
      <w:r>
        <w:rPr>
          <w:rFonts w:ascii="Arial" w:eastAsia="Times New Roman" w:hAnsi="Arial" w:cs="Arial"/>
          <w:color w:val="272727"/>
          <w:sz w:val="23"/>
          <w:szCs w:val="23"/>
          <w:lang w:eastAsia="en-GB"/>
        </w:rPr>
        <w:t>The SPOs</w:t>
      </w:r>
      <w:r w:rsidRPr="00AC31D7">
        <w:rPr>
          <w:rFonts w:ascii="Arial" w:eastAsia="Times New Roman" w:hAnsi="Arial" w:cs="Arial"/>
          <w:color w:val="272727"/>
          <w:sz w:val="23"/>
          <w:szCs w:val="23"/>
          <w:lang w:eastAsia="en-GB"/>
        </w:rPr>
        <w:t xml:space="preserve"> work closely </w:t>
      </w:r>
      <w:r w:rsidRPr="008D5BB9">
        <w:rPr>
          <w:rFonts w:ascii="Arial" w:eastAsia="Times New Roman" w:hAnsi="Arial" w:cs="Arial"/>
          <w:sz w:val="23"/>
          <w:szCs w:val="23"/>
          <w:lang w:eastAsia="en-GB"/>
        </w:rPr>
        <w:t>with Pastoral, Behaviour and Safeguarding leads in schools to support the newly developing Health and Well-being curriculum.</w:t>
      </w:r>
    </w:p>
    <w:p w14:paraId="4735B4BB" w14:textId="77777777" w:rsidR="005D5B85" w:rsidRPr="008D5BB9" w:rsidRDefault="005D5B85" w:rsidP="005D5B85">
      <w:pPr>
        <w:shd w:val="clear" w:color="auto" w:fill="FFFFFF"/>
        <w:spacing w:before="192" w:after="192" w:line="240" w:lineRule="auto"/>
        <w:rPr>
          <w:rFonts w:ascii="Arial" w:eastAsia="Times New Roman" w:hAnsi="Arial" w:cs="Arial"/>
          <w:sz w:val="23"/>
          <w:szCs w:val="23"/>
          <w:lang w:eastAsia="en-GB"/>
        </w:rPr>
      </w:pPr>
      <w:r w:rsidRPr="00AC31D7">
        <w:rPr>
          <w:rFonts w:ascii="Arial" w:eastAsia="Times New Roman" w:hAnsi="Arial" w:cs="Arial"/>
          <w:color w:val="272727"/>
          <w:sz w:val="23"/>
          <w:szCs w:val="23"/>
          <w:lang w:eastAsia="en-GB"/>
        </w:rPr>
        <w:t xml:space="preserve">The Programme has a corporate approach to ensure that all children, 5 to 16 years old across Wales receive the same accurate and up to date information.  </w:t>
      </w:r>
    </w:p>
    <w:p w14:paraId="72634113" w14:textId="77777777" w:rsidR="005D5B85" w:rsidRPr="001A4C62" w:rsidRDefault="005D5B85" w:rsidP="005D5B85">
      <w:pPr>
        <w:shd w:val="clear" w:color="auto" w:fill="FFFFFF"/>
        <w:spacing w:before="192" w:after="192" w:line="240" w:lineRule="auto"/>
        <w:rPr>
          <w:rFonts w:ascii="Arial" w:eastAsia="Times New Roman" w:hAnsi="Arial" w:cs="Arial"/>
          <w:color w:val="272727"/>
          <w:sz w:val="23"/>
          <w:szCs w:val="23"/>
          <w:lang w:eastAsia="en-GB"/>
        </w:rPr>
      </w:pPr>
      <w:r>
        <w:rPr>
          <w:rFonts w:ascii="Arial" w:eastAsia="Times New Roman" w:hAnsi="Arial" w:cs="Arial"/>
          <w:color w:val="272727"/>
          <w:sz w:val="23"/>
          <w:szCs w:val="23"/>
          <w:lang w:eastAsia="en-GB"/>
        </w:rPr>
        <w:t>SPOs</w:t>
      </w:r>
      <w:r w:rsidRPr="00AC31D7">
        <w:rPr>
          <w:rFonts w:ascii="Arial" w:eastAsia="Times New Roman" w:hAnsi="Arial" w:cs="Arial"/>
          <w:color w:val="272727"/>
          <w:sz w:val="23"/>
          <w:szCs w:val="23"/>
          <w:lang w:eastAsia="en-GB"/>
        </w:rPr>
        <w:t xml:space="preserve"> </w:t>
      </w:r>
      <w:r>
        <w:rPr>
          <w:rFonts w:ascii="Arial" w:eastAsia="Times New Roman" w:hAnsi="Arial" w:cs="Arial"/>
          <w:color w:val="272727"/>
          <w:sz w:val="23"/>
          <w:szCs w:val="23"/>
          <w:lang w:eastAsia="en-GB"/>
        </w:rPr>
        <w:t xml:space="preserve">also </w:t>
      </w:r>
      <w:r w:rsidRPr="00AC31D7">
        <w:rPr>
          <w:rFonts w:ascii="Arial" w:eastAsia="Times New Roman" w:hAnsi="Arial" w:cs="Arial"/>
          <w:color w:val="272727"/>
          <w:sz w:val="23"/>
          <w:szCs w:val="23"/>
          <w:lang w:eastAsia="en-GB"/>
        </w:rPr>
        <w:t xml:space="preserve">support schools through </w:t>
      </w:r>
      <w:r w:rsidRPr="008D5BB9">
        <w:rPr>
          <w:rFonts w:ascii="Arial" w:eastAsia="Times New Roman" w:hAnsi="Arial" w:cs="Arial"/>
          <w:b/>
          <w:bCs/>
          <w:color w:val="272727"/>
          <w:sz w:val="23"/>
          <w:szCs w:val="23"/>
          <w:lang w:eastAsia="en-GB"/>
        </w:rPr>
        <w:t>supportive policing practices;</w:t>
      </w:r>
      <w:r w:rsidRPr="00AC31D7">
        <w:rPr>
          <w:rFonts w:ascii="Arial" w:eastAsia="Times New Roman" w:hAnsi="Arial" w:cs="Arial"/>
          <w:color w:val="272727"/>
          <w:sz w:val="23"/>
          <w:szCs w:val="23"/>
          <w:lang w:eastAsia="en-GB"/>
        </w:rPr>
        <w:t xml:space="preserve"> dealing with incidents using the School Crime Beat policy and offering restorative resolutions including restorative conferencing when required.</w:t>
      </w:r>
      <w:r>
        <w:rPr>
          <w:rFonts w:ascii="Arial" w:eastAsia="Times New Roman" w:hAnsi="Arial" w:cs="Arial"/>
          <w:color w:val="272727"/>
          <w:sz w:val="23"/>
          <w:szCs w:val="23"/>
          <w:lang w:eastAsia="en-GB"/>
        </w:rPr>
        <w:t xml:space="preserve">  </w:t>
      </w:r>
    </w:p>
    <w:p w14:paraId="64C45941" w14:textId="77777777" w:rsidR="005D5B85" w:rsidRPr="00AC31D7" w:rsidRDefault="005D5B85" w:rsidP="005D5B85">
      <w:pPr>
        <w:shd w:val="clear" w:color="auto" w:fill="FFFFFF"/>
        <w:spacing w:after="0" w:line="240" w:lineRule="auto"/>
        <w:outlineLvl w:val="1"/>
        <w:rPr>
          <w:rFonts w:ascii="Arial" w:eastAsia="Times New Roman" w:hAnsi="Arial" w:cs="Arial"/>
          <w:b/>
          <w:bCs/>
          <w:color w:val="0080AF"/>
          <w:sz w:val="24"/>
          <w:szCs w:val="24"/>
          <w:lang w:eastAsia="en-GB"/>
        </w:rPr>
      </w:pPr>
      <w:r w:rsidRPr="00AC31D7">
        <w:rPr>
          <w:rFonts w:ascii="Arial" w:eastAsia="Times New Roman" w:hAnsi="Arial" w:cs="Arial"/>
          <w:b/>
          <w:bCs/>
          <w:color w:val="0080AF"/>
          <w:sz w:val="24"/>
          <w:szCs w:val="24"/>
          <w:lang w:eastAsia="en-GB"/>
        </w:rPr>
        <w:t xml:space="preserve">Why was the Wales </w:t>
      </w:r>
      <w:r w:rsidRPr="007E64A8">
        <w:rPr>
          <w:rFonts w:ascii="Arial" w:eastAsia="Times New Roman" w:hAnsi="Arial" w:cs="Arial"/>
          <w:b/>
          <w:bCs/>
          <w:color w:val="0080AF"/>
          <w:sz w:val="24"/>
          <w:szCs w:val="24"/>
          <w:lang w:eastAsia="en-GB"/>
        </w:rPr>
        <w:t xml:space="preserve">Police </w:t>
      </w:r>
      <w:r w:rsidRPr="00AC31D7">
        <w:rPr>
          <w:rFonts w:ascii="Arial" w:eastAsia="Times New Roman" w:hAnsi="Arial" w:cs="Arial"/>
          <w:b/>
          <w:bCs/>
          <w:color w:val="0080AF"/>
          <w:sz w:val="24"/>
          <w:szCs w:val="24"/>
          <w:lang w:eastAsia="en-GB"/>
        </w:rPr>
        <w:t>School</w:t>
      </w:r>
      <w:r w:rsidRPr="007E64A8">
        <w:rPr>
          <w:rFonts w:ascii="Arial" w:eastAsia="Times New Roman" w:hAnsi="Arial" w:cs="Arial"/>
          <w:b/>
          <w:bCs/>
          <w:color w:val="0080AF"/>
          <w:sz w:val="24"/>
          <w:szCs w:val="24"/>
          <w:lang w:eastAsia="en-GB"/>
        </w:rPr>
        <w:t xml:space="preserve">s </w:t>
      </w:r>
      <w:r w:rsidRPr="00AC31D7">
        <w:rPr>
          <w:rFonts w:ascii="Arial" w:eastAsia="Times New Roman" w:hAnsi="Arial" w:cs="Arial"/>
          <w:b/>
          <w:bCs/>
          <w:color w:val="0080AF"/>
          <w:sz w:val="24"/>
          <w:szCs w:val="24"/>
          <w:lang w:eastAsia="en-GB"/>
        </w:rPr>
        <w:t>Programme developed?</w:t>
      </w:r>
    </w:p>
    <w:p w14:paraId="5BA10D6B" w14:textId="77777777" w:rsidR="005D5B85" w:rsidRPr="00AC31D7" w:rsidRDefault="005D5B85" w:rsidP="005D5B85">
      <w:pPr>
        <w:shd w:val="clear" w:color="auto" w:fill="FFFFFF"/>
        <w:spacing w:before="192" w:after="192" w:line="240" w:lineRule="auto"/>
        <w:rPr>
          <w:rFonts w:ascii="Arial" w:eastAsia="Times New Roman" w:hAnsi="Arial" w:cs="Arial"/>
          <w:color w:val="272727"/>
          <w:sz w:val="23"/>
          <w:szCs w:val="23"/>
          <w:lang w:eastAsia="en-GB"/>
        </w:rPr>
      </w:pPr>
      <w:r w:rsidRPr="00AC31D7">
        <w:rPr>
          <w:rFonts w:ascii="Arial" w:eastAsia="Times New Roman" w:hAnsi="Arial" w:cs="Arial"/>
          <w:color w:val="272727"/>
          <w:sz w:val="23"/>
          <w:szCs w:val="23"/>
          <w:lang w:eastAsia="en-GB"/>
        </w:rPr>
        <w:t xml:space="preserve">The </w:t>
      </w:r>
      <w:r>
        <w:rPr>
          <w:rFonts w:ascii="Arial" w:eastAsia="Times New Roman" w:hAnsi="Arial" w:cs="Arial"/>
          <w:color w:val="272727"/>
          <w:sz w:val="23"/>
          <w:szCs w:val="23"/>
          <w:lang w:eastAsia="en-GB"/>
        </w:rPr>
        <w:t>WPSP</w:t>
      </w:r>
      <w:r w:rsidRPr="00AC31D7">
        <w:rPr>
          <w:rFonts w:ascii="Arial" w:eastAsia="Times New Roman" w:hAnsi="Arial" w:cs="Arial"/>
          <w:color w:val="272727"/>
          <w:sz w:val="23"/>
          <w:szCs w:val="23"/>
          <w:lang w:eastAsia="en-GB"/>
        </w:rPr>
        <w:t xml:space="preserve"> was developed to educate young people about some of the challenges that affect our society today. The intention of the Programme is to </w:t>
      </w:r>
      <w:r>
        <w:rPr>
          <w:rFonts w:ascii="Arial" w:eastAsia="Times New Roman" w:hAnsi="Arial" w:cs="Arial"/>
          <w:color w:val="272727"/>
          <w:sz w:val="23"/>
          <w:szCs w:val="23"/>
          <w:lang w:eastAsia="en-GB"/>
        </w:rPr>
        <w:t xml:space="preserve">work with schools to </w:t>
      </w:r>
      <w:r w:rsidRPr="00AC31D7">
        <w:rPr>
          <w:rFonts w:ascii="Arial" w:eastAsia="Times New Roman" w:hAnsi="Arial" w:cs="Arial"/>
          <w:color w:val="272727"/>
          <w:sz w:val="23"/>
          <w:szCs w:val="23"/>
          <w:lang w:eastAsia="en-GB"/>
        </w:rPr>
        <w:t xml:space="preserve">safeguard all children and young people living in Wales by providing them with current information about the dangers associated with issues such as substance use and misuse, </w:t>
      </w:r>
      <w:r>
        <w:rPr>
          <w:rFonts w:ascii="Arial" w:eastAsia="Times New Roman" w:hAnsi="Arial" w:cs="Arial"/>
          <w:color w:val="272727"/>
          <w:sz w:val="23"/>
          <w:szCs w:val="23"/>
          <w:lang w:eastAsia="en-GB"/>
        </w:rPr>
        <w:t>County Lines,</w:t>
      </w:r>
      <w:r w:rsidRPr="00AC31D7">
        <w:rPr>
          <w:rFonts w:ascii="Arial" w:eastAsia="Times New Roman" w:hAnsi="Arial" w:cs="Arial"/>
          <w:color w:val="272727"/>
          <w:sz w:val="23"/>
          <w:szCs w:val="23"/>
          <w:lang w:eastAsia="en-GB"/>
        </w:rPr>
        <w:t xml:space="preserve"> domestic abuse,</w:t>
      </w:r>
      <w:r>
        <w:rPr>
          <w:rFonts w:ascii="Arial" w:eastAsia="Times New Roman" w:hAnsi="Arial" w:cs="Arial"/>
          <w:color w:val="272727"/>
          <w:sz w:val="23"/>
          <w:szCs w:val="23"/>
          <w:lang w:eastAsia="en-GB"/>
        </w:rPr>
        <w:t xml:space="preserve"> exploitation,</w:t>
      </w:r>
      <w:r w:rsidRPr="00AC31D7">
        <w:rPr>
          <w:rFonts w:ascii="Arial" w:eastAsia="Times New Roman" w:hAnsi="Arial" w:cs="Arial"/>
          <w:color w:val="272727"/>
          <w:sz w:val="23"/>
          <w:szCs w:val="23"/>
          <w:lang w:eastAsia="en-GB"/>
        </w:rPr>
        <w:t xml:space="preserve"> bullying, anti-social behaviour, internet safety, weapons, </w:t>
      </w:r>
      <w:r>
        <w:rPr>
          <w:rFonts w:ascii="Arial" w:eastAsia="Times New Roman" w:hAnsi="Arial" w:cs="Arial"/>
          <w:color w:val="272727"/>
          <w:sz w:val="23"/>
          <w:szCs w:val="23"/>
          <w:lang w:eastAsia="en-GB"/>
        </w:rPr>
        <w:t xml:space="preserve">radicalisation </w:t>
      </w:r>
      <w:r w:rsidRPr="00AC31D7">
        <w:rPr>
          <w:rFonts w:ascii="Arial" w:eastAsia="Times New Roman" w:hAnsi="Arial" w:cs="Arial"/>
          <w:color w:val="272727"/>
          <w:sz w:val="23"/>
          <w:szCs w:val="23"/>
          <w:lang w:eastAsia="en-GB"/>
        </w:rPr>
        <w:t>and community cohesion</w:t>
      </w:r>
      <w:r>
        <w:rPr>
          <w:rFonts w:ascii="Arial" w:eastAsia="Times New Roman" w:hAnsi="Arial" w:cs="Arial"/>
          <w:color w:val="272727"/>
          <w:sz w:val="23"/>
          <w:szCs w:val="23"/>
          <w:lang w:eastAsia="en-GB"/>
        </w:rPr>
        <w:t>.</w:t>
      </w:r>
    </w:p>
    <w:p w14:paraId="4C8CB6E9" w14:textId="77777777" w:rsidR="005D5B85" w:rsidRPr="00AC31D7" w:rsidRDefault="005D5B85" w:rsidP="005D5B85">
      <w:pPr>
        <w:shd w:val="clear" w:color="auto" w:fill="FFFFFF"/>
        <w:spacing w:before="192" w:after="192" w:line="240" w:lineRule="auto"/>
        <w:rPr>
          <w:rFonts w:ascii="Arial" w:eastAsia="Times New Roman" w:hAnsi="Arial" w:cs="Arial"/>
          <w:color w:val="272727"/>
          <w:sz w:val="23"/>
          <w:szCs w:val="23"/>
          <w:lang w:eastAsia="en-GB"/>
        </w:rPr>
      </w:pPr>
      <w:r>
        <w:rPr>
          <w:rFonts w:ascii="Arial" w:eastAsia="Times New Roman" w:hAnsi="Arial" w:cs="Arial"/>
          <w:color w:val="272727"/>
          <w:sz w:val="23"/>
          <w:szCs w:val="23"/>
          <w:lang w:eastAsia="en-GB"/>
        </w:rPr>
        <w:t xml:space="preserve">It </w:t>
      </w:r>
      <w:r w:rsidRPr="00AC31D7">
        <w:rPr>
          <w:rFonts w:ascii="Arial" w:eastAsia="Times New Roman" w:hAnsi="Arial" w:cs="Arial"/>
          <w:color w:val="272727"/>
          <w:sz w:val="23"/>
          <w:szCs w:val="23"/>
          <w:lang w:eastAsia="en-GB"/>
        </w:rPr>
        <w:t>is important that children are provided with accurate up to date information by specialists to ensure they are able to make correctly informed decisions and hopefully avoid entry into the Criminal Justice System</w:t>
      </w:r>
      <w:r>
        <w:rPr>
          <w:rFonts w:ascii="Arial" w:eastAsia="Times New Roman" w:hAnsi="Arial" w:cs="Arial"/>
          <w:color w:val="272727"/>
          <w:sz w:val="23"/>
          <w:szCs w:val="23"/>
          <w:lang w:eastAsia="en-GB"/>
        </w:rPr>
        <w:t xml:space="preserve"> as well as signposting them to help and support. </w:t>
      </w:r>
    </w:p>
    <w:p w14:paraId="0D0D0970" w14:textId="5295BCE6" w:rsidR="00CE51B1" w:rsidRDefault="005D5B85" w:rsidP="00F014C2">
      <w:pPr>
        <w:shd w:val="clear" w:color="auto" w:fill="FFFFFF"/>
        <w:spacing w:before="192" w:after="192" w:line="240" w:lineRule="auto"/>
      </w:pPr>
      <w:r w:rsidRPr="00AC31D7">
        <w:rPr>
          <w:rFonts w:ascii="Arial" w:eastAsia="Times New Roman" w:hAnsi="Arial" w:cs="Arial"/>
          <w:color w:val="272727"/>
          <w:sz w:val="23"/>
          <w:szCs w:val="23"/>
          <w:lang w:eastAsia="en-GB"/>
        </w:rPr>
        <w:t>The Programme encourages positive citizenship and</w:t>
      </w:r>
      <w:r>
        <w:rPr>
          <w:rFonts w:ascii="Arial" w:eastAsia="Times New Roman" w:hAnsi="Arial" w:cs="Arial"/>
          <w:color w:val="272727"/>
          <w:sz w:val="23"/>
          <w:szCs w:val="23"/>
          <w:lang w:eastAsia="en-GB"/>
        </w:rPr>
        <w:t xml:space="preserve"> through prevention</w:t>
      </w:r>
      <w:r w:rsidRPr="00AC31D7">
        <w:rPr>
          <w:rFonts w:ascii="Arial" w:eastAsia="Times New Roman" w:hAnsi="Arial" w:cs="Arial"/>
          <w:color w:val="272727"/>
          <w:sz w:val="23"/>
          <w:szCs w:val="23"/>
          <w:lang w:eastAsia="en-GB"/>
        </w:rPr>
        <w:t xml:space="preserve"> seeks to protect vulnerable</w:t>
      </w:r>
      <w:r>
        <w:rPr>
          <w:rFonts w:ascii="Arial" w:eastAsia="Times New Roman" w:hAnsi="Arial" w:cs="Arial"/>
          <w:color w:val="272727"/>
          <w:sz w:val="23"/>
          <w:szCs w:val="23"/>
          <w:lang w:eastAsia="en-GB"/>
        </w:rPr>
        <w:t xml:space="preserve"> children and young people</w:t>
      </w:r>
      <w:r w:rsidRPr="00AC31D7">
        <w:rPr>
          <w:rFonts w:ascii="Arial" w:eastAsia="Times New Roman" w:hAnsi="Arial" w:cs="Arial"/>
          <w:color w:val="272727"/>
          <w:sz w:val="23"/>
          <w:szCs w:val="23"/>
          <w:lang w:eastAsia="en-GB"/>
        </w:rPr>
        <w:t xml:space="preserve"> who may become victims of criminal activity</w:t>
      </w:r>
      <w:r>
        <w:rPr>
          <w:rFonts w:ascii="Arial" w:eastAsia="Times New Roman" w:hAnsi="Arial" w:cs="Arial"/>
          <w:color w:val="272727"/>
          <w:sz w:val="23"/>
          <w:szCs w:val="23"/>
          <w:lang w:eastAsia="en-GB"/>
        </w:rPr>
        <w:t>.</w:t>
      </w:r>
    </w:p>
    <w:sectPr w:rsidR="00CE51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16388" w14:textId="77777777" w:rsidR="00832534" w:rsidRDefault="00832534" w:rsidP="00816846">
      <w:pPr>
        <w:spacing w:after="0" w:line="240" w:lineRule="auto"/>
      </w:pPr>
      <w:r>
        <w:separator/>
      </w:r>
    </w:p>
  </w:endnote>
  <w:endnote w:type="continuationSeparator" w:id="0">
    <w:p w14:paraId="64EB8EA4" w14:textId="77777777" w:rsidR="00832534" w:rsidRDefault="00832534" w:rsidP="0081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85423" w14:textId="77777777" w:rsidR="00832534" w:rsidRDefault="00832534" w:rsidP="00816846">
      <w:pPr>
        <w:spacing w:after="0" w:line="240" w:lineRule="auto"/>
      </w:pPr>
      <w:r>
        <w:separator/>
      </w:r>
    </w:p>
  </w:footnote>
  <w:footnote w:type="continuationSeparator" w:id="0">
    <w:p w14:paraId="3C439CFC" w14:textId="77777777" w:rsidR="00832534" w:rsidRDefault="00832534" w:rsidP="008168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831"/>
    <w:multiLevelType w:val="multilevel"/>
    <w:tmpl w:val="CBEE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0F59AD"/>
    <w:multiLevelType w:val="multilevel"/>
    <w:tmpl w:val="24CC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6636D2"/>
    <w:multiLevelType w:val="hybridMultilevel"/>
    <w:tmpl w:val="AB08C8F0"/>
    <w:lvl w:ilvl="0" w:tplc="4ED8415C">
      <w:start w:val="1"/>
      <w:numFmt w:val="bullet"/>
      <w:lvlText w:val="•"/>
      <w:lvlJc w:val="left"/>
      <w:pPr>
        <w:tabs>
          <w:tab w:val="num" w:pos="720"/>
        </w:tabs>
        <w:ind w:left="720" w:hanging="360"/>
      </w:pPr>
      <w:rPr>
        <w:rFonts w:ascii="Arial" w:hAnsi="Arial" w:hint="default"/>
      </w:rPr>
    </w:lvl>
    <w:lvl w:ilvl="1" w:tplc="C4BE4CB0" w:tentative="1">
      <w:start w:val="1"/>
      <w:numFmt w:val="bullet"/>
      <w:lvlText w:val="•"/>
      <w:lvlJc w:val="left"/>
      <w:pPr>
        <w:tabs>
          <w:tab w:val="num" w:pos="1440"/>
        </w:tabs>
        <w:ind w:left="1440" w:hanging="360"/>
      </w:pPr>
      <w:rPr>
        <w:rFonts w:ascii="Arial" w:hAnsi="Arial" w:hint="default"/>
      </w:rPr>
    </w:lvl>
    <w:lvl w:ilvl="2" w:tplc="8D440C1E" w:tentative="1">
      <w:start w:val="1"/>
      <w:numFmt w:val="bullet"/>
      <w:lvlText w:val="•"/>
      <w:lvlJc w:val="left"/>
      <w:pPr>
        <w:tabs>
          <w:tab w:val="num" w:pos="2160"/>
        </w:tabs>
        <w:ind w:left="2160" w:hanging="360"/>
      </w:pPr>
      <w:rPr>
        <w:rFonts w:ascii="Arial" w:hAnsi="Arial" w:hint="default"/>
      </w:rPr>
    </w:lvl>
    <w:lvl w:ilvl="3" w:tplc="5282D6A0" w:tentative="1">
      <w:start w:val="1"/>
      <w:numFmt w:val="bullet"/>
      <w:lvlText w:val="•"/>
      <w:lvlJc w:val="left"/>
      <w:pPr>
        <w:tabs>
          <w:tab w:val="num" w:pos="2880"/>
        </w:tabs>
        <w:ind w:left="2880" w:hanging="360"/>
      </w:pPr>
      <w:rPr>
        <w:rFonts w:ascii="Arial" w:hAnsi="Arial" w:hint="default"/>
      </w:rPr>
    </w:lvl>
    <w:lvl w:ilvl="4" w:tplc="3820A412" w:tentative="1">
      <w:start w:val="1"/>
      <w:numFmt w:val="bullet"/>
      <w:lvlText w:val="•"/>
      <w:lvlJc w:val="left"/>
      <w:pPr>
        <w:tabs>
          <w:tab w:val="num" w:pos="3600"/>
        </w:tabs>
        <w:ind w:left="3600" w:hanging="360"/>
      </w:pPr>
      <w:rPr>
        <w:rFonts w:ascii="Arial" w:hAnsi="Arial" w:hint="default"/>
      </w:rPr>
    </w:lvl>
    <w:lvl w:ilvl="5" w:tplc="E63881EC" w:tentative="1">
      <w:start w:val="1"/>
      <w:numFmt w:val="bullet"/>
      <w:lvlText w:val="•"/>
      <w:lvlJc w:val="left"/>
      <w:pPr>
        <w:tabs>
          <w:tab w:val="num" w:pos="4320"/>
        </w:tabs>
        <w:ind w:left="4320" w:hanging="360"/>
      </w:pPr>
      <w:rPr>
        <w:rFonts w:ascii="Arial" w:hAnsi="Arial" w:hint="default"/>
      </w:rPr>
    </w:lvl>
    <w:lvl w:ilvl="6" w:tplc="A0BA7F6C" w:tentative="1">
      <w:start w:val="1"/>
      <w:numFmt w:val="bullet"/>
      <w:lvlText w:val="•"/>
      <w:lvlJc w:val="left"/>
      <w:pPr>
        <w:tabs>
          <w:tab w:val="num" w:pos="5040"/>
        </w:tabs>
        <w:ind w:left="5040" w:hanging="360"/>
      </w:pPr>
      <w:rPr>
        <w:rFonts w:ascii="Arial" w:hAnsi="Arial" w:hint="default"/>
      </w:rPr>
    </w:lvl>
    <w:lvl w:ilvl="7" w:tplc="F016129C" w:tentative="1">
      <w:start w:val="1"/>
      <w:numFmt w:val="bullet"/>
      <w:lvlText w:val="•"/>
      <w:lvlJc w:val="left"/>
      <w:pPr>
        <w:tabs>
          <w:tab w:val="num" w:pos="5760"/>
        </w:tabs>
        <w:ind w:left="5760" w:hanging="360"/>
      </w:pPr>
      <w:rPr>
        <w:rFonts w:ascii="Arial" w:hAnsi="Arial" w:hint="default"/>
      </w:rPr>
    </w:lvl>
    <w:lvl w:ilvl="8" w:tplc="584E08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966081"/>
    <w:multiLevelType w:val="hybridMultilevel"/>
    <w:tmpl w:val="C29ED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702AD"/>
    <w:multiLevelType w:val="multilevel"/>
    <w:tmpl w:val="8C1C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904776"/>
    <w:multiLevelType w:val="hybridMultilevel"/>
    <w:tmpl w:val="617A03B4"/>
    <w:lvl w:ilvl="0" w:tplc="8F3A35B0">
      <w:start w:val="1"/>
      <w:numFmt w:val="bullet"/>
      <w:lvlText w:val="•"/>
      <w:lvlJc w:val="left"/>
      <w:pPr>
        <w:tabs>
          <w:tab w:val="num" w:pos="720"/>
        </w:tabs>
        <w:ind w:left="720" w:hanging="360"/>
      </w:pPr>
      <w:rPr>
        <w:rFonts w:ascii="Arial" w:hAnsi="Arial" w:hint="default"/>
      </w:rPr>
    </w:lvl>
    <w:lvl w:ilvl="1" w:tplc="13785E70" w:tentative="1">
      <w:start w:val="1"/>
      <w:numFmt w:val="bullet"/>
      <w:lvlText w:val="•"/>
      <w:lvlJc w:val="left"/>
      <w:pPr>
        <w:tabs>
          <w:tab w:val="num" w:pos="1440"/>
        </w:tabs>
        <w:ind w:left="1440" w:hanging="360"/>
      </w:pPr>
      <w:rPr>
        <w:rFonts w:ascii="Arial" w:hAnsi="Arial" w:hint="default"/>
      </w:rPr>
    </w:lvl>
    <w:lvl w:ilvl="2" w:tplc="78CED442" w:tentative="1">
      <w:start w:val="1"/>
      <w:numFmt w:val="bullet"/>
      <w:lvlText w:val="•"/>
      <w:lvlJc w:val="left"/>
      <w:pPr>
        <w:tabs>
          <w:tab w:val="num" w:pos="2160"/>
        </w:tabs>
        <w:ind w:left="2160" w:hanging="360"/>
      </w:pPr>
      <w:rPr>
        <w:rFonts w:ascii="Arial" w:hAnsi="Arial" w:hint="default"/>
      </w:rPr>
    </w:lvl>
    <w:lvl w:ilvl="3" w:tplc="A44C86A0" w:tentative="1">
      <w:start w:val="1"/>
      <w:numFmt w:val="bullet"/>
      <w:lvlText w:val="•"/>
      <w:lvlJc w:val="left"/>
      <w:pPr>
        <w:tabs>
          <w:tab w:val="num" w:pos="2880"/>
        </w:tabs>
        <w:ind w:left="2880" w:hanging="360"/>
      </w:pPr>
      <w:rPr>
        <w:rFonts w:ascii="Arial" w:hAnsi="Arial" w:hint="default"/>
      </w:rPr>
    </w:lvl>
    <w:lvl w:ilvl="4" w:tplc="358A3FC6" w:tentative="1">
      <w:start w:val="1"/>
      <w:numFmt w:val="bullet"/>
      <w:lvlText w:val="•"/>
      <w:lvlJc w:val="left"/>
      <w:pPr>
        <w:tabs>
          <w:tab w:val="num" w:pos="3600"/>
        </w:tabs>
        <w:ind w:left="3600" w:hanging="360"/>
      </w:pPr>
      <w:rPr>
        <w:rFonts w:ascii="Arial" w:hAnsi="Arial" w:hint="default"/>
      </w:rPr>
    </w:lvl>
    <w:lvl w:ilvl="5" w:tplc="1E921B40" w:tentative="1">
      <w:start w:val="1"/>
      <w:numFmt w:val="bullet"/>
      <w:lvlText w:val="•"/>
      <w:lvlJc w:val="left"/>
      <w:pPr>
        <w:tabs>
          <w:tab w:val="num" w:pos="4320"/>
        </w:tabs>
        <w:ind w:left="4320" w:hanging="360"/>
      </w:pPr>
      <w:rPr>
        <w:rFonts w:ascii="Arial" w:hAnsi="Arial" w:hint="default"/>
      </w:rPr>
    </w:lvl>
    <w:lvl w:ilvl="6" w:tplc="E38C3026" w:tentative="1">
      <w:start w:val="1"/>
      <w:numFmt w:val="bullet"/>
      <w:lvlText w:val="•"/>
      <w:lvlJc w:val="left"/>
      <w:pPr>
        <w:tabs>
          <w:tab w:val="num" w:pos="5040"/>
        </w:tabs>
        <w:ind w:left="5040" w:hanging="360"/>
      </w:pPr>
      <w:rPr>
        <w:rFonts w:ascii="Arial" w:hAnsi="Arial" w:hint="default"/>
      </w:rPr>
    </w:lvl>
    <w:lvl w:ilvl="7" w:tplc="9F2A8DFC" w:tentative="1">
      <w:start w:val="1"/>
      <w:numFmt w:val="bullet"/>
      <w:lvlText w:val="•"/>
      <w:lvlJc w:val="left"/>
      <w:pPr>
        <w:tabs>
          <w:tab w:val="num" w:pos="5760"/>
        </w:tabs>
        <w:ind w:left="5760" w:hanging="360"/>
      </w:pPr>
      <w:rPr>
        <w:rFonts w:ascii="Arial" w:hAnsi="Arial" w:hint="default"/>
      </w:rPr>
    </w:lvl>
    <w:lvl w:ilvl="8" w:tplc="8B1EA4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2A42B4"/>
    <w:multiLevelType w:val="hybridMultilevel"/>
    <w:tmpl w:val="5DECAB10"/>
    <w:lvl w:ilvl="0" w:tplc="0CC66E60">
      <w:start w:val="1"/>
      <w:numFmt w:val="bullet"/>
      <w:lvlText w:val="•"/>
      <w:lvlJc w:val="left"/>
      <w:pPr>
        <w:tabs>
          <w:tab w:val="num" w:pos="720"/>
        </w:tabs>
        <w:ind w:left="720" w:hanging="360"/>
      </w:pPr>
      <w:rPr>
        <w:rFonts w:ascii="Arial" w:hAnsi="Arial" w:hint="default"/>
      </w:rPr>
    </w:lvl>
    <w:lvl w:ilvl="1" w:tplc="FC029152" w:tentative="1">
      <w:start w:val="1"/>
      <w:numFmt w:val="bullet"/>
      <w:lvlText w:val="•"/>
      <w:lvlJc w:val="left"/>
      <w:pPr>
        <w:tabs>
          <w:tab w:val="num" w:pos="1440"/>
        </w:tabs>
        <w:ind w:left="1440" w:hanging="360"/>
      </w:pPr>
      <w:rPr>
        <w:rFonts w:ascii="Arial" w:hAnsi="Arial" w:hint="default"/>
      </w:rPr>
    </w:lvl>
    <w:lvl w:ilvl="2" w:tplc="9184E866" w:tentative="1">
      <w:start w:val="1"/>
      <w:numFmt w:val="bullet"/>
      <w:lvlText w:val="•"/>
      <w:lvlJc w:val="left"/>
      <w:pPr>
        <w:tabs>
          <w:tab w:val="num" w:pos="2160"/>
        </w:tabs>
        <w:ind w:left="2160" w:hanging="360"/>
      </w:pPr>
      <w:rPr>
        <w:rFonts w:ascii="Arial" w:hAnsi="Arial" w:hint="default"/>
      </w:rPr>
    </w:lvl>
    <w:lvl w:ilvl="3" w:tplc="46BE71B4" w:tentative="1">
      <w:start w:val="1"/>
      <w:numFmt w:val="bullet"/>
      <w:lvlText w:val="•"/>
      <w:lvlJc w:val="left"/>
      <w:pPr>
        <w:tabs>
          <w:tab w:val="num" w:pos="2880"/>
        </w:tabs>
        <w:ind w:left="2880" w:hanging="360"/>
      </w:pPr>
      <w:rPr>
        <w:rFonts w:ascii="Arial" w:hAnsi="Arial" w:hint="default"/>
      </w:rPr>
    </w:lvl>
    <w:lvl w:ilvl="4" w:tplc="6164A1DE" w:tentative="1">
      <w:start w:val="1"/>
      <w:numFmt w:val="bullet"/>
      <w:lvlText w:val="•"/>
      <w:lvlJc w:val="left"/>
      <w:pPr>
        <w:tabs>
          <w:tab w:val="num" w:pos="3600"/>
        </w:tabs>
        <w:ind w:left="3600" w:hanging="360"/>
      </w:pPr>
      <w:rPr>
        <w:rFonts w:ascii="Arial" w:hAnsi="Arial" w:hint="default"/>
      </w:rPr>
    </w:lvl>
    <w:lvl w:ilvl="5" w:tplc="2F8C7098" w:tentative="1">
      <w:start w:val="1"/>
      <w:numFmt w:val="bullet"/>
      <w:lvlText w:val="•"/>
      <w:lvlJc w:val="left"/>
      <w:pPr>
        <w:tabs>
          <w:tab w:val="num" w:pos="4320"/>
        </w:tabs>
        <w:ind w:left="4320" w:hanging="360"/>
      </w:pPr>
      <w:rPr>
        <w:rFonts w:ascii="Arial" w:hAnsi="Arial" w:hint="default"/>
      </w:rPr>
    </w:lvl>
    <w:lvl w:ilvl="6" w:tplc="1AA8FEB6" w:tentative="1">
      <w:start w:val="1"/>
      <w:numFmt w:val="bullet"/>
      <w:lvlText w:val="•"/>
      <w:lvlJc w:val="left"/>
      <w:pPr>
        <w:tabs>
          <w:tab w:val="num" w:pos="5040"/>
        </w:tabs>
        <w:ind w:left="5040" w:hanging="360"/>
      </w:pPr>
      <w:rPr>
        <w:rFonts w:ascii="Arial" w:hAnsi="Arial" w:hint="default"/>
      </w:rPr>
    </w:lvl>
    <w:lvl w:ilvl="7" w:tplc="0EC8894C" w:tentative="1">
      <w:start w:val="1"/>
      <w:numFmt w:val="bullet"/>
      <w:lvlText w:val="•"/>
      <w:lvlJc w:val="left"/>
      <w:pPr>
        <w:tabs>
          <w:tab w:val="num" w:pos="5760"/>
        </w:tabs>
        <w:ind w:left="5760" w:hanging="360"/>
      </w:pPr>
      <w:rPr>
        <w:rFonts w:ascii="Arial" w:hAnsi="Arial" w:hint="default"/>
      </w:rPr>
    </w:lvl>
    <w:lvl w:ilvl="8" w:tplc="93CA1CE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D52"/>
    <w:rsid w:val="000611A5"/>
    <w:rsid w:val="000767E0"/>
    <w:rsid w:val="000A34BD"/>
    <w:rsid w:val="000B3BC7"/>
    <w:rsid w:val="000B44C2"/>
    <w:rsid w:val="001A63C1"/>
    <w:rsid w:val="00207054"/>
    <w:rsid w:val="002234E3"/>
    <w:rsid w:val="00287D52"/>
    <w:rsid w:val="002B0AB7"/>
    <w:rsid w:val="003069B9"/>
    <w:rsid w:val="00336091"/>
    <w:rsid w:val="0039144C"/>
    <w:rsid w:val="0039391D"/>
    <w:rsid w:val="003C2899"/>
    <w:rsid w:val="00420C94"/>
    <w:rsid w:val="00484B3E"/>
    <w:rsid w:val="004C1289"/>
    <w:rsid w:val="00501E01"/>
    <w:rsid w:val="00585F12"/>
    <w:rsid w:val="00587976"/>
    <w:rsid w:val="005D2D0F"/>
    <w:rsid w:val="005D36B6"/>
    <w:rsid w:val="005D5B85"/>
    <w:rsid w:val="005D662A"/>
    <w:rsid w:val="006F0B54"/>
    <w:rsid w:val="00720676"/>
    <w:rsid w:val="00746CD1"/>
    <w:rsid w:val="00792CB5"/>
    <w:rsid w:val="00802049"/>
    <w:rsid w:val="00816846"/>
    <w:rsid w:val="00832534"/>
    <w:rsid w:val="00837847"/>
    <w:rsid w:val="00860658"/>
    <w:rsid w:val="0087747D"/>
    <w:rsid w:val="008F1D87"/>
    <w:rsid w:val="00925D75"/>
    <w:rsid w:val="0094022C"/>
    <w:rsid w:val="009B7D6D"/>
    <w:rsid w:val="009D228A"/>
    <w:rsid w:val="009F1C19"/>
    <w:rsid w:val="00A14FCF"/>
    <w:rsid w:val="00A63618"/>
    <w:rsid w:val="00AE34F4"/>
    <w:rsid w:val="00B555B3"/>
    <w:rsid w:val="00B772D4"/>
    <w:rsid w:val="00C02E6A"/>
    <w:rsid w:val="00C14DD2"/>
    <w:rsid w:val="00C30480"/>
    <w:rsid w:val="00C346FB"/>
    <w:rsid w:val="00C57EA7"/>
    <w:rsid w:val="00C82196"/>
    <w:rsid w:val="00CA66C0"/>
    <w:rsid w:val="00CA7E43"/>
    <w:rsid w:val="00CB2DCC"/>
    <w:rsid w:val="00CE51B1"/>
    <w:rsid w:val="00D20C13"/>
    <w:rsid w:val="00D22ED2"/>
    <w:rsid w:val="00D30167"/>
    <w:rsid w:val="00D34330"/>
    <w:rsid w:val="00D60F49"/>
    <w:rsid w:val="00E00E72"/>
    <w:rsid w:val="00E57B30"/>
    <w:rsid w:val="00ED5645"/>
    <w:rsid w:val="00F014C2"/>
    <w:rsid w:val="00F10B6A"/>
    <w:rsid w:val="00F41716"/>
    <w:rsid w:val="00F73709"/>
    <w:rsid w:val="00F74936"/>
    <w:rsid w:val="00F74F55"/>
    <w:rsid w:val="00F76184"/>
    <w:rsid w:val="00FB4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4FED7"/>
  <w15:chartTrackingRefBased/>
  <w15:docId w15:val="{03595257-20C1-48F9-B6AC-D463C557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52"/>
  </w:style>
  <w:style w:type="paragraph" w:styleId="Heading1">
    <w:name w:val="heading 1"/>
    <w:basedOn w:val="Normal"/>
    <w:next w:val="Normal"/>
    <w:link w:val="Heading1Char"/>
    <w:uiPriority w:val="9"/>
    <w:qFormat/>
    <w:rsid w:val="00287D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87D52"/>
    <w:rPr>
      <w:sz w:val="16"/>
      <w:szCs w:val="16"/>
    </w:rPr>
  </w:style>
  <w:style w:type="paragraph" w:styleId="CommentText">
    <w:name w:val="annotation text"/>
    <w:basedOn w:val="Normal"/>
    <w:link w:val="CommentTextChar"/>
    <w:uiPriority w:val="99"/>
    <w:unhideWhenUsed/>
    <w:rsid w:val="00287D52"/>
    <w:pPr>
      <w:spacing w:line="240" w:lineRule="auto"/>
    </w:pPr>
    <w:rPr>
      <w:sz w:val="20"/>
      <w:szCs w:val="20"/>
    </w:rPr>
  </w:style>
  <w:style w:type="character" w:customStyle="1" w:styleId="CommentTextChar">
    <w:name w:val="Comment Text Char"/>
    <w:basedOn w:val="DefaultParagraphFont"/>
    <w:link w:val="CommentText"/>
    <w:uiPriority w:val="99"/>
    <w:rsid w:val="00287D52"/>
    <w:rPr>
      <w:sz w:val="20"/>
      <w:szCs w:val="20"/>
    </w:rPr>
  </w:style>
  <w:style w:type="character" w:customStyle="1" w:styleId="Heading1Char">
    <w:name w:val="Heading 1 Char"/>
    <w:basedOn w:val="DefaultParagraphFont"/>
    <w:link w:val="Heading1"/>
    <w:uiPriority w:val="9"/>
    <w:rsid w:val="00287D5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87D52"/>
    <w:rPr>
      <w:rFonts w:ascii="Times New Roman" w:hAnsi="Times New Roman" w:cs="Times New Roman"/>
      <w:sz w:val="24"/>
      <w:szCs w:val="24"/>
    </w:rPr>
  </w:style>
  <w:style w:type="paragraph" w:styleId="ListParagraph">
    <w:name w:val="List Paragraph"/>
    <w:basedOn w:val="Normal"/>
    <w:uiPriority w:val="34"/>
    <w:qFormat/>
    <w:rsid w:val="00287D52"/>
    <w:pPr>
      <w:ind w:left="720"/>
      <w:contextualSpacing/>
    </w:pPr>
  </w:style>
  <w:style w:type="character" w:styleId="Hyperlink">
    <w:name w:val="Hyperlink"/>
    <w:basedOn w:val="DefaultParagraphFont"/>
    <w:uiPriority w:val="99"/>
    <w:unhideWhenUsed/>
    <w:rsid w:val="00287D52"/>
    <w:rPr>
      <w:color w:val="0563C1" w:themeColor="hyperlink"/>
      <w:u w:val="single"/>
    </w:rPr>
  </w:style>
  <w:style w:type="character" w:styleId="UnresolvedMention">
    <w:name w:val="Unresolved Mention"/>
    <w:basedOn w:val="DefaultParagraphFont"/>
    <w:uiPriority w:val="99"/>
    <w:semiHidden/>
    <w:unhideWhenUsed/>
    <w:rsid w:val="00287D52"/>
    <w:rPr>
      <w:color w:val="605E5C"/>
      <w:shd w:val="clear" w:color="auto" w:fill="E1DFDD"/>
    </w:rPr>
  </w:style>
  <w:style w:type="character" w:styleId="Strong">
    <w:name w:val="Strong"/>
    <w:basedOn w:val="DefaultParagraphFont"/>
    <w:uiPriority w:val="22"/>
    <w:qFormat/>
    <w:rsid w:val="00287D52"/>
    <w:rPr>
      <w:b/>
      <w:bCs/>
    </w:rPr>
  </w:style>
  <w:style w:type="paragraph" w:styleId="Bibliography">
    <w:name w:val="Bibliography"/>
    <w:basedOn w:val="Normal"/>
    <w:next w:val="Normal"/>
    <w:uiPriority w:val="37"/>
    <w:unhideWhenUsed/>
    <w:rsid w:val="00287D52"/>
  </w:style>
  <w:style w:type="paragraph" w:styleId="CommentSubject">
    <w:name w:val="annotation subject"/>
    <w:basedOn w:val="CommentText"/>
    <w:next w:val="CommentText"/>
    <w:link w:val="CommentSubjectChar"/>
    <w:uiPriority w:val="99"/>
    <w:semiHidden/>
    <w:unhideWhenUsed/>
    <w:rsid w:val="00287D52"/>
    <w:rPr>
      <w:b/>
      <w:bCs/>
    </w:rPr>
  </w:style>
  <w:style w:type="character" w:customStyle="1" w:styleId="CommentSubjectChar">
    <w:name w:val="Comment Subject Char"/>
    <w:basedOn w:val="CommentTextChar"/>
    <w:link w:val="CommentSubject"/>
    <w:uiPriority w:val="99"/>
    <w:semiHidden/>
    <w:rsid w:val="00287D52"/>
    <w:rPr>
      <w:b/>
      <w:bCs/>
      <w:sz w:val="20"/>
      <w:szCs w:val="20"/>
    </w:rPr>
  </w:style>
  <w:style w:type="paragraph" w:styleId="Revision">
    <w:name w:val="Revision"/>
    <w:hidden/>
    <w:uiPriority w:val="99"/>
    <w:semiHidden/>
    <w:rsid w:val="00287D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reader/content/1762789429f/10.1177/1477370818764835/format/epub/EPUB/xhtml/index.x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hoolBeat.cy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constitution-unit.com/2022/06/18/the-1997-labour-governments-constitutional-reform-programme-25-years-on/" TargetMode="External"/><Relationship Id="rId4" Type="http://schemas.openxmlformats.org/officeDocument/2006/relationships/settings" Target="settings.xml"/><Relationship Id="rId9" Type="http://schemas.openxmlformats.org/officeDocument/2006/relationships/hyperlink" Target="https://journals-sagepub-com.ezproxy.uwtsd.ac.uk/reader/content/1762789429f/10.1177/1477370818764835/format/epub/EPUB/xhtml/index.x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Wes16</b:Tag>
    <b:SourceType>JournalArticle</b:SourceType>
    <b:Guid>{F158959B-B023-4691-B8E2-E82E715B21B8}</b:Guid>
    <b:Title>Governance of policing and cultural codes:</b:Title>
    <b:Year>2016</b:Year>
    <b:Publisher>Informa UK Ltd</b:Publisher>
    <b:Author>
      <b:Author>
        <b:NameList>
          <b:Person>
            <b:Last>Westmarland</b:Last>
            <b:First>Louise</b:First>
          </b:Person>
        </b:NameList>
      </b:Author>
    </b:Author>
    <b:JournalName>Global Crime</b:JournalName>
    <b:Pages>352-369,</b:Pages>
    <b:LCID>en-GB</b:LCID>
    <b:Issue>3-4</b:Issue>
    <b:DOI>https://doi.org/10.1080/17440572.2016.1179630</b:DOI>
    <b:Volume>17</b:Volume>
    <b:RefOrder>1</b:RefOrder>
  </b:Source>
  <b:Source>
    <b:Tag>Bar22</b:Tag>
    <b:SourceType>Report</b:SourceType>
    <b:Guid>{41CEACBC-087E-4E26-B1E4-2F7B87A0BEB2}</b:Guid>
    <b:Author>
      <b:Author>
        <b:NameList>
          <b:Person>
            <b:Last>Barbour</b:Last>
            <b:First>Michael</b:First>
          </b:Person>
        </b:NameList>
      </b:Author>
    </b:Author>
    <b:Title>A NEW MODE OF PROTECTION: Redesigning policing and public Safety for the 21st Century</b:Title>
    <b:Year>2022</b:Year>
    <b:Pages>194</b:Pages>
    <b:City>London</b:City>
    <b:Publisher>The Police Foundation</b:Publisher>
    <b:URL>file:///C:/Users/swp54722/OneDrive%20-%20South%20Wales%20Police/Documents/MSC%20Module%204/srpew_final_report.pdf</b:URL>
    <b:RefOrder>2</b:RefOrder>
  </b:Source>
  <b:Source>
    <b:Tag>Bev10</b:Tag>
    <b:SourceType>JournalArticle</b:SourceType>
    <b:Guid>{3E94502E-1655-47C5-909F-79D86CC0B9AA}</b:Guid>
    <b:Author>
      <b:Author>
        <b:NameList>
          <b:Person>
            <b:Last>Bevir</b:Last>
            <b:First>M.</b:First>
          </b:Person>
        </b:NameList>
      </b:Author>
    </b:Author>
    <b:Title>Democratic Governance.</b:Title>
    <b:Year>2010</b:Year>
    <b:Publisher>Princeton University Press.</b:Publisher>
    <b:JournalName>Princeton University Press.</b:JournalName>
    <b:Pages>320</b:Pages>
    <b:URL>http://www.jstor.org/stable/j.ctt7sxxb</b:URL>
    <b:YearAccessed>2022</b:YearAccessed>
    <b:MonthAccessed>October</b:MonthAccessed>
    <b:DayAccessed>31</b:DayAccessed>
    <b:RefOrder>3</b:RefOrder>
  </b:Source>
  <b:Source>
    <b:Tag>Vym07</b:Tag>
    <b:SourceType>JournalArticle</b:SourceType>
    <b:Guid>{7D67EBF1-5898-480A-A6CE-916FD378B0B2}</b:Guid>
    <b:Author>
      <b:Author>
        <b:NameList>
          <b:Person>
            <b:Last>Vymětal</b:Last>
            <b:First>Petr.</b:First>
          </b:Person>
        </b:NameList>
      </b:Author>
    </b:Author>
    <b:Title>Governance: defining the concept</b:Title>
    <b:JournalName> Working Papers Fakulty mezinárodních vztahů.</b:JournalName>
    <b:Year>2007</b:Year>
    <b:Pages>5-16</b:Pages>
    <b:Volume>1</b:Volume>
    <b:YearAccessed>2022</b:YearAccessed>
    <b:MonthAccessed>October</b:MonthAccessed>
    <b:DayAccessed>31</b:DayAccessed>
    <b:URL>file:///C:/Users/swp54722/Downloads/1_2007.pdf</b:URL>
    <b:RefOrder>4</b:RefOrder>
  </b:Source>
  <b:Source>
    <b:Tag>Plu99</b:Tag>
    <b:SourceType>JournalArticle</b:SourceType>
    <b:Guid>{A560EFA1-E9AC-4651-A488-732328396AF0}</b:Guid>
    <b:Author>
      <b:Author>
        <b:NameList>
          <b:Person>
            <b:Last>Plumptre</b:Last>
            <b:First>T.</b:First>
          </b:Person>
          <b:Person>
            <b:Last>Graham</b:Last>
            <b:First>J.</b:First>
          </b:Person>
        </b:NameList>
      </b:Author>
    </b:Author>
    <b:Title>Governance and Good Governance:</b:Title>
    <b:JournalName>Institure on Governance</b:JournalName>
    <b:Year>1999</b:Year>
    <b:Pages>1-27</b:Pages>
    <b:URL>https://www.files.ethz.ch/isn/122184/govgoodgov.pdf</b:URL>
    <b:RefOrder>5</b:RefOrder>
  </b:Source>
  <b:Source>
    <b:Tag>Fre99</b:Tag>
    <b:SourceType>ConferenceProceedings</b:SourceType>
    <b:Guid>{12C7292E-8638-44C4-957F-882CC1031323}</b:Guid>
    <b:Title>Good Governance Crucial in Global Struggle For Development and Peace</b:Title>
    <b:Year>1999</b:Year>
    <b:City>Manilla</b:City>
    <b:Publisher>United Nations</b:Publisher>
    <b:Author>
      <b:Author>
        <b:NameList>
          <b:Person>
            <b:Last>Frechette</b:Last>
            <b:First>Louise</b:First>
          </b:Person>
        </b:NameList>
      </b:Author>
    </b:Author>
    <b:URL>https://press.un.org/en/1999/19990528.DSGSM53.html</b:URL>
    <b:YearAccessed>2022</b:YearAccessed>
    <b:MonthAccessed>October</b:MonthAccessed>
    <b:DayAccessed>31</b:DayAccessed>
    <b:RefOrder>6</b:RefOrder>
  </b:Source>
  <b:Source>
    <b:Tag>Lov18</b:Tag>
    <b:SourceType>JournalArticle</b:SourceType>
    <b:Guid>{10A23A49-EDC6-4AEE-A513-C6670F3126E1}</b:Guid>
    <b:Author>
      <b:Author>
        <b:NameList>
          <b:Person>
            <b:Last>Loveday</b:Last>
          </b:Person>
        </b:NameList>
      </b:Author>
    </b:Author>
    <b:Title>Police Scotland: challenging the current democratic deficit in police governance and public accountability</b:Title>
    <b:Pages>154–167</b:Pages>
    <b:Year>2018</b:Year>
    <b:Volume>20</b:Volume>
    <b:Issue>3</b:Issue>
    <b:DOI>https://doi.org/10.1057/s41300-018-0044-9</b:DOI>
    <b:JournalName>Crime Prevention and Community Safety</b:JournalName>
    <b:RefOrder>7</b:RefOrder>
  </b:Source>
  <b:Source>
    <b:Tag>Row20</b:Tag>
    <b:SourceType>Book</b:SourceType>
    <b:Guid>{1D6252D7-0233-4F29-B1E9-1948A8173E13}</b:Guid>
    <b:Author>
      <b:Author>
        <b:NameList>
          <b:Person>
            <b:Last>Rowe</b:Last>
            <b:First>M</b:First>
          </b:Person>
        </b:NameList>
      </b:Author>
    </b:Author>
    <b:Title>Policing the police:changes of democracy and accountability</b:Title>
    <b:Year>2020</b:Year>
    <b:Pages>1-174</b:Pages>
    <b:Publisher>Policy Press</b:Publisher>
    <b:Edition>11</b:Edition>
    <b:RefOrder>8</b:RefOrder>
  </b:Source>
  <b:Source>
    <b:Tag>Rom85</b:Tag>
    <b:SourceType>JournalArticle</b:SourceType>
    <b:Guid>{C594E015-F90C-4632-AF18-9CEE9CAAEA1A}</b:Guid>
    <b:Author>
      <b:Author>
        <b:Corporate> Romzek  and Dubnick</b:Corporate>
      </b:Author>
    </b:Author>
    <b:Title>Accountability in the Public Sector: Lessons from the Challenger Tradegy</b:Title>
    <b:Year>1985</b:Year>
    <b:Publisher>Wiley</b:Publisher>
    <b:JournalName>Public Administration Review</b:JournalName>
    <b:Pages>227-238</b:Pages>
    <b:Volume>47</b:Volume>
    <b:Issue>3</b:Issue>
    <b:YearAccessed>2022</b:YearAccessed>
    <b:MonthAccessed>nov</b:MonthAccessed>
    <b:DayAccessed>1</b:DayAccessed>
    <b:DOI>https://doi.org/10.2307/975901</b:DOI>
    <b:RefOrder>9</b:RefOrder>
  </b:Source>
  <b:Source>
    <b:Tag>Rei85</b:Tag>
    <b:SourceType>JournalArticle</b:SourceType>
    <b:Guid>{C4A6C398-C287-4C04-9D4E-5CCC31D52C0F}</b:Guid>
    <b:Author>
      <b:Author>
        <b:NameList>
          <b:Person>
            <b:Last>Reiner</b:Last>
            <b:First>R</b:First>
          </b:Person>
        </b:NameList>
      </b:Author>
    </b:Author>
    <b:Title>Review of Controlling the Constable: Police Accountability in England and Wales, by T. Jefferson and R. Grimshaw</b:Title>
    <b:JournalName>The British Journal of Criminology, </b:JournalName>
    <b:Year>1985</b:Year>
    <b:Pages>296-298</b:Pages>
    <b:Volume>25</b:Volume>
    <b:Issue>3</b:Issue>
    <b:YearAccessed>2022</b:YearAccessed>
    <b:MonthAccessed>november</b:MonthAccessed>
    <b:DayAccessed>1</b:DayAccessed>
    <b:URL>www.jstor.org/stable/23636909</b:URL>
    <b:RefOrder>10</b:RefOrder>
  </b:Source>
  <b:Source>
    <b:Tag>Rei851</b:Tag>
    <b:SourceType>JournalArticle</b:SourceType>
    <b:Guid>{2731DEB5-1810-4FC4-92F7-0D704AD3D793}</b:Guid>
    <b:Author>
      <b:Author>
        <b:NameList>
          <b:Person>
            <b:Last>Reiner</b:Last>
            <b:First>R</b:First>
          </b:Person>
        </b:NameList>
      </b:Author>
    </b:Author>
    <b:Title>A Watershed in Policing</b:Title>
    <b:JournalName>The Political Quarterly</b:JournalName>
    <b:Year>1985</b:Year>
    <b:Pages>122-131</b:Pages>
    <b:Volume>56</b:Volume>
    <b:Issue>2</b:Issue>
    <b:DOI>https://doi.org/10.1111/j.1467-923X.1985.tb02344.x</b:DOI>
    <b:RefOrder>11</b:RefOrder>
  </b:Source>
  <b:Source>
    <b:Tag>Cad02</b:Tag>
    <b:SourceType>Book</b:SourceType>
    <b:Guid>{5BDCAA3C-33AE-477B-A9F4-84E041BE938A}</b:Guid>
    <b:Author>
      <b:Author>
        <b:NameList>
          <b:Person>
            <b:Last>Cadbury</b:Last>
          </b:Person>
        </b:NameList>
      </b:Author>
    </b:Author>
    <b:Title>Corporate governance and chairmanship : a personal view.</b:Title>
    <b:Year>2002</b:Year>
    <b:Publisher> Oxford University Press</b:Publisher>
    <b:RefOrder>12</b:RefOrder>
  </b:Source>
  <b:Source>
    <b:Tag>Osb92</b:Tag>
    <b:SourceType>Book</b:SourceType>
    <b:Guid>{1E79503D-30A4-4E69-B0D0-2D7C0FA87234}</b:Guid>
    <b:Author>
      <b:Author>
        <b:NameList>
          <b:Person>
            <b:Last>Osborne</b:Last>
            <b:First>D</b:First>
            <b:Middle>and Gaebler, Reading,</b:Middle>
          </b:Person>
        </b:NameList>
      </b:Author>
    </b:Author>
    <b:Title>Reinventing Government: How the entrepreneurial spirit is transforming the public sector.</b:Title>
    <b:Year>1992</b:Year>
    <b:City>Reading</b:City>
    <b:Publisher>Addison-Wellesley</b:Publisher>
    <b:RefOrder>13</b:RefOrder>
  </b:Source>
  <b:Source>
    <b:Tag>Cou22</b:Tag>
    <b:SourceType>ElectronicSource</b:SourceType>
    <b:Guid>{E591FEB0-BD67-412A-A38B-C95D8923C7AD}</b:Guid>
    <b:Title>The European Label of Governace Escellence</b:Title>
    <b:Author>
      <b:Author>
        <b:Corporate>Council of Europe</b:Corporate>
      </b:Author>
    </b:Author>
    <b:YearAccessed>2022</b:YearAccessed>
    <b:MonthAccessed>November</b:MonthAccessed>
    <b:DayAccessed>25</b:DayAccessed>
    <b:URL>https://www.coe.int/en/web/good-governance/eloge </b:URL>
    <b:RefOrder>14</b:RefOrder>
  </b:Source>
  <b:Source>
    <b:Tag>Qui11</b:Tag>
    <b:SourceType>Book</b:SourceType>
    <b:Guid>{37DF49F8-65AD-4D28-BD0F-73DE807782CD}</b:Guid>
    <b:Author>
      <b:Author>
        <b:NameList>
          <b:Person>
            <b:Last>Quirk</b:Last>
            <b:First>B.</b:First>
          </b:Person>
        </b:NameList>
      </b:Author>
    </b:Author>
    <b:Title>Re-imagining Government: public leadership and management in challenging times. Basingstoke: Palgrave Macmillan</b:Title>
    <b:City>Basingstoke:</b:City>
    <b:Year>2011</b:Year>
    <b:Publisher>Palgrave Macmillan</b:Publisher>
    <b:RefOrder>15</b:RefOrder>
  </b:Source>
  <b:Source>
    <b:Tag>Loe16</b:Tag>
    <b:SourceType>Book</b:SourceType>
    <b:Guid>{F9C7F102-633C-47AC-99F5-D498D93500D3}</b:Guid>
    <b:Author>
      <b:Author>
        <b:NameList>
          <b:Person>
            <b:Last>Loeffler</b:Last>
            <b:First>E</b:First>
          </b:Person>
        </b:NameList>
      </b:Author>
    </b:Author>
    <b:Title>Public Governance in a Network Society,  Public Management and Governance in Bovaird, T. and Loeffler (eds)</b:Title>
    <b:Year>2016</b:Year>
    <b:City>Abingdon</b:City>
    <b:Publisher>Routledge</b:Publisher>
    <b:Edition>3</b:Edition>
    <b:RefOrder>16</b:RefOrder>
  </b:Source>
  <b:Source>
    <b:Tag>Fre84</b:Tag>
    <b:SourceType>Book</b:SourceType>
    <b:Guid>{BD117965-4845-442B-A970-9A749F278958}</b:Guid>
    <b:Author>
      <b:Author>
        <b:NameList>
          <b:Person>
            <b:Last>Freeman</b:Last>
            <b:First>R.</b:First>
            <b:Middle>E. Strategic Management: A Stakeholder Approach. .</b:Middle>
          </b:Person>
        </b:NameList>
      </b:Author>
    </b:Author>
    <b:Title>Strategic Management: A Stakeholder Approach.</b:Title>
    <b:Year>1984</b:Year>
    <b:City>Boston (MA)</b:City>
    <b:Publisher>Pitman</b:Publisher>
    <b:RefOrder>17</b:RefOrder>
  </b:Source>
  <b:Source>
    <b:Tag>Fra90</b:Tag>
    <b:SourceType>JournalArticle</b:SourceType>
    <b:Guid>{788F9B71-6A57-42CC-85CC-A0C95F935740}</b:Guid>
    <b:Author>
      <b:Author>
        <b:NameList>
          <b:Person>
            <b:Last>Fraser</b:Last>
            <b:First>Nancy</b:First>
            <b:Middle>25/26,</b:Middle>
          </b:Person>
        </b:NameList>
      </b:Author>
    </b:Author>
    <b:Title>Rethinking the Public Sphere: A Contribution to the Critique of Actually Existing Democracy.</b:Title>
    <b:Year>1990</b:Year>
    <b:JournalName>Social Text,</b:JournalName>
    <b:Pages>pp. 56–80.</b:Pages>
    <b:Volume>26/27</b:Volume>
    <b:DOI>https://doi.org/10.2307/466240</b:DOI>
    <b:RefOrder>18</b:RefOrder>
  </b:Source>
  <b:Source>
    <b:Tag>Mit97</b:Tag>
    <b:SourceType>JournalArticle</b:SourceType>
    <b:Guid>{C5606C0F-5277-40CF-9830-262460E440CF}</b:Guid>
    <b:Author>
      <b:Author>
        <b:Corporate>Mitchell, R. K., Agle, B. R., &amp; Wood, D. J.</b:Corporate>
      </b:Author>
    </b:Author>
    <b:Title>Toward a Theory of Stakeholder Identification and Salience: Defining the Principle of Who and What Really Counts’</b:Title>
    <b:JournalName>The Academy of Management Review</b:JournalName>
    <b:Year>1997</b:Year>
    <b:Pages>853–886</b:Pages>
    <b:Volume>22</b:Volume>
    <b:Issue>4</b:Issue>
    <b:DOI>https://doi.org/10.2</b:DOI>
    <b:RefOrder>19</b:RefOrder>
  </b:Source>
  <b:Source>
    <b:Tag>Bry04</b:Tag>
    <b:SourceType>JournalArticle</b:SourceType>
    <b:Guid>{4F71DE07-D2CD-46F9-BAFC-914B8AFB639A}</b:Guid>
    <b:Author>
      <b:Author>
        <b:NameList>
          <b:Person>
            <b:Last>Bryson</b:Last>
            <b:First>John</b:First>
            <b:Middle>M. 6 (1) 2004London: Routledge.</b:Middle>
          </b:Person>
        </b:NameList>
      </b:Author>
    </b:Author>
    <b:Title>‘What to do when stakeholders matter: stakeholder identification and analysis techniques</b:Title>
    <b:JournalName>Public Management Review</b:JournalName>
    <b:Year>2004</b:Year>
    <b:Pages>21–53</b:Pages>
    <b:Volume>6</b:Volume>
    <b:Issue>1</b:Issue>
    <b:YearAccessed>2022</b:YearAccessed>
    <b:MonthAccessed>November</b:MonthAccessed>
    <b:DayAccessed>24</b:DayAccessed>
    <b:RefOrder>20</b:RefOrder>
  </b:Source>
  <b:Source>
    <b:Tag>She98</b:Tag>
    <b:SourceType>JournalArticle</b:SourceType>
    <b:Guid>{6327A92F-5B6C-46A5-955D-89521928D355}</b:Guid>
    <b:Author>
      <b:Author>
        <b:NameList>
          <b:Person>
            <b:Last>Sherman</b:Last>
            <b:First>Lawrence</b:First>
            <b:Middle>W.</b:Middle>
          </b:Person>
        </b:NameList>
      </b:Author>
    </b:Author>
    <b:Title>Evidence Based Policing. Ideas in American Policing</b:Title>
    <b:JournalName>Police Foundation</b:JournalName>
    <b:Year>1998</b:Year>
    <b:Pages>1-16</b:Pages>
    <b:Month>november</b:Month>
    <b:Day>29</b:Day>
    <b:RefOrder>21</b:RefOrder>
  </b:Source>
  <b:Source>
    <b:Tag>Gov12</b:Tag>
    <b:SourceType>JournalArticle</b:SourceType>
    <b:Guid>{0A1B0129-C2F7-4D07-A4CC-B118EBCC4C2F}</b:Guid>
    <b:Author>
      <b:Author>
        <b:Corporate>Government Office for Science</b:Corporate>
      </b:Author>
    </b:Author>
    <b:Title>Introduction to Systems thinking</b:Title>
    <b:JournalName>Government Operational Research Service</b:JournalName>
    <b:Year>2012</b:Year>
    <b:URL>https://assets.publishing.service.gov.uk/government/uploads/system/uploads/attachment_data/file/285442/12-1043-introduction-to-systems-thinking-gse-seminar.pdf</b:URL>
    <b:YearAccessed>2022</b:YearAccessed>
    <b:MonthAccessed>November</b:MonthAccessed>
    <b:DayAccessed>29</b:DayAccessed>
    <b:RefOrder>22</b:RefOrder>
  </b:Source>
  <b:Source>
    <b:Tag>Nat16</b:Tag>
    <b:SourceType>Report</b:SourceType>
    <b:Guid>{CE82B4A8-A810-446B-842B-843B9A59855F}</b:Guid>
    <b:Author>
      <b:Author>
        <b:Corporate>National Police Chiefs’ Council </b:Corporate>
      </b:Author>
    </b:Author>
    <b:Title>National Strategy for the Policing of Children &amp; Young People.</b:Title>
    <b:Year>2016</b:Year>
    <b:Publisher>National Police Chief's Council</b:Publisher>
    <b:YearAccessed>2022</b:YearAccessed>
    <b:MonthAccessed>November</b:MonthAccessed>
    <b:DayAccessed>30</b:DayAccessed>
    <b:URL>https://www.npcc.police.uk/documents/edhr/2015/CYP%20Strategy%202015%202017%20August%202015.pdf</b:URL>
    <b:RefOrder>23</b:RefOrder>
  </b:Source>
  <b:Source>
    <b:Tag>Jor03</b:Tag>
    <b:SourceType>Report</b:SourceType>
    <b:Guid>{3E58C42F-EB9A-42AF-9847-4727813A7E08}</b:Guid>
    <b:Author>
      <b:Author>
        <b:Corporate>Jordan A. &amp; Wurzel, R. &amp; Zito, A.</b:Corporate>
      </b:Author>
    </b:Author>
    <b:Title>as governance eclipsed govern-ment? Pattern of environmental instrument selectionand use in eight states and the EU</b:Title>
    <b:Year>2003</b:Year>
    <b:Publisher>University of East Anglia</b:Publisher>
    <b:City>Norwich</b:City>
    <b:Pages>1-30</b:Pages>
    <b:RefOrder>24</b:RefOrder>
  </b:Source>
  <b:Source>
    <b:Tag>Asa16</b:Tag>
    <b:SourceType>Report</b:SourceType>
    <b:Guid>{37862FC9-45FC-43EF-8683-D8A4CBF060EF}</b:Guid>
    <b:Author>
      <b:Author>
        <b:Corporate>Asaduzzaman, M &amp; Virtanen, P.  Governance Theories and Models.</b:Corporate>
      </b:Author>
    </b:Author>
    <b:Title>Governance Theories and Models.In book Global Encyclopedia of Public Administration, Public Policy, and Governance</b:Title>
    <b:Year>2016</b:Year>
    <b:Publisher>Springer, Cham</b:Publisher>
    <b:Pages>1-13</b:Pages>
    <b:YearAccessed>2022</b:YearAccessed>
    <b:MonthAccessed>november</b:MonthAccessed>
    <b:DayAccessed>29</b:DayAccessed>
    <b:DOI>10.1007/978-3-319-31816-5_2612-1. </b:DOI>
    <b:RefOrder>25</b:RefOrder>
  </b:Source>
  <b:Source>
    <b:Tag>Alf94</b:Tag>
    <b:SourceType>JournalArticle</b:SourceType>
    <b:Guid>{248A1A7D-DE35-4B1D-BEB5-66590BCFC599}</b:Guid>
    <b:Author>
      <b:Author>
        <b:Corporate>Alfani, M.  &amp; McCarney, P. &amp; Rodriguez, A.</b:Corporate>
      </b:Author>
    </b:Author>
    <b:Title>Towards and understanding ofgovernance: the emergency of an idea and its implica-tion for urban research in developing countries</b:Title>
    <b:Year>1994</b:Year>
    <b:Publisher>Univaersity Toronto</b:Publisher>
    <b:City>Toronto</b:City>
    <b:Pages>1-47</b:Pages>
    <b:JournalName>TheCenter for Urban and Community Studies</b:JournalName>
    <b:RefOrder>26</b:RefOrder>
  </b:Source>
  <b:Source>
    <b:Tag>Min96</b:Tag>
    <b:SourceType>JournalArticle</b:SourceType>
    <b:Guid>{B7CB5EA6-6F95-40D7-8AF6-AA2690363C09}</b:Guid>
    <b:Title>Managing government governing management</b:Title>
    <b:JournalName>Harvard Business Review</b:JournalName>
    <b:Year>1996</b:Year>
    <b:Pages>75-83</b:Pages>
    <b:Author>
      <b:Author>
        <b:NameList>
          <b:Person>
            <b:Last>Mintzberg</b:Last>
          </b:Person>
        </b:NameList>
      </b:Author>
    </b:Author>
    <b:Volume>74</b:Volume>
    <b:Issue>3</b:Issue>
    <b:YearAccessed>2022</b:YearAccessed>
    <b:MonthAccessed>november</b:MonthAccessed>
    <b:DayAccessed>28</b:DayAccessed>
    <b:URL>https://web-s-ebscohost-com.ezproxy.uwtsd.ac.uk/ehost/pdfviewer/pdfviewer?vid=1&amp;sid=ce00988d-0386-4768-bf78-a47a5b4ab75e%40redis</b:URL>
    <b:RefOrder>27</b:RefOrder>
  </b:Source>
  <b:Source>
    <b:Tag>Mui08</b:Tag>
    <b:SourceType>Report</b:SourceType>
    <b:Guid>{CE59353D-03AD-4C14-B816-16A2AD985FBE}</b:Guid>
    <b:Title>A New Beat: Options for more accountable policing</b:Title>
    <b:Year>2008</b:Year>
    <b:Author>
      <b:Author>
        <b:Corporate>Muir, R. &amp; Lodge, G.</b:Corporate>
      </b:Author>
    </b:Author>
    <b:Publisher>Institute for Public Policy Research</b:Publisher>
    <b:YearAccessed>2022</b:YearAccessed>
    <b:MonthAccessed>november</b:MonthAccessed>
    <b:DayAccessed>29</b:DayAccessed>
    <b:URL>https://www.ippr.org/files/images/media/files/publication/2011/05/a_new_beat_1644.pdf</b:URL>
    <b:RefOrder>28</b:RefOrder>
  </b:Source>
  <b:Source>
    <b:Tag>Hom22</b:Tag>
    <b:SourceType>DocumentFromInternetSite</b:SourceType>
    <b:Guid>{7FF6FCE9-5ECE-4467-B31C-90C644A93FE4}</b:Guid>
    <b:Title>Have you got what it take: Working with the Home Secretary and the Home Office</b:Title>
    <b:Year>2022</b:Year>
    <b:Author>
      <b:Author>
        <b:Corporate>Home Office</b:Corporate>
      </b:Author>
    </b:Author>
    <b:Month>november</b:Month>
    <b:Day>28</b:Day>
    <b:YearAccessed>2022</b:YearAccessed>
    <b:MonthAccessed>november</b:MonthAccessed>
    <b:DayAccessed>27</b:DayAccessed>
    <b:URL>https://assets.publishing.service.gov.uk/government/uploads/system/uploads/attachment_data/file/511452/2016_Candidate_Briefing__Working_with_the_Home_Secretary__v1.pdf</b:URL>
    <b:InternetSiteTitle>https://assets.publishing.service.gov.uk/</b:InternetSiteTitle>
    <b:RefOrder>29</b:RefOrder>
  </b:Source>
  <b:Source>
    <b:Tag>Sel08</b:Tag>
    <b:SourceType>DocumentFromInternetSite</b:SourceType>
    <b:Guid>{FF78E00D-38DC-49F6-BD42-3B26F24E45C3}</b:Guid>
    <b:Title>Home Affairs Seventh Report</b:Title>
    <b:InternetSiteTitle>parliament.uk</b:InternetSiteTitle>
    <b:Year>2007-2008</b:Year>
    <b:URL>ttps://publications.parliament.uk/pa/cm200708/cmselect/cmhaff/364/36409.htm</b:URL>
    <b:Author>
      <b:Author>
        <b:Corporate>Select Home Affairs Committee</b:Corporate>
      </b:Author>
    </b:Author>
    <b:YearAccessed>2022</b:YearAccessed>
    <b:MonthAccessed>nov</b:MonthAccessed>
    <b:DayAccessed>28</b:DayAccessed>
    <b:RefOrder>30</b:RefOrder>
  </b:Source>
  <b:Source>
    <b:Tag>Fla08</b:Tag>
    <b:SourceType>Report</b:SourceType>
    <b:Guid>{5F86D0E9-3F22-4FEB-99F0-4B285CA580FB}</b:Guid>
    <b:Title>The Review of Policing: Final Report</b:Title>
    <b:Year>2008</b:Year>
    <b:URL>https://www.justiceinspectorates.gov.uk/hmicfrs/media/flanagan-review-of-policing-20080201.pdf</b:URL>
    <b:Author>
      <b:Author>
        <b:NameList>
          <b:Person>
            <b:Last>Flanagan</b:Last>
            <b:First>R.</b:First>
          </b:Person>
        </b:NameList>
      </b:Author>
    </b:Author>
    <b:Pages>79-82</b:Pages>
    <b:RefOrder>31</b:RefOrder>
  </b:Source>
  <b:Source>
    <b:Tag>Ass22</b:Tag>
    <b:SourceType>InternetSite</b:SourceType>
    <b:Guid>{19020FFB-8A66-452D-BEBF-DEF3575820D1}</b:Guid>
    <b:Title>Role of the PCC</b:Title>
    <b:Year>2022</b:Year>
    <b:Author>
      <b:Author>
        <b:Corporate>Association of Police and crime Commissioners</b:Corporate>
      </b:Author>
    </b:Author>
    <b:InternetSiteTitle>Association of Police and Crime Commissioners</b:InternetSiteTitle>
    <b:Month>November</b:Month>
    <b:Day>29</b:Day>
    <b:URL>https://apccs.police.uk/role-of-the-pcc/</b:URL>
    <b:RefOrder>32</b:RefOrder>
  </b:Source>
  <b:Source>
    <b:Tag>Col22</b:Tag>
    <b:SourceType>InternetSite</b:SourceType>
    <b:Guid>{3B913C8D-CA09-43C9-9C9D-291480C6F57B}</b:Guid>
    <b:Author>
      <b:Author>
        <b:Corporate>College of Policing</b:Corporate>
      </b:Author>
    </b:Author>
    <b:Title>Chief Constable</b:Title>
    <b:InternetSiteTitle>College of Policing</b:InternetSiteTitle>
    <b:Year>2022</b:Year>
    <b:Month>November</b:Month>
    <b:Day>29</b:Day>
    <b:URL>https://profdev.college.police.uk/professional-profile/chief-constable/</b:URL>
    <b:RefOrder>33</b:RefOrder>
  </b:Source>
  <b:Source>
    <b:Tag>Sou22</b:Tag>
    <b:SourceType>InternetSite</b:SourceType>
    <b:Guid>{7AA5B9D6-FB47-4ACC-A271-5D7A582E5E48}</b:Guid>
    <b:Title>South Wales Police and Crime Panel</b:Title>
    <b:InternetSiteTitle>Merthyr Government</b:InternetSiteTitle>
    <b:Year>2022</b:Year>
    <b:Month>november</b:Month>
    <b:Day>29</b:Day>
    <b:URL>https://www.merthyr.gov.uk/council/councillors-and-committees/south-wales-police-and-crime-panel/</b:URL>
    <b:RefOrder>34</b:RefOrder>
  </b:Source>
  <b:Source>
    <b:Tag>Ind22</b:Tag>
    <b:SourceType>InternetSite</b:SourceType>
    <b:Guid>{B6712A35-8BA4-4D2D-9940-9B9CAF95655B}</b:Guid>
    <b:Author>
      <b:Author>
        <b:Corporate>Independent Office for Police Conduct</b:Corporate>
      </b:Author>
    </b:Author>
    <b:Title>Becoming the IOPC</b:Title>
    <b:InternetSiteTitle>Independent Office for Police Conduct</b:InternetSiteTitle>
    <b:Year>2022</b:Year>
    <b:Month>november</b:Month>
    <b:Day>29</b:Day>
    <b:URL>https://www.policeconduct.gov.uk/becoming-iopc</b:URL>
    <b:RefOrder>35</b:RefOrder>
  </b:Source>
  <b:Source>
    <b:Tag>UKG17</b:Tag>
    <b:SourceType>InternetSite</b:SourceType>
    <b:Guid>{2A969D5D-060E-401D-9F61-2692E955F9E5}</b:Guid>
    <b:Author>
      <b:Author>
        <b:Corporate>UK Government</b:Corporate>
      </b:Author>
    </b:Author>
    <b:Title>Policing and Crime act 2017</b:Title>
    <b:InternetSiteTitle>Legislation</b:InternetSiteTitle>
    <b:Year>2017</b:Year>
    <b:URL>https://www.legislation.gov.uk/ukpga/2017/3/contents/enacted</b:URL>
    <b:RefOrder>36</b:RefOrder>
  </b:Source>
  <b:Source>
    <b:Tag>HMI22</b:Tag>
    <b:SourceType>InternetSite</b:SourceType>
    <b:Guid>{D2F5B7F1-FE92-489F-B020-9817704154DA}</b:Guid>
    <b:Title>HMICIFRS</b:Title>
    <b:InternetSiteTitle>Her Majesty's Inspectorate of Constabulary and Fire and Rescue Services</b:InternetSiteTitle>
    <b:Year>2022</b:Year>
    <b:Month>November</b:Month>
    <b:Day>29</b:Day>
    <b:URL>https://www.justiceinspectorates.gov.uk/hmicfrs/</b:URL>
    <b:RefOrder>37</b:RefOrder>
  </b:Source>
  <b:Source>
    <b:Tag>UKG12</b:Tag>
    <b:SourceType>InternetSite</b:SourceType>
    <b:Guid>{642C22C9-6E18-44E3-995B-E25FE489833B}</b:Guid>
    <b:Author>
      <b:Author>
        <b:Corporate>UK Government</b:Corporate>
      </b:Author>
    </b:Author>
    <b:Title>Establishment of the College of Policing</b:Title>
    <b:InternetSiteTitle>UK Government</b:InternetSiteTitle>
    <b:Year>2012</b:Year>
    <b:Month>October </b:Month>
    <b:Day>24</b:Day>
    <b:URL>https://www.gov.uk/government/speeches/establishment-of-the-college-of-policing-update</b:URL>
    <b:RefOrder>38</b:RefOrder>
  </b:Source>
  <b:Source>
    <b:Tag>Jac12</b:Tag>
    <b:SourceType>Report</b:SourceType>
    <b:Guid>{E74B4142-A921-441B-9B8C-D5081E8C1DDA}</b:Guid>
    <b:Title>Policing by Consent:Topline Results (UK) from Round 5 of the European Social Survey</b:Title>
    <b:Year>2012</b:Year>
    <b:Author>
      <b:Author>
        <b:Corporate>Jackson, J. &amp;  Kuha, J. &amp; Bradford, B. &amp; Hohl, K. &amp; Hough, M.</b:Corporate>
      </b:Author>
    </b:Author>
    <b:Publisher>European Social Survey</b:Publisher>
    <b:Pages>1-16</b:Pages>
    <b:RefOrder>39</b:RefOrder>
  </b:Source>
  <b:Source>
    <b:Tag>Van15</b:Tag>
    <b:SourceType>Book</b:SourceType>
    <b:Guid>{F201228F-DA38-4E41-B01F-94A5898D55EB}</b:Guid>
    <b:Author>
      <b:Author>
        <b:Corporate>Van Dijk, A., &amp; Hoogewoning, F. &amp; Punch, M</b:Corporate>
      </b:Author>
    </b:Author>
    <b:Title>Towards a comprehensive paradigm. In What Matters In Policing?</b:Title>
    <b:Year>2015</b:Year>
    <b:Publisher>Policy Press</b:Publisher>
    <b:Pages>1-28</b:Pages>
    <b:YearAccessed>2022</b:YearAccessed>
    <b:MonthAccessed>November</b:MonthAccessed>
    <b:DayAccessed>30</b:DayAccessed>
    <b:DOI>https://doi.org/10.1332/policypress/9781447326915.003.0006</b:DOI>
    <b:Edition>1</b:Edition>
    <b:RefOrder>40</b:RefOrder>
  </b:Source>
  <b:Source>
    <b:Tag>Tyl15</b:Tag>
    <b:SourceType>JournalArticle</b:SourceType>
    <b:Guid>{9EE6AAAA-A7FC-4417-BCC5-C2F3046DC2A6}</b:Guid>
    <b:Title>The consequences of being an object of suspicion -potential pitfalls of proactive police contact. J.</b:Title>
    <b:Year>2015</b:Year>
    <b:Author>
      <b:Author>
        <b:Corporate>Tyler, T. R., Jackson, J., &amp; Mentovich, A</b:Corporate>
      </b:Author>
    </b:Author>
    <b:JournalName>Journal of Empirical Legal Studies</b:JournalName>
    <b:Pages>602–636</b:Pages>
    <b:Volume>12</b:Volume>
    <b:Issue>4</b:Issue>
    <b:YearAccessed>2022</b:YearAccessed>
    <b:MonthAccessed>november</b:MonthAccessed>
    <b:DayAccessed>30</b:DayAccessed>
    <b:URL>file:///C:/Users/swp54722/Downloads/SSRN-id2681422.pdf</b:URL>
    <b:RefOrder>41</b:RefOrder>
  </b:Source>
  <b:Source>
    <b:Tag>Pós21</b:Tag>
    <b:SourceType>JournalArticle</b:SourceType>
    <b:Guid>{D0A5C950-9AC2-4116-BA3E-F1C6FB7C1A1E}</b:Guid>
    <b:Author>
      <b:Author>
        <b:Corporate>Pósch, K. &amp; Jackson, J. &amp; Bradford, B. &amp; MacQueen, S.</b:Corporate>
      </b:Author>
    </b:Author>
    <b:Title>“Truly free consent”? Clarifying the nature of police legitimacy using causal mediation analysis</b:Title>
    <b:JournalName>Journal of Experimental Criminology</b:JournalName>
    <b:Year>2021</b:Year>
    <b:Pages>563-595</b:Pages>
    <b:Volume>17</b:Volume>
    <b:URL>file:///C:/Users/swp54722/Downloads/s11292-020-09426-x.pdf</b:URL>
    <b:RefOrder>42</b:RefOrder>
  </b:Source>
  <b:Source>
    <b:Tag>Tyl03</b:Tag>
    <b:SourceType>JournalArticle</b:SourceType>
    <b:Guid>{02F1A49D-2422-4458-9126-DB4F919AD283}</b:Guid>
    <b:Author>
      <b:Author>
        <b:NameList>
          <b:Person>
            <b:Last>Tyler</b:Last>
            <b:First>T.</b:First>
          </b:Person>
        </b:NameList>
      </b:Author>
    </b:Author>
    <b:Title>Procedural justice, legitimacy, and the effective rule of law </b:Title>
    <b:JournalName>Crime and Justice</b:JournalName>
    <b:Year>2003</b:Year>
    <b:Pages>283-357</b:Pages>
    <b:Volume>30</b:Volume>
    <b:YearAccessed>2022</b:YearAccessed>
    <b:MonthAccessed>november</b:MonthAccessed>
    <b:DayAccessed>30</b:DayAccessed>
    <b:DOI>https://doi.org/10.1007/s11292-020-09426-x</b:DOI>
    <b:RefOrder>43</b:RefOrder>
  </b:Source>
  <b:Source>
    <b:Tag>jon19</b:Tag>
    <b:SourceType>JournalArticle</b:SourceType>
    <b:Guid>{C82A1689-23E0-403E-8D40-C1E7B01F49F4}</b:Guid>
    <b:Author>
      <b:Author>
        <b:Corporate>Jones, T. &amp; Lister, S.</b:Corporate>
      </b:Author>
    </b:Author>
    <b:Title>Localism and police governance in England &amp; Wales: Exploring continuity and change</b:Title>
    <b:JournalName>European Journal of Criminology</b:JournalName>
    <b:Year>2019</b:Year>
    <b:Pages>1-35</b:Pages>
    <b:City>Cardiff</b:City>
    <b:YearAccessed>2022</b:YearAccessed>
    <b:MonthAccessed>November</b:MonthAccessed>
    <b:DayAccessed>30</b:DayAccessed>
    <b:URL>https://orca.cardiff.ac.uk/id/eprint/120184/1/trevor%20jones%20european%20journal%20of%20crim%2001-02-19.pdf</b:URL>
    <b:DOI>DOI:10.1177/1477370819860689</b:DOI>
    <b:RefOrder>44</b:RefOrder>
  </b:Source>
  <b:Source>
    <b:Tag>Lis13</b:Tag>
    <b:SourceType>JournalArticle</b:SourceType>
    <b:Guid>{63EF38DE-2BF7-453D-883C-2E0C30A12B5A}</b:Guid>
    <b:Author>
      <b:Author>
        <b:NameList>
          <b:Person>
            <b:Last>Lister</b:Last>
            <b:First>S.</b:First>
          </b:Person>
        </b:NameList>
      </b:Author>
    </b:Author>
    <b:Title>‘The New Politics of the Police: Police and Crime Commissioners and the operational Independence of the Police’</b:Title>
    <b:JournalName>Policing: A Journal of Policy and Practice,</b:JournalName>
    <b:Year>2013</b:Year>
    <b:Pages>239-247</b:Pages>
    <b:Volume>7</b:Volume>
    <b:Issue>3</b:Issue>
    <b:YearAccessed>2022</b:YearAccessed>
    <b:MonthAccessed>November</b:MonthAccessed>
    <b:DayAccessed>30</b:DayAccessed>
    <b:URL>file:///C:/Users/swp54722/Downloads/Lister-Newpoliticsofthepolice13.full.pdf</b:URL>
    <b:RefOrder>45</b:RefOrder>
  </b:Source>
  <b:Source>
    <b:Tag>Rei16</b:Tag>
    <b:SourceType>JournalArticle</b:SourceType>
    <b:Guid>{C63CA0E0-AD97-4E9F-AD0F-204C9846EA49}</b:Guid>
    <b:Author>
      <b:Author>
        <b:NameList>
          <b:Person>
            <b:Last>Reiner</b:Last>
            <b:First>R.</b:First>
          </b:Person>
        </b:NameList>
      </b:Author>
      <b:Editor>
        <b:NameList>
          <b:Person>
            <b:Last>Rowe</b:Last>
            <b:First>Lister</b:First>
            <b:Middle>&amp;</b:Middle>
          </b:Person>
        </b:NameList>
      </b:Editor>
    </b:Author>
    <b:Title>‘Power to the people? A social democratic critique of the Coalition’s police reforms</b:Title>
    <b:JournalName>Accountability of Policing</b:JournalName>
    <b:Year>2016</b:Year>
    <b:Pages>132-149</b:Pages>
    <b:City>Abingdon</b:City>
    <b:Publisher>Routledge</b:Publisher>
    <b:RefOrder>46</b:RefOrder>
  </b:Source>
  <b:Source>
    <b:Tag>Rei13</b:Tag>
    <b:SourceType>JournalArticle</b:SourceType>
    <b:Guid>{FA18E815-5ED6-4365-B5BC-15A1C2D57C0D}</b:Guid>
    <b:Author>
      <b:Author>
        <b:NameList>
          <b:Person>
            <b:Last>Reiner</b:Last>
            <b:First>R</b:First>
          </b:Person>
        </b:NameList>
      </b:Author>
    </b:Author>
    <b:Title>‘Who Governs? Democracy, Plutocracy, Science and Prophecy in Shaping Policing</b:Title>
    <b:JournalName>Criminology &amp; Criminal Justice</b:JournalName>
    <b:Year>2013</b:Year>
    <b:Pages>161-180</b:Pages>
    <b:Volume>13</b:Volume>
    <b:Issue>2</b:Issue>
    <b:DOI>https://doi.org/10.1177/1748895812474282</b:DOI>
    <b:YearAccessed>2022</b:YearAccessed>
    <b:MonthAccessed>November</b:MonthAccessed>
    <b:DayAccessed>30</b:DayAccessed>
    <b:RefOrder>47</b:RefOrder>
  </b:Source>
  <b:Source>
    <b:Tag>Her20</b:Tag>
    <b:SourceType>InternetSite</b:SourceType>
    <b:Guid>{94218206-4011-41F7-B9DA-69CDBC357DCC}</b:Guid>
    <b:Title>A New Era in Policing, Speech to the Institute for Government</b:Title>
    <b:Year>20</b:Year>
    <b:Author>
      <b:Author>
        <b:NameList>
          <b:Person>
            <b:Last>Herbert</b:Last>
            <b:First>N.</b:First>
          </b:Person>
        </b:NameList>
      </b:Author>
    </b:Author>
    <b:InternetSiteTitle>Gov.uk</b:InternetSiteTitle>
    <b:Month>november</b:Month>
    <b:Day>21</b:Day>
    <b:URL>https://www.gov.uk/government/speeches/a-new-era-in-policing-nick-herberts-speech-to-the-institute-for-government</b:URL>
    <b:YearAccessed>2022</b:YearAccessed>
    <b:MonthAccessed>November</b:MonthAccessed>
    <b:DayAccessed>30</b:DayAccessed>
    <b:RefOrder>48</b:RefOrder>
  </b:Source>
  <b:Source>
    <b:Tag>Sav07</b:Tag>
    <b:SourceType>Book</b:SourceType>
    <b:Guid>{B9D3CA8C-FFCC-486F-AC1B-F4D389B45754}</b:Guid>
    <b:Author>
      <b:Author>
        <b:NameList>
          <b:Person>
            <b:Last>Savage</b:Last>
            <b:First>S</b:First>
          </b:Person>
        </b:NameList>
      </b:Author>
    </b:Author>
    <b:Title>Police Reform: Forces for Change</b:Title>
    <b:Year>2007</b:Year>
    <b:City>Oxford</b:City>
    <b:Publisher>Oxford University Press</b:Publisher>
    <b:Pages>266</b:Pages>
    <b:RefOrder>49</b:RefOrder>
  </b:Source>
  <b:Source>
    <b:Tag>Sun03</b:Tag>
    <b:SourceType>JournalArticle</b:SourceType>
    <b:Guid>{F162A13B-6778-4738-8A3B-DE6E12B8E88C}</b:Guid>
    <b:Author>
      <b:Author>
        <b:Corporate>Sunshine, J., &amp; Tyler, T. R.</b:Corporate>
      </b:Author>
    </b:Author>
    <b:Title>The role of procedural justice and legitimacy in shaping public support for policing</b:Title>
    <b:Year>2003</b:Year>
    <b:JournalName>Law and Society Review</b:JournalName>
    <b:Pages>513–548.</b:Pages>
    <b:Volume>37</b:Volume>
    <b:Issue>3</b:Issue>
    <b:YearAccessed>2022</b:YearAccessed>
    <b:MonthAccessed>December</b:MonthAccessed>
    <b:DayAccessed>2</b:DayAccessed>
    <b:DOI>https://doi.org/10.1111/1540-5893.3703002</b:DOI>
    <b:RefOrder>50</b:RefOrder>
  </b:Source>
  <b:Source>
    <b:Tag>UKP21</b:Tag>
    <b:SourceType>InternetSite</b:SourceType>
    <b:Guid>{A7FBFC3C-1340-458F-9A41-0ADB31E2431D}</b:Guid>
    <b:Title>House of commons library: PCC elections</b:Title>
    <b:Year>2021</b:Year>
    <b:Month>may</b:Month>
    <b:Day>28</b:Day>
    <b:YearAccessed>2022</b:YearAccessed>
    <b:MonthAccessed>December</b:MonthAccessed>
    <b:DayAccessed>2</b:DayAccessed>
    <b:URL>https://researchbriefings.files.parliament.uk/documents/CBP-9244/CBP-9244.pdf</b:URL>
    <b:Author>
      <b:Author>
        <b:Corporate>UK Parliament</b:Corporate>
      </b:Author>
    </b:Author>
    <b:InternetSiteTitle>UK Parliament</b:InternetSiteTitle>
    <b:RefOrder>51</b:RefOrder>
  </b:Source>
  <b:Source>
    <b:Tag>Hom12</b:Tag>
    <b:SourceType>InternetSite</b:SourceType>
    <b:Guid>{8E788620-9274-47FE-82EB-DA9D1A17373B}</b:Guid>
    <b:Author>
      <b:Author>
        <b:Corporate>Home Office</b:Corporate>
      </b:Author>
    </b:Author>
    <b:Title>Definition of Policing by consent</b:Title>
    <b:InternetSiteTitle>Gov.uk</b:InternetSiteTitle>
    <b:Year>2012</b:Year>
    <b:Month>December</b:Month>
    <b:Day>20</b:Day>
    <b:URL>https://www.gov.uk/government/publications/policing-by-consent/definition-of-policing-by-consent</b:URL>
    <b:YearAccessed>2022</b:YearAccessed>
    <b:MonthAccessed>December</b:MonthAccessed>
    <b:DayAccessed>2</b:DayAccessed>
    <b:RefOrder>52</b:RefOrder>
  </b:Source>
  <b:Source>
    <b:Tag>The15</b:Tag>
    <b:SourceType>Report</b:SourceType>
    <b:Guid>{213B9FD9-B8D2-4D94-87C0-C227B41BAED5}</b:Guid>
    <b:Author>
      <b:Author>
        <b:Corporate>The Committee for Standards in Public Life</b:Corporate>
      </b:Author>
    </b:Author>
    <b:Title>Tone from the Top: Leadership, Ethics and Accountability in Policing</b:Title>
    <b:Year>2015</b:Year>
    <b:URL>https://assets.publishing.service.gov.uk/government/uploads/system/uploads/attachment_data/file/439208/Tone_from_the_top_-_CSPL.pdf</b:URL>
    <b:Publisher>UK Government</b:Publisher>
    <b:City>London</b:City>
    <b:Pages>142</b:Pages>
    <b:YearAccessed>2022</b:YearAccessed>
    <b:MonthAccessed>December</b:MonthAccessed>
    <b:DayAccessed>2</b:DayAccessed>
    <b:RefOrder>53</b:RefOrder>
  </b:Source>
  <b:Source>
    <b:Tag>Off15</b:Tag>
    <b:SourceType>Report</b:SourceType>
    <b:Guid>{DA1DAABE-3D2B-41DA-B4C4-902FA5FD3CC9}</b:Guid>
    <b:Title>Chapter 1: Perceptions of the Police: Crime statistics from the Crime Survey for England and Wales and police recorded crime</b:Title>
    <b:Year>2015</b:Year>
    <b:Publisher>Office for National Statistics</b:Publisher>
    <b:Author>
      <b:Author>
        <b:Corporate>Office for National Statistics</b:Corporate>
      </b:Author>
    </b:Author>
    <b:YearAccessed>2022</b:YearAccessed>
    <b:MonthAccessed>December</b:MonthAccessed>
    <b:DayAccessed>2</b:DayAccessed>
    <b:URL>file:///C:/Users/swp54722/Downloads/Chapter%201_%20Perceptions%20of%20the%20Police.pdf</b:URL>
    <b:RefOrder>54</b:RefOrder>
  </b:Source>
  <b:Source>
    <b:Tag>Ips17</b:Tag>
    <b:SourceType>InternetSite</b:SourceType>
    <b:Guid>{A83BB9CA-3BD1-47E0-B1FD-65F577147196}</b:Guid>
    <b:Title>Trust in Professions: Long-term trends</b:Title>
    <b:Year>2017</b:Year>
    <b:Author>
      <b:Author>
        <b:Corporate>Ipsos</b:Corporate>
      </b:Author>
    </b:Author>
    <b:InternetSiteTitle>Ipsos.com</b:InternetSiteTitle>
    <b:Month>November</b:Month>
    <b:Day>30</b:Day>
    <b:URL>https://www.ipsos.com/en-uk/trust-professions-long-term-trends</b:URL>
    <b:YearAccessed>2022</b:YearAccessed>
    <b:MonthAccessed>December</b:MonthAccessed>
    <b:DayAccessed>2</b:DayAccessed>
    <b:RefOrder>55</b:RefOrder>
  </b:Source>
  <b:Source>
    <b:Tag>You22</b:Tag>
    <b:SourceType>InternetSite</b:SourceType>
    <b:Guid>{3CAA373C-7576-4923-8BD4-187E7470D6FA}</b:Guid>
    <b:Author>
      <b:Author>
        <b:Corporate>You Gov</b:Corporate>
      </b:Author>
    </b:Author>
    <b:Title>Confidence in the Police Sinks in two years</b:Title>
    <b:InternetSiteTitle>YouGov.com</b:InternetSiteTitle>
    <b:Year>2022</b:Year>
    <b:Month>March</b:Month>
    <b:Day>15</b:Day>
    <b:URL>https://yougov.co.uk/topics/politics/articles-reports/2022/03/15/confidence-police-sinks-two-years</b:URL>
    <b:YearAccessed>2022</b:YearAccessed>
    <b:MonthAccessed>December</b:MonthAccessed>
    <b:DayAccessed>2</b:DayAccessed>
    <b:RefOrder>56</b:RefOrder>
  </b:Source>
  <b:Source>
    <b:Tag>Sou221</b:Tag>
    <b:SourceType>Report</b:SourceType>
    <b:Guid>{F68D5F4A-B04C-4C0B-9513-3D3D8D4B57BD}</b:Guid>
    <b:Author>
      <b:Author>
        <b:Corporate>South Wales Police and Crime Commissioner</b:Corporate>
      </b:Author>
    </b:Author>
    <b:Title>Annual report - Summary of our Impact 2020-2021</b:Title>
    <b:InternetSiteTitle>Southwalescommissioner.org.uk</b:InternetSiteTitle>
    <b:Year>2021</b:Year>
    <b:URL>https://www.southwalescommissioner.org.uk/media/2186/2021-09-14-swpcc-annual-report-final.pdf</b:URL>
    <b:YearAccessed>2022</b:YearAccessed>
    <b:MonthAccessed>December</b:MonthAccessed>
    <b:DayAccessed>2</b:DayAccessed>
    <b:Publisher>South Wales Police and Crime Commissioner</b:Publisher>
    <b:City>Bridgend</b:City>
    <b:RefOrder>57</b:RefOrder>
  </b:Source>
  <b:Source>
    <b:Tag>ose22</b:Tag>
    <b:SourceType>JournalArticle</b:SourceType>
    <b:Guid>{2C49D672-1B57-457B-A363-6BB848BD5F2E}</b:Guid>
    <b:Title>Media and Confidence in the Police: Differences across Race/Ethnicity</b:Title>
    <b:Year>2022</b:Year>
    <b:Author>
      <b:Author>
        <b:Corporate>Rosenberger, &amp; Dierenfeldt, R.</b:Corporate>
      </b:Author>
    </b:Author>
    <b:JournalName>American Journal of Criminal Justice</b:JournalName>
    <b:Pages>589–613</b:Pages>
    <b:Volume>47</b:Volume>
    <b:Issue>3</b:Issue>
    <b:DOI>https://doi.org/10.1007/s12103-020-09603-8</b:DOI>
    <b:YearAccessed>2022</b:YearAccessed>
    <b:MonthAccessed>December</b:MonthAccessed>
    <b:DayAccessed>2</b:DayAccessed>
    <b:RefOrder>58</b:RefOrder>
  </b:Source>
  <b:Source>
    <b:Tag>Mac19</b:Tag>
    <b:SourceType>JournalArticle</b:SourceType>
    <b:Guid>{CB398FB3-DC43-4674-8EAC-3382C7DB0EE0}</b:Guid>
    <b:Author>
      <b:Author>
        <b:Corporate>Machura, S.  Jones, S. O., Würgler, A., Cuthbertson, J., &amp; Hemmings, A.</b:Corporate>
      </b:Author>
    </b:Author>
    <b:Title>National identity and distrust in the police: The case of North West Wales</b:Title>
    <b:JournalName>European Journal of Criminology,</b:JournalName>
    <b:Year>2019</b:Year>
    <b:Pages>60–80.</b:Pages>
    <b:Volume>16</b:Volume>
    <b:Issue>1</b:Issue>
    <b:DOI>https://doi.org/10.1177/1477370818764835</b:DOI>
    <b:RefOrder>59</b:RefOrder>
  </b:Source>
  <b:Source>
    <b:Tag>She02</b:Tag>
    <b:SourceType>JournalArticle</b:SourceType>
    <b:Guid>{BF45FA71-4B20-42F9-B170-5732CCEEB20F}</b:Guid>
    <b:Author>
      <b:Author>
        <b:Corporate>Sherman L &amp; Eck J. </b:Corporate>
      </b:Author>
    </b:Author>
    <b:Title>Police for Crime Prevention' In: Sherman L and others, eds. .</b:Title>
    <b:JournalName>'Evidence-Based Crime Prevention'</b:JournalName>
    <b:Year>2002</b:Year>
    <b:Pages>295-329</b:Pages>
    <b:YearAccessed>2022</b:YearAccessed>
    <b:MonthAccessed>November</b:MonthAccessed>
    <b:DayAccessed>2</b:DayAccessed>
    <b:RefOrder>60</b:RefOrder>
  </b:Source>
  <b:Source>
    <b:Tag>Dal04</b:Tag>
    <b:SourceType>Report</b:SourceType>
    <b:Guid>{05C3080C-6103-4010-B504-EADE2F329861}</b:Guid>
    <b:Author>
      <b:Author>
        <b:Corporate>Dalgleish D &amp; Myhill A.</b:Corporate>
      </b:Author>
    </b:Author>
    <b:Title>Reassuring the public:: A review of international policing interventions </b:Title>
    <b:JournalName>Home Office</b:JournalName>
    <b:Year>2004</b:Year>
    <b:Publisher>Home Office Findings 241</b:Publisher>
    <b:City>London</b:City>
    <b:URL>https://www.semanticscholar.org/paper/Reassuring-the-public-a-review-of-international-e-n-Dalgleish-Myhill/15a848ad4b5af922f2be426d7e891217ac6f7589</b:URL>
    <b:RefOrder>61</b:RefOrder>
  </b:Source>
  <b:Source>
    <b:Tag>Qui07</b:Tag>
    <b:SourceType>JournalArticle</b:SourceType>
    <b:Guid>{698C1F58-5430-429D-9B91-89AFC291F775}</b:Guid>
    <b:Author>
      <b:Author>
        <b:Corporate>Quinton P. &amp; Tuffin R</b:Corporate>
      </b:Author>
    </b:Author>
    <b:Title>Neighbourhood change: The impact of the National Reassurance Policing Programme</b:Title>
    <b:Year>2007</b:Year>
    <b:Pages>149–160</b:Pages>
    <b:YearAccessed>2022</b:YearAccessed>
    <b:MonthAccessed>December</b:MonthAccessed>
    <b:DayAccessed>3</b:DayAccessed>
    <b:DOI>https://doi.org/10.1093/police/pam024</b:DOI>
    <b:JournalName>Policing</b:JournalName>
    <b:Volume>1</b:Volume>
    <b:Issue>2</b:Issue>
    <b:RefOrder>62</b:RefOrder>
  </b:Source>
  <b:Source>
    <b:Tag>Wei04</b:Tag>
    <b:SourceType>JournalArticle</b:SourceType>
    <b:Guid>{CE67E95F-F3DC-4175-89F5-41E015150533}</b:Guid>
    <b:Author>
      <b:Author>
        <b:Corporate>Weisburd, , &amp; Eck, J. E.</b:Corporate>
      </b:Author>
    </b:Author>
    <b:Title>What Can Police Do to Reduce Crime, Disorder, and Fear?</b:Title>
    <b:JournalName>The Annals of the American Academy of Political and Social Science</b:JournalName>
    <b:Year>2004</b:Year>
    <b:Pages>42-65</b:Pages>
    <b:Volume>593</b:Volume>
    <b:Issue>1</b:Issue>
    <b:YearAccessed>2022</b:YearAccessed>
    <b:MonthAccessed>December</b:MonthAccessed>
    <b:DayAccessed>3</b:DayAccessed>
    <b:DOI>https://doi.org/10.1177/0002716203262548</b:DOI>
    <b:RefOrder>63</b:RefOrder>
  </b:Source>
  <b:Source>
    <b:Tag>Rat11</b:Tag>
    <b:SourceType>JournalArticle</b:SourceType>
    <b:Guid>{DA4F211E-4C1C-4E68-9679-E9ED20E9500D}</b:Guid>
    <b:Author>
      <b:Author>
        <b:Corporate>Ratcliffe, J.,  Taniguchi, T., Groff E. &amp; Wood, J.</b:Corporate>
      </b:Author>
    </b:Author>
    <b:Title>'The Philadelphia foot patrol experiment: A randomized controlled trial of police patrol effectiveness in violent crime hot spots'</b:Title>
    <b:JournalName>Criminology</b:JournalName>
    <b:Year>2011</b:Year>
    <b:Pages>795-831.</b:Pages>
    <b:City>Beverley Hills</b:City>
    <b:Volume>49</b:Volume>
    <b:Issue>3</b:Issue>
    <b:YearAccessed>2022</b:YearAccessed>
    <b:MonthAccessed>December</b:MonthAccessed>
    <b:DayAccessed>3</b:DayAccessed>
    <b:DOI> https://doi.org/10.1111/j.1745-9125.2011.00240.x</b:DOI>
    <b:RefOrder>64</b:RefOrder>
  </b:Source>
  <b:Source>
    <b:Tag>Bra13</b:Tag>
    <b:SourceType>Book</b:SourceType>
    <b:Guid>{38257FF0-B4B3-4B61-AFF2-548733F7C750}</b:Guid>
    <b:Author>
      <b:Author>
        <b:Corporate>Bradford B, Jackson J, &amp; Hough M</b:Corporate>
      </b:Author>
      <b:Editor>
        <b:NameList>
          <b:Person>
            <b:Last>Brown</b:Last>
            <b:First>J</b:First>
          </b:Person>
        </b:NameList>
      </b:Editor>
    </b:Author>
    <b:Title>Police futures and legitimacy: Redefining ‘good policing’</b:Title>
    <b:Year>2013</b:Year>
    <b:Pages>79-100</b:Pages>
    <b:City>Abingdon</b:City>
    <b:Publisher>Routledge</b:Publisher>
    <b:RefOrder>65</b:RefOrder>
  </b:Source>
  <b:Source>
    <b:Tag>Man18</b:Tag>
    <b:SourceType>JournalArticle</b:SourceType>
    <b:Guid>{0E9CA1B0-8501-436C-A4B8-38F6A98DEEBF}</b:Guid>
    <b:Author>
      <b:Author>
        <b:Corporate>Mangan, A. Thomas, R.,  Davies, A.  &amp; Gaspe, R.</b:Corporate>
      </b:Author>
    </b:Author>
    <b:Title>The challenges of police-community collaboration: identity manoeuvres and power struggles in a neighbourhood based meeting</b:Title>
    <b:Year>2018</b:Year>
    <b:JournalName>Public Management Review</b:JournalName>
    <b:Pages>1353-1373</b:Pages>
    <b:Volume>20</b:Volume>
    <b:Issue>9</b:Issue>
    <b:YearAccessed>2022</b:YearAccessed>
    <b:MonthAccessed>December</b:MonthAccessed>
    <b:DayAccessed>4</b:DayAccessed>
    <b:DOI>https://doi.org/10.1080/14719037.2017.1383718</b:DOI>
    <b:RefOrder>66</b:RefOrder>
  </b:Source>
  <b:Source>
    <b:Tag>Mar12</b:Tag>
    <b:SourceType>JournalArticle</b:SourceType>
    <b:Guid>{A202549E-3D01-4C0F-A567-B555C787C347}</b:Guid>
    <b:Title>“Public Deliberation in Action: Emotion, Inclusion and Exclusion in Participatory'Decision-Making.”</b:Title>
    <b:JournalName>Critical Social Policy</b:JournalName>
    <b:Year>2012</b:Year>
    <b:Pages>163-183</b:Pages>
    <b:Author>
      <b:Author>
        <b:NameList>
          <b:Person>
            <b:Last>Martin</b:Last>
            <b:First>G.</b:First>
            <b:Middle>P</b:Middle>
          </b:Person>
        </b:NameList>
      </b:Author>
    </b:Author>
    <b:Volume>32</b:Volume>
    <b:Issue>2</b:Issue>
    <b:DOI>https://doi.org/10.1177/0261018311420276</b:DOI>
    <b:YearAccessed>2022</b:YearAccessed>
    <b:MonthAccessed>December</b:MonthAccessed>
    <b:DayAccessed>4</b:DayAccessed>
    <b:RefOrder>67</b:RefOrder>
  </b:Source>
  <b:Source>
    <b:Tag>Dic14</b:Tag>
    <b:SourceType>JournalArticle</b:SourceType>
    <b:Guid>{847A46B0-237F-457E-9C81-6499A633E326}</b:Guid>
    <b:Author>
      <b:Author>
        <b:Corporate>Dickinson, H., &amp;  Sullivan, H.</b:Corporate>
      </b:Author>
    </b:Author>
    <b:Title>“Towards a General Theory of Collaborative Performance: The Importance of Efficacy and Agency</b:Title>
    <b:JournalName>Public Administration </b:JournalName>
    <b:Year>2014</b:Year>
    <b:Pages>161–177.</b:Pages>
    <b:Volume>92</b:Volume>
    <b:Issue>1</b:Issue>
    <b:DOI>doi:10.1111/padm.12048</b:DOI>
    <b:RefOrder>68</b:RefOrder>
  </b:Source>
  <b:Source>
    <b:Tag>Osb06</b:Tag>
    <b:SourceType>JournalArticle</b:SourceType>
    <b:Guid>{2793E892-E0C6-44BB-8163-4B91476C3381}</b:Guid>
    <b:Author>
      <b:Author>
        <b:NameList>
          <b:Person>
            <b:Last>Osborne</b:Last>
            <b:First>S.</b:First>
          </b:Person>
        </b:NameList>
      </b:Author>
    </b:Author>
    <b:Title>"Editorial: The New Public Governance?”</b:Title>
    <b:JournalName>Public Management Review </b:JournalName>
    <b:Year>2006</b:Year>
    <b:Pages>377–387</b:Pages>
    <b:Volume>8</b:Volume>
    <b:Issue>3</b:Issue>
    <b:DOI> doi:10.1080/14719030600853022.</b:DOI>
    <b:RefOrder>69</b:RefOrder>
  </b:Source>
  <b:Source>
    <b:Tag>Bul14</b:Tag>
    <b:SourceType>JournalArticle</b:SourceType>
    <b:Guid>{479D6757-A3AC-4210-9449-5874AAE42746}</b:Guid>
    <b:Author>
      <b:Author>
        <b:Corporate>Bullock,  K. &amp; Sindall,  K.</b:Corporate>
      </b:Author>
    </b:Author>
    <b:Title>Examining the nature and extent of public participation in neighbourhood policing</b:Title>
    <b:JournalName>Policing and Society</b:JournalName>
    <b:Year>2014</b:Year>
    <b:Pages>385-404</b:Pages>
    <b:Volume>24</b:Volume>
    <b:Issue>4</b:Issue>
    <b:DOI>https://doi.org/10.1080/10439463.2013.844130</b:DOI>
    <b:RefOrder>70</b:RefOrder>
  </b:Source>
  <b:Source>
    <b:Tag>Gri94</b:Tag>
    <b:SourceType>JournalArticle</b:SourceType>
    <b:Guid>{F8C87E24-C62A-4E7B-94B0-58A528937CE5}</b:Guid>
    <b:Author>
      <b:Author>
        <b:NameList>
          <b:Person>
            <b:Last>Grinc</b:Last>
            <b:First>R.M.</b:First>
          </b:Person>
        </b:NameList>
      </b:Author>
    </b:Author>
    <b:Title>"Angels in Marble”: problems in stimulating community involvement in community policing</b:Title>
    <b:JournalName>Crime and delinquency</b:JournalName>
    <b:Year>1994</b:Year>
    <b:Pages>437–468.</b:Pages>
    <b:Volume>40</b:Volume>
    <b:Issue>3</b:Issue>
    <b:DOI>https://doi.org/10.1177/0011128794040003008</b:DOI>
    <b:RefOrder>71</b:RefOrder>
  </b:Source>
  <b:Source>
    <b:Tag>Her06</b:Tag>
    <b:SourceType>Book</b:SourceType>
    <b:Guid>{4765DD87-1A30-4338-94E5-521E1B094F28}</b:Guid>
    <b:Author>
      <b:Author>
        <b:NameList>
          <b:Person>
            <b:Last>Herbert</b:Last>
            <b:First>S.</b:First>
          </b:Person>
        </b:NameList>
      </b:Author>
    </b:Author>
    <b:Title>Citizens, cops, and power: recognizing the limits of community</b:Title>
    <b:JournalName>University of Chicago Press.</b:JournalName>
    <b:Year>2006</b:Year>
    <b:Pages>168</b:Pages>
    <b:City>Chicago</b:City>
    <b:Publisher>The University of Chicago Press</b:Publisher>
    <b:RefOrder>72</b:RefOrder>
  </b:Source>
  <b:Source>
    <b:Tag>Wil00</b:Tag>
    <b:SourceType>JournalArticle</b:SourceType>
    <b:Guid>{753F35C1-75F4-4EE9-9E84-D4671E5D4655}</b:Guid>
    <b:Author>
      <b:Author>
        <b:NameList>
          <b:Person>
            <b:Last>Wilson</b:Last>
            <b:First>J.</b:First>
          </b:Person>
        </b:NameList>
      </b:Author>
    </b:Author>
    <b:Title>Volunteering</b:Title>
    <b:Year>2000</b:Year>
    <b:JournalName>Annual review of sociology</b:JournalName>
    <b:Pages>215–240.</b:Pages>
    <b:Volume>26</b:Volume>
    <b:Issue>1</b:Issue>
    <b:DOI>10.1146/annurev.soc.26.1.215. </b:DOI>
    <b:RefOrder>73</b:RefOrder>
  </b:Source>
  <b:Source>
    <b:Tag>Tyl06</b:Tag>
    <b:SourceType>Book</b:SourceType>
    <b:Guid>{D3ABFD2D-08F2-4733-AA89-FB2433136B52}</b:Guid>
    <b:Author>
      <b:Author>
        <b:NameList>
          <b:Person>
            <b:Last>Tyler</b:Last>
            <b:First>T</b:First>
          </b:Person>
        </b:NameList>
      </b:Author>
    </b:Author>
    <b:Title>Why people obey the law? </b:Title>
    <b:Year>2006</b:Year>
    <b:City>Princeton, NJ</b:City>
    <b:Publisher>Princeton University Press</b:Publisher>
    <b:RefOrder>74</b:RefOrder>
  </b:Source>
  <b:Source>
    <b:Tag>Agr03</b:Tag>
    <b:SourceType>Book</b:SourceType>
    <b:Guid>{15543D21-2A4D-45E2-8248-12627C4988F1}</b:Guid>
    <b:Author>
      <b:Author>
        <b:Corporate>Agranoff, R., &amp; McGuire, M.</b:Corporate>
      </b:Author>
    </b:Author>
    <b:Title>Collaborative Public Management: New Strategies for Local Goverbments</b:Title>
    <b:Year>2003</b:Year>
    <b:City>Washington, DC</b:City>
    <b:Publisher>Georgetown University Press.</b:Publisher>
    <b:RefOrder>75</b:RefOrder>
  </b:Source>
  <b:Source>
    <b:Tag>Wil16</b:Tag>
    <b:SourceType>JournalArticle</b:SourceType>
    <b:Guid>{BCDD28B1-8F14-479F-904D-F8B6E0AB4EF0}</b:Guid>
    <b:Title>Community-centred police professionalism: A template for reflective professionals and learning organisations with implications for the co-production of public safety and public order</b:Title>
    <b:Year>2016</b:Year>
    <b:Author>
      <b:Author>
        <b:Corporate>Williams, B., Brower, R. &amp; Klay, W.</b:Corporate>
      </b:Author>
    </b:Author>
    <b:JournalName>The Police Journal: Theory, Practice and Principles</b:JournalName>
    <b:Pages>151-173</b:Pages>
    <b:Volume>89</b:Volume>
    <b:Issue>2</b:Issue>
    <b:YearAccessed>2022</b:YearAccessed>
    <b:MonthAccessed>December</b:MonthAccessed>
    <b:DayAccessed>8</b:DayAccessed>
    <b:DOI>https://doi-org.ezproxy.uwtsd.ac.uk/10.1177/0032258X16642449</b:DOI>
    <b:URL>file:///C:/Users/swp54722/Downloads/0032258x16642449.pdf</b:URL>
    <b:RefOrder>76</b:RefOrder>
  </b:Source>
  <b:Source>
    <b:Tag>Wil82</b:Tag>
    <b:SourceType>JournalArticle</b:SourceType>
    <b:Guid>{4CA41F91-4359-4283-940B-7E5E44251DF7}</b:Guid>
    <b:Author>
      <b:Author>
        <b:Corporate>Wilson J.,&amp;  Kelling G. </b:Corporate>
      </b:Author>
    </b:Author>
    <b:Title>Broken Window</b:Title>
    <b:JournalName>Atlantic Monthly</b:JournalName>
    <b:Year>1982</b:Year>
    <b:Pages>29-38</b:Pages>
    <b:Volume>249</b:Volume>
    <b:Issue>3</b:Issue>
    <b:YearAccessed>2022</b:YearAccessed>
    <b:MonthAccessed>December</b:MonthAccessed>
    <b:DayAccessed>8</b:DayAccessed>
    <b:RefOrder>77</b:RefOrder>
  </b:Source>
  <b:Source>
    <b:Tag>Hin79</b:Tag>
    <b:SourceType>JournalArticle</b:SourceType>
    <b:Guid>{72B0191A-3422-43F4-962F-A2241693DDC8}</b:Guid>
    <b:Author>
      <b:Author>
        <b:Corporate>Hinkle, J., Weisburd, D., Telep, C. &amp; Peterson, K.</b:Corporate>
      </b:Author>
    </b:Author>
    <b:Title>Problem‐oriented policing for reducing crime and disorder:An updated systematic review and meta‐analysis</b:Title>
    <b:JournalName>Problem Solving and Demand Reduction</b:JournalName>
    <b:Year>1979</b:Year>
    <b:Pages>1-86</b:Pages>
    <b:YearAccessed>2022</b:YearAccessed>
    <b:MonthAccessed>December</b:MonthAccessed>
    <b:DayAccessed>9</b:DayAccessed>
    <b:URL>https://onlinelibrary.wiley.com/doi/epdf/10.1002/cl2.1089</b:URL>
    <b:DOI>//doi.org/10.1002/cl2.1089DOI: 10.1002/cl2</b:DOI>
    <b:RefOrder>78</b:RefOrder>
  </b:Source>
  <b:Source>
    <b:Tag>Gol90</b:Tag>
    <b:SourceType>Book</b:SourceType>
    <b:Guid>{8CDE52CB-F9E6-4125-8AA5-2C9C573156D1}</b:Guid>
    <b:Author>
      <b:Author>
        <b:NameList>
          <b:Person>
            <b:Last>Goldstein</b:Last>
            <b:First>H.</b:First>
          </b:Person>
        </b:NameList>
      </b:Author>
    </b:Author>
    <b:Title>Problem‐oriented policing</b:Title>
    <b:JournalName>Crime and Delinquency</b:JournalName>
    <b:Year>1990</b:Year>
    <b:Pages>236–258</b:Pages>
    <b:City>Philidelphia, PA</b:City>
    <b:Publisher>Temple University Press</b:Publisher>
    <b:RefOrder>79</b:RefOrder>
  </b:Source>
  <b:Source>
    <b:Tag>Tro94</b:Tag>
    <b:SourceType>Book</b:SourceType>
    <b:Guid>{2AA83DB3-C54A-4362-A829-1FAFC0717153}</b:Guid>
    <b:Author>
      <b:Author>
        <b:Corporate>Trojanowicz, F. &amp; Bucqueroux, B. </b:Corporate>
      </b:Author>
    </b:Author>
    <b:Title>Community Policing: How to Get Started</b:Title>
    <b:Year>1994</b:Year>
    <b:City>Cincinnati, OH</b:City>
    <b:Publisher>Anderson Publishing</b:Publisher>
    <b:RefOrder>80</b:RefOrder>
  </b:Source>
  <b:Source>
    <b:Tag>Jon94</b:Tag>
    <b:SourceType>Book</b:SourceType>
    <b:Guid>{2D9F4422-C9C1-463F-AB15-8FE3FA30D576}</b:Guid>
    <b:Author>
      <b:Author>
        <b:NameList>
          <b:Person>
            <b:Last>Jones</b:Last>
            <b:First>T.,</b:First>
            <b:Middle>Newburn, T. &amp; Smith, D.</b:Middle>
          </b:Person>
        </b:NameList>
      </b:Author>
    </b:Author>
    <b:Title>Democracy and Policing,</b:Title>
    <b:Year>1994</b:Year>
    <b:City>London</b:City>
    <b:Publisher>Policy Studies</b:Publisher>
    <b:RefOrder>81</b:RefOrder>
  </b:Source>
  <b:Source>
    <b:Tag>Lov181</b:Tag>
    <b:SourceType>JournalArticle</b:SourceType>
    <b:Guid>{C5CEF777-A846-4165-B8B8-326DEB27373E}</b:Guid>
    <b:Author>
      <b:Author>
        <b:NameList>
          <b:Person>
            <b:Last>Loveday</b:Last>
            <b:First>B.</b:First>
          </b:Person>
        </b:NameList>
      </b:Author>
    </b:Author>
    <b:Title>‘Police and Crime Commissioners: Developing and sustaining a new model of police governance in England &amp; Wales’</b:Title>
    <b:Year>2018</b:Year>
    <b:JournalName>International Journal of Police Science &amp; Management</b:JournalName>
    <b:Pages>1–10</b:Pages>
    <b:YearAccessed>2022</b:YearAccessed>
    <b:MonthAccessed>December</b:MonthAccessed>
    <b:DayAccessed>10</b:DayAccessed>
    <b:URL>https://pure.port.ac.uk/ws/files/8205380/Police_and_Crime_Commissioners_2017_2.pdf</b:URL>
    <b:RefOrder>82</b:RefOrder>
  </b:Source>
  <b:Source>
    <b:Tag>Pat99</b:Tag>
    <b:SourceType>Report</b:SourceType>
    <b:Guid>{03F5A697-5252-40F4-B28A-43F9F7256D5B}</b:Guid>
    <b:Title>A New Beginning: Policing in Northern Ireland</b:Title>
    <b:City>Northern Ireland</b:City>
    <b:Year>1999</b:Year>
    <b:Author>
      <b:Author>
        <b:NameList>
          <b:Person>
            <b:Last>Patten</b:Last>
            <b:First>C.</b:First>
          </b:Person>
        </b:NameList>
      </b:Author>
    </b:Author>
    <b:Publisher>Independent Commission for Policing</b:Publisher>
    <b:YearAccessed>2022</b:YearAccessed>
    <b:MonthAccessed>December</b:MonthAccessed>
    <b:DayAccessed>13</b:DayAccessed>
    <b:URL>https://cain.ulster.ac.uk/issues/police/patten/patten99.pdf</b:URL>
    <b:RefOrder>83</b:RefOrder>
  </b:Source>
  <b:Source>
    <b:Tag>Loc17</b:Tag>
    <b:SourceType>Report</b:SourceType>
    <b:Guid>{AE179001-9404-467E-851C-896DF4EE13AC}</b:Guid>
    <b:Title>People Power: Findings from the Commission on the future of Localism</b:Title>
    <b:Year>2017</b:Year>
    <b:Author>
      <b:Author>
        <b:Corporate>Locality</b:Corporate>
      </b:Author>
    </b:Author>
    <b:YearAccessed>2022</b:YearAccessed>
    <b:MonthAccessed>December</b:MonthAccessed>
    <b:DayAccessed>14</b:DayAccessed>
    <b:URL>https://ccednet-rcdec.ca/sites/ccednet-rcdec.ca/wp-content/uploads/2022/09/locality-localism-full-online-report.pdf</b:URL>
    <b:RefOrder>84</b:RefOrder>
  </b:Source>
  <b:Source>
    <b:Tag>The22</b:Tag>
    <b:SourceType>Report</b:SourceType>
    <b:Guid>{30AC47F1-B719-4778-A938-274DF98A3D91}</b:Guid>
    <b:Author>
      <b:Author>
        <b:Corporate>The Auditor General</b:Corporate>
      </b:Author>
    </b:Author>
    <b:Title>‘Time for Change’ – Poverty in Wales</b:Title>
    <b:Year>2022</b:Year>
    <b:Publisher>Audit Wales</b:Publisher>
    <b:YearAccessed>2022</b:YearAccessed>
    <b:MonthAccessed>December</b:MonthAccessed>
    <b:DayAccessed>14</b:DayAccessed>
    <b:URL>https://outlook.office.com/mail/inbox/id/AAQkADE5NTNhODEyLWE5NTEtNDNjNS1hMzAwLTI3Yzk4YjFkZWVlZAAQAC%2BiNC%2Bq25RHmVXLu7iWcX4%3D/sxs/AAMkADE5NTNhODEyLWE5NTEtNDNjNS1hMzAwLTI3Yzk4YjFkZWVlZABGAAAAAAD183K77Eq8S52%2FR6Q63ijPBwActAeycazGTay4CVe6BSFDAAAAAAEMAAAct</b:URL>
    <b:RefOrder>85</b:RefOrder>
  </b:Source>
  <b:Source>
    <b:Tag>Dod21</b:Tag>
    <b:SourceType>InternetSite</b:SourceType>
    <b:Guid>{D233FC89-09E0-4D81-ABAD-6D43050E9D9A}</b:Guid>
    <b:Title>Tackle poverty and inequality to reduce crime, says police chief</b:Title>
    <b:Year>2021</b:Year>
    <b:Author>
      <b:Author>
        <b:NameList>
          <b:Person>
            <b:Last>Dodd</b:Last>
            <b:First>V.</b:First>
          </b:Person>
        </b:NameList>
      </b:Author>
    </b:Author>
    <b:CountryRegion>UK</b:CountryRegion>
    <b:Month>April</b:Month>
    <b:Day>18</b:Day>
    <b:YearAccessed>2022</b:YearAccessed>
    <b:MonthAccessed>December</b:MonthAccessed>
    <b:DayAccessed>14</b:DayAccessed>
    <b:URL>https://www.theguardian.com/uk-news/2021/apr/18/tackle-poverty-and-inequality-to-reduce-says-police-chief</b:URL>
    <b:InternetSiteTitle>The Guardian</b:InternetSiteTitle>
    <b:RefOrder>86</b:RefOrder>
  </b:Source>
  <b:Source>
    <b:Tag>Lab22</b:Tag>
    <b:SourceType>Report</b:SourceType>
    <b:Guid>{DA935D8F-2B8B-4461-87F3-3C58091C2BAF}</b:Guid>
    <b:Author>
      <b:Author>
        <b:Corporate>Labour Party</b:Corporate>
      </b:Author>
    </b:Author>
    <b:Title>A New Britain: Renewing our Democracy and Rebuilding our Economy</b:Title>
    <b:Year>2022</b:Year>
    <b:URL>file:///C:/Users/swp54722/Downloads/Labour%20Party%20Renewing%20Our%20Democracy.pdf</b:URL>
    <b:Publisher>Labour </b:Publisher>
    <b:YearAccessed>2022</b:YearAccessed>
    <b:MonthAccessed>December</b:MonthAccessed>
    <b:DayAccessed>15</b:DayAccessed>
    <b:RefOrder>87</b:RefOrder>
  </b:Source>
  <b:Source>
    <b:Tag>Sil14</b:Tag>
    <b:SourceType>Report</b:SourceType>
    <b:Guid>{EFDE10E9-CCFB-4869-8BC6-12B76AF9862F}</b:Guid>
    <b:Author>
      <b:Author>
        <b:NameList>
          <b:Person>
            <b:Last>Silk</b:Last>
            <b:First>P.</b:First>
          </b:Person>
        </b:NameList>
      </b:Author>
    </b:Author>
    <b:Title>Empowerment and Responsibility: Legislative Powers to Strengthen Wales Executive Summary</b:Title>
    <b:Year>2014</b:Year>
    <b:Publisher>Commision on Devolution in Wales</b:Publisher>
    <b:YearAccessed>2022</b:YearAccessed>
    <b:MonthAccessed>December</b:MonthAccessed>
    <b:DayAccessed>15</b:DayAccessed>
    <b:URL>https://webarchive.nationalarchives.gov.uk/ukgwa/20140605075122/http://commissionondevolutioninwales.independent.gov.uk//files/2014/03/Empowerment-Responsibility-Legislative-Powers-to-strengthen-Wales-Executive-Summary.pdf</b:URL>
    <b:RefOrder>88</b:RefOrder>
  </b:Source>
  <b:Source>
    <b:Tag>BBC13</b:Tag>
    <b:SourceType>InternetSite</b:SourceType>
    <b:Guid>{10D9BBEF-DFA1-45B8-8339-3B1DE1D32CA2}</b:Guid>
    <b:Author>
      <b:Author>
        <b:Corporate>BBC News</b:Corporate>
      </b:Author>
    </b:Author>
    <b:Title>'Devolve policing' says South Wales PCC Alun Michael</b:Title>
    <b:Year>2013</b:Year>
    <b:InternetSiteTitle>BBC News</b:InternetSiteTitle>
    <b:Month>July</b:Month>
    <b:Day>15</b:Day>
    <b:URL>https://www.bbc.co.uk/news/uk-wales-23306279</b:URL>
    <b:YearAccessed>2022</b:YearAccessed>
    <b:MonthAccessed>December</b:MonthAccessed>
    <b:DayAccessed>14</b:DayAccessed>
    <b:RefOrder>89</b:RefOrder>
  </b:Source>
  <b:Source>
    <b:Tag>Ems07</b:Tag>
    <b:SourceType>Book</b:SourceType>
    <b:Guid>{28CC853C-EE7A-40C0-9B56-093820A3C22B}</b:Guid>
    <b:Title>'Protection, Punishment, and Reformation', Crime, Police, and Penal Policy: European Experiences 1750-1940</b:Title>
    <b:Year>2007</b:Year>
    <b:Publisher>Oxford University</b:Publisher>
    <b:City>Oxford</b:City>
    <b:Author>
      <b:Author>
        <b:NameList>
          <b:Person>
            <b:Last>Emsley</b:Last>
            <b:First>C.</b:First>
          </b:Person>
        </b:NameList>
      </b:Author>
    </b:Author>
    <b:JournalName>Oxford Aademic</b:JournalName>
    <b:YearAccessed>2022</b:YearAccessed>
    <b:MonthAccessed>December</b:MonthAccessed>
    <b:DayAccessed>28</b:DayAccessed>
    <b:DOI>https://doi.org/10.1093/acprof:oso/9780199202850.003.0009</b:DOI>
    <b:RefOrder>90</b:RefOrder>
  </b:Source>
  <b:Source>
    <b:Tag>UKP22</b:Tag>
    <b:SourceType>InternetSite</b:SourceType>
    <b:Guid>{25DFDB20-330E-45EE-87F5-B9826E1BC368}</b:Guid>
    <b:Author>
      <b:Author>
        <b:Corporate>UK Parliament</b:Corporate>
      </b:Author>
    </b:Author>
    <b:Title>Watchmen and constables</b:Title>
    <b:InternetSiteTitle>UK Parliament</b:InternetSiteTitle>
    <b:URL>https://www.parliament.uk/about/living-heritage/transformingsociety/laworder/policeprisons/overview/watchmenconstables/</b:URL>
    <b:YearAccessed>2022</b:YearAccessed>
    <b:MonthAccessed>December</b:MonthAccessed>
    <b:DayAccessed>28</b:DayAccessed>
    <b:RefOrder>91</b:RefOrder>
  </b:Source>
  <b:Source>
    <b:Tag>Loa14</b:Tag>
    <b:SourceType>JournalArticle</b:SourceType>
    <b:Guid>{6EDE8C2B-CE61-4656-BA28-DC210C38407A}</b:Guid>
    <b:Author>
      <b:Author>
        <b:NameList>
          <b:Person>
            <b:Last>Loader</b:Last>
            <b:First>I.</b:First>
          </b:Person>
        </b:NameList>
      </b:Author>
    </b:Author>
    <b:Title>In Search of Civic Policing: Recasting the ‘Peelian’ Principles</b:Title>
    <b:Year>2014</b:Year>
    <b:URL>https://link-springer-com.ezproxy.uwtsd.ac.uk/content/pdf/10.1007/s11572-014-9318-1.pdf</b:URL>
    <b:JournalName>Criminal Law and Philos</b:JournalName>
    <b:Pages>427–440</b:Pages>
    <b:Volume>10</b:Volume>
    <b:YearAccessed>2023</b:YearAccessed>
    <b:MonthAccessed>January</b:MonthAccessed>
    <b:DayAccessed>2</b:DayAccessed>
    <b:DOI>10.1007/s11572-014-9318-1</b:DOI>
    <b:RefOrder>92</b:RefOrder>
  </b:Source>
  <b:Source>
    <b:Tag>Bar17</b:Tag>
    <b:SourceType>JournalArticle</b:SourceType>
    <b:Guid>{6146A0B4-9BD7-4A36-BEBA-FC362B2B90C2}</b:Guid>
    <b:Title>Young People's Civic and Political Engagement and Global Citizenship.</b:Title>
    <b:Year>2017</b:Year>
    <b:Author>
      <b:Author>
        <b:NameList>
          <b:Person>
            <b:Last>Barrett</b:Last>
            <b:First>M.</b:First>
          </b:Person>
        </b:NameList>
      </b:Author>
    </b:Author>
    <b:PeriodicalTitle>UN Chronicle</b:PeriodicalTitle>
    <b:Volume>54</b:Volume>
    <b:Issue>4</b:Issue>
    <b:YearAccessed>2023</b:YearAccessed>
    <b:MonthAccessed>January</b:MonthAccessed>
    <b:DayAccessed>3</b:DayAccessed>
    <b:URL>https://web-p-ebscohost-com.ezproxy.uwtsd.ac.uk/ehost/detail/detail?vid=0&amp;sid=07ed0369-c680-4079-9e67-09b0ad0e4dec%40redis&amp;bdata=JnNpdGU9ZWhvc3QtbGl2ZQ%3d%3d#AN=127556756&amp;db=aph</b:URL>
    <b:JournalName>UN Chronicle</b:JournalName>
    <b:RefOrder>93</b:RefOrder>
  </b:Source>
  <b:Source>
    <b:Tag>23Ja</b:Tag>
    <b:SourceType>Report</b:SourceType>
    <b:Guid>{BD504009-1B25-4821-BB95-0817AD860C58}</b:Guid>
    <b:YearAccessed>2023</b:YearAccessed>
    <b:MonthAccessed>January</b:MonthAccessed>
    <b:DayAccessed>3</b:DayAccessed>
    <b:URL>https://pidop.surrey.ac.uk/</b:URL>
    <b:Author>
      <b:Author>
        <b:Corporate>European Commission</b:Corporate>
      </b:Author>
    </b:Author>
    <b:Title>Processes Influencing Democratic Ownership and Participation (PIDOP)</b:Title>
    <b:Year>2012</b:Year>
    <b:Publisher>7th Framework Programme. </b:Publisher>
    <b:RefOrder>94</b:RefOrder>
  </b:Source>
  <b:Source>
    <b:Tag>Wel20</b:Tag>
    <b:SourceType>InternetSite</b:SourceType>
    <b:Guid>{8B28655F-B6BF-4546-8037-D657A1991408}</b:Guid>
    <b:Title>Education in Wales - Our national mission Education in Wales: update October 2020</b:Title>
    <b:Year>2020</b:Year>
    <b:Author>
      <b:Author>
        <b:Corporate>Welsh Government</b:Corporate>
      </b:Author>
    </b:Author>
    <b:InternetSiteTitle>Welsh Government</b:InternetSiteTitle>
    <b:Month>October</b:Month>
    <b:Day>13</b:Day>
    <b:URL>https://www.gov.wales/education-wales-our-national-mission-update-october-2020-html</b:URL>
    <b:YearAccessed>2023</b:YearAccessed>
    <b:MonthAccessed>January</b:MonthAccessed>
    <b:DayAccessed>3</b:DayAccessed>
    <b:RefOrder>95</b:RefOrder>
  </b:Source>
  <b:Source>
    <b:Tag>Wel15</b:Tag>
    <b:SourceType>ElectronicSource</b:SourceType>
    <b:Guid>{8BB2E9C3-5B8C-4916-BD7B-F12FAD515540}</b:Guid>
    <b:Title>The Four Purposes of the Curriculum for Wales</b:Title>
    <b:Year>2015</b:Year>
    <b:Month>October</b:Month>
    <b:Day>21</b:Day>
    <b:URL>https://www.gov.wales/new-curriculum-poster</b:URL>
    <b:Author>
      <b:Author>
        <b:Corporate>Welsh Government</b:Corporate>
      </b:Author>
    </b:Author>
    <b:City>Cardiff</b:City>
    <b:CountryRegion>Wales</b:CountryRegion>
    <b:YearAccessed>2023</b:YearAccessed>
    <b:MonthAccessed>January</b:MonthAccessed>
    <b:DayAccessed>4</b:DayAccessed>
    <b:RefOrder>96</b:RefOrder>
  </b:Source>
  <b:Source>
    <b:Tag>Wil19</b:Tag>
    <b:SourceType>InternetSite</b:SourceType>
    <b:Guid>{77CC64A3-6B99-4AB0-BA0F-4FA9A7A39FFE}</b:Guid>
    <b:Title>France's raw recruits sign up for return of national service</b:Title>
    <b:Year>2019</b:Year>
    <b:Month>June</b:Month>
    <b:Day>26</b:Day>
    <b:Author>
      <b:Author>
        <b:NameList>
          <b:Person>
            <b:Last>Williamson</b:Last>
            <b:First>L.</b:First>
          </b:Person>
        </b:NameList>
      </b:Author>
    </b:Author>
    <b:InternetSiteTitle>BBC news</b:InternetSiteTitle>
    <b:URL>https://www.bbc.co.uk/news/world-europe-48755605</b:URL>
    <b:YearAccessed>2023</b:YearAccessed>
    <b:MonthAccessed>Jaunary</b:MonthAccessed>
    <b:DayAccessed>4</b:DayAccessed>
    <b:RefOrder>97</b:RefOrder>
  </b:Source>
  <b:Source>
    <b:Tag>Pós211</b:Tag>
    <b:SourceType>Report</b:SourceType>
    <b:Guid>{D382BBA2-1E3C-4AB2-897D-5A92880F3D04}</b:Guid>
    <b:Author>
      <b:Author>
        <b:Corporate>Pósch, K., &amp; Jackson, J.</b:Corporate>
      </b:Author>
    </b:Author>
    <b:Title>Police in the classroom: Evaluation of a three-wave cluster-randomised controlled trial</b:Title>
    <b:Year>2021</b:Year>
    <b:Publisher>London School of Economics and Political Science</b:Publisher>
    <b:City>London</b:City>
    <b:YearAccessed>2023</b:YearAccessed>
    <b:MonthAccessed>January</b:MonthAccessed>
    <b:DayAccessed>5</b:DayAccessed>
    <b:URL>https://eprints.lse.ac.uk/108632/1/Posch_police_in_the_classroom_published.pdf</b:URL>
    <b:RefOrder>98</b:RefOrder>
  </b:Source>
  <b:Source>
    <b:Tag>Nat23</b:Tag>
    <b:SourceType>InternetSite</b:SourceType>
    <b:Guid>{A380496B-2393-4F83-B910-9EF88ADAD156}</b:Guid>
    <b:Title>What caused the 1832 Great Reform Act?</b:Title>
    <b:Author>
      <b:Author>
        <b:Corporate>National Archives</b:Corporate>
      </b:Author>
    </b:Author>
    <b:InternetSiteTitle>National Archives</b:InternetSiteTitle>
    <b:URL>https://www.nationalarchives.gov.uk/education/resources/what-caused-the-1832-great-reform-act/</b:URL>
    <b:YearAccessed>2023</b:YearAccessed>
    <b:MonthAccessed>January</b:MonthAccessed>
    <b:DayAccessed>5</b:DayAccessed>
    <b:RefOrder>99</b:RefOrder>
  </b:Source>
  <b:Source>
    <b:Tag>UKP23</b:Tag>
    <b:SourceType>InternetSite</b:SourceType>
    <b:Guid>{BD7875DB-2DF0-498D-BBE4-0850CEBE1F2E}</b:Guid>
    <b:Author>
      <b:Author>
        <b:Corporate>UK Parliament</b:Corporate>
      </b:Author>
    </b:Author>
    <b:Title>1928 Equal Franchise Act</b:Title>
    <b:InternetSiteTitle>UK Parliament</b:InternetSiteTitle>
    <b:URL>https://www.parliament.uk/about/living-heritage/transformingsociety/electionsvoting/womenvote/case-study-the-right-to-vote/the-right-to-vote/birmingham-and-the-equal-franchise/1928-equal-franchise-act/</b:URL>
    <b:YearAccessed>2023</b:YearAccessed>
    <b:MonthAccessed>January</b:MonthAccessed>
    <b:DayAccessed>5</b:DayAccessed>
    <b:RefOrder>100</b:RefOrder>
  </b:Source>
</b:Sources>
</file>

<file path=customXml/itemProps1.xml><?xml version="1.0" encoding="utf-8"?>
<ds:datastoreItem xmlns:ds="http://schemas.openxmlformats.org/officeDocument/2006/customXml" ds:itemID="{D74B2735-2B9A-4528-89AA-3FE7AA26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31</Pages>
  <Words>9110</Words>
  <Characters>51927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Lewis,Catherine swp54722</dc:creator>
  <cp:keywords/>
  <dc:description/>
  <cp:lastModifiedBy>Lewis,Catherine swp54722</cp:lastModifiedBy>
  <cp:revision>63</cp:revision>
  <dcterms:created xsi:type="dcterms:W3CDTF">2023-01-09T20:28:00Z</dcterms:created>
  <dcterms:modified xsi:type="dcterms:W3CDTF">2023-01-10T17:38:00Z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2023-01-09T22:10:03Z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32041137-cd8b-4d23-a649-7167c77b8e4b</vt:lpwstr>
  </property>
  <property fmtid="{D5CDD505-2E9C-101B-9397-08002B2CF9AE}" pid="8" name="MSIP_Label_66cf8fe5-b7b7-4df7-b38d-1c61ac2f6639_ContentBits">
    <vt:lpwstr>0</vt:lpwstr>
  </property>
</Properties>
</file>