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A2ADF" w14:textId="57FCCF98" w:rsidR="00CF2F07" w:rsidRDefault="000D7ACA" w:rsidP="008145A2">
      <w:pPr>
        <w:rPr>
          <w:rFonts w:eastAsia="Times New Roman"/>
        </w:rPr>
      </w:pPr>
      <w:r>
        <w:rPr>
          <w:rFonts w:eastAsia="Times New Roman"/>
          <w:noProof/>
        </w:rPr>
        <w:drawing>
          <wp:inline distT="0" distB="0" distL="0" distR="0" wp14:anchorId="18B4D88E" wp14:editId="05241C97">
            <wp:extent cx="1273323" cy="1273323"/>
            <wp:effectExtent l="0" t="0" r="0" b="0"/>
            <wp:docPr id="211851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14290" name="Picture 2118514290"/>
                    <pic:cNvPicPr/>
                  </pic:nvPicPr>
                  <pic:blipFill>
                    <a:blip r:embed="rId8">
                      <a:extLst>
                        <a:ext uri="{28A0092B-C50C-407E-A947-70E740481C1C}">
                          <a14:useLocalDpi xmlns:a14="http://schemas.microsoft.com/office/drawing/2010/main" val="0"/>
                        </a:ext>
                      </a:extLst>
                    </a:blip>
                    <a:stretch>
                      <a:fillRect/>
                    </a:stretch>
                  </pic:blipFill>
                  <pic:spPr>
                    <a:xfrm>
                      <a:off x="0" y="0"/>
                      <a:ext cx="1279120" cy="1279120"/>
                    </a:xfrm>
                    <a:prstGeom prst="rect">
                      <a:avLst/>
                    </a:prstGeom>
                  </pic:spPr>
                </pic:pic>
              </a:graphicData>
            </a:graphic>
          </wp:inline>
        </w:drawing>
      </w:r>
    </w:p>
    <w:p w14:paraId="61151734" w14:textId="77777777" w:rsidR="007523DD" w:rsidRDefault="007523DD" w:rsidP="008145A2">
      <w:pPr>
        <w:rPr>
          <w:rFonts w:eastAsia="Times New Roman"/>
        </w:rPr>
      </w:pPr>
    </w:p>
    <w:p w14:paraId="58160396" w14:textId="3BC60429" w:rsidR="007523DD" w:rsidRPr="00EC4DC2" w:rsidRDefault="007472C6" w:rsidP="00EC4DC2">
      <w:pPr>
        <w:jc w:val="center"/>
        <w:rPr>
          <w:rFonts w:ascii="Arial" w:eastAsia="Times New Roman" w:hAnsi="Arial" w:cs="Arial"/>
          <w:b/>
          <w:bCs/>
          <w:sz w:val="36"/>
          <w:szCs w:val="36"/>
        </w:rPr>
      </w:pPr>
      <w:r w:rsidRPr="00EC4DC2">
        <w:rPr>
          <w:rFonts w:ascii="Arial" w:eastAsia="Times New Roman" w:hAnsi="Arial" w:cs="Arial"/>
          <w:b/>
          <w:bCs/>
          <w:sz w:val="36"/>
          <w:szCs w:val="36"/>
        </w:rPr>
        <w:t xml:space="preserve">Name: Elizabeta Naydenova </w:t>
      </w:r>
      <w:r w:rsidRPr="00EC4DC2">
        <w:rPr>
          <w:rFonts w:ascii="Arial" w:eastAsia="Times New Roman" w:hAnsi="Arial" w:cs="Arial"/>
          <w:b/>
          <w:bCs/>
          <w:sz w:val="36"/>
          <w:szCs w:val="36"/>
        </w:rPr>
        <w:br/>
        <w:t xml:space="preserve">Student ID: </w:t>
      </w:r>
      <w:r w:rsidR="00EC4DC2" w:rsidRPr="00EC4DC2">
        <w:rPr>
          <w:rFonts w:ascii="Arial" w:eastAsia="Times New Roman" w:hAnsi="Arial" w:cs="Arial"/>
          <w:b/>
          <w:bCs/>
          <w:sz w:val="36"/>
          <w:szCs w:val="36"/>
        </w:rPr>
        <w:t>2317507</w:t>
      </w:r>
      <w:r w:rsidRPr="00EC4DC2">
        <w:rPr>
          <w:rFonts w:ascii="Arial" w:eastAsia="Times New Roman" w:hAnsi="Arial" w:cs="Arial"/>
          <w:b/>
          <w:bCs/>
          <w:sz w:val="36"/>
          <w:szCs w:val="36"/>
        </w:rPr>
        <w:br/>
        <w:t xml:space="preserve">Module: Principes of Human Resource Management </w:t>
      </w:r>
      <w:r w:rsidRPr="00EC4DC2">
        <w:rPr>
          <w:rFonts w:ascii="Arial" w:eastAsia="Times New Roman" w:hAnsi="Arial" w:cs="Arial"/>
          <w:b/>
          <w:bCs/>
          <w:sz w:val="36"/>
          <w:szCs w:val="36"/>
        </w:rPr>
        <w:br/>
        <w:t>Module Code: LCBB5012</w:t>
      </w:r>
      <w:r w:rsidRPr="00EC4DC2">
        <w:rPr>
          <w:rFonts w:ascii="Arial" w:eastAsia="Times New Roman" w:hAnsi="Arial" w:cs="Arial"/>
          <w:b/>
          <w:bCs/>
          <w:sz w:val="36"/>
          <w:szCs w:val="36"/>
        </w:rPr>
        <w:br/>
        <w:t>Lecture: Dr Nerys Dosseh</w:t>
      </w:r>
    </w:p>
    <w:p w14:paraId="5E984E83" w14:textId="77777777" w:rsidR="007523DD" w:rsidRDefault="007523DD" w:rsidP="008145A2">
      <w:pPr>
        <w:rPr>
          <w:rFonts w:eastAsia="Times New Roman"/>
        </w:rPr>
      </w:pPr>
    </w:p>
    <w:p w14:paraId="3287ECED" w14:textId="77777777" w:rsidR="007523DD" w:rsidRDefault="007523DD" w:rsidP="008145A2">
      <w:pPr>
        <w:rPr>
          <w:rFonts w:eastAsia="Times New Roman"/>
        </w:rPr>
      </w:pPr>
    </w:p>
    <w:p w14:paraId="413A783E" w14:textId="77777777" w:rsidR="007523DD" w:rsidRDefault="007523DD" w:rsidP="008145A2">
      <w:pPr>
        <w:rPr>
          <w:rFonts w:eastAsia="Times New Roman"/>
        </w:rPr>
      </w:pPr>
    </w:p>
    <w:p w14:paraId="246E53ED" w14:textId="77777777" w:rsidR="007523DD" w:rsidRDefault="007523DD" w:rsidP="008145A2">
      <w:pPr>
        <w:rPr>
          <w:rFonts w:eastAsia="Times New Roman"/>
        </w:rPr>
      </w:pPr>
    </w:p>
    <w:p w14:paraId="20C7E748" w14:textId="77777777" w:rsidR="007523DD" w:rsidRDefault="007523DD" w:rsidP="008145A2">
      <w:pPr>
        <w:rPr>
          <w:rFonts w:eastAsia="Times New Roman"/>
        </w:rPr>
      </w:pPr>
    </w:p>
    <w:p w14:paraId="1C0291C8" w14:textId="77777777" w:rsidR="007523DD" w:rsidRDefault="007523DD" w:rsidP="008145A2">
      <w:pPr>
        <w:rPr>
          <w:rFonts w:eastAsia="Times New Roman"/>
        </w:rPr>
      </w:pPr>
    </w:p>
    <w:p w14:paraId="656F8DE1" w14:textId="77777777" w:rsidR="007523DD" w:rsidRDefault="007523DD" w:rsidP="008145A2">
      <w:pPr>
        <w:rPr>
          <w:rFonts w:eastAsia="Times New Roman"/>
        </w:rPr>
      </w:pPr>
    </w:p>
    <w:p w14:paraId="18399651" w14:textId="77777777" w:rsidR="007523DD" w:rsidRDefault="007523DD" w:rsidP="008145A2">
      <w:pPr>
        <w:rPr>
          <w:rFonts w:eastAsia="Times New Roman"/>
        </w:rPr>
      </w:pPr>
    </w:p>
    <w:p w14:paraId="1A3DC1EE" w14:textId="77777777" w:rsidR="007523DD" w:rsidRDefault="007523DD" w:rsidP="008145A2">
      <w:pPr>
        <w:rPr>
          <w:rFonts w:eastAsia="Times New Roman"/>
        </w:rPr>
      </w:pPr>
    </w:p>
    <w:p w14:paraId="5ECE69B7" w14:textId="77777777" w:rsidR="007523DD" w:rsidRDefault="007523DD" w:rsidP="008145A2">
      <w:pPr>
        <w:rPr>
          <w:rFonts w:eastAsia="Times New Roman"/>
        </w:rPr>
      </w:pPr>
    </w:p>
    <w:p w14:paraId="1EAB2F57" w14:textId="77777777" w:rsidR="007523DD" w:rsidRDefault="007523DD" w:rsidP="008145A2">
      <w:pPr>
        <w:rPr>
          <w:rFonts w:eastAsia="Times New Roman"/>
        </w:rPr>
      </w:pPr>
    </w:p>
    <w:p w14:paraId="50E255A4" w14:textId="77777777" w:rsidR="007523DD" w:rsidRDefault="007523DD" w:rsidP="008145A2">
      <w:pPr>
        <w:rPr>
          <w:rFonts w:eastAsia="Times New Roman"/>
        </w:rPr>
      </w:pPr>
    </w:p>
    <w:p w14:paraId="09D801E0" w14:textId="77777777" w:rsidR="007523DD" w:rsidRDefault="007523DD" w:rsidP="008145A2">
      <w:pPr>
        <w:rPr>
          <w:rFonts w:eastAsia="Times New Roman"/>
        </w:rPr>
      </w:pPr>
    </w:p>
    <w:p w14:paraId="4D9D6085" w14:textId="77777777" w:rsidR="007523DD" w:rsidRDefault="007523DD" w:rsidP="008145A2">
      <w:pPr>
        <w:rPr>
          <w:rFonts w:eastAsia="Times New Roman"/>
        </w:rPr>
      </w:pPr>
    </w:p>
    <w:p w14:paraId="13BA1C9A" w14:textId="77777777" w:rsidR="007523DD" w:rsidRDefault="007523DD" w:rsidP="008145A2">
      <w:pPr>
        <w:rPr>
          <w:rFonts w:eastAsia="Times New Roman"/>
        </w:rPr>
      </w:pPr>
    </w:p>
    <w:p w14:paraId="12211D7E" w14:textId="77777777" w:rsidR="007523DD" w:rsidRDefault="007523DD" w:rsidP="008145A2">
      <w:pPr>
        <w:rPr>
          <w:rFonts w:eastAsia="Times New Roman"/>
        </w:rPr>
      </w:pPr>
    </w:p>
    <w:p w14:paraId="75AC1F37" w14:textId="77777777" w:rsidR="007523DD" w:rsidRDefault="007523DD" w:rsidP="008145A2">
      <w:pPr>
        <w:rPr>
          <w:rFonts w:eastAsia="Times New Roman"/>
        </w:rPr>
      </w:pPr>
    </w:p>
    <w:p w14:paraId="2E495961" w14:textId="77777777" w:rsidR="007523DD" w:rsidRDefault="007523DD" w:rsidP="008145A2">
      <w:pPr>
        <w:rPr>
          <w:rFonts w:eastAsia="Times New Roman"/>
        </w:rPr>
      </w:pPr>
    </w:p>
    <w:p w14:paraId="667171EF" w14:textId="77777777" w:rsidR="007523DD" w:rsidRDefault="007523DD" w:rsidP="008145A2">
      <w:pPr>
        <w:rPr>
          <w:rFonts w:eastAsia="Times New Roman"/>
        </w:rPr>
      </w:pPr>
    </w:p>
    <w:p w14:paraId="33CB23B7" w14:textId="77777777" w:rsidR="007523DD" w:rsidRDefault="007523DD" w:rsidP="008145A2">
      <w:pPr>
        <w:rPr>
          <w:rFonts w:eastAsia="Times New Roman"/>
        </w:rPr>
      </w:pPr>
    </w:p>
    <w:p w14:paraId="31EA362E" w14:textId="77777777" w:rsidR="007523DD" w:rsidRDefault="007523DD" w:rsidP="008145A2">
      <w:pPr>
        <w:rPr>
          <w:rFonts w:eastAsia="Times New Roman"/>
        </w:rPr>
      </w:pPr>
    </w:p>
    <w:p w14:paraId="4292526C" w14:textId="77777777" w:rsidR="007523DD" w:rsidRDefault="007523DD" w:rsidP="008145A2">
      <w:pPr>
        <w:rPr>
          <w:rFonts w:eastAsia="Times New Roman"/>
        </w:rPr>
      </w:pPr>
    </w:p>
    <w:p w14:paraId="3E91EF33" w14:textId="77777777" w:rsidR="007523DD" w:rsidRDefault="007523DD" w:rsidP="008145A2">
      <w:pPr>
        <w:rPr>
          <w:rFonts w:eastAsia="Times New Roman"/>
        </w:rPr>
      </w:pPr>
    </w:p>
    <w:p w14:paraId="2CEC18F1" w14:textId="77777777" w:rsidR="007523DD" w:rsidRDefault="007523DD" w:rsidP="008145A2">
      <w:pPr>
        <w:rPr>
          <w:rFonts w:eastAsia="Times New Roman"/>
        </w:rPr>
      </w:pPr>
    </w:p>
    <w:sdt>
      <w:sdtPr>
        <w:rPr>
          <w:rFonts w:asciiTheme="minorHAnsi" w:eastAsiaTheme="minorEastAsia" w:hAnsiTheme="minorHAnsi" w:cstheme="minorBidi"/>
          <w:color w:val="auto"/>
          <w:kern w:val="2"/>
          <w:sz w:val="24"/>
          <w:szCs w:val="24"/>
          <w:lang w:val="en-GB" w:eastAsia="en-GB"/>
          <w14:ligatures w14:val="standardContextual"/>
        </w:rPr>
        <w:id w:val="-922794202"/>
        <w:docPartObj>
          <w:docPartGallery w:val="Table of Contents"/>
          <w:docPartUnique/>
        </w:docPartObj>
      </w:sdtPr>
      <w:sdtEndPr>
        <w:rPr>
          <w:b/>
          <w:bCs/>
          <w:noProof/>
        </w:rPr>
      </w:sdtEndPr>
      <w:sdtContent>
        <w:p w14:paraId="42426749" w14:textId="174F9E7F" w:rsidR="00C2682E" w:rsidRDefault="00C2682E">
          <w:pPr>
            <w:pStyle w:val="TOCHeading"/>
          </w:pPr>
          <w:r>
            <w:t>Table of Contents</w:t>
          </w:r>
        </w:p>
        <w:p w14:paraId="4F0456BC" w14:textId="53A1027A" w:rsidR="00C2682E" w:rsidRDefault="00C2682E">
          <w:pPr>
            <w:pStyle w:val="TOC1"/>
            <w:tabs>
              <w:tab w:val="right" w:leader="dot" w:pos="9016"/>
            </w:tabs>
            <w:rPr>
              <w:noProof/>
            </w:rPr>
          </w:pPr>
          <w:r>
            <w:fldChar w:fldCharType="begin"/>
          </w:r>
          <w:r>
            <w:instrText xml:space="preserve"> TOC \o "1-3" \h \z \u </w:instrText>
          </w:r>
          <w:r>
            <w:fldChar w:fldCharType="separate"/>
          </w:r>
          <w:hyperlink w:anchor="_Toc237675767" w:history="1">
            <w:r w:rsidRPr="00025E52">
              <w:rPr>
                <w:rStyle w:val="Hyperlink"/>
                <w:rFonts w:ascii="Arial" w:eastAsia="Times New Roman" w:hAnsi="Arial" w:cs="Arial"/>
                <w:b/>
                <w:bCs/>
                <w:noProof/>
              </w:rPr>
              <w:t>Introduction</w:t>
            </w:r>
            <w:r>
              <w:rPr>
                <w:noProof/>
                <w:webHidden/>
              </w:rPr>
              <w:tab/>
            </w:r>
            <w:r>
              <w:rPr>
                <w:noProof/>
                <w:webHidden/>
              </w:rPr>
              <w:fldChar w:fldCharType="begin"/>
            </w:r>
            <w:r>
              <w:rPr>
                <w:noProof/>
                <w:webHidden/>
              </w:rPr>
              <w:instrText xml:space="preserve"> PAGEREF _Toc237675767 \h </w:instrText>
            </w:r>
            <w:r>
              <w:rPr>
                <w:noProof/>
                <w:webHidden/>
              </w:rPr>
            </w:r>
            <w:r>
              <w:rPr>
                <w:noProof/>
                <w:webHidden/>
              </w:rPr>
              <w:fldChar w:fldCharType="separate"/>
            </w:r>
            <w:r>
              <w:rPr>
                <w:noProof/>
                <w:webHidden/>
              </w:rPr>
              <w:t>3</w:t>
            </w:r>
            <w:r>
              <w:rPr>
                <w:noProof/>
                <w:webHidden/>
              </w:rPr>
              <w:fldChar w:fldCharType="end"/>
            </w:r>
          </w:hyperlink>
        </w:p>
        <w:p w14:paraId="74804B53" w14:textId="1A58A24F" w:rsidR="00C2682E" w:rsidRDefault="00C2682E">
          <w:pPr>
            <w:pStyle w:val="TOC1"/>
            <w:tabs>
              <w:tab w:val="right" w:leader="dot" w:pos="9016"/>
            </w:tabs>
            <w:rPr>
              <w:noProof/>
            </w:rPr>
          </w:pPr>
          <w:hyperlink w:anchor="_Toc237675768" w:history="1">
            <w:r w:rsidRPr="00025E52">
              <w:rPr>
                <w:rStyle w:val="Hyperlink"/>
                <w:rFonts w:ascii="Arial" w:hAnsi="Arial" w:cs="Arial"/>
                <w:b/>
                <w:bCs/>
                <w:noProof/>
              </w:rPr>
              <w:t>1. Internal and External Environment</w:t>
            </w:r>
            <w:r>
              <w:rPr>
                <w:noProof/>
                <w:webHidden/>
              </w:rPr>
              <w:tab/>
            </w:r>
            <w:r>
              <w:rPr>
                <w:noProof/>
                <w:webHidden/>
              </w:rPr>
              <w:fldChar w:fldCharType="begin"/>
            </w:r>
            <w:r>
              <w:rPr>
                <w:noProof/>
                <w:webHidden/>
              </w:rPr>
              <w:instrText xml:space="preserve"> PAGEREF _Toc237675768 \h </w:instrText>
            </w:r>
            <w:r>
              <w:rPr>
                <w:noProof/>
                <w:webHidden/>
              </w:rPr>
            </w:r>
            <w:r>
              <w:rPr>
                <w:noProof/>
                <w:webHidden/>
              </w:rPr>
              <w:fldChar w:fldCharType="separate"/>
            </w:r>
            <w:r>
              <w:rPr>
                <w:noProof/>
                <w:webHidden/>
              </w:rPr>
              <w:t>4</w:t>
            </w:r>
            <w:r>
              <w:rPr>
                <w:noProof/>
                <w:webHidden/>
              </w:rPr>
              <w:fldChar w:fldCharType="end"/>
            </w:r>
          </w:hyperlink>
        </w:p>
        <w:p w14:paraId="78D6B7F8" w14:textId="191D30CF" w:rsidR="00C2682E" w:rsidRDefault="00C2682E">
          <w:pPr>
            <w:pStyle w:val="TOC1"/>
            <w:tabs>
              <w:tab w:val="right" w:leader="dot" w:pos="9016"/>
            </w:tabs>
            <w:rPr>
              <w:noProof/>
            </w:rPr>
          </w:pPr>
          <w:hyperlink w:anchor="_Toc237675769" w:history="1">
            <w:r w:rsidRPr="00025E52">
              <w:rPr>
                <w:rStyle w:val="Hyperlink"/>
                <w:rFonts w:ascii="Arial" w:eastAsia="Times New Roman" w:hAnsi="Arial" w:cs="Arial"/>
                <w:b/>
                <w:bCs/>
                <w:noProof/>
              </w:rPr>
              <w:t>2. Organisation Application: Lloyds Banking Group</w:t>
            </w:r>
            <w:r>
              <w:rPr>
                <w:noProof/>
                <w:webHidden/>
              </w:rPr>
              <w:tab/>
            </w:r>
            <w:r>
              <w:rPr>
                <w:noProof/>
                <w:webHidden/>
              </w:rPr>
              <w:fldChar w:fldCharType="begin"/>
            </w:r>
            <w:r>
              <w:rPr>
                <w:noProof/>
                <w:webHidden/>
              </w:rPr>
              <w:instrText xml:space="preserve"> PAGEREF _Toc237675769 \h </w:instrText>
            </w:r>
            <w:r>
              <w:rPr>
                <w:noProof/>
                <w:webHidden/>
              </w:rPr>
            </w:r>
            <w:r>
              <w:rPr>
                <w:noProof/>
                <w:webHidden/>
              </w:rPr>
              <w:fldChar w:fldCharType="separate"/>
            </w:r>
            <w:r>
              <w:rPr>
                <w:noProof/>
                <w:webHidden/>
              </w:rPr>
              <w:t>5</w:t>
            </w:r>
            <w:r>
              <w:rPr>
                <w:noProof/>
                <w:webHidden/>
              </w:rPr>
              <w:fldChar w:fldCharType="end"/>
            </w:r>
          </w:hyperlink>
        </w:p>
        <w:p w14:paraId="605C9902" w14:textId="0E4868C7" w:rsidR="00C2682E" w:rsidRDefault="00C2682E">
          <w:pPr>
            <w:pStyle w:val="TOC1"/>
            <w:tabs>
              <w:tab w:val="right" w:leader="dot" w:pos="9016"/>
            </w:tabs>
            <w:rPr>
              <w:noProof/>
            </w:rPr>
          </w:pPr>
          <w:hyperlink w:anchor="_Toc237675770" w:history="1">
            <w:r w:rsidRPr="00025E52">
              <w:rPr>
                <w:rStyle w:val="Hyperlink"/>
                <w:rFonts w:ascii="Arial" w:eastAsia="Times New Roman" w:hAnsi="Arial" w:cs="Arial"/>
                <w:b/>
                <w:bCs/>
                <w:noProof/>
              </w:rPr>
              <w:t>3. Application of the PESTLE Model</w:t>
            </w:r>
            <w:r>
              <w:rPr>
                <w:noProof/>
                <w:webHidden/>
              </w:rPr>
              <w:tab/>
            </w:r>
            <w:r>
              <w:rPr>
                <w:noProof/>
                <w:webHidden/>
              </w:rPr>
              <w:fldChar w:fldCharType="begin"/>
            </w:r>
            <w:r>
              <w:rPr>
                <w:noProof/>
                <w:webHidden/>
              </w:rPr>
              <w:instrText xml:space="preserve"> PAGEREF _Toc237675770 \h </w:instrText>
            </w:r>
            <w:r>
              <w:rPr>
                <w:noProof/>
                <w:webHidden/>
              </w:rPr>
            </w:r>
            <w:r>
              <w:rPr>
                <w:noProof/>
                <w:webHidden/>
              </w:rPr>
              <w:fldChar w:fldCharType="separate"/>
            </w:r>
            <w:r>
              <w:rPr>
                <w:noProof/>
                <w:webHidden/>
              </w:rPr>
              <w:t>6</w:t>
            </w:r>
            <w:r>
              <w:rPr>
                <w:noProof/>
                <w:webHidden/>
              </w:rPr>
              <w:fldChar w:fldCharType="end"/>
            </w:r>
          </w:hyperlink>
        </w:p>
        <w:p w14:paraId="5B66BB90" w14:textId="0E9A3D9E" w:rsidR="00C2682E" w:rsidRDefault="00C2682E">
          <w:pPr>
            <w:pStyle w:val="TOC1"/>
            <w:tabs>
              <w:tab w:val="right" w:leader="dot" w:pos="9016"/>
            </w:tabs>
            <w:rPr>
              <w:noProof/>
            </w:rPr>
          </w:pPr>
          <w:hyperlink w:anchor="_Toc237675771" w:history="1">
            <w:r w:rsidRPr="00025E52">
              <w:rPr>
                <w:rStyle w:val="Hyperlink"/>
                <w:rFonts w:ascii="Arial" w:eastAsia="Times New Roman" w:hAnsi="Arial" w:cs="Arial"/>
                <w:b/>
                <w:bCs/>
                <w:noProof/>
              </w:rPr>
              <w:t>4. Country Differences and HR Effectiveness</w:t>
            </w:r>
            <w:r>
              <w:rPr>
                <w:noProof/>
                <w:webHidden/>
              </w:rPr>
              <w:tab/>
            </w:r>
            <w:r>
              <w:rPr>
                <w:noProof/>
                <w:webHidden/>
              </w:rPr>
              <w:fldChar w:fldCharType="begin"/>
            </w:r>
            <w:r>
              <w:rPr>
                <w:noProof/>
                <w:webHidden/>
              </w:rPr>
              <w:instrText xml:space="preserve"> PAGEREF _Toc237675771 \h </w:instrText>
            </w:r>
            <w:r>
              <w:rPr>
                <w:noProof/>
                <w:webHidden/>
              </w:rPr>
            </w:r>
            <w:r>
              <w:rPr>
                <w:noProof/>
                <w:webHidden/>
              </w:rPr>
              <w:fldChar w:fldCharType="separate"/>
            </w:r>
            <w:r>
              <w:rPr>
                <w:noProof/>
                <w:webHidden/>
              </w:rPr>
              <w:t>8</w:t>
            </w:r>
            <w:r>
              <w:rPr>
                <w:noProof/>
                <w:webHidden/>
              </w:rPr>
              <w:fldChar w:fldCharType="end"/>
            </w:r>
          </w:hyperlink>
        </w:p>
        <w:p w14:paraId="0F367B5A" w14:textId="39C4C5A6" w:rsidR="00C2682E" w:rsidRDefault="00C2682E">
          <w:pPr>
            <w:pStyle w:val="TOC1"/>
            <w:tabs>
              <w:tab w:val="right" w:leader="dot" w:pos="9016"/>
            </w:tabs>
            <w:rPr>
              <w:noProof/>
            </w:rPr>
          </w:pPr>
          <w:hyperlink w:anchor="_Toc237675772" w:history="1">
            <w:r w:rsidRPr="00025E52">
              <w:rPr>
                <w:rStyle w:val="Hyperlink"/>
                <w:rFonts w:ascii="Arial" w:eastAsia="Times New Roman" w:hAnsi="Arial" w:cs="Arial"/>
                <w:b/>
                <w:bCs/>
                <w:noProof/>
              </w:rPr>
              <w:t>5. Conclusion</w:t>
            </w:r>
            <w:r>
              <w:rPr>
                <w:noProof/>
                <w:webHidden/>
              </w:rPr>
              <w:tab/>
            </w:r>
            <w:r>
              <w:rPr>
                <w:noProof/>
                <w:webHidden/>
              </w:rPr>
              <w:fldChar w:fldCharType="begin"/>
            </w:r>
            <w:r>
              <w:rPr>
                <w:noProof/>
                <w:webHidden/>
              </w:rPr>
              <w:instrText xml:space="preserve"> PAGEREF _Toc237675772 \h </w:instrText>
            </w:r>
            <w:r>
              <w:rPr>
                <w:noProof/>
                <w:webHidden/>
              </w:rPr>
            </w:r>
            <w:r>
              <w:rPr>
                <w:noProof/>
                <w:webHidden/>
              </w:rPr>
              <w:fldChar w:fldCharType="separate"/>
            </w:r>
            <w:r>
              <w:rPr>
                <w:noProof/>
                <w:webHidden/>
              </w:rPr>
              <w:t>9</w:t>
            </w:r>
            <w:r>
              <w:rPr>
                <w:noProof/>
                <w:webHidden/>
              </w:rPr>
              <w:fldChar w:fldCharType="end"/>
            </w:r>
          </w:hyperlink>
        </w:p>
        <w:p w14:paraId="3826DEB9" w14:textId="29F442EA" w:rsidR="00C2682E" w:rsidRDefault="00C2682E">
          <w:pPr>
            <w:pStyle w:val="TOC1"/>
            <w:tabs>
              <w:tab w:val="right" w:leader="dot" w:pos="9016"/>
            </w:tabs>
            <w:rPr>
              <w:noProof/>
            </w:rPr>
          </w:pPr>
          <w:r>
            <w:fldChar w:fldCharType="begin"/>
          </w:r>
          <w:r>
            <w:instrText>HYPERLINK \l "_Toc237675773"</w:instrText>
          </w:r>
          <w:r>
            <w:fldChar w:fldCharType="separate"/>
          </w:r>
          <w:r w:rsidRPr="00025E5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_Toc237675773 \h </w:instrText>
          </w:r>
          <w:r>
            <w:rPr>
              <w:noProof/>
              <w:webHidden/>
            </w:rPr>
          </w:r>
          <w:r>
            <w:rPr>
              <w:noProof/>
              <w:webHidden/>
            </w:rPr>
            <w:fldChar w:fldCharType="separate"/>
          </w:r>
          <w:r>
            <w:rPr>
              <w:noProof/>
              <w:webHidden/>
            </w:rPr>
            <w:t>10</w:t>
          </w:r>
          <w:r>
            <w:rPr>
              <w:noProof/>
              <w:webHidden/>
            </w:rPr>
            <w:fldChar w:fldCharType="end"/>
          </w:r>
          <w:r>
            <w:fldChar w:fldCharType="end"/>
          </w:r>
        </w:p>
        <w:p w14:paraId="0881349D" w14:textId="1AB7C6BA" w:rsidR="00C2682E" w:rsidRDefault="00C2682E">
          <w:r>
            <w:rPr>
              <w:b/>
              <w:bCs/>
              <w:noProof/>
            </w:rPr>
            <w:fldChar w:fldCharType="end"/>
          </w:r>
        </w:p>
      </w:sdtContent>
    </w:sdt>
    <w:p w14:paraId="04336F28" w14:textId="77777777" w:rsidR="00CF2F07" w:rsidRDefault="00CF2F07" w:rsidP="00701E75">
      <w:pPr>
        <w:rPr>
          <w:rFonts w:eastAsia="Times New Roman"/>
        </w:rPr>
      </w:pPr>
    </w:p>
    <w:p w14:paraId="4BEF828A" w14:textId="77777777" w:rsidR="00CF2F07" w:rsidRDefault="00CF2F07" w:rsidP="00C040E2">
      <w:pPr>
        <w:rPr>
          <w:rFonts w:eastAsia="Times New Roman"/>
        </w:rPr>
      </w:pPr>
    </w:p>
    <w:p w14:paraId="5FCA86A1"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2AD761B4"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665DFBB1"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588260B2"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384F157F"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75F634C8"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0702500E"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0826F7EE"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1C195128"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69F3BEBD" w14:textId="77777777" w:rsidR="00CF2F07" w:rsidRDefault="00CF2F07" w:rsidP="00BF5C9B">
      <w:pPr>
        <w:spacing w:before="100" w:beforeAutospacing="1" w:after="100" w:afterAutospacing="1" w:line="240" w:lineRule="auto"/>
        <w:outlineLvl w:val="1"/>
        <w:rPr>
          <w:rFonts w:ascii="Arial" w:eastAsia="Times New Roman" w:hAnsi="Arial" w:cs="Arial"/>
          <w:b/>
          <w:bCs/>
          <w:kern w:val="0"/>
          <w14:ligatures w14:val="none"/>
        </w:rPr>
      </w:pPr>
    </w:p>
    <w:p w14:paraId="3C576A46" w14:textId="77777777" w:rsidR="00893FC9" w:rsidRPr="00701E75" w:rsidRDefault="00893FC9" w:rsidP="00701E75">
      <w:pPr>
        <w:rPr>
          <w:rFonts w:ascii="Arial" w:eastAsia="Times New Roman" w:hAnsi="Arial" w:cs="Arial"/>
          <w:b/>
          <w:bCs/>
        </w:rPr>
      </w:pPr>
    </w:p>
    <w:p w14:paraId="641608A1" w14:textId="10B369C9" w:rsidR="0056065B" w:rsidRPr="007472C6" w:rsidRDefault="00226424" w:rsidP="007472C6">
      <w:pPr>
        <w:spacing w:line="360" w:lineRule="auto"/>
        <w:rPr>
          <w:rFonts w:ascii="Arial" w:eastAsia="Times New Roman" w:hAnsi="Arial" w:cs="Arial"/>
          <w:b/>
          <w:bCs/>
        </w:rPr>
      </w:pPr>
      <w:r w:rsidRPr="007472C6">
        <w:rPr>
          <w:rFonts w:ascii="Arial" w:eastAsia="Times New Roman" w:hAnsi="Arial" w:cs="Arial"/>
          <w:b/>
          <w:bCs/>
        </w:rPr>
        <w:t>The Impact</w:t>
      </w:r>
      <w:r w:rsidR="00B92286" w:rsidRPr="007472C6">
        <w:rPr>
          <w:rFonts w:ascii="Arial" w:eastAsia="Times New Roman" w:hAnsi="Arial" w:cs="Arial"/>
          <w:b/>
          <w:bCs/>
        </w:rPr>
        <w:t xml:space="preserve"> of Envir</w:t>
      </w:r>
      <w:r w:rsidR="003D1D7B" w:rsidRPr="007472C6">
        <w:rPr>
          <w:rFonts w:ascii="Arial" w:eastAsia="Times New Roman" w:hAnsi="Arial" w:cs="Arial"/>
          <w:b/>
          <w:bCs/>
        </w:rPr>
        <w:t>onmental</w:t>
      </w:r>
      <w:r w:rsidR="00F545A1" w:rsidRPr="007472C6">
        <w:rPr>
          <w:rFonts w:ascii="Arial" w:eastAsia="Times New Roman" w:hAnsi="Arial" w:cs="Arial"/>
          <w:b/>
          <w:bCs/>
        </w:rPr>
        <w:t xml:space="preserve"> factors on Human </w:t>
      </w:r>
      <w:r w:rsidR="00F419C8" w:rsidRPr="007472C6">
        <w:rPr>
          <w:rFonts w:ascii="Arial" w:eastAsia="Times New Roman" w:hAnsi="Arial" w:cs="Arial"/>
          <w:b/>
          <w:bCs/>
        </w:rPr>
        <w:t>Resource</w:t>
      </w:r>
      <w:r w:rsidR="00275C45" w:rsidRPr="007472C6">
        <w:rPr>
          <w:rFonts w:ascii="Arial" w:eastAsia="Times New Roman" w:hAnsi="Arial" w:cs="Arial"/>
          <w:b/>
          <w:bCs/>
        </w:rPr>
        <w:t xml:space="preserve"> Management</w:t>
      </w:r>
      <w:r w:rsidR="00ED2F76" w:rsidRPr="007472C6">
        <w:rPr>
          <w:rFonts w:ascii="Arial" w:eastAsia="Times New Roman" w:hAnsi="Arial" w:cs="Arial"/>
          <w:b/>
          <w:bCs/>
        </w:rPr>
        <w:t>:</w:t>
      </w:r>
      <w:r w:rsidR="005D7C6F" w:rsidRPr="007472C6">
        <w:rPr>
          <w:rFonts w:ascii="Arial" w:eastAsia="Times New Roman" w:hAnsi="Arial" w:cs="Arial"/>
          <w:b/>
          <w:bCs/>
        </w:rPr>
        <w:t xml:space="preserve"> </w:t>
      </w:r>
      <w:r w:rsidR="000B234E" w:rsidRPr="007472C6">
        <w:rPr>
          <w:rFonts w:ascii="Arial" w:eastAsia="Times New Roman" w:hAnsi="Arial" w:cs="Arial"/>
          <w:b/>
          <w:bCs/>
        </w:rPr>
        <w:t>A PESTLE Analysis</w:t>
      </w:r>
      <w:r w:rsidR="00C6283C" w:rsidRPr="007472C6">
        <w:rPr>
          <w:rFonts w:ascii="Arial" w:eastAsia="Times New Roman" w:hAnsi="Arial" w:cs="Arial"/>
          <w:b/>
          <w:bCs/>
        </w:rPr>
        <w:t xml:space="preserve"> of </w:t>
      </w:r>
      <w:r w:rsidR="00703012" w:rsidRPr="007472C6">
        <w:rPr>
          <w:rFonts w:ascii="Arial" w:eastAsia="Times New Roman" w:hAnsi="Arial" w:cs="Arial"/>
          <w:b/>
          <w:bCs/>
        </w:rPr>
        <w:t>Lloyd</w:t>
      </w:r>
      <w:r w:rsidR="001B645C" w:rsidRPr="007472C6">
        <w:rPr>
          <w:rFonts w:ascii="Arial" w:eastAsia="Times New Roman" w:hAnsi="Arial" w:cs="Arial"/>
          <w:b/>
          <w:bCs/>
        </w:rPr>
        <w:t>s Bankin</w:t>
      </w:r>
      <w:r w:rsidR="002A3328" w:rsidRPr="007472C6">
        <w:rPr>
          <w:rFonts w:ascii="Arial" w:eastAsia="Times New Roman" w:hAnsi="Arial" w:cs="Arial"/>
          <w:b/>
          <w:bCs/>
        </w:rPr>
        <w:t>g Group</w:t>
      </w:r>
    </w:p>
    <w:p w14:paraId="25A51643" w14:textId="1F0FC001" w:rsidR="000B3D4A" w:rsidRPr="007472C6" w:rsidRDefault="000B3D4A" w:rsidP="007472C6">
      <w:pPr>
        <w:pStyle w:val="Heading1"/>
        <w:spacing w:line="360" w:lineRule="auto"/>
        <w:rPr>
          <w:rFonts w:ascii="Arial" w:eastAsia="Times New Roman" w:hAnsi="Arial" w:cs="Arial"/>
          <w:b/>
          <w:bCs/>
          <w:sz w:val="24"/>
          <w:szCs w:val="24"/>
        </w:rPr>
      </w:pPr>
      <w:bookmarkStart w:id="0" w:name="_Toc237675767"/>
      <w:r w:rsidRPr="007472C6">
        <w:rPr>
          <w:rFonts w:ascii="Arial" w:eastAsia="Times New Roman" w:hAnsi="Arial" w:cs="Arial"/>
          <w:b/>
          <w:bCs/>
          <w:sz w:val="24"/>
          <w:szCs w:val="24"/>
        </w:rPr>
        <w:t>Introduction</w:t>
      </w:r>
      <w:bookmarkEnd w:id="0"/>
    </w:p>
    <w:p w14:paraId="4953D1EB"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Human Resource (HR) management is an important function in every organisation. HR managers help organisations achieve their goals by managing employees effectively and ensuring that the workforce has the skills and motivation needed for success. Key HR functions include recruitment, training and development, performance management, and employee relations.</w:t>
      </w:r>
    </w:p>
    <w:p w14:paraId="2FA90C73"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Recruitment involves attracting and selecting suitable employees for available positions. Effective recruitment ensures that organisations have talented individuals who can contribute to business objectives. Training and development help employees improve their skills, knowledge, and performance. This is important because businesses operate in changing environments and employees must continuously learn new skills. Performance management involves setting goals, monitoring employee performance, and providing feedback to improve productivity. Employee relations focus on maintaining positive relationships between employers and employees, promoting communication, resolving conflicts, and increasing employee satisfaction.</w:t>
      </w:r>
    </w:p>
    <w:p w14:paraId="034F56B9"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These HR functions are essential because employees are a valuable organisational resource. Effective HR management can improve employee engagement, productivity, and organisational performance. However, HR managers do not work in isolation. Their effectiveness is influenced by various internal and external environmental factors such as economic conditions, government regulations, technological developments, social changes, and organisational culture.</w:t>
      </w:r>
    </w:p>
    <w:p w14:paraId="15BE9A80"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This report examines how environmental factors influence HR managers’ effectiveness. The report uses the PESTLE model to analyse the business environment and its impact on HR functions. First, the report discusses the internal </w:t>
      </w:r>
      <w:r w:rsidRPr="007472C6">
        <w:rPr>
          <w:rFonts w:ascii="Arial" w:hAnsi="Arial" w:cs="Arial"/>
          <w:kern w:val="0"/>
          <w14:ligatures w14:val="none"/>
        </w:rPr>
        <w:lastRenderedPageBreak/>
        <w:t>and external environment and explains the usefulness and limitations of the PESTLE model. Second, it introduces Lloyds Banking Group and outlines its HR practices. Third, the report applies the PESTLE model to evaluate how environmental factors affect HR management within the organisation. Finally, the report concludes by summarising the key findings and discussing future implications for HR managers in global organisations.</w:t>
      </w:r>
    </w:p>
    <w:p w14:paraId="4C39E92F" w14:textId="5816125E" w:rsidR="000B3D4A" w:rsidRPr="007472C6" w:rsidRDefault="006B3FA8" w:rsidP="007472C6">
      <w:pPr>
        <w:pStyle w:val="Heading1"/>
        <w:spacing w:line="360" w:lineRule="auto"/>
        <w:rPr>
          <w:rFonts w:ascii="Arial" w:hAnsi="Arial" w:cs="Arial"/>
          <w:b/>
          <w:bCs/>
          <w:sz w:val="24"/>
          <w:szCs w:val="24"/>
        </w:rPr>
      </w:pPr>
      <w:bookmarkStart w:id="1" w:name="_Toc237675768"/>
      <w:r w:rsidRPr="007472C6">
        <w:rPr>
          <w:rFonts w:ascii="Arial" w:hAnsi="Arial" w:cs="Arial"/>
          <w:b/>
          <w:bCs/>
          <w:sz w:val="24"/>
          <w:szCs w:val="24"/>
        </w:rPr>
        <w:t>1</w:t>
      </w:r>
      <w:r w:rsidR="000B3D4A" w:rsidRPr="007472C6">
        <w:rPr>
          <w:rFonts w:ascii="Arial" w:hAnsi="Arial" w:cs="Arial"/>
          <w:b/>
          <w:bCs/>
          <w:sz w:val="24"/>
          <w:szCs w:val="24"/>
        </w:rPr>
        <w:t>. Internal and External Environment</w:t>
      </w:r>
      <w:bookmarkEnd w:id="1"/>
    </w:p>
    <w:p w14:paraId="5EB6DA58" w14:textId="22CD3A3D" w:rsidR="00575947"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business environment includes all factors that influence an organisation’s operations and performance. These factors can be internal or external. Internal factors originate within the organisation and include organisational culture, leadership style, communication systems, employee capabilities, and business strategy. External factors come from outside the organisation and include political, economic, social, technological, legal, and environmental influences</w:t>
      </w:r>
      <w:r w:rsidR="00575947" w:rsidRPr="007472C6">
        <w:rPr>
          <w:rFonts w:ascii="Arial" w:hAnsi="Arial" w:cs="Arial"/>
          <w:kern w:val="0"/>
          <w14:ligatures w14:val="none"/>
        </w:rPr>
        <w:t xml:space="preserve"> (Johnson et al., 2022)</w:t>
      </w:r>
    </w:p>
    <w:p w14:paraId="558B1584" w14:textId="0BE2A0FC"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One of the </w:t>
      </w:r>
      <w:r w:rsidR="00575947" w:rsidRPr="007472C6">
        <w:rPr>
          <w:rFonts w:ascii="Arial" w:hAnsi="Arial" w:cs="Arial"/>
          <w:kern w:val="0"/>
          <w14:ligatures w14:val="none"/>
        </w:rPr>
        <w:t>most used</w:t>
      </w:r>
      <w:r w:rsidRPr="007472C6">
        <w:rPr>
          <w:rFonts w:ascii="Arial" w:hAnsi="Arial" w:cs="Arial"/>
          <w:kern w:val="0"/>
          <w14:ligatures w14:val="none"/>
        </w:rPr>
        <w:t xml:space="preserve"> models for analysing the external business environment is the PESTLE model. PESTLE stands for Political, Economic, Social, Technological, Legal, and Environmental factors. The model helps organisations understand how external forces may create opportunities or challenges</w:t>
      </w:r>
      <w:r w:rsidR="00575947" w:rsidRPr="007472C6">
        <w:rPr>
          <w:rFonts w:ascii="Arial" w:hAnsi="Arial" w:cs="Arial"/>
          <w:kern w:val="0"/>
          <w14:ligatures w14:val="none"/>
        </w:rPr>
        <w:t xml:space="preserve"> (Johnson et al.,2022). </w:t>
      </w:r>
    </w:p>
    <w:p w14:paraId="53C5554C" w14:textId="36DBB58B"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Political factors include government policies, political stability, and regulations that affect business activities. Economic factors include inflation, interest rates, unemployment levels, and economic growth. Social factors relate to demographics, cultural values, lifestyle changes, and employee expectations. Technological factors involve innovation, automation, artificial intelligence, and digital transformation. Legal factors include employment legislation, health and safety requirements, and equality laws. Environmental factors involve sustainability, climate change, and environmental responsibilities</w:t>
      </w:r>
      <w:r w:rsidR="00575947" w:rsidRPr="007472C6">
        <w:rPr>
          <w:rFonts w:ascii="Arial" w:hAnsi="Arial" w:cs="Arial"/>
          <w:kern w:val="0"/>
          <w14:ligatures w14:val="none"/>
        </w:rPr>
        <w:t xml:space="preserve"> (CIPD, 2024).</w:t>
      </w:r>
    </w:p>
    <w:p w14:paraId="54663779"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The PESTLE model is useful because it provides a structured framework for analysing external influences. Organisations can use the model to identify potential risks and opportunities and develop strategies to respond effectively. HR managers can use PESTLE analysis to support workforce planning, recruitment, training, </w:t>
      </w:r>
      <w:r w:rsidRPr="007472C6">
        <w:rPr>
          <w:rFonts w:ascii="Arial" w:hAnsi="Arial" w:cs="Arial"/>
          <w:kern w:val="0"/>
          <w14:ligatures w14:val="none"/>
        </w:rPr>
        <w:lastRenderedPageBreak/>
        <w:t>employee wellbeing, and compliance with employment regulations. For example, technological developments may require new employee skills, while legal changes may require updates to HR policies and procedures (SHRM, 2024).</w:t>
      </w:r>
    </w:p>
    <w:p w14:paraId="706B0840" w14:textId="6B23F0EC"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However, the PESTLE model also has limitations. First, it mainly focuses on external factors and does not provide detailed analysis of internal organisational issues. Second, the business environment can change rapidly, meaning that PESTLE analyses may become outdated. Third, the model identifies environmental factors but does not indicate which factors are most important. Therefore, organisations should use PESTLE alongside other management tools and internal analysis</w:t>
      </w:r>
      <w:r w:rsidR="00575947" w:rsidRPr="007472C6">
        <w:rPr>
          <w:rFonts w:ascii="Arial" w:hAnsi="Arial" w:cs="Arial"/>
          <w:kern w:val="0"/>
          <w14:ligatures w14:val="none"/>
        </w:rPr>
        <w:t xml:space="preserve"> (Gupta,2023).</w:t>
      </w:r>
    </w:p>
    <w:p w14:paraId="552883A6" w14:textId="2D962975"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PESTLE model is closely linked to HR functions. Political and legal factors affect recruitment, employment contracts, and employee rights. Economic conditions influence workforce planning, salaries, and benefits. Social factors shape employee expectations regarding diversity, inclusion, and work-life balance. Technological developments affect recruitment methods, training programmes, and performance management systems. Environmental concerns influence sustainability initiatives and employee engagement programmes</w:t>
      </w:r>
      <w:r w:rsidR="00575947" w:rsidRPr="007472C6">
        <w:rPr>
          <w:rFonts w:ascii="Arial" w:hAnsi="Arial" w:cs="Arial"/>
          <w:kern w:val="0"/>
          <w14:ligatures w14:val="none"/>
        </w:rPr>
        <w:t xml:space="preserve"> (CIPD,2024). </w:t>
      </w:r>
    </w:p>
    <w:p w14:paraId="0E4F4FA6" w14:textId="1EF2EB63"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Internal factors are equally important. Organisational culture affects employee behaviour and motivation. Leadership styles influence employee engagement and performance. Effective communication supports positive employee relations and organisational success. Therefore, HR managers must understand both internal and external environmental factors to perform their roles effectively</w:t>
      </w:r>
      <w:r w:rsidR="00575947" w:rsidRPr="007472C6">
        <w:rPr>
          <w:rFonts w:ascii="Arial" w:hAnsi="Arial" w:cs="Arial"/>
          <w:kern w:val="0"/>
          <w14:ligatures w14:val="none"/>
        </w:rPr>
        <w:t xml:space="preserve"> (CIPD,2024).</w:t>
      </w:r>
    </w:p>
    <w:p w14:paraId="13AF4CB4" w14:textId="172F76AF" w:rsidR="000B3D4A" w:rsidRPr="007472C6" w:rsidRDefault="006B3FA8" w:rsidP="007472C6">
      <w:pPr>
        <w:pStyle w:val="Heading1"/>
        <w:spacing w:line="360" w:lineRule="auto"/>
        <w:rPr>
          <w:rFonts w:ascii="Arial" w:eastAsia="Times New Roman" w:hAnsi="Arial" w:cs="Arial"/>
          <w:b/>
          <w:bCs/>
          <w:sz w:val="24"/>
          <w:szCs w:val="24"/>
        </w:rPr>
      </w:pPr>
      <w:bookmarkStart w:id="2" w:name="_Toc237675769"/>
      <w:r w:rsidRPr="007472C6">
        <w:rPr>
          <w:rFonts w:ascii="Arial" w:eastAsia="Times New Roman" w:hAnsi="Arial" w:cs="Arial"/>
          <w:b/>
          <w:bCs/>
          <w:sz w:val="24"/>
          <w:szCs w:val="24"/>
        </w:rPr>
        <w:t>2.</w:t>
      </w:r>
      <w:r w:rsidR="000B3D4A" w:rsidRPr="007472C6">
        <w:rPr>
          <w:rFonts w:ascii="Arial" w:eastAsia="Times New Roman" w:hAnsi="Arial" w:cs="Arial"/>
          <w:b/>
          <w:bCs/>
          <w:sz w:val="24"/>
          <w:szCs w:val="24"/>
        </w:rPr>
        <w:t xml:space="preserve"> Organisation Application: Lloyds Banking Group</w:t>
      </w:r>
      <w:bookmarkEnd w:id="2"/>
    </w:p>
    <w:p w14:paraId="471E4E1C" w14:textId="7CE893D4"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Lloyds Banking Group is one of the largest financial services organisations in the United Kingdom. The group operates through well-known brands including Lloyds Bank, Halifax, Bank of Scotland, and Scottish Widows. The organisation provides retail banking, commercial banking, insurance, investment, and financial services to millions of customers</w:t>
      </w:r>
      <w:r w:rsidR="00575947" w:rsidRPr="007472C6">
        <w:rPr>
          <w:rFonts w:ascii="Arial" w:hAnsi="Arial" w:cs="Arial"/>
          <w:kern w:val="0"/>
          <w14:ligatures w14:val="none"/>
        </w:rPr>
        <w:t xml:space="preserve"> (Lloyds Banking Group,2024).</w:t>
      </w:r>
    </w:p>
    <w:p w14:paraId="70A77544"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lastRenderedPageBreak/>
        <w:t>Although Lloyds Banking Group is headquartered in the United Kingdom, it operates in an international financial environment through global markets, international business relationships, overseas customers, and worldwide investment activities. The organisation employs more than 60,000 people and plays an important role in the UK financial sector (Lloyds Banking Group, 2024a).</w:t>
      </w:r>
    </w:p>
    <w:p w14:paraId="634A9D86"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organisation places strong emphasis on effective HR management. Recruitment focuses on attracting talented individuals through graduate programmes, apprenticeships, digital recruitment platforms, and experienced professional hiring. Lloyds aims to recruit employees from diverse backgrounds to support innovation and inclusion.</w:t>
      </w:r>
    </w:p>
    <w:p w14:paraId="408A0634"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Training and development are important elements of the organisation’s HR strategy. Employees receive opportunities to develop digital, leadership, customer service, and technical skills. The organisation invests in continuous learning to help employees adapt to changes in banking technology and customer expectations (Lloyds Banking Group, 2024b).</w:t>
      </w:r>
    </w:p>
    <w:p w14:paraId="0A1CE1A5" w14:textId="009914F9"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Performance management focuses on employee development, accountability, and organisational objectives. Managers provide feedback and support employees in achieving performance goals. Employee relations are supported through employee engagement initiatives, wellbeing programmes, flexible working arrangements, diversity policies, and communication channels that encourage employee participation. These HR practices help Lloyds Banking Group maintain a productive and engaged workforce</w:t>
      </w:r>
      <w:r w:rsidR="00536C03" w:rsidRPr="007472C6">
        <w:rPr>
          <w:rFonts w:ascii="Arial" w:hAnsi="Arial" w:cs="Arial"/>
          <w:kern w:val="0"/>
          <w14:ligatures w14:val="none"/>
        </w:rPr>
        <w:t xml:space="preserve"> (Lloyds Banking Group,2024).</w:t>
      </w:r>
    </w:p>
    <w:p w14:paraId="110927DF" w14:textId="699CF3E5" w:rsidR="000B3D4A" w:rsidRPr="007472C6" w:rsidRDefault="006B3FA8" w:rsidP="007472C6">
      <w:pPr>
        <w:pStyle w:val="Heading1"/>
        <w:spacing w:line="360" w:lineRule="auto"/>
        <w:rPr>
          <w:rFonts w:ascii="Arial" w:eastAsia="Times New Roman" w:hAnsi="Arial" w:cs="Arial"/>
          <w:b/>
          <w:bCs/>
          <w:sz w:val="24"/>
          <w:szCs w:val="24"/>
        </w:rPr>
      </w:pPr>
      <w:bookmarkStart w:id="3" w:name="_Toc237675770"/>
      <w:r w:rsidRPr="007472C6">
        <w:rPr>
          <w:rFonts w:ascii="Arial" w:eastAsia="Times New Roman" w:hAnsi="Arial" w:cs="Arial"/>
          <w:b/>
          <w:bCs/>
          <w:sz w:val="24"/>
          <w:szCs w:val="24"/>
        </w:rPr>
        <w:t xml:space="preserve">3. </w:t>
      </w:r>
      <w:r w:rsidR="000B3D4A" w:rsidRPr="007472C6">
        <w:rPr>
          <w:rFonts w:ascii="Arial" w:eastAsia="Times New Roman" w:hAnsi="Arial" w:cs="Arial"/>
          <w:b/>
          <w:bCs/>
          <w:sz w:val="24"/>
          <w:szCs w:val="24"/>
        </w:rPr>
        <w:t>Application of the PESTLE Model</w:t>
      </w:r>
      <w:bookmarkEnd w:id="3"/>
    </w:p>
    <w:p w14:paraId="274B60F1"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PESTLE model can be used to analyse how environmental factors influence HR managers’ effectiveness within Lloyds Banking Group.</w:t>
      </w:r>
    </w:p>
    <w:p w14:paraId="11D2C99B" w14:textId="70C19615" w:rsidR="000B3D4A"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t>Political Factors</w:t>
      </w:r>
    </w:p>
    <w:p w14:paraId="5E8D00CB" w14:textId="0878186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Political factors significantly influence the banking industry. Government policies and political decisions affect financial regulations, taxation, employment laws, and economic stability. HR managers at Lloyds Banking Group must understand these </w:t>
      </w:r>
      <w:r w:rsidRPr="007472C6">
        <w:rPr>
          <w:rFonts w:ascii="Arial" w:hAnsi="Arial" w:cs="Arial"/>
          <w:kern w:val="0"/>
          <w14:ligatures w14:val="none"/>
        </w:rPr>
        <w:lastRenderedPageBreak/>
        <w:t>factors because they influence workforce planning and organisational strategy</w:t>
      </w:r>
      <w:r w:rsidR="00536C03" w:rsidRPr="007472C6">
        <w:rPr>
          <w:rFonts w:ascii="Arial" w:hAnsi="Arial" w:cs="Arial"/>
          <w:kern w:val="0"/>
          <w14:ligatures w14:val="none"/>
        </w:rPr>
        <w:t xml:space="preserve"> (Lloyds Banking Group,2024). </w:t>
      </w:r>
    </w:p>
    <w:p w14:paraId="62646281" w14:textId="14B10B1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For example, changes in government employment policies may affect recruitment procedures and workforce management practices. Political uncertainty can also create challenges for business planning and employee confidence. HR managers must communicate effectively with employees during periods of political change and ensure that HR policies remain aligned with government requirements</w:t>
      </w:r>
      <w:r w:rsidR="00536C03" w:rsidRPr="007472C6">
        <w:rPr>
          <w:rFonts w:ascii="Arial" w:hAnsi="Arial" w:cs="Arial"/>
          <w:kern w:val="0"/>
          <w14:ligatures w14:val="none"/>
        </w:rPr>
        <w:t xml:space="preserve"> (CPID,2024).</w:t>
      </w:r>
    </w:p>
    <w:p w14:paraId="4023EB3F" w14:textId="56E66390"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Political decisions relating to international trade and financial services may also influence the organisation’s international operations. HR managers therefore need to monitor political developments and prepare strategies that support organisational resilience</w:t>
      </w:r>
      <w:r w:rsidR="00536C03" w:rsidRPr="007472C6">
        <w:rPr>
          <w:rFonts w:ascii="Arial" w:hAnsi="Arial" w:cs="Arial"/>
          <w:kern w:val="0"/>
          <w14:ligatures w14:val="none"/>
        </w:rPr>
        <w:t xml:space="preserve"> (Lloyds Banking Group,2024). </w:t>
      </w:r>
    </w:p>
    <w:p w14:paraId="27D6B251" w14:textId="77777777" w:rsidR="00962F32" w:rsidRPr="007472C6" w:rsidRDefault="00962F32" w:rsidP="007472C6">
      <w:pPr>
        <w:spacing w:before="100" w:beforeAutospacing="1" w:after="100" w:afterAutospacing="1" w:line="360" w:lineRule="auto"/>
        <w:rPr>
          <w:rFonts w:ascii="Arial" w:hAnsi="Arial" w:cs="Arial"/>
          <w:kern w:val="0"/>
          <w14:ligatures w14:val="none"/>
        </w:rPr>
      </w:pPr>
    </w:p>
    <w:p w14:paraId="3D049772" w14:textId="5F1C455D" w:rsidR="000B3D4A"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t>Economic Factors</w:t>
      </w:r>
    </w:p>
    <w:p w14:paraId="7432B5CB" w14:textId="25CB01BD"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Economic conditions have a major impact on HR management. Factors such as inflation, interest rates, economic growth, and labour market conditions influence recruitment, compensation, and employee retention</w:t>
      </w:r>
      <w:r w:rsidR="00536C03" w:rsidRPr="007472C6">
        <w:rPr>
          <w:rFonts w:ascii="Arial" w:hAnsi="Arial" w:cs="Arial"/>
          <w:kern w:val="0"/>
          <w14:ligatures w14:val="none"/>
        </w:rPr>
        <w:t xml:space="preserve"> (World Economic Forum,2025).</w:t>
      </w:r>
    </w:p>
    <w:p w14:paraId="58753497" w14:textId="65EBCBD2"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In the banking sector, economic changes directly affect business performance. Rising inflation can increase employee demands for higher wages, while economic uncertainty may require organisations to manage costs carefully. HR managers must balance employee expectations with organisational financial objectives</w:t>
      </w:r>
      <w:r w:rsidR="00536C03" w:rsidRPr="007472C6">
        <w:rPr>
          <w:rFonts w:ascii="Arial" w:hAnsi="Arial" w:cs="Arial"/>
          <w:kern w:val="0"/>
          <w14:ligatures w14:val="none"/>
        </w:rPr>
        <w:t xml:space="preserve"> (Lloyds Banking Group,2024; CPID,2024).</w:t>
      </w:r>
    </w:p>
    <w:p w14:paraId="236F6AD6"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Skills shortages in areas such as technology, cybersecurity, and data analytics have increased competition for talented employees. According to the World Economic Forum (2025), demand for digital and analytical skills continues to grow across industries. HR managers must therefore develop attractive recruitment and retention strategies to secure skilled employees.</w:t>
      </w:r>
    </w:p>
    <w:p w14:paraId="04624F64" w14:textId="37184232"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lastRenderedPageBreak/>
        <w:t>Economic conditions also affect employee wellbeing. Financial pressures may increase stress among employees, making wellbeing programmes and employee support initiatives increasingly important</w:t>
      </w:r>
      <w:r w:rsidR="00536C03" w:rsidRPr="007472C6">
        <w:rPr>
          <w:rFonts w:ascii="Arial" w:hAnsi="Arial" w:cs="Arial"/>
          <w:kern w:val="0"/>
          <w14:ligatures w14:val="none"/>
        </w:rPr>
        <w:t xml:space="preserve"> (CPID,2024). </w:t>
      </w:r>
    </w:p>
    <w:p w14:paraId="4A8C52EB" w14:textId="1A5E8ACE" w:rsidR="000B3D4A"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t>Social Factors</w:t>
      </w:r>
    </w:p>
    <w:p w14:paraId="0455E5EE"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Social factors influence employee behaviour, workplace expectations, and organisational culture. Changes in demographics, employee values, and social attitudes affect HR practices significantly.</w:t>
      </w:r>
    </w:p>
    <w:p w14:paraId="6E6285CB"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Employees today increasingly value diversity, inclusion, flexibility, and wellbeing. Many workers expect employers to provide opportunities for career development and support work-life balance. Lloyds Banking Group has responded to these expectations through diversity initiatives, flexible working arrangements, and employee wellbeing programmes (Lloyds Banking Group, 2024b).</w:t>
      </w:r>
    </w:p>
    <w:p w14:paraId="54B3AEA3"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Cultural diversity is another important consideration. HR managers must create inclusive workplaces where employees from different backgrounds feel respected and valued. Research suggests that inclusive workplace cultures contribute positively to employee engagement and organisational performance (CIPD, 2024).</w:t>
      </w:r>
    </w:p>
    <w:p w14:paraId="0C3F80A7"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Social expectations regarding corporate responsibility have also increased. Employees often prefer to work for organisations that demonstrate ethical behaviour and contribute positively to society. HR managers play an important role in promoting organisational values and strengthening employee commitment.</w:t>
      </w:r>
    </w:p>
    <w:p w14:paraId="7A32712C" w14:textId="77777777" w:rsidR="00893FC9" w:rsidRPr="007472C6" w:rsidRDefault="00893FC9" w:rsidP="007472C6">
      <w:pPr>
        <w:spacing w:before="100" w:beforeAutospacing="1" w:after="100" w:afterAutospacing="1" w:line="360" w:lineRule="auto"/>
        <w:rPr>
          <w:rFonts w:ascii="Arial" w:hAnsi="Arial" w:cs="Arial"/>
          <w:kern w:val="0"/>
          <w14:ligatures w14:val="none"/>
        </w:rPr>
      </w:pPr>
    </w:p>
    <w:p w14:paraId="5984A044" w14:textId="77777777" w:rsidR="00893FC9" w:rsidRPr="007472C6" w:rsidRDefault="00893FC9" w:rsidP="007472C6">
      <w:pPr>
        <w:spacing w:before="100" w:beforeAutospacing="1" w:after="100" w:afterAutospacing="1" w:line="360" w:lineRule="auto"/>
        <w:rPr>
          <w:rFonts w:ascii="Arial" w:hAnsi="Arial" w:cs="Arial"/>
          <w:kern w:val="0"/>
          <w14:ligatures w14:val="none"/>
        </w:rPr>
      </w:pPr>
    </w:p>
    <w:p w14:paraId="7B374D8C" w14:textId="25330E0A" w:rsidR="00893FC9"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t>Technological Factors</w:t>
      </w:r>
    </w:p>
    <w:p w14:paraId="13A6ED9F"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Technology is one of the most significant influences on HR management today. Digital banking, artificial intelligence, automation, and data analytics are transforming the financial services industry.</w:t>
      </w:r>
    </w:p>
    <w:p w14:paraId="05F6A6AF"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lastRenderedPageBreak/>
        <w:t>Lloyds Banking Group continues to invest heavily in digital transformation to improve customer experiences and business efficiency (Lloyds Banking Group, 2024a). These technological developments affect HR functions in several ways.</w:t>
      </w:r>
    </w:p>
    <w:p w14:paraId="2D28FD23" w14:textId="3CD89326" w:rsidR="00A14442"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Recruitment increasingly uses digital platforms, online assessments, and data-driven selection methods. Training and development programmes often use online learning systems and virtual training tools. Performance management systems also use technology to track employee progress and provide feedback</w:t>
      </w:r>
      <w:r w:rsidR="00536C03" w:rsidRPr="007472C6">
        <w:rPr>
          <w:rFonts w:ascii="Arial" w:hAnsi="Arial" w:cs="Arial"/>
          <w:kern w:val="0"/>
          <w14:ligatures w14:val="none"/>
        </w:rPr>
        <w:t xml:space="preserve"> (World Economic Forum,2025). </w:t>
      </w:r>
    </w:p>
    <w:p w14:paraId="62EFF85D" w14:textId="640BA0E9"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While technology creates opportunities, it also presents challenges. Employees must continuously develop new skills to remain effective. HR managers therefore need to identify skill gaps and provide appropriate training opportunities. Research highlights that artificial intelligence is becoming increasingly important in HR management and workforce development (Aydin, Karaarslan and Narin, 2024).</w:t>
      </w:r>
    </w:p>
    <w:p w14:paraId="2B17F63B"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impact of technology may differ across countries depending on digital infrastructure and workforce readiness. HR managers must therefore adapt training and development strategies to local needs.</w:t>
      </w:r>
    </w:p>
    <w:p w14:paraId="514E053B" w14:textId="7824AA09" w:rsidR="000B3D4A"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t>Legal Factors</w:t>
      </w:r>
    </w:p>
    <w:p w14:paraId="57C3CB7C" w14:textId="60B47AE4"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banking industry operates within a highly regulated environment. Legal factors significantly influence HR practices because organisations must comply with employment legislation and financial regulations</w:t>
      </w:r>
      <w:r w:rsidR="00536C03" w:rsidRPr="007472C6">
        <w:rPr>
          <w:rFonts w:ascii="Arial" w:hAnsi="Arial" w:cs="Arial"/>
          <w:kern w:val="0"/>
          <w14:ligatures w14:val="none"/>
        </w:rPr>
        <w:t xml:space="preserve">. </w:t>
      </w:r>
      <w:r w:rsidRPr="007472C6">
        <w:rPr>
          <w:rFonts w:ascii="Arial" w:hAnsi="Arial" w:cs="Arial"/>
          <w:kern w:val="0"/>
          <w14:ligatures w14:val="none"/>
        </w:rPr>
        <w:t>Employment laws cover issues such as recruitment, discrimination, equality, working hours, employee rights, and workplace safety. HR managers must ensure that organisational policies comply with legal requirements</w:t>
      </w:r>
      <w:r w:rsidR="00536C03" w:rsidRPr="007472C6">
        <w:rPr>
          <w:rFonts w:ascii="Arial" w:hAnsi="Arial" w:cs="Arial"/>
          <w:kern w:val="0"/>
          <w14:ligatures w14:val="none"/>
        </w:rPr>
        <w:t xml:space="preserve"> (GOV.UK, 202</w:t>
      </w:r>
      <w:r w:rsidR="007472C6" w:rsidRPr="007472C6">
        <w:rPr>
          <w:rFonts w:ascii="Arial" w:hAnsi="Arial" w:cs="Arial"/>
          <w:kern w:val="0"/>
          <w14:ligatures w14:val="none"/>
        </w:rPr>
        <w:t>4; Lloyds Banking Group,2024).</w:t>
      </w:r>
    </w:p>
    <w:p w14:paraId="0CC33567" w14:textId="70B124C4"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Failure to comply with employment laws can result in financial penalties, legal disputes, and reputational damage. Therefore, HR managers require strong knowledge of employment legislation and regulatory developments.</w:t>
      </w:r>
      <w:r w:rsidR="007472C6" w:rsidRPr="007472C6">
        <w:rPr>
          <w:rFonts w:ascii="Arial" w:hAnsi="Arial" w:cs="Arial"/>
          <w:kern w:val="0"/>
          <w14:ligatures w14:val="none"/>
        </w:rPr>
        <w:t xml:space="preserve"> </w:t>
      </w:r>
      <w:r w:rsidRPr="007472C6">
        <w:rPr>
          <w:rFonts w:ascii="Arial" w:hAnsi="Arial" w:cs="Arial"/>
          <w:kern w:val="0"/>
          <w14:ligatures w14:val="none"/>
        </w:rPr>
        <w:t>For multinational organisations, legal compliance becomes even more complex because employment regulations vary across countries. HR managers must understand local legal requirements while maintaining consistent organisational standards</w:t>
      </w:r>
      <w:r w:rsidR="007472C6" w:rsidRPr="007472C6">
        <w:rPr>
          <w:rFonts w:ascii="Arial" w:hAnsi="Arial" w:cs="Arial"/>
          <w:kern w:val="0"/>
          <w14:ligatures w14:val="none"/>
        </w:rPr>
        <w:t xml:space="preserve"> (GOV.UK,2024).</w:t>
      </w:r>
    </w:p>
    <w:p w14:paraId="37E47B59" w14:textId="5E90D34D" w:rsidR="000B3D4A" w:rsidRPr="007472C6" w:rsidRDefault="000B3D4A" w:rsidP="007472C6">
      <w:pPr>
        <w:pStyle w:val="ListParagraph"/>
        <w:numPr>
          <w:ilvl w:val="0"/>
          <w:numId w:val="2"/>
        </w:numPr>
        <w:spacing w:line="360" w:lineRule="auto"/>
        <w:rPr>
          <w:rFonts w:ascii="Arial" w:eastAsia="Times New Roman" w:hAnsi="Arial" w:cs="Arial"/>
          <w:b/>
          <w:bCs/>
        </w:rPr>
      </w:pPr>
      <w:r w:rsidRPr="007472C6">
        <w:rPr>
          <w:rFonts w:ascii="Arial" w:eastAsia="Times New Roman" w:hAnsi="Arial" w:cs="Arial"/>
          <w:b/>
          <w:bCs/>
        </w:rPr>
        <w:lastRenderedPageBreak/>
        <w:t>Environmental Factors</w:t>
      </w:r>
    </w:p>
    <w:p w14:paraId="535CD162" w14:textId="2F7FBC9F"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Environmental sustainability has become an increasingly important issue for organisations. Governments, customers, investors, and employees expect businesses to reduce environmental impacts and contribute to sustainable development</w:t>
      </w:r>
      <w:r w:rsidR="007472C6" w:rsidRPr="007472C6">
        <w:rPr>
          <w:rFonts w:ascii="Arial" w:hAnsi="Arial" w:cs="Arial"/>
          <w:kern w:val="0"/>
          <w14:ligatures w14:val="none"/>
        </w:rPr>
        <w:t xml:space="preserve"> (United Nations Global Compact,2023).</w:t>
      </w:r>
    </w:p>
    <w:p w14:paraId="2AD98474"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Lloyds Banking Group has established sustainability goals and commitments related to climate action and responsible business practices (Lloyds Banking Group, 2024c). HR managers contribute by promoting sustainability awareness, supporting environmental initiatives, and encouraging employee participation in sustainability programmes.</w:t>
      </w:r>
    </w:p>
    <w:p w14:paraId="75BB2689" w14:textId="46154B2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Environmental factors can also affect business operations directly. Climate-related events such as flooding, extreme weather conditions, and infrastructure disruptions may affect employees and organisational activities. HR managers must develop plans to support employee safety and business continuity during such events</w:t>
      </w:r>
      <w:r w:rsidR="007472C6" w:rsidRPr="007472C6">
        <w:rPr>
          <w:rFonts w:ascii="Arial" w:hAnsi="Arial" w:cs="Arial"/>
          <w:kern w:val="0"/>
          <w14:ligatures w14:val="none"/>
        </w:rPr>
        <w:t xml:space="preserve"> (Lloyds Banking Group,2024). </w:t>
      </w:r>
    </w:p>
    <w:p w14:paraId="27C25227" w14:textId="01BBF4BD"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Sustainability initiatives can also strengthen employer branding. Many employees, particularly younger generations, prefer working for organisations that demonstrate environmental responsibility</w:t>
      </w:r>
      <w:r w:rsidR="007472C6" w:rsidRPr="007472C6">
        <w:rPr>
          <w:rFonts w:ascii="Arial" w:hAnsi="Arial" w:cs="Arial"/>
          <w:kern w:val="0"/>
          <w14:ligatures w14:val="none"/>
        </w:rPr>
        <w:t xml:space="preserve"> (Deloitte,2024).</w:t>
      </w:r>
    </w:p>
    <w:p w14:paraId="64D669B9" w14:textId="1DAB8943" w:rsidR="000B3D4A" w:rsidRPr="007472C6" w:rsidRDefault="006B3FA8" w:rsidP="007472C6">
      <w:pPr>
        <w:pStyle w:val="Heading1"/>
        <w:spacing w:line="360" w:lineRule="auto"/>
        <w:rPr>
          <w:rFonts w:ascii="Arial" w:eastAsia="Times New Roman" w:hAnsi="Arial" w:cs="Arial"/>
          <w:b/>
          <w:bCs/>
          <w:sz w:val="24"/>
          <w:szCs w:val="24"/>
        </w:rPr>
      </w:pPr>
      <w:bookmarkStart w:id="4" w:name="_Toc237675771"/>
      <w:r w:rsidRPr="007472C6">
        <w:rPr>
          <w:rFonts w:ascii="Arial" w:eastAsia="Times New Roman" w:hAnsi="Arial" w:cs="Arial"/>
          <w:b/>
          <w:bCs/>
          <w:sz w:val="24"/>
          <w:szCs w:val="24"/>
        </w:rPr>
        <w:t>4</w:t>
      </w:r>
      <w:r w:rsidR="000B3D4A" w:rsidRPr="007472C6">
        <w:rPr>
          <w:rFonts w:ascii="Arial" w:eastAsia="Times New Roman" w:hAnsi="Arial" w:cs="Arial"/>
          <w:b/>
          <w:bCs/>
          <w:sz w:val="24"/>
          <w:szCs w:val="24"/>
        </w:rPr>
        <w:t>. Country Differences and HR Effectiveness</w:t>
      </w:r>
      <w:bookmarkEnd w:id="4"/>
    </w:p>
    <w:p w14:paraId="10A2C9F5" w14:textId="29273278"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impact of environmental factors varies between countries. Cultural values influence leadership styles, communication methods, and employee expectations. Economic conditions affect labour markets, salary levels, and employee priorities. Legal systems determine employment rights and regulatory requirements. Technological infrastructure influences the adoption of digital HR practices</w:t>
      </w:r>
      <w:r w:rsidR="007472C6" w:rsidRPr="007472C6">
        <w:rPr>
          <w:rFonts w:ascii="Arial" w:hAnsi="Arial" w:cs="Arial"/>
          <w:kern w:val="0"/>
          <w14:ligatures w14:val="none"/>
        </w:rPr>
        <w:t xml:space="preserve"> (Word Economic forum, 2025).</w:t>
      </w:r>
    </w:p>
    <w:p w14:paraId="502A771F" w14:textId="59D924C4"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For example, employees in developed economies may prioritise flexible working arrangements and career development opportunities, while employees in developing economies may place greater emphasis on job security and financial rewards. </w:t>
      </w:r>
      <w:r w:rsidRPr="007472C6">
        <w:rPr>
          <w:rFonts w:ascii="Arial" w:hAnsi="Arial" w:cs="Arial"/>
          <w:kern w:val="0"/>
          <w14:ligatures w14:val="none"/>
        </w:rPr>
        <w:lastRenderedPageBreak/>
        <w:t>Similarly, employment regulations may be stricter in some countries than others, requiring different HR approaches</w:t>
      </w:r>
      <w:r w:rsidR="007472C6" w:rsidRPr="007472C6">
        <w:rPr>
          <w:rFonts w:ascii="Arial" w:hAnsi="Arial" w:cs="Arial"/>
          <w:kern w:val="0"/>
          <w14:ligatures w14:val="none"/>
        </w:rPr>
        <w:t xml:space="preserve"> (OECD,2023).</w:t>
      </w:r>
    </w:p>
    <w:p w14:paraId="0828C62B" w14:textId="2AD874B3"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These differences mean that HR managers cannot use identical strategies everywhere. Effective HR management requires balancing global organisational objectives with local cultural, economic, and legal requirements. HR managers who understand environmental differences are better able to support organisational success and employee wellbeing</w:t>
      </w:r>
      <w:r w:rsidR="007472C6" w:rsidRPr="007472C6">
        <w:rPr>
          <w:rFonts w:ascii="Arial" w:hAnsi="Arial" w:cs="Arial"/>
          <w:kern w:val="0"/>
          <w14:ligatures w14:val="none"/>
        </w:rPr>
        <w:t xml:space="preserve"> (World Economic Forum,2025).</w:t>
      </w:r>
    </w:p>
    <w:p w14:paraId="1F47144C" w14:textId="614DBC82" w:rsidR="000B3D4A" w:rsidRPr="007472C6" w:rsidRDefault="006B3FA8" w:rsidP="007472C6">
      <w:pPr>
        <w:pStyle w:val="Heading1"/>
        <w:spacing w:line="360" w:lineRule="auto"/>
        <w:rPr>
          <w:rFonts w:ascii="Arial" w:eastAsia="Times New Roman" w:hAnsi="Arial" w:cs="Arial"/>
          <w:b/>
          <w:bCs/>
          <w:sz w:val="24"/>
          <w:szCs w:val="24"/>
        </w:rPr>
      </w:pPr>
      <w:bookmarkStart w:id="5" w:name="_Toc237675772"/>
      <w:r w:rsidRPr="007472C6">
        <w:rPr>
          <w:rFonts w:ascii="Arial" w:eastAsia="Times New Roman" w:hAnsi="Arial" w:cs="Arial"/>
          <w:b/>
          <w:bCs/>
          <w:sz w:val="24"/>
          <w:szCs w:val="24"/>
        </w:rPr>
        <w:t>5.</w:t>
      </w:r>
      <w:r w:rsidR="000B3D4A" w:rsidRPr="007472C6">
        <w:rPr>
          <w:rFonts w:ascii="Arial" w:eastAsia="Times New Roman" w:hAnsi="Arial" w:cs="Arial"/>
          <w:b/>
          <w:bCs/>
          <w:sz w:val="24"/>
          <w:szCs w:val="24"/>
        </w:rPr>
        <w:t xml:space="preserve"> Conclusion</w:t>
      </w:r>
      <w:bookmarkEnd w:id="5"/>
    </w:p>
    <w:p w14:paraId="04E275B0"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Human Resource management plays a vital role in organisational success through functions such as recruitment, training and development, performance management, and employee relations. These functions help organisations attract talented employees, develop workforce capabilities, improve productivity, and maintain positive workplace relationships.</w:t>
      </w:r>
    </w:p>
    <w:p w14:paraId="7EC99EC0"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This report used the PESTLE model to examine how environmental factors influence HR managers’ effectiveness. The analysis demonstrated that political, economic, social, technological, legal, and environmental factors all affect HR practices and organisational performance. Although the PESTLE model has some limitations, it remains a useful tool for understanding the external business environment and supporting strategic decision-making.</w:t>
      </w:r>
    </w:p>
    <w:p w14:paraId="17DC2656"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The case of Lloyds Banking Group showed how a major financial services organisation responds to environmental challenges through effective HR management. The organisation invests in recruitment, employee development, performance management, diversity, wellbeing, and sustainability initiatives. However, HR managers must continuously adapt to changing economic conditions, technological developments, legal requirements, and employee expectations.</w:t>
      </w:r>
    </w:p>
    <w:p w14:paraId="73B76B02" w14:textId="77777777" w:rsidR="000B3D4A" w:rsidRPr="007472C6" w:rsidRDefault="000B3D4A" w:rsidP="007472C6">
      <w:pPr>
        <w:spacing w:before="100" w:beforeAutospacing="1" w:after="100" w:afterAutospacing="1" w:line="360" w:lineRule="auto"/>
        <w:rPr>
          <w:rFonts w:ascii="Arial" w:hAnsi="Arial" w:cs="Arial"/>
          <w:kern w:val="0"/>
          <w14:ligatures w14:val="none"/>
        </w:rPr>
      </w:pPr>
      <w:r w:rsidRPr="007472C6">
        <w:rPr>
          <w:rFonts w:ascii="Arial" w:hAnsi="Arial" w:cs="Arial"/>
          <w:kern w:val="0"/>
          <w14:ligatures w14:val="none"/>
        </w:rPr>
        <w:t xml:space="preserve">Looking ahead, HR managers will face increasing challenges related to digital transformation, artificial intelligence, workforce diversity, sustainability, and changing labour market demands. Organisations will need HR professionals who can manage change, support innovation, and balance global business objectives with local </w:t>
      </w:r>
      <w:r w:rsidRPr="007472C6">
        <w:rPr>
          <w:rFonts w:ascii="Arial" w:hAnsi="Arial" w:cs="Arial"/>
          <w:kern w:val="0"/>
          <w14:ligatures w14:val="none"/>
        </w:rPr>
        <w:lastRenderedPageBreak/>
        <w:t>workforce needs. Understanding environmental factors will therefore remain essential for effective HR management and long-term organisational success.</w:t>
      </w:r>
    </w:p>
    <w:p w14:paraId="2A2929D7" w14:textId="77777777" w:rsidR="000B3D4A" w:rsidRPr="007472C6" w:rsidRDefault="000B3D4A" w:rsidP="007472C6">
      <w:pPr>
        <w:spacing w:line="360" w:lineRule="auto"/>
        <w:rPr>
          <w:rFonts w:ascii="Arial" w:hAnsi="Arial" w:cs="Arial"/>
        </w:rPr>
      </w:pPr>
    </w:p>
    <w:p w14:paraId="63F09E69" w14:textId="77777777" w:rsidR="00F333B5" w:rsidRPr="007472C6" w:rsidRDefault="00F333B5" w:rsidP="007472C6">
      <w:pPr>
        <w:spacing w:line="360" w:lineRule="auto"/>
        <w:rPr>
          <w:rFonts w:ascii="Arial" w:hAnsi="Arial" w:cs="Arial"/>
        </w:rPr>
      </w:pPr>
    </w:p>
    <w:p w14:paraId="35D3CFB7" w14:textId="77777777" w:rsidR="00F333B5" w:rsidRPr="007472C6" w:rsidRDefault="00F333B5" w:rsidP="007472C6">
      <w:pPr>
        <w:spacing w:line="360" w:lineRule="auto"/>
        <w:rPr>
          <w:rFonts w:ascii="Arial" w:hAnsi="Arial" w:cs="Arial"/>
        </w:rPr>
      </w:pPr>
    </w:p>
    <w:p w14:paraId="7260CA7B" w14:textId="77777777" w:rsidR="00575947" w:rsidRPr="007472C6" w:rsidRDefault="00415296" w:rsidP="007472C6">
      <w:pPr>
        <w:pStyle w:val="Heading1"/>
        <w:spacing w:line="360" w:lineRule="auto"/>
        <w:rPr>
          <w:rFonts w:ascii="Arial" w:hAnsi="Arial" w:cs="Arial"/>
          <w:color w:val="000000"/>
          <w:sz w:val="24"/>
          <w:szCs w:val="24"/>
        </w:rPr>
      </w:pPr>
      <w:bookmarkStart w:id="6" w:name="_Toc237675773"/>
      <w:r w:rsidRPr="007472C6">
        <w:rPr>
          <w:rFonts w:ascii="Arial" w:hAnsi="Arial" w:cs="Arial"/>
          <w:b/>
          <w:bCs/>
          <w:sz w:val="24"/>
          <w:szCs w:val="24"/>
        </w:rPr>
        <w:t>Re</w:t>
      </w:r>
      <w:r w:rsidR="008D15B6" w:rsidRPr="007472C6">
        <w:rPr>
          <w:rFonts w:ascii="Arial" w:hAnsi="Arial" w:cs="Arial"/>
          <w:b/>
          <w:bCs/>
          <w:sz w:val="24"/>
          <w:szCs w:val="24"/>
        </w:rPr>
        <w:t>ferences:</w:t>
      </w:r>
      <w:bookmarkEnd w:id="6"/>
      <w:r w:rsidR="00575947" w:rsidRPr="007472C6">
        <w:rPr>
          <w:rFonts w:ascii="Arial" w:hAnsi="Arial" w:cs="Arial"/>
          <w:b/>
          <w:bCs/>
          <w:sz w:val="24"/>
          <w:szCs w:val="24"/>
        </w:rPr>
        <w:br/>
      </w:r>
      <w:r w:rsidR="00575947" w:rsidRPr="007472C6">
        <w:rPr>
          <w:rFonts w:ascii="Arial" w:hAnsi="Arial" w:cs="Arial"/>
          <w:b/>
          <w:bCs/>
          <w:sz w:val="24"/>
          <w:szCs w:val="24"/>
        </w:rPr>
        <w:br/>
      </w:r>
      <w:r w:rsidR="00575947" w:rsidRPr="007472C6">
        <w:rPr>
          <w:rFonts w:ascii="Arial" w:hAnsi="Arial" w:cs="Arial"/>
          <w:color w:val="000000"/>
          <w:sz w:val="24"/>
          <w:szCs w:val="24"/>
        </w:rPr>
        <w:t xml:space="preserve">Johnson, G., Whittington, R., Scholes, K., Angwin, D. and </w:t>
      </w:r>
      <w:proofErr w:type="spellStart"/>
      <w:r w:rsidR="00575947" w:rsidRPr="007472C6">
        <w:rPr>
          <w:rFonts w:ascii="Arial" w:hAnsi="Arial" w:cs="Arial"/>
          <w:color w:val="000000"/>
          <w:sz w:val="24"/>
          <w:szCs w:val="24"/>
        </w:rPr>
        <w:t>Regnér</w:t>
      </w:r>
      <w:proofErr w:type="spellEnd"/>
      <w:r w:rsidR="00575947" w:rsidRPr="007472C6">
        <w:rPr>
          <w:rFonts w:ascii="Arial" w:hAnsi="Arial" w:cs="Arial"/>
          <w:color w:val="000000"/>
          <w:sz w:val="24"/>
          <w:szCs w:val="24"/>
        </w:rPr>
        <w:t>, P. (2022)</w:t>
      </w:r>
      <w:r w:rsidR="00575947" w:rsidRPr="007472C6">
        <w:rPr>
          <w:rStyle w:val="apple-converted-space"/>
          <w:rFonts w:ascii="Arial" w:hAnsi="Arial" w:cs="Arial"/>
          <w:color w:val="000000"/>
          <w:sz w:val="24"/>
          <w:szCs w:val="24"/>
        </w:rPr>
        <w:t> </w:t>
      </w:r>
      <w:r w:rsidR="00575947" w:rsidRPr="007472C6">
        <w:rPr>
          <w:rStyle w:val="Emphasis"/>
          <w:rFonts w:ascii="Arial" w:hAnsi="Arial" w:cs="Arial"/>
          <w:color w:val="000000"/>
          <w:sz w:val="24"/>
          <w:szCs w:val="24"/>
        </w:rPr>
        <w:t>Exploring Strategy: Text and Cases</w:t>
      </w:r>
      <w:r w:rsidR="00575947" w:rsidRPr="007472C6">
        <w:rPr>
          <w:rFonts w:ascii="Arial" w:hAnsi="Arial" w:cs="Arial"/>
          <w:color w:val="000000"/>
          <w:sz w:val="24"/>
          <w:szCs w:val="24"/>
        </w:rPr>
        <w:t xml:space="preserve">. 13th </w:t>
      </w:r>
      <w:proofErr w:type="spellStart"/>
      <w:r w:rsidR="00575947" w:rsidRPr="007472C6">
        <w:rPr>
          <w:rFonts w:ascii="Arial" w:hAnsi="Arial" w:cs="Arial"/>
          <w:color w:val="000000"/>
          <w:sz w:val="24"/>
          <w:szCs w:val="24"/>
        </w:rPr>
        <w:t>edn</w:t>
      </w:r>
      <w:proofErr w:type="spellEnd"/>
      <w:r w:rsidR="00575947" w:rsidRPr="007472C6">
        <w:rPr>
          <w:rFonts w:ascii="Arial" w:hAnsi="Arial" w:cs="Arial"/>
          <w:color w:val="000000"/>
          <w:sz w:val="24"/>
          <w:szCs w:val="24"/>
        </w:rPr>
        <w:t>. Harlow: Pearson Education.</w:t>
      </w:r>
      <w:r w:rsidR="00575947" w:rsidRPr="007472C6">
        <w:rPr>
          <w:rFonts w:ascii="Arial" w:hAnsi="Arial" w:cs="Arial"/>
          <w:color w:val="000000"/>
          <w:sz w:val="24"/>
          <w:szCs w:val="24"/>
        </w:rPr>
        <w:t xml:space="preserve"> </w:t>
      </w:r>
      <w:r w:rsidR="00575947" w:rsidRPr="007472C6">
        <w:rPr>
          <w:rFonts w:ascii="Arial" w:hAnsi="Arial" w:cs="Arial"/>
          <w:color w:val="000000"/>
          <w:sz w:val="24"/>
          <w:szCs w:val="24"/>
        </w:rPr>
        <w:br/>
      </w:r>
    </w:p>
    <w:p w14:paraId="4139801F" w14:textId="77777777" w:rsidR="00536C03" w:rsidRPr="007472C6" w:rsidRDefault="00575947" w:rsidP="007472C6">
      <w:pPr>
        <w:pStyle w:val="isselectedend"/>
        <w:spacing w:line="360" w:lineRule="auto"/>
        <w:rPr>
          <w:rFonts w:ascii="Arial" w:hAnsi="Arial" w:cs="Arial"/>
          <w:color w:val="000000"/>
        </w:rPr>
      </w:pPr>
      <w:r w:rsidRPr="007472C6">
        <w:rPr>
          <w:rFonts w:ascii="Arial" w:hAnsi="Arial" w:cs="Arial"/>
          <w:color w:val="000000"/>
        </w:rPr>
        <w:t>CIPD (2024)</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People Profession Survey 2024</w:t>
      </w:r>
      <w:r w:rsidRPr="007472C6">
        <w:rPr>
          <w:rFonts w:ascii="Arial" w:hAnsi="Arial" w:cs="Arial"/>
          <w:color w:val="000000"/>
        </w:rPr>
        <w:t>. London: Chartered Institute of Personnel and Development.</w:t>
      </w:r>
      <w:r w:rsidRPr="007472C6">
        <w:rPr>
          <w:rFonts w:ascii="Arial" w:hAnsi="Arial" w:cs="Arial"/>
          <w:color w:val="000000"/>
        </w:rPr>
        <w:br/>
      </w:r>
      <w:r w:rsidRPr="007472C6">
        <w:rPr>
          <w:rFonts w:ascii="Arial" w:hAnsi="Arial" w:cs="Arial"/>
          <w:color w:val="000000"/>
        </w:rPr>
        <w:br/>
      </w:r>
      <w:r w:rsidRPr="007472C6">
        <w:rPr>
          <w:rFonts w:ascii="Arial" w:hAnsi="Arial" w:cs="Arial"/>
          <w:color w:val="000000"/>
        </w:rPr>
        <w:t>Gupta, A. (2023) ‘Environment and PESTLE analysis as a strategic management tool for business decision-making’,</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International Journal of Management Studies</w:t>
      </w:r>
      <w:r w:rsidRPr="007472C6">
        <w:rPr>
          <w:rFonts w:ascii="Arial" w:hAnsi="Arial" w:cs="Arial"/>
          <w:color w:val="000000"/>
        </w:rPr>
        <w:t>, 10(2), pp. 45–53.</w:t>
      </w:r>
      <w:r w:rsidRPr="007472C6">
        <w:rPr>
          <w:rFonts w:ascii="Arial" w:hAnsi="Arial" w:cs="Arial"/>
          <w:color w:val="000000"/>
        </w:rPr>
        <w:br/>
      </w:r>
      <w:r w:rsidRPr="007472C6">
        <w:rPr>
          <w:rFonts w:ascii="Arial" w:hAnsi="Arial" w:cs="Arial"/>
          <w:color w:val="000000"/>
        </w:rPr>
        <w:br/>
      </w:r>
      <w:r w:rsidRPr="007472C6">
        <w:rPr>
          <w:rFonts w:ascii="Arial" w:hAnsi="Arial" w:cs="Arial"/>
          <w:color w:val="000000"/>
        </w:rPr>
        <w:t>Lloyds Banking Group (2024)</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Annual Report and Accounts 2024</w:t>
      </w:r>
      <w:r w:rsidRPr="007472C6">
        <w:rPr>
          <w:rFonts w:ascii="Arial" w:hAnsi="Arial" w:cs="Arial"/>
          <w:color w:val="000000"/>
        </w:rPr>
        <w:t>. London: Lloyds Banking Group.</w:t>
      </w:r>
      <w:r w:rsidR="00536C03" w:rsidRPr="007472C6">
        <w:rPr>
          <w:rFonts w:ascii="Arial" w:hAnsi="Arial" w:cs="Arial"/>
          <w:color w:val="000000"/>
        </w:rPr>
        <w:br/>
      </w:r>
      <w:r w:rsidR="00536C03" w:rsidRPr="007472C6">
        <w:rPr>
          <w:rFonts w:ascii="Arial" w:hAnsi="Arial" w:cs="Arial"/>
          <w:color w:val="000000"/>
        </w:rPr>
        <w:br/>
      </w:r>
      <w:r w:rsidR="00536C03" w:rsidRPr="007472C6">
        <w:rPr>
          <w:rFonts w:ascii="Arial" w:hAnsi="Arial" w:cs="Arial"/>
          <w:color w:val="000000"/>
        </w:rPr>
        <w:t xml:space="preserve">Aydin, O., </w:t>
      </w:r>
      <w:proofErr w:type="spellStart"/>
      <w:r w:rsidR="00536C03" w:rsidRPr="007472C6">
        <w:rPr>
          <w:rFonts w:ascii="Arial" w:hAnsi="Arial" w:cs="Arial"/>
          <w:color w:val="000000"/>
        </w:rPr>
        <w:t>Karaarslan</w:t>
      </w:r>
      <w:proofErr w:type="spellEnd"/>
      <w:r w:rsidR="00536C03" w:rsidRPr="007472C6">
        <w:rPr>
          <w:rFonts w:ascii="Arial" w:hAnsi="Arial" w:cs="Arial"/>
          <w:color w:val="000000"/>
        </w:rPr>
        <w:t>, E. and Narin, N.G. (2024)</w:t>
      </w:r>
      <w:r w:rsidR="00536C03" w:rsidRPr="007472C6">
        <w:rPr>
          <w:rStyle w:val="apple-converted-space"/>
          <w:rFonts w:ascii="Arial" w:eastAsiaTheme="majorEastAsia" w:hAnsi="Arial" w:cs="Arial"/>
          <w:color w:val="000000"/>
        </w:rPr>
        <w:t> </w:t>
      </w:r>
      <w:r w:rsidR="00536C03" w:rsidRPr="007472C6">
        <w:rPr>
          <w:rStyle w:val="Emphasis"/>
          <w:rFonts w:ascii="Arial" w:eastAsiaTheme="majorEastAsia" w:hAnsi="Arial" w:cs="Arial"/>
          <w:color w:val="000000"/>
        </w:rPr>
        <w:t>Artificial Intelligence, VR, AR and Metaverse Technologies for Human Resources Management</w:t>
      </w:r>
      <w:r w:rsidR="00536C03" w:rsidRPr="007472C6">
        <w:rPr>
          <w:rFonts w:ascii="Arial" w:hAnsi="Arial" w:cs="Arial"/>
          <w:color w:val="000000"/>
        </w:rPr>
        <w:t xml:space="preserve">. </w:t>
      </w:r>
      <w:proofErr w:type="spellStart"/>
      <w:r w:rsidR="00536C03" w:rsidRPr="007472C6">
        <w:rPr>
          <w:rFonts w:ascii="Arial" w:hAnsi="Arial" w:cs="Arial"/>
          <w:color w:val="000000"/>
        </w:rPr>
        <w:t>arXiv</w:t>
      </w:r>
      <w:proofErr w:type="spellEnd"/>
      <w:r w:rsidR="00536C03" w:rsidRPr="007472C6">
        <w:rPr>
          <w:rFonts w:ascii="Arial" w:hAnsi="Arial" w:cs="Arial"/>
          <w:color w:val="000000"/>
        </w:rPr>
        <w:t>.</w:t>
      </w:r>
    </w:p>
    <w:p w14:paraId="55F4FCC7"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t>CIPD (2024)</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Good Work Index 2024</w:t>
      </w:r>
      <w:r w:rsidRPr="007472C6">
        <w:rPr>
          <w:rFonts w:ascii="Arial" w:hAnsi="Arial" w:cs="Arial"/>
          <w:color w:val="000000"/>
        </w:rPr>
        <w:t>. London: Chartered Institute of Personnel and Development.</w:t>
      </w:r>
    </w:p>
    <w:p w14:paraId="32923E21"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t>Johnson, G., Scholes, K. and Whittington, R. (2022)</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Exploring Strategy</w:t>
      </w:r>
      <w:r w:rsidRPr="007472C6">
        <w:rPr>
          <w:rFonts w:ascii="Arial" w:hAnsi="Arial" w:cs="Arial"/>
          <w:color w:val="000000"/>
        </w:rPr>
        <w:t xml:space="preserve">. 13th </w:t>
      </w:r>
      <w:proofErr w:type="spellStart"/>
      <w:r w:rsidRPr="007472C6">
        <w:rPr>
          <w:rFonts w:ascii="Arial" w:hAnsi="Arial" w:cs="Arial"/>
          <w:color w:val="000000"/>
        </w:rPr>
        <w:t>edn</w:t>
      </w:r>
      <w:proofErr w:type="spellEnd"/>
      <w:r w:rsidRPr="007472C6">
        <w:rPr>
          <w:rFonts w:ascii="Arial" w:hAnsi="Arial" w:cs="Arial"/>
          <w:color w:val="000000"/>
        </w:rPr>
        <w:t>. Harlow: Pearson.</w:t>
      </w:r>
    </w:p>
    <w:p w14:paraId="2F6637AE"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t>Lloyds Banking Group (2024a)</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Annual Report and Accounts 2024</w:t>
      </w:r>
      <w:r w:rsidRPr="007472C6">
        <w:rPr>
          <w:rFonts w:ascii="Arial" w:hAnsi="Arial" w:cs="Arial"/>
          <w:color w:val="000000"/>
        </w:rPr>
        <w:t>. London: Lloyds Banking Group.</w:t>
      </w:r>
    </w:p>
    <w:p w14:paraId="7F72D0D2"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lastRenderedPageBreak/>
        <w:t>Lloyds Banking Group (2024b)</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Helping Britain Prosper: Colleague and Culture Report 2024</w:t>
      </w:r>
      <w:r w:rsidRPr="007472C6">
        <w:rPr>
          <w:rFonts w:ascii="Arial" w:hAnsi="Arial" w:cs="Arial"/>
          <w:color w:val="000000"/>
        </w:rPr>
        <w:t>. London: Lloyds Banking Group.</w:t>
      </w:r>
    </w:p>
    <w:p w14:paraId="72C1F47C"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t>Lloyds Banking Group (2024c)</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Sustainability Report 2024</w:t>
      </w:r>
      <w:r w:rsidRPr="007472C6">
        <w:rPr>
          <w:rFonts w:ascii="Arial" w:hAnsi="Arial" w:cs="Arial"/>
          <w:color w:val="000000"/>
        </w:rPr>
        <w:t>. London: Lloyds Banking Group.</w:t>
      </w:r>
    </w:p>
    <w:p w14:paraId="15CD1DFA" w14:textId="77777777" w:rsidR="00536C03" w:rsidRPr="007472C6" w:rsidRDefault="00536C03" w:rsidP="007472C6">
      <w:pPr>
        <w:pStyle w:val="isselectedend"/>
        <w:spacing w:line="360" w:lineRule="auto"/>
        <w:rPr>
          <w:rFonts w:ascii="Arial" w:hAnsi="Arial" w:cs="Arial"/>
          <w:color w:val="000000"/>
        </w:rPr>
      </w:pPr>
      <w:r w:rsidRPr="007472C6">
        <w:rPr>
          <w:rFonts w:ascii="Arial" w:hAnsi="Arial" w:cs="Arial"/>
          <w:color w:val="000000"/>
        </w:rPr>
        <w:t>SHRM (2024)</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Discover the Biggest HR Trends of 2024 and What Lies Ahead in 2025</w:t>
      </w:r>
      <w:r w:rsidRPr="007472C6">
        <w:rPr>
          <w:rFonts w:ascii="Arial" w:hAnsi="Arial" w:cs="Arial"/>
          <w:color w:val="000000"/>
        </w:rPr>
        <w:t>. Alexandria, VA: Society for Human Resource Management.</w:t>
      </w:r>
    </w:p>
    <w:p w14:paraId="7903CD11" w14:textId="77777777" w:rsidR="00536C03" w:rsidRPr="007472C6" w:rsidRDefault="00536C03" w:rsidP="007472C6">
      <w:pPr>
        <w:pStyle w:val="NormalWeb"/>
        <w:spacing w:line="360" w:lineRule="auto"/>
        <w:rPr>
          <w:rFonts w:ascii="Arial" w:hAnsi="Arial" w:cs="Arial"/>
          <w:color w:val="000000"/>
        </w:rPr>
      </w:pPr>
      <w:r w:rsidRPr="007472C6">
        <w:rPr>
          <w:rFonts w:ascii="Arial" w:hAnsi="Arial" w:cs="Arial"/>
          <w:color w:val="000000"/>
        </w:rPr>
        <w:t>World Economic Forum (2025)</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The Future of Jobs Report 2025</w:t>
      </w:r>
      <w:r w:rsidRPr="007472C6">
        <w:rPr>
          <w:rFonts w:ascii="Arial" w:hAnsi="Arial" w:cs="Arial"/>
          <w:color w:val="000000"/>
        </w:rPr>
        <w:t>. Geneva: World Economic Forum.</w:t>
      </w:r>
    </w:p>
    <w:p w14:paraId="23B97420" w14:textId="77777777" w:rsidR="007472C6" w:rsidRPr="007472C6" w:rsidRDefault="007472C6" w:rsidP="007472C6">
      <w:pPr>
        <w:pStyle w:val="isselectedend"/>
        <w:spacing w:line="360" w:lineRule="auto"/>
        <w:rPr>
          <w:rFonts w:ascii="Arial" w:hAnsi="Arial" w:cs="Arial"/>
          <w:color w:val="000000"/>
        </w:rPr>
      </w:pPr>
      <w:r w:rsidRPr="007472C6">
        <w:rPr>
          <w:rFonts w:ascii="Arial" w:hAnsi="Arial" w:cs="Arial"/>
          <w:color w:val="000000"/>
        </w:rPr>
        <w:t>Deloitte (2024)</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2024 Gen Z and Millennial Survey: Living and Working with Purpose in a Changing World</w:t>
      </w:r>
      <w:r w:rsidRPr="007472C6">
        <w:rPr>
          <w:rFonts w:ascii="Arial" w:hAnsi="Arial" w:cs="Arial"/>
          <w:color w:val="000000"/>
        </w:rPr>
        <w:t>. London: Deloitte.</w:t>
      </w:r>
    </w:p>
    <w:p w14:paraId="7D1480D5" w14:textId="46BD42B5" w:rsidR="007472C6" w:rsidRPr="007472C6" w:rsidRDefault="007472C6" w:rsidP="007472C6">
      <w:pPr>
        <w:pStyle w:val="isselectedend"/>
        <w:spacing w:line="360" w:lineRule="auto"/>
        <w:rPr>
          <w:rFonts w:ascii="Arial" w:hAnsi="Arial" w:cs="Arial"/>
          <w:color w:val="000000"/>
        </w:rPr>
      </w:pPr>
      <w:r w:rsidRPr="007472C6">
        <w:rPr>
          <w:rFonts w:ascii="Arial" w:hAnsi="Arial" w:cs="Arial"/>
          <w:color w:val="000000"/>
        </w:rPr>
        <w:t>United Nations Global Compact (2023)</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United Nations Global Compact Progress Report 2023</w:t>
      </w:r>
      <w:r w:rsidRPr="007472C6">
        <w:rPr>
          <w:rFonts w:ascii="Arial" w:hAnsi="Arial" w:cs="Arial"/>
          <w:color w:val="000000"/>
        </w:rPr>
        <w:t>. New York: United Nations Global Compact.</w:t>
      </w:r>
      <w:r w:rsidRPr="007472C6">
        <w:rPr>
          <w:rFonts w:ascii="Arial" w:hAnsi="Arial" w:cs="Arial"/>
          <w:color w:val="000000"/>
        </w:rPr>
        <w:br/>
      </w:r>
      <w:r w:rsidRPr="007472C6">
        <w:rPr>
          <w:rFonts w:ascii="Arial" w:hAnsi="Arial" w:cs="Arial"/>
          <w:color w:val="000000"/>
        </w:rPr>
        <w:br/>
      </w:r>
      <w:r w:rsidRPr="007472C6">
        <w:rPr>
          <w:rFonts w:ascii="Arial" w:hAnsi="Arial" w:cs="Arial"/>
          <w:color w:val="000000"/>
        </w:rPr>
        <w:t>OECD (2023)</w:t>
      </w:r>
      <w:r w:rsidRPr="007472C6">
        <w:rPr>
          <w:rStyle w:val="apple-converted-space"/>
          <w:rFonts w:ascii="Arial" w:eastAsiaTheme="majorEastAsia" w:hAnsi="Arial" w:cs="Arial"/>
          <w:color w:val="000000"/>
        </w:rPr>
        <w:t> </w:t>
      </w:r>
      <w:r w:rsidRPr="007472C6">
        <w:rPr>
          <w:rStyle w:val="Emphasis"/>
          <w:rFonts w:ascii="Arial" w:eastAsiaTheme="majorEastAsia" w:hAnsi="Arial" w:cs="Arial"/>
          <w:color w:val="000000"/>
        </w:rPr>
        <w:t>OECD Employment Outlook 2023: Artificial Intelligence and the Labour Market</w:t>
      </w:r>
      <w:r w:rsidRPr="007472C6">
        <w:rPr>
          <w:rFonts w:ascii="Arial" w:hAnsi="Arial" w:cs="Arial"/>
          <w:color w:val="000000"/>
        </w:rPr>
        <w:t>. Paris: OECD Publishing.</w:t>
      </w:r>
    </w:p>
    <w:p w14:paraId="5F531082" w14:textId="21DF0FCC" w:rsidR="00F333B5" w:rsidRPr="007472C6" w:rsidRDefault="00F333B5" w:rsidP="007472C6">
      <w:pPr>
        <w:pStyle w:val="Heading1"/>
        <w:spacing w:line="360" w:lineRule="auto"/>
        <w:rPr>
          <w:rFonts w:ascii="Arial" w:hAnsi="Arial" w:cs="Arial"/>
          <w:b/>
          <w:bCs/>
          <w:sz w:val="24"/>
          <w:szCs w:val="24"/>
        </w:rPr>
      </w:pPr>
    </w:p>
    <w:sectPr w:rsidR="00F333B5" w:rsidRPr="007472C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BBB16" w14:textId="77777777" w:rsidR="008A2F64" w:rsidRDefault="008A2F64" w:rsidP="008D3DF1">
      <w:pPr>
        <w:spacing w:after="0" w:line="240" w:lineRule="auto"/>
      </w:pPr>
      <w:r>
        <w:separator/>
      </w:r>
    </w:p>
  </w:endnote>
  <w:endnote w:type="continuationSeparator" w:id="0">
    <w:p w14:paraId="28F7D27F" w14:textId="77777777" w:rsidR="008A2F64" w:rsidRDefault="008A2F64" w:rsidP="008D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9184" w14:textId="77777777" w:rsidR="008D3DF1" w:rsidRDefault="008D3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753262"/>
      <w:docPartObj>
        <w:docPartGallery w:val="Page Numbers (Bottom of Page)"/>
        <w:docPartUnique/>
      </w:docPartObj>
    </w:sdtPr>
    <w:sdtEndPr>
      <w:rPr>
        <w:noProof/>
      </w:rPr>
    </w:sdtEndPr>
    <w:sdtContent>
      <w:p w14:paraId="53854E0B" w14:textId="77777777" w:rsidR="008D3DF1" w:rsidRDefault="008D3D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0FD3AA" w14:textId="77777777" w:rsidR="008D3DF1" w:rsidRDefault="008D3D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C51B" w14:textId="77777777" w:rsidR="008D3DF1" w:rsidRDefault="008D3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419DF" w14:textId="77777777" w:rsidR="008A2F64" w:rsidRDefault="008A2F64" w:rsidP="008D3DF1">
      <w:pPr>
        <w:spacing w:after="0" w:line="240" w:lineRule="auto"/>
      </w:pPr>
      <w:r>
        <w:separator/>
      </w:r>
    </w:p>
  </w:footnote>
  <w:footnote w:type="continuationSeparator" w:id="0">
    <w:p w14:paraId="4C903461" w14:textId="77777777" w:rsidR="008A2F64" w:rsidRDefault="008A2F64" w:rsidP="008D3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81B4C" w14:textId="77777777" w:rsidR="008D3DF1" w:rsidRDefault="008D3D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BA95" w14:textId="77777777" w:rsidR="008D3DF1" w:rsidRDefault="008D3D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E95D" w14:textId="77777777" w:rsidR="008D3DF1" w:rsidRDefault="008D3D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2661B"/>
    <w:multiLevelType w:val="hybridMultilevel"/>
    <w:tmpl w:val="EB721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847FE"/>
    <w:multiLevelType w:val="hybridMultilevel"/>
    <w:tmpl w:val="1236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555590">
    <w:abstractNumId w:val="0"/>
  </w:num>
  <w:num w:numId="2" w16cid:durableId="375735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4A"/>
    <w:rsid w:val="0003627B"/>
    <w:rsid w:val="000B234E"/>
    <w:rsid w:val="000B3D4A"/>
    <w:rsid w:val="000D7ACA"/>
    <w:rsid w:val="001B645C"/>
    <w:rsid w:val="001D567C"/>
    <w:rsid w:val="001F7AF3"/>
    <w:rsid w:val="00217343"/>
    <w:rsid w:val="00226424"/>
    <w:rsid w:val="002629EB"/>
    <w:rsid w:val="00275C45"/>
    <w:rsid w:val="002A3328"/>
    <w:rsid w:val="002D3B91"/>
    <w:rsid w:val="003168AB"/>
    <w:rsid w:val="00341CE6"/>
    <w:rsid w:val="003C39AC"/>
    <w:rsid w:val="003C42B6"/>
    <w:rsid w:val="003D1D7B"/>
    <w:rsid w:val="003E4477"/>
    <w:rsid w:val="003F448F"/>
    <w:rsid w:val="00415296"/>
    <w:rsid w:val="00446354"/>
    <w:rsid w:val="00451F0B"/>
    <w:rsid w:val="004641B7"/>
    <w:rsid w:val="004D7A0E"/>
    <w:rsid w:val="00536C03"/>
    <w:rsid w:val="005468FD"/>
    <w:rsid w:val="0056065B"/>
    <w:rsid w:val="00575947"/>
    <w:rsid w:val="0058508E"/>
    <w:rsid w:val="005A12C3"/>
    <w:rsid w:val="005A58F8"/>
    <w:rsid w:val="005D140D"/>
    <w:rsid w:val="005D28A7"/>
    <w:rsid w:val="005D3D33"/>
    <w:rsid w:val="005D5359"/>
    <w:rsid w:val="005D7C6F"/>
    <w:rsid w:val="005E191E"/>
    <w:rsid w:val="00606A95"/>
    <w:rsid w:val="00657B73"/>
    <w:rsid w:val="006B3FA8"/>
    <w:rsid w:val="00701E75"/>
    <w:rsid w:val="00703012"/>
    <w:rsid w:val="007472C6"/>
    <w:rsid w:val="007523DD"/>
    <w:rsid w:val="007611F2"/>
    <w:rsid w:val="007617D4"/>
    <w:rsid w:val="00765C6A"/>
    <w:rsid w:val="007B280F"/>
    <w:rsid w:val="007F3E59"/>
    <w:rsid w:val="007F520A"/>
    <w:rsid w:val="00802139"/>
    <w:rsid w:val="008048E1"/>
    <w:rsid w:val="008145A2"/>
    <w:rsid w:val="008318A1"/>
    <w:rsid w:val="008322FA"/>
    <w:rsid w:val="00893FC9"/>
    <w:rsid w:val="008A2F64"/>
    <w:rsid w:val="008D15B6"/>
    <w:rsid w:val="008D3DF1"/>
    <w:rsid w:val="009572E6"/>
    <w:rsid w:val="00962F32"/>
    <w:rsid w:val="00991730"/>
    <w:rsid w:val="00A14442"/>
    <w:rsid w:val="00A563AE"/>
    <w:rsid w:val="00A711EC"/>
    <w:rsid w:val="00B13DBF"/>
    <w:rsid w:val="00B2716D"/>
    <w:rsid w:val="00B62EDB"/>
    <w:rsid w:val="00B67FA5"/>
    <w:rsid w:val="00B717FC"/>
    <w:rsid w:val="00B82125"/>
    <w:rsid w:val="00B92286"/>
    <w:rsid w:val="00BF4F9E"/>
    <w:rsid w:val="00BF5C9B"/>
    <w:rsid w:val="00C040E2"/>
    <w:rsid w:val="00C2682E"/>
    <w:rsid w:val="00C6283C"/>
    <w:rsid w:val="00CF2F07"/>
    <w:rsid w:val="00CF3F14"/>
    <w:rsid w:val="00D05A3D"/>
    <w:rsid w:val="00D42871"/>
    <w:rsid w:val="00DA53E2"/>
    <w:rsid w:val="00DC2258"/>
    <w:rsid w:val="00DF3C8E"/>
    <w:rsid w:val="00DF4D5E"/>
    <w:rsid w:val="00E052EB"/>
    <w:rsid w:val="00E72D1F"/>
    <w:rsid w:val="00E74F8D"/>
    <w:rsid w:val="00EA68DE"/>
    <w:rsid w:val="00EC4DC2"/>
    <w:rsid w:val="00ED2F76"/>
    <w:rsid w:val="00F0615B"/>
    <w:rsid w:val="00F333B5"/>
    <w:rsid w:val="00F34606"/>
    <w:rsid w:val="00F419C8"/>
    <w:rsid w:val="00F51FD8"/>
    <w:rsid w:val="00F545A1"/>
    <w:rsid w:val="00FA4908"/>
    <w:rsid w:val="00FF2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A071"/>
  <w15:chartTrackingRefBased/>
  <w15:docId w15:val="{4BC7CA8D-4B99-4A68-B36C-3C569194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D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D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3D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D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D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D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D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D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D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D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D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D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D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D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D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D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D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D4A"/>
    <w:rPr>
      <w:rFonts w:eastAsiaTheme="majorEastAsia" w:cstheme="majorBidi"/>
      <w:color w:val="272727" w:themeColor="text1" w:themeTint="D8"/>
    </w:rPr>
  </w:style>
  <w:style w:type="paragraph" w:styleId="Title">
    <w:name w:val="Title"/>
    <w:basedOn w:val="Normal"/>
    <w:next w:val="Normal"/>
    <w:link w:val="TitleChar"/>
    <w:uiPriority w:val="10"/>
    <w:qFormat/>
    <w:rsid w:val="000B3D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D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D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D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D4A"/>
    <w:pPr>
      <w:spacing w:before="160"/>
      <w:jc w:val="center"/>
    </w:pPr>
    <w:rPr>
      <w:i/>
      <w:iCs/>
      <w:color w:val="404040" w:themeColor="text1" w:themeTint="BF"/>
    </w:rPr>
  </w:style>
  <w:style w:type="character" w:customStyle="1" w:styleId="QuoteChar">
    <w:name w:val="Quote Char"/>
    <w:basedOn w:val="DefaultParagraphFont"/>
    <w:link w:val="Quote"/>
    <w:uiPriority w:val="29"/>
    <w:rsid w:val="000B3D4A"/>
    <w:rPr>
      <w:i/>
      <w:iCs/>
      <w:color w:val="404040" w:themeColor="text1" w:themeTint="BF"/>
    </w:rPr>
  </w:style>
  <w:style w:type="paragraph" w:styleId="ListParagraph">
    <w:name w:val="List Paragraph"/>
    <w:basedOn w:val="Normal"/>
    <w:uiPriority w:val="34"/>
    <w:qFormat/>
    <w:rsid w:val="000B3D4A"/>
    <w:pPr>
      <w:ind w:left="720"/>
      <w:contextualSpacing/>
    </w:pPr>
  </w:style>
  <w:style w:type="character" w:styleId="IntenseEmphasis">
    <w:name w:val="Intense Emphasis"/>
    <w:basedOn w:val="DefaultParagraphFont"/>
    <w:uiPriority w:val="21"/>
    <w:qFormat/>
    <w:rsid w:val="000B3D4A"/>
    <w:rPr>
      <w:i/>
      <w:iCs/>
      <w:color w:val="0F4761" w:themeColor="accent1" w:themeShade="BF"/>
    </w:rPr>
  </w:style>
  <w:style w:type="paragraph" w:styleId="IntenseQuote">
    <w:name w:val="Intense Quote"/>
    <w:basedOn w:val="Normal"/>
    <w:next w:val="Normal"/>
    <w:link w:val="IntenseQuoteChar"/>
    <w:uiPriority w:val="30"/>
    <w:qFormat/>
    <w:rsid w:val="000B3D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D4A"/>
    <w:rPr>
      <w:i/>
      <w:iCs/>
      <w:color w:val="0F4761" w:themeColor="accent1" w:themeShade="BF"/>
    </w:rPr>
  </w:style>
  <w:style w:type="character" w:styleId="IntenseReference">
    <w:name w:val="Intense Reference"/>
    <w:basedOn w:val="DefaultParagraphFont"/>
    <w:uiPriority w:val="32"/>
    <w:qFormat/>
    <w:rsid w:val="000B3D4A"/>
    <w:rPr>
      <w:b/>
      <w:bCs/>
      <w:smallCaps/>
      <w:color w:val="0F4761" w:themeColor="accent1" w:themeShade="BF"/>
      <w:spacing w:val="5"/>
    </w:rPr>
  </w:style>
  <w:style w:type="character" w:customStyle="1" w:styleId="s1">
    <w:name w:val="s1"/>
    <w:basedOn w:val="DefaultParagraphFont"/>
    <w:rsid w:val="000B3D4A"/>
  </w:style>
  <w:style w:type="paragraph" w:customStyle="1" w:styleId="p2">
    <w:name w:val="p2"/>
    <w:basedOn w:val="Normal"/>
    <w:rsid w:val="000B3D4A"/>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D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DF1"/>
  </w:style>
  <w:style w:type="paragraph" w:styleId="Footer">
    <w:name w:val="footer"/>
    <w:basedOn w:val="Normal"/>
    <w:link w:val="FooterChar"/>
    <w:uiPriority w:val="99"/>
    <w:unhideWhenUsed/>
    <w:rsid w:val="008D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DF1"/>
  </w:style>
  <w:style w:type="paragraph" w:styleId="TOCHeading">
    <w:name w:val="TOC Heading"/>
    <w:basedOn w:val="Heading1"/>
    <w:next w:val="Normal"/>
    <w:uiPriority w:val="39"/>
    <w:unhideWhenUsed/>
    <w:qFormat/>
    <w:rsid w:val="008145A2"/>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8145A2"/>
    <w:pPr>
      <w:spacing w:after="100"/>
      <w:ind w:left="240"/>
    </w:pPr>
  </w:style>
  <w:style w:type="paragraph" w:styleId="TOC1">
    <w:name w:val="toc 1"/>
    <w:basedOn w:val="Normal"/>
    <w:next w:val="Normal"/>
    <w:autoRedefine/>
    <w:uiPriority w:val="39"/>
    <w:unhideWhenUsed/>
    <w:rsid w:val="008145A2"/>
    <w:pPr>
      <w:spacing w:after="100"/>
    </w:pPr>
  </w:style>
  <w:style w:type="paragraph" w:styleId="TOC3">
    <w:name w:val="toc 3"/>
    <w:basedOn w:val="Normal"/>
    <w:next w:val="Normal"/>
    <w:autoRedefine/>
    <w:uiPriority w:val="39"/>
    <w:unhideWhenUsed/>
    <w:rsid w:val="008145A2"/>
    <w:pPr>
      <w:spacing w:after="100"/>
      <w:ind w:left="480"/>
    </w:pPr>
  </w:style>
  <w:style w:type="character" w:styleId="Hyperlink">
    <w:name w:val="Hyperlink"/>
    <w:basedOn w:val="DefaultParagraphFont"/>
    <w:uiPriority w:val="99"/>
    <w:unhideWhenUsed/>
    <w:rsid w:val="008145A2"/>
    <w:rPr>
      <w:color w:val="467886" w:themeColor="hyperlink"/>
      <w:u w:val="single"/>
    </w:rPr>
  </w:style>
  <w:style w:type="character" w:customStyle="1" w:styleId="apple-converted-space">
    <w:name w:val="apple-converted-space"/>
    <w:basedOn w:val="DefaultParagraphFont"/>
    <w:rsid w:val="00575947"/>
  </w:style>
  <w:style w:type="character" w:styleId="Emphasis">
    <w:name w:val="Emphasis"/>
    <w:basedOn w:val="DefaultParagraphFont"/>
    <w:uiPriority w:val="20"/>
    <w:qFormat/>
    <w:rsid w:val="00575947"/>
    <w:rPr>
      <w:i/>
      <w:iCs/>
    </w:rPr>
  </w:style>
  <w:style w:type="paragraph" w:customStyle="1" w:styleId="isselectedend">
    <w:name w:val="isselectedend"/>
    <w:basedOn w:val="Normal"/>
    <w:rsid w:val="00536C0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36C0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936046">
      <w:bodyDiv w:val="1"/>
      <w:marLeft w:val="0"/>
      <w:marRight w:val="0"/>
      <w:marTop w:val="0"/>
      <w:marBottom w:val="0"/>
      <w:divBdr>
        <w:top w:val="none" w:sz="0" w:space="0" w:color="auto"/>
        <w:left w:val="none" w:sz="0" w:space="0" w:color="auto"/>
        <w:bottom w:val="none" w:sz="0" w:space="0" w:color="auto"/>
        <w:right w:val="none" w:sz="0" w:space="0" w:color="auto"/>
      </w:divBdr>
    </w:div>
    <w:div w:id="156633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1EFF4-2E70-4AC6-BB08-DE4D7EFF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3053</Words>
  <Characters>17405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20418</CharactersWithSpaces>
  <SharedDoc>false</SharedDoc>
  <HLinks>
    <vt:vector size="42" baseType="variant">
      <vt:variant>
        <vt:i4>1048629</vt:i4>
      </vt:variant>
      <vt:variant>
        <vt:i4>38</vt:i4>
      </vt:variant>
      <vt:variant>
        <vt:i4>0</vt:i4>
      </vt:variant>
      <vt:variant>
        <vt:i4>5</vt:i4>
      </vt:variant>
      <vt:variant>
        <vt:lpwstr/>
      </vt:variant>
      <vt:variant>
        <vt:lpwstr>_Toc237675773</vt:lpwstr>
      </vt:variant>
      <vt:variant>
        <vt:i4>1048629</vt:i4>
      </vt:variant>
      <vt:variant>
        <vt:i4>32</vt:i4>
      </vt:variant>
      <vt:variant>
        <vt:i4>0</vt:i4>
      </vt:variant>
      <vt:variant>
        <vt:i4>5</vt:i4>
      </vt:variant>
      <vt:variant>
        <vt:lpwstr/>
      </vt:variant>
      <vt:variant>
        <vt:lpwstr>_Toc237675772</vt:lpwstr>
      </vt:variant>
      <vt:variant>
        <vt:i4>1048629</vt:i4>
      </vt:variant>
      <vt:variant>
        <vt:i4>26</vt:i4>
      </vt:variant>
      <vt:variant>
        <vt:i4>0</vt:i4>
      </vt:variant>
      <vt:variant>
        <vt:i4>5</vt:i4>
      </vt:variant>
      <vt:variant>
        <vt:lpwstr/>
      </vt:variant>
      <vt:variant>
        <vt:lpwstr>_Toc237675771</vt:lpwstr>
      </vt:variant>
      <vt:variant>
        <vt:i4>1048629</vt:i4>
      </vt:variant>
      <vt:variant>
        <vt:i4>20</vt:i4>
      </vt:variant>
      <vt:variant>
        <vt:i4>0</vt:i4>
      </vt:variant>
      <vt:variant>
        <vt:i4>5</vt:i4>
      </vt:variant>
      <vt:variant>
        <vt:lpwstr/>
      </vt:variant>
      <vt:variant>
        <vt:lpwstr>_Toc237675770</vt:lpwstr>
      </vt:variant>
      <vt:variant>
        <vt:i4>1114165</vt:i4>
      </vt:variant>
      <vt:variant>
        <vt:i4>14</vt:i4>
      </vt:variant>
      <vt:variant>
        <vt:i4>0</vt:i4>
      </vt:variant>
      <vt:variant>
        <vt:i4>5</vt:i4>
      </vt:variant>
      <vt:variant>
        <vt:lpwstr/>
      </vt:variant>
      <vt:variant>
        <vt:lpwstr>_Toc237675769</vt:lpwstr>
      </vt:variant>
      <vt:variant>
        <vt:i4>1114165</vt:i4>
      </vt:variant>
      <vt:variant>
        <vt:i4>8</vt:i4>
      </vt:variant>
      <vt:variant>
        <vt:i4>0</vt:i4>
      </vt:variant>
      <vt:variant>
        <vt:i4>5</vt:i4>
      </vt:variant>
      <vt:variant>
        <vt:lpwstr/>
      </vt:variant>
      <vt:variant>
        <vt:lpwstr>_Toc237675768</vt:lpwstr>
      </vt:variant>
      <vt:variant>
        <vt:i4>1114165</vt:i4>
      </vt:variant>
      <vt:variant>
        <vt:i4>2</vt:i4>
      </vt:variant>
      <vt:variant>
        <vt:i4>0</vt:i4>
      </vt:variant>
      <vt:variant>
        <vt:i4>5</vt:i4>
      </vt:variant>
      <vt:variant>
        <vt:lpwstr/>
      </vt:variant>
      <vt:variant>
        <vt:lpwstr>_Toc237675767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Marinova Peneva (2411180)</dc:creator>
  <cp:keywords/>
  <dc:description/>
  <cp:lastModifiedBy>Elizabeta Stefanova Naydenova (2417507)</cp:lastModifiedBy>
  <cp:revision>2</cp:revision>
  <dcterms:created xsi:type="dcterms:W3CDTF">2026-08-15T17:43:00Z</dcterms:created>
  <dcterms:modified xsi:type="dcterms:W3CDTF">2026-08-15T17:43:00Z</dcterms:modified>
</cp:coreProperties>
</file>