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B9182" w14:textId="1B3F3D60" w:rsidR="00547BC0" w:rsidRDefault="00547BC0" w:rsidP="00547BC0">
      <w:pPr>
        <w:spacing w:line="360" w:lineRule="auto"/>
        <w:jc w:val="center"/>
        <w:rPr>
          <w:rFonts w:asciiTheme="minorBidi" w:hAnsiTheme="minorBidi" w:cstheme="minorBidi"/>
          <w:sz w:val="22"/>
          <w:szCs w:val="22"/>
          <w:u w:val="single"/>
        </w:rPr>
      </w:pPr>
      <w:r w:rsidRPr="00547BC0">
        <w:rPr>
          <w:rFonts w:asciiTheme="minorBidi" w:hAnsiTheme="minorBidi" w:cstheme="minorBidi"/>
          <w:sz w:val="22"/>
          <w:szCs w:val="22"/>
          <w:u w:val="single"/>
        </w:rPr>
        <w:t>ECAD6008- Part 1</w:t>
      </w:r>
    </w:p>
    <w:p w14:paraId="10D11247" w14:textId="77777777" w:rsidR="00547BC0" w:rsidRDefault="00547BC0" w:rsidP="00547BC0">
      <w:pPr>
        <w:spacing w:line="360" w:lineRule="auto"/>
        <w:jc w:val="center"/>
        <w:rPr>
          <w:rFonts w:asciiTheme="minorBidi" w:hAnsiTheme="minorBidi" w:cstheme="minorBidi"/>
          <w:sz w:val="22"/>
          <w:szCs w:val="22"/>
          <w:u w:val="single"/>
        </w:rPr>
      </w:pPr>
    </w:p>
    <w:tbl>
      <w:tblPr>
        <w:tblStyle w:val="TableGrid"/>
        <w:tblW w:w="11340" w:type="dxa"/>
        <w:tblInd w:w="-1139" w:type="dxa"/>
        <w:tblLook w:val="04A0" w:firstRow="1" w:lastRow="0" w:firstColumn="1" w:lastColumn="0" w:noHBand="0" w:noVBand="1"/>
      </w:tblPr>
      <w:tblGrid>
        <w:gridCol w:w="1985"/>
        <w:gridCol w:w="9355"/>
      </w:tblGrid>
      <w:tr w:rsidR="00547BC0" w14:paraId="4CBEB4B9" w14:textId="77777777" w:rsidTr="00547BC0">
        <w:tc>
          <w:tcPr>
            <w:tcW w:w="1985" w:type="dxa"/>
          </w:tcPr>
          <w:p w14:paraId="15C824A7" w14:textId="5EEB71F5" w:rsid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Professional Template 1</w:t>
            </w:r>
          </w:p>
        </w:tc>
        <w:tc>
          <w:tcPr>
            <w:tcW w:w="9355" w:type="dxa"/>
          </w:tcPr>
          <w:p w14:paraId="3A32DFC1" w14:textId="15D39EA3" w:rsidR="00547BC0" w:rsidRDefault="001B0619"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Pr>
                <w:rFonts w:asciiTheme="minorBidi" w:hAnsiTheme="minorBidi" w:cstheme="minorBidi"/>
                <w:sz w:val="22"/>
                <w:szCs w:val="22"/>
              </w:rPr>
              <w:t>Bridging share day on Assessment for Learning</w:t>
            </w:r>
          </w:p>
        </w:tc>
      </w:tr>
      <w:tr w:rsidR="00547BC0" w14:paraId="7985319E" w14:textId="77777777" w:rsidTr="00547BC0">
        <w:tc>
          <w:tcPr>
            <w:tcW w:w="1985" w:type="dxa"/>
          </w:tcPr>
          <w:p w14:paraId="4B27ED3B" w14:textId="174F1243" w:rsid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Pedagogy Standard</w:t>
            </w:r>
          </w:p>
        </w:tc>
        <w:tc>
          <w:tcPr>
            <w:tcW w:w="9355" w:type="dxa"/>
          </w:tcPr>
          <w:p w14:paraId="55C4C9F9" w14:textId="20EA79E2" w:rsidR="00547BC0" w:rsidRDefault="001B0619"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Pr>
                <w:rFonts w:asciiTheme="minorBidi" w:hAnsiTheme="minorBidi" w:cstheme="minorBidi"/>
                <w:sz w:val="22"/>
                <w:szCs w:val="22"/>
              </w:rPr>
              <w:t>Assessment for Learning</w:t>
            </w:r>
          </w:p>
        </w:tc>
      </w:tr>
      <w:tr w:rsidR="00547BC0" w14:paraId="349F1E3E" w14:textId="77777777" w:rsidTr="00547BC0">
        <w:tc>
          <w:tcPr>
            <w:tcW w:w="1985" w:type="dxa"/>
          </w:tcPr>
          <w:p w14:paraId="05CD6447" w14:textId="7454525F" w:rsid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What did you do and why?</w:t>
            </w:r>
          </w:p>
        </w:tc>
        <w:tc>
          <w:tcPr>
            <w:tcW w:w="9355" w:type="dxa"/>
          </w:tcPr>
          <w:p w14:paraId="53CA3C5D" w14:textId="77777777" w:rsidR="00547BC0" w:rsidRP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547BC0">
              <w:rPr>
                <w:rFonts w:asciiTheme="minorBidi" w:hAnsiTheme="minorBidi" w:cstheme="minorBidi"/>
                <w:sz w:val="22"/>
                <w:szCs w:val="22"/>
              </w:rPr>
              <w:t>Prior to the bridging share day experience surrounding Assessment for Learning, I observed several lessons (during my BA2 placement) that involved several AFL strategies. The class teacher discussed these strategies with me, illustrating the positives and limitations of each strategy. Therefore, I could develop a bank of strategies to understand learners' progression. I trialled these strategies in practice. Then, I was able to measure learners' progression and what worked well in the classroom.</w:t>
            </w:r>
          </w:p>
          <w:p w14:paraId="107A9913" w14:textId="77777777" w:rsidR="00547BC0" w:rsidRP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338C9E3B" w14:textId="4A4F26D9" w:rsid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547BC0">
              <w:rPr>
                <w:rFonts w:asciiTheme="minorBidi" w:hAnsiTheme="minorBidi" w:cstheme="minorBidi"/>
                <w:sz w:val="22"/>
                <w:szCs w:val="22"/>
              </w:rPr>
              <w:t>During the experience, I collaborated with other student teachers (placed in different schools). Individually, we created a presentation showcasing what we believed as the most efficient AFL strategies or strategies that were fundamental in the classroom to enable progression. We discussed the positives and negatives of the strategies and the importance of using them. It was interesting to seek ideas from other student teachers and expand our bank of AFL strategies.</w:t>
            </w:r>
          </w:p>
        </w:tc>
      </w:tr>
      <w:tr w:rsidR="00547BC0" w14:paraId="50E282D3" w14:textId="77777777" w:rsidTr="00547BC0">
        <w:tc>
          <w:tcPr>
            <w:tcW w:w="1985" w:type="dxa"/>
          </w:tcPr>
          <w:p w14:paraId="5757FE13" w14:textId="06AF4679" w:rsid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What have you learned?</w:t>
            </w:r>
          </w:p>
        </w:tc>
        <w:tc>
          <w:tcPr>
            <w:tcW w:w="9355" w:type="dxa"/>
          </w:tcPr>
          <w:p w14:paraId="258B9478" w14:textId="542AEBD2" w:rsidR="00547BC0" w:rsidRP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547BC0">
              <w:rPr>
                <w:rFonts w:asciiTheme="minorBidi" w:hAnsiTheme="minorBidi" w:cstheme="minorBidi"/>
                <w:sz w:val="22"/>
                <w:szCs w:val="22"/>
              </w:rPr>
              <w:t xml:space="preserve">This experience was fundamental and relevant to my teaching practice. Assessment for Learning is central to students' progression (Black and Wiliam, 1998). It creates feedback which is used to improve students' performance. Studies imply that students become more involved in the learning process; this develops their confidence and they become invested in their learning. I have learnt that there are several benefits to using AFL in the classroom. These comprise of improved student-teacher relationships, increased motivation, improved classroom culture and teaching and learning environments and improved self-esteem and confidence (Wiliam, 2011). This implies that learners' progression is at the centre of the practice and their needs should be met to the highest potential standard. This experience relates to my overall learning and development as it focused on the following strands: Pedagogy- Refining teaching- Assessment, Innovation- Offering expertise and evaluating the impact of changes in practice, Collaboration- enabling improvement. </w:t>
            </w:r>
          </w:p>
          <w:p w14:paraId="76CB8FB0" w14:textId="77777777" w:rsidR="00547BC0" w:rsidRP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7A5459CE" w14:textId="77777777" w:rsidR="00547BC0" w:rsidRP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u w:val="single"/>
              </w:rPr>
            </w:pPr>
            <w:r w:rsidRPr="00547BC0">
              <w:rPr>
                <w:rFonts w:asciiTheme="minorBidi" w:hAnsiTheme="minorBidi" w:cstheme="minorBidi"/>
                <w:sz w:val="22"/>
                <w:szCs w:val="22"/>
                <w:u w:val="single"/>
              </w:rPr>
              <w:t xml:space="preserve">Assessment </w:t>
            </w:r>
          </w:p>
          <w:p w14:paraId="1106323E" w14:textId="77777777" w:rsidR="00547BC0" w:rsidRP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65BAF8AA" w14:textId="7F50F4D1" w:rsid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547BC0">
              <w:rPr>
                <w:rFonts w:asciiTheme="minorBidi" w:hAnsiTheme="minorBidi" w:cstheme="minorBidi"/>
                <w:sz w:val="22"/>
                <w:szCs w:val="22"/>
              </w:rPr>
              <w:t xml:space="preserve">Assessment is significant in teaching and learning; it is an essential part of education. It enables teachers, students, and parents to understand the breadth of teaching and what the </w:t>
            </w:r>
            <w:r w:rsidRPr="00547BC0">
              <w:rPr>
                <w:rFonts w:asciiTheme="minorBidi" w:hAnsiTheme="minorBidi" w:cstheme="minorBidi"/>
                <w:sz w:val="22"/>
                <w:szCs w:val="22"/>
              </w:rPr>
              <w:lastRenderedPageBreak/>
              <w:t>learner is capable of doing (Hopefenbeck, 2023). Understanding and applying assessment in education is fundamental to one's progression. Progression is supported by the twelve pedagogical principles, principles of progression and the four purposes (Welsh Government, 2022). Assessment for Learning strategies should be implemented throughout a lesson to measure one's understanding and development. For instance, a KWL grid highlights what a learner already knows, what they would like to find out and what they have learnt. This clarifies that progression is continuous and it could be linear (Gardner, 2012; Hattie, 2012). However, it could be difficult to judge the breadth of student’s learning (Chappuis, 2004). This underlines the importance of measuring progression at the start, middle and end of a lesson and a topic.</w:t>
            </w:r>
          </w:p>
        </w:tc>
      </w:tr>
      <w:tr w:rsidR="00547BC0" w14:paraId="282CFC73" w14:textId="77777777" w:rsidTr="00547BC0">
        <w:tc>
          <w:tcPr>
            <w:tcW w:w="1985" w:type="dxa"/>
          </w:tcPr>
          <w:p w14:paraId="1CC1B62A" w14:textId="6654875E" w:rsid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lastRenderedPageBreak/>
              <w:t>What next?</w:t>
            </w:r>
          </w:p>
        </w:tc>
        <w:tc>
          <w:tcPr>
            <w:tcW w:w="9355" w:type="dxa"/>
          </w:tcPr>
          <w:p w14:paraId="4E76371C" w14:textId="552BA305" w:rsidR="00547BC0" w:rsidRDefault="00547BC0" w:rsidP="00547BC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547BC0">
              <w:rPr>
                <w:rFonts w:asciiTheme="minorBidi" w:hAnsiTheme="minorBidi" w:cstheme="minorBidi"/>
                <w:sz w:val="22"/>
                <w:szCs w:val="22"/>
              </w:rPr>
              <w:t>This experience was beneficial to my teaching practice, and it was interesting to engage with other student teachers to share ideas. Further bridging experiences would be beneficial to aid my professional development. I will continue to engage with other student teachers to collaborate and demonstrate what works well for us. Moving forward, I would like to focus on my professional development, and I would like to engage in different courses to assist this.</w:t>
            </w:r>
          </w:p>
        </w:tc>
      </w:tr>
    </w:tbl>
    <w:p w14:paraId="646E96F0" w14:textId="77777777" w:rsidR="00547BC0" w:rsidRDefault="00547BC0" w:rsidP="00547BC0">
      <w:pPr>
        <w:spacing w:line="360" w:lineRule="auto"/>
        <w:jc w:val="center"/>
        <w:rPr>
          <w:rFonts w:asciiTheme="minorBidi" w:hAnsiTheme="minorBidi" w:cstheme="minorBidi"/>
          <w:sz w:val="22"/>
          <w:szCs w:val="22"/>
        </w:rPr>
      </w:pPr>
    </w:p>
    <w:p w14:paraId="27720E30" w14:textId="77777777" w:rsidR="00547BC0" w:rsidRDefault="00547BC0" w:rsidP="00547BC0">
      <w:pPr>
        <w:spacing w:line="360" w:lineRule="auto"/>
        <w:jc w:val="center"/>
        <w:rPr>
          <w:rFonts w:asciiTheme="minorBidi" w:hAnsiTheme="minorBidi" w:cstheme="minorBidi"/>
          <w:sz w:val="22"/>
          <w:szCs w:val="22"/>
        </w:rPr>
      </w:pPr>
    </w:p>
    <w:p w14:paraId="075ACFB2" w14:textId="77777777" w:rsidR="00547BC0" w:rsidRPr="00547BC0" w:rsidRDefault="00547BC0" w:rsidP="00547BC0">
      <w:pPr>
        <w:spacing w:line="360" w:lineRule="auto"/>
        <w:jc w:val="center"/>
        <w:rPr>
          <w:rFonts w:asciiTheme="minorBidi" w:hAnsiTheme="minorBidi" w:cstheme="minorBidi"/>
          <w:sz w:val="22"/>
          <w:szCs w:val="22"/>
        </w:rPr>
      </w:pPr>
    </w:p>
    <w:p w14:paraId="043AB752" w14:textId="77777777" w:rsidR="00547BC0" w:rsidRDefault="00547BC0" w:rsidP="0099628A">
      <w:pPr>
        <w:spacing w:line="360" w:lineRule="auto"/>
        <w:jc w:val="center"/>
        <w:rPr>
          <w:rFonts w:asciiTheme="minorBidi" w:hAnsiTheme="minorBidi" w:cstheme="minorBidi"/>
          <w:b/>
          <w:bCs/>
          <w:sz w:val="36"/>
          <w:szCs w:val="36"/>
          <w:u w:val="single"/>
        </w:rPr>
      </w:pPr>
    </w:p>
    <w:p w14:paraId="5F603E2E" w14:textId="77777777" w:rsidR="00547BC0" w:rsidRDefault="00547BC0" w:rsidP="0099628A">
      <w:pPr>
        <w:spacing w:line="360" w:lineRule="auto"/>
        <w:jc w:val="center"/>
        <w:rPr>
          <w:rFonts w:asciiTheme="minorBidi" w:hAnsiTheme="minorBidi" w:cstheme="minorBidi"/>
          <w:b/>
          <w:bCs/>
          <w:sz w:val="36"/>
          <w:szCs w:val="36"/>
          <w:u w:val="single"/>
        </w:rPr>
      </w:pPr>
    </w:p>
    <w:p w14:paraId="3AF7888F" w14:textId="77777777" w:rsidR="001B0619" w:rsidRDefault="001B0619" w:rsidP="0099628A">
      <w:pPr>
        <w:spacing w:line="360" w:lineRule="auto"/>
        <w:jc w:val="center"/>
        <w:rPr>
          <w:rFonts w:asciiTheme="minorBidi" w:hAnsiTheme="minorBidi" w:cstheme="minorBidi"/>
          <w:b/>
          <w:bCs/>
          <w:sz w:val="36"/>
          <w:szCs w:val="36"/>
          <w:u w:val="single"/>
        </w:rPr>
      </w:pPr>
    </w:p>
    <w:p w14:paraId="11B9A0BF" w14:textId="77777777" w:rsidR="001B0619" w:rsidRDefault="001B0619" w:rsidP="0099628A">
      <w:pPr>
        <w:spacing w:line="360" w:lineRule="auto"/>
        <w:jc w:val="center"/>
        <w:rPr>
          <w:rFonts w:asciiTheme="minorBidi" w:hAnsiTheme="minorBidi" w:cstheme="minorBidi"/>
          <w:b/>
          <w:bCs/>
          <w:sz w:val="36"/>
          <w:szCs w:val="36"/>
          <w:u w:val="single"/>
        </w:rPr>
      </w:pPr>
    </w:p>
    <w:p w14:paraId="72B10924" w14:textId="77777777" w:rsidR="001B0619" w:rsidRDefault="001B0619" w:rsidP="0099628A">
      <w:pPr>
        <w:spacing w:line="360" w:lineRule="auto"/>
        <w:jc w:val="center"/>
        <w:rPr>
          <w:rFonts w:asciiTheme="minorBidi" w:hAnsiTheme="minorBidi" w:cstheme="minorBidi"/>
          <w:b/>
          <w:bCs/>
          <w:sz w:val="36"/>
          <w:szCs w:val="36"/>
          <w:u w:val="single"/>
        </w:rPr>
      </w:pPr>
    </w:p>
    <w:p w14:paraId="238BDC5A" w14:textId="77777777" w:rsidR="001B0619" w:rsidRDefault="001B0619" w:rsidP="0099628A">
      <w:pPr>
        <w:spacing w:line="360" w:lineRule="auto"/>
        <w:jc w:val="center"/>
        <w:rPr>
          <w:rFonts w:asciiTheme="minorBidi" w:hAnsiTheme="minorBidi" w:cstheme="minorBidi"/>
          <w:b/>
          <w:bCs/>
          <w:sz w:val="36"/>
          <w:szCs w:val="36"/>
          <w:u w:val="single"/>
        </w:rPr>
      </w:pPr>
    </w:p>
    <w:p w14:paraId="2A02FB55" w14:textId="77777777" w:rsidR="001B0619" w:rsidRDefault="001B0619" w:rsidP="0099628A">
      <w:pPr>
        <w:spacing w:line="360" w:lineRule="auto"/>
        <w:jc w:val="center"/>
        <w:rPr>
          <w:rFonts w:asciiTheme="minorBidi" w:hAnsiTheme="minorBidi" w:cstheme="minorBidi"/>
          <w:b/>
          <w:bCs/>
          <w:sz w:val="36"/>
          <w:szCs w:val="36"/>
          <w:u w:val="single"/>
        </w:rPr>
      </w:pPr>
    </w:p>
    <w:p w14:paraId="31BA73E9" w14:textId="77777777" w:rsidR="001B0619" w:rsidRDefault="001B0619" w:rsidP="0099628A">
      <w:pPr>
        <w:spacing w:line="360" w:lineRule="auto"/>
        <w:jc w:val="center"/>
        <w:rPr>
          <w:rFonts w:asciiTheme="minorBidi" w:hAnsiTheme="minorBidi" w:cstheme="minorBidi"/>
          <w:b/>
          <w:bCs/>
          <w:sz w:val="36"/>
          <w:szCs w:val="36"/>
          <w:u w:val="single"/>
        </w:rPr>
      </w:pPr>
    </w:p>
    <w:p w14:paraId="0D73388C" w14:textId="77777777" w:rsidR="001B0619" w:rsidRDefault="001B0619" w:rsidP="0099628A">
      <w:pPr>
        <w:spacing w:line="360" w:lineRule="auto"/>
        <w:jc w:val="center"/>
        <w:rPr>
          <w:rFonts w:asciiTheme="minorBidi" w:hAnsiTheme="minorBidi" w:cstheme="minorBidi"/>
          <w:b/>
          <w:bCs/>
          <w:sz w:val="36"/>
          <w:szCs w:val="36"/>
          <w:u w:val="single"/>
        </w:rPr>
      </w:pPr>
    </w:p>
    <w:p w14:paraId="5F26B555" w14:textId="77777777" w:rsidR="001B0619" w:rsidRDefault="001B0619" w:rsidP="0099628A">
      <w:pPr>
        <w:spacing w:line="360" w:lineRule="auto"/>
        <w:jc w:val="center"/>
        <w:rPr>
          <w:rFonts w:asciiTheme="minorBidi" w:hAnsiTheme="minorBidi" w:cstheme="minorBidi"/>
          <w:b/>
          <w:bCs/>
          <w:sz w:val="36"/>
          <w:szCs w:val="36"/>
          <w:u w:val="single"/>
        </w:rPr>
      </w:pPr>
    </w:p>
    <w:p w14:paraId="17D07093" w14:textId="77777777" w:rsidR="001B0619" w:rsidRDefault="001B0619" w:rsidP="0099628A">
      <w:pPr>
        <w:spacing w:line="360" w:lineRule="auto"/>
        <w:jc w:val="center"/>
        <w:rPr>
          <w:rFonts w:asciiTheme="minorBidi" w:hAnsiTheme="minorBidi" w:cstheme="minorBidi"/>
          <w:b/>
          <w:bCs/>
          <w:sz w:val="36"/>
          <w:szCs w:val="36"/>
          <w:u w:val="single"/>
        </w:rPr>
      </w:pPr>
    </w:p>
    <w:p w14:paraId="43BA4BAB" w14:textId="77777777" w:rsidR="001B0619" w:rsidRDefault="001B0619" w:rsidP="0099628A">
      <w:pPr>
        <w:spacing w:line="360" w:lineRule="auto"/>
        <w:jc w:val="center"/>
        <w:rPr>
          <w:rFonts w:asciiTheme="minorBidi" w:hAnsiTheme="minorBidi" w:cstheme="minorBidi"/>
          <w:b/>
          <w:bCs/>
          <w:sz w:val="36"/>
          <w:szCs w:val="36"/>
          <w:u w:val="single"/>
        </w:rPr>
      </w:pPr>
    </w:p>
    <w:tbl>
      <w:tblPr>
        <w:tblStyle w:val="TableGrid"/>
        <w:tblW w:w="11340" w:type="dxa"/>
        <w:tblInd w:w="-1139" w:type="dxa"/>
        <w:tblLook w:val="04A0" w:firstRow="1" w:lastRow="0" w:firstColumn="1" w:lastColumn="0" w:noHBand="0" w:noVBand="1"/>
      </w:tblPr>
      <w:tblGrid>
        <w:gridCol w:w="2127"/>
        <w:gridCol w:w="9213"/>
      </w:tblGrid>
      <w:tr w:rsidR="001B0619" w14:paraId="683917D3" w14:textId="77777777" w:rsidTr="001B0619">
        <w:tc>
          <w:tcPr>
            <w:tcW w:w="2127" w:type="dxa"/>
          </w:tcPr>
          <w:p w14:paraId="4FBBA9AA" w14:textId="4F5E866B"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Professional Template 2</w:t>
            </w:r>
          </w:p>
        </w:tc>
        <w:tc>
          <w:tcPr>
            <w:tcW w:w="9213" w:type="dxa"/>
          </w:tcPr>
          <w:p w14:paraId="6D68CACD" w14:textId="0CA98735"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1B0619">
              <w:rPr>
                <w:rFonts w:asciiTheme="minorBidi" w:hAnsiTheme="minorBidi" w:cstheme="minorBidi"/>
                <w:sz w:val="22"/>
                <w:szCs w:val="22"/>
              </w:rPr>
              <w:t>Observation PTE3</w:t>
            </w:r>
          </w:p>
        </w:tc>
      </w:tr>
      <w:tr w:rsidR="001B0619" w14:paraId="05AB6B2B" w14:textId="77777777" w:rsidTr="001B0619">
        <w:tc>
          <w:tcPr>
            <w:tcW w:w="2127" w:type="dxa"/>
          </w:tcPr>
          <w:p w14:paraId="7153F582" w14:textId="255C6585"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 xml:space="preserve">Pedagogy </w:t>
            </w:r>
            <w:r w:rsidR="00FB7E51">
              <w:rPr>
                <w:rFonts w:asciiTheme="minorBidi" w:hAnsiTheme="minorBidi" w:cstheme="minorBidi"/>
                <w:sz w:val="22"/>
                <w:szCs w:val="22"/>
              </w:rPr>
              <w:t>S</w:t>
            </w:r>
            <w:r>
              <w:rPr>
                <w:rFonts w:asciiTheme="minorBidi" w:hAnsiTheme="minorBidi" w:cstheme="minorBidi"/>
                <w:sz w:val="22"/>
                <w:szCs w:val="22"/>
              </w:rPr>
              <w:t>tandard</w:t>
            </w:r>
          </w:p>
        </w:tc>
        <w:tc>
          <w:tcPr>
            <w:tcW w:w="9213" w:type="dxa"/>
          </w:tcPr>
          <w:p w14:paraId="3CFE5FBB" w14:textId="35D740E0"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1B0619">
              <w:rPr>
                <w:rFonts w:asciiTheme="minorBidi" w:hAnsiTheme="minorBidi" w:cstheme="minorBidi"/>
                <w:sz w:val="22"/>
                <w:szCs w:val="22"/>
              </w:rPr>
              <w:t>Employing a broad repertoire of teaching and experiences</w:t>
            </w:r>
          </w:p>
        </w:tc>
      </w:tr>
      <w:tr w:rsidR="001B0619" w14:paraId="7A45F02D" w14:textId="77777777" w:rsidTr="001B0619">
        <w:tc>
          <w:tcPr>
            <w:tcW w:w="2127" w:type="dxa"/>
          </w:tcPr>
          <w:p w14:paraId="1C3B091F" w14:textId="52CBCE86"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36"/>
                <w:szCs w:val="36"/>
              </w:rPr>
            </w:pPr>
            <w:r w:rsidRPr="001B0619">
              <w:rPr>
                <w:rFonts w:asciiTheme="minorBidi" w:hAnsiTheme="minorBidi" w:cstheme="minorBidi"/>
                <w:sz w:val="22"/>
                <w:szCs w:val="22"/>
              </w:rPr>
              <w:t>What did you do and why?</w:t>
            </w:r>
          </w:p>
        </w:tc>
        <w:tc>
          <w:tcPr>
            <w:tcW w:w="9213" w:type="dxa"/>
          </w:tcPr>
          <w:p w14:paraId="7963B6A8" w14:textId="452D5FF5"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1B0619">
              <w:rPr>
                <w:rFonts w:asciiTheme="minorBidi" w:hAnsiTheme="minorBidi" w:cstheme="minorBidi"/>
                <w:sz w:val="22"/>
                <w:szCs w:val="22"/>
              </w:rPr>
              <w:t>Throughout my PTE 3 placement the topic focus was 'Pits and Ponies'. This topic was embedded through the six Areas of Learning and Experience. The pupils had the opportunity to experience Big Pit (a coal mine). Following on from this, I organised and planned a carousel lesson relating to coal mining. I began the lesson with activating the learners knowledge and understanding. For instance, the pupils were given two post-it notes. One where they had to write what they already know about coal mining and the second, what they would like to learn. Then, a hook</w:t>
            </w:r>
            <w:r w:rsidR="001F14CF">
              <w:rPr>
                <w:rFonts w:asciiTheme="minorBidi" w:hAnsiTheme="minorBidi" w:cstheme="minorBidi"/>
                <w:sz w:val="22"/>
                <w:szCs w:val="22"/>
              </w:rPr>
              <w:t xml:space="preserve"> which involved </w:t>
            </w:r>
            <w:r w:rsidRPr="001B0619">
              <w:rPr>
                <w:rFonts w:asciiTheme="minorBidi" w:hAnsiTheme="minorBidi" w:cstheme="minorBidi"/>
                <w:sz w:val="22"/>
                <w:szCs w:val="22"/>
              </w:rPr>
              <w:t xml:space="preserve">an email from Big Pit setting three challenges.  </w:t>
            </w:r>
          </w:p>
          <w:p w14:paraId="11D78C45" w14:textId="77777777"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01635581" w14:textId="77777777"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1B0619">
              <w:rPr>
                <w:rFonts w:asciiTheme="minorBidi" w:hAnsiTheme="minorBidi" w:cstheme="minorBidi"/>
                <w:sz w:val="22"/>
                <w:szCs w:val="22"/>
              </w:rPr>
              <w:t xml:space="preserve">I pitched the activities to the whole class, explaining that they would all have a chance to do the activities. The learners were placed in mixed ability groups, following the more knowledgeable other theory (Vygotsky, 1978). This underlines that pupils had the opportunity to support each other, and the learning was scaffolded for the different levels. The activities consisted of writing a poem about coal mining: the pupils had been working up to writing a poem as they had learned about the different techniques, and they had mapped out a plan. The next activity included charcoal drawings related to coal- mining equipment, these learners were referred to as Creative Contributors. </w:t>
            </w:r>
          </w:p>
          <w:p w14:paraId="5AD3DCC0" w14:textId="77777777"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1B0619">
              <w:rPr>
                <w:rFonts w:asciiTheme="minorBidi" w:hAnsiTheme="minorBidi" w:cstheme="minorBidi"/>
                <w:sz w:val="22"/>
                <w:szCs w:val="22"/>
              </w:rPr>
              <w:t xml:space="preserve">The last activity was a research task where the pupils were given a range of questions and sources to find out information about the jobs children worked underground and how children's rights were exploited. Then, they had to create a poster showing the difference of Children's rights today and back in the 18th and 19th century. This activity referred to the pupils as ethical, ambitious and capable learners. </w:t>
            </w:r>
          </w:p>
          <w:p w14:paraId="0CC89602" w14:textId="77777777"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1FD99C17" w14:textId="062F8B05"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1B0619">
              <w:rPr>
                <w:rFonts w:asciiTheme="minorBidi" w:hAnsiTheme="minorBidi" w:cstheme="minorBidi"/>
                <w:sz w:val="22"/>
                <w:szCs w:val="22"/>
              </w:rPr>
              <w:t>The activities highlighted the four purposes of the Curriculum for Wales (2022), to emphasise the aim of creating lifelong learners. This teaching and learning opportunity engaged learners and created a meaningful learning experience. The pupils were eager, willing and enthusiastic to complete the tasks.</w:t>
            </w:r>
          </w:p>
        </w:tc>
      </w:tr>
      <w:tr w:rsidR="001B0619" w14:paraId="6BC57EC0" w14:textId="77777777" w:rsidTr="001B0619">
        <w:tc>
          <w:tcPr>
            <w:tcW w:w="2127" w:type="dxa"/>
          </w:tcPr>
          <w:p w14:paraId="681BD5AC" w14:textId="31898A69"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sidRPr="001B0619">
              <w:rPr>
                <w:rFonts w:asciiTheme="minorBidi" w:hAnsiTheme="minorBidi" w:cstheme="minorBidi"/>
                <w:sz w:val="22"/>
                <w:szCs w:val="22"/>
              </w:rPr>
              <w:t>What have you learned?</w:t>
            </w:r>
          </w:p>
        </w:tc>
        <w:tc>
          <w:tcPr>
            <w:tcW w:w="9213" w:type="dxa"/>
          </w:tcPr>
          <w:p w14:paraId="1CF9BB36" w14:textId="05732EB9"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1B0619">
              <w:rPr>
                <w:rFonts w:asciiTheme="minorBidi" w:hAnsiTheme="minorBidi" w:cstheme="minorBidi"/>
                <w:sz w:val="22"/>
                <w:szCs w:val="22"/>
              </w:rPr>
              <w:t xml:space="preserve">This teaching and learning practice were relevant and beneficial to my professional development and the learners' progression. The lesson was assessed through the use of steps to success/success criteria and the learning intention (each activity had a differing LI/ success criteria) the learners assessed themselves and they had a peer assess their. Then, </w:t>
            </w:r>
            <w:r w:rsidRPr="001B0619">
              <w:rPr>
                <w:rFonts w:asciiTheme="minorBidi" w:hAnsiTheme="minorBidi" w:cstheme="minorBidi"/>
                <w:sz w:val="22"/>
                <w:szCs w:val="22"/>
              </w:rPr>
              <w:lastRenderedPageBreak/>
              <w:t xml:space="preserve">I assessed their work and included a way forward, Besides, this experience linked to the following professional standards: Exploiting subject disciplines in areas of learning and sustained effort and resilience in learners. </w:t>
            </w:r>
          </w:p>
          <w:p w14:paraId="338FB73F" w14:textId="77777777"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2B75C14E" w14:textId="77777777"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u w:val="single"/>
              </w:rPr>
            </w:pPr>
            <w:r w:rsidRPr="001B0619">
              <w:rPr>
                <w:rFonts w:asciiTheme="minorBidi" w:hAnsiTheme="minorBidi" w:cstheme="minorBidi"/>
                <w:sz w:val="22"/>
                <w:szCs w:val="22"/>
                <w:u w:val="single"/>
              </w:rPr>
              <w:t>Pedagogy-Advancing learning- Exploiting subject disciplines in areas of learning</w:t>
            </w:r>
          </w:p>
          <w:p w14:paraId="5F85A9DF" w14:textId="77777777"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0EE113E9" w14:textId="2ED42E5F"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1B0619">
              <w:rPr>
                <w:rFonts w:asciiTheme="minorBidi" w:hAnsiTheme="minorBidi" w:cstheme="minorBidi"/>
                <w:sz w:val="22"/>
                <w:szCs w:val="22"/>
              </w:rPr>
              <w:t>Essentially, planning appropriate lessons that hit different subject areas is fundamental to learners' knowledge, understanding and overall progression. Exploiting the six areas of learning and cross-curricular themes ensures that the learning intention is met and expanded upon. Learning and progression is a journey which can be connected to different pathways, meaning that planning lessons that involve different areas of learning and experience/ cross-curricular themes are beneficial to increase student's retention, engagement and eagerness to learn (March, 1991). Although, this could be time consuming to plan, prepare and develop the lessons due to the lack of re-sources and lack of staff support. As well as this, educators should recognise the challenge of classroom management change due to an overload of work. Nevertheless, it is beneficial to build links to different areas of learning as it provides learners with the opportunity to explore and dis-cover new things. This implies that learners' knowledge and understanding is positively impacted, and their needs are met to the highest potential standard (Welsh Government, 2023).</w:t>
            </w:r>
          </w:p>
        </w:tc>
      </w:tr>
      <w:tr w:rsidR="001B0619" w14:paraId="55424BD7" w14:textId="77777777" w:rsidTr="001B0619">
        <w:tc>
          <w:tcPr>
            <w:tcW w:w="2127" w:type="dxa"/>
          </w:tcPr>
          <w:p w14:paraId="129C72EE" w14:textId="2BD639B1"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sidRPr="001B0619">
              <w:rPr>
                <w:rFonts w:asciiTheme="minorBidi" w:hAnsiTheme="minorBidi" w:cstheme="minorBidi"/>
                <w:sz w:val="22"/>
                <w:szCs w:val="22"/>
              </w:rPr>
              <w:lastRenderedPageBreak/>
              <w:t>What next?</w:t>
            </w:r>
          </w:p>
        </w:tc>
        <w:tc>
          <w:tcPr>
            <w:tcW w:w="9213" w:type="dxa"/>
          </w:tcPr>
          <w:p w14:paraId="16F1CC96" w14:textId="5D6FFEB5" w:rsidR="001B0619" w:rsidRPr="001B0619" w:rsidRDefault="001B0619"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1B0619">
              <w:rPr>
                <w:rFonts w:asciiTheme="minorBidi" w:hAnsiTheme="minorBidi" w:cstheme="minorBidi"/>
                <w:sz w:val="22"/>
                <w:szCs w:val="22"/>
              </w:rPr>
              <w:t xml:space="preserve">From the feedback, I have gathered that: I use Welsh naturally for commands in my lessons, perhaps I could extend this further now by incorporating more incidental Welsh, familiar sentence patterns and key vocabulary linked to coal mines into my sessions. To improve my teaching pedagogy: as all of the groups were going to be completing the same tasks, it may have been an idea to introduce each task to the whole class together to keep their full attention. An idea for the pupil voice post-its used at the start may have been for pupils who had finished their tasks to answer one of the peer’s questions.  </w:t>
            </w:r>
          </w:p>
        </w:tc>
      </w:tr>
    </w:tbl>
    <w:p w14:paraId="5AF07996" w14:textId="77777777" w:rsidR="001B0619" w:rsidRDefault="001B0619" w:rsidP="001B0619">
      <w:pPr>
        <w:spacing w:line="360" w:lineRule="auto"/>
        <w:rPr>
          <w:rFonts w:asciiTheme="minorBidi" w:hAnsiTheme="minorBidi" w:cstheme="minorBidi"/>
          <w:b/>
          <w:bCs/>
          <w:sz w:val="36"/>
          <w:szCs w:val="36"/>
          <w:u w:val="single"/>
        </w:rPr>
      </w:pPr>
    </w:p>
    <w:p w14:paraId="15200122" w14:textId="77777777" w:rsidR="00547BC0" w:rsidRDefault="00547BC0" w:rsidP="0099628A">
      <w:pPr>
        <w:spacing w:line="360" w:lineRule="auto"/>
        <w:jc w:val="center"/>
        <w:rPr>
          <w:rFonts w:asciiTheme="minorBidi" w:hAnsiTheme="minorBidi" w:cstheme="minorBidi"/>
          <w:b/>
          <w:bCs/>
          <w:sz w:val="36"/>
          <w:szCs w:val="36"/>
          <w:u w:val="single"/>
        </w:rPr>
      </w:pPr>
    </w:p>
    <w:p w14:paraId="0E353591" w14:textId="77777777" w:rsidR="00547BC0" w:rsidRDefault="00547BC0" w:rsidP="0099628A">
      <w:pPr>
        <w:spacing w:line="360" w:lineRule="auto"/>
        <w:jc w:val="center"/>
        <w:rPr>
          <w:rFonts w:asciiTheme="minorBidi" w:hAnsiTheme="minorBidi" w:cstheme="minorBidi"/>
          <w:b/>
          <w:bCs/>
          <w:sz w:val="36"/>
          <w:szCs w:val="36"/>
          <w:u w:val="single"/>
        </w:rPr>
      </w:pPr>
    </w:p>
    <w:p w14:paraId="53003F0A" w14:textId="77777777" w:rsidR="001B0619" w:rsidRDefault="001B0619" w:rsidP="0099628A">
      <w:pPr>
        <w:spacing w:line="360" w:lineRule="auto"/>
        <w:jc w:val="center"/>
        <w:rPr>
          <w:rFonts w:asciiTheme="minorBidi" w:hAnsiTheme="minorBidi" w:cstheme="minorBidi"/>
          <w:b/>
          <w:bCs/>
          <w:sz w:val="36"/>
          <w:szCs w:val="36"/>
          <w:u w:val="single"/>
        </w:rPr>
      </w:pPr>
    </w:p>
    <w:p w14:paraId="6B064237" w14:textId="77777777" w:rsidR="001B0619" w:rsidRDefault="001B0619" w:rsidP="0099628A">
      <w:pPr>
        <w:spacing w:line="360" w:lineRule="auto"/>
        <w:jc w:val="center"/>
        <w:rPr>
          <w:rFonts w:asciiTheme="minorBidi" w:hAnsiTheme="minorBidi" w:cstheme="minorBidi"/>
          <w:b/>
          <w:bCs/>
          <w:sz w:val="36"/>
          <w:szCs w:val="36"/>
          <w:u w:val="single"/>
        </w:rPr>
      </w:pPr>
    </w:p>
    <w:p w14:paraId="78ACADFB" w14:textId="77777777" w:rsidR="001B0619" w:rsidRDefault="001B0619" w:rsidP="0099628A">
      <w:pPr>
        <w:spacing w:line="360" w:lineRule="auto"/>
        <w:jc w:val="center"/>
        <w:rPr>
          <w:rFonts w:asciiTheme="minorBidi" w:hAnsiTheme="minorBidi" w:cstheme="minorBidi"/>
          <w:b/>
          <w:bCs/>
          <w:sz w:val="36"/>
          <w:szCs w:val="36"/>
          <w:u w:val="single"/>
        </w:rPr>
      </w:pPr>
    </w:p>
    <w:p w14:paraId="4C16FCC9" w14:textId="77777777" w:rsidR="001B0619" w:rsidRDefault="001B0619" w:rsidP="0099628A">
      <w:pPr>
        <w:spacing w:line="360" w:lineRule="auto"/>
        <w:jc w:val="center"/>
        <w:rPr>
          <w:rFonts w:asciiTheme="minorBidi" w:hAnsiTheme="minorBidi" w:cstheme="minorBidi"/>
          <w:b/>
          <w:bCs/>
          <w:sz w:val="36"/>
          <w:szCs w:val="36"/>
          <w:u w:val="single"/>
        </w:rPr>
      </w:pPr>
    </w:p>
    <w:tbl>
      <w:tblPr>
        <w:tblStyle w:val="TableGrid"/>
        <w:tblW w:w="10916" w:type="dxa"/>
        <w:tblInd w:w="-998" w:type="dxa"/>
        <w:tblLook w:val="04A0" w:firstRow="1" w:lastRow="0" w:firstColumn="1" w:lastColumn="0" w:noHBand="0" w:noVBand="1"/>
      </w:tblPr>
      <w:tblGrid>
        <w:gridCol w:w="2127"/>
        <w:gridCol w:w="8789"/>
      </w:tblGrid>
      <w:tr w:rsidR="001B0619" w14:paraId="569F1C8E" w14:textId="77777777" w:rsidTr="00FB7E51">
        <w:tc>
          <w:tcPr>
            <w:tcW w:w="2127" w:type="dxa"/>
          </w:tcPr>
          <w:p w14:paraId="53B2C02F" w14:textId="68C593F9" w:rsidR="001B0619"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Professional Template 3</w:t>
            </w:r>
          </w:p>
        </w:tc>
        <w:tc>
          <w:tcPr>
            <w:tcW w:w="8789" w:type="dxa"/>
          </w:tcPr>
          <w:p w14:paraId="0B83B40D" w14:textId="7C2E5B02" w:rsidR="001B0619" w:rsidRDefault="00FB7E51"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Pr>
                <w:rFonts w:asciiTheme="minorBidi" w:hAnsiTheme="minorBidi" w:cstheme="minorBidi"/>
                <w:sz w:val="22"/>
                <w:szCs w:val="22"/>
              </w:rPr>
              <w:t>Real-life teaching and learning</w:t>
            </w:r>
          </w:p>
        </w:tc>
      </w:tr>
      <w:tr w:rsidR="001B0619" w14:paraId="3B520846" w14:textId="77777777" w:rsidTr="00FB7E51">
        <w:tc>
          <w:tcPr>
            <w:tcW w:w="2127" w:type="dxa"/>
          </w:tcPr>
          <w:p w14:paraId="31175884" w14:textId="45A1F739" w:rsidR="001B0619"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Pedagogy Standard</w:t>
            </w:r>
          </w:p>
        </w:tc>
        <w:tc>
          <w:tcPr>
            <w:tcW w:w="8789" w:type="dxa"/>
          </w:tcPr>
          <w:p w14:paraId="67AB8D21" w14:textId="6FAEFBC0" w:rsidR="001B0619" w:rsidRDefault="00FB7E51"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Pr>
                <w:rFonts w:asciiTheme="minorBidi" w:hAnsiTheme="minorBidi" w:cstheme="minorBidi"/>
                <w:sz w:val="22"/>
                <w:szCs w:val="22"/>
              </w:rPr>
              <w:t>Real-life authentic context</w:t>
            </w:r>
          </w:p>
        </w:tc>
      </w:tr>
      <w:tr w:rsidR="001B0619" w14:paraId="14FF5D12" w14:textId="77777777" w:rsidTr="00FB7E51">
        <w:tc>
          <w:tcPr>
            <w:tcW w:w="2127" w:type="dxa"/>
          </w:tcPr>
          <w:p w14:paraId="551444BD" w14:textId="62706F4D" w:rsidR="001B0619"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What did you do and why?</w:t>
            </w:r>
          </w:p>
        </w:tc>
        <w:tc>
          <w:tcPr>
            <w:tcW w:w="8789" w:type="dxa"/>
          </w:tcPr>
          <w:p w14:paraId="5701E692" w14:textId="0B53DABE"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FB7E51">
              <w:rPr>
                <w:rFonts w:asciiTheme="minorBidi" w:hAnsiTheme="minorBidi" w:cstheme="minorBidi"/>
                <w:sz w:val="22"/>
                <w:szCs w:val="22"/>
              </w:rPr>
              <w:t xml:space="preserve">Every day is a learning day, and it is essential to recognise that different pupils will require different levels of support. It is necessary to meet the needs of every learner. Therefore, I have chosen to discuss a specific lesson where every learner described the lesson as their 'favourite' from the year. </w:t>
            </w:r>
          </w:p>
          <w:p w14:paraId="7EF74700"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6F6BD4A4" w14:textId="13A75A54"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FB7E51">
              <w:rPr>
                <w:rFonts w:asciiTheme="minorBidi" w:hAnsiTheme="minorBidi" w:cstheme="minorBidi"/>
                <w:sz w:val="22"/>
                <w:szCs w:val="22"/>
              </w:rPr>
              <w:t>Firstly, the topic focus in Mathematics (this particular week) was centimetres and millimetres. The lesson began with recapping and activating prior knowledge with conversions. The learners had to mark out different lengths in centimetres and millimetres on their whiteboard table. Then, in learning partners the pupils were set a challenge to think of real-life scenarios where they would need to measure. Following on from this, the pupils fed back to the class, and they mentioned jobs where they would use this skill. It is beneficial to link learning to the real world; this will develop learners' understanding (Renaud, 2020). Implying that they will be able to transfer their knowledge and skills outside of the classroom. Essentially, connecting classroom learning to real-life scenarios encourages learners to become outside of the box thinkers, critical thinkers and it increases their engagement in the classroom.</w:t>
            </w:r>
          </w:p>
          <w:p w14:paraId="16C98B58"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059DE24D" w14:textId="64AF040B" w:rsidR="001B0619"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FB7E51">
              <w:rPr>
                <w:rFonts w:asciiTheme="minorBidi" w:hAnsiTheme="minorBidi" w:cstheme="minorBidi"/>
                <w:sz w:val="22"/>
                <w:szCs w:val="22"/>
              </w:rPr>
              <w:t>Moreover, the lesson was then moved to the outdoor area. The main task involved learners collecting a variety of different leaves; the activity was pitched at different levels (this is differentiated three ways). It is crucial to create successful outcomes for our learners, this ensures that they develop a love for learning and a desire to progress and be challenged. The outdoor environment should be an extension of the classroom; there are a vast number of benefits, and it supports learners' holistic development. This underlines the importance of creating meaningful learning opportunities to support learning and development inside and outside of the classroom.</w:t>
            </w:r>
          </w:p>
        </w:tc>
      </w:tr>
      <w:tr w:rsidR="001B0619" w14:paraId="2AA0480E" w14:textId="77777777" w:rsidTr="00FB7E51">
        <w:tc>
          <w:tcPr>
            <w:tcW w:w="2127" w:type="dxa"/>
          </w:tcPr>
          <w:p w14:paraId="23A23EC0" w14:textId="51774D31" w:rsidR="001B0619"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What have you learned?</w:t>
            </w:r>
          </w:p>
        </w:tc>
        <w:tc>
          <w:tcPr>
            <w:tcW w:w="8789" w:type="dxa"/>
          </w:tcPr>
          <w:p w14:paraId="4E2C26C8" w14:textId="1D65B799"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FB7E51">
              <w:rPr>
                <w:rFonts w:asciiTheme="minorBidi" w:hAnsiTheme="minorBidi" w:cstheme="minorBidi"/>
                <w:sz w:val="22"/>
                <w:szCs w:val="22"/>
              </w:rPr>
              <w:t>Preparing, planning and providing this teaching and learning experience was fundamental to develop the learners' understanding and knowledge of the specific topic. It is crucial to relate learning to real-life concepts as it facilitates learning, meaning that the teaching pedagogy was appropriate and relevant to aid progression inside and outside of the classroom. This experience related to the following professional standards: real life, authentic contexts, differentiation and challenge and expectations.</w:t>
            </w:r>
          </w:p>
          <w:p w14:paraId="0ED8AB23"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292A2772"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u w:val="single"/>
              </w:rPr>
            </w:pPr>
            <w:r w:rsidRPr="00FB7E51">
              <w:rPr>
                <w:rFonts w:asciiTheme="minorBidi" w:hAnsiTheme="minorBidi" w:cstheme="minorBidi"/>
                <w:sz w:val="22"/>
                <w:szCs w:val="22"/>
                <w:u w:val="single"/>
              </w:rPr>
              <w:t>Pedagogy- Advancing learning- Real life, authentic contexts</w:t>
            </w:r>
          </w:p>
          <w:p w14:paraId="51381010"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p>
          <w:p w14:paraId="224E22F8" w14:textId="62412E1D" w:rsidR="001B0619"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FB7E51">
              <w:rPr>
                <w:rFonts w:asciiTheme="minorBidi" w:hAnsiTheme="minorBidi" w:cstheme="minorBidi"/>
                <w:sz w:val="22"/>
                <w:szCs w:val="22"/>
              </w:rPr>
              <w:t>As an educator, I have perceived, observed and delivered authentic learning. Throughout my practices, it was evident that authentic teaching and learning engages learners, and it develops their enthusiasm and desire to learn. This is known to increase their preparation for the real-world. For instance, real-life authentic contexts provide an active learning environment that strives for successful outcomes (Laur, 2013). An active learning approach encourages learners to play a central role in their education journey. This enhances their skillset and their understanding of the world around them (Stanley, 2021). Although, through advocating for this teaching and learning approach, I encountered limitations that involve a lack of funding for resources and supporting staff. As well as this, many educators express the increase workload that could make it difficult to plan, prepare and discuss (Burke, 2009). Besides, real-life, authentic context gives learning a purpose.</w:t>
            </w:r>
          </w:p>
        </w:tc>
      </w:tr>
      <w:tr w:rsidR="001B0619" w14:paraId="51A34E0F" w14:textId="77777777" w:rsidTr="00FB7E51">
        <w:tc>
          <w:tcPr>
            <w:tcW w:w="2127" w:type="dxa"/>
          </w:tcPr>
          <w:p w14:paraId="61F91142" w14:textId="4837B9DC" w:rsidR="001B0619"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lastRenderedPageBreak/>
              <w:t>What next?</w:t>
            </w:r>
          </w:p>
        </w:tc>
        <w:tc>
          <w:tcPr>
            <w:tcW w:w="8789" w:type="dxa"/>
          </w:tcPr>
          <w:p w14:paraId="2B17F874" w14:textId="23EAFA53" w:rsidR="001B0619" w:rsidRDefault="00FB7E51" w:rsidP="001B061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Bidi" w:hAnsiTheme="minorBidi" w:cstheme="minorBidi"/>
                <w:sz w:val="22"/>
                <w:szCs w:val="22"/>
              </w:rPr>
            </w:pPr>
            <w:r w:rsidRPr="00FB7E51">
              <w:rPr>
                <w:rFonts w:asciiTheme="minorBidi" w:hAnsiTheme="minorBidi" w:cstheme="minorBidi"/>
                <w:sz w:val="22"/>
                <w:szCs w:val="22"/>
              </w:rPr>
              <w:t>As a result of this experience, I will continue to provide meaningful learning opportunities. I will ensure to use the outdoor environment as an extension to the classroom. I will continue to relate teaching and learning to real-life scenarios to develop the learners' understanding and knowledge of the world around them. This will provide them with a greater skillset. I will promote the im-portance of active learning and the difference it makes to students' engagement levels. I will continue to make a difference and meet the needs of all learners to the highest potential standard.</w:t>
            </w:r>
          </w:p>
        </w:tc>
      </w:tr>
    </w:tbl>
    <w:p w14:paraId="15F0CF3E" w14:textId="77777777" w:rsidR="001B0619" w:rsidRPr="001B0619" w:rsidRDefault="001B0619" w:rsidP="001B0619">
      <w:pPr>
        <w:spacing w:line="360" w:lineRule="auto"/>
        <w:rPr>
          <w:rFonts w:asciiTheme="minorBidi" w:hAnsiTheme="minorBidi" w:cstheme="minorBidi"/>
          <w:sz w:val="22"/>
          <w:szCs w:val="22"/>
        </w:rPr>
      </w:pPr>
    </w:p>
    <w:p w14:paraId="0CD34839" w14:textId="77777777" w:rsidR="00547BC0" w:rsidRDefault="00547BC0" w:rsidP="0099628A">
      <w:pPr>
        <w:spacing w:line="360" w:lineRule="auto"/>
        <w:jc w:val="center"/>
        <w:rPr>
          <w:rFonts w:asciiTheme="minorBidi" w:hAnsiTheme="minorBidi" w:cstheme="minorBidi"/>
          <w:b/>
          <w:bCs/>
          <w:sz w:val="36"/>
          <w:szCs w:val="36"/>
          <w:u w:val="single"/>
        </w:rPr>
      </w:pPr>
    </w:p>
    <w:p w14:paraId="61948D84" w14:textId="77777777" w:rsidR="00547BC0" w:rsidRDefault="00547BC0" w:rsidP="0099628A">
      <w:pPr>
        <w:spacing w:line="360" w:lineRule="auto"/>
        <w:jc w:val="center"/>
        <w:rPr>
          <w:rFonts w:asciiTheme="minorBidi" w:hAnsiTheme="minorBidi" w:cstheme="minorBidi"/>
          <w:b/>
          <w:bCs/>
          <w:sz w:val="36"/>
          <w:szCs w:val="36"/>
          <w:u w:val="single"/>
        </w:rPr>
      </w:pPr>
    </w:p>
    <w:p w14:paraId="4EBDC058" w14:textId="77777777" w:rsidR="00547BC0" w:rsidRDefault="00547BC0" w:rsidP="0099628A">
      <w:pPr>
        <w:spacing w:line="360" w:lineRule="auto"/>
        <w:jc w:val="center"/>
        <w:rPr>
          <w:rFonts w:asciiTheme="minorBidi" w:hAnsiTheme="minorBidi" w:cstheme="minorBidi"/>
          <w:b/>
          <w:bCs/>
          <w:sz w:val="36"/>
          <w:szCs w:val="36"/>
          <w:u w:val="single"/>
        </w:rPr>
      </w:pPr>
    </w:p>
    <w:p w14:paraId="070129DD" w14:textId="77777777" w:rsidR="00FB7E51" w:rsidRDefault="00FB7E51" w:rsidP="0099628A">
      <w:pPr>
        <w:spacing w:line="360" w:lineRule="auto"/>
        <w:jc w:val="center"/>
        <w:rPr>
          <w:rFonts w:asciiTheme="minorBidi" w:hAnsiTheme="minorBidi" w:cstheme="minorBidi"/>
          <w:b/>
          <w:bCs/>
          <w:sz w:val="36"/>
          <w:szCs w:val="36"/>
          <w:u w:val="single"/>
        </w:rPr>
      </w:pPr>
    </w:p>
    <w:p w14:paraId="3AFD3D43" w14:textId="77777777" w:rsidR="00FB7E51" w:rsidRDefault="00FB7E51" w:rsidP="0099628A">
      <w:pPr>
        <w:spacing w:line="360" w:lineRule="auto"/>
        <w:jc w:val="center"/>
        <w:rPr>
          <w:rFonts w:asciiTheme="minorBidi" w:hAnsiTheme="minorBidi" w:cstheme="minorBidi"/>
          <w:b/>
          <w:bCs/>
          <w:sz w:val="36"/>
          <w:szCs w:val="36"/>
          <w:u w:val="single"/>
        </w:rPr>
      </w:pPr>
    </w:p>
    <w:p w14:paraId="200C670D" w14:textId="77777777" w:rsidR="00FB7E51" w:rsidRDefault="00FB7E51" w:rsidP="0099628A">
      <w:pPr>
        <w:spacing w:line="360" w:lineRule="auto"/>
        <w:jc w:val="center"/>
        <w:rPr>
          <w:rFonts w:asciiTheme="minorBidi" w:hAnsiTheme="minorBidi" w:cstheme="minorBidi"/>
          <w:b/>
          <w:bCs/>
          <w:sz w:val="36"/>
          <w:szCs w:val="36"/>
          <w:u w:val="single"/>
        </w:rPr>
      </w:pPr>
    </w:p>
    <w:p w14:paraId="4A8A1864" w14:textId="77777777" w:rsidR="00FB7E51" w:rsidRDefault="00FB7E51" w:rsidP="0099628A">
      <w:pPr>
        <w:spacing w:line="360" w:lineRule="auto"/>
        <w:jc w:val="center"/>
        <w:rPr>
          <w:rFonts w:asciiTheme="minorBidi" w:hAnsiTheme="minorBidi" w:cstheme="minorBidi"/>
          <w:b/>
          <w:bCs/>
          <w:sz w:val="36"/>
          <w:szCs w:val="36"/>
          <w:u w:val="single"/>
        </w:rPr>
      </w:pPr>
    </w:p>
    <w:p w14:paraId="7A941CB5" w14:textId="77777777" w:rsidR="00FB7E51" w:rsidRDefault="00FB7E51" w:rsidP="0099628A">
      <w:pPr>
        <w:spacing w:line="360" w:lineRule="auto"/>
        <w:jc w:val="center"/>
        <w:rPr>
          <w:rFonts w:asciiTheme="minorBidi" w:hAnsiTheme="minorBidi" w:cstheme="minorBidi"/>
          <w:b/>
          <w:bCs/>
          <w:sz w:val="36"/>
          <w:szCs w:val="36"/>
          <w:u w:val="single"/>
        </w:rPr>
      </w:pPr>
    </w:p>
    <w:tbl>
      <w:tblPr>
        <w:tblStyle w:val="TableGrid"/>
        <w:tblW w:w="10774" w:type="dxa"/>
        <w:tblInd w:w="-856" w:type="dxa"/>
        <w:tblLook w:val="04A0" w:firstRow="1" w:lastRow="0" w:firstColumn="1" w:lastColumn="0" w:noHBand="0" w:noVBand="1"/>
      </w:tblPr>
      <w:tblGrid>
        <w:gridCol w:w="1844"/>
        <w:gridCol w:w="8930"/>
      </w:tblGrid>
      <w:tr w:rsidR="00FB7E51" w14:paraId="469F3BE1" w14:textId="77777777" w:rsidTr="00FB7E51">
        <w:tc>
          <w:tcPr>
            <w:tcW w:w="1844" w:type="dxa"/>
          </w:tcPr>
          <w:p w14:paraId="1A1E4F1C" w14:textId="539E5B72"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lastRenderedPageBreak/>
              <w:t>Professional Experience 4</w:t>
            </w:r>
          </w:p>
        </w:tc>
        <w:tc>
          <w:tcPr>
            <w:tcW w:w="8930" w:type="dxa"/>
          </w:tcPr>
          <w:p w14:paraId="17CDA0D1" w14:textId="5C497CE3"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 w:val="22"/>
                <w:szCs w:val="22"/>
              </w:rPr>
            </w:pPr>
            <w:r>
              <w:rPr>
                <w:rFonts w:asciiTheme="minorBidi" w:hAnsiTheme="minorBidi" w:cstheme="minorBidi"/>
                <w:sz w:val="22"/>
                <w:szCs w:val="22"/>
              </w:rPr>
              <w:t>Inquiry based learning</w:t>
            </w:r>
          </w:p>
        </w:tc>
      </w:tr>
      <w:tr w:rsidR="00FB7E51" w14:paraId="11D46B72" w14:textId="77777777" w:rsidTr="00FB7E51">
        <w:tc>
          <w:tcPr>
            <w:tcW w:w="1844" w:type="dxa"/>
          </w:tcPr>
          <w:p w14:paraId="65C90B4A" w14:textId="450F404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Pedagogy Standard</w:t>
            </w:r>
          </w:p>
        </w:tc>
        <w:tc>
          <w:tcPr>
            <w:tcW w:w="8930" w:type="dxa"/>
          </w:tcPr>
          <w:p w14:paraId="6CC30CF1" w14:textId="23C11026"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 w:val="22"/>
                <w:szCs w:val="22"/>
              </w:rPr>
            </w:pPr>
            <w:r>
              <w:rPr>
                <w:rFonts w:asciiTheme="minorBidi" w:hAnsiTheme="minorBidi" w:cstheme="minorBidi"/>
                <w:sz w:val="22"/>
                <w:szCs w:val="22"/>
              </w:rPr>
              <w:t>Cross-curricular themes</w:t>
            </w:r>
          </w:p>
        </w:tc>
      </w:tr>
      <w:tr w:rsidR="00FB7E51" w14:paraId="1E958DA5" w14:textId="77777777" w:rsidTr="00FB7E51">
        <w:tc>
          <w:tcPr>
            <w:tcW w:w="1844" w:type="dxa"/>
          </w:tcPr>
          <w:p w14:paraId="1D2AAB7D" w14:textId="6AB19DC0"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What did you do and why?</w:t>
            </w:r>
          </w:p>
        </w:tc>
        <w:tc>
          <w:tcPr>
            <w:tcW w:w="8930" w:type="dxa"/>
          </w:tcPr>
          <w:p w14:paraId="0901A14C" w14:textId="215C6A73"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 w:val="22"/>
                <w:szCs w:val="22"/>
              </w:rPr>
            </w:pPr>
            <w:r w:rsidRPr="00FB7E51">
              <w:rPr>
                <w:rFonts w:asciiTheme="minorBidi" w:hAnsiTheme="minorBidi" w:cstheme="minorBidi"/>
                <w:sz w:val="22"/>
                <w:szCs w:val="22"/>
              </w:rPr>
              <w:t>Throughout my teaching practice, I have experienced inquiry-based teaching and learning. This involves a process of learning which engages learners through real-life connections. Inquiry based learning emphasises the importance of exploration and experiential learning. Implying that it promotes high levels of questioning and independent work. For instance, during the well-being week at school, the pupils' chosen focus was healthy relationships. The learners participated in a workshop with  Cardiff City-rainbow laces. They had to draw a football shoe, or they were given a template and they had to write healthy words to describe a relationship. Following on from this workshop, they were shown a video (as a hook) which was called Love has no labels. This video conveyed the different types of relationships. Then, independently, the learners had to write a question that they would like to research or find out. There were many activities set for the learners to complete, although they could explore the topic of healthy and unhealthy relation-ships. This was significant to teach the learners the meaning of healthy relationships, equity, equality, and their rights (UNICEF, 2023).</w:t>
            </w:r>
          </w:p>
        </w:tc>
      </w:tr>
      <w:tr w:rsidR="00FB7E51" w14:paraId="45495E98" w14:textId="77777777" w:rsidTr="00FB7E51">
        <w:tc>
          <w:tcPr>
            <w:tcW w:w="1844" w:type="dxa"/>
          </w:tcPr>
          <w:p w14:paraId="6A67ACC9" w14:textId="48808904"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t>What have you learned?</w:t>
            </w:r>
          </w:p>
        </w:tc>
        <w:tc>
          <w:tcPr>
            <w:tcW w:w="8930" w:type="dxa"/>
          </w:tcPr>
          <w:p w14:paraId="1F88C49F"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 w:val="22"/>
                <w:szCs w:val="22"/>
              </w:rPr>
            </w:pPr>
            <w:r w:rsidRPr="00FB7E51">
              <w:rPr>
                <w:rFonts w:asciiTheme="minorBidi" w:hAnsiTheme="minorBidi" w:cstheme="minorBidi"/>
                <w:sz w:val="22"/>
                <w:szCs w:val="22"/>
              </w:rPr>
              <w:t xml:space="preserve">This teaching and learning experience are relevant to my practice and future developments. The learners understood the importance of healthy relationships and their rights as individuals. They recognised that they are supported in the school setting and beyond regardless of who they are and what they believe in. This experience relates to the professional standard being cross-curricular themes. </w:t>
            </w:r>
          </w:p>
          <w:p w14:paraId="5CEBD563"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 w:val="22"/>
                <w:szCs w:val="22"/>
              </w:rPr>
            </w:pPr>
          </w:p>
          <w:p w14:paraId="5E6617B2" w14:textId="77777777" w:rsidR="00FB7E51" w:rsidRPr="00824988"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 w:val="22"/>
                <w:szCs w:val="22"/>
                <w:u w:val="single"/>
              </w:rPr>
            </w:pPr>
            <w:r w:rsidRPr="00824988">
              <w:rPr>
                <w:rFonts w:asciiTheme="minorBidi" w:hAnsiTheme="minorBidi" w:cstheme="minorBidi"/>
                <w:sz w:val="22"/>
                <w:szCs w:val="22"/>
                <w:u w:val="single"/>
              </w:rPr>
              <w:t>Pedagogy- Advancing learning- Cross-curricular themes</w:t>
            </w:r>
          </w:p>
          <w:p w14:paraId="0DA7F49D"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 w:val="22"/>
                <w:szCs w:val="22"/>
              </w:rPr>
            </w:pPr>
          </w:p>
          <w:p w14:paraId="265C7D8D" w14:textId="6FED1AB8"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 w:val="22"/>
                <w:szCs w:val="22"/>
              </w:rPr>
            </w:pPr>
            <w:r w:rsidRPr="00FB7E51">
              <w:rPr>
                <w:rFonts w:asciiTheme="minorBidi" w:hAnsiTheme="minorBidi" w:cstheme="minorBidi"/>
                <w:sz w:val="22"/>
                <w:szCs w:val="22"/>
              </w:rPr>
              <w:t xml:space="preserve">Cross-curricular themes are promoted in the Curriculum for Wales (2022). The cross-curricular responsibilities correspond with good teaching and learning practice. Inquiry learning incorporates literacy, numeracy and digital competency into all topics. This underlines that learners have the opportunity to practice many skills through inquiry learning. The learners' independence and progression are visible, and the pupils are encouraged to explore and inquire different elements in their learning. This clarifies that the learners were benefitted through the coverage of different themes and topics and their skillset was enhanced. However, educators could be challenged from the lack of confidence to incorporate cross curricular skills and the classroom management could differ due to learners’ enthusiasm.  Besides, the cross-curricular skills framework supports </w:t>
            </w:r>
            <w:r w:rsidRPr="00FB7E51">
              <w:rPr>
                <w:rFonts w:asciiTheme="minorBidi" w:hAnsiTheme="minorBidi" w:cstheme="minorBidi"/>
                <w:sz w:val="22"/>
                <w:szCs w:val="22"/>
              </w:rPr>
              <w:lastRenderedPageBreak/>
              <w:t>schools and practitioners in providing opportunities and meaningful learning experience to apply and extend their skills (Welsh Government, 2022).</w:t>
            </w:r>
          </w:p>
        </w:tc>
      </w:tr>
      <w:tr w:rsidR="00FB7E51" w14:paraId="4F35D11C" w14:textId="77777777" w:rsidTr="00FB7E51">
        <w:tc>
          <w:tcPr>
            <w:tcW w:w="1844" w:type="dxa"/>
          </w:tcPr>
          <w:p w14:paraId="2ABEB4ED" w14:textId="2D89AE18"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heme="minorBidi" w:hAnsiTheme="minorBidi" w:cstheme="minorBidi"/>
                <w:sz w:val="22"/>
                <w:szCs w:val="22"/>
              </w:rPr>
            </w:pPr>
            <w:r>
              <w:rPr>
                <w:rFonts w:asciiTheme="minorBidi" w:hAnsiTheme="minorBidi" w:cstheme="minorBidi"/>
                <w:sz w:val="22"/>
                <w:szCs w:val="22"/>
              </w:rPr>
              <w:lastRenderedPageBreak/>
              <w:t>What next?</w:t>
            </w:r>
          </w:p>
        </w:tc>
        <w:tc>
          <w:tcPr>
            <w:tcW w:w="8930" w:type="dxa"/>
          </w:tcPr>
          <w:p w14:paraId="712FBB6A" w14:textId="44C0EDBE"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 w:val="22"/>
                <w:szCs w:val="22"/>
              </w:rPr>
            </w:pPr>
            <w:r w:rsidRPr="00FB7E51">
              <w:rPr>
                <w:rFonts w:asciiTheme="minorBidi" w:hAnsiTheme="minorBidi" w:cstheme="minorBidi"/>
                <w:sz w:val="22"/>
                <w:szCs w:val="22"/>
              </w:rPr>
              <w:t>Throughout my future practice, I will continue to promote inquiry-based learning. I will continue to learn about the three cross-cutting themes: equal opportunities, gender mainstreaming, sustainable development and tackling poverty and social exclusion (Welsh Government, 2023). This practice ensures that I will promote the four purposes of the Curriculum for Wales (2022), with the aim for educators and pupils to become lifelong learners.</w:t>
            </w:r>
          </w:p>
        </w:tc>
      </w:tr>
    </w:tbl>
    <w:p w14:paraId="3373BCEB" w14:textId="77777777" w:rsidR="00FB7E51" w:rsidRDefault="00FB7E51" w:rsidP="00FB7E51">
      <w:pPr>
        <w:spacing w:line="360" w:lineRule="auto"/>
        <w:rPr>
          <w:rFonts w:asciiTheme="minorBidi" w:hAnsiTheme="minorBidi" w:cstheme="minorBidi"/>
          <w:b/>
          <w:bCs/>
          <w:sz w:val="36"/>
          <w:szCs w:val="36"/>
          <w:u w:val="single"/>
        </w:rPr>
      </w:pPr>
    </w:p>
    <w:p w14:paraId="2EE099A8" w14:textId="16133D12" w:rsidR="00547BC0" w:rsidRDefault="00FB7E51" w:rsidP="00FB7E51">
      <w:pPr>
        <w:spacing w:line="360" w:lineRule="auto"/>
        <w:rPr>
          <w:rFonts w:asciiTheme="minorBidi" w:hAnsiTheme="minorBidi" w:cstheme="minorBidi"/>
          <w:b/>
          <w:bCs/>
          <w:sz w:val="36"/>
          <w:szCs w:val="36"/>
          <w:u w:val="single"/>
        </w:rPr>
      </w:pPr>
      <w:r>
        <w:rPr>
          <w:rFonts w:asciiTheme="minorBidi" w:hAnsiTheme="minorBidi" w:cstheme="minorBidi"/>
          <w:sz w:val="22"/>
          <w:szCs w:val="22"/>
        </w:rPr>
        <w:t>Word count: approximately 2,000 words</w:t>
      </w:r>
    </w:p>
    <w:p w14:paraId="61388250" w14:textId="77777777" w:rsidR="00547BC0" w:rsidRDefault="00547BC0" w:rsidP="0099628A">
      <w:pPr>
        <w:spacing w:line="360" w:lineRule="auto"/>
        <w:jc w:val="center"/>
        <w:rPr>
          <w:rFonts w:asciiTheme="minorBidi" w:hAnsiTheme="minorBidi" w:cstheme="minorBidi"/>
          <w:b/>
          <w:bCs/>
          <w:sz w:val="36"/>
          <w:szCs w:val="36"/>
          <w:u w:val="single"/>
        </w:rPr>
      </w:pPr>
    </w:p>
    <w:p w14:paraId="32DA8B58" w14:textId="77777777" w:rsidR="00547BC0" w:rsidRDefault="00547BC0" w:rsidP="0099628A">
      <w:pPr>
        <w:spacing w:line="360" w:lineRule="auto"/>
        <w:jc w:val="center"/>
        <w:rPr>
          <w:rFonts w:asciiTheme="minorBidi" w:hAnsiTheme="minorBidi" w:cstheme="minorBidi"/>
          <w:b/>
          <w:bCs/>
          <w:sz w:val="36"/>
          <w:szCs w:val="36"/>
          <w:u w:val="single"/>
        </w:rPr>
      </w:pPr>
    </w:p>
    <w:p w14:paraId="6EAB10CA" w14:textId="77777777" w:rsidR="00547BC0" w:rsidRDefault="00547BC0" w:rsidP="0099628A">
      <w:pPr>
        <w:spacing w:line="360" w:lineRule="auto"/>
        <w:jc w:val="center"/>
        <w:rPr>
          <w:rFonts w:asciiTheme="minorBidi" w:hAnsiTheme="minorBidi" w:cstheme="minorBidi"/>
          <w:b/>
          <w:bCs/>
          <w:sz w:val="36"/>
          <w:szCs w:val="36"/>
          <w:u w:val="single"/>
        </w:rPr>
      </w:pPr>
    </w:p>
    <w:p w14:paraId="05BA4759" w14:textId="77777777" w:rsidR="00547BC0" w:rsidRDefault="00547BC0" w:rsidP="0099628A">
      <w:pPr>
        <w:spacing w:line="360" w:lineRule="auto"/>
        <w:jc w:val="center"/>
        <w:rPr>
          <w:rFonts w:asciiTheme="minorBidi" w:hAnsiTheme="minorBidi" w:cstheme="minorBidi"/>
          <w:b/>
          <w:bCs/>
          <w:sz w:val="36"/>
          <w:szCs w:val="36"/>
          <w:u w:val="single"/>
        </w:rPr>
      </w:pPr>
    </w:p>
    <w:p w14:paraId="5086F0A7" w14:textId="77777777" w:rsidR="00547BC0" w:rsidRDefault="00547BC0" w:rsidP="0099628A">
      <w:pPr>
        <w:spacing w:line="360" w:lineRule="auto"/>
        <w:jc w:val="center"/>
        <w:rPr>
          <w:rFonts w:asciiTheme="minorBidi" w:hAnsiTheme="minorBidi" w:cstheme="minorBidi"/>
          <w:b/>
          <w:bCs/>
          <w:sz w:val="36"/>
          <w:szCs w:val="36"/>
          <w:u w:val="single"/>
        </w:rPr>
      </w:pPr>
    </w:p>
    <w:p w14:paraId="0327DBAA" w14:textId="77777777" w:rsidR="00547BC0" w:rsidRDefault="00547BC0" w:rsidP="0099628A">
      <w:pPr>
        <w:spacing w:line="360" w:lineRule="auto"/>
        <w:jc w:val="center"/>
        <w:rPr>
          <w:rFonts w:asciiTheme="minorBidi" w:hAnsiTheme="minorBidi" w:cstheme="minorBidi"/>
          <w:b/>
          <w:bCs/>
          <w:sz w:val="36"/>
          <w:szCs w:val="36"/>
          <w:u w:val="single"/>
        </w:rPr>
      </w:pPr>
    </w:p>
    <w:p w14:paraId="55EFF010" w14:textId="77777777" w:rsidR="00FB7E51" w:rsidRDefault="00FB7E51" w:rsidP="0099628A">
      <w:pPr>
        <w:spacing w:line="360" w:lineRule="auto"/>
        <w:jc w:val="center"/>
        <w:rPr>
          <w:rFonts w:asciiTheme="minorBidi" w:hAnsiTheme="minorBidi" w:cstheme="minorBidi"/>
          <w:b/>
          <w:bCs/>
          <w:sz w:val="36"/>
          <w:szCs w:val="36"/>
          <w:u w:val="single"/>
        </w:rPr>
      </w:pPr>
    </w:p>
    <w:p w14:paraId="636BCB02" w14:textId="77777777" w:rsidR="00FB7E51" w:rsidRDefault="00FB7E51" w:rsidP="0099628A">
      <w:pPr>
        <w:spacing w:line="360" w:lineRule="auto"/>
        <w:jc w:val="center"/>
        <w:rPr>
          <w:rFonts w:asciiTheme="minorBidi" w:hAnsiTheme="minorBidi" w:cstheme="minorBidi"/>
          <w:b/>
          <w:bCs/>
          <w:sz w:val="36"/>
          <w:szCs w:val="36"/>
          <w:u w:val="single"/>
        </w:rPr>
      </w:pPr>
    </w:p>
    <w:p w14:paraId="7CD2348D" w14:textId="77777777" w:rsidR="00FB7E51" w:rsidRDefault="00FB7E51" w:rsidP="0099628A">
      <w:pPr>
        <w:spacing w:line="360" w:lineRule="auto"/>
        <w:jc w:val="center"/>
        <w:rPr>
          <w:rFonts w:asciiTheme="minorBidi" w:hAnsiTheme="minorBidi" w:cstheme="minorBidi"/>
          <w:b/>
          <w:bCs/>
          <w:sz w:val="36"/>
          <w:szCs w:val="36"/>
          <w:u w:val="single"/>
        </w:rPr>
      </w:pPr>
    </w:p>
    <w:p w14:paraId="03064D4D" w14:textId="77777777" w:rsidR="00FB7E51" w:rsidRDefault="00FB7E51" w:rsidP="0099628A">
      <w:pPr>
        <w:spacing w:line="360" w:lineRule="auto"/>
        <w:jc w:val="center"/>
        <w:rPr>
          <w:rFonts w:asciiTheme="minorBidi" w:hAnsiTheme="minorBidi" w:cstheme="minorBidi"/>
          <w:b/>
          <w:bCs/>
          <w:sz w:val="36"/>
          <w:szCs w:val="36"/>
          <w:u w:val="single"/>
        </w:rPr>
      </w:pPr>
    </w:p>
    <w:p w14:paraId="035027C7" w14:textId="77777777" w:rsidR="00FB7E51" w:rsidRDefault="00FB7E51" w:rsidP="0099628A">
      <w:pPr>
        <w:spacing w:line="360" w:lineRule="auto"/>
        <w:jc w:val="center"/>
        <w:rPr>
          <w:rFonts w:asciiTheme="minorBidi" w:hAnsiTheme="minorBidi" w:cstheme="minorBidi"/>
          <w:b/>
          <w:bCs/>
          <w:sz w:val="36"/>
          <w:szCs w:val="36"/>
          <w:u w:val="single"/>
        </w:rPr>
      </w:pPr>
    </w:p>
    <w:tbl>
      <w:tblPr>
        <w:tblStyle w:val="TableGrid"/>
        <w:tblpPr w:leftFromText="180" w:rightFromText="180" w:horzAnchor="margin" w:tblpXSpec="center" w:tblpY="771"/>
        <w:tblW w:w="11482" w:type="dxa"/>
        <w:tblLook w:val="04A0" w:firstRow="1" w:lastRow="0" w:firstColumn="1" w:lastColumn="0" w:noHBand="0" w:noVBand="1"/>
      </w:tblPr>
      <w:tblGrid>
        <w:gridCol w:w="3828"/>
        <w:gridCol w:w="4111"/>
        <w:gridCol w:w="3543"/>
      </w:tblGrid>
      <w:tr w:rsidR="00FB7E51" w:rsidRPr="00FB7E51" w14:paraId="0805FDED" w14:textId="77777777" w:rsidTr="00E23F09">
        <w:tc>
          <w:tcPr>
            <w:tcW w:w="3828" w:type="dxa"/>
          </w:tcPr>
          <w:p w14:paraId="3789A3BC"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r w:rsidRPr="00FB7E51">
              <w:rPr>
                <w:rFonts w:ascii="Arial" w:hAnsi="Arial" w:cs="Arial"/>
                <w:color w:val="000000"/>
                <w:sz w:val="22"/>
                <w:szCs w:val="22"/>
                <w:u w:val="single" w:color="000000"/>
                <w14:textOutline w14:w="12700" w14:cap="flat" w14:cmpd="sng" w14:algn="ctr">
                  <w14:noFill/>
                  <w14:prstDash w14:val="solid"/>
                  <w14:miter w14:lim="400000"/>
                </w14:textOutline>
              </w:rPr>
              <w:lastRenderedPageBreak/>
              <w:t>Targedau/ Targets</w:t>
            </w:r>
          </w:p>
        </w:tc>
        <w:tc>
          <w:tcPr>
            <w:tcW w:w="4111" w:type="dxa"/>
          </w:tcPr>
          <w:p w14:paraId="365B4707"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r w:rsidRPr="00FB7E51">
              <w:rPr>
                <w:rFonts w:ascii="Arial" w:hAnsi="Arial" w:cs="Arial"/>
                <w:color w:val="000000"/>
                <w:sz w:val="22"/>
                <w:szCs w:val="22"/>
                <w:u w:val="single" w:color="000000"/>
                <w14:textOutline w14:w="12700" w14:cap="flat" w14:cmpd="sng" w14:algn="ctr">
                  <w14:noFill/>
                  <w14:prstDash w14:val="solid"/>
                  <w14:miter w14:lim="400000"/>
                </w14:textOutline>
              </w:rPr>
              <w:t>Sut rydych wedi gweithio ar hwn/ How you have worked on this</w:t>
            </w:r>
          </w:p>
        </w:tc>
        <w:tc>
          <w:tcPr>
            <w:tcW w:w="3543" w:type="dxa"/>
          </w:tcPr>
          <w:p w14:paraId="66C0A850"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r w:rsidRPr="00FB7E51">
              <w:rPr>
                <w:rFonts w:ascii="Arial" w:hAnsi="Arial" w:cs="Arial"/>
                <w:color w:val="000000"/>
                <w:sz w:val="22"/>
                <w:szCs w:val="22"/>
                <w:u w:val="single" w:color="000000"/>
                <w14:textOutline w14:w="12700" w14:cap="flat" w14:cmpd="sng" w14:algn="ctr">
                  <w14:noFill/>
                  <w14:prstDash w14:val="solid"/>
                  <w14:miter w14:lim="400000"/>
                </w14:textOutline>
              </w:rPr>
              <w:t>Ceir enghraifft ar/ An example can be found on</w:t>
            </w:r>
          </w:p>
        </w:tc>
      </w:tr>
      <w:tr w:rsidR="00FB7E51" w:rsidRPr="00FB7E51" w14:paraId="1654CF6A" w14:textId="77777777" w:rsidTr="00E23F09">
        <w:tc>
          <w:tcPr>
            <w:tcW w:w="3828" w:type="dxa"/>
          </w:tcPr>
          <w:p w14:paraId="68EB200C"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p>
          <w:p w14:paraId="1F3959FB"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r w:rsidRPr="00FB7E51">
              <w:rPr>
                <w:rFonts w:ascii="Arial" w:hAnsi="Arial" w:cs="Arial"/>
                <w:color w:val="000000"/>
                <w:sz w:val="22"/>
                <w:szCs w:val="22"/>
                <w:u w:color="000000"/>
                <w14:textOutline w14:w="12700" w14:cap="flat" w14:cmpd="sng" w14:algn="ctr">
                  <w14:noFill/>
                  <w14:prstDash w14:val="solid"/>
                  <w14:miter w14:lim="400000"/>
                </w14:textOutline>
              </w:rPr>
              <w:t>Continue to develop your "critical voice" by adopting a more tentative stance when discussing the findings from research.</w:t>
            </w:r>
          </w:p>
        </w:tc>
        <w:tc>
          <w:tcPr>
            <w:tcW w:w="4111" w:type="dxa"/>
          </w:tcPr>
          <w:p w14:paraId="763DC20E"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p>
          <w:p w14:paraId="3A4A850D"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r w:rsidRPr="00FB7E51">
              <w:rPr>
                <w:rFonts w:ascii="Arial" w:hAnsi="Arial" w:cs="Arial"/>
                <w:color w:val="000000"/>
                <w:sz w:val="22"/>
                <w:szCs w:val="22"/>
                <w:u w:color="000000"/>
                <w14:textOutline w14:w="12700" w14:cap="flat" w14:cmpd="sng" w14:algn="ctr">
                  <w14:noFill/>
                  <w14:prstDash w14:val="solid"/>
                  <w14:miter w14:lim="400000"/>
                </w14:textOutline>
              </w:rPr>
              <w:t>I have continued to develop my critical voice through reflecting on the opposing perspective. I have used tentative language such as ‘could’.</w:t>
            </w:r>
          </w:p>
        </w:tc>
        <w:tc>
          <w:tcPr>
            <w:tcW w:w="3543" w:type="dxa"/>
          </w:tcPr>
          <w:p w14:paraId="57DF2833"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p>
          <w:p w14:paraId="27161C9F"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r w:rsidRPr="00FB7E51">
              <w:rPr>
                <w:rFonts w:ascii="Arial" w:hAnsi="Arial" w:cs="Arial"/>
                <w:color w:val="000000"/>
                <w:sz w:val="22"/>
                <w:szCs w:val="22"/>
                <w:u w:color="000000"/>
                <w14:textOutline w14:w="12700" w14:cap="flat" w14:cmpd="sng" w14:algn="ctr">
                  <w14:noFill/>
                  <w14:prstDash w14:val="solid"/>
                  <w14:miter w14:lim="400000"/>
                </w14:textOutline>
              </w:rPr>
              <w:t xml:space="preserve">This can be explored throughout the paper. </w:t>
            </w:r>
          </w:p>
        </w:tc>
      </w:tr>
      <w:tr w:rsidR="00FB7E51" w:rsidRPr="00FB7E51" w14:paraId="74B8AF7E" w14:textId="77777777" w:rsidTr="00E23F09">
        <w:tc>
          <w:tcPr>
            <w:tcW w:w="3828" w:type="dxa"/>
          </w:tcPr>
          <w:p w14:paraId="4EA5CC34"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p>
          <w:p w14:paraId="4997D7A8"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r w:rsidRPr="00FB7E51">
              <w:rPr>
                <w:rFonts w:ascii="Arial" w:hAnsi="Arial" w:cs="Arial"/>
                <w:color w:val="000000"/>
                <w:sz w:val="22"/>
                <w:szCs w:val="22"/>
                <w:u w:color="000000"/>
                <w14:textOutline w14:w="12700" w14:cap="flat" w14:cmpd="sng" w14:algn="ctr">
                  <w14:noFill/>
                  <w14:prstDash w14:val="solid"/>
                  <w14:miter w14:lim="400000"/>
                </w14:textOutline>
              </w:rPr>
              <w:t>Continue to critique, analyse and synthesise your sources.</w:t>
            </w:r>
          </w:p>
        </w:tc>
        <w:tc>
          <w:tcPr>
            <w:tcW w:w="4111" w:type="dxa"/>
          </w:tcPr>
          <w:p w14:paraId="61393008"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p>
          <w:p w14:paraId="69F4813D"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r w:rsidRPr="00FB7E51">
              <w:rPr>
                <w:rFonts w:ascii="Arial" w:hAnsi="Arial" w:cs="Arial"/>
                <w:color w:val="000000"/>
                <w:sz w:val="22"/>
                <w:szCs w:val="22"/>
                <w:u w:color="000000"/>
                <w14:textOutline w14:w="12700" w14:cap="flat" w14:cmpd="sng" w14:algn="ctr">
                  <w14:noFill/>
                  <w14:prstDash w14:val="solid"/>
                  <w14:miter w14:lim="400000"/>
                </w14:textOutline>
              </w:rPr>
              <w:t xml:space="preserve">I have explored a great number of sources (approximately 85) and I have analysed and reflected on different viewpoints. </w:t>
            </w:r>
          </w:p>
        </w:tc>
        <w:tc>
          <w:tcPr>
            <w:tcW w:w="3543" w:type="dxa"/>
          </w:tcPr>
          <w:p w14:paraId="640EF54C"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p>
          <w:p w14:paraId="2CE55348"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r w:rsidRPr="00FB7E51">
              <w:rPr>
                <w:rFonts w:ascii="Arial" w:hAnsi="Arial" w:cs="Arial"/>
                <w:color w:val="000000"/>
                <w:sz w:val="22"/>
                <w:szCs w:val="22"/>
                <w:u w:color="000000"/>
                <w14:textOutline w14:w="12700" w14:cap="flat" w14:cmpd="sng" w14:algn="ctr">
                  <w14:noFill/>
                  <w14:prstDash w14:val="solid"/>
                  <w14:miter w14:lim="400000"/>
                </w14:textOutline>
              </w:rPr>
              <w:t>This can be viewed throughout the paper and within the reference list.</w:t>
            </w:r>
          </w:p>
        </w:tc>
      </w:tr>
      <w:tr w:rsidR="00FB7E51" w:rsidRPr="00FB7E51" w14:paraId="7DCE98B0" w14:textId="77777777" w:rsidTr="00E23F09">
        <w:tc>
          <w:tcPr>
            <w:tcW w:w="3828" w:type="dxa"/>
          </w:tcPr>
          <w:p w14:paraId="6C3179C5"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p>
          <w:p w14:paraId="4119644A"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r w:rsidRPr="00FB7E51">
              <w:rPr>
                <w:rFonts w:ascii="Arial" w:hAnsi="Arial" w:cs="Arial"/>
                <w:color w:val="000000"/>
                <w:sz w:val="22"/>
                <w:szCs w:val="22"/>
                <w:u w:color="000000"/>
                <w14:textOutline w14:w="12700" w14:cap="flat" w14:cmpd="sng" w14:algn="ctr">
                  <w14:noFill/>
                  <w14:prstDash w14:val="solid"/>
                  <w14:miter w14:lim="400000"/>
                </w14:textOutline>
              </w:rPr>
              <w:t>Proofread your work carefully as it is already at a high standard and these tiny errors could be sorted out prior to submission.</w:t>
            </w:r>
          </w:p>
        </w:tc>
        <w:tc>
          <w:tcPr>
            <w:tcW w:w="4111" w:type="dxa"/>
          </w:tcPr>
          <w:p w14:paraId="0629501D"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p>
          <w:p w14:paraId="79F32B38"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r w:rsidRPr="00FB7E51">
              <w:rPr>
                <w:rFonts w:ascii="Arial" w:hAnsi="Arial" w:cs="Arial"/>
                <w:color w:val="000000"/>
                <w:sz w:val="22"/>
                <w:szCs w:val="22"/>
                <w:u w:color="000000"/>
                <w14:textOutline w14:w="12700" w14:cap="flat" w14:cmpd="sng" w14:algn="ctr">
                  <w14:noFill/>
                  <w14:prstDash w14:val="solid"/>
                  <w14:miter w14:lim="400000"/>
                </w14:textOutline>
              </w:rPr>
              <w:t xml:space="preserve">I have ensured to read over my paper numerous times, this should increase the accuracy of my writing. </w:t>
            </w:r>
          </w:p>
        </w:tc>
        <w:tc>
          <w:tcPr>
            <w:tcW w:w="3543" w:type="dxa"/>
          </w:tcPr>
          <w:p w14:paraId="00CDF683"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val="single" w:color="000000"/>
                <w14:textOutline w14:w="12700" w14:cap="flat" w14:cmpd="sng" w14:algn="ctr">
                  <w14:noFill/>
                  <w14:prstDash w14:val="solid"/>
                  <w14:miter w14:lim="400000"/>
                </w14:textOutline>
              </w:rPr>
            </w:pPr>
          </w:p>
          <w:p w14:paraId="7876BA1B" w14:textId="77777777" w:rsidR="00FB7E51" w:rsidRPr="00FB7E51" w:rsidRDefault="00FB7E51" w:rsidP="00FB7E5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color w:val="000000"/>
                <w:sz w:val="22"/>
                <w:szCs w:val="22"/>
                <w:u w:color="000000"/>
                <w14:textOutline w14:w="12700" w14:cap="flat" w14:cmpd="sng" w14:algn="ctr">
                  <w14:noFill/>
                  <w14:prstDash w14:val="solid"/>
                  <w14:miter w14:lim="400000"/>
                </w14:textOutline>
              </w:rPr>
            </w:pPr>
            <w:r w:rsidRPr="00FB7E51">
              <w:rPr>
                <w:rFonts w:ascii="Arial" w:hAnsi="Arial" w:cs="Arial"/>
                <w:color w:val="000000"/>
                <w:sz w:val="22"/>
                <w:szCs w:val="22"/>
                <w:u w:color="000000"/>
                <w14:textOutline w14:w="12700" w14:cap="flat" w14:cmpd="sng" w14:algn="ctr">
                  <w14:noFill/>
                  <w14:prstDash w14:val="solid"/>
                  <w14:miter w14:lim="400000"/>
                </w14:textOutline>
              </w:rPr>
              <w:t>This can be seen through the lack of errors.</w:t>
            </w:r>
          </w:p>
        </w:tc>
      </w:tr>
    </w:tbl>
    <w:p w14:paraId="29BAFFBE" w14:textId="13216D69" w:rsidR="00FB7E51" w:rsidRPr="00FB7E51" w:rsidRDefault="00FB7E51" w:rsidP="0099628A">
      <w:pPr>
        <w:spacing w:line="360" w:lineRule="auto"/>
        <w:jc w:val="center"/>
        <w:rPr>
          <w:rFonts w:asciiTheme="minorBidi" w:hAnsiTheme="minorBidi" w:cstheme="minorBidi"/>
          <w:sz w:val="22"/>
          <w:szCs w:val="22"/>
          <w:u w:val="single"/>
        </w:rPr>
      </w:pPr>
      <w:r w:rsidRPr="00FB7E51">
        <w:rPr>
          <w:rFonts w:asciiTheme="minorBidi" w:hAnsiTheme="minorBidi" w:cstheme="minorBidi"/>
          <w:sz w:val="22"/>
          <w:szCs w:val="22"/>
          <w:u w:val="single"/>
        </w:rPr>
        <w:t>ECAD6008- Part 2</w:t>
      </w:r>
    </w:p>
    <w:p w14:paraId="2AC03B82" w14:textId="77777777" w:rsidR="00FB7E51" w:rsidRDefault="00FB7E51" w:rsidP="0099628A">
      <w:pPr>
        <w:spacing w:line="360" w:lineRule="auto"/>
        <w:jc w:val="center"/>
        <w:rPr>
          <w:rFonts w:asciiTheme="minorBidi" w:hAnsiTheme="minorBidi" w:cstheme="minorBidi"/>
          <w:b/>
          <w:bCs/>
          <w:sz w:val="36"/>
          <w:szCs w:val="36"/>
          <w:u w:val="single"/>
        </w:rPr>
      </w:pPr>
    </w:p>
    <w:p w14:paraId="4CF158AF" w14:textId="77777777" w:rsidR="00547BC0" w:rsidRDefault="00547BC0" w:rsidP="0099628A">
      <w:pPr>
        <w:spacing w:line="360" w:lineRule="auto"/>
        <w:jc w:val="center"/>
        <w:rPr>
          <w:rFonts w:asciiTheme="minorBidi" w:hAnsiTheme="minorBidi" w:cstheme="minorBidi"/>
          <w:b/>
          <w:bCs/>
          <w:sz w:val="36"/>
          <w:szCs w:val="36"/>
          <w:u w:val="single"/>
        </w:rPr>
      </w:pPr>
    </w:p>
    <w:p w14:paraId="0694FE29" w14:textId="757963AA" w:rsidR="0099628A" w:rsidRPr="0099628A" w:rsidRDefault="0099628A" w:rsidP="0099628A">
      <w:pPr>
        <w:spacing w:line="360" w:lineRule="auto"/>
        <w:jc w:val="center"/>
        <w:rPr>
          <w:rFonts w:asciiTheme="minorBidi" w:hAnsiTheme="minorBidi" w:cstheme="minorBidi"/>
          <w:b/>
          <w:bCs/>
          <w:sz w:val="36"/>
          <w:szCs w:val="36"/>
          <w:u w:val="single"/>
        </w:rPr>
      </w:pPr>
      <w:r w:rsidRPr="0099628A">
        <w:rPr>
          <w:rFonts w:asciiTheme="minorBidi" w:hAnsiTheme="minorBidi" w:cstheme="minorBidi"/>
          <w:b/>
          <w:bCs/>
          <w:sz w:val="36"/>
          <w:szCs w:val="36"/>
          <w:u w:val="single"/>
        </w:rPr>
        <w:t>Critically reflect on your progress in planning,     preparing, and teaching lessons that incorporate  specific pedagogical principles. Identify up to three of these pedagogical principles as an area for  development and justify the next steps in your development.</w:t>
      </w:r>
    </w:p>
    <w:p w14:paraId="1CE72B7C" w14:textId="77777777" w:rsidR="0099628A" w:rsidRPr="0099628A" w:rsidRDefault="0099628A" w:rsidP="0099628A">
      <w:pPr>
        <w:spacing w:line="360" w:lineRule="auto"/>
        <w:rPr>
          <w:rFonts w:asciiTheme="minorBidi" w:hAnsiTheme="minorBidi" w:cstheme="minorBidi"/>
          <w:sz w:val="22"/>
          <w:szCs w:val="22"/>
        </w:rPr>
      </w:pPr>
    </w:p>
    <w:p w14:paraId="6B7BFD8D" w14:textId="71918CB4"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Effective pedagogy should be at the heart of every curriculum. The term ‘pedagogy of            teaching’ refers to the different methods, teaching styles and how the educator delivers the             curriculum (Welsh Government, 2023; Waring and Evans, 2014). Every school in Wales should design and implement a curriculum that fulfils the twelve pedagogical principles and the five principles of progression. Schools should develop a sharp vision that supports </w:t>
      </w:r>
      <w:r w:rsidRPr="0099628A">
        <w:rPr>
          <w:rFonts w:asciiTheme="minorBidi" w:hAnsiTheme="minorBidi" w:cstheme="minorBidi"/>
          <w:sz w:val="22"/>
          <w:szCs w:val="22"/>
        </w:rPr>
        <w:lastRenderedPageBreak/>
        <w:t xml:space="preserve">teaching and learning; this </w:t>
      </w:r>
      <w:r w:rsidR="00547BC0">
        <w:rPr>
          <w:rFonts w:asciiTheme="minorBidi" w:hAnsiTheme="minorBidi" w:cstheme="minorBidi"/>
          <w:sz w:val="22"/>
          <w:szCs w:val="22"/>
        </w:rPr>
        <w:t>should be</w:t>
      </w:r>
      <w:r w:rsidRPr="0099628A">
        <w:rPr>
          <w:rFonts w:asciiTheme="minorBidi" w:hAnsiTheme="minorBidi" w:cstheme="minorBidi"/>
          <w:sz w:val="22"/>
          <w:szCs w:val="22"/>
        </w:rPr>
        <w:t xml:space="preserve"> underpinned by the four purposes (Welsh Government, 2023). Educators could assess, evaluate, and reflect on the different pedagogical approaches for best practice. It is essential for educators to develop a deep understanding of pedagogy and how they will select the most appropriate pedagogical approach in their classroom (Hattie, 2012). This underlines the importance of a flexible and reflective educator. Professional development is crucial for education quality; there should be more opportunities for educators to gain knowledge and understanding of new teaching methods. This could improve the teaching and learning for students (Education Endowment Foundation, 2021). Careful planning is crucial to support learners’ progression and meet the differentiated needs to the highest standard. All stakeholders are responsible for developing a purposeful curriculum and an inclusive environment (OECD, 2009). This implies that the learning environment and pedagogy should cater for all individuals.</w:t>
      </w:r>
    </w:p>
    <w:p w14:paraId="0EBAEB55" w14:textId="77777777" w:rsidR="0099628A" w:rsidRPr="0099628A" w:rsidRDefault="0099628A" w:rsidP="0099628A">
      <w:pPr>
        <w:spacing w:line="360" w:lineRule="auto"/>
        <w:rPr>
          <w:rFonts w:asciiTheme="minorBidi" w:hAnsiTheme="minorBidi" w:cstheme="minorBidi"/>
          <w:sz w:val="22"/>
          <w:szCs w:val="22"/>
        </w:rPr>
      </w:pPr>
    </w:p>
    <w:p w14:paraId="33E2DEF1" w14:textId="5018D484"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This paper aims to critically evaluate the educators’ progress in planning, preparing, and teaching lessons that incorporate specific pedagogical principles. The educator has identified two pedagogical standards as an area of interest and development. The first pedagogical principle: real life authentic context highlights the importance of transferable learning experiences (Main, 2023). This suggests that learners’ knowledge and understanding is advanced through a real-world approach. To incorporate authentic learning experiences, educators should work towards bringing the real world into their classroom instead of stimulating the real world; this could reframe a space for learning where students are immersed in their learning experiences (Bilham et al., 2019). Similarly, the pedagogical principle: cross-curricular themes involve creative approaches where the curriculum is connected. This approach aims to make links between subjects, experiences, and the world around us, implying that educators are responsible for the quality of the learning environment, the development of cross curricular links, and the progress in these skills (Barnes, 2015). Educators should employ pedagogical approaches that raise the standards of teaching and learning. </w:t>
      </w:r>
    </w:p>
    <w:p w14:paraId="218F8CD5" w14:textId="77777777" w:rsidR="0099628A" w:rsidRPr="0099628A" w:rsidRDefault="0099628A" w:rsidP="0099628A">
      <w:pPr>
        <w:spacing w:line="360" w:lineRule="auto"/>
        <w:rPr>
          <w:rFonts w:asciiTheme="minorBidi" w:hAnsiTheme="minorBidi" w:cstheme="minorBidi"/>
          <w:sz w:val="22"/>
          <w:szCs w:val="22"/>
        </w:rPr>
      </w:pPr>
    </w:p>
    <w:p w14:paraId="1B1A9395" w14:textId="77CFB958"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The concept of practice could be referred to as education or pedagogy. For instance, education could be defined as learning with no intended outcome, whereas pedagogy could be defined as learning towards social goals (Hinchliffe, 2000). This clarifies that exercising pedagogy could enable educators to measure their learners’ progress and achieve identifiable targets. Consequently, pedagogy is shaped by an educators beliefs, their knowledge and understanding of teaching strategies, and how they impact their learners (Corney and Reid, 2007). Although, if educators are unfamiliar with a specific theory or practice, they could debase their ability to provide engaging, diverse and meaningful learning </w:t>
      </w:r>
      <w:r w:rsidRPr="0099628A">
        <w:rPr>
          <w:rFonts w:asciiTheme="minorBidi" w:hAnsiTheme="minorBidi" w:cstheme="minorBidi"/>
          <w:sz w:val="22"/>
          <w:szCs w:val="22"/>
        </w:rPr>
        <w:lastRenderedPageBreak/>
        <w:t xml:space="preserve">experiences (Dewey, 2013). This underlines the importance of educators strengthening their professional development for successful outcomes. </w:t>
      </w:r>
    </w:p>
    <w:p w14:paraId="659C8A8D" w14:textId="77777777" w:rsidR="0099628A" w:rsidRPr="0099628A" w:rsidRDefault="0099628A" w:rsidP="0099628A">
      <w:pPr>
        <w:spacing w:line="360" w:lineRule="auto"/>
        <w:rPr>
          <w:rFonts w:asciiTheme="minorBidi" w:hAnsiTheme="minorBidi" w:cstheme="minorBidi"/>
          <w:sz w:val="22"/>
          <w:szCs w:val="22"/>
        </w:rPr>
      </w:pPr>
    </w:p>
    <w:p w14:paraId="417C31BE" w14:textId="0311AD57"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According to Gardner (1991), the education system involves a drill and response method, meaning that students have a lack of understanding of what they are expected to learn; this clarifies the importance of educational change. It is vital to apply theory to practical application; this could increase student’s learning retention (Artino and Konopasky, 2018). Dewey (2013), Piaget (1936, in Brame, 2016) and Vygotsky (1934, in Levine and Munsch, 2011) outline the significance of active learning; this enables the learner to become motivated and engaged in real learning. Whereas a traditional learning environment would advocate for passive learners; they could have a lack of understanding and experiences to connect their knowledge (Nouri, 2016). This illustrates that learning is a process of interaction with real-life experiences and different learning environments. </w:t>
      </w:r>
    </w:p>
    <w:p w14:paraId="548D1CCA" w14:textId="77777777" w:rsidR="0099628A" w:rsidRPr="0099628A" w:rsidRDefault="0099628A" w:rsidP="0099628A">
      <w:pPr>
        <w:spacing w:line="360" w:lineRule="auto"/>
        <w:rPr>
          <w:rFonts w:asciiTheme="minorBidi" w:hAnsiTheme="minorBidi" w:cstheme="minorBidi"/>
          <w:sz w:val="22"/>
          <w:szCs w:val="22"/>
        </w:rPr>
      </w:pPr>
    </w:p>
    <w:p w14:paraId="44965842" w14:textId="77777777"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The pedagogical approach: real-life, authentic context provides students with the opportunity to explore and inquire about real-world projects and problems. This approach could actively encourage students to construct their own learning, implying that authentic tasks should be of interest of the learners; this could increase their intrinsic motivation (Stanley, 2021). Besides, the concept of ‘authenticity’ in teaching could be defined as being genuine and real, implying that learning is connected to real-life examples and experiences (Mims, 2003). Yet, Chavez (1998, in Shomoossi and Ketabi , 2007) outlines that authenticity cannot be defined clearly as it is taken out of the original context. This implies the importance of a knowledgeable teacher who brings learning experiences to life. </w:t>
      </w:r>
    </w:p>
    <w:p w14:paraId="56C4C4E0" w14:textId="77777777" w:rsidR="0099628A" w:rsidRPr="0099628A" w:rsidRDefault="0099628A" w:rsidP="0099628A">
      <w:pPr>
        <w:spacing w:line="360" w:lineRule="auto"/>
        <w:rPr>
          <w:rFonts w:asciiTheme="minorBidi" w:hAnsiTheme="minorBidi" w:cstheme="minorBidi"/>
          <w:sz w:val="22"/>
          <w:szCs w:val="22"/>
        </w:rPr>
      </w:pPr>
    </w:p>
    <w:p w14:paraId="55C1AA9A" w14:textId="58338FC9"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An authentic learning environment connects classroom experiences with real-life complexity, suggesting that students participate in realistic tasks using real-life materials; this could improve their knowledge and skills (Herrington, Parker and Boase-Jelinek, 2014). This learning approach could develop higher order thinking skills such as critical thinking and problem-solving skills, meaning that authentic learning could increase learner’s cognitive domain; this is supported by Blooms taxonomy (Krathwohl, 2002). Although, this could present an inaccurate vision for learning, progression does not involve a hierarchy of skills or a linear process (Adey, 1997; Koo, 2008). Experiential and vocational learning are connected to authentic learning, implying that there are several benefits for students. For instance, learning is student-centred and driven; learners demonstrate improved attitudes towards learning (Ark, Liebtag and Mcclennen, 2020). Although, if students are working freely and independently, there could be missed opportunities for collaboration and </w:t>
      </w:r>
      <w:r w:rsidRPr="0099628A">
        <w:rPr>
          <w:rFonts w:asciiTheme="minorBidi" w:hAnsiTheme="minorBidi" w:cstheme="minorBidi"/>
          <w:sz w:val="22"/>
          <w:szCs w:val="22"/>
        </w:rPr>
        <w:lastRenderedPageBreak/>
        <w:t xml:space="preserve">communication with their peers, meaning that a balanced learning experience is necessary (Jaranović, 2013). Yet, all stake-holders are involved in the learning process. </w:t>
      </w:r>
    </w:p>
    <w:p w14:paraId="01BABF00" w14:textId="77777777" w:rsidR="0099628A" w:rsidRPr="0099628A" w:rsidRDefault="0099628A" w:rsidP="0099628A">
      <w:pPr>
        <w:spacing w:line="360" w:lineRule="auto"/>
        <w:rPr>
          <w:rFonts w:asciiTheme="minorBidi" w:hAnsiTheme="minorBidi" w:cstheme="minorBidi"/>
          <w:sz w:val="22"/>
          <w:szCs w:val="22"/>
        </w:rPr>
      </w:pPr>
    </w:p>
    <w:p w14:paraId="743E096F" w14:textId="3B56181A"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Developing authentic learning environments could promote opportunities for creativity, reflection and self-assessment; this could deepen learners’ understanding (Herrington, Reeves and Oliver, 2013). Through this approach, learners could gain valuable learning tools from understanding how every mistake transforms into a life lesson. This exemplifies that from authentic experiences, students could develop greater depth and long-lasting knowledge; this could encourage individuals to become lifelong learners (Passarelli and Kolb, 2011). Authentic learning could be scaffolded, this enables the learner to understand new information and content; it empowers learners to move from dependent to independent learning (Laur, 2013). Correspondingly, Vygotsky’s Zone of Proximal development and scaffolding theory implies what a child could achieve with support from a </w:t>
      </w:r>
      <w:r w:rsidR="00B21CB7">
        <w:rPr>
          <w:rFonts w:asciiTheme="minorBidi" w:hAnsiTheme="minorBidi" w:cstheme="minorBidi"/>
          <w:sz w:val="22"/>
          <w:szCs w:val="22"/>
        </w:rPr>
        <w:t>m</w:t>
      </w:r>
      <w:r w:rsidRPr="0099628A">
        <w:rPr>
          <w:rFonts w:asciiTheme="minorBidi" w:hAnsiTheme="minorBidi" w:cstheme="minorBidi"/>
          <w:sz w:val="22"/>
          <w:szCs w:val="22"/>
        </w:rPr>
        <w:t xml:space="preserve">ore </w:t>
      </w:r>
      <w:r w:rsidR="00B21CB7">
        <w:rPr>
          <w:rFonts w:asciiTheme="minorBidi" w:hAnsiTheme="minorBidi" w:cstheme="minorBidi"/>
          <w:sz w:val="22"/>
          <w:szCs w:val="22"/>
        </w:rPr>
        <w:t>k</w:t>
      </w:r>
      <w:r w:rsidRPr="0099628A">
        <w:rPr>
          <w:rFonts w:asciiTheme="minorBidi" w:hAnsiTheme="minorBidi" w:cstheme="minorBidi"/>
          <w:sz w:val="22"/>
          <w:szCs w:val="22"/>
        </w:rPr>
        <w:t xml:space="preserve">nowledgeable adult (1978, in McLeod, 2024). </w:t>
      </w:r>
    </w:p>
    <w:p w14:paraId="0AFCEE80" w14:textId="77777777" w:rsidR="0099628A" w:rsidRPr="0099628A" w:rsidRDefault="0099628A" w:rsidP="0099628A">
      <w:pPr>
        <w:spacing w:line="360" w:lineRule="auto"/>
        <w:rPr>
          <w:rFonts w:asciiTheme="minorBidi" w:hAnsiTheme="minorBidi" w:cstheme="minorBidi"/>
          <w:sz w:val="22"/>
          <w:szCs w:val="22"/>
        </w:rPr>
      </w:pPr>
    </w:p>
    <w:p w14:paraId="245662C4" w14:textId="77777777"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Yet, the original theory of scaffolding was not applied to a classroom scenario, suggesting that an educator could find it challenging to ‘scaffold’ the needs of learners with different backgrounds, strengths and weaknesses (Malik, 2017). Besides, it is crucial to meet the needs of every learner, therefore educators should differentiate the task to suit and challenge the student’s level (Asthana, 2023). Authentic learning could be broad, meaning that there is no set answer and there could be several outcomes or solutions to a problem (Roach, Tilley and Mitchell, 2018). This underlines that students are encouraged to ask questions; this is an intellectual tool that could enable the students to take ownership of their learning (Dillon, 2004). Yet, it could be difficult to align certain tasks with curriculum standards and learning intentions, suggesting that educators could find it difficult to assess and evaluate authentic learning experiences (Burke, 2009). </w:t>
      </w:r>
    </w:p>
    <w:p w14:paraId="2117D0DF" w14:textId="77777777" w:rsidR="0099628A" w:rsidRPr="0099628A" w:rsidRDefault="0099628A" w:rsidP="0099628A">
      <w:pPr>
        <w:spacing w:line="360" w:lineRule="auto"/>
        <w:rPr>
          <w:rFonts w:asciiTheme="minorBidi" w:hAnsiTheme="minorBidi" w:cstheme="minorBidi"/>
          <w:sz w:val="22"/>
          <w:szCs w:val="22"/>
        </w:rPr>
      </w:pPr>
    </w:p>
    <w:p w14:paraId="29B4C26C" w14:textId="39AEDFB1"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Nevertheless, authentic learning has nine components that illustrate the expectations of teaching and learning. The components determine the effectiveness and the meaning of authentic contexts; they underline how educators could incorporate realistic tasks that develop learner’s understanding of the real world (Aynas and Aslan, 2021). Although, this could be challenging for educators to plan, prepare and deliver lessons which reflect the way the knowledge could be used in real life; this is due to the lack of resources (Abate et al., 2023). This emphasises the importance of additional funding for educational settings; this could enable educators to provide further opportunities and meaningful learning experiences (Education &amp; Skills Funding Agency, 2024). Educators should provide purposeful reasons and specific learning intentions to ensure students are aware of what they are learning </w:t>
      </w:r>
      <w:r w:rsidRPr="0099628A">
        <w:rPr>
          <w:rFonts w:asciiTheme="minorBidi" w:hAnsiTheme="minorBidi" w:cstheme="minorBidi"/>
          <w:sz w:val="22"/>
          <w:szCs w:val="22"/>
        </w:rPr>
        <w:lastRenderedPageBreak/>
        <w:t>(Herrington and Oliver, 2000). Yet, educators could experience difficulty in replicating certain problems or projects, highlighting the importance of referring to realistic scenarios and real</w:t>
      </w:r>
      <w:r w:rsidR="00331018">
        <w:rPr>
          <w:rFonts w:asciiTheme="minorBidi" w:hAnsiTheme="minorBidi" w:cstheme="minorBidi"/>
          <w:sz w:val="22"/>
          <w:szCs w:val="22"/>
        </w:rPr>
        <w:t>-</w:t>
      </w:r>
      <w:r w:rsidRPr="0099628A">
        <w:rPr>
          <w:rFonts w:asciiTheme="minorBidi" w:hAnsiTheme="minorBidi" w:cstheme="minorBidi"/>
          <w:sz w:val="22"/>
          <w:szCs w:val="22"/>
        </w:rPr>
        <w:t xml:space="preserve">world events (Keiler, 2018). </w:t>
      </w:r>
    </w:p>
    <w:p w14:paraId="169360AF" w14:textId="77777777" w:rsidR="0099628A" w:rsidRPr="0099628A" w:rsidRDefault="0099628A" w:rsidP="0099628A">
      <w:pPr>
        <w:spacing w:line="360" w:lineRule="auto"/>
        <w:rPr>
          <w:rFonts w:asciiTheme="minorBidi" w:hAnsiTheme="minorBidi" w:cstheme="minorBidi"/>
          <w:sz w:val="22"/>
          <w:szCs w:val="22"/>
        </w:rPr>
      </w:pPr>
    </w:p>
    <w:p w14:paraId="2EF0DCF0" w14:textId="5C7E9100"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Educators have the responsibility to inform their students about past and present events,   however it could be difficult to address topics (Darling-Hammond et al., 2020). Therefore, it is crucial for educators to be ethical when teaching a real-life authentic approach; this could create an inclusive and safe environment, where an educator respects the diverse perceptions and experiences (BERA, 2018). Essentially, educators could include research methods to help students understand the full context. This could encourage the students to critically think, analyse and create balanced conclusions. Correspondingly, authentic thinking enables students to think about real world events; Freire (2005, in Stanistreet, 2021) believed that learning begins with students understanding the reality of what is happening around them. This underlines that educators should provide meaningful learning experiences, instead of narrating real-world scenarios. </w:t>
      </w:r>
    </w:p>
    <w:p w14:paraId="6958A1FA" w14:textId="77777777" w:rsidR="0099628A" w:rsidRPr="0099628A" w:rsidRDefault="0099628A" w:rsidP="0099628A">
      <w:pPr>
        <w:spacing w:line="360" w:lineRule="auto"/>
        <w:rPr>
          <w:rFonts w:asciiTheme="minorBidi" w:hAnsiTheme="minorBidi" w:cstheme="minorBidi"/>
          <w:sz w:val="22"/>
          <w:szCs w:val="22"/>
        </w:rPr>
      </w:pPr>
    </w:p>
    <w:p w14:paraId="084AD5E8" w14:textId="7462E45A"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Consequently, education is referred to as the act of depositing, implying the importance of understanding how the curriculum evolves; this is supported by the ‘banking’ concept of education (Freire, 1999). Although, the process of an authentic approach could be time consuming to design and implement; this is because educators create differentiated tasks and materials. The activities could be difficult and time consuming to assess as they are not standardised (Choo, 2007). Still, an authentic context enables learning, emphasising the importance of a meaningful curriculum design to ensure all learners are progressing at their own pace (Dar-ling-Hammond and Snyder, 2000). Holistically, there are five developmental pathways which support authentic and purposeful learning as well as progression for all learners across the different AoLEs (Welsh Government, 2023). This demonstrates the importance of an educator having great pedagogical knowledge and experience for best practice. Yet, without pedagogical training educators could struggle to improve the quality of teaching and learning and this could have a negative impact on the learners’ knowledge, understanding and progress (DeMonte, 2013). </w:t>
      </w:r>
    </w:p>
    <w:p w14:paraId="39FCCFD7" w14:textId="77777777" w:rsidR="0099628A" w:rsidRPr="0099628A" w:rsidRDefault="0099628A" w:rsidP="0099628A">
      <w:pPr>
        <w:spacing w:line="360" w:lineRule="auto"/>
        <w:rPr>
          <w:rFonts w:asciiTheme="minorBidi" w:hAnsiTheme="minorBidi" w:cstheme="minorBidi"/>
          <w:sz w:val="22"/>
          <w:szCs w:val="22"/>
        </w:rPr>
      </w:pPr>
    </w:p>
    <w:p w14:paraId="32BE4B8A" w14:textId="146C4A8B"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Educators could transform their curriculum through an authentic approach; this is associated with cross-curricular skills (Kerry, 2010). There are three mandatory cross-curricular skills, these consist of literacy, numeracy and digital competencies. These skills should be embedded and developed across all areas of learning and experiences (Welsh Government, 2022). It is crucial to highlight how the curriculum is no longer a set of separate subject areas, instead concept, skills and knowledge are integrated for learners to access the whole </w:t>
      </w:r>
      <w:r w:rsidRPr="0099628A">
        <w:rPr>
          <w:rFonts w:asciiTheme="minorBidi" w:hAnsiTheme="minorBidi" w:cstheme="minorBidi"/>
          <w:sz w:val="22"/>
          <w:szCs w:val="22"/>
        </w:rPr>
        <w:lastRenderedPageBreak/>
        <w:t>curriculum (Drake and Burns, 2004). Although, this could hinder learner’s core knowledge and understanding, implying the importance of educators not overloading the learning experiences, instead focusing on concise learning intentions for an in-depth understanding (OECD, 2020). Still, Dewey (1902, in Plate, 2012) conveyed the relationship between ‘subjects’ and ‘learners’ as mutually interdependent, this underlines that cross curricular learning is based on topics and themes which spark learners’ interests. Therefore, cross curricular learning could be used as a motivator; it provides more depth to a topic using different skills, instead of using a single subject (Kerry, 2015). Evidently, a cross curricular approach is broad and balanced; (Barnes, 2015) underlines that there are eight different types of cross curricular approaches, meaning that there are many elements and purposes to learning experiences. Although, if educators are unfamiliar with integrating subjects, they could perceive the approach as complex, this implies the importance of additional training (Lam et al., 2013).</w:t>
      </w:r>
    </w:p>
    <w:p w14:paraId="4964BE34" w14:textId="77777777" w:rsidR="0099628A" w:rsidRPr="0099628A" w:rsidRDefault="0099628A" w:rsidP="0099628A">
      <w:pPr>
        <w:spacing w:line="360" w:lineRule="auto"/>
        <w:rPr>
          <w:rFonts w:asciiTheme="minorBidi" w:hAnsiTheme="minorBidi" w:cstheme="minorBidi"/>
          <w:sz w:val="22"/>
          <w:szCs w:val="22"/>
        </w:rPr>
      </w:pPr>
    </w:p>
    <w:p w14:paraId="38E1BF43" w14:textId="77777777"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The cross-curricular skills equip learners with lifelong skills to realise the four purposes. Cross curricular learning is a powerful approach that motivates learners to enhance their knowledge and understanding across the curriculum. It enables inter-connected learning that activates learners’ imagination, implying that they could recognise patterns of information between key concepts to apply their knowledge, understanding and skills (Rowley and Cooper, 2009). The cross curricular approach creates an environment where learners could deepen and extent their learning, it could boost their curiosity to make links between subjects; this could create lifelong learners (Jiusto and DiBiasio, 2006). </w:t>
      </w:r>
    </w:p>
    <w:p w14:paraId="4773362C" w14:textId="77777777" w:rsidR="0099628A" w:rsidRPr="0099628A" w:rsidRDefault="0099628A" w:rsidP="0099628A">
      <w:pPr>
        <w:spacing w:line="360" w:lineRule="auto"/>
        <w:rPr>
          <w:rFonts w:asciiTheme="minorBidi" w:hAnsiTheme="minorBidi" w:cstheme="minorBidi"/>
          <w:sz w:val="22"/>
          <w:szCs w:val="22"/>
        </w:rPr>
      </w:pPr>
    </w:p>
    <w:p w14:paraId="29F1FEBE" w14:textId="6EA02AAB"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A whole school approach is vital for the teaching and learning of literacy, numeracy and digital skills, suggesting that the curriculum should follow a consistent and shared approach (Knight and Benson, 2013). Although, it could be difficult for educators to collaborate and communicate due to the potential barriers such as the lack of time, lack of information and experiences, and the lack of resources to execute their ideas (DaRosa et al., 2011). Planning and preparing cross curricular lessons could be more time consuming; educators could face difficulties in aligning subjects’ content with the demands of the curriculum (Richards and Taylor, 2005). This clarifies that educators roles and responsibilities are broad and unlimited, meaning that there should be structured time to enhance educator’s collaboration skills and priorities in the curriculum. Educators should work towards finding a balance between their professional knowledge and trusting others’ expertise to create subject links. This implies that educators could use their professional judgement, yet it should be necessary to follow school policies to ease the pressure and the workload of assessing learner’s progress (Protsiv and Pipola, 2018). To effectively implement cross </w:t>
      </w:r>
      <w:r w:rsidRPr="0099628A">
        <w:rPr>
          <w:rFonts w:asciiTheme="minorBidi" w:hAnsiTheme="minorBidi" w:cstheme="minorBidi"/>
          <w:sz w:val="22"/>
          <w:szCs w:val="22"/>
        </w:rPr>
        <w:lastRenderedPageBreak/>
        <w:t>curricular learning, educators should be given the opportunity to develop long term planning with other educators; this would provide time, space and the resources to develop innovative teaching methods (Merritt, 2016). Still, cross curricular teaching should be assessed with appropriate evaluation tools; learners’ progress should be assessed across the curriculum and not specifically for literacy and numeracy (Timmerman, 2019). This clarifies that a holistic approach should be taken to determine learners’ knowledge, understanding and skillset for all areas of learning experiences. Besides, when measuring learners’ progress, educators should consider the progress that has been made, the next steps in their progression and how the teaching and learning could be adapted to meet the learners’ needs (Black and Wiliam, 1998).</w:t>
      </w:r>
    </w:p>
    <w:p w14:paraId="43C680D0" w14:textId="77777777" w:rsidR="0099628A" w:rsidRPr="0099628A" w:rsidRDefault="0099628A" w:rsidP="0099628A">
      <w:pPr>
        <w:spacing w:line="360" w:lineRule="auto"/>
        <w:rPr>
          <w:rFonts w:asciiTheme="minorBidi" w:hAnsiTheme="minorBidi" w:cstheme="minorBidi"/>
          <w:sz w:val="22"/>
          <w:szCs w:val="22"/>
        </w:rPr>
      </w:pPr>
    </w:p>
    <w:p w14:paraId="31487179" w14:textId="3338C9D3"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Implementation of an authentic and meaningful context provides a ‘vehicle’ for the cross curricular skills, suggesting that learners’ understanding increases, and they could transfer and adapt these skills in the world of work (Mims, 2003). Educators should refer to the cross curricular skills framework for supporting guidance and a structure of how they could provide cross curricular opportunities (Welsh Government, 2023). Although, the frameworks are no longer statutory, implying that there could be a lack of support for educators to develop their expertise (Janssen and Lazonder, 2015). This highlights the importance of additional training for educators, then this could improve their teaching and learning experiences and they could provide best practice for their students. It is crucial to highlight that the curriculum design should not be exclusively cross curricular; different pedagogical approaches meet the needs of diverse learners (Barnes, 2018).</w:t>
      </w:r>
    </w:p>
    <w:p w14:paraId="4335F47E" w14:textId="77777777" w:rsidR="0099628A" w:rsidRPr="0099628A" w:rsidRDefault="0099628A" w:rsidP="0099628A">
      <w:pPr>
        <w:spacing w:line="360" w:lineRule="auto"/>
        <w:rPr>
          <w:rFonts w:asciiTheme="minorBidi" w:hAnsiTheme="minorBidi" w:cstheme="minorBidi"/>
          <w:sz w:val="22"/>
          <w:szCs w:val="22"/>
        </w:rPr>
      </w:pPr>
    </w:p>
    <w:p w14:paraId="07F14ED5" w14:textId="2BE3CF4B"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Pertaining to the educator’s knowledge and understanding of pedagogical approaches, the educator acknowledges the link between real-life authentic contexts and cross curricular themes. Evidently, the benefits, limitations and solutions to the approaches are connected. Nevertheless, reflective practice plays a central role in professional development. Reflective practice enables educators to participate in continuous learning, implying that they could reflect on their teaching methods and strategies that they use in their classroom (Sellars, 2017). The process of reflective practice develops educator’s understanding of their students’ strengths, weaknesses and areas of improvement; this enables educators to adapt their practice to meet the needs of their learners (Geng et al., 2019). In teaching, educators are encouraged to collaborate, meaning that they reflect on their own practice as well as other practitioners’ (Mintrop, 2020). During practice, the educator completed daily and weekly reflections, identifying what worked well and how they could improve their pedagogical approach. Using Gibbs (1998, in Suphasri and Chinokul, 2021) reflective cycle, the educator had professional conversations with their mentor, they reflected and compared </w:t>
      </w:r>
      <w:r w:rsidRPr="0099628A">
        <w:rPr>
          <w:rFonts w:asciiTheme="minorBidi" w:hAnsiTheme="minorBidi" w:cstheme="minorBidi"/>
          <w:sz w:val="22"/>
          <w:szCs w:val="22"/>
        </w:rPr>
        <w:lastRenderedPageBreak/>
        <w:t xml:space="preserve">teaching methods, classroom management techniques and the impact on the learners’ progression. It is crucial to seek advice and support from others, this will enable educators to identify </w:t>
      </w:r>
      <w:r w:rsidR="00547BC0" w:rsidRPr="0099628A">
        <w:rPr>
          <w:rFonts w:asciiTheme="minorBidi" w:hAnsiTheme="minorBidi" w:cstheme="minorBidi"/>
          <w:sz w:val="22"/>
          <w:szCs w:val="22"/>
        </w:rPr>
        <w:t>barriers</w:t>
      </w:r>
      <w:r w:rsidRPr="0099628A">
        <w:rPr>
          <w:rFonts w:asciiTheme="minorBidi" w:hAnsiTheme="minorBidi" w:cstheme="minorBidi"/>
          <w:sz w:val="22"/>
          <w:szCs w:val="22"/>
        </w:rPr>
        <w:t xml:space="preserve"> to their teaching and enhance their practice, this links to the professional standards of teaching and learning (Welsh Government, 2019). </w:t>
      </w:r>
    </w:p>
    <w:p w14:paraId="4F69F8AD" w14:textId="77777777" w:rsidR="0099628A" w:rsidRPr="0099628A" w:rsidRDefault="0099628A" w:rsidP="0099628A">
      <w:pPr>
        <w:spacing w:line="360" w:lineRule="auto"/>
        <w:rPr>
          <w:rFonts w:asciiTheme="minorBidi" w:hAnsiTheme="minorBidi" w:cstheme="minorBidi"/>
          <w:sz w:val="22"/>
          <w:szCs w:val="22"/>
        </w:rPr>
      </w:pPr>
    </w:p>
    <w:p w14:paraId="2F75E0A3" w14:textId="01728452"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Throughout practice, the educator perceived and recognised learners’ engagement levels increase when real-life authentic contexts were implemented into their learning experiences. This involved active learning and a hands-on approach, suggesting that students could make connections between the information and the concepts they had learned with real life </w:t>
      </w:r>
      <w:r w:rsidR="00547BC0" w:rsidRPr="0099628A">
        <w:rPr>
          <w:rFonts w:asciiTheme="minorBidi" w:hAnsiTheme="minorBidi" w:cstheme="minorBidi"/>
          <w:sz w:val="22"/>
          <w:szCs w:val="22"/>
        </w:rPr>
        <w:t>experiences</w:t>
      </w:r>
      <w:r w:rsidRPr="0099628A">
        <w:rPr>
          <w:rFonts w:asciiTheme="minorBidi" w:hAnsiTheme="minorBidi" w:cstheme="minorBidi"/>
          <w:sz w:val="22"/>
          <w:szCs w:val="22"/>
        </w:rPr>
        <w:t xml:space="preserve"> (Keengwe, 2014). Students had the opportunity to use manipulation of materials, </w:t>
      </w:r>
      <w:r w:rsidR="00547BC0" w:rsidRPr="0099628A">
        <w:rPr>
          <w:rFonts w:asciiTheme="minorBidi" w:hAnsiTheme="minorBidi" w:cstheme="minorBidi"/>
          <w:sz w:val="22"/>
          <w:szCs w:val="22"/>
        </w:rPr>
        <w:t>suggesting</w:t>
      </w:r>
      <w:r w:rsidRPr="0099628A">
        <w:rPr>
          <w:rFonts w:asciiTheme="minorBidi" w:hAnsiTheme="minorBidi" w:cstheme="minorBidi"/>
          <w:sz w:val="22"/>
          <w:szCs w:val="22"/>
        </w:rPr>
        <w:t xml:space="preserve"> that the concept could be learned in a concrete way (Kolb, 1984). The educator utilised the outdoor environment as an extension of the classroom, this could enrich learners’ educational experiences and it could improve academic attainment (Montessori, 1907 in Cadwell, 2009). Through fostering real-life applications outside of the classroom, learners’ concentration improved (North, 2020). They had the opportunity to transfer the skills they learned in an engaging and stimulating environment. Although, the outdoor learning environment could be perceived as a ‘forgotten’ resource, many educators lack the confidence and expertise to change their learning environments; this could be due to their classroom management and the lack of support staff (Cooper, 2015). This underlines the importance of additional pedagogical training to enhance educator’s confidence, knowledge and understanding to trial different teaching methods (Gravells, 2017). In future practice, the educator will promote real-life authentic contexts in their classroom. For instance, learning experiences will be relevant to real world situations, teaching will be personalised to the learners’ needs and interests, and  community issues (Abawi, 2015). To improve and develop future practice, the educator will expand their knowledge and understanding of authentic assessment strategies to aid pupil’s progression (Chapman and King, 2012). </w:t>
      </w:r>
    </w:p>
    <w:p w14:paraId="5837943F" w14:textId="77777777" w:rsidR="0099628A" w:rsidRPr="0099628A" w:rsidRDefault="0099628A" w:rsidP="0099628A">
      <w:pPr>
        <w:spacing w:line="360" w:lineRule="auto"/>
        <w:rPr>
          <w:rFonts w:asciiTheme="minorBidi" w:hAnsiTheme="minorBidi" w:cstheme="minorBidi"/>
          <w:sz w:val="22"/>
          <w:szCs w:val="22"/>
        </w:rPr>
      </w:pPr>
    </w:p>
    <w:p w14:paraId="673F1637" w14:textId="19B4E4A7" w:rsidR="0099628A" w:rsidRPr="0099628A" w:rsidRDefault="0099628A" w:rsidP="0099628A">
      <w:pPr>
        <w:spacing w:line="360" w:lineRule="auto"/>
        <w:rPr>
          <w:rFonts w:asciiTheme="minorBidi" w:hAnsiTheme="minorBidi" w:cstheme="minorBidi"/>
          <w:sz w:val="22"/>
          <w:szCs w:val="22"/>
        </w:rPr>
      </w:pPr>
      <w:r w:rsidRPr="0099628A">
        <w:rPr>
          <w:rFonts w:asciiTheme="minorBidi" w:hAnsiTheme="minorBidi" w:cstheme="minorBidi"/>
          <w:sz w:val="22"/>
          <w:szCs w:val="22"/>
        </w:rPr>
        <w:t xml:space="preserve">Similarly, cross curricular teaching and learning increases student’s engagement levels. Students are motivated and inspired to develop their knowledge, understanding and skills through stimulating and interconnected subjects (Verma, 2005). Throughout practice, the educator used inquiry-based learning for cross curricular teaching; this is a student-centred approach which strengthens the links between teaching and research methods. For instance, this approach engages learners with real-life connections through exploration and high-level questioning (Barnes, 2018). Learners’ independence improved and they developed problem solving skills and critical thinking skills as well as a sense of curiosity and wonder, meaning that they could discover knowledge on their own. This clarifies that </w:t>
      </w:r>
      <w:r w:rsidRPr="0099628A">
        <w:rPr>
          <w:rFonts w:asciiTheme="minorBidi" w:hAnsiTheme="minorBidi" w:cstheme="minorBidi"/>
          <w:sz w:val="22"/>
          <w:szCs w:val="22"/>
        </w:rPr>
        <w:lastRenderedPageBreak/>
        <w:t>learners’ developed and progressed through a cross curricular approach (Kerry, 2010). In future practice, it is essential to ensure that there is a whole school approach to embed the cross curricular skills across all areas of learning and experiences. It is vital for educators to have collaborative planning time to create a well-rounded curriculum (Ogier, 2022). To improve future practice, it is crucial for educators to participate in appropriate pedagogical training. This will assist the development of their expertise, classroom management, assessment strategies, and it will increase their confidence to deliver a broad and balanced curriculum (Lemov, 2015).</w:t>
      </w:r>
    </w:p>
    <w:p w14:paraId="7A443A4E" w14:textId="77777777" w:rsidR="0099628A" w:rsidRPr="0099628A" w:rsidRDefault="0099628A" w:rsidP="0099628A">
      <w:pPr>
        <w:spacing w:line="360" w:lineRule="auto"/>
        <w:rPr>
          <w:rFonts w:ascii="Arial" w:hAnsi="Arial" w:cs="Arial"/>
        </w:rPr>
      </w:pPr>
    </w:p>
    <w:p w14:paraId="43072996" w14:textId="222B595B" w:rsidR="0099628A" w:rsidRDefault="0099628A" w:rsidP="00547BC0">
      <w:pPr>
        <w:spacing w:line="360" w:lineRule="auto"/>
        <w:rPr>
          <w:rFonts w:ascii="Arial" w:hAnsi="Arial" w:cs="Arial"/>
          <w:sz w:val="22"/>
          <w:szCs w:val="22"/>
        </w:rPr>
      </w:pPr>
      <w:r w:rsidRPr="00547BC0">
        <w:rPr>
          <w:rFonts w:ascii="Arial" w:hAnsi="Arial" w:cs="Arial"/>
          <w:sz w:val="22"/>
          <w:szCs w:val="22"/>
        </w:rPr>
        <w:t>In summary, the educator demonstrated the meaning and importance of a flexible and r</w:t>
      </w:r>
      <w:r w:rsidR="00547BC0" w:rsidRPr="00547BC0">
        <w:rPr>
          <w:rFonts w:ascii="Arial" w:hAnsi="Arial" w:cs="Arial"/>
          <w:sz w:val="22"/>
          <w:szCs w:val="22"/>
        </w:rPr>
        <w:t>e</w:t>
      </w:r>
      <w:r w:rsidRPr="00547BC0">
        <w:rPr>
          <w:rFonts w:ascii="Arial" w:hAnsi="Arial" w:cs="Arial"/>
          <w:sz w:val="22"/>
          <w:szCs w:val="22"/>
        </w:rPr>
        <w:t xml:space="preserve">flective practitioner during their practice. It was challenging to incorporate different </w:t>
      </w:r>
      <w:r w:rsidR="00547BC0" w:rsidRPr="00547BC0">
        <w:rPr>
          <w:rFonts w:ascii="Arial" w:hAnsi="Arial" w:cs="Arial"/>
          <w:sz w:val="22"/>
          <w:szCs w:val="22"/>
        </w:rPr>
        <w:t>pedagogical</w:t>
      </w:r>
      <w:r w:rsidRPr="00547BC0">
        <w:rPr>
          <w:rFonts w:ascii="Arial" w:hAnsi="Arial" w:cs="Arial"/>
          <w:sz w:val="22"/>
          <w:szCs w:val="22"/>
        </w:rPr>
        <w:t xml:space="preserve"> approaches due to barriers involving the demands of the curriculum, time constraints, and the lack of resources to execute the lessons (Taylor, 2006). Yet, the educator collaborated</w:t>
      </w:r>
      <w:r w:rsidRPr="0099628A">
        <w:rPr>
          <w:rFonts w:ascii="Arial" w:hAnsi="Arial" w:cs="Arial"/>
        </w:rPr>
        <w:t xml:space="preserve"> </w:t>
      </w:r>
      <w:r w:rsidRPr="00547BC0">
        <w:rPr>
          <w:rFonts w:ascii="Arial" w:hAnsi="Arial" w:cs="Arial"/>
          <w:sz w:val="22"/>
          <w:szCs w:val="22"/>
        </w:rPr>
        <w:t xml:space="preserve">with other practitioners to seek guidance and support with developing their pedagogical content.  The educator could carefully plan and prepare meaningful learning opportunities for students to recognise their progression and realise the four purposes (Welsh Government, 2023). Teaching techniques form a classroom environment, every teacher holds their own beliefs and teaching philosophy, meaning that there is no guide to effective teaching (Whitton, 2015). Still, the professional standards for teaching and learning indicate an educators’ strengths, weaknesses and areas for improvement. In future teaching experiences, the educator will navigate their way through their learning journey, striving to develop their pedagogical knowledge and understanding (Postholm, 2012). Teachers and students are on their own progressive journey; teacher training should be supported to improve student’s learning. Educators are lifelong learners; they must be willing to learn, teach and critically reflect on their practice. Therefore, teacher education breaks down the barriers to pedagogical approaches and it enhances the quality of teaching and learning (Day, 2021). </w:t>
      </w:r>
    </w:p>
    <w:p w14:paraId="0E485CF8" w14:textId="77777777" w:rsidR="001B0619" w:rsidRDefault="001B0619" w:rsidP="00547BC0">
      <w:pPr>
        <w:spacing w:line="360" w:lineRule="auto"/>
        <w:rPr>
          <w:rFonts w:ascii="Arial" w:hAnsi="Arial" w:cs="Arial"/>
          <w:sz w:val="22"/>
          <w:szCs w:val="22"/>
        </w:rPr>
      </w:pPr>
    </w:p>
    <w:p w14:paraId="29DB76F0" w14:textId="77777777" w:rsidR="001B0619" w:rsidRDefault="001B0619" w:rsidP="00547BC0">
      <w:pPr>
        <w:spacing w:line="360" w:lineRule="auto"/>
        <w:rPr>
          <w:rFonts w:ascii="Arial" w:hAnsi="Arial" w:cs="Arial"/>
          <w:sz w:val="22"/>
          <w:szCs w:val="22"/>
        </w:rPr>
      </w:pPr>
    </w:p>
    <w:p w14:paraId="24779CAC" w14:textId="77777777" w:rsidR="001B0619" w:rsidRDefault="001B0619" w:rsidP="00547BC0">
      <w:pPr>
        <w:spacing w:line="360" w:lineRule="auto"/>
        <w:rPr>
          <w:rFonts w:ascii="Arial" w:hAnsi="Arial" w:cs="Arial"/>
          <w:sz w:val="22"/>
          <w:szCs w:val="22"/>
        </w:rPr>
      </w:pPr>
    </w:p>
    <w:p w14:paraId="02AFDA9D" w14:textId="77777777" w:rsidR="001B0619" w:rsidRDefault="001B0619" w:rsidP="00547BC0">
      <w:pPr>
        <w:spacing w:line="360" w:lineRule="auto"/>
        <w:rPr>
          <w:rFonts w:ascii="Arial" w:hAnsi="Arial" w:cs="Arial"/>
          <w:sz w:val="22"/>
          <w:szCs w:val="22"/>
        </w:rPr>
      </w:pPr>
    </w:p>
    <w:p w14:paraId="6AE751EC" w14:textId="77777777" w:rsidR="001B0619" w:rsidRDefault="001B0619" w:rsidP="00547BC0">
      <w:pPr>
        <w:spacing w:line="360" w:lineRule="auto"/>
        <w:rPr>
          <w:rFonts w:ascii="Arial" w:hAnsi="Arial" w:cs="Arial"/>
          <w:sz w:val="22"/>
          <w:szCs w:val="22"/>
        </w:rPr>
      </w:pPr>
    </w:p>
    <w:p w14:paraId="4B67341D" w14:textId="77777777" w:rsidR="001B0619" w:rsidRDefault="001B0619" w:rsidP="00547BC0">
      <w:pPr>
        <w:spacing w:line="360" w:lineRule="auto"/>
        <w:rPr>
          <w:rFonts w:ascii="Arial" w:hAnsi="Arial" w:cs="Arial"/>
          <w:sz w:val="22"/>
          <w:szCs w:val="22"/>
        </w:rPr>
      </w:pPr>
    </w:p>
    <w:p w14:paraId="1F5C4E52" w14:textId="77777777" w:rsidR="001B0619" w:rsidRDefault="001B0619" w:rsidP="00547BC0">
      <w:pPr>
        <w:spacing w:line="360" w:lineRule="auto"/>
        <w:rPr>
          <w:rFonts w:ascii="Arial" w:hAnsi="Arial" w:cs="Arial"/>
          <w:sz w:val="22"/>
          <w:szCs w:val="22"/>
        </w:rPr>
      </w:pPr>
    </w:p>
    <w:p w14:paraId="226E8ADB" w14:textId="77777777" w:rsidR="001B0619" w:rsidRDefault="001B0619" w:rsidP="00547BC0">
      <w:pPr>
        <w:spacing w:line="360" w:lineRule="auto"/>
        <w:rPr>
          <w:rFonts w:ascii="Arial" w:hAnsi="Arial" w:cs="Arial"/>
          <w:sz w:val="22"/>
          <w:szCs w:val="22"/>
        </w:rPr>
      </w:pPr>
    </w:p>
    <w:p w14:paraId="5AAAEBC8" w14:textId="77777777" w:rsidR="001B0619" w:rsidRDefault="001B0619" w:rsidP="00547BC0">
      <w:pPr>
        <w:spacing w:line="360" w:lineRule="auto"/>
        <w:rPr>
          <w:rFonts w:ascii="Arial" w:hAnsi="Arial" w:cs="Arial"/>
          <w:sz w:val="22"/>
          <w:szCs w:val="22"/>
        </w:rPr>
      </w:pPr>
    </w:p>
    <w:p w14:paraId="1224DD14" w14:textId="77777777" w:rsidR="001B0619" w:rsidRDefault="001B0619" w:rsidP="00547BC0">
      <w:pPr>
        <w:spacing w:line="360" w:lineRule="auto"/>
        <w:rPr>
          <w:rFonts w:ascii="Arial" w:hAnsi="Arial" w:cs="Arial"/>
          <w:sz w:val="22"/>
          <w:szCs w:val="22"/>
        </w:rPr>
      </w:pPr>
    </w:p>
    <w:p w14:paraId="1FB39F0E" w14:textId="77777777" w:rsidR="001B0619" w:rsidRDefault="001B0619" w:rsidP="00547BC0">
      <w:pPr>
        <w:spacing w:line="360" w:lineRule="auto"/>
        <w:rPr>
          <w:rFonts w:ascii="Arial" w:hAnsi="Arial" w:cs="Arial"/>
          <w:sz w:val="22"/>
          <w:szCs w:val="22"/>
        </w:rPr>
      </w:pPr>
    </w:p>
    <w:p w14:paraId="48262015" w14:textId="77777777" w:rsidR="001B0619" w:rsidRDefault="001B0619" w:rsidP="00547BC0">
      <w:pPr>
        <w:spacing w:line="360" w:lineRule="auto"/>
        <w:rPr>
          <w:rFonts w:ascii="Arial" w:hAnsi="Arial" w:cs="Arial"/>
          <w:sz w:val="22"/>
          <w:szCs w:val="22"/>
        </w:rPr>
      </w:pPr>
    </w:p>
    <w:p w14:paraId="76A69C39" w14:textId="42CDD13C" w:rsidR="001B0619" w:rsidRDefault="001B0619" w:rsidP="00547BC0">
      <w:pPr>
        <w:spacing w:line="360" w:lineRule="auto"/>
        <w:rPr>
          <w:rFonts w:ascii="Arial" w:hAnsi="Arial" w:cs="Arial"/>
          <w:sz w:val="22"/>
          <w:szCs w:val="22"/>
          <w:u w:val="single"/>
        </w:rPr>
      </w:pPr>
      <w:r w:rsidRPr="001B0619">
        <w:rPr>
          <w:rFonts w:ascii="Arial" w:hAnsi="Arial" w:cs="Arial"/>
          <w:sz w:val="22"/>
          <w:szCs w:val="22"/>
          <w:u w:val="single"/>
        </w:rPr>
        <w:t>Reference list</w:t>
      </w:r>
    </w:p>
    <w:p w14:paraId="0651B971" w14:textId="77777777" w:rsidR="001B0619" w:rsidRDefault="001B0619" w:rsidP="00547BC0">
      <w:pPr>
        <w:spacing w:line="360" w:lineRule="auto"/>
        <w:rPr>
          <w:rFonts w:ascii="Arial" w:hAnsi="Arial" w:cs="Arial"/>
          <w:sz w:val="22"/>
          <w:szCs w:val="22"/>
          <w:u w:val="single"/>
        </w:rPr>
      </w:pPr>
    </w:p>
    <w:p w14:paraId="5E54448C" w14:textId="4394DA81"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Abawi, L.-A. (2015). Inclusion ‘from the gate in’: wrapping students with personalised learning support. International Journal of Pedagogies and Learning, 10(1), pp.47–61. doi: </w:t>
      </w:r>
      <w:hyperlink r:id="rId6" w:history="1">
        <w:r w:rsidRPr="00DD7A1D">
          <w:rPr>
            <w:rStyle w:val="Hyperlink"/>
            <w:rFonts w:ascii="Arial" w:hAnsi="Arial" w:cs="Arial"/>
            <w:sz w:val="22"/>
            <w:szCs w:val="22"/>
          </w:rPr>
          <w:t>https://doi.org/10.1080/22040552.2015.1084676</w:t>
        </w:r>
      </w:hyperlink>
      <w:r w:rsidRPr="001B0619">
        <w:rPr>
          <w:rFonts w:ascii="Arial" w:hAnsi="Arial" w:cs="Arial"/>
          <w:sz w:val="22"/>
          <w:szCs w:val="22"/>
        </w:rPr>
        <w:t>.</w:t>
      </w:r>
      <w:r>
        <w:rPr>
          <w:rFonts w:ascii="Arial" w:hAnsi="Arial" w:cs="Arial"/>
          <w:sz w:val="22"/>
          <w:szCs w:val="22"/>
        </w:rPr>
        <w:t xml:space="preserve"> </w:t>
      </w:r>
    </w:p>
    <w:p w14:paraId="61D68D6B" w14:textId="77777777" w:rsidR="001B0619" w:rsidRPr="001B0619" w:rsidRDefault="001B0619" w:rsidP="001B0619">
      <w:pPr>
        <w:spacing w:line="360" w:lineRule="auto"/>
        <w:rPr>
          <w:rFonts w:ascii="Arial" w:hAnsi="Arial" w:cs="Arial"/>
          <w:sz w:val="22"/>
          <w:szCs w:val="22"/>
        </w:rPr>
      </w:pPr>
    </w:p>
    <w:p w14:paraId="7EFC248C" w14:textId="15DC6D38"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Adey, P. (1997). Dimensions of progression in a curriculum. The Curriculum Journal, 8(3), pp.367–391. doi: </w:t>
      </w:r>
      <w:hyperlink r:id="rId7" w:history="1">
        <w:r w:rsidRPr="00DD7A1D">
          <w:rPr>
            <w:rStyle w:val="Hyperlink"/>
            <w:rFonts w:ascii="Arial" w:hAnsi="Arial" w:cs="Arial"/>
            <w:sz w:val="22"/>
            <w:szCs w:val="22"/>
          </w:rPr>
          <w:t>https://doi.org/10.1080/0958517970080304</w:t>
        </w:r>
      </w:hyperlink>
      <w:r>
        <w:rPr>
          <w:rFonts w:ascii="Arial" w:hAnsi="Arial" w:cs="Arial"/>
          <w:sz w:val="22"/>
          <w:szCs w:val="22"/>
        </w:rPr>
        <w:t xml:space="preserve"> </w:t>
      </w:r>
    </w:p>
    <w:p w14:paraId="2A131788" w14:textId="77777777" w:rsidR="001B0619" w:rsidRPr="001B0619" w:rsidRDefault="001B0619" w:rsidP="001B0619">
      <w:pPr>
        <w:spacing w:line="360" w:lineRule="auto"/>
        <w:rPr>
          <w:rFonts w:ascii="Arial" w:hAnsi="Arial" w:cs="Arial"/>
          <w:sz w:val="22"/>
          <w:szCs w:val="22"/>
        </w:rPr>
      </w:pPr>
    </w:p>
    <w:p w14:paraId="397A7BDF" w14:textId="1DD88FDC"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Artino, A.R. and Konopasky, A. (2018). The Practical Value of Educational Theory for Learn-ing and Teaching in Graduate Medical Education. Journal of Graduate Medical Education, [online] 10(6), pp.609–613. doi:  </w:t>
      </w:r>
      <w:hyperlink r:id="rId8" w:history="1">
        <w:r w:rsidRPr="00DD7A1D">
          <w:rPr>
            <w:rStyle w:val="Hyperlink"/>
            <w:rFonts w:ascii="Arial" w:hAnsi="Arial" w:cs="Arial"/>
            <w:sz w:val="22"/>
            <w:szCs w:val="22"/>
          </w:rPr>
          <w:t>https://doi.org/10.4300/jgme-d-18-00825.1</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2AEEEE15" w14:textId="77777777" w:rsidR="001B0619" w:rsidRPr="001B0619" w:rsidRDefault="001B0619" w:rsidP="001B0619">
      <w:pPr>
        <w:spacing w:line="360" w:lineRule="auto"/>
        <w:rPr>
          <w:rFonts w:ascii="Arial" w:hAnsi="Arial" w:cs="Arial"/>
          <w:sz w:val="22"/>
          <w:szCs w:val="22"/>
        </w:rPr>
      </w:pPr>
    </w:p>
    <w:p w14:paraId="2B306DD4"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ASTHANA, N. (2023). CREATING AN INCLUSIVE SCHOOL. PHI Learning Pvt. Ltd.</w:t>
      </w:r>
    </w:p>
    <w:p w14:paraId="7BF21B74" w14:textId="77777777" w:rsidR="001B0619" w:rsidRPr="001B0619" w:rsidRDefault="001B0619" w:rsidP="001B0619">
      <w:pPr>
        <w:spacing w:line="360" w:lineRule="auto"/>
        <w:rPr>
          <w:rFonts w:ascii="Arial" w:hAnsi="Arial" w:cs="Arial"/>
          <w:sz w:val="22"/>
          <w:szCs w:val="22"/>
        </w:rPr>
      </w:pPr>
    </w:p>
    <w:p w14:paraId="12142F40" w14:textId="0878E4A5"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Aynas, N. and Aslan, M. (2021). The Effects of Authentic Learning Practices on Critical Thinking Skills and Attitude towards Science Courses. Journal of Learning for Development, [online] 8(1), pp.146–161. Available at: </w:t>
      </w:r>
      <w:hyperlink r:id="rId9" w:history="1">
        <w:r w:rsidRPr="00DD7A1D">
          <w:rPr>
            <w:rStyle w:val="Hyperlink"/>
            <w:rFonts w:ascii="Arial" w:hAnsi="Arial" w:cs="Arial"/>
            <w:sz w:val="22"/>
            <w:szCs w:val="22"/>
          </w:rPr>
          <w:t>https://files.eric.ed.gov/fulltext/EJ1294983.pdf</w:t>
        </w:r>
      </w:hyperlink>
      <w:r w:rsidRPr="001B0619">
        <w:rPr>
          <w:rFonts w:ascii="Arial" w:hAnsi="Arial" w:cs="Arial"/>
          <w:sz w:val="22"/>
          <w:szCs w:val="22"/>
        </w:rPr>
        <w:t>.</w:t>
      </w:r>
      <w:r>
        <w:rPr>
          <w:rFonts w:ascii="Arial" w:hAnsi="Arial" w:cs="Arial"/>
          <w:sz w:val="22"/>
          <w:szCs w:val="22"/>
        </w:rPr>
        <w:t xml:space="preserve"> </w:t>
      </w:r>
    </w:p>
    <w:p w14:paraId="2B655257" w14:textId="77777777" w:rsidR="001B0619" w:rsidRPr="001B0619" w:rsidRDefault="001B0619" w:rsidP="001B0619">
      <w:pPr>
        <w:spacing w:line="360" w:lineRule="auto"/>
        <w:rPr>
          <w:rFonts w:ascii="Arial" w:hAnsi="Arial" w:cs="Arial"/>
          <w:sz w:val="22"/>
          <w:szCs w:val="22"/>
        </w:rPr>
      </w:pPr>
    </w:p>
    <w:p w14:paraId="69148DE6" w14:textId="112B5D8D"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Barnes, J. (2015). An Introduction to Cross-Curricular Learning. [online] ResearchGate. Available at: </w:t>
      </w:r>
      <w:hyperlink r:id="rId10" w:history="1">
        <w:r w:rsidRPr="00DD7A1D">
          <w:rPr>
            <w:rStyle w:val="Hyperlink"/>
            <w:rFonts w:ascii="Arial" w:hAnsi="Arial" w:cs="Arial"/>
            <w:sz w:val="22"/>
            <w:szCs w:val="22"/>
          </w:rPr>
          <w:t>https://www.researchgate.net/publication/274313611_An_Introduction_to_Cross-Curricular_Learning</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54949688" w14:textId="77777777" w:rsidR="001B0619" w:rsidRPr="001B0619" w:rsidRDefault="001B0619" w:rsidP="001B0619">
      <w:pPr>
        <w:spacing w:line="360" w:lineRule="auto"/>
        <w:rPr>
          <w:rFonts w:ascii="Arial" w:hAnsi="Arial" w:cs="Arial"/>
          <w:sz w:val="22"/>
          <w:szCs w:val="22"/>
        </w:rPr>
      </w:pPr>
    </w:p>
    <w:p w14:paraId="635FC169"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Barnes, J. (2018). Applying cross-curricular approaches creatively : the connecting curricu-lum. London: Routledge.</w:t>
      </w:r>
    </w:p>
    <w:p w14:paraId="6B8BC976" w14:textId="77777777" w:rsidR="001B0619" w:rsidRPr="001B0619" w:rsidRDefault="001B0619" w:rsidP="001B0619">
      <w:pPr>
        <w:spacing w:line="360" w:lineRule="auto"/>
        <w:rPr>
          <w:rFonts w:ascii="Arial" w:hAnsi="Arial" w:cs="Arial"/>
          <w:sz w:val="22"/>
          <w:szCs w:val="22"/>
        </w:rPr>
      </w:pPr>
    </w:p>
    <w:p w14:paraId="6CBC986B" w14:textId="03D77EA0"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BERA (2018). Ethics and Guidance. [online] Bera.ac.uk. Available at: </w:t>
      </w:r>
      <w:hyperlink r:id="rId11" w:history="1">
        <w:r w:rsidRPr="00DD7A1D">
          <w:rPr>
            <w:rStyle w:val="Hyperlink"/>
            <w:rFonts w:ascii="Arial" w:hAnsi="Arial" w:cs="Arial"/>
            <w:sz w:val="22"/>
            <w:szCs w:val="22"/>
          </w:rPr>
          <w:t>https://www.bera.ac.uk/resources/all-publications/resources-for-researchers</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1A303816" w14:textId="77777777" w:rsidR="001B0619" w:rsidRPr="001B0619" w:rsidRDefault="001B0619" w:rsidP="001B0619">
      <w:pPr>
        <w:spacing w:line="360" w:lineRule="auto"/>
        <w:rPr>
          <w:rFonts w:ascii="Arial" w:hAnsi="Arial" w:cs="Arial"/>
          <w:sz w:val="22"/>
          <w:szCs w:val="22"/>
        </w:rPr>
      </w:pPr>
    </w:p>
    <w:p w14:paraId="46E4572B"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Bilham, T., Hamshire, C., Hartog, M. and Doolan, M.A. (2019). Reframing space for learn-ing : excellence and innovation in university teaching. London: Ucl Institute of Education Press.</w:t>
      </w:r>
    </w:p>
    <w:p w14:paraId="40F0E8C8" w14:textId="77777777" w:rsidR="001B0619" w:rsidRPr="001B0619" w:rsidRDefault="001B0619" w:rsidP="001B0619">
      <w:pPr>
        <w:spacing w:line="360" w:lineRule="auto"/>
        <w:rPr>
          <w:rFonts w:ascii="Arial" w:hAnsi="Arial" w:cs="Arial"/>
          <w:sz w:val="22"/>
          <w:szCs w:val="22"/>
        </w:rPr>
      </w:pPr>
    </w:p>
    <w:p w14:paraId="751F2A87"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Black, P. and Wiliam, D. (1998). Inside the black box : Raising standards through classroom assessment. London: GL Assessment.</w:t>
      </w:r>
    </w:p>
    <w:p w14:paraId="47AF7022" w14:textId="77777777" w:rsidR="001B0619" w:rsidRPr="001B0619" w:rsidRDefault="001B0619" w:rsidP="001B0619">
      <w:pPr>
        <w:spacing w:line="360" w:lineRule="auto"/>
        <w:rPr>
          <w:rFonts w:ascii="Arial" w:hAnsi="Arial" w:cs="Arial"/>
          <w:sz w:val="22"/>
          <w:szCs w:val="22"/>
        </w:rPr>
      </w:pPr>
    </w:p>
    <w:p w14:paraId="306DA231" w14:textId="699F9F53"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Brame, C.J. (2016). Active Learning. [online] pp.1–6. Available at: </w:t>
      </w:r>
      <w:hyperlink r:id="rId12" w:history="1">
        <w:r w:rsidRPr="00DD7A1D">
          <w:rPr>
            <w:rStyle w:val="Hyperlink"/>
            <w:rFonts w:ascii="Arial" w:hAnsi="Arial" w:cs="Arial"/>
            <w:sz w:val="22"/>
            <w:szCs w:val="22"/>
          </w:rPr>
          <w:t>https://cft.vanderbilt.edu/wp-content/uploads/sites/59/Active-Learning.pdf</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78F40378" w14:textId="77777777" w:rsidR="001B0619" w:rsidRPr="001B0619" w:rsidRDefault="001B0619" w:rsidP="001B0619">
      <w:pPr>
        <w:spacing w:line="360" w:lineRule="auto"/>
        <w:rPr>
          <w:rFonts w:ascii="Arial" w:hAnsi="Arial" w:cs="Arial"/>
          <w:sz w:val="22"/>
          <w:szCs w:val="22"/>
        </w:rPr>
      </w:pPr>
    </w:p>
    <w:p w14:paraId="44361259"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Burke, K. (2009). How to assess authentic learning. Thousand Oaks, Calif.: Corwin Press.</w:t>
      </w:r>
    </w:p>
    <w:p w14:paraId="696AAEA1" w14:textId="77777777" w:rsidR="001B0619" w:rsidRPr="001B0619" w:rsidRDefault="001B0619" w:rsidP="001B0619">
      <w:pPr>
        <w:spacing w:line="360" w:lineRule="auto"/>
        <w:rPr>
          <w:rFonts w:ascii="Arial" w:hAnsi="Arial" w:cs="Arial"/>
          <w:sz w:val="22"/>
          <w:szCs w:val="22"/>
        </w:rPr>
      </w:pPr>
    </w:p>
    <w:p w14:paraId="3CBA4F93" w14:textId="75477D4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Caldwell, S. (2009). The Montessori Outdoor Environment A not-quite-completed resource. [online] Available at: </w:t>
      </w:r>
      <w:hyperlink r:id="rId13" w:history="1">
        <w:r w:rsidRPr="00DD7A1D">
          <w:rPr>
            <w:rStyle w:val="Hyperlink"/>
            <w:rFonts w:ascii="Arial" w:hAnsi="Arial" w:cs="Arial"/>
            <w:sz w:val="22"/>
            <w:szCs w:val="22"/>
          </w:rPr>
          <w:t>https://www.montessori.org/wp-content/uploads/2021/09/The-Outdoor-Environment.pdf</w:t>
        </w:r>
      </w:hyperlink>
      <w:r w:rsidRPr="001B0619">
        <w:rPr>
          <w:rFonts w:ascii="Arial" w:hAnsi="Arial" w:cs="Arial"/>
          <w:sz w:val="22"/>
          <w:szCs w:val="22"/>
        </w:rPr>
        <w:t>.</w:t>
      </w:r>
      <w:r>
        <w:rPr>
          <w:rFonts w:ascii="Arial" w:hAnsi="Arial" w:cs="Arial"/>
          <w:sz w:val="22"/>
          <w:szCs w:val="22"/>
        </w:rPr>
        <w:t xml:space="preserve"> </w:t>
      </w:r>
    </w:p>
    <w:p w14:paraId="528B8242" w14:textId="77777777" w:rsidR="001B0619" w:rsidRPr="001B0619" w:rsidRDefault="001B0619" w:rsidP="001B0619">
      <w:pPr>
        <w:spacing w:line="360" w:lineRule="auto"/>
        <w:rPr>
          <w:rFonts w:ascii="Arial" w:hAnsi="Arial" w:cs="Arial"/>
          <w:sz w:val="22"/>
          <w:szCs w:val="22"/>
        </w:rPr>
      </w:pPr>
    </w:p>
    <w:p w14:paraId="4D10FF3C"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Chapman, C. and King, R. (2012). Differentiated assessment strategies: One tool does not fit all. 2nd ed. Thousand Oaks, Calif.: Corwin Press.</w:t>
      </w:r>
    </w:p>
    <w:p w14:paraId="201C71CC" w14:textId="77777777" w:rsidR="001B0619" w:rsidRPr="001B0619" w:rsidRDefault="001B0619" w:rsidP="001B0619">
      <w:pPr>
        <w:spacing w:line="360" w:lineRule="auto"/>
        <w:rPr>
          <w:rFonts w:ascii="Arial" w:hAnsi="Arial" w:cs="Arial"/>
          <w:sz w:val="22"/>
          <w:szCs w:val="22"/>
        </w:rPr>
      </w:pPr>
    </w:p>
    <w:p w14:paraId="7E466025" w14:textId="6D401C26"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Choo, C.B. (2007). Activity</w:t>
      </w:r>
      <w:r w:rsidRPr="001B0619">
        <w:rPr>
          <w:rFonts w:ascii="Cambria Math" w:hAnsi="Cambria Math" w:cs="Cambria Math"/>
          <w:sz w:val="22"/>
          <w:szCs w:val="22"/>
        </w:rPr>
        <w:t>‐</w:t>
      </w:r>
      <w:r w:rsidRPr="001B0619">
        <w:rPr>
          <w:rFonts w:ascii="Arial" w:hAnsi="Arial" w:cs="Arial"/>
          <w:sz w:val="22"/>
          <w:szCs w:val="22"/>
        </w:rPr>
        <w:t xml:space="preserve">based Approach to Authentic Learning in a Vocational Institute. Educational Media International, 44(3), pp.185–205. Doi </w:t>
      </w:r>
      <w:hyperlink r:id="rId14" w:history="1">
        <w:r w:rsidRPr="00DD7A1D">
          <w:rPr>
            <w:rStyle w:val="Hyperlink"/>
            <w:rFonts w:ascii="Arial" w:hAnsi="Arial" w:cs="Arial"/>
            <w:sz w:val="22"/>
            <w:szCs w:val="22"/>
          </w:rPr>
          <w:t>https://doi.org/10.1080/09523980701491633</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6CE35EC1" w14:textId="77777777" w:rsidR="001B0619" w:rsidRPr="001B0619" w:rsidRDefault="001B0619" w:rsidP="001B0619">
      <w:pPr>
        <w:spacing w:line="360" w:lineRule="auto"/>
        <w:rPr>
          <w:rFonts w:ascii="Arial" w:hAnsi="Arial" w:cs="Arial"/>
          <w:sz w:val="22"/>
          <w:szCs w:val="22"/>
        </w:rPr>
      </w:pPr>
    </w:p>
    <w:p w14:paraId="69B700EE" w14:textId="2AB3872C"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Clif Mims (2003). Authentic Learning: A practical introduction and guide for implementation. [online] ResearchGate. Available at: </w:t>
      </w:r>
      <w:hyperlink r:id="rId15" w:history="1">
        <w:r w:rsidRPr="00DD7A1D">
          <w:rPr>
            <w:rStyle w:val="Hyperlink"/>
            <w:rFonts w:ascii="Arial" w:hAnsi="Arial" w:cs="Arial"/>
            <w:sz w:val="22"/>
            <w:szCs w:val="22"/>
          </w:rPr>
          <w:t>https://www.researchgate.net/publication/228395999_Authentic_Learning_A_practical_introduction_and_guide_for_implementation</w:t>
        </w:r>
      </w:hyperlink>
      <w:r w:rsidRPr="001B0619">
        <w:rPr>
          <w:rFonts w:ascii="Arial" w:hAnsi="Arial" w:cs="Arial"/>
          <w:sz w:val="22"/>
          <w:szCs w:val="22"/>
        </w:rPr>
        <w:t>.</w:t>
      </w:r>
      <w:r>
        <w:rPr>
          <w:rFonts w:ascii="Arial" w:hAnsi="Arial" w:cs="Arial"/>
          <w:sz w:val="22"/>
          <w:szCs w:val="22"/>
        </w:rPr>
        <w:t xml:space="preserve"> </w:t>
      </w:r>
    </w:p>
    <w:p w14:paraId="2CAB9D2D" w14:textId="77777777" w:rsidR="001B0619" w:rsidRPr="001B0619" w:rsidRDefault="001B0619" w:rsidP="001B0619">
      <w:pPr>
        <w:spacing w:line="360" w:lineRule="auto"/>
        <w:rPr>
          <w:rFonts w:ascii="Arial" w:hAnsi="Arial" w:cs="Arial"/>
          <w:sz w:val="22"/>
          <w:szCs w:val="22"/>
        </w:rPr>
      </w:pPr>
    </w:p>
    <w:p w14:paraId="4EB9A4B5" w14:textId="0C114E2E"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Cooper, A. (2015). Nature and the Outdoor Learning Environment: The Forgotten Resource in Early Childhood Education. International Journal of Early Childhood Environmental Educa-tion, [online] 3(1), pp.85–97. Available at: </w:t>
      </w:r>
      <w:hyperlink r:id="rId16" w:history="1">
        <w:r w:rsidRPr="00DD7A1D">
          <w:rPr>
            <w:rStyle w:val="Hyperlink"/>
            <w:rFonts w:ascii="Arial" w:hAnsi="Arial" w:cs="Arial"/>
            <w:sz w:val="22"/>
            <w:szCs w:val="22"/>
          </w:rPr>
          <w:t>https://eric.ed.gov/?id=EJ1108430</w:t>
        </w:r>
      </w:hyperlink>
      <w:r w:rsidRPr="001B0619">
        <w:rPr>
          <w:rFonts w:ascii="Arial" w:hAnsi="Arial" w:cs="Arial"/>
          <w:sz w:val="22"/>
          <w:szCs w:val="22"/>
        </w:rPr>
        <w:t>.</w:t>
      </w:r>
      <w:r>
        <w:rPr>
          <w:rFonts w:ascii="Arial" w:hAnsi="Arial" w:cs="Arial"/>
          <w:sz w:val="22"/>
          <w:szCs w:val="22"/>
        </w:rPr>
        <w:t xml:space="preserve"> </w:t>
      </w:r>
    </w:p>
    <w:p w14:paraId="42F09A08" w14:textId="77777777" w:rsidR="001B0619" w:rsidRPr="001B0619" w:rsidRDefault="001B0619" w:rsidP="001B0619">
      <w:pPr>
        <w:spacing w:line="360" w:lineRule="auto"/>
        <w:rPr>
          <w:rFonts w:ascii="Arial" w:hAnsi="Arial" w:cs="Arial"/>
          <w:sz w:val="22"/>
          <w:szCs w:val="22"/>
        </w:rPr>
      </w:pPr>
    </w:p>
    <w:p w14:paraId="2351FC6D" w14:textId="26F8928A"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Corney, G. and Reid, A. (2007). Student teachers’ learning about subject matter and peda-gogy in education for sustainable development. Environmental Education Research, 13(1), pp.33–54. Doi: </w:t>
      </w:r>
      <w:hyperlink r:id="rId17" w:history="1">
        <w:r w:rsidRPr="00DD7A1D">
          <w:rPr>
            <w:rStyle w:val="Hyperlink"/>
            <w:rFonts w:ascii="Arial" w:hAnsi="Arial" w:cs="Arial"/>
            <w:sz w:val="22"/>
            <w:szCs w:val="22"/>
          </w:rPr>
          <w:t>https://doi.org/10.1080/13504620601122632</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1B4D9B12" w14:textId="77777777" w:rsidR="001B0619" w:rsidRPr="001B0619" w:rsidRDefault="001B0619" w:rsidP="001B0619">
      <w:pPr>
        <w:spacing w:line="360" w:lineRule="auto"/>
        <w:rPr>
          <w:rFonts w:ascii="Arial" w:hAnsi="Arial" w:cs="Arial"/>
          <w:sz w:val="22"/>
          <w:szCs w:val="22"/>
        </w:rPr>
      </w:pPr>
    </w:p>
    <w:p w14:paraId="0B42C13B" w14:textId="28FF330D"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Darling-Hammond, L., Flook, L., Cook-Harvey, C., Barron, B. and Osher, D. (2020). Implica-tions for Educational Practice of the Science of Learning and Development. Applied Devel-opmental Science, [online] 24(2), pp.1–44. doi: </w:t>
      </w:r>
      <w:hyperlink r:id="rId18" w:history="1">
        <w:r w:rsidRPr="00DD7A1D">
          <w:rPr>
            <w:rStyle w:val="Hyperlink"/>
            <w:rFonts w:ascii="Arial" w:hAnsi="Arial" w:cs="Arial"/>
            <w:sz w:val="22"/>
            <w:szCs w:val="22"/>
          </w:rPr>
          <w:t>https://doi.org/10.1080/10888691.2018.1537791</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1AFBB70C" w14:textId="77777777" w:rsidR="001B0619" w:rsidRPr="001B0619" w:rsidRDefault="001B0619" w:rsidP="001B0619">
      <w:pPr>
        <w:spacing w:line="360" w:lineRule="auto"/>
        <w:rPr>
          <w:rFonts w:ascii="Arial" w:hAnsi="Arial" w:cs="Arial"/>
          <w:sz w:val="22"/>
          <w:szCs w:val="22"/>
        </w:rPr>
      </w:pPr>
    </w:p>
    <w:p w14:paraId="45AA0D31" w14:textId="4CB081B8"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lastRenderedPageBreak/>
        <w:t xml:space="preserve">Darling-Hammond, L. and Snyder, J. (two thousand). Authentic assessment of teaching in context. Teaching and Teacher Education, 16(5-6), pp.523–545. doi: </w:t>
      </w:r>
      <w:hyperlink r:id="rId19" w:history="1">
        <w:r w:rsidRPr="00DD7A1D">
          <w:rPr>
            <w:rStyle w:val="Hyperlink"/>
            <w:rFonts w:ascii="Arial" w:hAnsi="Arial" w:cs="Arial"/>
            <w:sz w:val="22"/>
            <w:szCs w:val="22"/>
          </w:rPr>
          <w:t>https://doi.org/10.1016/s0742-051x(00)00015-9</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27C8F5BB" w14:textId="77777777" w:rsidR="001B0619" w:rsidRPr="001B0619" w:rsidRDefault="001B0619" w:rsidP="001B0619">
      <w:pPr>
        <w:spacing w:line="360" w:lineRule="auto"/>
        <w:rPr>
          <w:rFonts w:ascii="Arial" w:hAnsi="Arial" w:cs="Arial"/>
          <w:sz w:val="22"/>
          <w:szCs w:val="22"/>
        </w:rPr>
      </w:pPr>
    </w:p>
    <w:p w14:paraId="6387D41C" w14:textId="363105C5"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DaRosa, D.A., Skeff, K., Friedland, J.A., Coburn, M., Cox, S., Pollart, S., OʼConnell, M. and Smith, S. (2011). Barriers to Effective Teaching. Academic Medicine, 86(4), pp.453–459. doi: </w:t>
      </w:r>
      <w:hyperlink r:id="rId20" w:history="1">
        <w:r w:rsidRPr="00DD7A1D">
          <w:rPr>
            <w:rStyle w:val="Hyperlink"/>
            <w:rFonts w:ascii="Arial" w:hAnsi="Arial" w:cs="Arial"/>
            <w:sz w:val="22"/>
            <w:szCs w:val="22"/>
          </w:rPr>
          <w:t>https://doi.org/10.1097/acm.0b013e31820defbe</w:t>
        </w:r>
      </w:hyperlink>
      <w:r w:rsidRPr="001B0619">
        <w:rPr>
          <w:rFonts w:ascii="Arial" w:hAnsi="Arial" w:cs="Arial"/>
          <w:sz w:val="22"/>
          <w:szCs w:val="22"/>
        </w:rPr>
        <w:t>.</w:t>
      </w:r>
      <w:r>
        <w:rPr>
          <w:rFonts w:ascii="Arial" w:hAnsi="Arial" w:cs="Arial"/>
          <w:sz w:val="22"/>
          <w:szCs w:val="22"/>
        </w:rPr>
        <w:t xml:space="preserve"> </w:t>
      </w:r>
    </w:p>
    <w:p w14:paraId="6CE11375" w14:textId="77777777" w:rsidR="001B0619" w:rsidRPr="001B0619" w:rsidRDefault="001B0619" w:rsidP="001B0619">
      <w:pPr>
        <w:spacing w:line="360" w:lineRule="auto"/>
        <w:rPr>
          <w:rFonts w:ascii="Arial" w:hAnsi="Arial" w:cs="Arial"/>
          <w:sz w:val="22"/>
          <w:szCs w:val="22"/>
        </w:rPr>
      </w:pPr>
    </w:p>
    <w:p w14:paraId="11B44ED1"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Day, C. (2021). Policy, Teacher Education and the Quality of Teachers and Teaching. Routledge.</w:t>
      </w:r>
    </w:p>
    <w:p w14:paraId="4D405D33" w14:textId="77777777" w:rsidR="001B0619" w:rsidRPr="001B0619" w:rsidRDefault="001B0619" w:rsidP="001B0619">
      <w:pPr>
        <w:spacing w:line="360" w:lineRule="auto"/>
        <w:rPr>
          <w:rFonts w:ascii="Arial" w:hAnsi="Arial" w:cs="Arial"/>
          <w:sz w:val="22"/>
          <w:szCs w:val="22"/>
        </w:rPr>
      </w:pPr>
    </w:p>
    <w:p w14:paraId="39444CFD" w14:textId="5F8BCDA5"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DeMonte, J. (2013). High-Quality Professional Development for Teachers: Supporting Teacher Training to Improve Student Learning. [online] ERIC. Center for American Progress. Available at: </w:t>
      </w:r>
      <w:hyperlink r:id="rId21" w:history="1">
        <w:r w:rsidRPr="00DD7A1D">
          <w:rPr>
            <w:rStyle w:val="Hyperlink"/>
            <w:rFonts w:ascii="Arial" w:hAnsi="Arial" w:cs="Arial"/>
            <w:sz w:val="22"/>
            <w:szCs w:val="22"/>
          </w:rPr>
          <w:t>https://eric.ed.gov/?id=ED561095</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0C4A4920" w14:textId="77777777" w:rsidR="001B0619" w:rsidRPr="001B0619" w:rsidRDefault="001B0619" w:rsidP="001B0619">
      <w:pPr>
        <w:spacing w:line="360" w:lineRule="auto"/>
        <w:rPr>
          <w:rFonts w:ascii="Arial" w:hAnsi="Arial" w:cs="Arial"/>
          <w:sz w:val="22"/>
          <w:szCs w:val="22"/>
        </w:rPr>
      </w:pPr>
    </w:p>
    <w:p w14:paraId="18E4017B"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Dewey, J. (2013). Democracy and Education. Read Books Ltd.</w:t>
      </w:r>
    </w:p>
    <w:p w14:paraId="7E198FA4" w14:textId="77777777" w:rsidR="001B0619" w:rsidRPr="001B0619" w:rsidRDefault="001B0619" w:rsidP="001B0619">
      <w:pPr>
        <w:spacing w:line="360" w:lineRule="auto"/>
        <w:rPr>
          <w:rFonts w:ascii="Arial" w:hAnsi="Arial" w:cs="Arial"/>
          <w:sz w:val="22"/>
          <w:szCs w:val="22"/>
        </w:rPr>
      </w:pPr>
    </w:p>
    <w:p w14:paraId="35A87D1E"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Dillon, J.T. (2004). Questioning and teaching : a manual of practice. Eugene, Ore.: Resource Publications.</w:t>
      </w:r>
    </w:p>
    <w:p w14:paraId="1BD4A92A" w14:textId="77777777" w:rsidR="001B0619" w:rsidRPr="001B0619" w:rsidRDefault="001B0619" w:rsidP="001B0619">
      <w:pPr>
        <w:spacing w:line="360" w:lineRule="auto"/>
        <w:rPr>
          <w:rFonts w:ascii="Arial" w:hAnsi="Arial" w:cs="Arial"/>
          <w:sz w:val="22"/>
          <w:szCs w:val="22"/>
        </w:rPr>
      </w:pPr>
    </w:p>
    <w:p w14:paraId="486A6BC0"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Drake, S.M. and Rebecca Crawford Burns (2004). Meeting standards through integrated cur-riculum. Alexandria, Va.: Association for Supervision and Curriculum Development.</w:t>
      </w:r>
    </w:p>
    <w:p w14:paraId="35B48722" w14:textId="77777777" w:rsidR="001B0619" w:rsidRPr="001B0619" w:rsidRDefault="001B0619" w:rsidP="001B0619">
      <w:pPr>
        <w:spacing w:line="360" w:lineRule="auto"/>
        <w:rPr>
          <w:rFonts w:ascii="Arial" w:hAnsi="Arial" w:cs="Arial"/>
          <w:sz w:val="22"/>
          <w:szCs w:val="22"/>
        </w:rPr>
      </w:pPr>
    </w:p>
    <w:p w14:paraId="69B0E9C8" w14:textId="11CC6DA0"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Education &amp; Skills funding agency (2024). Mainstream schools additional grant 2023 to 2024: methodology. [online] GOV.UK. Available at: </w:t>
      </w:r>
      <w:hyperlink r:id="rId22" w:history="1">
        <w:r w:rsidRPr="00DD7A1D">
          <w:rPr>
            <w:rStyle w:val="Hyperlink"/>
            <w:rFonts w:ascii="Arial" w:hAnsi="Arial" w:cs="Arial"/>
            <w:sz w:val="22"/>
            <w:szCs w:val="22"/>
          </w:rPr>
          <w:t>https://www.gov.uk/government/publications/mainstream-schools-additional-grant-2023-to-2024/mainstream-schools-additional-grant-2023-to-2024-methodology</w:t>
        </w:r>
      </w:hyperlink>
      <w:r w:rsidRPr="001B0619">
        <w:rPr>
          <w:rFonts w:ascii="Arial" w:hAnsi="Arial" w:cs="Arial"/>
          <w:sz w:val="22"/>
          <w:szCs w:val="22"/>
        </w:rPr>
        <w:t>.</w:t>
      </w:r>
      <w:r>
        <w:rPr>
          <w:rFonts w:ascii="Arial" w:hAnsi="Arial" w:cs="Arial"/>
          <w:sz w:val="22"/>
          <w:szCs w:val="22"/>
        </w:rPr>
        <w:t xml:space="preserve"> </w:t>
      </w:r>
    </w:p>
    <w:p w14:paraId="430593F8" w14:textId="77777777" w:rsidR="001B0619" w:rsidRPr="001B0619" w:rsidRDefault="001B0619" w:rsidP="001B0619">
      <w:pPr>
        <w:spacing w:line="360" w:lineRule="auto"/>
        <w:rPr>
          <w:rFonts w:ascii="Arial" w:hAnsi="Arial" w:cs="Arial"/>
          <w:sz w:val="22"/>
          <w:szCs w:val="22"/>
        </w:rPr>
      </w:pPr>
    </w:p>
    <w:p w14:paraId="480A63AA" w14:textId="67132F02"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Education Endowment Foundation (2021). Effective Professional Development. [online] EEF. Available at: </w:t>
      </w:r>
      <w:hyperlink r:id="rId23" w:history="1">
        <w:r w:rsidRPr="00DD7A1D">
          <w:rPr>
            <w:rStyle w:val="Hyperlink"/>
            <w:rFonts w:ascii="Arial" w:hAnsi="Arial" w:cs="Arial"/>
            <w:sz w:val="22"/>
            <w:szCs w:val="22"/>
          </w:rPr>
          <w:t>https://educationendowmentfoundation.org.uk/education-evidence/guidance-reports/effective-professional-development</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519E510A" w14:textId="77777777" w:rsidR="001B0619" w:rsidRPr="001B0619" w:rsidRDefault="001B0619" w:rsidP="001B0619">
      <w:pPr>
        <w:spacing w:line="360" w:lineRule="auto"/>
        <w:rPr>
          <w:rFonts w:ascii="Arial" w:hAnsi="Arial" w:cs="Arial"/>
          <w:sz w:val="22"/>
          <w:szCs w:val="22"/>
        </w:rPr>
      </w:pPr>
    </w:p>
    <w:p w14:paraId="4197D622" w14:textId="2B11C491"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Freire, P. (1999). The ‘Banking’ Concept of Education. [online] Available at: </w:t>
      </w:r>
      <w:hyperlink r:id="rId24" w:history="1">
        <w:r w:rsidRPr="00DD7A1D">
          <w:rPr>
            <w:rStyle w:val="Hyperlink"/>
            <w:rFonts w:ascii="Arial" w:hAnsi="Arial" w:cs="Arial"/>
            <w:sz w:val="22"/>
            <w:szCs w:val="22"/>
          </w:rPr>
          <w:t>https://www.everettsd.org/cms/lib07/WA01920133/Centricity/Domain/947/BANKING%20CONCEPT%20OF%20ED.2.pdf</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78FEA699" w14:textId="77777777" w:rsidR="001B0619" w:rsidRPr="001B0619" w:rsidRDefault="001B0619" w:rsidP="001B0619">
      <w:pPr>
        <w:spacing w:line="360" w:lineRule="auto"/>
        <w:rPr>
          <w:rFonts w:ascii="Arial" w:hAnsi="Arial" w:cs="Arial"/>
          <w:sz w:val="22"/>
          <w:szCs w:val="22"/>
        </w:rPr>
      </w:pPr>
    </w:p>
    <w:p w14:paraId="5C4A2A06"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lastRenderedPageBreak/>
        <w:t>Geng, G., Smith, P., Black, P., Yoshi Budd and Disney, L. (2019). Reflective practice in teaching : pre-service teachers and the lens of life experience. Singapore: Springer.</w:t>
      </w:r>
    </w:p>
    <w:p w14:paraId="243B1E7E" w14:textId="77777777" w:rsidR="001B0619" w:rsidRPr="001B0619" w:rsidRDefault="001B0619" w:rsidP="001B0619">
      <w:pPr>
        <w:spacing w:line="360" w:lineRule="auto"/>
        <w:rPr>
          <w:rFonts w:ascii="Arial" w:hAnsi="Arial" w:cs="Arial"/>
          <w:sz w:val="22"/>
          <w:szCs w:val="22"/>
        </w:rPr>
      </w:pPr>
    </w:p>
    <w:p w14:paraId="0B0D9A59"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Gravells, A. (2017). Principles and Practices of Teaching and Training. Learning Matters.</w:t>
      </w:r>
    </w:p>
    <w:p w14:paraId="23E70241" w14:textId="77777777" w:rsidR="001B0619" w:rsidRPr="001B0619" w:rsidRDefault="001B0619" w:rsidP="001B0619">
      <w:pPr>
        <w:spacing w:line="360" w:lineRule="auto"/>
        <w:rPr>
          <w:rFonts w:ascii="Arial" w:hAnsi="Arial" w:cs="Arial"/>
          <w:sz w:val="22"/>
          <w:szCs w:val="22"/>
        </w:rPr>
      </w:pPr>
    </w:p>
    <w:p w14:paraId="704E3ABF"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Hattie, J. (2012). Visible learning for teachers: Maximizing impact on learning. London: Routledge.</w:t>
      </w:r>
    </w:p>
    <w:p w14:paraId="0430A801" w14:textId="77777777" w:rsidR="001B0619" w:rsidRPr="001B0619" w:rsidRDefault="001B0619" w:rsidP="001B0619">
      <w:pPr>
        <w:spacing w:line="360" w:lineRule="auto"/>
        <w:rPr>
          <w:rFonts w:ascii="Arial" w:hAnsi="Arial" w:cs="Arial"/>
          <w:sz w:val="22"/>
          <w:szCs w:val="22"/>
        </w:rPr>
      </w:pPr>
    </w:p>
    <w:p w14:paraId="59A9D028" w14:textId="01C670FF"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Herrington, J. and Oliver, R (2000). An instructional design framework for authentic learning environments. Educational Technology Research and Development, [online] 48(3), pp.23–48. doi: </w:t>
      </w:r>
      <w:hyperlink r:id="rId25" w:history="1">
        <w:r w:rsidRPr="00DD7A1D">
          <w:rPr>
            <w:rStyle w:val="Hyperlink"/>
            <w:rFonts w:ascii="Arial" w:hAnsi="Arial" w:cs="Arial"/>
            <w:sz w:val="22"/>
            <w:szCs w:val="22"/>
          </w:rPr>
          <w:t>https://doi.org/10.1007/bf02319856</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62A3654C" w14:textId="77777777" w:rsidR="001B0619" w:rsidRPr="001B0619" w:rsidRDefault="001B0619" w:rsidP="001B0619">
      <w:pPr>
        <w:spacing w:line="360" w:lineRule="auto"/>
        <w:rPr>
          <w:rFonts w:ascii="Arial" w:hAnsi="Arial" w:cs="Arial"/>
          <w:sz w:val="22"/>
          <w:szCs w:val="22"/>
        </w:rPr>
      </w:pPr>
    </w:p>
    <w:p w14:paraId="3171FB7D" w14:textId="5EA70EA8"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Herrington, J., Parker, J. and Boase-Jelinek, D. (2014). Connected authentic learning: Re-flection and intentional learning. Australian Journal of Education, 58(1), pp.23–35. doi: </w:t>
      </w:r>
      <w:hyperlink r:id="rId26" w:history="1">
        <w:r w:rsidRPr="00DD7A1D">
          <w:rPr>
            <w:rStyle w:val="Hyperlink"/>
            <w:rFonts w:ascii="Arial" w:hAnsi="Arial" w:cs="Arial"/>
            <w:sz w:val="22"/>
            <w:szCs w:val="22"/>
          </w:rPr>
          <w:t>https://doi.org/10.1177/0004944113517830</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7CC9ACF1" w14:textId="77777777" w:rsidR="001B0619" w:rsidRPr="001B0619" w:rsidRDefault="001B0619" w:rsidP="001B0619">
      <w:pPr>
        <w:spacing w:line="360" w:lineRule="auto"/>
        <w:rPr>
          <w:rFonts w:ascii="Arial" w:hAnsi="Arial" w:cs="Arial"/>
          <w:sz w:val="22"/>
          <w:szCs w:val="22"/>
        </w:rPr>
      </w:pPr>
    </w:p>
    <w:p w14:paraId="5FFCA524" w14:textId="4CC82C0C"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Herrington, J., Reeves, T.C. and Oliver, R. (2013). Authentic Learning Environments. Hand-book of Research on Educational Communications and Technology, [online] pp.401–412. doi: </w:t>
      </w:r>
      <w:hyperlink r:id="rId27" w:history="1">
        <w:r w:rsidRPr="00DD7A1D">
          <w:rPr>
            <w:rStyle w:val="Hyperlink"/>
            <w:rFonts w:ascii="Arial" w:hAnsi="Arial" w:cs="Arial"/>
            <w:sz w:val="22"/>
            <w:szCs w:val="22"/>
          </w:rPr>
          <w:t>https://doi.org/10.1007/978-1-4614-3185-5_32</w:t>
        </w:r>
      </w:hyperlink>
      <w:r w:rsidRPr="001B0619">
        <w:rPr>
          <w:rFonts w:ascii="Arial" w:hAnsi="Arial" w:cs="Arial"/>
          <w:sz w:val="22"/>
          <w:szCs w:val="22"/>
        </w:rPr>
        <w:t>.</w:t>
      </w:r>
      <w:r>
        <w:rPr>
          <w:rFonts w:ascii="Arial" w:hAnsi="Arial" w:cs="Arial"/>
          <w:sz w:val="22"/>
          <w:szCs w:val="22"/>
        </w:rPr>
        <w:t xml:space="preserve"> </w:t>
      </w:r>
    </w:p>
    <w:p w14:paraId="7A583F33" w14:textId="77777777" w:rsidR="001B0619" w:rsidRPr="001B0619" w:rsidRDefault="001B0619" w:rsidP="001B0619">
      <w:pPr>
        <w:spacing w:line="360" w:lineRule="auto"/>
        <w:rPr>
          <w:rFonts w:ascii="Arial" w:hAnsi="Arial" w:cs="Arial"/>
          <w:sz w:val="22"/>
          <w:szCs w:val="22"/>
        </w:rPr>
      </w:pPr>
    </w:p>
    <w:p w14:paraId="267D81AA" w14:textId="7583731B"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Hinchliffe, G. (two thousand). Education or Pedagogy? Journal of Philosophy of Education, 35(1), pp.31–45. doi: </w:t>
      </w:r>
      <w:hyperlink r:id="rId28" w:history="1">
        <w:r w:rsidRPr="00DD7A1D">
          <w:rPr>
            <w:rStyle w:val="Hyperlink"/>
            <w:rFonts w:ascii="Arial" w:hAnsi="Arial" w:cs="Arial"/>
            <w:sz w:val="22"/>
            <w:szCs w:val="22"/>
          </w:rPr>
          <w:t>https://doi.org/10.1111/1467-9752.00208</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37E40D3B" w14:textId="77777777" w:rsidR="001B0619" w:rsidRPr="001B0619" w:rsidRDefault="001B0619" w:rsidP="001B0619">
      <w:pPr>
        <w:spacing w:line="360" w:lineRule="auto"/>
        <w:rPr>
          <w:rFonts w:ascii="Arial" w:hAnsi="Arial" w:cs="Arial"/>
          <w:sz w:val="22"/>
          <w:szCs w:val="22"/>
        </w:rPr>
      </w:pPr>
    </w:p>
    <w:p w14:paraId="42DC6C4C" w14:textId="61C39AE4"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Janssen, N. and Lazonder, A.W. (2015). Implementing Innovative Technologies Through Lesson Plans: What Kind of Support Do Teachers Prefer? Journal of Science Education and Technology, [online] 24(6), pp.910–920. doi: </w:t>
      </w:r>
      <w:hyperlink r:id="rId29" w:history="1">
        <w:r w:rsidRPr="00DD7A1D">
          <w:rPr>
            <w:rStyle w:val="Hyperlink"/>
            <w:rFonts w:ascii="Arial" w:hAnsi="Arial" w:cs="Arial"/>
            <w:sz w:val="22"/>
            <w:szCs w:val="22"/>
          </w:rPr>
          <w:t>https://doi.org/10.1007/s10956-015-9573-5</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1D336D9D" w14:textId="77777777" w:rsidR="001B0619" w:rsidRPr="001B0619" w:rsidRDefault="001B0619" w:rsidP="001B0619">
      <w:pPr>
        <w:spacing w:line="360" w:lineRule="auto"/>
        <w:rPr>
          <w:rFonts w:ascii="Arial" w:hAnsi="Arial" w:cs="Arial"/>
          <w:sz w:val="22"/>
          <w:szCs w:val="22"/>
        </w:rPr>
      </w:pPr>
    </w:p>
    <w:p w14:paraId="5900D6E2" w14:textId="0C92500C"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Jaranović, J. (2013). The development of authentic personality with limitations of the educa-tional system. The Journal of Education, Culture, and Society, [online] 4(2), pp.79–87. Avail-able at: </w:t>
      </w:r>
      <w:hyperlink r:id="rId30" w:history="1">
        <w:r w:rsidRPr="00DD7A1D">
          <w:rPr>
            <w:rStyle w:val="Hyperlink"/>
            <w:rFonts w:ascii="Arial" w:hAnsi="Arial" w:cs="Arial"/>
            <w:sz w:val="22"/>
            <w:szCs w:val="22"/>
          </w:rPr>
          <w:t>https://www.ceeol.com/search/article-detail?id=93452</w:t>
        </w:r>
      </w:hyperlink>
      <w:r>
        <w:rPr>
          <w:rFonts w:ascii="Arial" w:hAnsi="Arial" w:cs="Arial"/>
          <w:sz w:val="22"/>
          <w:szCs w:val="22"/>
        </w:rPr>
        <w:t xml:space="preserve"> </w:t>
      </w:r>
      <w:r w:rsidRPr="001B0619">
        <w:rPr>
          <w:rFonts w:ascii="Arial" w:hAnsi="Arial" w:cs="Arial"/>
          <w:sz w:val="22"/>
          <w:szCs w:val="22"/>
        </w:rPr>
        <w:t xml:space="preserve">  [Accessed 8 Apr. 2024].</w:t>
      </w:r>
    </w:p>
    <w:p w14:paraId="10407472" w14:textId="77777777" w:rsidR="001B0619" w:rsidRPr="001B0619" w:rsidRDefault="001B0619" w:rsidP="001B0619">
      <w:pPr>
        <w:spacing w:line="360" w:lineRule="auto"/>
        <w:rPr>
          <w:rFonts w:ascii="Arial" w:hAnsi="Arial" w:cs="Arial"/>
          <w:sz w:val="22"/>
          <w:szCs w:val="22"/>
        </w:rPr>
      </w:pPr>
    </w:p>
    <w:p w14:paraId="13BFF2D0" w14:textId="3AB3BC50"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Jiusto, S. and DiBiasio, D. (2006). Experiential Learning Environments: Do They Prepare Our Students to be Self-Directed, Life-Long Learners? Journal of Engineering Education, 95(3), pp.195–204. doi: </w:t>
      </w:r>
      <w:hyperlink r:id="rId31" w:history="1">
        <w:r w:rsidRPr="00DD7A1D">
          <w:rPr>
            <w:rStyle w:val="Hyperlink"/>
            <w:rFonts w:ascii="Arial" w:hAnsi="Arial" w:cs="Arial"/>
            <w:sz w:val="22"/>
            <w:szCs w:val="22"/>
          </w:rPr>
          <w:t>https://doi.org/10.1002/j.2168-9830.2006.tb00892.x</w:t>
        </w:r>
      </w:hyperlink>
      <w:r w:rsidRPr="001B0619">
        <w:rPr>
          <w:rFonts w:ascii="Arial" w:hAnsi="Arial" w:cs="Arial"/>
          <w:sz w:val="22"/>
          <w:szCs w:val="22"/>
        </w:rPr>
        <w:t>.</w:t>
      </w:r>
      <w:r>
        <w:rPr>
          <w:rFonts w:ascii="Arial" w:hAnsi="Arial" w:cs="Arial"/>
          <w:sz w:val="22"/>
          <w:szCs w:val="22"/>
        </w:rPr>
        <w:t xml:space="preserve"> </w:t>
      </w:r>
    </w:p>
    <w:p w14:paraId="45D2CE48" w14:textId="77777777" w:rsidR="001B0619" w:rsidRPr="001B0619" w:rsidRDefault="001B0619" w:rsidP="001B0619">
      <w:pPr>
        <w:spacing w:line="360" w:lineRule="auto"/>
        <w:rPr>
          <w:rFonts w:ascii="Arial" w:hAnsi="Arial" w:cs="Arial"/>
          <w:sz w:val="22"/>
          <w:szCs w:val="22"/>
        </w:rPr>
      </w:pPr>
    </w:p>
    <w:p w14:paraId="43408D41"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Keengwe, J. (2014). Promoting active learning through the flipped classroom model. Her-shey Pennsylvania: Information Science Reference.</w:t>
      </w:r>
    </w:p>
    <w:p w14:paraId="1E77BC13" w14:textId="77777777" w:rsidR="001B0619" w:rsidRPr="001B0619" w:rsidRDefault="001B0619" w:rsidP="001B0619">
      <w:pPr>
        <w:spacing w:line="360" w:lineRule="auto"/>
        <w:rPr>
          <w:rFonts w:ascii="Arial" w:hAnsi="Arial" w:cs="Arial"/>
          <w:sz w:val="22"/>
          <w:szCs w:val="22"/>
        </w:rPr>
      </w:pPr>
    </w:p>
    <w:p w14:paraId="7276E6FD" w14:textId="51E32ED4"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Keiler, L.S. (2018). Teachers’ Roles and Identities in student-centered Classrooms. Interna-tional Journal of STEM Education, [online] 5(1), pp.1–20. doi: </w:t>
      </w:r>
      <w:hyperlink r:id="rId32" w:history="1">
        <w:r w:rsidRPr="00DD7A1D">
          <w:rPr>
            <w:rStyle w:val="Hyperlink"/>
            <w:rFonts w:ascii="Arial" w:hAnsi="Arial" w:cs="Arial"/>
            <w:sz w:val="22"/>
            <w:szCs w:val="22"/>
          </w:rPr>
          <w:t>https://doi.org/10.1186/s40594-018-0131-6</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568859B1" w14:textId="77777777" w:rsidR="001B0619" w:rsidRPr="001B0619" w:rsidRDefault="001B0619" w:rsidP="001B0619">
      <w:pPr>
        <w:spacing w:line="360" w:lineRule="auto"/>
        <w:rPr>
          <w:rFonts w:ascii="Arial" w:hAnsi="Arial" w:cs="Arial"/>
          <w:sz w:val="22"/>
          <w:szCs w:val="22"/>
        </w:rPr>
      </w:pPr>
    </w:p>
    <w:p w14:paraId="47E5B6CA"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Kerry, T. (2010). Cross-Curricular Teaching in Primary School. Routledge.</w:t>
      </w:r>
    </w:p>
    <w:p w14:paraId="52A234E7" w14:textId="77777777" w:rsidR="001B0619" w:rsidRPr="001B0619" w:rsidRDefault="001B0619" w:rsidP="001B0619">
      <w:pPr>
        <w:spacing w:line="360" w:lineRule="auto"/>
        <w:rPr>
          <w:rFonts w:ascii="Arial" w:hAnsi="Arial" w:cs="Arial"/>
          <w:sz w:val="22"/>
          <w:szCs w:val="22"/>
        </w:rPr>
      </w:pPr>
    </w:p>
    <w:p w14:paraId="33D473BC"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Kerry, T. (2015). Cross-curricular teaching in primary school / planning and facilitating imagi-native lessons. London: Routledge.</w:t>
      </w:r>
    </w:p>
    <w:p w14:paraId="7868C9C3" w14:textId="77777777" w:rsidR="001B0619" w:rsidRPr="001B0619" w:rsidRDefault="001B0619" w:rsidP="001B0619">
      <w:pPr>
        <w:spacing w:line="360" w:lineRule="auto"/>
        <w:rPr>
          <w:rFonts w:ascii="Arial" w:hAnsi="Arial" w:cs="Arial"/>
          <w:sz w:val="22"/>
          <w:szCs w:val="22"/>
        </w:rPr>
      </w:pPr>
    </w:p>
    <w:p w14:paraId="67112F34"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Knight, O. and Benson, D. (2013). Creating Outstanding Classrooms. Routledge.</w:t>
      </w:r>
    </w:p>
    <w:p w14:paraId="194CD75A" w14:textId="77777777" w:rsidR="001B0619" w:rsidRPr="001B0619" w:rsidRDefault="001B0619" w:rsidP="001B0619">
      <w:pPr>
        <w:spacing w:line="360" w:lineRule="auto"/>
        <w:rPr>
          <w:rFonts w:ascii="Arial" w:hAnsi="Arial" w:cs="Arial"/>
          <w:sz w:val="22"/>
          <w:szCs w:val="22"/>
        </w:rPr>
      </w:pPr>
    </w:p>
    <w:p w14:paraId="33EE5C08"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Kolb, D.A. (1984). Experimental learning: Experience as the source of learning and devel-opment. London: Prentice-Hall.</w:t>
      </w:r>
    </w:p>
    <w:p w14:paraId="5A4D6B8E" w14:textId="77777777" w:rsidR="001B0619" w:rsidRPr="001B0619" w:rsidRDefault="001B0619" w:rsidP="001B0619">
      <w:pPr>
        <w:spacing w:line="360" w:lineRule="auto"/>
        <w:rPr>
          <w:rFonts w:ascii="Arial" w:hAnsi="Arial" w:cs="Arial"/>
          <w:sz w:val="22"/>
          <w:szCs w:val="22"/>
        </w:rPr>
      </w:pPr>
    </w:p>
    <w:p w14:paraId="67241FD1" w14:textId="62ED0785"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Koo, H. (2008). Asia Pacific Education Review. Asia Pacific Education Review, [online] 9(1), pp.80–81. doi: </w:t>
      </w:r>
      <w:hyperlink r:id="rId33" w:history="1">
        <w:r w:rsidRPr="00DD7A1D">
          <w:rPr>
            <w:rStyle w:val="Hyperlink"/>
            <w:rFonts w:ascii="Arial" w:hAnsi="Arial" w:cs="Arial"/>
            <w:sz w:val="22"/>
            <w:szCs w:val="22"/>
          </w:rPr>
          <w:t>https://doi.org/10.1007/bf03025828</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6FE59114" w14:textId="77777777" w:rsidR="001B0619" w:rsidRPr="001B0619" w:rsidRDefault="001B0619" w:rsidP="001B0619">
      <w:pPr>
        <w:spacing w:line="360" w:lineRule="auto"/>
        <w:rPr>
          <w:rFonts w:ascii="Arial" w:hAnsi="Arial" w:cs="Arial"/>
          <w:sz w:val="22"/>
          <w:szCs w:val="22"/>
        </w:rPr>
      </w:pPr>
    </w:p>
    <w:p w14:paraId="54FBABA5"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Krathwohl, D.R. (2002). A Revision of Bloom’s Taxonomy: An Overview. Theory Into Prac-tice, 41(4), pp.212–218.</w:t>
      </w:r>
    </w:p>
    <w:p w14:paraId="55F4AAB0" w14:textId="77777777" w:rsidR="001B0619" w:rsidRPr="001B0619" w:rsidRDefault="001B0619" w:rsidP="001B0619">
      <w:pPr>
        <w:spacing w:line="360" w:lineRule="auto"/>
        <w:rPr>
          <w:rFonts w:ascii="Arial" w:hAnsi="Arial" w:cs="Arial"/>
          <w:sz w:val="22"/>
          <w:szCs w:val="22"/>
        </w:rPr>
      </w:pPr>
    </w:p>
    <w:p w14:paraId="2645024C" w14:textId="4C387D51"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Lam, C.C., Alviar-Martin, T., Adler, S.A. and Sim, J.B.-Y. . (2013). Curriculum integration in Singapore: Teachers’ perspectives and practice. Teaching and Teacher Education, 31, pp.23–34. doi: </w:t>
      </w:r>
      <w:hyperlink r:id="rId34" w:history="1">
        <w:r w:rsidRPr="00DD7A1D">
          <w:rPr>
            <w:rStyle w:val="Hyperlink"/>
            <w:rFonts w:ascii="Arial" w:hAnsi="Arial" w:cs="Arial"/>
            <w:sz w:val="22"/>
            <w:szCs w:val="22"/>
          </w:rPr>
          <w:t>https://doi.org/10.1016/j.tate.2012.11.004</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4075E7B7" w14:textId="77777777" w:rsidR="001B0619" w:rsidRPr="001B0619" w:rsidRDefault="001B0619" w:rsidP="001B0619">
      <w:pPr>
        <w:spacing w:line="360" w:lineRule="auto"/>
        <w:rPr>
          <w:rFonts w:ascii="Arial" w:hAnsi="Arial" w:cs="Arial"/>
          <w:sz w:val="22"/>
          <w:szCs w:val="22"/>
        </w:rPr>
      </w:pPr>
    </w:p>
    <w:p w14:paraId="0647239D"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Laur, D. (2013). Authentic Learning Experiences. Routledge.</w:t>
      </w:r>
    </w:p>
    <w:p w14:paraId="722DE020" w14:textId="77777777" w:rsidR="001B0619" w:rsidRPr="001B0619" w:rsidRDefault="001B0619" w:rsidP="001B0619">
      <w:pPr>
        <w:spacing w:line="360" w:lineRule="auto"/>
        <w:rPr>
          <w:rFonts w:ascii="Arial" w:hAnsi="Arial" w:cs="Arial"/>
          <w:sz w:val="22"/>
          <w:szCs w:val="22"/>
        </w:rPr>
      </w:pPr>
    </w:p>
    <w:p w14:paraId="64FC1E43"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Lemov, D. (2015). Teach like a champion 2.0: 62 techniques that put students on the path to college. 2nd ed. San Francisco: Jossey-Bass.</w:t>
      </w:r>
    </w:p>
    <w:p w14:paraId="3721ED3F" w14:textId="77777777" w:rsidR="001B0619" w:rsidRPr="001B0619" w:rsidRDefault="001B0619" w:rsidP="001B0619">
      <w:pPr>
        <w:spacing w:line="360" w:lineRule="auto"/>
        <w:rPr>
          <w:rFonts w:ascii="Arial" w:hAnsi="Arial" w:cs="Arial"/>
          <w:sz w:val="22"/>
          <w:szCs w:val="22"/>
        </w:rPr>
      </w:pPr>
    </w:p>
    <w:p w14:paraId="2B975BDC"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Levine, L.E. and Munsch, J. (2011). Child development : an active learning approach. Los Angeles: Sage.</w:t>
      </w:r>
    </w:p>
    <w:p w14:paraId="68ABD5D2" w14:textId="77777777" w:rsidR="001B0619" w:rsidRPr="001B0619" w:rsidRDefault="001B0619" w:rsidP="001B0619">
      <w:pPr>
        <w:spacing w:line="360" w:lineRule="auto"/>
        <w:rPr>
          <w:rFonts w:ascii="Arial" w:hAnsi="Arial" w:cs="Arial"/>
          <w:sz w:val="22"/>
          <w:szCs w:val="22"/>
        </w:rPr>
      </w:pPr>
    </w:p>
    <w:p w14:paraId="2336BD65" w14:textId="7406AC0F"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Main, P. (2023). Transference of Learning. [online] www.structural-learning.com. Available at: </w:t>
      </w:r>
      <w:hyperlink r:id="rId35" w:history="1">
        <w:r w:rsidRPr="00DD7A1D">
          <w:rPr>
            <w:rStyle w:val="Hyperlink"/>
            <w:rFonts w:ascii="Arial" w:hAnsi="Arial" w:cs="Arial"/>
            <w:sz w:val="22"/>
            <w:szCs w:val="22"/>
          </w:rPr>
          <w:t>https://www.structural-learning.com/post/transference-of-learning</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060C98F2" w14:textId="77777777" w:rsidR="001B0619" w:rsidRPr="001B0619" w:rsidRDefault="001B0619" w:rsidP="001B0619">
      <w:pPr>
        <w:spacing w:line="360" w:lineRule="auto"/>
        <w:rPr>
          <w:rFonts w:ascii="Arial" w:hAnsi="Arial" w:cs="Arial"/>
          <w:sz w:val="22"/>
          <w:szCs w:val="22"/>
        </w:rPr>
      </w:pPr>
    </w:p>
    <w:p w14:paraId="2C5439CE" w14:textId="300CE6E1"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lastRenderedPageBreak/>
        <w:t xml:space="preserve">Malik, S.A. (2017). Revisiting and re-representing scaffolding: The two-gradient model. Co-gent Education, [online] 4(1). doi: </w:t>
      </w:r>
      <w:hyperlink r:id="rId36" w:history="1">
        <w:r w:rsidRPr="00DD7A1D">
          <w:rPr>
            <w:rStyle w:val="Hyperlink"/>
            <w:rFonts w:ascii="Arial" w:hAnsi="Arial" w:cs="Arial"/>
            <w:sz w:val="22"/>
            <w:szCs w:val="22"/>
          </w:rPr>
          <w:t>https://doi.org/10.1080/2331186x.2017.1331533</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363A6F06" w14:textId="77777777" w:rsidR="001B0619" w:rsidRPr="001B0619" w:rsidRDefault="001B0619" w:rsidP="001B0619">
      <w:pPr>
        <w:spacing w:line="360" w:lineRule="auto"/>
        <w:rPr>
          <w:rFonts w:ascii="Arial" w:hAnsi="Arial" w:cs="Arial"/>
          <w:sz w:val="22"/>
          <w:szCs w:val="22"/>
        </w:rPr>
      </w:pPr>
    </w:p>
    <w:p w14:paraId="7AC21530" w14:textId="5916F88F"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McLeod, S. (2024). The Zone of Proximal Development and Scaffolding. [online] Simply Psychology. Available at: </w:t>
      </w:r>
      <w:hyperlink r:id="rId37" w:history="1">
        <w:r w:rsidRPr="00DD7A1D">
          <w:rPr>
            <w:rStyle w:val="Hyperlink"/>
            <w:rFonts w:ascii="Arial" w:hAnsi="Arial" w:cs="Arial"/>
            <w:sz w:val="22"/>
            <w:szCs w:val="22"/>
          </w:rPr>
          <w:t>https://www.simplypsychology.org/Zone-of-Proximal-Development.html</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02B3D4BE" w14:textId="77777777" w:rsidR="001B0619" w:rsidRPr="001B0619" w:rsidRDefault="001B0619" w:rsidP="001B0619">
      <w:pPr>
        <w:spacing w:line="360" w:lineRule="auto"/>
        <w:rPr>
          <w:rFonts w:ascii="Arial" w:hAnsi="Arial" w:cs="Arial"/>
          <w:sz w:val="22"/>
          <w:szCs w:val="22"/>
        </w:rPr>
      </w:pPr>
    </w:p>
    <w:p w14:paraId="47F52BB4" w14:textId="0D698E83"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Merritt, E.G. (2016). Time for teacher learning, planning critical for school reform. Phi Delta Kappan, 98(4), pp.31–36. doi: </w:t>
      </w:r>
      <w:hyperlink r:id="rId38" w:history="1">
        <w:r w:rsidRPr="00DD7A1D">
          <w:rPr>
            <w:rStyle w:val="Hyperlink"/>
            <w:rFonts w:ascii="Arial" w:hAnsi="Arial" w:cs="Arial"/>
            <w:sz w:val="22"/>
            <w:szCs w:val="22"/>
          </w:rPr>
          <w:t>https://doi.org/10.1177/0031721716681774</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239A7874" w14:textId="77777777" w:rsidR="001B0619" w:rsidRPr="001B0619" w:rsidRDefault="001B0619" w:rsidP="001B0619">
      <w:pPr>
        <w:spacing w:line="360" w:lineRule="auto"/>
        <w:rPr>
          <w:rFonts w:ascii="Arial" w:hAnsi="Arial" w:cs="Arial"/>
          <w:sz w:val="22"/>
          <w:szCs w:val="22"/>
        </w:rPr>
      </w:pPr>
    </w:p>
    <w:p w14:paraId="780BBF5F"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Mintrop, R. (2020). Design-Based School Improvement. Harvard Education Press.</w:t>
      </w:r>
    </w:p>
    <w:p w14:paraId="75B9996B" w14:textId="77777777" w:rsidR="001B0619" w:rsidRPr="001B0619" w:rsidRDefault="001B0619" w:rsidP="001B0619">
      <w:pPr>
        <w:spacing w:line="360" w:lineRule="auto"/>
        <w:rPr>
          <w:rFonts w:ascii="Arial" w:hAnsi="Arial" w:cs="Arial"/>
          <w:sz w:val="22"/>
          <w:szCs w:val="22"/>
        </w:rPr>
      </w:pPr>
    </w:p>
    <w:p w14:paraId="6C3F8C17"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North, C.J. (2020). Interrogating Authenticity in Outdoor Education Teacher Education. Springer Nature.</w:t>
      </w:r>
    </w:p>
    <w:p w14:paraId="5CEE2FB0" w14:textId="77777777" w:rsidR="001B0619" w:rsidRPr="001B0619" w:rsidRDefault="001B0619" w:rsidP="001B0619">
      <w:pPr>
        <w:spacing w:line="360" w:lineRule="auto"/>
        <w:rPr>
          <w:rFonts w:ascii="Arial" w:hAnsi="Arial" w:cs="Arial"/>
          <w:sz w:val="22"/>
          <w:szCs w:val="22"/>
        </w:rPr>
      </w:pPr>
    </w:p>
    <w:p w14:paraId="38A84AFB" w14:textId="7DAC153C"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Nouri, J. (2016). The flipped classroom: for active, effective, and increased learning – espe-cially for low achievers. International Journal of Educational Technology in Higher Education, [online] 13(1). doi: </w:t>
      </w:r>
      <w:hyperlink r:id="rId39" w:history="1">
        <w:r w:rsidRPr="00DD7A1D">
          <w:rPr>
            <w:rStyle w:val="Hyperlink"/>
            <w:rFonts w:ascii="Arial" w:hAnsi="Arial" w:cs="Arial"/>
            <w:sz w:val="22"/>
            <w:szCs w:val="22"/>
          </w:rPr>
          <w:t>https://doi.org/10.1186/s41239-016-0032-z</w:t>
        </w:r>
      </w:hyperlink>
      <w:r w:rsidRPr="001B0619">
        <w:rPr>
          <w:rFonts w:ascii="Arial" w:hAnsi="Arial" w:cs="Arial"/>
          <w:sz w:val="22"/>
          <w:szCs w:val="22"/>
        </w:rPr>
        <w:t>.</w:t>
      </w:r>
      <w:r>
        <w:rPr>
          <w:rFonts w:ascii="Arial" w:hAnsi="Arial" w:cs="Arial"/>
          <w:sz w:val="22"/>
          <w:szCs w:val="22"/>
        </w:rPr>
        <w:t xml:space="preserve"> </w:t>
      </w:r>
    </w:p>
    <w:p w14:paraId="2B514312" w14:textId="77777777" w:rsidR="001B0619" w:rsidRPr="001B0619" w:rsidRDefault="001B0619" w:rsidP="001B0619">
      <w:pPr>
        <w:spacing w:line="360" w:lineRule="auto"/>
        <w:rPr>
          <w:rFonts w:ascii="Arial" w:hAnsi="Arial" w:cs="Arial"/>
          <w:sz w:val="22"/>
          <w:szCs w:val="22"/>
        </w:rPr>
      </w:pPr>
    </w:p>
    <w:p w14:paraId="6786D2BE"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Oecd and Ocde (2009). Creating Effective Teaching and Learning Environments: First Re-sults from TALIS. Oecd Publishing; Éditions Ocde -06-18.</w:t>
      </w:r>
    </w:p>
    <w:p w14:paraId="3A4FAE9F" w14:textId="77777777" w:rsidR="001B0619" w:rsidRPr="001B0619" w:rsidRDefault="001B0619" w:rsidP="001B0619">
      <w:pPr>
        <w:spacing w:line="360" w:lineRule="auto"/>
        <w:rPr>
          <w:rFonts w:ascii="Arial" w:hAnsi="Arial" w:cs="Arial"/>
          <w:sz w:val="22"/>
          <w:szCs w:val="22"/>
        </w:rPr>
      </w:pPr>
    </w:p>
    <w:p w14:paraId="1DEADD4F"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Organisation For Economic Co-Operation and Development (2020). Curriculum Overload : A Way Forward. Paris: Oecd Publishing.</w:t>
      </w:r>
    </w:p>
    <w:p w14:paraId="5638E77B" w14:textId="77777777" w:rsidR="001B0619" w:rsidRPr="001B0619" w:rsidRDefault="001B0619" w:rsidP="001B0619">
      <w:pPr>
        <w:spacing w:line="360" w:lineRule="auto"/>
        <w:rPr>
          <w:rFonts w:ascii="Arial" w:hAnsi="Arial" w:cs="Arial"/>
          <w:sz w:val="22"/>
          <w:szCs w:val="22"/>
        </w:rPr>
      </w:pPr>
    </w:p>
    <w:p w14:paraId="601533F8"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Ogier, S. (2022). A broad &amp; balanced curriculum in primary schools : educating the whole child. London: Learning Matters, An Imprint of Sage Publications Ltd.</w:t>
      </w:r>
    </w:p>
    <w:p w14:paraId="2877AC94" w14:textId="77777777" w:rsidR="001B0619" w:rsidRPr="001B0619" w:rsidRDefault="001B0619" w:rsidP="001B0619">
      <w:pPr>
        <w:spacing w:line="360" w:lineRule="auto"/>
        <w:rPr>
          <w:rFonts w:ascii="Arial" w:hAnsi="Arial" w:cs="Arial"/>
          <w:sz w:val="22"/>
          <w:szCs w:val="22"/>
        </w:rPr>
      </w:pPr>
    </w:p>
    <w:p w14:paraId="12246A6F" w14:textId="540BB104"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Passarelli, A.M. and Kolb, D.A. (2011). The Learning Way: Learning from Experience as the Path to Lifelong Learning and Development. The Oxford Handbook of Lifelong Learning, pp.69–90. doi: </w:t>
      </w:r>
      <w:hyperlink r:id="rId40" w:history="1">
        <w:r w:rsidRPr="00DD7A1D">
          <w:rPr>
            <w:rStyle w:val="Hyperlink"/>
            <w:rFonts w:ascii="Arial" w:hAnsi="Arial" w:cs="Arial"/>
            <w:sz w:val="22"/>
            <w:szCs w:val="22"/>
          </w:rPr>
          <w:t>https://doi.org/10.1093/oxfordhb/9780195390483.013.0028</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1A13CE70" w14:textId="77777777" w:rsidR="001B0619" w:rsidRPr="001B0619" w:rsidRDefault="001B0619" w:rsidP="001B0619">
      <w:pPr>
        <w:spacing w:line="360" w:lineRule="auto"/>
        <w:rPr>
          <w:rFonts w:ascii="Arial" w:hAnsi="Arial" w:cs="Arial"/>
          <w:sz w:val="22"/>
          <w:szCs w:val="22"/>
        </w:rPr>
      </w:pPr>
    </w:p>
    <w:p w14:paraId="04E35550" w14:textId="61060F51"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Plate, R. (2012). The Evolution of Curriculum Development in the Context of Increasing So-cial and Environmental Complexity. Creative Education, [online] 03(08), pp.1311–1319. doi: </w:t>
      </w:r>
      <w:hyperlink r:id="rId41" w:history="1">
        <w:r w:rsidRPr="00DD7A1D">
          <w:rPr>
            <w:rStyle w:val="Hyperlink"/>
            <w:rFonts w:ascii="Arial" w:hAnsi="Arial" w:cs="Arial"/>
            <w:sz w:val="22"/>
            <w:szCs w:val="22"/>
          </w:rPr>
          <w:t>https://doi.org/10.4236/ce.2012.38192</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204CA180" w14:textId="77777777" w:rsidR="001B0619" w:rsidRPr="001B0619" w:rsidRDefault="001B0619" w:rsidP="001B0619">
      <w:pPr>
        <w:spacing w:line="360" w:lineRule="auto"/>
        <w:rPr>
          <w:rFonts w:ascii="Arial" w:hAnsi="Arial" w:cs="Arial"/>
          <w:sz w:val="22"/>
          <w:szCs w:val="22"/>
        </w:rPr>
      </w:pPr>
    </w:p>
    <w:p w14:paraId="36DC7142" w14:textId="442C9D0B"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lastRenderedPageBreak/>
        <w:t xml:space="preserve">Postholm, M.B. (2012). Teachers’ professional development: a theoretical review. Educa-tional Research, 54(4), pp.405–429. doi: </w:t>
      </w:r>
      <w:hyperlink r:id="rId42" w:history="1">
        <w:r w:rsidRPr="00DD7A1D">
          <w:rPr>
            <w:rStyle w:val="Hyperlink"/>
            <w:rFonts w:ascii="Arial" w:hAnsi="Arial" w:cs="Arial"/>
            <w:sz w:val="22"/>
            <w:szCs w:val="22"/>
          </w:rPr>
          <w:t>https://doi.org/10.1080/00131881.2012.734725</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41F1CEF0" w14:textId="77777777" w:rsidR="001B0619" w:rsidRPr="001B0619" w:rsidRDefault="001B0619" w:rsidP="001B0619">
      <w:pPr>
        <w:spacing w:line="360" w:lineRule="auto"/>
        <w:rPr>
          <w:rFonts w:ascii="Arial" w:hAnsi="Arial" w:cs="Arial"/>
          <w:sz w:val="22"/>
          <w:szCs w:val="22"/>
        </w:rPr>
      </w:pPr>
    </w:p>
    <w:p w14:paraId="749C9E7B" w14:textId="0DEB71A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Protsiv, R. and Pipola, P. (2018). Reducing teacher workload through ‘real- time’ personal-ised feedback. [online] Available at: </w:t>
      </w:r>
      <w:hyperlink r:id="rId43" w:history="1">
        <w:r w:rsidRPr="00DD7A1D">
          <w:rPr>
            <w:rStyle w:val="Hyperlink"/>
            <w:rFonts w:ascii="Arial" w:hAnsi="Arial" w:cs="Arial"/>
            <w:sz w:val="22"/>
            <w:szCs w:val="22"/>
          </w:rPr>
          <w:t>https://assets.publishing.service.gov.uk/media/5aa2a666ed915d4f595c522b/Aquinas_Trust_-_Reducing_teacher_workload.pdf</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r>
        <w:rPr>
          <w:rFonts w:ascii="Arial" w:hAnsi="Arial" w:cs="Arial"/>
          <w:sz w:val="22"/>
          <w:szCs w:val="22"/>
        </w:rPr>
        <w:t xml:space="preserve"> </w:t>
      </w:r>
    </w:p>
    <w:p w14:paraId="3778D7F5" w14:textId="77777777" w:rsidR="001B0619" w:rsidRPr="001B0619" w:rsidRDefault="001B0619" w:rsidP="001B0619">
      <w:pPr>
        <w:spacing w:line="360" w:lineRule="auto"/>
        <w:rPr>
          <w:rFonts w:ascii="Arial" w:hAnsi="Arial" w:cs="Arial"/>
          <w:sz w:val="22"/>
          <w:szCs w:val="22"/>
        </w:rPr>
      </w:pPr>
    </w:p>
    <w:p w14:paraId="3201B4D6"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Richards, C. and Taylor, P. (2005). How Shall We School Our Children? Routledge.</w:t>
      </w:r>
    </w:p>
    <w:p w14:paraId="06833FA0" w14:textId="77777777" w:rsidR="001B0619" w:rsidRPr="001B0619" w:rsidRDefault="001B0619" w:rsidP="001B0619">
      <w:pPr>
        <w:spacing w:line="360" w:lineRule="auto"/>
        <w:rPr>
          <w:rFonts w:ascii="Arial" w:hAnsi="Arial" w:cs="Arial"/>
          <w:sz w:val="22"/>
          <w:szCs w:val="22"/>
        </w:rPr>
      </w:pPr>
    </w:p>
    <w:p w14:paraId="742C9458" w14:textId="6910154C"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Roach, K., Tilley, E. and Mitchell, J. (2018). How authentic does authentic learning have to be? Higher Education Pedagogies, 3(1), pp.495–509. doi: </w:t>
      </w:r>
      <w:hyperlink r:id="rId44" w:history="1">
        <w:r w:rsidRPr="00DD7A1D">
          <w:rPr>
            <w:rStyle w:val="Hyperlink"/>
            <w:rFonts w:ascii="Arial" w:hAnsi="Arial" w:cs="Arial"/>
            <w:sz w:val="22"/>
            <w:szCs w:val="22"/>
          </w:rPr>
          <w:t>https://doi.org/10.1080/23752696.2018.1462099</w:t>
        </w:r>
      </w:hyperlink>
      <w:r w:rsidRPr="001B0619">
        <w:rPr>
          <w:rFonts w:ascii="Arial" w:hAnsi="Arial" w:cs="Arial"/>
          <w:sz w:val="22"/>
          <w:szCs w:val="22"/>
        </w:rPr>
        <w:t>.</w:t>
      </w:r>
      <w:r>
        <w:rPr>
          <w:rFonts w:ascii="Arial" w:hAnsi="Arial" w:cs="Arial"/>
          <w:sz w:val="22"/>
          <w:szCs w:val="22"/>
        </w:rPr>
        <w:t xml:space="preserve"> </w:t>
      </w:r>
      <w:r w:rsidRPr="001B0619">
        <w:rPr>
          <w:rFonts w:ascii="Arial" w:hAnsi="Arial" w:cs="Arial"/>
          <w:sz w:val="22"/>
          <w:szCs w:val="22"/>
        </w:rPr>
        <w:t xml:space="preserve"> </w:t>
      </w:r>
    </w:p>
    <w:p w14:paraId="6D43EF26" w14:textId="77777777" w:rsidR="001B0619" w:rsidRPr="001B0619" w:rsidRDefault="001B0619" w:rsidP="001B0619">
      <w:pPr>
        <w:spacing w:line="360" w:lineRule="auto"/>
        <w:rPr>
          <w:rFonts w:ascii="Arial" w:hAnsi="Arial" w:cs="Arial"/>
          <w:sz w:val="22"/>
          <w:szCs w:val="22"/>
        </w:rPr>
      </w:pPr>
    </w:p>
    <w:p w14:paraId="623A7652"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Rowley, C. and Cooper, H. (2009). Cross-curricular Approaches to Teaching and Learning. SAGE Publications Limited.</w:t>
      </w:r>
    </w:p>
    <w:p w14:paraId="77DA08D1" w14:textId="77777777" w:rsidR="001B0619" w:rsidRPr="001B0619" w:rsidRDefault="001B0619" w:rsidP="001B0619">
      <w:pPr>
        <w:spacing w:line="360" w:lineRule="auto"/>
        <w:rPr>
          <w:rFonts w:ascii="Arial" w:hAnsi="Arial" w:cs="Arial"/>
          <w:sz w:val="22"/>
          <w:szCs w:val="22"/>
        </w:rPr>
      </w:pPr>
    </w:p>
    <w:p w14:paraId="029142C0"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Sellars, M. (2017). Reflective Practice for Teachers. SAGE.</w:t>
      </w:r>
    </w:p>
    <w:p w14:paraId="19BA66F1" w14:textId="77777777" w:rsidR="001B0619" w:rsidRPr="001B0619" w:rsidRDefault="001B0619" w:rsidP="001B0619">
      <w:pPr>
        <w:spacing w:line="360" w:lineRule="auto"/>
        <w:rPr>
          <w:rFonts w:ascii="Arial" w:hAnsi="Arial" w:cs="Arial"/>
          <w:sz w:val="22"/>
          <w:szCs w:val="22"/>
        </w:rPr>
      </w:pPr>
    </w:p>
    <w:p w14:paraId="1F0BDEF5" w14:textId="791EE744"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Shomoossi , N. and Ketabi , S. (2007). A Critical Look at the Concept of Authenticity. [online] Available at: </w:t>
      </w:r>
      <w:hyperlink r:id="rId45" w:history="1">
        <w:r w:rsidR="00FB7E51" w:rsidRPr="00DD7A1D">
          <w:rPr>
            <w:rStyle w:val="Hyperlink"/>
            <w:rFonts w:ascii="Arial" w:hAnsi="Arial" w:cs="Arial"/>
            <w:sz w:val="22"/>
            <w:szCs w:val="22"/>
          </w:rPr>
          <w:t>https://d1wqtxts1xzle7.cloudfront.net/36253098/authenticity1111111-libre.pdf?1421162450=&amp;response-content-disposi-tion=inline%3B+filename%3DAuthenticity1111111.pdf&amp;Expires=1712587706&amp;Signature=X4VmqxY~58isKiS2AWUUf7qyKCdvg8TajOBzHLl1BCTVRIn4Ocwu2MCvJo04Tv-DFbxV7MaLoYGdOhIenkAV7IkkbGr0zzxyVbzF2CXH-5x9-RreEd~5~ued~dUiVUH8~Q9dRbES5Tnm5H4Rysgjq3~2hOm9R3rHNLXy7ihf-9kLLFMyfkHVQYydmCtThqLyNKQcqbrpuiUVLissvViUEmPecq~oB7nWsHh9cvUzEJ-Wz0frV28kKmQYA14XlQtnzIY3LjScqBIqg4NmK-12oOha9ZfIasBOzNQWo3KKdZP8UZQwhSgzNwNdMqTYttCeFRDChzc62x0Lr1jDgxvDZQ__&amp;Key-Pair-Id=APKAJLOHF5GGSLRBV4ZA</w:t>
        </w:r>
      </w:hyperlink>
      <w:r w:rsidR="00FB7E51">
        <w:rPr>
          <w:rFonts w:ascii="Arial" w:hAnsi="Arial" w:cs="Arial"/>
          <w:sz w:val="22"/>
          <w:szCs w:val="22"/>
        </w:rPr>
        <w:t xml:space="preserve"> </w:t>
      </w:r>
      <w:r w:rsidRPr="001B0619">
        <w:rPr>
          <w:rFonts w:ascii="Arial" w:hAnsi="Arial" w:cs="Arial"/>
          <w:sz w:val="22"/>
          <w:szCs w:val="22"/>
        </w:rPr>
        <w:t xml:space="preserve">  [Accessed 8 Apr. 2024].</w:t>
      </w:r>
    </w:p>
    <w:p w14:paraId="25751859" w14:textId="77777777" w:rsidR="001B0619" w:rsidRPr="001B0619" w:rsidRDefault="001B0619" w:rsidP="001B0619">
      <w:pPr>
        <w:spacing w:line="360" w:lineRule="auto"/>
        <w:rPr>
          <w:rFonts w:ascii="Arial" w:hAnsi="Arial" w:cs="Arial"/>
          <w:sz w:val="22"/>
          <w:szCs w:val="22"/>
        </w:rPr>
      </w:pPr>
    </w:p>
    <w:p w14:paraId="1833E2C7"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Stanley, T. (2021). Authentic Learning. Routledge.</w:t>
      </w:r>
    </w:p>
    <w:p w14:paraId="198FBAF8" w14:textId="77777777" w:rsidR="001B0619" w:rsidRPr="001B0619" w:rsidRDefault="001B0619" w:rsidP="001B0619">
      <w:pPr>
        <w:spacing w:line="360" w:lineRule="auto"/>
        <w:rPr>
          <w:rFonts w:ascii="Arial" w:hAnsi="Arial" w:cs="Arial"/>
          <w:sz w:val="22"/>
          <w:szCs w:val="22"/>
        </w:rPr>
      </w:pPr>
    </w:p>
    <w:p w14:paraId="3A048B4B" w14:textId="3733F79D"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Suphasri, P. and Chinokul, S. (2021). Reflective Practice in Teacher Education: Issues, Challenges, and Considerations. Reflective Practice in Teacher Education: Issues, Challeng-es, and Considerations, [online] 62(3). Available at: </w:t>
      </w:r>
      <w:hyperlink r:id="rId46" w:history="1">
        <w:r w:rsidR="00FB7E51" w:rsidRPr="00DD7A1D">
          <w:rPr>
            <w:rStyle w:val="Hyperlink"/>
            <w:rFonts w:ascii="Arial" w:hAnsi="Arial" w:cs="Arial"/>
            <w:sz w:val="22"/>
            <w:szCs w:val="22"/>
          </w:rPr>
          <w:t>https://files.eric.ed.gov/fulltext/EJ1334998.pdf</w:t>
        </w:r>
      </w:hyperlink>
      <w:r w:rsidRPr="001B0619">
        <w:rPr>
          <w:rFonts w:ascii="Arial" w:hAnsi="Arial" w:cs="Arial"/>
          <w:sz w:val="22"/>
          <w:szCs w:val="22"/>
        </w:rPr>
        <w:t>.</w:t>
      </w:r>
      <w:r w:rsidR="00FB7E51">
        <w:rPr>
          <w:rFonts w:ascii="Arial" w:hAnsi="Arial" w:cs="Arial"/>
          <w:sz w:val="22"/>
          <w:szCs w:val="22"/>
        </w:rPr>
        <w:t xml:space="preserve"> </w:t>
      </w:r>
      <w:r w:rsidRPr="001B0619">
        <w:rPr>
          <w:rFonts w:ascii="Arial" w:hAnsi="Arial" w:cs="Arial"/>
          <w:sz w:val="22"/>
          <w:szCs w:val="22"/>
        </w:rPr>
        <w:t xml:space="preserve"> </w:t>
      </w:r>
    </w:p>
    <w:p w14:paraId="5B6095DC" w14:textId="77777777" w:rsidR="001B0619" w:rsidRPr="001B0619" w:rsidRDefault="001B0619" w:rsidP="001B0619">
      <w:pPr>
        <w:spacing w:line="360" w:lineRule="auto"/>
        <w:rPr>
          <w:rFonts w:ascii="Arial" w:hAnsi="Arial" w:cs="Arial"/>
          <w:sz w:val="22"/>
          <w:szCs w:val="22"/>
        </w:rPr>
      </w:pPr>
    </w:p>
    <w:p w14:paraId="2361FC0E" w14:textId="6F72E4E1"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Stanistreet, P. (2021). Revolution in the head: A conversation with Paulo Freire. International Review of Education, 67(5), pp.561–567. doi: </w:t>
      </w:r>
      <w:hyperlink r:id="rId47" w:history="1">
        <w:r w:rsidR="00FB7E51" w:rsidRPr="00DD7A1D">
          <w:rPr>
            <w:rStyle w:val="Hyperlink"/>
            <w:rFonts w:ascii="Arial" w:hAnsi="Arial" w:cs="Arial"/>
            <w:sz w:val="22"/>
            <w:szCs w:val="22"/>
          </w:rPr>
          <w:t>https://doi.org/10.1007/s11159-021-09922-w</w:t>
        </w:r>
      </w:hyperlink>
      <w:r w:rsidRPr="001B0619">
        <w:rPr>
          <w:rFonts w:ascii="Arial" w:hAnsi="Arial" w:cs="Arial"/>
          <w:sz w:val="22"/>
          <w:szCs w:val="22"/>
        </w:rPr>
        <w:t>.</w:t>
      </w:r>
      <w:r w:rsidR="00FB7E51">
        <w:rPr>
          <w:rFonts w:ascii="Arial" w:hAnsi="Arial" w:cs="Arial"/>
          <w:sz w:val="22"/>
          <w:szCs w:val="22"/>
        </w:rPr>
        <w:t xml:space="preserve"> </w:t>
      </w:r>
    </w:p>
    <w:p w14:paraId="010F647B" w14:textId="77777777" w:rsidR="001B0619" w:rsidRPr="001B0619" w:rsidRDefault="001B0619" w:rsidP="001B0619">
      <w:pPr>
        <w:spacing w:line="360" w:lineRule="auto"/>
        <w:rPr>
          <w:rFonts w:ascii="Arial" w:hAnsi="Arial" w:cs="Arial"/>
          <w:sz w:val="22"/>
          <w:szCs w:val="22"/>
        </w:rPr>
      </w:pPr>
    </w:p>
    <w:p w14:paraId="468E696C" w14:textId="0F9485FB"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Tesfaye Munye Abate, Tilahun Gidey Gebremeskal and Yalew Endawoke Mulu (2023). Ex-amining practices and challenges of authentic learning in Mathematics lessons in upper pri-mary schools. Bahir Dar Journal of Education, 23(3), pp.121–144. doi: </w:t>
      </w:r>
      <w:hyperlink r:id="rId48" w:history="1">
        <w:r w:rsidR="00FB7E51" w:rsidRPr="00DD7A1D">
          <w:rPr>
            <w:rStyle w:val="Hyperlink"/>
            <w:rFonts w:ascii="Arial" w:hAnsi="Arial" w:cs="Arial"/>
            <w:sz w:val="22"/>
            <w:szCs w:val="22"/>
          </w:rPr>
          <w:t>https://doi.org/10.4314/bdje.v23i3.8</w:t>
        </w:r>
      </w:hyperlink>
      <w:r w:rsidRPr="001B0619">
        <w:rPr>
          <w:rFonts w:ascii="Arial" w:hAnsi="Arial" w:cs="Arial"/>
          <w:sz w:val="22"/>
          <w:szCs w:val="22"/>
        </w:rPr>
        <w:t>.</w:t>
      </w:r>
      <w:r w:rsidR="00FB7E51">
        <w:rPr>
          <w:rFonts w:ascii="Arial" w:hAnsi="Arial" w:cs="Arial"/>
          <w:sz w:val="22"/>
          <w:szCs w:val="22"/>
        </w:rPr>
        <w:t xml:space="preserve"> </w:t>
      </w:r>
      <w:r w:rsidRPr="001B0619">
        <w:rPr>
          <w:rFonts w:ascii="Arial" w:hAnsi="Arial" w:cs="Arial"/>
          <w:sz w:val="22"/>
          <w:szCs w:val="22"/>
        </w:rPr>
        <w:t xml:space="preserve"> </w:t>
      </w:r>
    </w:p>
    <w:p w14:paraId="606F2A8D" w14:textId="77777777" w:rsidR="001B0619" w:rsidRPr="001B0619" w:rsidRDefault="001B0619" w:rsidP="001B0619">
      <w:pPr>
        <w:spacing w:line="360" w:lineRule="auto"/>
        <w:rPr>
          <w:rFonts w:ascii="Arial" w:hAnsi="Arial" w:cs="Arial"/>
          <w:sz w:val="22"/>
          <w:szCs w:val="22"/>
        </w:rPr>
      </w:pPr>
    </w:p>
    <w:p w14:paraId="23C0521E" w14:textId="084B564C"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Taylor, E.W. (2006). The challenge of teaching for change. New Directions for Adult and Continuing Education, 2006(109), pp.91–95. doi: </w:t>
      </w:r>
      <w:hyperlink r:id="rId49" w:history="1">
        <w:r w:rsidR="00FB7E51" w:rsidRPr="00DD7A1D">
          <w:rPr>
            <w:rStyle w:val="Hyperlink"/>
            <w:rFonts w:ascii="Arial" w:hAnsi="Arial" w:cs="Arial"/>
            <w:sz w:val="22"/>
            <w:szCs w:val="22"/>
          </w:rPr>
          <w:t>https://doi.org/10.1002/ace.211</w:t>
        </w:r>
      </w:hyperlink>
      <w:r w:rsidRPr="001B0619">
        <w:rPr>
          <w:rFonts w:ascii="Arial" w:hAnsi="Arial" w:cs="Arial"/>
          <w:sz w:val="22"/>
          <w:szCs w:val="22"/>
        </w:rPr>
        <w:t>.</w:t>
      </w:r>
      <w:r w:rsidR="00FB7E51">
        <w:rPr>
          <w:rFonts w:ascii="Arial" w:hAnsi="Arial" w:cs="Arial"/>
          <w:sz w:val="22"/>
          <w:szCs w:val="22"/>
        </w:rPr>
        <w:t xml:space="preserve"> </w:t>
      </w:r>
      <w:r w:rsidRPr="001B0619">
        <w:rPr>
          <w:rFonts w:ascii="Arial" w:hAnsi="Arial" w:cs="Arial"/>
          <w:sz w:val="22"/>
          <w:szCs w:val="22"/>
        </w:rPr>
        <w:t xml:space="preserve"> </w:t>
      </w:r>
    </w:p>
    <w:p w14:paraId="241B1C25" w14:textId="77777777" w:rsidR="001B0619" w:rsidRPr="001B0619" w:rsidRDefault="001B0619" w:rsidP="001B0619">
      <w:pPr>
        <w:spacing w:line="360" w:lineRule="auto"/>
        <w:rPr>
          <w:rFonts w:ascii="Arial" w:hAnsi="Arial" w:cs="Arial"/>
          <w:sz w:val="22"/>
          <w:szCs w:val="22"/>
        </w:rPr>
      </w:pPr>
    </w:p>
    <w:p w14:paraId="3F1389B7" w14:textId="58B111A4"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Timmerman (2019). Cross-curricular teaching RECOMMENDATIONS FOR CROSS-CURRICULAR TEACHING IMPLEMENTATION. [online] Available at: </w:t>
      </w:r>
      <w:hyperlink r:id="rId50" w:history="1">
        <w:r w:rsidR="00FB7E51" w:rsidRPr="00DD7A1D">
          <w:rPr>
            <w:rStyle w:val="Hyperlink"/>
            <w:rFonts w:ascii="Arial" w:hAnsi="Arial" w:cs="Arial"/>
            <w:sz w:val="22"/>
            <w:szCs w:val="22"/>
          </w:rPr>
          <w:t>https://ibe.edu.pl/images/badania/Crosscut/CROSSCUT%20recommendations.pdf</w:t>
        </w:r>
      </w:hyperlink>
      <w:r w:rsidRPr="001B0619">
        <w:rPr>
          <w:rFonts w:ascii="Arial" w:hAnsi="Arial" w:cs="Arial"/>
          <w:sz w:val="22"/>
          <w:szCs w:val="22"/>
        </w:rPr>
        <w:t>.</w:t>
      </w:r>
      <w:r w:rsidR="00FB7E51">
        <w:rPr>
          <w:rFonts w:ascii="Arial" w:hAnsi="Arial" w:cs="Arial"/>
          <w:sz w:val="22"/>
          <w:szCs w:val="22"/>
        </w:rPr>
        <w:t xml:space="preserve"> </w:t>
      </w:r>
      <w:r w:rsidRPr="001B0619">
        <w:rPr>
          <w:rFonts w:ascii="Arial" w:hAnsi="Arial" w:cs="Arial"/>
          <w:sz w:val="22"/>
          <w:szCs w:val="22"/>
        </w:rPr>
        <w:t xml:space="preserve"> </w:t>
      </w:r>
    </w:p>
    <w:p w14:paraId="6B96F5E3" w14:textId="77777777" w:rsidR="001B0619" w:rsidRPr="001B0619" w:rsidRDefault="001B0619" w:rsidP="001B0619">
      <w:pPr>
        <w:spacing w:line="360" w:lineRule="auto"/>
        <w:rPr>
          <w:rFonts w:ascii="Arial" w:hAnsi="Arial" w:cs="Arial"/>
          <w:sz w:val="22"/>
          <w:szCs w:val="22"/>
        </w:rPr>
      </w:pPr>
    </w:p>
    <w:p w14:paraId="1963FF73"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Tom Vander Ark, Liebtag, E. and Nate Mcclennen (2020). The power of place : authentic learning through place-based education. Alexandria, Va: Ascd.</w:t>
      </w:r>
    </w:p>
    <w:p w14:paraId="2C4BAD87" w14:textId="77777777" w:rsidR="001B0619" w:rsidRPr="001B0619" w:rsidRDefault="001B0619" w:rsidP="001B0619">
      <w:pPr>
        <w:spacing w:line="360" w:lineRule="auto"/>
        <w:rPr>
          <w:rFonts w:ascii="Arial" w:hAnsi="Arial" w:cs="Arial"/>
          <w:sz w:val="22"/>
          <w:szCs w:val="22"/>
        </w:rPr>
      </w:pPr>
    </w:p>
    <w:p w14:paraId="6E4CEA35"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Verma, G.K. (2005). Cross Curricular Contexts, Themes and Dimensions in Primary Schools. Routledge.</w:t>
      </w:r>
    </w:p>
    <w:p w14:paraId="17C1EF1D" w14:textId="77777777" w:rsidR="001B0619" w:rsidRPr="001B0619" w:rsidRDefault="001B0619" w:rsidP="001B0619">
      <w:pPr>
        <w:spacing w:line="360" w:lineRule="auto"/>
        <w:rPr>
          <w:rFonts w:ascii="Arial" w:hAnsi="Arial" w:cs="Arial"/>
          <w:sz w:val="22"/>
          <w:szCs w:val="22"/>
        </w:rPr>
      </w:pPr>
    </w:p>
    <w:p w14:paraId="05FEE8C1" w14:textId="7777777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Waring, M. and Evans, C. (2014). Understanding Pedagogy. Routledge.</w:t>
      </w:r>
    </w:p>
    <w:p w14:paraId="1F33F6F4" w14:textId="77777777" w:rsidR="001B0619" w:rsidRPr="001B0619" w:rsidRDefault="001B0619" w:rsidP="001B0619">
      <w:pPr>
        <w:spacing w:line="360" w:lineRule="auto"/>
        <w:rPr>
          <w:rFonts w:ascii="Arial" w:hAnsi="Arial" w:cs="Arial"/>
          <w:sz w:val="22"/>
          <w:szCs w:val="22"/>
        </w:rPr>
      </w:pPr>
    </w:p>
    <w:p w14:paraId="2795A304" w14:textId="16ECBB9A"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Welsh Government (2019). Professional Standards for Teaching and Leadership. [online] Hwb. Available at: </w:t>
      </w:r>
      <w:hyperlink r:id="rId51" w:history="1">
        <w:r w:rsidR="00FB7E51" w:rsidRPr="00DD7A1D">
          <w:rPr>
            <w:rStyle w:val="Hyperlink"/>
            <w:rFonts w:ascii="Arial" w:hAnsi="Arial" w:cs="Arial"/>
            <w:sz w:val="22"/>
            <w:szCs w:val="22"/>
          </w:rPr>
          <w:t>https://hwb.gov.wales/api/storage/19bc948b-8a3f-41e0-944a-7bf2cadf7d18/professional-standards-for-teaching-and-leadership-interactive-pdf-for-pc.pdf</w:t>
        </w:r>
      </w:hyperlink>
      <w:r w:rsidRPr="001B0619">
        <w:rPr>
          <w:rFonts w:ascii="Arial" w:hAnsi="Arial" w:cs="Arial"/>
          <w:sz w:val="22"/>
          <w:szCs w:val="22"/>
        </w:rPr>
        <w:t>.</w:t>
      </w:r>
      <w:r w:rsidR="00FB7E51">
        <w:rPr>
          <w:rFonts w:ascii="Arial" w:hAnsi="Arial" w:cs="Arial"/>
          <w:sz w:val="22"/>
          <w:szCs w:val="22"/>
        </w:rPr>
        <w:t xml:space="preserve"> </w:t>
      </w:r>
      <w:r w:rsidRPr="001B0619">
        <w:rPr>
          <w:rFonts w:ascii="Arial" w:hAnsi="Arial" w:cs="Arial"/>
          <w:sz w:val="22"/>
          <w:szCs w:val="22"/>
        </w:rPr>
        <w:t xml:space="preserve"> </w:t>
      </w:r>
    </w:p>
    <w:p w14:paraId="329BA905" w14:textId="77777777" w:rsidR="001B0619" w:rsidRPr="001B0619" w:rsidRDefault="001B0619" w:rsidP="001B0619">
      <w:pPr>
        <w:spacing w:line="360" w:lineRule="auto"/>
        <w:rPr>
          <w:rFonts w:ascii="Arial" w:hAnsi="Arial" w:cs="Arial"/>
          <w:sz w:val="22"/>
          <w:szCs w:val="22"/>
        </w:rPr>
      </w:pPr>
    </w:p>
    <w:p w14:paraId="18AFF31F" w14:textId="190A706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Welsh Government (2022). Cross-curricular skills frameworks - Hwb. [online] hwb.gov.wales. Available at: </w:t>
      </w:r>
      <w:hyperlink r:id="rId52" w:history="1">
        <w:r w:rsidR="00FB7E51" w:rsidRPr="00DD7A1D">
          <w:rPr>
            <w:rStyle w:val="Hyperlink"/>
            <w:rFonts w:ascii="Arial" w:hAnsi="Arial" w:cs="Arial"/>
            <w:sz w:val="22"/>
            <w:szCs w:val="22"/>
          </w:rPr>
          <w:t>https://hwb.gov.wales/curriculum-for-wales/cross-curricular-skills-frameworks</w:t>
        </w:r>
      </w:hyperlink>
      <w:r w:rsidRPr="001B0619">
        <w:rPr>
          <w:rFonts w:ascii="Arial" w:hAnsi="Arial" w:cs="Arial"/>
          <w:sz w:val="22"/>
          <w:szCs w:val="22"/>
        </w:rPr>
        <w:t>.</w:t>
      </w:r>
      <w:r w:rsidR="00FB7E51">
        <w:rPr>
          <w:rFonts w:ascii="Arial" w:hAnsi="Arial" w:cs="Arial"/>
          <w:sz w:val="22"/>
          <w:szCs w:val="22"/>
        </w:rPr>
        <w:t xml:space="preserve"> </w:t>
      </w:r>
      <w:r w:rsidRPr="001B0619">
        <w:rPr>
          <w:rFonts w:ascii="Arial" w:hAnsi="Arial" w:cs="Arial"/>
          <w:sz w:val="22"/>
          <w:szCs w:val="22"/>
        </w:rPr>
        <w:t xml:space="preserve"> </w:t>
      </w:r>
    </w:p>
    <w:p w14:paraId="310E989F" w14:textId="77777777" w:rsidR="001B0619" w:rsidRPr="001B0619" w:rsidRDefault="001B0619" w:rsidP="001B0619">
      <w:pPr>
        <w:spacing w:line="360" w:lineRule="auto"/>
        <w:rPr>
          <w:rFonts w:ascii="Arial" w:hAnsi="Arial" w:cs="Arial"/>
          <w:sz w:val="22"/>
          <w:szCs w:val="22"/>
        </w:rPr>
      </w:pPr>
    </w:p>
    <w:p w14:paraId="1801D39F" w14:textId="2F4EA1A0"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Welsh Government (2023). Enabling learning - Hwb. [online] hwb.gov.wales. Available at: </w:t>
      </w:r>
      <w:hyperlink r:id="rId53" w:history="1">
        <w:r w:rsidR="00FB7E51" w:rsidRPr="00DD7A1D">
          <w:rPr>
            <w:rStyle w:val="Hyperlink"/>
            <w:rFonts w:ascii="Arial" w:hAnsi="Arial" w:cs="Arial"/>
            <w:sz w:val="22"/>
            <w:szCs w:val="22"/>
          </w:rPr>
          <w:t>https://hwb.gov.wales/curriculum-for-wales/designing-your-curriculum/enabling-learning</w:t>
        </w:r>
      </w:hyperlink>
      <w:r w:rsidRPr="001B0619">
        <w:rPr>
          <w:rFonts w:ascii="Arial" w:hAnsi="Arial" w:cs="Arial"/>
          <w:sz w:val="22"/>
          <w:szCs w:val="22"/>
        </w:rPr>
        <w:t>.</w:t>
      </w:r>
      <w:r w:rsidR="00FB7E51">
        <w:rPr>
          <w:rFonts w:ascii="Arial" w:hAnsi="Arial" w:cs="Arial"/>
          <w:sz w:val="22"/>
          <w:szCs w:val="22"/>
        </w:rPr>
        <w:t xml:space="preserve"> </w:t>
      </w:r>
      <w:r w:rsidRPr="001B0619">
        <w:rPr>
          <w:rFonts w:ascii="Arial" w:hAnsi="Arial" w:cs="Arial"/>
          <w:sz w:val="22"/>
          <w:szCs w:val="22"/>
        </w:rPr>
        <w:t xml:space="preserve"> </w:t>
      </w:r>
    </w:p>
    <w:p w14:paraId="192035A8" w14:textId="77777777" w:rsidR="001B0619" w:rsidRPr="001B0619" w:rsidRDefault="001B0619" w:rsidP="001B0619">
      <w:pPr>
        <w:spacing w:line="360" w:lineRule="auto"/>
        <w:rPr>
          <w:rFonts w:ascii="Arial" w:hAnsi="Arial" w:cs="Arial"/>
          <w:sz w:val="22"/>
          <w:szCs w:val="22"/>
        </w:rPr>
      </w:pPr>
    </w:p>
    <w:p w14:paraId="03B73F08" w14:textId="3AD3FE98"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 xml:space="preserve">Welsh Government (2023). Introduction - Hwb. [online] hwb.gov.wales. Available at: </w:t>
      </w:r>
      <w:hyperlink r:id="rId54" w:history="1">
        <w:r w:rsidR="00FB7E51" w:rsidRPr="00DD7A1D">
          <w:rPr>
            <w:rStyle w:val="Hyperlink"/>
            <w:rFonts w:ascii="Arial" w:hAnsi="Arial" w:cs="Arial"/>
            <w:sz w:val="22"/>
            <w:szCs w:val="22"/>
          </w:rPr>
          <w:t>https://hwb.gov.wales/curriculum-for-wales/designing-your-curriculum/introduction</w:t>
        </w:r>
      </w:hyperlink>
      <w:r w:rsidRPr="001B0619">
        <w:rPr>
          <w:rFonts w:ascii="Arial" w:hAnsi="Arial" w:cs="Arial"/>
          <w:sz w:val="22"/>
          <w:szCs w:val="22"/>
        </w:rPr>
        <w:t>.</w:t>
      </w:r>
      <w:r w:rsidR="00FB7E51">
        <w:rPr>
          <w:rFonts w:ascii="Arial" w:hAnsi="Arial" w:cs="Arial"/>
          <w:sz w:val="22"/>
          <w:szCs w:val="22"/>
        </w:rPr>
        <w:t xml:space="preserve"> </w:t>
      </w:r>
      <w:r w:rsidRPr="001B0619">
        <w:rPr>
          <w:rFonts w:ascii="Arial" w:hAnsi="Arial" w:cs="Arial"/>
          <w:sz w:val="22"/>
          <w:szCs w:val="22"/>
        </w:rPr>
        <w:t xml:space="preserve"> </w:t>
      </w:r>
    </w:p>
    <w:p w14:paraId="27F9D6F2" w14:textId="77777777" w:rsidR="001B0619" w:rsidRPr="001B0619" w:rsidRDefault="001B0619" w:rsidP="001B0619">
      <w:pPr>
        <w:spacing w:line="360" w:lineRule="auto"/>
        <w:rPr>
          <w:rFonts w:ascii="Arial" w:hAnsi="Arial" w:cs="Arial"/>
          <w:sz w:val="22"/>
          <w:szCs w:val="22"/>
        </w:rPr>
      </w:pPr>
    </w:p>
    <w:p w14:paraId="36B7CEDE" w14:textId="2EC4C17A"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lastRenderedPageBreak/>
        <w:t xml:space="preserve">Welsh Government (2023). Pedagogy - Hwb. [online] hwb.gov.wales. Available at: </w:t>
      </w:r>
      <w:hyperlink r:id="rId55" w:history="1">
        <w:r w:rsidR="00FB7E51" w:rsidRPr="00DD7A1D">
          <w:rPr>
            <w:rStyle w:val="Hyperlink"/>
            <w:rFonts w:ascii="Arial" w:hAnsi="Arial" w:cs="Arial"/>
            <w:sz w:val="22"/>
            <w:szCs w:val="22"/>
          </w:rPr>
          <w:t>https://hwb.gov.wales/curriculum-for-wales/designing-your-curriculum/pedagogy</w:t>
        </w:r>
      </w:hyperlink>
      <w:r w:rsidRPr="001B0619">
        <w:rPr>
          <w:rFonts w:ascii="Arial" w:hAnsi="Arial" w:cs="Arial"/>
          <w:sz w:val="22"/>
          <w:szCs w:val="22"/>
        </w:rPr>
        <w:t>.</w:t>
      </w:r>
      <w:r w:rsidR="00FB7E51">
        <w:rPr>
          <w:rFonts w:ascii="Arial" w:hAnsi="Arial" w:cs="Arial"/>
          <w:sz w:val="22"/>
          <w:szCs w:val="22"/>
        </w:rPr>
        <w:t xml:space="preserve"> </w:t>
      </w:r>
      <w:r w:rsidRPr="001B0619">
        <w:rPr>
          <w:rFonts w:ascii="Arial" w:hAnsi="Arial" w:cs="Arial"/>
          <w:sz w:val="22"/>
          <w:szCs w:val="22"/>
        </w:rPr>
        <w:t xml:space="preserve"> </w:t>
      </w:r>
    </w:p>
    <w:p w14:paraId="4487E307" w14:textId="77777777" w:rsidR="001B0619" w:rsidRPr="001B0619" w:rsidRDefault="001B0619" w:rsidP="001B0619">
      <w:pPr>
        <w:spacing w:line="360" w:lineRule="auto"/>
        <w:rPr>
          <w:rFonts w:ascii="Arial" w:hAnsi="Arial" w:cs="Arial"/>
          <w:sz w:val="22"/>
          <w:szCs w:val="22"/>
        </w:rPr>
      </w:pPr>
    </w:p>
    <w:p w14:paraId="56D61289" w14:textId="2C1D6F37" w:rsidR="001B0619" w:rsidRPr="001B0619" w:rsidRDefault="001B0619" w:rsidP="001B0619">
      <w:pPr>
        <w:spacing w:line="360" w:lineRule="auto"/>
        <w:rPr>
          <w:rFonts w:ascii="Arial" w:hAnsi="Arial" w:cs="Arial"/>
          <w:sz w:val="22"/>
          <w:szCs w:val="22"/>
        </w:rPr>
      </w:pPr>
      <w:r w:rsidRPr="001B0619">
        <w:rPr>
          <w:rFonts w:ascii="Arial" w:hAnsi="Arial" w:cs="Arial"/>
          <w:sz w:val="22"/>
          <w:szCs w:val="22"/>
        </w:rPr>
        <w:t>Whitton, D. (2015). Teaching and learning strategies. Port Melbourne, Vic.: Cambridge Uni-versity Press.</w:t>
      </w:r>
    </w:p>
    <w:p w14:paraId="0BA0CC95" w14:textId="77777777" w:rsidR="001C1B6C" w:rsidRPr="00547BC0" w:rsidRDefault="001C1B6C" w:rsidP="0099628A">
      <w:pPr>
        <w:spacing w:line="360" w:lineRule="auto"/>
        <w:rPr>
          <w:rFonts w:ascii="Arial" w:hAnsi="Arial" w:cs="Arial"/>
          <w:sz w:val="22"/>
          <w:szCs w:val="22"/>
        </w:rPr>
      </w:pPr>
    </w:p>
    <w:sectPr w:rsidR="001C1B6C" w:rsidRPr="00547BC0">
      <w:headerReference w:type="default"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CB691" w14:textId="77777777" w:rsidR="00F460DC" w:rsidRDefault="00F460DC" w:rsidP="0099628A">
      <w:r>
        <w:separator/>
      </w:r>
    </w:p>
  </w:endnote>
  <w:endnote w:type="continuationSeparator" w:id="0">
    <w:p w14:paraId="31BB83E3" w14:textId="77777777" w:rsidR="00F460DC" w:rsidRDefault="00F460DC" w:rsidP="00996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8032959"/>
      <w:docPartObj>
        <w:docPartGallery w:val="Page Numbers (Bottom of Page)"/>
        <w:docPartUnique/>
      </w:docPartObj>
    </w:sdtPr>
    <w:sdtEndPr>
      <w:rPr>
        <w:noProof/>
      </w:rPr>
    </w:sdtEndPr>
    <w:sdtContent>
      <w:p w14:paraId="39A056FE" w14:textId="543D6BBD" w:rsidR="0099628A" w:rsidRDefault="009962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6D593E" w14:textId="77777777" w:rsidR="0099628A" w:rsidRDefault="00996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FCF03" w14:textId="77777777" w:rsidR="00F460DC" w:rsidRDefault="00F460DC" w:rsidP="0099628A">
      <w:r>
        <w:separator/>
      </w:r>
    </w:p>
  </w:footnote>
  <w:footnote w:type="continuationSeparator" w:id="0">
    <w:p w14:paraId="48346C53" w14:textId="77777777" w:rsidR="00F460DC" w:rsidRDefault="00F460DC" w:rsidP="00996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B04DC" w14:textId="74B8B8B4" w:rsidR="0099628A" w:rsidRDefault="0099628A">
    <w:pPr>
      <w:pStyle w:val="Header"/>
    </w:pPr>
    <w:r>
      <w:t>ECAD6008                                                                                                                                                       2100933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28A"/>
    <w:rsid w:val="001B0619"/>
    <w:rsid w:val="001C1B6C"/>
    <w:rsid w:val="001F14CF"/>
    <w:rsid w:val="002202EC"/>
    <w:rsid w:val="00331018"/>
    <w:rsid w:val="00334E22"/>
    <w:rsid w:val="00547BC0"/>
    <w:rsid w:val="005D3692"/>
    <w:rsid w:val="0067299E"/>
    <w:rsid w:val="00764117"/>
    <w:rsid w:val="00824988"/>
    <w:rsid w:val="0099628A"/>
    <w:rsid w:val="00A16F95"/>
    <w:rsid w:val="00A21B54"/>
    <w:rsid w:val="00A752D2"/>
    <w:rsid w:val="00AE7B63"/>
    <w:rsid w:val="00B21CB7"/>
    <w:rsid w:val="00CD5256"/>
    <w:rsid w:val="00E11EA4"/>
    <w:rsid w:val="00E37E97"/>
    <w:rsid w:val="00F460DC"/>
    <w:rsid w:val="00F93CE9"/>
    <w:rsid w:val="00FB7E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E04B"/>
  <w15:chartTrackingRefBased/>
  <w15:docId w15:val="{D404C7D8-8074-469A-ABD5-AB764E02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28A"/>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99628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pPr>
    <w:rPr>
      <w:rFonts w:asciiTheme="majorHAnsi" w:eastAsiaTheme="majorEastAsia" w:hAnsiTheme="majorHAnsi" w:cstheme="majorBidi"/>
      <w:color w:val="0F4761" w:themeColor="accent1" w:themeShade="BF"/>
      <w:kern w:val="2"/>
      <w:sz w:val="40"/>
      <w:szCs w:val="40"/>
      <w:bdr w:val="none" w:sz="0" w:space="0" w:color="auto"/>
      <w14:ligatures w14:val="standardContextual"/>
    </w:rPr>
  </w:style>
  <w:style w:type="paragraph" w:styleId="Heading2">
    <w:name w:val="heading 2"/>
    <w:basedOn w:val="Normal"/>
    <w:next w:val="Normal"/>
    <w:link w:val="Heading2Char"/>
    <w:uiPriority w:val="9"/>
    <w:semiHidden/>
    <w:unhideWhenUsed/>
    <w:qFormat/>
    <w:rsid w:val="0099628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F4761" w:themeColor="accent1" w:themeShade="BF"/>
      <w:kern w:val="2"/>
      <w:sz w:val="32"/>
      <w:szCs w:val="32"/>
      <w:bdr w:val="none" w:sz="0" w:space="0" w:color="auto"/>
      <w14:ligatures w14:val="standardContextual"/>
    </w:rPr>
  </w:style>
  <w:style w:type="paragraph" w:styleId="Heading3">
    <w:name w:val="heading 3"/>
    <w:basedOn w:val="Normal"/>
    <w:next w:val="Normal"/>
    <w:link w:val="Heading3Char"/>
    <w:uiPriority w:val="9"/>
    <w:semiHidden/>
    <w:unhideWhenUsed/>
    <w:qFormat/>
    <w:rsid w:val="0099628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2"/>
    </w:pPr>
    <w:rPr>
      <w:rFonts w:asciiTheme="minorHAnsi" w:eastAsiaTheme="majorEastAsia" w:hAnsiTheme="minorHAnsi" w:cstheme="majorBidi"/>
      <w:color w:val="0F4761" w:themeColor="accent1" w:themeShade="BF"/>
      <w:kern w:val="2"/>
      <w:sz w:val="28"/>
      <w:szCs w:val="28"/>
      <w:bdr w:val="none" w:sz="0" w:space="0" w:color="auto"/>
      <w14:ligatures w14:val="standardContextual"/>
    </w:rPr>
  </w:style>
  <w:style w:type="paragraph" w:styleId="Heading4">
    <w:name w:val="heading 4"/>
    <w:basedOn w:val="Normal"/>
    <w:next w:val="Normal"/>
    <w:link w:val="Heading4Char"/>
    <w:uiPriority w:val="9"/>
    <w:semiHidden/>
    <w:unhideWhenUsed/>
    <w:qFormat/>
    <w:rsid w:val="0099628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3"/>
    </w:pPr>
    <w:rPr>
      <w:rFonts w:asciiTheme="minorHAnsi" w:eastAsiaTheme="majorEastAsia" w:hAnsiTheme="minorHAnsi" w:cstheme="majorBidi"/>
      <w:i/>
      <w:iCs/>
      <w:color w:val="0F4761" w:themeColor="accent1" w:themeShade="BF"/>
      <w:kern w:val="2"/>
      <w:sz w:val="22"/>
      <w:szCs w:val="22"/>
      <w:bdr w:val="none" w:sz="0" w:space="0" w:color="auto"/>
      <w14:ligatures w14:val="standardContextual"/>
    </w:rPr>
  </w:style>
  <w:style w:type="paragraph" w:styleId="Heading5">
    <w:name w:val="heading 5"/>
    <w:basedOn w:val="Normal"/>
    <w:next w:val="Normal"/>
    <w:link w:val="Heading5Char"/>
    <w:uiPriority w:val="9"/>
    <w:semiHidden/>
    <w:unhideWhenUsed/>
    <w:qFormat/>
    <w:rsid w:val="0099628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4"/>
    </w:pPr>
    <w:rPr>
      <w:rFonts w:asciiTheme="minorHAnsi" w:eastAsiaTheme="majorEastAsia" w:hAnsiTheme="minorHAnsi" w:cstheme="majorBidi"/>
      <w:color w:val="0F4761" w:themeColor="accent1" w:themeShade="BF"/>
      <w:kern w:val="2"/>
      <w:sz w:val="22"/>
      <w:szCs w:val="22"/>
      <w:bdr w:val="none" w:sz="0" w:space="0" w:color="auto"/>
      <w14:ligatures w14:val="standardContextual"/>
    </w:rPr>
  </w:style>
  <w:style w:type="paragraph" w:styleId="Heading6">
    <w:name w:val="heading 6"/>
    <w:basedOn w:val="Normal"/>
    <w:next w:val="Normal"/>
    <w:link w:val="Heading6Char"/>
    <w:uiPriority w:val="9"/>
    <w:semiHidden/>
    <w:unhideWhenUsed/>
    <w:qFormat/>
    <w:rsid w:val="0099628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5"/>
    </w:pPr>
    <w:rPr>
      <w:rFonts w:asciiTheme="minorHAnsi" w:eastAsiaTheme="majorEastAsia" w:hAnsiTheme="minorHAnsi" w:cstheme="majorBidi"/>
      <w:i/>
      <w:iCs/>
      <w:color w:val="595959" w:themeColor="text1" w:themeTint="A6"/>
      <w:kern w:val="2"/>
      <w:sz w:val="22"/>
      <w:szCs w:val="22"/>
      <w:bdr w:val="none" w:sz="0" w:space="0" w:color="auto"/>
      <w14:ligatures w14:val="standardContextual"/>
    </w:rPr>
  </w:style>
  <w:style w:type="paragraph" w:styleId="Heading7">
    <w:name w:val="heading 7"/>
    <w:basedOn w:val="Normal"/>
    <w:next w:val="Normal"/>
    <w:link w:val="Heading7Char"/>
    <w:uiPriority w:val="9"/>
    <w:semiHidden/>
    <w:unhideWhenUsed/>
    <w:qFormat/>
    <w:rsid w:val="0099628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6"/>
    </w:pPr>
    <w:rPr>
      <w:rFonts w:asciiTheme="minorHAnsi" w:eastAsiaTheme="majorEastAsia" w:hAnsiTheme="minorHAnsi" w:cstheme="majorBidi"/>
      <w:color w:val="595959" w:themeColor="text1" w:themeTint="A6"/>
      <w:kern w:val="2"/>
      <w:sz w:val="22"/>
      <w:szCs w:val="22"/>
      <w:bdr w:val="none" w:sz="0" w:space="0" w:color="auto"/>
      <w14:ligatures w14:val="standardContextual"/>
    </w:rPr>
  </w:style>
  <w:style w:type="paragraph" w:styleId="Heading8">
    <w:name w:val="heading 8"/>
    <w:basedOn w:val="Normal"/>
    <w:next w:val="Normal"/>
    <w:link w:val="Heading8Char"/>
    <w:uiPriority w:val="9"/>
    <w:semiHidden/>
    <w:unhideWhenUsed/>
    <w:qFormat/>
    <w:rsid w:val="0099628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7"/>
    </w:pPr>
    <w:rPr>
      <w:rFonts w:asciiTheme="minorHAnsi" w:eastAsiaTheme="majorEastAsia" w:hAnsiTheme="minorHAnsi" w:cstheme="majorBidi"/>
      <w:i/>
      <w:iCs/>
      <w:color w:val="272727" w:themeColor="text1" w:themeTint="D8"/>
      <w:kern w:val="2"/>
      <w:sz w:val="22"/>
      <w:szCs w:val="22"/>
      <w:bdr w:val="none" w:sz="0" w:space="0" w:color="auto"/>
      <w14:ligatures w14:val="standardContextual"/>
    </w:rPr>
  </w:style>
  <w:style w:type="paragraph" w:styleId="Heading9">
    <w:name w:val="heading 9"/>
    <w:basedOn w:val="Normal"/>
    <w:next w:val="Normal"/>
    <w:link w:val="Heading9Char"/>
    <w:uiPriority w:val="9"/>
    <w:semiHidden/>
    <w:unhideWhenUsed/>
    <w:qFormat/>
    <w:rsid w:val="0099628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kern w:val="2"/>
      <w:sz w:val="22"/>
      <w:szCs w:val="22"/>
      <w:bdr w:val="none" w:sz="0" w:space="0" w:color="aut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2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62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62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62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62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62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2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2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28A"/>
    <w:rPr>
      <w:rFonts w:eastAsiaTheme="majorEastAsia" w:cstheme="majorBidi"/>
      <w:color w:val="272727" w:themeColor="text1" w:themeTint="D8"/>
    </w:rPr>
  </w:style>
  <w:style w:type="paragraph" w:styleId="Title">
    <w:name w:val="Title"/>
    <w:basedOn w:val="Normal"/>
    <w:next w:val="Normal"/>
    <w:link w:val="TitleChar"/>
    <w:uiPriority w:val="10"/>
    <w:qFormat/>
    <w:rsid w:val="0099628A"/>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14:ligatures w14:val="standardContextual"/>
    </w:rPr>
  </w:style>
  <w:style w:type="character" w:customStyle="1" w:styleId="TitleChar">
    <w:name w:val="Title Char"/>
    <w:basedOn w:val="DefaultParagraphFont"/>
    <w:link w:val="Title"/>
    <w:uiPriority w:val="10"/>
    <w:rsid w:val="009962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28A"/>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14:ligatures w14:val="standardContextual"/>
    </w:rPr>
  </w:style>
  <w:style w:type="character" w:customStyle="1" w:styleId="SubtitleChar">
    <w:name w:val="Subtitle Char"/>
    <w:basedOn w:val="DefaultParagraphFont"/>
    <w:link w:val="Subtitle"/>
    <w:uiPriority w:val="11"/>
    <w:rsid w:val="009962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28A"/>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59" w:lineRule="auto"/>
      <w:jc w:val="center"/>
    </w:pPr>
    <w:rPr>
      <w:rFonts w:asciiTheme="minorHAnsi" w:eastAsiaTheme="minorHAnsi" w:hAnsiTheme="minorHAnsi" w:cstheme="minorBidi"/>
      <w:i/>
      <w:iCs/>
      <w:color w:val="404040" w:themeColor="text1" w:themeTint="BF"/>
      <w:kern w:val="2"/>
      <w:sz w:val="22"/>
      <w:szCs w:val="22"/>
      <w:bdr w:val="none" w:sz="0" w:space="0" w:color="auto"/>
      <w14:ligatures w14:val="standardContextual"/>
    </w:rPr>
  </w:style>
  <w:style w:type="character" w:customStyle="1" w:styleId="QuoteChar">
    <w:name w:val="Quote Char"/>
    <w:basedOn w:val="DefaultParagraphFont"/>
    <w:link w:val="Quote"/>
    <w:uiPriority w:val="29"/>
    <w:rsid w:val="0099628A"/>
    <w:rPr>
      <w:i/>
      <w:iCs/>
      <w:color w:val="404040" w:themeColor="text1" w:themeTint="BF"/>
    </w:rPr>
  </w:style>
  <w:style w:type="paragraph" w:styleId="ListParagraph">
    <w:name w:val="List Paragraph"/>
    <w:basedOn w:val="Normal"/>
    <w:uiPriority w:val="34"/>
    <w:qFormat/>
    <w:rsid w:val="0099628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kern w:val="2"/>
      <w:sz w:val="22"/>
      <w:szCs w:val="22"/>
      <w:bdr w:val="none" w:sz="0" w:space="0" w:color="auto"/>
      <w14:ligatures w14:val="standardContextual"/>
    </w:rPr>
  </w:style>
  <w:style w:type="character" w:styleId="IntenseEmphasis">
    <w:name w:val="Intense Emphasis"/>
    <w:basedOn w:val="DefaultParagraphFont"/>
    <w:uiPriority w:val="21"/>
    <w:qFormat/>
    <w:rsid w:val="0099628A"/>
    <w:rPr>
      <w:i/>
      <w:iCs/>
      <w:color w:val="0F4761" w:themeColor="accent1" w:themeShade="BF"/>
    </w:rPr>
  </w:style>
  <w:style w:type="paragraph" w:styleId="IntenseQuote">
    <w:name w:val="Intense Quote"/>
    <w:basedOn w:val="Normal"/>
    <w:next w:val="Normal"/>
    <w:link w:val="IntenseQuoteChar"/>
    <w:uiPriority w:val="30"/>
    <w:qFormat/>
    <w:rsid w:val="0099628A"/>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bdr w:val="none" w:sz="0" w:space="0" w:color="auto"/>
      <w14:ligatures w14:val="standardContextual"/>
    </w:rPr>
  </w:style>
  <w:style w:type="character" w:customStyle="1" w:styleId="IntenseQuoteChar">
    <w:name w:val="Intense Quote Char"/>
    <w:basedOn w:val="DefaultParagraphFont"/>
    <w:link w:val="IntenseQuote"/>
    <w:uiPriority w:val="30"/>
    <w:rsid w:val="0099628A"/>
    <w:rPr>
      <w:i/>
      <w:iCs/>
      <w:color w:val="0F4761" w:themeColor="accent1" w:themeShade="BF"/>
    </w:rPr>
  </w:style>
  <w:style w:type="character" w:styleId="IntenseReference">
    <w:name w:val="Intense Reference"/>
    <w:basedOn w:val="DefaultParagraphFont"/>
    <w:uiPriority w:val="32"/>
    <w:qFormat/>
    <w:rsid w:val="0099628A"/>
    <w:rPr>
      <w:b/>
      <w:bCs/>
      <w:smallCaps/>
      <w:color w:val="0F4761" w:themeColor="accent1" w:themeShade="BF"/>
      <w:spacing w:val="5"/>
    </w:rPr>
  </w:style>
  <w:style w:type="paragraph" w:styleId="Header">
    <w:name w:val="header"/>
    <w:basedOn w:val="Normal"/>
    <w:link w:val="HeaderChar"/>
    <w:uiPriority w:val="99"/>
    <w:unhideWhenUsed/>
    <w:rsid w:val="0099628A"/>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Theme="minorHAnsi" w:eastAsiaTheme="minorHAnsi" w:hAnsiTheme="minorHAnsi" w:cstheme="minorBidi"/>
      <w:kern w:val="2"/>
      <w:sz w:val="22"/>
      <w:szCs w:val="22"/>
      <w:bdr w:val="none" w:sz="0" w:space="0" w:color="auto"/>
      <w14:ligatures w14:val="standardContextual"/>
    </w:rPr>
  </w:style>
  <w:style w:type="character" w:customStyle="1" w:styleId="HeaderChar">
    <w:name w:val="Header Char"/>
    <w:basedOn w:val="DefaultParagraphFont"/>
    <w:link w:val="Header"/>
    <w:uiPriority w:val="99"/>
    <w:rsid w:val="0099628A"/>
  </w:style>
  <w:style w:type="paragraph" w:styleId="Footer">
    <w:name w:val="footer"/>
    <w:basedOn w:val="Normal"/>
    <w:link w:val="FooterChar"/>
    <w:uiPriority w:val="99"/>
    <w:unhideWhenUsed/>
    <w:rsid w:val="0099628A"/>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Theme="minorHAnsi" w:eastAsiaTheme="minorHAnsi" w:hAnsiTheme="minorHAnsi" w:cstheme="minorBidi"/>
      <w:kern w:val="2"/>
      <w:sz w:val="22"/>
      <w:szCs w:val="22"/>
      <w:bdr w:val="none" w:sz="0" w:space="0" w:color="auto"/>
      <w14:ligatures w14:val="standardContextual"/>
    </w:rPr>
  </w:style>
  <w:style w:type="character" w:customStyle="1" w:styleId="FooterChar">
    <w:name w:val="Footer Char"/>
    <w:basedOn w:val="DefaultParagraphFont"/>
    <w:link w:val="Footer"/>
    <w:uiPriority w:val="99"/>
    <w:rsid w:val="0099628A"/>
  </w:style>
  <w:style w:type="paragraph" w:customStyle="1" w:styleId="BodyA">
    <w:name w:val="Body A"/>
    <w:rsid w:val="0099628A"/>
    <w:pPr>
      <w:pBdr>
        <w:top w:val="nil"/>
        <w:left w:val="nil"/>
        <w:bottom w:val="nil"/>
        <w:right w:val="nil"/>
        <w:between w:val="nil"/>
        <w:bar w:val="nil"/>
      </w:pBdr>
    </w:pPr>
    <w:rPr>
      <w:rFonts w:ascii="Calibri" w:eastAsia="Arial Unicode MS" w:hAnsi="Calibri" w:cs="Arial Unicode MS"/>
      <w:color w:val="000000"/>
      <w:kern w:val="0"/>
      <w:u w:color="000000"/>
      <w:bdr w:val="nil"/>
      <w:lang w:val="en-US" w:eastAsia="zh-CN"/>
      <w14:textOutline w14:w="12700" w14:cap="flat" w14:cmpd="sng" w14:algn="ctr">
        <w14:noFill/>
        <w14:prstDash w14:val="solid"/>
        <w14:miter w14:lim="400000"/>
      </w14:textOutline>
      <w14:ligatures w14:val="none"/>
    </w:rPr>
  </w:style>
  <w:style w:type="table" w:styleId="TableGrid">
    <w:name w:val="Table Grid"/>
    <w:basedOn w:val="TableNormal"/>
    <w:uiPriority w:val="39"/>
    <w:rsid w:val="0099628A"/>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0619"/>
    <w:rPr>
      <w:color w:val="467886" w:themeColor="hyperlink"/>
      <w:u w:val="single"/>
    </w:rPr>
  </w:style>
  <w:style w:type="character" w:styleId="UnresolvedMention">
    <w:name w:val="Unresolved Mention"/>
    <w:basedOn w:val="DefaultParagraphFont"/>
    <w:uiPriority w:val="99"/>
    <w:semiHidden/>
    <w:unhideWhenUsed/>
    <w:rsid w:val="001B0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tessori.org/wp-content/uploads/2021/09/The-Outdoor-Environment.pdf" TargetMode="External"/><Relationship Id="rId18" Type="http://schemas.openxmlformats.org/officeDocument/2006/relationships/hyperlink" Target="https://doi.org/10.1080/10888691.2018.1537791" TargetMode="External"/><Relationship Id="rId26" Type="http://schemas.openxmlformats.org/officeDocument/2006/relationships/hyperlink" Target="https://doi.org/10.1177/0004944113517830" TargetMode="External"/><Relationship Id="rId39" Type="http://schemas.openxmlformats.org/officeDocument/2006/relationships/hyperlink" Target="https://doi.org/10.1186/s41239-016-0032-z" TargetMode="External"/><Relationship Id="rId21" Type="http://schemas.openxmlformats.org/officeDocument/2006/relationships/hyperlink" Target="https://eric.ed.gov/?id=ED561095" TargetMode="External"/><Relationship Id="rId34" Type="http://schemas.openxmlformats.org/officeDocument/2006/relationships/hyperlink" Target="https://doi.org/10.1016/j.tate.2012.11.004" TargetMode="External"/><Relationship Id="rId42" Type="http://schemas.openxmlformats.org/officeDocument/2006/relationships/hyperlink" Target="https://doi.org/10.1080/00131881.2012.734725" TargetMode="External"/><Relationship Id="rId47" Type="http://schemas.openxmlformats.org/officeDocument/2006/relationships/hyperlink" Target="https://doi.org/10.1007/s11159-021-09922-w" TargetMode="External"/><Relationship Id="rId50" Type="http://schemas.openxmlformats.org/officeDocument/2006/relationships/hyperlink" Target="https://ibe.edu.pl/images/badania/Crosscut/CROSSCUT%20recommendations.pdf" TargetMode="External"/><Relationship Id="rId55" Type="http://schemas.openxmlformats.org/officeDocument/2006/relationships/hyperlink" Target="https://hwb.gov.wales/curriculum-for-wales/designing-your-curriculum/pedagogy" TargetMode="External"/><Relationship Id="rId7" Type="http://schemas.openxmlformats.org/officeDocument/2006/relationships/hyperlink" Target="https://doi.org/10.1080/0958517970080304" TargetMode="External"/><Relationship Id="rId2" Type="http://schemas.openxmlformats.org/officeDocument/2006/relationships/settings" Target="settings.xml"/><Relationship Id="rId16" Type="http://schemas.openxmlformats.org/officeDocument/2006/relationships/hyperlink" Target="https://eric.ed.gov/?id=EJ1108430" TargetMode="External"/><Relationship Id="rId29" Type="http://schemas.openxmlformats.org/officeDocument/2006/relationships/hyperlink" Target="https://doi.org/10.1007/s10956-015-9573-5" TargetMode="External"/><Relationship Id="rId11" Type="http://schemas.openxmlformats.org/officeDocument/2006/relationships/hyperlink" Target="https://www.bera.ac.uk/resources/all-publications/resources-for-researchers" TargetMode="External"/><Relationship Id="rId24" Type="http://schemas.openxmlformats.org/officeDocument/2006/relationships/hyperlink" Target="https://www.everettsd.org/cms/lib07/WA01920133/Centricity/Domain/947/BANKING%20CONCEPT%20OF%20ED.2.pdf" TargetMode="External"/><Relationship Id="rId32" Type="http://schemas.openxmlformats.org/officeDocument/2006/relationships/hyperlink" Target="https://doi.org/10.1186/s40594-018-0131-6" TargetMode="External"/><Relationship Id="rId37" Type="http://schemas.openxmlformats.org/officeDocument/2006/relationships/hyperlink" Target="https://www.simplypsychology.org/Zone-of-Proximal-Development.html" TargetMode="External"/><Relationship Id="rId40" Type="http://schemas.openxmlformats.org/officeDocument/2006/relationships/hyperlink" Target="https://doi.org/10.1093/oxfordhb/9780195390483.013.0028" TargetMode="External"/><Relationship Id="rId45" Type="http://schemas.openxmlformats.org/officeDocument/2006/relationships/hyperlink" Target="https://d1wqtxts1xzle7.cloudfront.net/36253098/authenticity1111111-libre.pdf?1421162450=&amp;response-content-disposi-tion=inline%3B+filename%3DAuthenticity1111111.pdf&amp;Expires=1712587706&amp;Signature=X4VmqxY~58isKiS2AWUUf7qyKCdvg8TajOBzHLl1BCTVRIn4Ocwu2MCvJo04Tv-DFbxV7MaLoYGdOhIenkAV7IkkbGr0zzxyVbzF2CXH-5x9-RreEd~5~ued~dUiVUH8~Q9dRbES5Tnm5H4Rysgjq3~2hOm9R3rHNLXy7ihf-9kLLFMyfkHVQYydmCtThqLyNKQcqbrpuiUVLissvViUEmPecq~oB7nWsHh9cvUzEJ-Wz0frV28kKmQYA14XlQtnzIY3LjScqBIqg4NmK-12oOha9ZfIasBOzNQWo3KKdZP8UZQwhSgzNwNdMqTYttCeFRDChzc62x0Lr1jDgxvDZQ__&amp;Key-Pair-Id=APKAJLOHF5GGSLRBV4ZA" TargetMode="External"/><Relationship Id="rId53" Type="http://schemas.openxmlformats.org/officeDocument/2006/relationships/hyperlink" Target="https://hwb.gov.wales/curriculum-for-wales/designing-your-curriculum/enabling-learning" TargetMode="External"/><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hyperlink" Target="https://doi.org/10.1016/s0742-051x(00)00015-9" TargetMode="External"/><Relationship Id="rId4" Type="http://schemas.openxmlformats.org/officeDocument/2006/relationships/footnotes" Target="footnotes.xml"/><Relationship Id="rId9" Type="http://schemas.openxmlformats.org/officeDocument/2006/relationships/hyperlink" Target="https://files.eric.ed.gov/fulltext/EJ1294983.pdf" TargetMode="External"/><Relationship Id="rId14" Type="http://schemas.openxmlformats.org/officeDocument/2006/relationships/hyperlink" Target="https://doi.org/10.1080/09523980701491633" TargetMode="External"/><Relationship Id="rId22" Type="http://schemas.openxmlformats.org/officeDocument/2006/relationships/hyperlink" Target="https://www.gov.uk/government/publications/mainstream-schools-additional-grant-2023-to-2024/mainstream-schools-additional-grant-2023-to-2024-methodology" TargetMode="External"/><Relationship Id="rId27" Type="http://schemas.openxmlformats.org/officeDocument/2006/relationships/hyperlink" Target="https://doi.org/10.1007/978-1-4614-3185-5_32" TargetMode="External"/><Relationship Id="rId30" Type="http://schemas.openxmlformats.org/officeDocument/2006/relationships/hyperlink" Target="https://www.ceeol.com/search/article-detail?id=93452" TargetMode="External"/><Relationship Id="rId35" Type="http://schemas.openxmlformats.org/officeDocument/2006/relationships/hyperlink" Target="https://www.structural-learning.com/post/transference-of-learning" TargetMode="External"/><Relationship Id="rId43" Type="http://schemas.openxmlformats.org/officeDocument/2006/relationships/hyperlink" Target="https://assets.publishing.service.gov.uk/media/5aa2a666ed915d4f595c522b/Aquinas_Trust_-_Reducing_teacher_workload.pdf" TargetMode="External"/><Relationship Id="rId48" Type="http://schemas.openxmlformats.org/officeDocument/2006/relationships/hyperlink" Target="https://doi.org/10.4314/bdje.v23i3.8" TargetMode="External"/><Relationship Id="rId56" Type="http://schemas.openxmlformats.org/officeDocument/2006/relationships/header" Target="header1.xml"/><Relationship Id="rId8" Type="http://schemas.openxmlformats.org/officeDocument/2006/relationships/hyperlink" Target="https://doi.org/10.4300/jgme-d-18-00825.1" TargetMode="External"/><Relationship Id="rId51"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webSettings" Target="webSettings.xml"/><Relationship Id="rId12" Type="http://schemas.openxmlformats.org/officeDocument/2006/relationships/hyperlink" Target="https://cft.vanderbilt.edu/wp-content/uploads/sites/59/Active-Learning.pdf" TargetMode="External"/><Relationship Id="rId17" Type="http://schemas.openxmlformats.org/officeDocument/2006/relationships/hyperlink" Target="https://doi.org/10.1080/13504620601122632" TargetMode="External"/><Relationship Id="rId25" Type="http://schemas.openxmlformats.org/officeDocument/2006/relationships/hyperlink" Target="https://doi.org/10.1007/bf02319856" TargetMode="External"/><Relationship Id="rId33" Type="http://schemas.openxmlformats.org/officeDocument/2006/relationships/hyperlink" Target="https://doi.org/10.1007/bf03025828" TargetMode="External"/><Relationship Id="rId38" Type="http://schemas.openxmlformats.org/officeDocument/2006/relationships/hyperlink" Target="https://doi.org/10.1177/0031721716681774" TargetMode="External"/><Relationship Id="rId46" Type="http://schemas.openxmlformats.org/officeDocument/2006/relationships/hyperlink" Target="https://files.eric.ed.gov/fulltext/EJ1334998.pdf" TargetMode="External"/><Relationship Id="rId59" Type="http://schemas.openxmlformats.org/officeDocument/2006/relationships/theme" Target="theme/theme1.xml"/><Relationship Id="rId20" Type="http://schemas.openxmlformats.org/officeDocument/2006/relationships/hyperlink" Target="https://doi.org/10.1097/acm.0b013e31820defbe" TargetMode="External"/><Relationship Id="rId41" Type="http://schemas.openxmlformats.org/officeDocument/2006/relationships/hyperlink" Target="https://doi.org/10.4236/ce.2012.38192" TargetMode="External"/><Relationship Id="rId54" Type="http://schemas.openxmlformats.org/officeDocument/2006/relationships/hyperlink" Target="https://hwb.gov.wales/curriculum-for-wales/designing-your-curriculum/introduction" TargetMode="External"/><Relationship Id="rId1" Type="http://schemas.openxmlformats.org/officeDocument/2006/relationships/styles" Target="styles.xml"/><Relationship Id="rId6" Type="http://schemas.openxmlformats.org/officeDocument/2006/relationships/hyperlink" Target="https://doi.org/10.1080/22040552.2015.1084676" TargetMode="External"/><Relationship Id="rId15" Type="http://schemas.openxmlformats.org/officeDocument/2006/relationships/hyperlink" Target="https://www.researchgate.net/publication/228395999_Authentic_Learning_A_practical_introduction_and_guide_for_implementation" TargetMode="External"/><Relationship Id="rId23" Type="http://schemas.openxmlformats.org/officeDocument/2006/relationships/hyperlink" Target="https://educationendowmentfoundation.org.uk/education-evidence/guidance-reports/effective-professional-development" TargetMode="External"/><Relationship Id="rId28" Type="http://schemas.openxmlformats.org/officeDocument/2006/relationships/hyperlink" Target="https://doi.org/10.1111/1467-9752.00208" TargetMode="External"/><Relationship Id="rId36" Type="http://schemas.openxmlformats.org/officeDocument/2006/relationships/hyperlink" Target="https://doi.org/10.1080/2331186x.2017.1331533" TargetMode="External"/><Relationship Id="rId49" Type="http://schemas.openxmlformats.org/officeDocument/2006/relationships/hyperlink" Target="https://doi.org/10.1002/ace.211" TargetMode="External"/><Relationship Id="rId57" Type="http://schemas.openxmlformats.org/officeDocument/2006/relationships/footer" Target="footer1.xml"/><Relationship Id="rId10" Type="http://schemas.openxmlformats.org/officeDocument/2006/relationships/hyperlink" Target="https://www.researchgate.net/publication/274313611_An_Introduction_to_Cross-Curricular_Learning" TargetMode="External"/><Relationship Id="rId31" Type="http://schemas.openxmlformats.org/officeDocument/2006/relationships/hyperlink" Target="https://doi.org/10.1002/j.2168-9830.2006.tb00892.x" TargetMode="External"/><Relationship Id="rId44" Type="http://schemas.openxmlformats.org/officeDocument/2006/relationships/hyperlink" Target="https://doi.org/10.1080/23752696.2018.1462099" TargetMode="External"/><Relationship Id="rId52" Type="http://schemas.openxmlformats.org/officeDocument/2006/relationships/hyperlink" Target="https://hwb.gov.wales/curriculum-for-wales/cross-curricular-skills-frame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8685</Words>
  <Characters>51506</Characters>
  <Application>Microsoft Office Word</Application>
  <DocSecurity>0</DocSecurity>
  <Lines>1776</Lines>
  <Paragraphs>668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Griffiths</dc:creator>
  <cp:keywords/>
  <dc:description/>
  <cp:lastModifiedBy>Megan Griffiths</cp:lastModifiedBy>
  <cp:revision>2</cp:revision>
  <dcterms:created xsi:type="dcterms:W3CDTF">2024-04-12T10:18:00Z</dcterms:created>
  <dcterms:modified xsi:type="dcterms:W3CDTF">2024-04-12T10:18:00Z</dcterms:modified>
</cp:coreProperties>
</file>