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3918F" w14:textId="77777777" w:rsidR="00B36D03" w:rsidRPr="009D3595" w:rsidRDefault="00B36D03" w:rsidP="009D3595">
      <w:pPr>
        <w:pStyle w:val="Normal1"/>
        <w:jc w:val="left"/>
        <w:rPr>
          <w:rFonts w:ascii="Arial" w:hAnsi="Arial" w:cs="Arial"/>
          <w:b/>
          <w:bCs/>
          <w:color w:val="000000" w:themeColor="text1"/>
        </w:rPr>
      </w:pPr>
    </w:p>
    <w:p w14:paraId="1FDFE156" w14:textId="77777777" w:rsidR="00B36D03" w:rsidRPr="009D3595" w:rsidRDefault="00B36D03" w:rsidP="009D3595">
      <w:pPr>
        <w:pStyle w:val="Normal1"/>
        <w:jc w:val="left"/>
        <w:rPr>
          <w:rFonts w:ascii="Arial" w:hAnsi="Arial" w:cs="Arial"/>
          <w:b/>
          <w:bCs/>
          <w:color w:val="000000" w:themeColor="text1"/>
        </w:rPr>
      </w:pPr>
    </w:p>
    <w:p w14:paraId="7325D744" w14:textId="77777777" w:rsidR="00B36D03" w:rsidRPr="009D3595" w:rsidRDefault="00B36D03" w:rsidP="009D3595">
      <w:pPr>
        <w:pStyle w:val="Normal1"/>
        <w:jc w:val="left"/>
        <w:rPr>
          <w:rFonts w:ascii="Arial" w:hAnsi="Arial" w:cs="Arial"/>
          <w:b/>
          <w:bCs/>
          <w:color w:val="000000" w:themeColor="text1"/>
        </w:rPr>
      </w:pPr>
    </w:p>
    <w:p w14:paraId="22D6EFEE" w14:textId="77777777" w:rsidR="00B36D03" w:rsidRPr="009D3595" w:rsidRDefault="00B36D03" w:rsidP="009D3595">
      <w:pPr>
        <w:pStyle w:val="Normal1"/>
        <w:jc w:val="left"/>
        <w:rPr>
          <w:rFonts w:ascii="Arial" w:hAnsi="Arial" w:cs="Arial"/>
          <w:b/>
          <w:bCs/>
          <w:color w:val="000000" w:themeColor="text1"/>
        </w:rPr>
      </w:pPr>
    </w:p>
    <w:p w14:paraId="06B936DA" w14:textId="77777777" w:rsidR="00B36D03" w:rsidRPr="009D3595" w:rsidRDefault="00B36D03" w:rsidP="009D3595">
      <w:pPr>
        <w:pStyle w:val="Normal1"/>
        <w:jc w:val="left"/>
        <w:rPr>
          <w:rFonts w:ascii="Arial" w:hAnsi="Arial" w:cs="Arial"/>
          <w:b/>
          <w:bCs/>
          <w:color w:val="000000" w:themeColor="text1"/>
        </w:rPr>
      </w:pPr>
    </w:p>
    <w:p w14:paraId="035B159F" w14:textId="77777777" w:rsidR="00B36D03" w:rsidRPr="009D3595" w:rsidRDefault="00B36D03" w:rsidP="009D3595">
      <w:pPr>
        <w:pStyle w:val="Normal1"/>
        <w:jc w:val="left"/>
        <w:rPr>
          <w:rFonts w:ascii="Arial" w:hAnsi="Arial" w:cs="Arial"/>
          <w:b/>
          <w:bCs/>
          <w:color w:val="000000" w:themeColor="text1"/>
        </w:rPr>
      </w:pPr>
    </w:p>
    <w:p w14:paraId="6C7B3F95" w14:textId="77777777" w:rsidR="00B36D03" w:rsidRPr="009D3595" w:rsidRDefault="00B36D03" w:rsidP="009D3595">
      <w:pPr>
        <w:pStyle w:val="Normal1"/>
        <w:jc w:val="left"/>
        <w:rPr>
          <w:rFonts w:ascii="Arial" w:hAnsi="Arial" w:cs="Arial"/>
          <w:b/>
          <w:bCs/>
          <w:color w:val="000000" w:themeColor="text1"/>
        </w:rPr>
      </w:pPr>
    </w:p>
    <w:p w14:paraId="60D3E7DE" w14:textId="77777777" w:rsidR="00B36D03" w:rsidRPr="009D3595" w:rsidRDefault="00B36D03" w:rsidP="009D3595">
      <w:pPr>
        <w:pStyle w:val="Normal1"/>
        <w:jc w:val="left"/>
        <w:rPr>
          <w:rFonts w:ascii="Arial" w:hAnsi="Arial" w:cs="Arial"/>
          <w:b/>
          <w:bCs/>
          <w:color w:val="000000" w:themeColor="text1"/>
        </w:rPr>
      </w:pPr>
    </w:p>
    <w:p w14:paraId="27A6CAE6" w14:textId="77777777" w:rsidR="00B36D03" w:rsidRPr="009D3595" w:rsidRDefault="00B36D03" w:rsidP="009D3595">
      <w:pPr>
        <w:pStyle w:val="Normal1"/>
        <w:jc w:val="left"/>
        <w:rPr>
          <w:rFonts w:ascii="Arial" w:hAnsi="Arial" w:cs="Arial"/>
          <w:b/>
          <w:bCs/>
          <w:color w:val="000000" w:themeColor="text1"/>
        </w:rPr>
      </w:pPr>
    </w:p>
    <w:p w14:paraId="7930007A" w14:textId="77777777" w:rsidR="00B36D03" w:rsidRPr="009D3595" w:rsidRDefault="00B36D03" w:rsidP="009D3595">
      <w:pPr>
        <w:pStyle w:val="Normal1"/>
        <w:jc w:val="left"/>
        <w:rPr>
          <w:rFonts w:ascii="Arial" w:hAnsi="Arial" w:cs="Arial"/>
          <w:b/>
          <w:bCs/>
          <w:color w:val="000000" w:themeColor="text1"/>
        </w:rPr>
      </w:pPr>
    </w:p>
    <w:p w14:paraId="2FD2BA88" w14:textId="77777777" w:rsidR="00B36D03" w:rsidRPr="009D3595" w:rsidRDefault="00B36D03" w:rsidP="009D3595">
      <w:pPr>
        <w:pStyle w:val="Normal1"/>
        <w:jc w:val="center"/>
        <w:rPr>
          <w:rFonts w:ascii="Arial" w:hAnsi="Arial" w:cs="Arial"/>
          <w:b/>
          <w:bCs/>
          <w:color w:val="000000" w:themeColor="text1"/>
        </w:rPr>
      </w:pPr>
    </w:p>
    <w:p w14:paraId="51FDF922" w14:textId="6221837A" w:rsidR="00E63BF1" w:rsidRPr="009D3595" w:rsidRDefault="00622727" w:rsidP="009D3595">
      <w:pPr>
        <w:pStyle w:val="Normal1"/>
        <w:jc w:val="center"/>
        <w:rPr>
          <w:rFonts w:ascii="Arial" w:hAnsi="Arial" w:cs="Arial"/>
          <w:b/>
          <w:bCs/>
          <w:color w:val="000000" w:themeColor="text1"/>
        </w:rPr>
      </w:pPr>
      <w:r w:rsidRPr="009D3595">
        <w:rPr>
          <w:rFonts w:ascii="Arial" w:hAnsi="Arial" w:cs="Arial"/>
          <w:b/>
          <w:bCs/>
          <w:color w:val="000000" w:themeColor="text1"/>
        </w:rPr>
        <w:t>Criminal law</w:t>
      </w:r>
      <w:r w:rsidR="00B36D03" w:rsidRPr="009D3595">
        <w:rPr>
          <w:rFonts w:ascii="Arial" w:hAnsi="Arial" w:cs="Arial"/>
          <w:b/>
          <w:bCs/>
          <w:color w:val="000000" w:themeColor="text1"/>
        </w:rPr>
        <w:t xml:space="preserve"> – Assignment </w:t>
      </w:r>
      <w:r w:rsidR="00AA0554" w:rsidRPr="009D3595">
        <w:rPr>
          <w:rFonts w:ascii="Arial" w:hAnsi="Arial" w:cs="Arial"/>
          <w:b/>
          <w:bCs/>
          <w:color w:val="000000" w:themeColor="text1"/>
        </w:rPr>
        <w:t>1</w:t>
      </w:r>
    </w:p>
    <w:p w14:paraId="45E77043" w14:textId="77777777" w:rsidR="00E63BF1" w:rsidRPr="009D3595" w:rsidRDefault="00E63BF1" w:rsidP="009D3595">
      <w:pPr>
        <w:pStyle w:val="Normal1"/>
        <w:jc w:val="center"/>
        <w:rPr>
          <w:rFonts w:ascii="Arial" w:hAnsi="Arial" w:cs="Arial"/>
          <w:b/>
          <w:bCs/>
          <w:color w:val="000000" w:themeColor="text1"/>
        </w:rPr>
      </w:pPr>
    </w:p>
    <w:p w14:paraId="487774B7" w14:textId="424AB3FF" w:rsidR="00E63BF1" w:rsidRPr="009D3595" w:rsidRDefault="00E73506" w:rsidP="009D3595">
      <w:pPr>
        <w:pStyle w:val="Normal1"/>
        <w:jc w:val="center"/>
        <w:rPr>
          <w:rFonts w:ascii="Arial" w:hAnsi="Arial" w:cs="Arial"/>
          <w:b/>
          <w:bCs/>
          <w:color w:val="000000" w:themeColor="text1"/>
        </w:rPr>
      </w:pPr>
      <w:r w:rsidRPr="009D3595">
        <w:rPr>
          <w:rFonts w:ascii="Arial" w:hAnsi="Arial" w:cs="Arial"/>
          <w:b/>
          <w:bCs/>
          <w:color w:val="000000" w:themeColor="text1"/>
        </w:rPr>
        <w:t>BMLW4005</w:t>
      </w:r>
    </w:p>
    <w:p w14:paraId="120851DA" w14:textId="77777777" w:rsidR="00E73506" w:rsidRPr="009D3595" w:rsidRDefault="00E73506" w:rsidP="009D3595">
      <w:pPr>
        <w:pStyle w:val="Normal1"/>
        <w:jc w:val="center"/>
        <w:rPr>
          <w:rFonts w:ascii="Arial" w:hAnsi="Arial" w:cs="Arial"/>
          <w:b/>
          <w:bCs/>
          <w:color w:val="000000" w:themeColor="text1"/>
        </w:rPr>
      </w:pPr>
    </w:p>
    <w:p w14:paraId="75BBAB2F" w14:textId="19D72006" w:rsidR="00E73506" w:rsidRPr="009D3595" w:rsidRDefault="00B36D03" w:rsidP="009D3595">
      <w:pPr>
        <w:pStyle w:val="Normal1"/>
        <w:jc w:val="right"/>
        <w:rPr>
          <w:rFonts w:ascii="Arial" w:hAnsi="Arial" w:cs="Arial"/>
          <w:b/>
          <w:bCs/>
          <w:color w:val="000000" w:themeColor="text1"/>
        </w:rPr>
      </w:pPr>
      <w:r w:rsidRPr="009D3595">
        <w:rPr>
          <w:rFonts w:ascii="Arial" w:hAnsi="Arial" w:cs="Arial"/>
          <w:b/>
          <w:bCs/>
          <w:color w:val="000000" w:themeColor="text1"/>
        </w:rPr>
        <w:t>Olga Bocancea</w:t>
      </w:r>
    </w:p>
    <w:p w14:paraId="70DEAD7E" w14:textId="37ABA098" w:rsidR="00B36D03" w:rsidRPr="009D3595" w:rsidRDefault="00B36D03" w:rsidP="009D3595">
      <w:pPr>
        <w:pStyle w:val="Normal1"/>
        <w:jc w:val="right"/>
        <w:rPr>
          <w:rFonts w:ascii="Arial" w:hAnsi="Arial" w:cs="Arial"/>
          <w:b/>
          <w:bCs/>
          <w:color w:val="000000" w:themeColor="text1"/>
        </w:rPr>
      </w:pPr>
      <w:r w:rsidRPr="009D3595">
        <w:rPr>
          <w:rFonts w:ascii="Arial" w:hAnsi="Arial" w:cs="Arial"/>
          <w:b/>
          <w:bCs/>
          <w:color w:val="000000" w:themeColor="text1"/>
        </w:rPr>
        <w:t>2232377</w:t>
      </w:r>
    </w:p>
    <w:p w14:paraId="17FF4145" w14:textId="77777777" w:rsidR="00E63BF1" w:rsidRPr="009D3595" w:rsidRDefault="00E63BF1" w:rsidP="009D3595">
      <w:pPr>
        <w:pStyle w:val="Normal1"/>
        <w:jc w:val="left"/>
        <w:rPr>
          <w:rFonts w:ascii="Arial" w:hAnsi="Arial" w:cs="Arial"/>
          <w:b/>
          <w:bCs/>
          <w:color w:val="000000" w:themeColor="text1"/>
        </w:rPr>
      </w:pPr>
    </w:p>
    <w:p w14:paraId="2AAAAB68" w14:textId="77777777" w:rsidR="00E63BF1" w:rsidRPr="009D3595" w:rsidRDefault="00E63BF1" w:rsidP="009D3595">
      <w:pPr>
        <w:pStyle w:val="Normal1"/>
        <w:jc w:val="left"/>
        <w:rPr>
          <w:rFonts w:ascii="Arial" w:hAnsi="Arial" w:cs="Arial"/>
          <w:b/>
          <w:bCs/>
          <w:color w:val="000000" w:themeColor="text1"/>
        </w:rPr>
      </w:pPr>
    </w:p>
    <w:p w14:paraId="40049486" w14:textId="77777777" w:rsidR="00E63BF1" w:rsidRPr="009D3595" w:rsidRDefault="00E63BF1" w:rsidP="009D3595">
      <w:pPr>
        <w:pStyle w:val="Normal1"/>
        <w:jc w:val="left"/>
        <w:rPr>
          <w:rFonts w:ascii="Arial" w:hAnsi="Arial" w:cs="Arial"/>
          <w:b/>
          <w:bCs/>
          <w:color w:val="000000" w:themeColor="text1"/>
        </w:rPr>
      </w:pPr>
    </w:p>
    <w:p w14:paraId="694A755E" w14:textId="77777777" w:rsidR="00E63BF1" w:rsidRPr="009D3595" w:rsidRDefault="00E63BF1" w:rsidP="009D3595">
      <w:pPr>
        <w:pStyle w:val="Normal1"/>
        <w:jc w:val="left"/>
        <w:rPr>
          <w:rFonts w:ascii="Arial" w:hAnsi="Arial" w:cs="Arial"/>
          <w:b/>
          <w:bCs/>
          <w:color w:val="000000" w:themeColor="text1"/>
        </w:rPr>
      </w:pPr>
    </w:p>
    <w:p w14:paraId="64D60E5A" w14:textId="77777777" w:rsidR="00E63BF1" w:rsidRPr="009D3595" w:rsidRDefault="00E63BF1" w:rsidP="009D3595">
      <w:pPr>
        <w:pStyle w:val="Normal1"/>
        <w:jc w:val="left"/>
        <w:rPr>
          <w:rFonts w:ascii="Arial" w:hAnsi="Arial" w:cs="Arial"/>
          <w:b/>
          <w:bCs/>
          <w:color w:val="000000" w:themeColor="text1"/>
        </w:rPr>
      </w:pPr>
    </w:p>
    <w:p w14:paraId="00000002" w14:textId="688581EB" w:rsidR="00A75798" w:rsidRPr="009D3595" w:rsidRDefault="00622727" w:rsidP="009D3595">
      <w:pPr>
        <w:pStyle w:val="Normal1"/>
        <w:jc w:val="left"/>
        <w:rPr>
          <w:rFonts w:ascii="Arial" w:hAnsi="Arial" w:cs="Arial"/>
          <w:b/>
          <w:bCs/>
          <w:color w:val="000000" w:themeColor="text1"/>
        </w:rPr>
      </w:pPr>
      <w:r w:rsidRPr="009D3595">
        <w:rPr>
          <w:rFonts w:ascii="Arial" w:hAnsi="Arial" w:cs="Arial"/>
          <w:b/>
          <w:bCs/>
          <w:color w:val="000000" w:themeColor="text1"/>
        </w:rPr>
        <w:br w:type="page"/>
      </w:r>
    </w:p>
    <w:p w14:paraId="00000004" w14:textId="61ACC068"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lastRenderedPageBreak/>
        <w:t xml:space="preserve">The purpose of the study is to deliver legal advice to Paula and Harriet about the misconduct which has been done by them. The legal backgrounds of their actions have been described in the study and the related legislations and legal provisions which can emphasise their responsibilities and can elaborate on the consequences of their actions have been mentioned and explained in the study too. The situation has been justified for them and references to the concerned law of that phenomenon of the UK have been evaluated as well. </w:t>
      </w:r>
    </w:p>
    <w:p w14:paraId="00000005" w14:textId="77777777"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The offence of theft has been elaborated in the legislation of the Theft Act 1968 and it has been defined as a dishonest appropriation of any property which belongs to someone else with the intention of conducting permanent harm. The concept of theft has been mentioned in section 1 of the legislation. There are five important features which have been covered by this definition and before labelling any action as theft it is highly important to consider that all those essentials are present in that action. There is another clause that the material which is being taken must be for the gain of the theft himself or related. If one is proven to be guilty of theft, then he must be imprisoned for a term of seven years maximum (</w:t>
      </w:r>
      <w:r w:rsidRPr="009D3595">
        <w:rPr>
          <w:rFonts w:ascii="Arial" w:hAnsi="Arial" w:cs="Arial"/>
          <w:color w:val="000000" w:themeColor="text1"/>
          <w:highlight w:val="white"/>
        </w:rPr>
        <w:t>Melissaris, 2007</w:t>
      </w:r>
      <w:r w:rsidRPr="009D3595">
        <w:rPr>
          <w:rFonts w:ascii="Arial" w:hAnsi="Arial" w:cs="Arial"/>
          <w:color w:val="000000" w:themeColor="text1"/>
        </w:rPr>
        <w:t xml:space="preserve">). </w:t>
      </w:r>
    </w:p>
    <w:p w14:paraId="00000006" w14:textId="3ABDBB1C"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 xml:space="preserve">The very first feature is dishonesty which has been discussed in section 2 of the Theft Act 1968. Dishonesty is an element which is related to all sorts of acts of appropriation including theft, robbery and burglary. As per the case of </w:t>
      </w:r>
      <w:r w:rsidRPr="009D3595">
        <w:rPr>
          <w:rFonts w:ascii="Arial" w:hAnsi="Arial" w:cs="Arial"/>
          <w:b/>
          <w:color w:val="000000" w:themeColor="text1"/>
        </w:rPr>
        <w:t>Ivey v Genting Casinos [2018] AC 391</w:t>
      </w:r>
      <w:r w:rsidRPr="009D3595">
        <w:rPr>
          <w:rFonts w:ascii="Arial" w:hAnsi="Arial" w:cs="Arial"/>
          <w:color w:val="000000" w:themeColor="text1"/>
        </w:rPr>
        <w:t>, while judging the presence of dishonesty of the defendant, it is important to identify how much acknowledged he or she was regarding the fact that moral principles are being violated. If it is proven that the fact was known to the defendant, then the question comes to the scene after knowing the facts and the moral values, was the conduct honest or not? In the case of theft, some conditions must be proven to identify the act of the defendant was completely an attempt at dishonesty. Firstly, it was necessary to clarify that though there is any legal right of the defendant to grab the property or not and or was there any sign of permission to the owner regarding the appropriation of the property or not (</w:t>
      </w:r>
      <w:r w:rsidRPr="009D3595">
        <w:rPr>
          <w:rFonts w:ascii="Arial" w:hAnsi="Arial" w:cs="Arial"/>
          <w:color w:val="000000" w:themeColor="text1"/>
          <w:highlight w:val="white"/>
        </w:rPr>
        <w:t>Lexisnexis, 2023</w:t>
      </w:r>
      <w:r w:rsidRPr="009D3595">
        <w:rPr>
          <w:rFonts w:ascii="Arial" w:hAnsi="Arial" w:cs="Arial"/>
          <w:color w:val="000000" w:themeColor="text1"/>
        </w:rPr>
        <w:t>).</w:t>
      </w:r>
    </w:p>
    <w:p w14:paraId="00000007" w14:textId="301E65C3"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 xml:space="preserve">The concept of appropriation must be clear before judging an act as theft. If the rights of an owner will be grabbed, that will be caused by appropriation and it is essential to be a materialistic good. As per the case of </w:t>
      </w:r>
      <w:r w:rsidRPr="009D3595">
        <w:rPr>
          <w:rFonts w:ascii="Arial" w:hAnsi="Arial" w:cs="Arial"/>
          <w:b/>
          <w:color w:val="000000" w:themeColor="text1"/>
        </w:rPr>
        <w:t>Lawrence v MPC [1972] AC 626</w:t>
      </w:r>
      <w:r w:rsidRPr="009D3595">
        <w:rPr>
          <w:rFonts w:ascii="Arial" w:hAnsi="Arial" w:cs="Arial"/>
          <w:color w:val="000000" w:themeColor="text1"/>
        </w:rPr>
        <w:t xml:space="preserve">, the consent of the owner is not a logical defence for appropriation. In the case, permission was provided by the plaintiff to the defendant to remove cash from her </w:t>
      </w:r>
      <w:r w:rsidRPr="009D3595">
        <w:rPr>
          <w:rFonts w:ascii="Arial" w:hAnsi="Arial" w:cs="Arial"/>
          <w:color w:val="000000" w:themeColor="text1"/>
        </w:rPr>
        <w:lastRenderedPageBreak/>
        <w:t>wallet, and still, his action was counted as theft because the amount which was appropriated by him was more than what he deserved (</w:t>
      </w:r>
      <w:r w:rsidRPr="009D3595">
        <w:rPr>
          <w:rFonts w:ascii="Arial" w:hAnsi="Arial" w:cs="Arial"/>
          <w:color w:val="000000" w:themeColor="text1"/>
          <w:highlight w:val="white"/>
        </w:rPr>
        <w:t xml:space="preserve">CPS, 2022 and </w:t>
      </w:r>
      <w:r w:rsidR="004B1DEF">
        <w:rPr>
          <w:rFonts w:ascii="Arial" w:hAnsi="Arial" w:cs="Arial"/>
          <w:color w:val="000000" w:themeColor="text1"/>
          <w:highlight w:val="white"/>
        </w:rPr>
        <w:t>Lexis Plus</w:t>
      </w:r>
      <w:r w:rsidRPr="009D3595">
        <w:rPr>
          <w:rFonts w:ascii="Arial" w:hAnsi="Arial" w:cs="Arial"/>
          <w:color w:val="000000" w:themeColor="text1"/>
          <w:highlight w:val="white"/>
        </w:rPr>
        <w:t>, 202</w:t>
      </w:r>
      <w:r w:rsidR="004B1DEF">
        <w:rPr>
          <w:rFonts w:ascii="Arial" w:hAnsi="Arial" w:cs="Arial"/>
          <w:color w:val="000000" w:themeColor="text1"/>
        </w:rPr>
        <w:t>3</w:t>
      </w:r>
      <w:r w:rsidRPr="009D3595">
        <w:rPr>
          <w:rFonts w:ascii="Arial" w:hAnsi="Arial" w:cs="Arial"/>
          <w:color w:val="000000" w:themeColor="text1"/>
        </w:rPr>
        <w:t>).</w:t>
      </w:r>
    </w:p>
    <w:p w14:paraId="00000008" w14:textId="77777777"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The act of theft fits with those cases only where the concentrated material can be considered property. According to section 4 of the Theft Act 1968, the idea of property includes money, and others which are real, personal and intangible as well. Land cannot be considered as property to steal unless the person who is blamed for the theft is the trustee or Owens the power of attorney or personal representatives or the liquidator of the company which belongs to someone else and instead of selling it he appropriates the land or part of it, then it will be considered as theft also though the materials do not come under the definition of property as per the Theft Act.  Besides that wild creature also comes under the head of property (</w:t>
      </w:r>
      <w:r w:rsidRPr="009D3595">
        <w:rPr>
          <w:rFonts w:ascii="Arial" w:hAnsi="Arial" w:cs="Arial"/>
          <w:color w:val="000000" w:themeColor="text1"/>
          <w:highlight w:val="white"/>
        </w:rPr>
        <w:t>Legislation.gov.uk, 1968</w:t>
      </w:r>
      <w:r w:rsidRPr="009D3595">
        <w:rPr>
          <w:rFonts w:ascii="Arial" w:hAnsi="Arial" w:cs="Arial"/>
          <w:color w:val="000000" w:themeColor="text1"/>
        </w:rPr>
        <w:t xml:space="preserve">). </w:t>
      </w:r>
    </w:p>
    <w:p w14:paraId="00000009" w14:textId="4C5C0C23"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 xml:space="preserve">The feature of "Belonging to another" is a highly essential provision and intimidation that some conditions are required to perform. A property will be considered belonging to others only when the person who is climbing his right of ownership on it has legal possession of that or control of that. If the owner has given the property to the defendant for any particular reason and the defendant has appropriated it illegally then also the claim of theft will prevail as giving something to someone for any particular reason does not transfer the ownership. If by mistake any property has come to the possession of the defendant, then also it will be considered as belonging to others. The beneficiary of trusts is also considered as the owner of the property and if the defendant will deprived them of their benefits then also it amounts to theft. Possession is an important aspect of theft as in the case of </w:t>
      </w:r>
      <w:r w:rsidRPr="009D3595">
        <w:rPr>
          <w:rFonts w:ascii="Arial" w:hAnsi="Arial" w:cs="Arial"/>
          <w:b/>
          <w:color w:val="000000" w:themeColor="text1"/>
        </w:rPr>
        <w:t xml:space="preserve">R v Turner (1971) 55 Cr App R 336 </w:t>
      </w:r>
      <w:r w:rsidRPr="009D3595">
        <w:rPr>
          <w:rFonts w:ascii="Arial" w:hAnsi="Arial" w:cs="Arial"/>
          <w:color w:val="000000" w:themeColor="text1"/>
        </w:rPr>
        <w:t xml:space="preserve"> the defendant was accused of theft of his own car as he took it from the garage without paying the bills. As the benefits of the garage owner were related to the possession of the car, it was considered theft (</w:t>
      </w:r>
      <w:r w:rsidRPr="009D3595">
        <w:rPr>
          <w:rFonts w:ascii="Arial" w:hAnsi="Arial" w:cs="Arial"/>
          <w:color w:val="000000" w:themeColor="text1"/>
          <w:highlight w:val="white"/>
        </w:rPr>
        <w:t>CPS, 2022 and</w:t>
      </w:r>
      <w:r w:rsidR="00243E31" w:rsidRPr="009D3595">
        <w:rPr>
          <w:rFonts w:ascii="Arial" w:hAnsi="Arial" w:cs="Arial"/>
          <w:color w:val="000000" w:themeColor="text1"/>
          <w:highlight w:val="white"/>
        </w:rPr>
        <w:t xml:space="preserve"> Lexis Plus</w:t>
      </w:r>
      <w:r w:rsidRPr="009D3595">
        <w:rPr>
          <w:rFonts w:ascii="Arial" w:hAnsi="Arial" w:cs="Arial"/>
          <w:color w:val="000000" w:themeColor="text1"/>
          <w:highlight w:val="white"/>
        </w:rPr>
        <w:t>, 2023</w:t>
      </w:r>
      <w:r w:rsidRPr="009D3595">
        <w:rPr>
          <w:rFonts w:ascii="Arial" w:hAnsi="Arial" w:cs="Arial"/>
          <w:color w:val="000000" w:themeColor="text1"/>
        </w:rPr>
        <w:t xml:space="preserve">). </w:t>
      </w:r>
    </w:p>
    <w:p w14:paraId="0000000A" w14:textId="77777777"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 xml:space="preserve">The last essential of theft is the intention of doing permanent harm and that is equivalent to depriving the owner of his possession or enjoyment of the property permanently. Borrowing or lending will not come under this clause but if the defendant fails to give the property back which has been borrowed by him as per section 6 (2) of the Theft Act, 1968, it amounts to theft. In the case of </w:t>
      </w:r>
      <w:r w:rsidRPr="009D3595">
        <w:rPr>
          <w:rFonts w:ascii="Arial" w:hAnsi="Arial" w:cs="Arial"/>
          <w:b/>
          <w:color w:val="000000" w:themeColor="text1"/>
        </w:rPr>
        <w:t>R v Vinall [2012] 1 Cr App R 29</w:t>
      </w:r>
      <w:r w:rsidRPr="009D3595">
        <w:rPr>
          <w:rFonts w:ascii="Arial" w:hAnsi="Arial" w:cs="Arial"/>
          <w:color w:val="000000" w:themeColor="text1"/>
        </w:rPr>
        <w:t xml:space="preserve"> it has been stated by the judge that the intention to permanently deprive is something by which the rights of the owner on the property </w:t>
      </w:r>
      <w:r w:rsidRPr="009D3595">
        <w:rPr>
          <w:rFonts w:ascii="Arial" w:hAnsi="Arial" w:cs="Arial"/>
          <w:color w:val="000000" w:themeColor="text1"/>
        </w:rPr>
        <w:lastRenderedPageBreak/>
        <w:t>are disposed of. It has been mentioned also that disposing of the goods is not mandatory to prove the theft (</w:t>
      </w:r>
      <w:r w:rsidRPr="009D3595">
        <w:rPr>
          <w:rFonts w:ascii="Arial" w:hAnsi="Arial" w:cs="Arial"/>
          <w:color w:val="000000" w:themeColor="text1"/>
          <w:highlight w:val="white"/>
        </w:rPr>
        <w:t>CPS, 2022</w:t>
      </w:r>
      <w:r w:rsidRPr="009D3595">
        <w:rPr>
          <w:rFonts w:ascii="Arial" w:hAnsi="Arial" w:cs="Arial"/>
          <w:color w:val="000000" w:themeColor="text1"/>
        </w:rPr>
        <w:t xml:space="preserve">). </w:t>
      </w:r>
    </w:p>
    <w:p w14:paraId="0000000B" w14:textId="02F1F253"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In the provided case, Paul</w:t>
      </w:r>
      <w:r w:rsidR="00596CF8">
        <w:rPr>
          <w:rFonts w:ascii="Arial" w:hAnsi="Arial" w:cs="Arial"/>
          <w:color w:val="000000" w:themeColor="text1"/>
        </w:rPr>
        <w:t>a</w:t>
      </w:r>
      <w:r w:rsidRPr="009D3595">
        <w:rPr>
          <w:rFonts w:ascii="Arial" w:hAnsi="Arial" w:cs="Arial"/>
          <w:color w:val="000000" w:themeColor="text1"/>
        </w:rPr>
        <w:t xml:space="preserve"> has reached all the essentials of theft and therefore, it is not a tough job to identify the criminal liability of her conduct. Firstly, the taking of the handbag into the court was an act of appropriation and a dishonest attempt also. The handbag can be considered as a property as it was a materialistic good and it belonged to Christine and before taking it her permission was not sought by Paula. Therefore, her act can be claimed as dishonest appropriation. The bag belonged to others as it was a gift for Christine and Paula has no right of possession. Besides that at the end of the party, the bag was put on the floor by Paula and she drove away from it which permanent destruction was caused to the bag the act was completely intended by Paula and reflects her permanent intention to deprive Christine of the possession and enjoyment of the handbag. Therefore, no doubts are left to comment on it as the criminal liability of theft under section 6 of the Theft Act 1968 will be taken by Paula</w:t>
      </w:r>
      <w:r w:rsidR="00CA0010">
        <w:rPr>
          <w:rFonts w:ascii="Arial" w:hAnsi="Arial" w:cs="Arial"/>
          <w:color w:val="000000" w:themeColor="text1"/>
        </w:rPr>
        <w:t xml:space="preserve"> </w:t>
      </w:r>
      <w:r w:rsidR="00CA0010" w:rsidRPr="009D3595">
        <w:rPr>
          <w:rFonts w:ascii="Arial" w:hAnsi="Arial" w:cs="Arial"/>
          <w:color w:val="000000" w:themeColor="text1"/>
        </w:rPr>
        <w:t>(</w:t>
      </w:r>
      <w:r w:rsidR="00CA0010" w:rsidRPr="009D3595">
        <w:rPr>
          <w:rFonts w:ascii="Arial" w:hAnsi="Arial" w:cs="Arial"/>
          <w:color w:val="000000" w:themeColor="text1"/>
          <w:highlight w:val="white"/>
        </w:rPr>
        <w:t>Legislation.gov.uk, 1968</w:t>
      </w:r>
      <w:r w:rsidR="00CA0010" w:rsidRPr="009D3595">
        <w:rPr>
          <w:rFonts w:ascii="Arial" w:hAnsi="Arial" w:cs="Arial"/>
          <w:color w:val="000000" w:themeColor="text1"/>
        </w:rPr>
        <w:t>).</w:t>
      </w:r>
    </w:p>
    <w:p w14:paraId="0000000C" w14:textId="29784CC1"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The Theft Act, 1968 has been enacted to provide material protection to the people of the UK. and the act has come into force by replacing the Larceny Act 1976. In the previous act, there was another essential which was included in the definition of theft which made it clear that the goods or the product which have been stolen must be carried by the performer who is being assumed for conducting the theft. The change which has been brought in the new legislation has been a better help for the court's interpretation of appropriation has become simpler for that. As the subjective element is not enough to establish the intention of the appropriation, therefore, such change was highly required</w:t>
      </w:r>
      <w:r w:rsidR="00372868" w:rsidRPr="009D3595">
        <w:rPr>
          <w:rFonts w:ascii="Arial" w:hAnsi="Arial" w:cs="Arial"/>
          <w:color w:val="000000" w:themeColor="text1"/>
        </w:rPr>
        <w:t xml:space="preserve"> (</w:t>
      </w:r>
      <w:r w:rsidR="00372868" w:rsidRPr="009D3595">
        <w:rPr>
          <w:rFonts w:ascii="Arial" w:hAnsi="Arial" w:cs="Arial"/>
          <w:color w:val="000000" w:themeColor="text1"/>
          <w:highlight w:val="white"/>
        </w:rPr>
        <w:t>Legislation.gov.uk, 1968</w:t>
      </w:r>
      <w:r w:rsidR="00372868" w:rsidRPr="009D3595">
        <w:rPr>
          <w:rFonts w:ascii="Arial" w:hAnsi="Arial" w:cs="Arial"/>
          <w:color w:val="000000" w:themeColor="text1"/>
        </w:rPr>
        <w:t>).</w:t>
      </w:r>
    </w:p>
    <w:p w14:paraId="0000000D" w14:textId="4EC6A702"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Section 19 of the Offences Against the Person Act 1861 has elaborated that if a person has been hurt by another with or without a weapon which has caused to him her any kind of grievous bodily harm that will be considered unlawful and the person who will conduct such will be guilty and liable for penalty. For such action maximum years of imprisonment can be ordered by the court as per section 20 of the act (</w:t>
      </w:r>
      <w:r w:rsidRPr="009D3595">
        <w:rPr>
          <w:rFonts w:ascii="Arial" w:hAnsi="Arial" w:cs="Arial"/>
          <w:color w:val="000000" w:themeColor="text1"/>
          <w:highlight w:val="white"/>
        </w:rPr>
        <w:t>Legislation.gov.uk, 1861</w:t>
      </w:r>
      <w:r w:rsidRPr="009D3595">
        <w:rPr>
          <w:rFonts w:ascii="Arial" w:hAnsi="Arial" w:cs="Arial"/>
          <w:color w:val="000000" w:themeColor="text1"/>
        </w:rPr>
        <w:t>). According to section 1 of the Criminal Damage Act 1971, if property belonging to others will get damaged or destroyed by a person with reckless behaviour that will amount to unlawful offence as well (</w:t>
      </w:r>
      <w:r w:rsidRPr="009D3595">
        <w:rPr>
          <w:rFonts w:ascii="Arial" w:hAnsi="Arial" w:cs="Arial"/>
          <w:color w:val="000000" w:themeColor="text1"/>
          <w:highlight w:val="white"/>
        </w:rPr>
        <w:t>Legislation.gov.uk, 1971</w:t>
      </w:r>
      <w:r w:rsidRPr="009D3595">
        <w:rPr>
          <w:rFonts w:ascii="Arial" w:hAnsi="Arial" w:cs="Arial"/>
          <w:color w:val="000000" w:themeColor="text1"/>
        </w:rPr>
        <w:t xml:space="preserve">). Intoxication even if it is involuntary will not be counted as a defence in such cases. The intoxication or hallucination as a result of intoxication will be accepted </w:t>
      </w:r>
      <w:r w:rsidRPr="009D3595">
        <w:rPr>
          <w:rFonts w:ascii="Arial" w:hAnsi="Arial" w:cs="Arial"/>
          <w:color w:val="000000" w:themeColor="text1"/>
        </w:rPr>
        <w:lastRenderedPageBreak/>
        <w:t>involuntarily only when the alcohol or the drug has been put on the food or the drink of the defendant without his knowledge. But still, the act or harm which has been caused by him which might not be done by her in his natural sense will not come under any defence (</w:t>
      </w:r>
      <w:r w:rsidRPr="009D3595">
        <w:rPr>
          <w:rFonts w:ascii="Arial" w:hAnsi="Arial" w:cs="Arial"/>
          <w:color w:val="000000" w:themeColor="text1"/>
          <w:highlight w:val="white"/>
        </w:rPr>
        <w:t>CPS, 2018</w:t>
      </w:r>
      <w:r w:rsidRPr="009D3595">
        <w:rPr>
          <w:rFonts w:ascii="Arial" w:hAnsi="Arial" w:cs="Arial"/>
          <w:color w:val="000000" w:themeColor="text1"/>
        </w:rPr>
        <w:t>). As per the case of R v Kingston [1995] 2 A.C. 355, the defendant will be guilty even if he was not in the required mental elements while committing the offence (</w:t>
      </w:r>
      <w:r w:rsidR="00E237FE" w:rsidRPr="009D3595">
        <w:rPr>
          <w:rFonts w:ascii="Arial" w:hAnsi="Arial" w:cs="Arial"/>
          <w:color w:val="000000" w:themeColor="text1"/>
          <w:highlight w:val="white"/>
        </w:rPr>
        <w:t>Lexis Plus</w:t>
      </w:r>
      <w:r w:rsidRPr="009D3595">
        <w:rPr>
          <w:rFonts w:ascii="Arial" w:hAnsi="Arial" w:cs="Arial"/>
          <w:color w:val="000000" w:themeColor="text1"/>
          <w:highlight w:val="white"/>
        </w:rPr>
        <w:t>, 2023</w:t>
      </w:r>
      <w:r w:rsidRPr="009D3595">
        <w:rPr>
          <w:rFonts w:ascii="Arial" w:hAnsi="Arial" w:cs="Arial"/>
          <w:color w:val="000000" w:themeColor="text1"/>
        </w:rPr>
        <w:t xml:space="preserve">). </w:t>
      </w:r>
    </w:p>
    <w:p w14:paraId="0000000F" w14:textId="1D3E631B"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 xml:space="preserve">In the provided case also, the intoxication of Harriet was involuntary as the vodka which made him intoxicated was not consumed by him in his own wish and he was unknown to the fact also that alcohol had been mixed with his drink while taking it. But the harm or destruction which has been committed by him will not accept the defence of involuntary intoxication and therefore he will be liable under section 19 of the Offence Against the Person Act 1861 and section 1 of the Criminal Damage Act 1971. </w:t>
      </w:r>
    </w:p>
    <w:p w14:paraId="00000010" w14:textId="77777777" w:rsidR="00A75798" w:rsidRPr="009D3595" w:rsidRDefault="00622727" w:rsidP="009D3595">
      <w:pPr>
        <w:pStyle w:val="Normal1"/>
        <w:jc w:val="left"/>
        <w:rPr>
          <w:rFonts w:ascii="Arial" w:hAnsi="Arial" w:cs="Arial"/>
          <w:color w:val="000000" w:themeColor="text1"/>
        </w:rPr>
      </w:pPr>
      <w:r w:rsidRPr="009D3595">
        <w:rPr>
          <w:rFonts w:ascii="Arial" w:hAnsi="Arial" w:cs="Arial"/>
          <w:color w:val="000000" w:themeColor="text1"/>
        </w:rPr>
        <w:t xml:space="preserve">The study has identified that Paula has performed theft and she has achieved all the essentials of theft as per the legislation therefore, she must bear the criminal liability for that. It has been outlined that the damages and hurt caused by Harriet come from the Criminal Damage Act 1971 and Offences Against the Person Act 1861 respectively and no defence for involuntary intoxication will be provided to him.  </w:t>
      </w:r>
    </w:p>
    <w:p w14:paraId="00000011" w14:textId="77777777" w:rsidR="00A75798" w:rsidRPr="009D3595" w:rsidRDefault="00622727" w:rsidP="009D3595">
      <w:pPr>
        <w:pStyle w:val="Normal1"/>
        <w:jc w:val="left"/>
        <w:rPr>
          <w:rFonts w:ascii="Arial" w:hAnsi="Arial" w:cs="Arial"/>
          <w:b/>
          <w:color w:val="000000" w:themeColor="text1"/>
        </w:rPr>
      </w:pPr>
      <w:r w:rsidRPr="009D3595">
        <w:rPr>
          <w:rFonts w:ascii="Arial" w:hAnsi="Arial" w:cs="Arial"/>
          <w:color w:val="000000" w:themeColor="text1"/>
        </w:rPr>
        <w:br w:type="page"/>
      </w:r>
    </w:p>
    <w:p w14:paraId="581C3A20" w14:textId="35BFF779" w:rsidR="00A30DBD" w:rsidRPr="009D3595" w:rsidRDefault="00622727" w:rsidP="009D3595">
      <w:pPr>
        <w:pStyle w:val="Normal1"/>
        <w:jc w:val="left"/>
        <w:rPr>
          <w:rFonts w:ascii="Arial" w:hAnsi="Arial" w:cs="Arial"/>
          <w:b/>
          <w:color w:val="000000" w:themeColor="text1"/>
        </w:rPr>
      </w:pPr>
      <w:r w:rsidRPr="009D3595">
        <w:rPr>
          <w:rFonts w:ascii="Arial" w:hAnsi="Arial" w:cs="Arial"/>
          <w:b/>
          <w:color w:val="000000" w:themeColor="text1"/>
        </w:rPr>
        <w:lastRenderedPageBreak/>
        <w:t>References</w:t>
      </w:r>
    </w:p>
    <w:p w14:paraId="4DEEB2E5" w14:textId="77777777" w:rsidR="00A30DBD"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 xml:space="preserve">CPS (2018) </w:t>
      </w:r>
      <w:r w:rsidRPr="009D3595">
        <w:rPr>
          <w:rFonts w:ascii="Arial" w:hAnsi="Arial" w:cs="Arial"/>
          <w:i/>
          <w:color w:val="000000" w:themeColor="text1"/>
          <w:highlight w:val="white"/>
        </w:rPr>
        <w:t>Intoxication</w:t>
      </w:r>
      <w:r w:rsidRPr="009D3595">
        <w:rPr>
          <w:rFonts w:ascii="Arial" w:hAnsi="Arial" w:cs="Arial"/>
          <w:color w:val="000000" w:themeColor="text1"/>
          <w:highlight w:val="white"/>
        </w:rPr>
        <w:t xml:space="preserve">, </w:t>
      </w:r>
      <w:r w:rsidRPr="009D3595">
        <w:rPr>
          <w:rFonts w:ascii="Arial" w:hAnsi="Arial" w:cs="Arial"/>
          <w:i/>
          <w:color w:val="000000" w:themeColor="text1"/>
          <w:highlight w:val="white"/>
        </w:rPr>
        <w:t>Intoxication | The Crown Prosecution Service</w:t>
      </w:r>
      <w:r w:rsidRPr="009D3595">
        <w:rPr>
          <w:rFonts w:ascii="Arial" w:hAnsi="Arial" w:cs="Arial"/>
          <w:color w:val="000000" w:themeColor="text1"/>
          <w:highlight w:val="white"/>
        </w:rPr>
        <w:t>. Available at: https://www.cps.gov.uk/legal-guidance/intoxication (Accessed: 27 June 2023).</w:t>
      </w:r>
    </w:p>
    <w:p w14:paraId="5951C9CA" w14:textId="77777777" w:rsidR="00A30DBD"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 xml:space="preserve">CPS (2022) </w:t>
      </w:r>
      <w:r w:rsidRPr="009D3595">
        <w:rPr>
          <w:rFonts w:ascii="Arial" w:hAnsi="Arial" w:cs="Arial"/>
          <w:i/>
          <w:color w:val="000000" w:themeColor="text1"/>
          <w:highlight w:val="white"/>
        </w:rPr>
        <w:t>Theft Act offences</w:t>
      </w:r>
      <w:r w:rsidRPr="009D3595">
        <w:rPr>
          <w:rFonts w:ascii="Arial" w:hAnsi="Arial" w:cs="Arial"/>
          <w:color w:val="000000" w:themeColor="text1"/>
          <w:highlight w:val="white"/>
        </w:rPr>
        <w:t xml:space="preserve">, </w:t>
      </w:r>
      <w:r w:rsidRPr="009D3595">
        <w:rPr>
          <w:rFonts w:ascii="Arial" w:hAnsi="Arial" w:cs="Arial"/>
          <w:i/>
          <w:color w:val="000000" w:themeColor="text1"/>
          <w:highlight w:val="white"/>
        </w:rPr>
        <w:t>Theft Act Offences | The Crown Prosecution Service</w:t>
      </w:r>
      <w:r w:rsidRPr="009D3595">
        <w:rPr>
          <w:rFonts w:ascii="Arial" w:hAnsi="Arial" w:cs="Arial"/>
          <w:color w:val="000000" w:themeColor="text1"/>
          <w:highlight w:val="white"/>
        </w:rPr>
        <w:t>. Available at: https://www.cps.gov.uk/legal-guidance/theft-act-offences (Accessed: 27 June 2023).</w:t>
      </w:r>
    </w:p>
    <w:p w14:paraId="0A15A658" w14:textId="7ACEEA59" w:rsidR="00A30DBD"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L</w:t>
      </w:r>
      <w:r w:rsidR="00012BC7">
        <w:rPr>
          <w:rFonts w:ascii="Arial" w:hAnsi="Arial" w:cs="Arial"/>
          <w:color w:val="000000" w:themeColor="text1"/>
          <w:highlight w:val="white"/>
        </w:rPr>
        <w:t>exis Plus</w:t>
      </w:r>
      <w:r w:rsidRPr="009D3595">
        <w:rPr>
          <w:rFonts w:ascii="Arial" w:hAnsi="Arial" w:cs="Arial"/>
          <w:color w:val="000000" w:themeColor="text1"/>
          <w:highlight w:val="white"/>
        </w:rPr>
        <w:t xml:space="preserve"> (202</w:t>
      </w:r>
      <w:r w:rsidR="00012BC7">
        <w:rPr>
          <w:rFonts w:ascii="Arial" w:hAnsi="Arial" w:cs="Arial"/>
          <w:color w:val="000000" w:themeColor="text1"/>
          <w:highlight w:val="white"/>
        </w:rPr>
        <w:t>3</w:t>
      </w:r>
      <w:r w:rsidRPr="009D3595">
        <w:rPr>
          <w:rFonts w:ascii="Arial" w:hAnsi="Arial" w:cs="Arial"/>
          <w:color w:val="000000" w:themeColor="text1"/>
          <w:highlight w:val="white"/>
        </w:rPr>
        <w:t xml:space="preserve">) </w:t>
      </w:r>
      <w:hyperlink r:id="rId6" w:history="1">
        <w:r w:rsidR="004B1DEF" w:rsidRPr="004B1DEF">
          <w:rPr>
            <w:rStyle w:val="Hyperlink"/>
            <w:rFonts w:ascii="Arial" w:hAnsi="Arial" w:cs="Arial"/>
            <w:i/>
            <w:iCs/>
            <w:color w:val="000000" w:themeColor="text1"/>
            <w:u w:val="none"/>
            <w:bdr w:val="none" w:sz="0" w:space="0" w:color="auto" w:frame="1"/>
            <w:shd w:val="clear" w:color="auto" w:fill="FFFFFF"/>
          </w:rPr>
          <w:t>Lawrence v Metropolitan Police Comr [1972] AC 626, [1971] 2 All ER 1253, [1971] 3 WLR 225</w:t>
        </w:r>
      </w:hyperlink>
      <w:r w:rsidRPr="009D3595">
        <w:rPr>
          <w:rFonts w:ascii="Arial" w:hAnsi="Arial" w:cs="Arial"/>
          <w:color w:val="000000" w:themeColor="text1"/>
          <w:highlight w:val="white"/>
        </w:rPr>
        <w:t xml:space="preserve">. Available at: </w:t>
      </w:r>
      <w:hyperlink r:id="rId7" w:history="1">
        <w:r w:rsidR="00012BC7" w:rsidRPr="007B56A2">
          <w:rPr>
            <w:rStyle w:val="Hyperlink"/>
            <w:rFonts w:ascii="Arial" w:hAnsi="Arial" w:cs="Arial"/>
          </w:rPr>
          <w:t>https://plus-lexis-com.ezproxy.uwtsd.ac.uk/uk/cases-uk/lawrence-v-metropolitan-police-comr?crid=96ab2ed3-3a9a-43e2-9a68-c761915e72ba</w:t>
        </w:r>
      </w:hyperlink>
      <w:r w:rsidR="00012BC7">
        <w:rPr>
          <w:rFonts w:ascii="Arial" w:hAnsi="Arial" w:cs="Arial"/>
          <w:color w:val="000000" w:themeColor="text1"/>
          <w:highlight w:val="white"/>
        </w:rPr>
        <w:t xml:space="preserve"> </w:t>
      </w:r>
      <w:r w:rsidRPr="009D3595">
        <w:rPr>
          <w:rFonts w:ascii="Arial" w:hAnsi="Arial" w:cs="Arial"/>
          <w:color w:val="000000" w:themeColor="text1"/>
          <w:highlight w:val="white"/>
        </w:rPr>
        <w:t xml:space="preserve"> (Accessed: 27 June 2023).</w:t>
      </w:r>
    </w:p>
    <w:p w14:paraId="0E14D973" w14:textId="77777777" w:rsidR="00A30DBD"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 xml:space="preserve">Legislation.gov.uk (1861) </w:t>
      </w:r>
      <w:r w:rsidRPr="009D3595">
        <w:rPr>
          <w:rFonts w:ascii="Arial" w:hAnsi="Arial" w:cs="Arial"/>
          <w:i/>
          <w:color w:val="000000" w:themeColor="text1"/>
          <w:highlight w:val="white"/>
        </w:rPr>
        <w:t>Offences against the Person Act 1861</w:t>
      </w:r>
      <w:r w:rsidRPr="009D3595">
        <w:rPr>
          <w:rFonts w:ascii="Arial" w:hAnsi="Arial" w:cs="Arial"/>
          <w:color w:val="000000" w:themeColor="text1"/>
          <w:highlight w:val="white"/>
        </w:rPr>
        <w:t xml:space="preserve">, </w:t>
      </w:r>
      <w:r w:rsidRPr="009D3595">
        <w:rPr>
          <w:rFonts w:ascii="Arial" w:hAnsi="Arial" w:cs="Arial"/>
          <w:i/>
          <w:color w:val="000000" w:themeColor="text1"/>
          <w:highlight w:val="white"/>
        </w:rPr>
        <w:t>Legislation.gov.uk</w:t>
      </w:r>
      <w:r w:rsidRPr="009D3595">
        <w:rPr>
          <w:rFonts w:ascii="Arial" w:hAnsi="Arial" w:cs="Arial"/>
          <w:color w:val="000000" w:themeColor="text1"/>
          <w:highlight w:val="white"/>
        </w:rPr>
        <w:t xml:space="preserve">. Available at: https://www.legislation.gov.uk/ukpga/Vict/24-25/100/section/20 (Accessed: 27 June 2023). </w:t>
      </w:r>
    </w:p>
    <w:p w14:paraId="50E6BEDC" w14:textId="77777777" w:rsidR="00A30DBD"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 xml:space="preserve">Legislation.gov.uk (1968) </w:t>
      </w:r>
      <w:r w:rsidRPr="009D3595">
        <w:rPr>
          <w:rFonts w:ascii="Arial" w:hAnsi="Arial" w:cs="Arial"/>
          <w:i/>
          <w:color w:val="000000" w:themeColor="text1"/>
          <w:highlight w:val="white"/>
        </w:rPr>
        <w:t>Theft Act 1968</w:t>
      </w:r>
      <w:r w:rsidRPr="009D3595">
        <w:rPr>
          <w:rFonts w:ascii="Arial" w:hAnsi="Arial" w:cs="Arial"/>
          <w:color w:val="000000" w:themeColor="text1"/>
          <w:highlight w:val="white"/>
        </w:rPr>
        <w:t xml:space="preserve">, </w:t>
      </w:r>
      <w:r w:rsidRPr="009D3595">
        <w:rPr>
          <w:rFonts w:ascii="Arial" w:hAnsi="Arial" w:cs="Arial"/>
          <w:i/>
          <w:color w:val="000000" w:themeColor="text1"/>
          <w:highlight w:val="white"/>
        </w:rPr>
        <w:t>Legislation.gov.uk</w:t>
      </w:r>
      <w:r w:rsidRPr="009D3595">
        <w:rPr>
          <w:rFonts w:ascii="Arial" w:hAnsi="Arial" w:cs="Arial"/>
          <w:color w:val="000000" w:themeColor="text1"/>
          <w:highlight w:val="white"/>
        </w:rPr>
        <w:t>. Available at: https://www.legislation.gov.uk/ukpga/1968/60/contents (Accessed: 27 June 2023).</w:t>
      </w:r>
    </w:p>
    <w:p w14:paraId="3F34CC99" w14:textId="77777777" w:rsidR="00A30DBD"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 xml:space="preserve">Legislation.gov.uk (1971) </w:t>
      </w:r>
      <w:r w:rsidRPr="009D3595">
        <w:rPr>
          <w:rFonts w:ascii="Arial" w:hAnsi="Arial" w:cs="Arial"/>
          <w:i/>
          <w:color w:val="000000" w:themeColor="text1"/>
          <w:highlight w:val="white"/>
        </w:rPr>
        <w:t>Criminal damage act 1971</w:t>
      </w:r>
      <w:r w:rsidRPr="009D3595">
        <w:rPr>
          <w:rFonts w:ascii="Arial" w:hAnsi="Arial" w:cs="Arial"/>
          <w:color w:val="000000" w:themeColor="text1"/>
          <w:highlight w:val="white"/>
        </w:rPr>
        <w:t xml:space="preserve">, </w:t>
      </w:r>
      <w:r w:rsidRPr="009D3595">
        <w:rPr>
          <w:rFonts w:ascii="Arial" w:hAnsi="Arial" w:cs="Arial"/>
          <w:i/>
          <w:color w:val="000000" w:themeColor="text1"/>
          <w:highlight w:val="white"/>
        </w:rPr>
        <w:t>Legislation.gov.uk</w:t>
      </w:r>
      <w:r w:rsidRPr="009D3595">
        <w:rPr>
          <w:rFonts w:ascii="Arial" w:hAnsi="Arial" w:cs="Arial"/>
          <w:color w:val="000000" w:themeColor="text1"/>
          <w:highlight w:val="white"/>
        </w:rPr>
        <w:t>. Available at: https://www.legislation.gov.uk/ukpga/1971/48 (Accessed: 27 June 2023).</w:t>
      </w:r>
    </w:p>
    <w:p w14:paraId="7A7919AB" w14:textId="77777777" w:rsidR="00EC6FDF" w:rsidRPr="009D3595" w:rsidRDefault="00EC6FDF"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 xml:space="preserve">Lexis Plus (2023) </w:t>
      </w:r>
      <w:r w:rsidRPr="009D3595">
        <w:rPr>
          <w:rFonts w:ascii="Arial" w:hAnsi="Arial" w:cs="Arial"/>
          <w:i/>
          <w:color w:val="000000" w:themeColor="text1"/>
          <w:highlight w:val="white"/>
        </w:rPr>
        <w:t>R v Kingston</w:t>
      </w:r>
      <w:r w:rsidRPr="009D3595">
        <w:rPr>
          <w:rFonts w:ascii="Arial" w:hAnsi="Arial" w:cs="Arial"/>
          <w:color w:val="000000" w:themeColor="text1"/>
          <w:highlight w:val="white"/>
        </w:rPr>
        <w:t xml:space="preserve">. Available at: </w:t>
      </w:r>
      <w:r w:rsidRPr="009D3595">
        <w:rPr>
          <w:rFonts w:ascii="Arial" w:hAnsi="Arial" w:cs="Arial"/>
          <w:color w:val="000000" w:themeColor="text1"/>
        </w:rPr>
        <w:t>https://plus-lexis-com.ezproxy.uwtsd.ac.uk/uk/cases-uk/r-v-kingston_4?crid=1a30dd41-4dec-4ed4-9b7d-aba0fff5ed7e</w:t>
      </w:r>
      <w:r w:rsidRPr="009D3595">
        <w:rPr>
          <w:rFonts w:ascii="Arial" w:hAnsi="Arial" w:cs="Arial"/>
          <w:color w:val="000000" w:themeColor="text1"/>
          <w:highlight w:val="white"/>
        </w:rPr>
        <w:t xml:space="preserve">  (Accessed: 27 June 2023).</w:t>
      </w:r>
    </w:p>
    <w:p w14:paraId="12DAABF6" w14:textId="77777777" w:rsidR="00EC6FDF" w:rsidRPr="009D3595" w:rsidRDefault="00EC6FDF"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Lexis Plus (2023)</w:t>
      </w:r>
      <w:r w:rsidRPr="009D3595">
        <w:rPr>
          <w:rFonts w:ascii="Arial" w:hAnsi="Arial" w:cs="Arial"/>
          <w:color w:val="000000" w:themeColor="text1"/>
        </w:rPr>
        <w:t xml:space="preserve"> </w:t>
      </w:r>
      <w:hyperlink r:id="rId8" w:history="1">
        <w:r w:rsidRPr="009D3595">
          <w:rPr>
            <w:rStyle w:val="Hyperlink"/>
            <w:rFonts w:ascii="Arial" w:hAnsi="Arial" w:cs="Arial"/>
            <w:i/>
            <w:iCs/>
            <w:color w:val="000000" w:themeColor="text1"/>
            <w:u w:val="none"/>
            <w:bdr w:val="none" w:sz="0" w:space="0" w:color="auto" w:frame="1"/>
            <w:shd w:val="clear" w:color="auto" w:fill="FFFFFF"/>
          </w:rPr>
          <w:t>R v Turner [1970] 2 QB 321, [1970] 2 All ER 281, [1970] 2 WLR 1093, 54 Cr App Rep 352, 134 JP 529, 114 Sol Jo 337</w:t>
        </w:r>
      </w:hyperlink>
      <w:r w:rsidRPr="009D3595">
        <w:rPr>
          <w:rFonts w:ascii="Arial" w:hAnsi="Arial" w:cs="Arial"/>
          <w:i/>
          <w:iCs/>
          <w:color w:val="000000" w:themeColor="text1"/>
          <w:highlight w:val="white"/>
        </w:rPr>
        <w:t>.</w:t>
      </w:r>
      <w:r w:rsidRPr="009D3595">
        <w:rPr>
          <w:rFonts w:ascii="Arial" w:hAnsi="Arial" w:cs="Arial"/>
          <w:color w:val="000000" w:themeColor="text1"/>
          <w:highlight w:val="white"/>
        </w:rPr>
        <w:t xml:space="preserve"> Available at: </w:t>
      </w:r>
      <w:r w:rsidRPr="009D3595">
        <w:rPr>
          <w:rFonts w:ascii="Arial" w:hAnsi="Arial" w:cs="Arial"/>
          <w:color w:val="000000" w:themeColor="text1"/>
        </w:rPr>
        <w:t>https://plus-lexis-com.ezproxy.uwtsd.ac.uk/uk/cases-uk/r-v-turner_56?crid=06ee84a7-3197-4f20-9894-e576d7a18379</w:t>
      </w:r>
      <w:r w:rsidRPr="009D3595">
        <w:rPr>
          <w:rFonts w:ascii="Arial" w:hAnsi="Arial" w:cs="Arial"/>
          <w:color w:val="000000" w:themeColor="text1"/>
          <w:highlight w:val="white"/>
        </w:rPr>
        <w:t xml:space="preserve"> (Accessed: 27 June 2023).</w:t>
      </w:r>
    </w:p>
    <w:p w14:paraId="3C49E8E9" w14:textId="1EE38AE9" w:rsidR="00EC6FDF" w:rsidRPr="009D3595" w:rsidRDefault="001B0514"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Lexis Plus (2023)</w:t>
      </w:r>
      <w:r w:rsidRPr="009D3595">
        <w:rPr>
          <w:rFonts w:ascii="Arial" w:hAnsi="Arial" w:cs="Arial"/>
          <w:color w:val="000000" w:themeColor="text1"/>
        </w:rPr>
        <w:t xml:space="preserve"> </w:t>
      </w:r>
      <w:hyperlink r:id="rId9" w:history="1">
        <w:r w:rsidR="0092595E" w:rsidRPr="009D3595">
          <w:rPr>
            <w:rStyle w:val="Hyperlink"/>
            <w:rFonts w:ascii="Arial" w:hAnsi="Arial" w:cs="Arial"/>
            <w:i/>
            <w:iCs/>
            <w:color w:val="000000" w:themeColor="text1"/>
            <w:u w:val="none"/>
            <w:bdr w:val="none" w:sz="0" w:space="0" w:color="auto" w:frame="1"/>
            <w:shd w:val="clear" w:color="auto" w:fill="FFFFFF"/>
          </w:rPr>
          <w:t>Ivey v Genting Casinos (UK) Ltd (trading as Crockfords) [2017] UKSC 67, [2018] AC 391, [2018] 2 All ER 406, [2017] 3 WLR 1212, [2018] 1 Cr App Rep 180, [2017] LLR 783, [2018] Crim LR 395, (2017) Times, 13 November, [2017] All ER (D) 134 (Oct)</w:t>
        </w:r>
      </w:hyperlink>
      <w:r w:rsidRPr="009D3595">
        <w:rPr>
          <w:rFonts w:ascii="Arial" w:hAnsi="Arial" w:cs="Arial"/>
          <w:color w:val="000000" w:themeColor="text1"/>
          <w:highlight w:val="white"/>
        </w:rPr>
        <w:t xml:space="preserve"> Available at: </w:t>
      </w:r>
      <w:hyperlink r:id="rId10" w:history="1">
        <w:r w:rsidR="005B0378" w:rsidRPr="009D3595">
          <w:rPr>
            <w:rStyle w:val="Hyperlink"/>
            <w:rFonts w:ascii="Arial" w:hAnsi="Arial" w:cs="Arial"/>
            <w:color w:val="000000" w:themeColor="text1"/>
          </w:rPr>
          <w:t>https://plus-lexis-</w:t>
        </w:r>
        <w:r w:rsidR="005B0378" w:rsidRPr="009D3595">
          <w:rPr>
            <w:rStyle w:val="Hyperlink"/>
            <w:rFonts w:ascii="Arial" w:hAnsi="Arial" w:cs="Arial"/>
            <w:color w:val="000000" w:themeColor="text1"/>
          </w:rPr>
          <w:lastRenderedPageBreak/>
          <w:t>com.ezproxy.uwtsd.ac.uk/uk/cases-uk/ivey-v-genting-casinos-uk-ltd-trading-as-croc_3?crid=4978ea5b-57bb-4cb3-8e23-4aa4f7c52828</w:t>
        </w:r>
      </w:hyperlink>
      <w:r w:rsidR="005B0378" w:rsidRPr="009D3595">
        <w:rPr>
          <w:rFonts w:ascii="Arial" w:hAnsi="Arial" w:cs="Arial"/>
          <w:color w:val="000000" w:themeColor="text1"/>
          <w:highlight w:val="white"/>
        </w:rPr>
        <w:t xml:space="preserve"> ( Accessed: 27 June 2023)</w:t>
      </w:r>
    </w:p>
    <w:p w14:paraId="6799D8C7" w14:textId="3EE6DC86" w:rsidR="00A30DBD"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LexisNexis (2023)</w:t>
      </w:r>
      <w:r w:rsidR="005B0378" w:rsidRPr="009D3595">
        <w:rPr>
          <w:rFonts w:ascii="Arial" w:hAnsi="Arial" w:cs="Arial"/>
          <w:i/>
          <w:color w:val="000000" w:themeColor="text1"/>
          <w:highlight w:val="white"/>
        </w:rPr>
        <w:t xml:space="preserve"> Theft Offences Overview</w:t>
      </w:r>
      <w:r w:rsidRPr="009D3595">
        <w:rPr>
          <w:rFonts w:ascii="Arial" w:hAnsi="Arial" w:cs="Arial"/>
          <w:color w:val="000000" w:themeColor="text1"/>
          <w:highlight w:val="white"/>
        </w:rPr>
        <w:t xml:space="preserve">. Available at: </w:t>
      </w:r>
      <w:r w:rsidR="005B0378" w:rsidRPr="009D3595">
        <w:rPr>
          <w:rFonts w:ascii="Arial" w:hAnsi="Arial" w:cs="Arial"/>
          <w:color w:val="000000" w:themeColor="text1"/>
        </w:rPr>
        <w:t>https://plus-lexis-com.ezproxy.uwtsd.ac.uk/uk/document/?pdmfid=1001073&amp;crid=27503a80-e676-4ea7-96d5-2401ab0db4b4&amp;pddocfullpath=%2Fshared%2Fdocument%2Fpractical-guidance-uk%2Furn%3AcontentItem%3A592G-YDG1-F188-N1XN-00000-00&amp;pdcontentcomponentid=391421&amp;pdteaserkey=&amp;pdislpamode=false&amp;pddocumentnumber=1&amp;ecomp=ft5k&amp;earg=sr0&amp;prid=c5e59faa-2431-4d8c-a619-ffcaa8b9507f</w:t>
      </w:r>
      <w:r w:rsidR="005B0378" w:rsidRPr="009D3595">
        <w:rPr>
          <w:rFonts w:ascii="Arial" w:hAnsi="Arial" w:cs="Arial"/>
          <w:color w:val="000000" w:themeColor="text1"/>
          <w:highlight w:val="white"/>
        </w:rPr>
        <w:t xml:space="preserve">  </w:t>
      </w:r>
      <w:r w:rsidRPr="009D3595">
        <w:rPr>
          <w:rFonts w:ascii="Arial" w:hAnsi="Arial" w:cs="Arial"/>
          <w:color w:val="000000" w:themeColor="text1"/>
          <w:highlight w:val="white"/>
        </w:rPr>
        <w:t xml:space="preserve">(Accessed: 27 June 2023). </w:t>
      </w:r>
    </w:p>
    <w:p w14:paraId="0000001F" w14:textId="41A00852" w:rsidR="00A75798" w:rsidRPr="009D3595" w:rsidRDefault="00A30DBD" w:rsidP="009D3595">
      <w:pPr>
        <w:pStyle w:val="Normal1"/>
        <w:spacing w:before="240" w:after="240"/>
        <w:jc w:val="left"/>
        <w:rPr>
          <w:rFonts w:ascii="Arial" w:hAnsi="Arial" w:cs="Arial"/>
          <w:color w:val="000000" w:themeColor="text1"/>
          <w:highlight w:val="white"/>
        </w:rPr>
      </w:pPr>
      <w:r w:rsidRPr="009D3595">
        <w:rPr>
          <w:rFonts w:ascii="Arial" w:hAnsi="Arial" w:cs="Arial"/>
          <w:color w:val="000000" w:themeColor="text1"/>
          <w:highlight w:val="white"/>
        </w:rPr>
        <w:t xml:space="preserve">Melissaris, E., </w:t>
      </w:r>
      <w:r w:rsidR="005B0378" w:rsidRPr="009D3595">
        <w:rPr>
          <w:rFonts w:ascii="Arial" w:hAnsi="Arial" w:cs="Arial"/>
          <w:color w:val="000000" w:themeColor="text1"/>
          <w:highlight w:val="white"/>
        </w:rPr>
        <w:t>(</w:t>
      </w:r>
      <w:r w:rsidRPr="009D3595">
        <w:rPr>
          <w:rFonts w:ascii="Arial" w:hAnsi="Arial" w:cs="Arial"/>
          <w:color w:val="000000" w:themeColor="text1"/>
          <w:highlight w:val="white"/>
        </w:rPr>
        <w:t>2007</w:t>
      </w:r>
      <w:r w:rsidR="005B0378" w:rsidRPr="009D3595">
        <w:rPr>
          <w:rFonts w:ascii="Arial" w:hAnsi="Arial" w:cs="Arial"/>
          <w:color w:val="000000" w:themeColor="text1"/>
          <w:highlight w:val="white"/>
        </w:rPr>
        <w:t>)</w:t>
      </w:r>
      <w:r w:rsidRPr="009D3595">
        <w:rPr>
          <w:rFonts w:ascii="Arial" w:hAnsi="Arial" w:cs="Arial"/>
          <w:color w:val="000000" w:themeColor="text1"/>
          <w:highlight w:val="white"/>
        </w:rPr>
        <w:t xml:space="preserve">. </w:t>
      </w:r>
      <w:r w:rsidRPr="009D3595">
        <w:rPr>
          <w:rFonts w:ascii="Arial" w:hAnsi="Arial" w:cs="Arial"/>
          <w:i/>
          <w:iCs/>
          <w:color w:val="000000" w:themeColor="text1"/>
          <w:highlight w:val="white"/>
        </w:rPr>
        <w:t>The concept of appropriation and the offence of theft</w:t>
      </w:r>
      <w:r w:rsidRPr="009D3595">
        <w:rPr>
          <w:rFonts w:ascii="Arial" w:hAnsi="Arial" w:cs="Arial"/>
          <w:color w:val="000000" w:themeColor="text1"/>
          <w:highlight w:val="white"/>
        </w:rPr>
        <w:t>. The Modern Law Review, 70(4), pp.581-597.</w:t>
      </w:r>
    </w:p>
    <w:sectPr w:rsidR="00A75798" w:rsidRPr="009D3595" w:rsidSect="00A30DBD">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516B9" w14:textId="77777777" w:rsidR="00933283" w:rsidRDefault="00933283" w:rsidP="00A30DBD">
      <w:pPr>
        <w:spacing w:line="240" w:lineRule="auto"/>
      </w:pPr>
      <w:r>
        <w:separator/>
      </w:r>
    </w:p>
  </w:endnote>
  <w:endnote w:type="continuationSeparator" w:id="0">
    <w:p w14:paraId="7629D4CD" w14:textId="77777777" w:rsidR="00933283" w:rsidRDefault="00933283" w:rsidP="00A30D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466102"/>
      <w:docPartObj>
        <w:docPartGallery w:val="Page Numbers (Bottom of Page)"/>
        <w:docPartUnique/>
      </w:docPartObj>
    </w:sdtPr>
    <w:sdtContent>
      <w:sdt>
        <w:sdtPr>
          <w:id w:val="-1769616900"/>
          <w:docPartObj>
            <w:docPartGallery w:val="Page Numbers (Top of Page)"/>
            <w:docPartUnique/>
          </w:docPartObj>
        </w:sdtPr>
        <w:sdtContent>
          <w:p w14:paraId="5BF93C88" w14:textId="62C3F817" w:rsidR="00A30DBD" w:rsidRDefault="00A30DB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47237EC" w14:textId="77777777" w:rsidR="00A30DBD" w:rsidRDefault="00A30D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C4A45" w14:textId="77777777" w:rsidR="00933283" w:rsidRDefault="00933283" w:rsidP="00A30DBD">
      <w:pPr>
        <w:spacing w:line="240" w:lineRule="auto"/>
      </w:pPr>
      <w:r>
        <w:separator/>
      </w:r>
    </w:p>
  </w:footnote>
  <w:footnote w:type="continuationSeparator" w:id="0">
    <w:p w14:paraId="56AA5DF9" w14:textId="77777777" w:rsidR="00933283" w:rsidRDefault="00933283" w:rsidP="00A30D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5798"/>
    <w:rsid w:val="00012BC7"/>
    <w:rsid w:val="00026B44"/>
    <w:rsid w:val="00046DA6"/>
    <w:rsid w:val="000C4682"/>
    <w:rsid w:val="001B0514"/>
    <w:rsid w:val="00243E31"/>
    <w:rsid w:val="00356EB2"/>
    <w:rsid w:val="00372868"/>
    <w:rsid w:val="004B1DEF"/>
    <w:rsid w:val="00596CF8"/>
    <w:rsid w:val="005B0378"/>
    <w:rsid w:val="00622727"/>
    <w:rsid w:val="006A6507"/>
    <w:rsid w:val="007D529E"/>
    <w:rsid w:val="0092595E"/>
    <w:rsid w:val="00933283"/>
    <w:rsid w:val="009D3595"/>
    <w:rsid w:val="00A30DBD"/>
    <w:rsid w:val="00A75798"/>
    <w:rsid w:val="00AA0554"/>
    <w:rsid w:val="00B075C2"/>
    <w:rsid w:val="00B36D03"/>
    <w:rsid w:val="00B678EC"/>
    <w:rsid w:val="00C05BB8"/>
    <w:rsid w:val="00CA0010"/>
    <w:rsid w:val="00CE553C"/>
    <w:rsid w:val="00E237FE"/>
    <w:rsid w:val="00E63BF1"/>
    <w:rsid w:val="00E73506"/>
    <w:rsid w:val="00EC6F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1C32"/>
  <w15:docId w15:val="{05732CE5-EB3E-4E74-8F1E-66A79F11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30DBD"/>
    <w:pPr>
      <w:tabs>
        <w:tab w:val="center" w:pos="4513"/>
        <w:tab w:val="right" w:pos="9026"/>
      </w:tabs>
      <w:spacing w:line="240" w:lineRule="auto"/>
    </w:pPr>
  </w:style>
  <w:style w:type="character" w:customStyle="1" w:styleId="HeaderChar">
    <w:name w:val="Header Char"/>
    <w:basedOn w:val="DefaultParagraphFont"/>
    <w:link w:val="Header"/>
    <w:uiPriority w:val="99"/>
    <w:rsid w:val="00A30DBD"/>
  </w:style>
  <w:style w:type="paragraph" w:styleId="Footer">
    <w:name w:val="footer"/>
    <w:basedOn w:val="Normal"/>
    <w:link w:val="FooterChar"/>
    <w:uiPriority w:val="99"/>
    <w:unhideWhenUsed/>
    <w:rsid w:val="00A30DBD"/>
    <w:pPr>
      <w:tabs>
        <w:tab w:val="center" w:pos="4513"/>
        <w:tab w:val="right" w:pos="9026"/>
      </w:tabs>
      <w:spacing w:line="240" w:lineRule="auto"/>
    </w:pPr>
  </w:style>
  <w:style w:type="character" w:customStyle="1" w:styleId="FooterChar">
    <w:name w:val="Footer Char"/>
    <w:basedOn w:val="DefaultParagraphFont"/>
    <w:link w:val="Footer"/>
    <w:uiPriority w:val="99"/>
    <w:rsid w:val="00A30DBD"/>
  </w:style>
  <w:style w:type="character" w:styleId="Hyperlink">
    <w:name w:val="Hyperlink"/>
    <w:basedOn w:val="DefaultParagraphFont"/>
    <w:uiPriority w:val="99"/>
    <w:unhideWhenUsed/>
    <w:rsid w:val="00C05BB8"/>
    <w:rPr>
      <w:color w:val="0000FF"/>
      <w:u w:val="single"/>
    </w:rPr>
  </w:style>
  <w:style w:type="character" w:styleId="UnresolvedMention">
    <w:name w:val="Unresolved Mention"/>
    <w:basedOn w:val="DefaultParagraphFont"/>
    <w:uiPriority w:val="99"/>
    <w:semiHidden/>
    <w:unhideWhenUsed/>
    <w:rsid w:val="005B0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210349">
      <w:bodyDiv w:val="1"/>
      <w:marLeft w:val="0"/>
      <w:marRight w:val="0"/>
      <w:marTop w:val="0"/>
      <w:marBottom w:val="0"/>
      <w:divBdr>
        <w:top w:val="none" w:sz="0" w:space="0" w:color="auto"/>
        <w:left w:val="none" w:sz="0" w:space="0" w:color="auto"/>
        <w:bottom w:val="none" w:sz="0" w:space="0" w:color="auto"/>
        <w:right w:val="none" w:sz="0" w:space="0" w:color="auto"/>
      </w:divBdr>
    </w:div>
    <w:div w:id="1205605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ezproxy.uwtsd.ac.uk/api/document/collection/cases-uk/id/4FXH-FDH0-TWW4-2042-00000-00?cite=R%20v%20Turner%2C%20%5B1970%5D%202%20QB%20321%2C%20%5B1970%5D%202%20All%20ER%20281%2C%20%5B1970%5D%202%20WLR%201093%2C%2054%20Cr%20App%20Rep%20352%2C%20134%20JP%20529%2C%20114%20Sol%20Jo%20337&amp;context=100107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lus-lexis-com.ezproxy.uwtsd.ac.uk/uk/cases-uk/lawrence-v-metropolitan-police-comr?crid=96ab2ed3-3a9a-43e2-9a68-c761915e72b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us-lexis-com.ezproxy.uwtsd.ac.uk/api/document/collection/cases-uk/id/4FXT-SRX0-TWW4-208H-00000-00?cite=Lawrence%20v%20Metropolitan%20Police%20Comr%2C%20%5B1972%5D%20AC%20626%2C%20%5B1971%5D%202%20All%20ER%201253%2C%20%5B1971%5D%203%20WLR%20225&amp;context=1001073"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plus-lexis-com.ezproxy.uwtsd.ac.uk/uk/cases-uk/ivey-v-genting-casinos-uk-ltd-trading-as-croc_3?crid=4978ea5b-57bb-4cb3-8e23-4aa4f7c52828" TargetMode="External"/><Relationship Id="rId4" Type="http://schemas.openxmlformats.org/officeDocument/2006/relationships/footnotes" Target="footnotes.xml"/><Relationship Id="rId9" Type="http://schemas.openxmlformats.org/officeDocument/2006/relationships/hyperlink" Target="https://plus-lexis-com.ezproxy.uwtsd.ac.uk/api/document/collection/cases-uk/id/5PTB-N971-DYHT-G15H-00000-00?cite=Ivey%20v%20Genting%20Casinos%20(UK)%20Ltd%20(trading%20as%20Crockfords)%2C%20%5B2017%5D%20UKSC%2067%2C%20%5B2018%5D%20AC%20391%2C%20%5B2018%5D%202%20All%20ER%20406%2C%20%5B2017%5D%203%20WLR%201212%2C%20%5B2018%5D%201%20Cr%20App%20Rep%20180%2C%20%5B2017%5D%20LLR%20783%2C%20%5B2018%5D%20Crim%20LR%20395%2C%20(2017)%20Times%2C%2013%20November%2C%20%5B2017%5D%20All%20ER%20(D)%20134%20(Oct)&amp;context=1001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Bocancea</dc:creator>
  <cp:keywords/>
  <dc:description/>
  <cp:lastModifiedBy>Olga Bocancea</cp:lastModifiedBy>
  <cp:revision>23</cp:revision>
  <dcterms:created xsi:type="dcterms:W3CDTF">2023-06-26T19:45:00Z</dcterms:created>
  <dcterms:modified xsi:type="dcterms:W3CDTF">2023-07-05T07:42:00Z</dcterms:modified>
</cp:coreProperties>
</file>