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3AE85E6E" w14:textId="77777777" w:rsidR="00764AA8" w:rsidRDefault="00F41591" w:rsidP="00E910DE">
      <w:pPr>
        <w:pStyle w:val="Author"/>
        <w:spacing w:before="5pt" w:beforeAutospacing="1" w:after="5pt" w:afterAutospacing="1"/>
        <w:rPr>
          <w:sz w:val="16"/>
          <w:szCs w:val="16"/>
        </w:rPr>
      </w:pPr>
      <w:r>
        <w:rPr>
          <w:sz w:val="16"/>
          <w:szCs w:val="16"/>
        </w:rPr>
        <w:t>Name</w:t>
      </w:r>
      <w:r w:rsidR="002834B7">
        <w:rPr>
          <w:sz w:val="16"/>
          <w:szCs w:val="16"/>
        </w:rPr>
        <w:t>:</w:t>
      </w:r>
      <w:r>
        <w:rPr>
          <w:sz w:val="16"/>
          <w:szCs w:val="16"/>
        </w:rPr>
        <w:t xml:space="preserve"> </w:t>
      </w:r>
      <w:commentRangeStart w:id="0"/>
      <w:commentRangeStart w:id="1"/>
      <w:r w:rsidR="002834B7">
        <w:rPr>
          <w:sz w:val="16"/>
          <w:szCs w:val="16"/>
        </w:rPr>
        <w:t xml:space="preserve">Daunte Barchan </w:t>
      </w:r>
      <w:commentRangeEnd w:id="0"/>
      <w:r w:rsidR="00B055D0">
        <w:rPr>
          <w:rStyle w:val="CommentReference"/>
          <w:noProof w:val="0"/>
        </w:rPr>
        <w:commentReference w:id="0"/>
      </w:r>
      <w:commentRangeEnd w:id="1"/>
      <w:r w:rsidR="00B055D0">
        <w:rPr>
          <w:rStyle w:val="CommentReference"/>
          <w:noProof w:val="0"/>
        </w:rPr>
        <w:commentReference w:id="1"/>
      </w:r>
    </w:p>
    <w:p w14:paraId="5612C6CD" w14:textId="7268D60B" w:rsidR="000A4839" w:rsidRDefault="002834B7" w:rsidP="00764AA8">
      <w:pPr>
        <w:pStyle w:val="Author"/>
        <w:spacing w:before="5pt" w:beforeAutospacing="1" w:after="5pt" w:afterAutospacing="1"/>
        <w:rPr>
          <w:sz w:val="16"/>
          <w:szCs w:val="16"/>
        </w:rPr>
      </w:pPr>
      <w:r>
        <w:rPr>
          <w:sz w:val="16"/>
          <w:szCs w:val="16"/>
        </w:rPr>
        <w:t>Number: 2412948</w:t>
      </w:r>
    </w:p>
    <w:p w14:paraId="3E29C614" w14:textId="77777777" w:rsidR="00764AA8" w:rsidRDefault="002834B7" w:rsidP="00764AA8">
      <w:pPr>
        <w:pStyle w:val="Author"/>
        <w:spacing w:before="5pt" w:beforeAutospacing="1" w:after="5pt" w:afterAutospacing="1"/>
        <w:rPr>
          <w:sz w:val="16"/>
          <w:szCs w:val="16"/>
          <w:lang w:val="en-GB"/>
        </w:rPr>
      </w:pPr>
      <w:r w:rsidRPr="00764AA8">
        <w:rPr>
          <w:sz w:val="16"/>
          <w:szCs w:val="16"/>
        </w:rPr>
        <w:t>C</w:t>
      </w:r>
      <w:r w:rsidR="00F41591" w:rsidRPr="00764AA8">
        <w:rPr>
          <w:sz w:val="16"/>
          <w:szCs w:val="16"/>
        </w:rPr>
        <w:t>ourse</w:t>
      </w:r>
      <w:r w:rsidRPr="00764AA8">
        <w:rPr>
          <w:sz w:val="16"/>
          <w:szCs w:val="16"/>
        </w:rPr>
        <w:t xml:space="preserve">: </w:t>
      </w:r>
      <w:r w:rsidR="00764AA8" w:rsidRPr="00764AA8">
        <w:rPr>
          <w:sz w:val="16"/>
          <w:szCs w:val="16"/>
        </w:rPr>
        <w:t xml:space="preserve">Data </w:t>
      </w:r>
      <w:r w:rsidR="00764AA8" w:rsidRPr="00764AA8">
        <w:rPr>
          <w:sz w:val="16"/>
          <w:szCs w:val="16"/>
          <w:lang w:val="en-GB"/>
        </w:rPr>
        <w:t>Data Security and Compliance</w:t>
      </w:r>
      <w:r w:rsidR="00764AA8" w:rsidRPr="00764AA8">
        <w:rPr>
          <w:sz w:val="16"/>
          <w:szCs w:val="16"/>
          <w:lang w:val="en-GB"/>
        </w:rPr>
        <w:t xml:space="preserve"> </w:t>
      </w:r>
    </w:p>
    <w:p w14:paraId="072C3775" w14:textId="7F7B744E" w:rsidR="00764AA8" w:rsidRDefault="00764AA8" w:rsidP="00764AA8">
      <w:pPr>
        <w:pStyle w:val="Author"/>
        <w:spacing w:before="5pt" w:beforeAutospacing="1" w:after="5pt" w:afterAutospacing="1"/>
        <w:rPr>
          <w:sz w:val="16"/>
          <w:szCs w:val="16"/>
          <w:lang w:val="en-GB"/>
        </w:rPr>
      </w:pPr>
      <w:r w:rsidRPr="00764AA8">
        <w:rPr>
          <w:sz w:val="16"/>
          <w:szCs w:val="16"/>
          <w:lang w:val="en-GB"/>
        </w:rPr>
        <w:t xml:space="preserve">Code: </w:t>
      </w:r>
      <w:r w:rsidRPr="00764AA8">
        <w:rPr>
          <w:sz w:val="16"/>
          <w:szCs w:val="16"/>
          <w:lang w:val="en-GB"/>
        </w:rPr>
        <w:t>ACCA5034_BIRM</w:t>
      </w:r>
    </w:p>
    <w:p w14:paraId="42953D98" w14:textId="01877EE5" w:rsidR="00764AA8" w:rsidRDefault="00764AA8" w:rsidP="00764AA8">
      <w:pPr>
        <w:pStyle w:val="Author"/>
        <w:spacing w:before="5pt" w:beforeAutospacing="1" w:after="5pt" w:afterAutospacing="1"/>
        <w:rPr>
          <w:sz w:val="16"/>
          <w:szCs w:val="16"/>
          <w:lang w:val="en-GB"/>
        </w:rPr>
      </w:pPr>
      <w:r>
        <w:rPr>
          <w:sz w:val="16"/>
          <w:szCs w:val="16"/>
          <w:lang w:val="en-GB"/>
        </w:rPr>
        <w:t xml:space="preserve">Lecturer: Ben Farrah </w:t>
      </w:r>
    </w:p>
    <w:p w14:paraId="461BDAC7" w14:textId="33047EF9" w:rsidR="00764AA8" w:rsidRDefault="00764AA8" w:rsidP="00764AA8">
      <w:pPr>
        <w:pStyle w:val="Author"/>
        <w:spacing w:before="5pt" w:beforeAutospacing="1" w:after="5pt" w:afterAutospacing="1"/>
        <w:rPr>
          <w:sz w:val="16"/>
          <w:szCs w:val="16"/>
          <w:lang w:val="en-GB"/>
        </w:rPr>
      </w:pPr>
      <w:r>
        <w:rPr>
          <w:sz w:val="16"/>
          <w:szCs w:val="16"/>
          <w:lang w:val="en-GB"/>
        </w:rPr>
        <w:t>Date: 31</w:t>
      </w:r>
      <w:r w:rsidRPr="00764AA8">
        <w:rPr>
          <w:sz w:val="16"/>
          <w:szCs w:val="16"/>
          <w:vertAlign w:val="superscript"/>
          <w:lang w:val="en-GB"/>
        </w:rPr>
        <w:t>st</w:t>
      </w:r>
      <w:r>
        <w:rPr>
          <w:sz w:val="16"/>
          <w:szCs w:val="16"/>
          <w:lang w:val="en-GB"/>
        </w:rPr>
        <w:t xml:space="preserve"> March 2026 </w:t>
      </w:r>
    </w:p>
    <w:p w14:paraId="368DF991" w14:textId="58E914C8" w:rsidR="0046347D" w:rsidRDefault="0046347D" w:rsidP="0046347D">
      <w:pPr>
        <w:pStyle w:val="Author"/>
        <w:spacing w:before="5pt" w:beforeAutospacing="1" w:after="5pt" w:afterAutospacing="1"/>
        <w:jc w:val="both"/>
        <w:rPr>
          <w:sz w:val="16"/>
          <w:szCs w:val="16"/>
          <w:lang w:val="en-GB"/>
        </w:rPr>
        <w:sectPr w:rsidR="0046347D" w:rsidSect="00764AA8">
          <w:headerReference w:type="default" r:id="rId12"/>
          <w:footerReference w:type="first" r:id="rId13"/>
          <w:type w:val="continuous"/>
          <w:pgSz w:w="595.30pt" w:h="841.90pt" w:code="9"/>
          <w:pgMar w:top="54pt" w:right="45.35pt" w:bottom="72pt" w:left="45.35pt" w:header="36pt" w:footer="36pt" w:gutter="0pt"/>
          <w:cols w:space="18pt"/>
          <w:docGrid w:linePitch="360"/>
        </w:sectPr>
      </w:pPr>
    </w:p>
    <w:p w14:paraId="40FA2D84" w14:textId="04E1EB0B" w:rsidR="004D72B5" w:rsidRPr="00047CF5" w:rsidRDefault="00764AA8" w:rsidP="002B21A4">
      <w:pPr>
        <w:pStyle w:val="Abstract"/>
        <w:ind w:firstLine="0pt"/>
        <w:rPr>
          <w:b w:val="0"/>
          <w:bCs w:val="0"/>
          <w:sz w:val="20"/>
          <w:szCs w:val="20"/>
          <w:lang w:val="en-GB"/>
        </w:rPr>
      </w:pPr>
      <w:r>
        <w:rPr>
          <w:i/>
          <w:iCs/>
          <w:sz w:val="48"/>
          <w:szCs w:val="48"/>
        </w:rPr>
        <w:t xml:space="preserve">  </w:t>
      </w:r>
      <w:r w:rsidR="009303D9" w:rsidRPr="00377810">
        <w:rPr>
          <w:i/>
          <w:iCs/>
          <w:sz w:val="48"/>
          <w:szCs w:val="48"/>
        </w:rPr>
        <w:t>Abstract</w:t>
      </w:r>
      <w:r w:rsidR="009303D9" w:rsidRPr="00377810">
        <w:rPr>
          <w:sz w:val="48"/>
          <w:szCs w:val="48"/>
        </w:rPr>
        <w:t>—</w:t>
      </w:r>
      <w:r w:rsidR="00606003" w:rsidRPr="00047CF5">
        <w:rPr>
          <w:b w:val="0"/>
          <w:bCs w:val="0"/>
          <w:sz w:val="20"/>
          <w:szCs w:val="20"/>
          <w:lang w:val="en-GB"/>
        </w:rPr>
        <w:t xml:space="preserve">This paper </w:t>
      </w:r>
      <w:r w:rsidR="0059080B" w:rsidRPr="00047CF5">
        <w:rPr>
          <w:b w:val="0"/>
          <w:bCs w:val="0"/>
          <w:sz w:val="20"/>
          <w:szCs w:val="20"/>
          <w:lang w:val="en-GB"/>
        </w:rPr>
        <w:t>analyses</w:t>
      </w:r>
      <w:r w:rsidR="00606003" w:rsidRPr="00047CF5">
        <w:rPr>
          <w:b w:val="0"/>
          <w:bCs w:val="0"/>
          <w:sz w:val="20"/>
          <w:szCs w:val="20"/>
          <w:lang w:val="en-GB"/>
        </w:rPr>
        <w:t xml:space="preserve"> AI and ML governance through lifecycle risk controls, ethical assurance, and regulatory compliance, while examining hybrid</w:t>
      </w:r>
      <w:r w:rsidR="00606003" w:rsidRPr="00047CF5">
        <w:rPr>
          <w:b w:val="0"/>
          <w:bCs w:val="0"/>
          <w:sz w:val="20"/>
          <w:szCs w:val="20"/>
          <w:lang w:val="en-GB"/>
        </w:rPr>
        <w:noBreakHyphen/>
        <w:t>workforce security dependencies. It evaluates ZTNA, SASE, and DLP as integrated architectures enabling secure, policy</w:t>
      </w:r>
      <w:r w:rsidR="00606003" w:rsidRPr="00047CF5">
        <w:rPr>
          <w:b w:val="0"/>
          <w:bCs w:val="0"/>
          <w:sz w:val="20"/>
          <w:szCs w:val="20"/>
          <w:lang w:val="en-GB"/>
        </w:rPr>
        <w:noBreakHyphen/>
        <w:t>enforced access to distributed AI systems, ensuring protected data flows, reduced attack surfaces, and resilient organizational security posture.</w:t>
      </w:r>
    </w:p>
    <w:p w14:paraId="58B10678" w14:textId="3DB38163" w:rsidR="009303D9" w:rsidRPr="004D72B5" w:rsidRDefault="004D72B5" w:rsidP="002B21A4">
      <w:pPr>
        <w:pStyle w:val="Keywords"/>
      </w:pPr>
      <w:r w:rsidRPr="004D72B5">
        <w:t>Keywords—</w:t>
      </w:r>
      <w:r w:rsidR="00AF5CA9" w:rsidRPr="00AF5CA9">
        <w:t xml:space="preserve"> </w:t>
      </w:r>
      <w:r w:rsidR="00AF5CA9">
        <w:t>AI governance, ethical AI, risk management, hybrid workforce security, Zero Trust Network Access (ZTNA), Secure Access Service Edge (SASE), Data Loss Prevention (DLP).</w:t>
      </w:r>
    </w:p>
    <w:p w14:paraId="1A521F3C" w14:textId="2023F9DD" w:rsidR="009303D9" w:rsidRPr="00377810" w:rsidRDefault="009303D9" w:rsidP="002B21A4">
      <w:pPr>
        <w:pStyle w:val="Heading1"/>
        <w:jc w:val="both"/>
        <w:rPr>
          <w:sz w:val="28"/>
          <w:szCs w:val="28"/>
        </w:rPr>
      </w:pPr>
      <w:bookmarkStart w:id="2" w:name="_Toc222226515"/>
      <w:r w:rsidRPr="00377810">
        <w:rPr>
          <w:sz w:val="28"/>
          <w:szCs w:val="28"/>
        </w:rPr>
        <w:t>Introduction</w:t>
      </w:r>
      <w:bookmarkEnd w:id="2"/>
      <w:r w:rsidRPr="00377810">
        <w:rPr>
          <w:sz w:val="28"/>
          <w:szCs w:val="28"/>
        </w:rPr>
        <w:t xml:space="preserve"> </w:t>
      </w:r>
    </w:p>
    <w:p w14:paraId="5B84FB04" w14:textId="3088BEFB" w:rsidR="009303D9" w:rsidRPr="005B520E" w:rsidRDefault="00886152" w:rsidP="002B21A4">
      <w:pPr>
        <w:pStyle w:val="BodyText"/>
      </w:pPr>
      <w:r>
        <w:t>For data security and compliance it is vital to have a strong understanding of how to be proactive in defending information assets in complexity digital landscape to determine levels of protection needed to keep the assets safe and the risk to the business/organisation low in many areas of the business, being resilient on security architecture aligned with the businesses objectives is key to implement a continuous defence in monitoring the functions and functionalities of the assets and objectives to spot week points and risky areas quickly and make appropriate amendments to insure the continuous safety of the functions and their functionalities and the assets the company/organisation. It is also important to keep an automated response capability function to the business/organisation to address modern security incidents that may arise to be more efficient and more consistent with the security to the data and assets that’s being protected.</w:t>
      </w:r>
    </w:p>
    <w:p w14:paraId="179EA777" w14:textId="32C9399D" w:rsidR="009303D9" w:rsidRPr="006B6B66" w:rsidRDefault="00D670F0" w:rsidP="002B21A4">
      <w:pPr>
        <w:pStyle w:val="Heading1"/>
        <w:jc w:val="both"/>
      </w:pPr>
      <w:bookmarkStart w:id="3" w:name="_Toc222226516"/>
      <w:r>
        <w:t>task 1</w:t>
      </w:r>
      <w:bookmarkEnd w:id="3"/>
    </w:p>
    <w:p w14:paraId="3C8B3FFF" w14:textId="65326BDC" w:rsidR="009303D9" w:rsidRPr="00047CF5" w:rsidRDefault="00E44097" w:rsidP="00993B65">
      <w:pPr>
        <w:pStyle w:val="Heading2"/>
        <w:numPr>
          <w:ilvl w:val="0"/>
          <w:numId w:val="8"/>
        </w:numPr>
        <w:jc w:val="both"/>
        <w:rPr>
          <w:i w:val="0"/>
          <w:iCs w:val="0"/>
        </w:rPr>
      </w:pPr>
      <w:bookmarkStart w:id="4" w:name="_Toc222226517"/>
      <w:r w:rsidRPr="00047CF5">
        <w:rPr>
          <w:i w:val="0"/>
          <w:iCs w:val="0"/>
        </w:rPr>
        <w:t>Governing AI and machine learning systems</w:t>
      </w:r>
      <w:bookmarkEnd w:id="4"/>
    </w:p>
    <w:p w14:paraId="644F3D17" w14:textId="77777777" w:rsidR="0081435E" w:rsidRPr="00047CF5" w:rsidRDefault="0081435E" w:rsidP="002B21A4">
      <w:pPr>
        <w:jc w:val="both"/>
      </w:pPr>
      <w:r w:rsidRPr="00047CF5">
        <w:t>For governing AI and machine learning systems you would need to be competent in managing risk in a highly efficient and appropriate way with the ethics of the business/organization taken largely in consideration and also having a good understanding of AI data and models compliance and guidelines.</w:t>
      </w:r>
    </w:p>
    <w:p w14:paraId="66739D0E" w14:textId="097B5F19" w:rsidR="009303D9" w:rsidRPr="00047CF5" w:rsidRDefault="00147267" w:rsidP="00993B65">
      <w:pPr>
        <w:pStyle w:val="Heading3"/>
        <w:numPr>
          <w:ilvl w:val="0"/>
          <w:numId w:val="8"/>
        </w:numPr>
        <w:rPr>
          <w:i w:val="0"/>
          <w:iCs w:val="0"/>
        </w:rPr>
      </w:pPr>
      <w:bookmarkStart w:id="5" w:name="_Toc222226518"/>
      <w:r w:rsidRPr="00047CF5">
        <w:rPr>
          <w:i w:val="0"/>
          <w:iCs w:val="0"/>
        </w:rPr>
        <w:t xml:space="preserve">Securing the </w:t>
      </w:r>
      <w:commentRangeStart w:id="6"/>
      <w:commentRangeStart w:id="7"/>
      <w:r w:rsidRPr="00047CF5">
        <w:rPr>
          <w:i w:val="0"/>
          <w:iCs w:val="0"/>
        </w:rPr>
        <w:t>Hybrid Workforce</w:t>
      </w:r>
      <w:commentRangeEnd w:id="6"/>
      <w:r w:rsidR="00B8776B" w:rsidRPr="00047CF5">
        <w:rPr>
          <w:rStyle w:val="CommentReference"/>
          <w:i w:val="0"/>
          <w:iCs w:val="0"/>
          <w:noProof w:val="0"/>
          <w:sz w:val="20"/>
          <w:szCs w:val="20"/>
        </w:rPr>
        <w:commentReference w:id="6"/>
      </w:r>
      <w:commentRangeEnd w:id="7"/>
      <w:r w:rsidR="006F1406" w:rsidRPr="00047CF5">
        <w:rPr>
          <w:rStyle w:val="CommentReference"/>
          <w:i w:val="0"/>
          <w:iCs w:val="0"/>
          <w:noProof w:val="0"/>
          <w:sz w:val="20"/>
          <w:szCs w:val="20"/>
        </w:rPr>
        <w:commentReference w:id="7"/>
      </w:r>
      <w:bookmarkEnd w:id="5"/>
    </w:p>
    <w:p w14:paraId="6860A9BA" w14:textId="77777777" w:rsidR="0071286E" w:rsidRPr="00047CF5" w:rsidRDefault="0071286E" w:rsidP="002B21A4">
      <w:pPr>
        <w:spacing w:line="15pt" w:lineRule="atLeast"/>
        <w:jc w:val="both"/>
        <w:rPr>
          <w:rFonts w:eastAsia="Times New Roman"/>
          <w:lang w:val="en-GB" w:eastAsia="en-GB"/>
        </w:rPr>
      </w:pPr>
      <w:r w:rsidRPr="00047CF5">
        <w:rPr>
          <w:rFonts w:eastAsia="Times New Roman"/>
          <w:lang w:val="en-GB" w:eastAsia="en-GB"/>
        </w:rPr>
        <w:t>A fully hybrid workforce is a work model in which employees alternate between remote and on</w:t>
      </w:r>
      <w:r w:rsidRPr="00047CF5">
        <w:rPr>
          <w:rFonts w:eastAsia="Times New Roman"/>
          <w:lang w:val="en-GB" w:eastAsia="en-GB"/>
        </w:rPr>
        <w:noBreakHyphen/>
        <w:t>site locations, choosing where they work based on task demands and organisational expectations. It emphasises flexibility, digital collaboration, and outcome</w:t>
      </w:r>
      <w:r w:rsidRPr="00047CF5">
        <w:rPr>
          <w:rFonts w:eastAsia="Times New Roman"/>
          <w:lang w:val="en-GB" w:eastAsia="en-GB"/>
        </w:rPr>
        <w:noBreakHyphen/>
        <w:t>focused productivity. This structure enables wider talent access and improved work</w:t>
      </w:r>
      <w:r w:rsidRPr="00047CF5">
        <w:rPr>
          <w:rFonts w:eastAsia="Times New Roman"/>
          <w:lang w:val="en-GB" w:eastAsia="en-GB"/>
        </w:rPr>
        <w:noBreakHyphen/>
        <w:t xml:space="preserve">life </w:t>
      </w:r>
      <w:r w:rsidRPr="00047CF5">
        <w:rPr>
          <w:rFonts w:eastAsia="Times New Roman"/>
          <w:lang w:val="en-GB" w:eastAsia="en-GB"/>
        </w:rPr>
        <w:t>balance while maintaining coordinated teamwork through technology</w:t>
      </w:r>
      <w:r w:rsidRPr="00047CF5">
        <w:rPr>
          <w:rFonts w:eastAsia="Times New Roman"/>
          <w:lang w:val="en-GB" w:eastAsia="en-GB"/>
        </w:rPr>
        <w:noBreakHyphen/>
        <w:t>supported communication and shared online systems.</w:t>
      </w:r>
    </w:p>
    <w:p w14:paraId="03A40538" w14:textId="22454414" w:rsidR="002149F8" w:rsidRDefault="002149F8" w:rsidP="002B21A4">
      <w:pPr>
        <w:pStyle w:val="Heading1"/>
        <w:jc w:val="both"/>
        <w:rPr>
          <w:i/>
          <w:iCs/>
          <w:lang w:val="en-GB"/>
        </w:rPr>
      </w:pPr>
      <w:bookmarkStart w:id="8" w:name="_Toc222226519"/>
      <w:r w:rsidRPr="002149F8">
        <w:rPr>
          <w:i/>
          <w:iCs/>
          <w:lang w:val="en-GB"/>
        </w:rPr>
        <w:t>Deeper understanding of A and B</w:t>
      </w:r>
      <w:bookmarkEnd w:id="8"/>
    </w:p>
    <w:p w14:paraId="10B48893" w14:textId="27038234" w:rsidR="00A31BB5" w:rsidRPr="00A31BB5" w:rsidRDefault="002172F4" w:rsidP="002B21A4">
      <w:pPr>
        <w:jc w:val="both"/>
        <w:rPr>
          <w:lang w:val="en-GB"/>
        </w:rPr>
      </w:pPr>
      <w:r w:rsidRPr="002172F4">
        <w:rPr>
          <w:lang w:val="en-GB"/>
        </w:rPr>
        <w:drawing>
          <wp:inline distT="0" distB="0" distL="0" distR="0" wp14:anchorId="4CA6D86F" wp14:editId="2BCEDD31">
            <wp:extent cx="3626451" cy="1800556"/>
            <wp:effectExtent l="0" t="0" r="0" b="9525"/>
            <wp:docPr id="21" name="Picture 2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4"/>
                    <a:stretch>
                      <a:fillRect/>
                    </a:stretch>
                  </pic:blipFill>
                  <pic:spPr>
                    <a:xfrm>
                      <a:off x="0" y="0"/>
                      <a:ext cx="3645463" cy="1809996"/>
                    </a:xfrm>
                    <a:prstGeom prst="rect">
                      <a:avLst/>
                    </a:prstGeom>
                  </pic:spPr>
                </pic:pic>
              </a:graphicData>
            </a:graphic>
          </wp:inline>
        </w:drawing>
      </w:r>
    </w:p>
    <w:p w14:paraId="5D4C240F" w14:textId="77777777" w:rsidR="002B21A4" w:rsidRDefault="00792F4A" w:rsidP="002B21A4">
      <w:pPr>
        <w:pStyle w:val="Heading2"/>
        <w:ind w:start="14.40pt" w:hanging="14.40pt"/>
        <w:jc w:val="both"/>
        <w:rPr>
          <w:i w:val="0"/>
          <w:iCs w:val="0"/>
          <w:lang w:val="en-GB"/>
        </w:rPr>
      </w:pPr>
      <w:bookmarkStart w:id="9" w:name="_Toc222226520"/>
      <w:r>
        <w:t>A</w:t>
      </w:r>
      <w:r w:rsidR="00593C52">
        <w:t>1</w:t>
      </w:r>
      <w:r w:rsidR="00593C52" w:rsidRPr="00047CF5">
        <w:rPr>
          <w:i w:val="0"/>
          <w:iCs w:val="0"/>
        </w:rPr>
        <w:t xml:space="preserve">. </w:t>
      </w:r>
      <w:r w:rsidR="00362B27" w:rsidRPr="00047CF5">
        <w:rPr>
          <w:i w:val="0"/>
          <w:iCs w:val="0"/>
        </w:rPr>
        <w:t xml:space="preserve"> </w:t>
      </w:r>
      <w:r w:rsidR="001548A5" w:rsidRPr="00047CF5">
        <w:rPr>
          <w:i w:val="0"/>
          <w:iCs w:val="0"/>
          <w:lang w:val="en-GB"/>
        </w:rPr>
        <w:t>Risk management</w:t>
      </w:r>
    </w:p>
    <w:p w14:paraId="087147F7" w14:textId="684F4BED" w:rsidR="00BA6456" w:rsidRPr="00047CF5" w:rsidRDefault="002B21A4" w:rsidP="002B21A4">
      <w:pPr>
        <w:pStyle w:val="Heading2"/>
        <w:ind w:start="14.40pt" w:hanging="14.40pt"/>
        <w:jc w:val="both"/>
        <w:rPr>
          <w:i w:val="0"/>
          <w:iCs w:val="0"/>
          <w:lang w:val="en-GB"/>
        </w:rPr>
      </w:pPr>
      <w:r>
        <w:rPr>
          <w:i w:val="0"/>
          <w:iCs w:val="0"/>
          <w:lang w:val="en-GB"/>
        </w:rPr>
        <w:t xml:space="preserve">      </w:t>
      </w:r>
      <w:r w:rsidR="001548A5" w:rsidRPr="00047CF5">
        <w:rPr>
          <w:i w:val="0"/>
          <w:iCs w:val="0"/>
          <w:lang w:val="en-GB"/>
        </w:rPr>
        <w:t>Governance of AI and ML systems addresses risks across the</w:t>
      </w:r>
      <w:r>
        <w:rPr>
          <w:i w:val="0"/>
          <w:iCs w:val="0"/>
          <w:lang w:val="en-GB"/>
        </w:rPr>
        <w:t xml:space="preserve"> </w:t>
      </w:r>
      <w:r w:rsidR="001548A5" w:rsidRPr="00047CF5">
        <w:rPr>
          <w:i w:val="0"/>
          <w:iCs w:val="0"/>
          <w:lang w:val="en-GB"/>
        </w:rPr>
        <w:t>AI lifecycle, incl. data quality issues, bias, model failure, and unintended impacts. ISO/IEC emphasizes that ethical and societal risks must be identified and managed throughout the lifecycle of AI systems, making continuous monitoring and risk controls essential for AI governance [1]. Zero Trust Network Access (ZTNA) mitigates these risks by continuously verifying user identity and device health, ensuring that access to AI data and models is restricted to authorized entities only [2].</w:t>
      </w:r>
      <w:bookmarkEnd w:id="9"/>
    </w:p>
    <w:p w14:paraId="61371A10" w14:textId="05B76A75" w:rsidR="007C42EB" w:rsidRDefault="00E2104F" w:rsidP="002B21A4">
      <w:pPr>
        <w:keepNext/>
        <w:jc w:val="both"/>
      </w:pPr>
      <w:r>
        <w:rPr>
          <w:noProof/>
        </w:rPr>
        <w:drawing>
          <wp:inline distT="0" distB="0" distL="0" distR="0" wp14:anchorId="21F46616" wp14:editId="19F27677">
            <wp:extent cx="3089910" cy="1948815"/>
            <wp:effectExtent l="0" t="0" r="0" b="0"/>
            <wp:docPr id="22" name="Picture 22" descr="Mitigating Generative AI Security Risks for Organizations"/>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7" descr="Mitigating Generative AI Security Risks for Organization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9910" cy="1948815"/>
                    </a:xfrm>
                    <a:prstGeom prst="rect">
                      <a:avLst/>
                    </a:prstGeom>
                    <a:noFill/>
                    <a:ln>
                      <a:noFill/>
                    </a:ln>
                  </pic:spPr>
                </pic:pic>
              </a:graphicData>
            </a:graphic>
          </wp:inline>
        </w:drawing>
      </w:r>
      <w:r>
        <w:t xml:space="preserve"> </w:t>
      </w:r>
    </w:p>
    <w:p w14:paraId="2EA5241D" w14:textId="5791DED8" w:rsidR="00A118F8" w:rsidRDefault="007C42EB" w:rsidP="002B21A4">
      <w:pPr>
        <w:pStyle w:val="Caption"/>
        <w:jc w:val="both"/>
        <w:rPr>
          <w:lang w:val="en-GB"/>
        </w:rPr>
      </w:pPr>
      <w:r>
        <w:t xml:space="preserve">Figure </w:t>
      </w:r>
      <w:r w:rsidR="00993B65">
        <w:fldChar w:fldCharType="begin"/>
      </w:r>
      <w:r w:rsidR="00993B65">
        <w:instrText xml:space="preserve"> SEQ Figure \* ARABIC </w:instrText>
      </w:r>
      <w:r w:rsidR="00993B65">
        <w:fldChar w:fldCharType="separate"/>
      </w:r>
      <w:r w:rsidR="00F76A84">
        <w:rPr>
          <w:noProof/>
        </w:rPr>
        <w:t>1</w:t>
      </w:r>
      <w:r w:rsidR="00993B65">
        <w:rPr>
          <w:noProof/>
        </w:rPr>
        <w:fldChar w:fldCharType="end"/>
      </w:r>
      <w:r>
        <w:t xml:space="preserve"> shows some of the main categories that AI governance and AI learning should cover</w:t>
      </w:r>
      <w:r w:rsidR="00E67B1F">
        <w:t>.</w:t>
      </w:r>
      <w:r w:rsidR="00E2104F">
        <w:t>(ref-</w:t>
      </w:r>
      <w:hyperlink r:id="rId16" w:history="1">
        <w:r w:rsidR="00E2104F">
          <w:rPr>
            <w:rStyle w:val="Hyperlink"/>
          </w:rPr>
          <w:t>Mitigating Generative AI Security Risks for Organizations</w:t>
        </w:r>
      </w:hyperlink>
      <w:r w:rsidR="00E2104F">
        <w:t>)</w:t>
      </w:r>
    </w:p>
    <w:p w14:paraId="610A1054" w14:textId="77777777" w:rsidR="00A118F8" w:rsidRDefault="00A118F8" w:rsidP="002B21A4">
      <w:pPr>
        <w:pStyle w:val="Heading2"/>
        <w:ind w:start="14.40pt" w:hanging="14.40pt"/>
        <w:jc w:val="both"/>
        <w:rPr>
          <w:i w:val="0"/>
          <w:iCs w:val="0"/>
          <w:lang w:val="en-GB"/>
        </w:rPr>
      </w:pPr>
    </w:p>
    <w:p w14:paraId="5E6F8C46" w14:textId="10672BDA" w:rsidR="001548A5" w:rsidRPr="001A2EAD" w:rsidRDefault="00593C52" w:rsidP="002B21A4">
      <w:pPr>
        <w:pStyle w:val="Heading2"/>
        <w:ind w:start="14.40pt" w:hanging="14.40pt"/>
        <w:jc w:val="both"/>
        <w:rPr>
          <w:i w:val="0"/>
          <w:iCs w:val="0"/>
          <w:lang w:val="en-GB"/>
        </w:rPr>
      </w:pPr>
      <w:bookmarkStart w:id="10" w:name="_Toc222226521"/>
      <w:r w:rsidRPr="006909D9">
        <w:rPr>
          <w:i w:val="0"/>
          <w:iCs w:val="0"/>
          <w:lang w:val="en-GB"/>
        </w:rPr>
        <w:t>A2</w:t>
      </w:r>
      <w:r w:rsidRPr="001A2EAD">
        <w:rPr>
          <w:i w:val="0"/>
          <w:iCs w:val="0"/>
          <w:lang w:val="en-GB"/>
        </w:rPr>
        <w:t>.</w:t>
      </w:r>
      <w:r w:rsidRPr="001A2EAD">
        <w:rPr>
          <w:b/>
          <w:bCs/>
          <w:i w:val="0"/>
          <w:iCs w:val="0"/>
          <w:lang w:val="en-GB"/>
        </w:rPr>
        <w:t xml:space="preserve"> </w:t>
      </w:r>
      <w:r w:rsidR="001548A5" w:rsidRPr="001A2EAD">
        <w:rPr>
          <w:i w:val="0"/>
          <w:iCs w:val="0"/>
          <w:lang w:val="en-GB"/>
        </w:rPr>
        <w:t>Ethics</w:t>
      </w:r>
      <w:r w:rsidR="001548A5" w:rsidRPr="001A2EAD">
        <w:rPr>
          <w:i w:val="0"/>
          <w:iCs w:val="0"/>
          <w:lang w:val="en-GB"/>
        </w:rPr>
        <w:br/>
        <w:t>Ethical governance of AI data and models emphasizes fairness, transparency, and alignment with human values. Floridi et al. argue that AI systems should be designed to respect human dignity and societal values, requiring accountability across both data practices and model behavior [3]. Secure Access Service Edge (SASE) architectures support ethical AI deployment by integrating security and networking controls into a unified, cloud-native framework that enables secure and transparent access to AI systems in distributed environments [4].</w:t>
      </w:r>
      <w:bookmarkEnd w:id="10"/>
    </w:p>
    <w:p w14:paraId="3232F4A3" w14:textId="77777777" w:rsidR="009D7F86" w:rsidRPr="009D7F86" w:rsidRDefault="009D7F86" w:rsidP="002B21A4">
      <w:pPr>
        <w:jc w:val="both"/>
        <w:rPr>
          <w:lang w:val="en-GB"/>
        </w:rPr>
      </w:pPr>
    </w:p>
    <w:p w14:paraId="12F82A41" w14:textId="1F185027" w:rsidR="008263C5" w:rsidRDefault="00792F4A" w:rsidP="002B21A4">
      <w:pPr>
        <w:pStyle w:val="Heading2"/>
        <w:ind w:start="14.40pt" w:hanging="14.40pt"/>
        <w:jc w:val="both"/>
        <w:rPr>
          <w:i w:val="0"/>
          <w:iCs w:val="0"/>
          <w:lang w:val="en-GB"/>
        </w:rPr>
      </w:pPr>
      <w:bookmarkStart w:id="11" w:name="_Toc222226522"/>
      <w:r w:rsidRPr="006909D9">
        <w:rPr>
          <w:i w:val="0"/>
          <w:iCs w:val="0"/>
          <w:lang w:val="en-GB"/>
        </w:rPr>
        <w:t>A3</w:t>
      </w:r>
      <w:r w:rsidRPr="006909D9">
        <w:rPr>
          <w:b/>
          <w:bCs/>
          <w:i w:val="0"/>
          <w:iCs w:val="0"/>
          <w:lang w:val="en-GB"/>
        </w:rPr>
        <w:t xml:space="preserve">. </w:t>
      </w:r>
      <w:r w:rsidR="001548A5" w:rsidRPr="006909D9">
        <w:rPr>
          <w:i w:val="0"/>
          <w:iCs w:val="0"/>
          <w:lang w:val="en-GB"/>
        </w:rPr>
        <w:t>Compliance</w:t>
      </w:r>
      <w:r w:rsidR="001548A5" w:rsidRPr="006909D9">
        <w:rPr>
          <w:i w:val="0"/>
          <w:iCs w:val="0"/>
          <w:lang w:val="en-GB"/>
        </w:rPr>
        <w:br/>
        <w:t>Compliance-focused AI governance ensures that AI data and models adhere to legal, regulatory, and policy requirements [5]. Data Loss Prevention (DLP) mechanisms are critical for preventing unauthorized access and leakage of sensitive data, thereby supporting compliance with data protection and privacy regulations [6]. Together, these measures reinforce responsible stewardship, auditability, and regulatory compliance across AI systems.</w:t>
      </w:r>
      <w:bookmarkEnd w:id="11"/>
    </w:p>
    <w:p w14:paraId="46119081" w14:textId="77777777" w:rsidR="00B96A6B" w:rsidRPr="00B96A6B" w:rsidRDefault="00B96A6B" w:rsidP="002B21A4">
      <w:pPr>
        <w:jc w:val="both"/>
        <w:rPr>
          <w:lang w:val="en-GB"/>
        </w:rPr>
      </w:pPr>
    </w:p>
    <w:p w14:paraId="3FBFA7B6" w14:textId="77777777" w:rsidR="00E67B1F" w:rsidRDefault="009D7F86" w:rsidP="002B21A4">
      <w:pPr>
        <w:keepNext/>
        <w:jc w:val="both"/>
      </w:pPr>
      <w:r>
        <w:rPr>
          <w:noProof/>
        </w:rPr>
        <w:drawing>
          <wp:inline distT="0" distB="0" distL="0" distR="0" wp14:anchorId="504EC9F9" wp14:editId="4FC8C1A6">
            <wp:extent cx="3088005" cy="1696640"/>
            <wp:effectExtent l="0" t="0" r="0" b="0"/>
            <wp:docPr id="5" name="Picture 5" descr="12 Factors To Consider When Managing A Hybrid Workforce"/>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1" descr="12 Factors To Consider When Managing A Hybrid Workfor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11406" cy="1709497"/>
                    </a:xfrm>
                    <a:prstGeom prst="rect">
                      <a:avLst/>
                    </a:prstGeom>
                    <a:noFill/>
                    <a:ln>
                      <a:noFill/>
                    </a:ln>
                  </pic:spPr>
                </pic:pic>
              </a:graphicData>
            </a:graphic>
          </wp:inline>
        </w:drawing>
      </w:r>
    </w:p>
    <w:p w14:paraId="679973F2" w14:textId="634565DA" w:rsidR="008263C5" w:rsidRDefault="00E67B1F" w:rsidP="002B21A4">
      <w:pPr>
        <w:pStyle w:val="Caption"/>
        <w:jc w:val="both"/>
        <w:rPr>
          <w:lang w:val="en-GB"/>
        </w:rPr>
      </w:pPr>
      <w:r>
        <w:t xml:space="preserve">Figure </w:t>
      </w:r>
      <w:r w:rsidR="00993B65">
        <w:fldChar w:fldCharType="begin"/>
      </w:r>
      <w:r w:rsidR="00993B65">
        <w:instrText xml:space="preserve"> SEQ Figure \* ARABIC </w:instrText>
      </w:r>
      <w:r w:rsidR="00993B65">
        <w:fldChar w:fldCharType="separate"/>
      </w:r>
      <w:r w:rsidR="00F76A84">
        <w:rPr>
          <w:noProof/>
        </w:rPr>
        <w:t>2</w:t>
      </w:r>
      <w:r w:rsidR="00993B65">
        <w:rPr>
          <w:noProof/>
        </w:rPr>
        <w:fldChar w:fldCharType="end"/>
      </w:r>
      <w:r>
        <w:t xml:space="preserve"> shows the benefits of a </w:t>
      </w:r>
      <w:commentRangeStart w:id="12"/>
      <w:commentRangeStart w:id="13"/>
      <w:r>
        <w:t xml:space="preserve">hybrid workforce with </w:t>
      </w:r>
      <w:r w:rsidR="00C94696">
        <w:t xml:space="preserve">compliance focused AI  </w:t>
      </w:r>
      <w:commentRangeEnd w:id="12"/>
      <w:r w:rsidR="006562CB">
        <w:rPr>
          <w:rStyle w:val="CommentReference"/>
          <w:i w:val="0"/>
          <w:iCs w:val="0"/>
          <w:color w:val="auto"/>
        </w:rPr>
        <w:commentReference w:id="12"/>
      </w:r>
      <w:commentRangeEnd w:id="13"/>
      <w:r w:rsidR="006562CB">
        <w:rPr>
          <w:rStyle w:val="CommentReference"/>
          <w:i w:val="0"/>
          <w:iCs w:val="0"/>
          <w:color w:val="auto"/>
        </w:rPr>
        <w:commentReference w:id="13"/>
      </w:r>
    </w:p>
    <w:p w14:paraId="211EBDEC" w14:textId="77777777" w:rsidR="005C5526" w:rsidRDefault="005C5526" w:rsidP="002B21A4">
      <w:pPr>
        <w:jc w:val="both"/>
        <w:rPr>
          <w:lang w:val="en-GB"/>
        </w:rPr>
      </w:pPr>
    </w:p>
    <w:p w14:paraId="4804F10F" w14:textId="739CF615" w:rsidR="003C295B" w:rsidRDefault="00F536E5" w:rsidP="002B21A4">
      <w:pPr>
        <w:pStyle w:val="Heading2"/>
        <w:jc w:val="both"/>
        <w:rPr>
          <w:i w:val="0"/>
          <w:iCs w:val="0"/>
        </w:rPr>
      </w:pPr>
      <w:bookmarkStart w:id="14" w:name="_Toc222226523"/>
      <w:r>
        <w:rPr>
          <w:lang w:val="en-GB"/>
        </w:rPr>
        <w:t>B1.</w:t>
      </w:r>
      <w:r w:rsidR="00A3615F">
        <w:rPr>
          <w:lang w:val="en-GB"/>
        </w:rPr>
        <w:t xml:space="preserve"> </w:t>
      </w:r>
      <w:r w:rsidR="00F725E2" w:rsidRPr="007A116B">
        <w:rPr>
          <w:i w:val="0"/>
          <w:iCs w:val="0"/>
        </w:rPr>
        <w:t xml:space="preserve">While securing the hybrid </w:t>
      </w:r>
      <w:commentRangeStart w:id="15"/>
      <w:commentRangeStart w:id="16"/>
      <w:r w:rsidR="00F725E2" w:rsidRPr="007A116B">
        <w:rPr>
          <w:i w:val="0"/>
          <w:iCs w:val="0"/>
        </w:rPr>
        <w:t xml:space="preserve">workforce the focus should be on protecting the data beyond the corporate perimeters </w:t>
      </w:r>
      <w:commentRangeEnd w:id="15"/>
      <w:r w:rsidR="00F725E2" w:rsidRPr="007A116B">
        <w:rPr>
          <w:rStyle w:val="CommentReference"/>
          <w:i w:val="0"/>
          <w:iCs w:val="0"/>
        </w:rPr>
        <w:commentReference w:id="15"/>
      </w:r>
      <w:commentRangeEnd w:id="16"/>
      <w:r w:rsidR="00F725E2" w:rsidRPr="007A116B">
        <w:rPr>
          <w:rStyle w:val="CommentReference"/>
          <w:i w:val="0"/>
          <w:iCs w:val="0"/>
        </w:rPr>
        <w:commentReference w:id="16"/>
      </w:r>
      <w:r w:rsidR="00F725E2" w:rsidRPr="007A116B">
        <w:rPr>
          <w:i w:val="0"/>
          <w:iCs w:val="0"/>
        </w:rPr>
        <w:t>with keeping functionality of the key features such as ZTNA (Zero Trust Network Access), SASE (Secure Access Service Edge) and DLP (Data Loss Prevention) mainly for a high performance of the functions to create a smooth and efficient functional and available system to be used anywhere and as a high rate of security with it. and not as an independent document. Please do not revise any of the current designations.</w:t>
      </w:r>
      <w:bookmarkEnd w:id="14"/>
    </w:p>
    <w:p w14:paraId="4DBBBB41" w14:textId="77777777" w:rsidR="00DE57B9" w:rsidRPr="00DE57B9" w:rsidRDefault="00DE57B9" w:rsidP="002B21A4">
      <w:pPr>
        <w:jc w:val="both"/>
      </w:pPr>
    </w:p>
    <w:p w14:paraId="28A703E0" w14:textId="77777777" w:rsidR="00C85DDF" w:rsidRDefault="003C295B" w:rsidP="002B21A4">
      <w:pPr>
        <w:keepNext/>
        <w:jc w:val="both"/>
      </w:pPr>
      <w:r w:rsidRPr="003C295B">
        <w:rPr>
          <w:noProof/>
          <w:lang w:val="en-GB"/>
        </w:rPr>
        <w:drawing>
          <wp:inline distT="0" distB="0" distL="0" distR="0" wp14:anchorId="1969A173" wp14:editId="2632CD6D">
            <wp:extent cx="3089910" cy="2059940"/>
            <wp:effectExtent l="0" t="0" r="0" b="0"/>
            <wp:docPr id="3" name="Picture 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8"/>
                    <a:stretch>
                      <a:fillRect/>
                    </a:stretch>
                  </pic:blipFill>
                  <pic:spPr>
                    <a:xfrm>
                      <a:off x="0" y="0"/>
                      <a:ext cx="3089910" cy="2059940"/>
                    </a:xfrm>
                    <a:prstGeom prst="rect">
                      <a:avLst/>
                    </a:prstGeom>
                  </pic:spPr>
                </pic:pic>
              </a:graphicData>
            </a:graphic>
          </wp:inline>
        </w:drawing>
      </w:r>
    </w:p>
    <w:p w14:paraId="472C946F" w14:textId="6227BDD4" w:rsidR="00F725E2" w:rsidRPr="00F725E2" w:rsidRDefault="00C85DDF" w:rsidP="002B21A4">
      <w:pPr>
        <w:pStyle w:val="Caption"/>
        <w:jc w:val="both"/>
        <w:rPr>
          <w:lang w:val="en-GB"/>
        </w:rPr>
      </w:pPr>
      <w:r>
        <w:t xml:space="preserve">Figure </w:t>
      </w:r>
      <w:r w:rsidR="00993B65">
        <w:fldChar w:fldCharType="begin"/>
      </w:r>
      <w:r w:rsidR="00993B65">
        <w:instrText xml:space="preserve"> SEQ Figure \* ARABIC </w:instrText>
      </w:r>
      <w:r w:rsidR="00993B65">
        <w:fldChar w:fldCharType="separate"/>
      </w:r>
      <w:r w:rsidR="00F76A84">
        <w:rPr>
          <w:noProof/>
        </w:rPr>
        <w:t>3</w:t>
      </w:r>
      <w:r w:rsidR="00993B65">
        <w:rPr>
          <w:noProof/>
        </w:rPr>
        <w:fldChar w:fldCharType="end"/>
      </w:r>
      <w:r>
        <w:t xml:space="preserve"> shows some of the main key functions to </w:t>
      </w:r>
      <w:r w:rsidR="00E525D0">
        <w:t>ensuring</w:t>
      </w:r>
      <w:r>
        <w:t xml:space="preserve"> the security of a hybrid workforce</w:t>
      </w:r>
    </w:p>
    <w:p w14:paraId="61F8AC36" w14:textId="0CFB98DB" w:rsidR="006B7EF7" w:rsidRPr="006909D9" w:rsidRDefault="006B7EF7" w:rsidP="002B21A4">
      <w:pPr>
        <w:jc w:val="both"/>
        <w:rPr>
          <w:b/>
          <w:bCs/>
          <w:lang w:val="en-GB"/>
        </w:rPr>
      </w:pPr>
    </w:p>
    <w:p w14:paraId="7FD59CE6" w14:textId="4B3EDA24" w:rsidR="00CC4F6D" w:rsidRPr="006909D9" w:rsidRDefault="00196D90" w:rsidP="002B21A4">
      <w:pPr>
        <w:pStyle w:val="Heading3"/>
        <w:rPr>
          <w:i w:val="0"/>
          <w:iCs w:val="0"/>
        </w:rPr>
      </w:pPr>
      <w:bookmarkStart w:id="17" w:name="_Toc222226524"/>
      <w:r w:rsidRPr="006909D9">
        <w:rPr>
          <w:i w:val="0"/>
          <w:iCs w:val="0"/>
          <w:lang w:val="en-GB"/>
        </w:rPr>
        <w:t>B</w:t>
      </w:r>
      <w:r w:rsidR="00A3615F">
        <w:rPr>
          <w:i w:val="0"/>
          <w:iCs w:val="0"/>
          <w:lang w:val="en-GB"/>
        </w:rPr>
        <w:t>2</w:t>
      </w:r>
      <w:r w:rsidR="00CC4F6D" w:rsidRPr="006909D9">
        <w:rPr>
          <w:i w:val="0"/>
          <w:iCs w:val="0"/>
          <w:lang w:val="en-GB"/>
        </w:rPr>
        <w:t>.</w:t>
      </w:r>
      <w:r w:rsidR="00CC4F6D" w:rsidRPr="006909D9">
        <w:rPr>
          <w:i w:val="0"/>
          <w:iCs w:val="0"/>
        </w:rPr>
        <w:t xml:space="preserve"> Mitigating Security Risks in a Hybrid Workforce</w:t>
      </w:r>
      <w:bookmarkEnd w:id="17"/>
    </w:p>
    <w:p w14:paraId="7D2F4438" w14:textId="4099527F" w:rsidR="00CC4F6D" w:rsidRPr="002A2D00" w:rsidRDefault="00CC4F6D" w:rsidP="002B21A4">
      <w:pPr>
        <w:pStyle w:val="NormalWeb"/>
        <w:jc w:val="both"/>
        <w:rPr>
          <w:sz w:val="20"/>
          <w:szCs w:val="20"/>
        </w:rPr>
      </w:pPr>
      <w:r w:rsidRPr="006909D9">
        <w:rPr>
          <w:sz w:val="20"/>
          <w:szCs w:val="20"/>
        </w:rPr>
        <w:t xml:space="preserve">Hybrid work environments extend access beyond the traditional network perimeter, increasing exposure to cyber threats and reducing the effectiveness of perimeter-based security models. Zero Trust Network Access (ZTNA) is critical in this context, as it enforces continuous verification of user identity and device posture before granting access to applications and data, thereby </w:t>
      </w:r>
      <w:commentRangeStart w:id="18"/>
      <w:commentRangeStart w:id="19"/>
      <w:r w:rsidRPr="006909D9">
        <w:rPr>
          <w:sz w:val="20"/>
          <w:szCs w:val="20"/>
        </w:rPr>
        <w:t xml:space="preserve">limiting unauthorized </w:t>
      </w:r>
      <w:commentRangeEnd w:id="18"/>
      <w:r w:rsidR="006562CB">
        <w:rPr>
          <w:rStyle w:val="CommentReference"/>
        </w:rPr>
        <w:commentReference w:id="18"/>
      </w:r>
      <w:commentRangeEnd w:id="19"/>
      <w:r w:rsidR="006562CB">
        <w:rPr>
          <w:rStyle w:val="CommentReference"/>
        </w:rPr>
        <w:commentReference w:id="19"/>
      </w:r>
      <w:r w:rsidRPr="006909D9">
        <w:rPr>
          <w:sz w:val="20"/>
          <w:szCs w:val="20"/>
        </w:rPr>
        <w:t>access and lateral movement in distributed environments [7], [8].</w:t>
      </w:r>
    </w:p>
    <w:p w14:paraId="65AD18D9" w14:textId="77777777" w:rsidR="0095379B" w:rsidRDefault="003C295B" w:rsidP="002B21A4">
      <w:pPr>
        <w:keepNext/>
        <w:jc w:val="both"/>
      </w:pPr>
      <w:r w:rsidRPr="002A2D00">
        <w:rPr>
          <w:b/>
          <w:bCs/>
          <w:noProof/>
        </w:rPr>
        <w:drawing>
          <wp:inline distT="0" distB="0" distL="0" distR="0" wp14:anchorId="29A1BCED" wp14:editId="3880C2BF">
            <wp:extent cx="3089910" cy="2059940"/>
            <wp:effectExtent l="0" t="0" r="0" b="0"/>
            <wp:docPr id="1" name="Picture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19"/>
                    <a:stretch>
                      <a:fillRect/>
                    </a:stretch>
                  </pic:blipFill>
                  <pic:spPr>
                    <a:xfrm>
                      <a:off x="0" y="0"/>
                      <a:ext cx="3089910" cy="2059940"/>
                    </a:xfrm>
                    <a:prstGeom prst="rect">
                      <a:avLst/>
                    </a:prstGeom>
                  </pic:spPr>
                </pic:pic>
              </a:graphicData>
            </a:graphic>
          </wp:inline>
        </w:drawing>
      </w:r>
    </w:p>
    <w:p w14:paraId="518AA4BE" w14:textId="38FF8A5D" w:rsidR="002A2D00" w:rsidRPr="006909D9" w:rsidRDefault="0095379B" w:rsidP="002B21A4">
      <w:pPr>
        <w:pStyle w:val="Caption"/>
        <w:jc w:val="both"/>
        <w:rPr>
          <w:b/>
          <w:bCs/>
          <w:i w:val="0"/>
          <w:iCs w:val="0"/>
        </w:rPr>
      </w:pPr>
      <w:r>
        <w:t xml:space="preserve">Figure </w:t>
      </w:r>
      <w:r w:rsidR="00993B65">
        <w:fldChar w:fldCharType="begin"/>
      </w:r>
      <w:r w:rsidR="00993B65">
        <w:instrText xml:space="preserve"> SEQ Figure \* ARABIC </w:instrText>
      </w:r>
      <w:r w:rsidR="00993B65">
        <w:fldChar w:fldCharType="separate"/>
      </w:r>
      <w:r w:rsidR="00F76A84">
        <w:rPr>
          <w:noProof/>
        </w:rPr>
        <w:t>4</w:t>
      </w:r>
      <w:r w:rsidR="00993B65">
        <w:rPr>
          <w:noProof/>
        </w:rPr>
        <w:fldChar w:fldCharType="end"/>
      </w:r>
      <w:r>
        <w:t xml:space="preserve"> shows ho</w:t>
      </w:r>
      <w:r w:rsidR="00E525D0">
        <w:t>w</w:t>
      </w:r>
      <w:r>
        <w:t xml:space="preserve"> to </w:t>
      </w:r>
      <w:r w:rsidR="00E525D0">
        <w:t>ensure</w:t>
      </w:r>
      <w:r>
        <w:t xml:space="preserve"> the security risks measures need to be taken</w:t>
      </w:r>
      <w:r w:rsidR="00E525D0">
        <w:t xml:space="preserve"> to secure a hybrid organization</w:t>
      </w:r>
    </w:p>
    <w:p w14:paraId="19590F7C" w14:textId="6B74CD4A" w:rsidR="00CC4F6D" w:rsidRPr="006909D9" w:rsidRDefault="001C5359" w:rsidP="002B21A4">
      <w:pPr>
        <w:pStyle w:val="Heading3"/>
        <w:rPr>
          <w:i w:val="0"/>
          <w:iCs w:val="0"/>
        </w:rPr>
      </w:pPr>
      <w:bookmarkStart w:id="20" w:name="_Toc222226525"/>
      <w:r w:rsidRPr="006909D9">
        <w:rPr>
          <w:i w:val="0"/>
          <w:iCs w:val="0"/>
        </w:rPr>
        <w:t>B</w:t>
      </w:r>
      <w:r w:rsidR="00D77D6D">
        <w:rPr>
          <w:i w:val="0"/>
          <w:iCs w:val="0"/>
        </w:rPr>
        <w:t>3</w:t>
      </w:r>
      <w:r w:rsidRPr="006909D9">
        <w:rPr>
          <w:i w:val="0"/>
          <w:iCs w:val="0"/>
        </w:rPr>
        <w:t xml:space="preserve">. </w:t>
      </w:r>
      <w:r w:rsidR="00CC4F6D" w:rsidRPr="006909D9">
        <w:rPr>
          <w:i w:val="0"/>
          <w:iCs w:val="0"/>
        </w:rPr>
        <w:t>Enabling Secure and Scalable Remote Access</w:t>
      </w:r>
      <w:bookmarkEnd w:id="20"/>
    </w:p>
    <w:p w14:paraId="08B3B455" w14:textId="77777777" w:rsidR="00CC4F6D" w:rsidRPr="006909D9" w:rsidRDefault="00CC4F6D" w:rsidP="002B21A4">
      <w:pPr>
        <w:pStyle w:val="NormalWeb"/>
        <w:jc w:val="both"/>
        <w:rPr>
          <w:sz w:val="20"/>
          <w:szCs w:val="20"/>
        </w:rPr>
      </w:pPr>
      <w:r w:rsidRPr="006909D9">
        <w:rPr>
          <w:sz w:val="20"/>
          <w:szCs w:val="20"/>
        </w:rPr>
        <w:t>Secure Access Service Edge (SASE) is essential for hybrid workforces because it integrates networking and security services into a unified, cloud-delivered architecture. This approach enables consistent security policy enforcement</w:t>
      </w:r>
      <w:r w:rsidRPr="00BA22F8">
        <w:rPr>
          <w:i/>
          <w:iCs/>
          <w:sz w:val="20"/>
          <w:szCs w:val="20"/>
        </w:rPr>
        <w:t xml:space="preserve"> and </w:t>
      </w:r>
      <w:r w:rsidRPr="006909D9">
        <w:rPr>
          <w:sz w:val="20"/>
          <w:szCs w:val="20"/>
        </w:rPr>
        <w:t>optimized access performance while supporting secure connectivity to enterprise resources regardless of user location [9].</w:t>
      </w:r>
    </w:p>
    <w:p w14:paraId="07B8D375" w14:textId="77777777" w:rsidR="00E525D0" w:rsidRDefault="00E115F9" w:rsidP="002B21A4">
      <w:pPr>
        <w:keepNext/>
        <w:jc w:val="both"/>
      </w:pPr>
      <w:r w:rsidRPr="00E115F9">
        <w:rPr>
          <w:b/>
          <w:bCs/>
          <w:noProof/>
        </w:rPr>
        <w:lastRenderedPageBreak/>
        <w:drawing>
          <wp:inline distT="0" distB="0" distL="0" distR="0" wp14:anchorId="54C2DE90" wp14:editId="20A7EE43">
            <wp:extent cx="3089910" cy="2059940"/>
            <wp:effectExtent l="0" t="0" r="0" b="0"/>
            <wp:docPr id="4" name="Picture 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0"/>
                    <a:stretch>
                      <a:fillRect/>
                    </a:stretch>
                  </pic:blipFill>
                  <pic:spPr>
                    <a:xfrm>
                      <a:off x="0" y="0"/>
                      <a:ext cx="3089910" cy="2059940"/>
                    </a:xfrm>
                    <a:prstGeom prst="rect">
                      <a:avLst/>
                    </a:prstGeom>
                  </pic:spPr>
                </pic:pic>
              </a:graphicData>
            </a:graphic>
          </wp:inline>
        </w:drawing>
      </w:r>
    </w:p>
    <w:p w14:paraId="5894E5FA" w14:textId="00066DAA" w:rsidR="00E525D0" w:rsidRDefault="00E525D0" w:rsidP="002B21A4">
      <w:pPr>
        <w:pStyle w:val="Caption"/>
        <w:jc w:val="both"/>
      </w:pPr>
      <w:r>
        <w:t xml:space="preserve">Figure </w:t>
      </w:r>
      <w:r w:rsidR="00993B65">
        <w:fldChar w:fldCharType="begin"/>
      </w:r>
      <w:r w:rsidR="00993B65">
        <w:instrText xml:space="preserve"> SEQ Figure \* ARABIC </w:instrText>
      </w:r>
      <w:r w:rsidR="00993B65">
        <w:fldChar w:fldCharType="separate"/>
      </w:r>
      <w:r w:rsidR="00F76A84">
        <w:rPr>
          <w:noProof/>
        </w:rPr>
        <w:t>5</w:t>
      </w:r>
      <w:r w:rsidR="00993B65">
        <w:rPr>
          <w:noProof/>
        </w:rPr>
        <w:fldChar w:fldCharType="end"/>
      </w:r>
      <w:r>
        <w:t xml:space="preserve"> shows the scale of security with the use of a hybrid company within remote access aspects</w:t>
      </w:r>
    </w:p>
    <w:p w14:paraId="7119E1C4" w14:textId="3878A759" w:rsidR="00CC4F6D" w:rsidRPr="006909D9" w:rsidRDefault="00057B8B" w:rsidP="002B21A4">
      <w:pPr>
        <w:jc w:val="both"/>
        <w:rPr>
          <w:b/>
          <w:bCs/>
        </w:rPr>
      </w:pPr>
      <w:r w:rsidRPr="006909D9">
        <w:rPr>
          <w:b/>
          <w:bCs/>
        </w:rPr>
        <w:t xml:space="preserve"> </w:t>
      </w:r>
    </w:p>
    <w:p w14:paraId="08F70196" w14:textId="146ABD9A" w:rsidR="00CC4F6D" w:rsidRPr="006909D9" w:rsidRDefault="001C5359" w:rsidP="002B21A4">
      <w:pPr>
        <w:pStyle w:val="Heading3"/>
        <w:rPr>
          <w:i w:val="0"/>
          <w:iCs w:val="0"/>
        </w:rPr>
      </w:pPr>
      <w:bookmarkStart w:id="21" w:name="_Toc222226526"/>
      <w:r w:rsidRPr="006909D9">
        <w:rPr>
          <w:i w:val="0"/>
          <w:iCs w:val="0"/>
        </w:rPr>
        <w:t>B</w:t>
      </w:r>
      <w:r w:rsidR="00F536E5">
        <w:rPr>
          <w:i w:val="0"/>
          <w:iCs w:val="0"/>
        </w:rPr>
        <w:t>4</w:t>
      </w:r>
      <w:r w:rsidR="00CC4F6D" w:rsidRPr="006909D9">
        <w:rPr>
          <w:i w:val="0"/>
          <w:iCs w:val="0"/>
        </w:rPr>
        <w:t>. Protecting Sensitive Data and Supporting Compliance</w:t>
      </w:r>
      <w:bookmarkEnd w:id="21"/>
    </w:p>
    <w:p w14:paraId="578E9AF3" w14:textId="2BD7C666" w:rsidR="00196D90" w:rsidRPr="006909D9" w:rsidRDefault="00CC4F6D" w:rsidP="002B21A4">
      <w:pPr>
        <w:pStyle w:val="NormalWeb"/>
        <w:jc w:val="both"/>
        <w:rPr>
          <w:sz w:val="20"/>
          <w:szCs w:val="20"/>
        </w:rPr>
      </w:pPr>
      <w:r w:rsidRPr="006909D9">
        <w:rPr>
          <w:sz w:val="20"/>
          <w:szCs w:val="20"/>
        </w:rPr>
        <w:t>As organizational data is accessed across diverse locations and devices, protecting sensitive information is essential. Data Loss Prevention (DLP) mechanisms help prevent unauthorized access and data leakage, supporting compliance with data protection and privacy regulations while maintaining data integrity in cloud and hybrid environments [10], [11].</w:t>
      </w:r>
    </w:p>
    <w:p w14:paraId="3F8D677C" w14:textId="77777777" w:rsidR="00D008E5" w:rsidRPr="006909D9" w:rsidRDefault="00D008E5" w:rsidP="002B21A4">
      <w:pPr>
        <w:jc w:val="both"/>
      </w:pPr>
    </w:p>
    <w:p w14:paraId="0736D6C3" w14:textId="06F364C9" w:rsidR="00FA5CA2" w:rsidRPr="006909D9" w:rsidRDefault="00FA5CA2" w:rsidP="002B21A4">
      <w:pPr>
        <w:pStyle w:val="Heading1"/>
        <w:jc w:val="both"/>
      </w:pPr>
      <w:bookmarkStart w:id="22" w:name="_Toc222226527"/>
      <w:r w:rsidRPr="006909D9">
        <w:t>Relation of both topics</w:t>
      </w:r>
      <w:bookmarkEnd w:id="22"/>
      <w:r w:rsidRPr="006909D9">
        <w:t xml:space="preserve"> </w:t>
      </w:r>
    </w:p>
    <w:p w14:paraId="39F9CCD3" w14:textId="539AC2B8" w:rsidR="00ED152C" w:rsidRPr="006909D9" w:rsidRDefault="002C4F40" w:rsidP="002B21A4">
      <w:pPr>
        <w:jc w:val="both"/>
      </w:pPr>
      <w:r w:rsidRPr="006909D9">
        <w:t>AI governance and hybrid workforce security are closely related because modern AI and ML systems increasingly operate in distributed and cloud-based environments that extend beyond traditional network perimeters. Governance frameworks therefore must address not only ethical concerns such as fairness and accountability, but also security risks associated with remote access to AI data and models. Studies emphasize that AI governance requires “organizational, technical, and ethical oversight across the entire system lifecycle,” particularly in decentralized environments [9], while zero trust principles enforce continuous verification and eliminate implicit trust in hybrid infrastructures [10].</w:t>
      </w:r>
    </w:p>
    <w:p w14:paraId="19F48B8C" w14:textId="77777777" w:rsidR="00427420" w:rsidRDefault="00506D1F" w:rsidP="002B21A4">
      <w:pPr>
        <w:keepNext/>
        <w:jc w:val="both"/>
      </w:pPr>
      <w:r>
        <w:rPr>
          <w:noProof/>
        </w:rPr>
        <w:drawing>
          <wp:inline distT="0" distB="0" distL="0" distR="0" wp14:anchorId="73A23540" wp14:editId="584D625B">
            <wp:extent cx="3089910" cy="875030"/>
            <wp:effectExtent l="0" t="0" r="0" b="1270"/>
            <wp:docPr id="9" name="Picture 9" descr="Top 10 applications of artificial intelligence in government services ..."/>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5" descr="Top 10 applications of artificial intelligence in government services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89910" cy="875030"/>
                    </a:xfrm>
                    <a:prstGeom prst="rect">
                      <a:avLst/>
                    </a:prstGeom>
                    <a:noFill/>
                    <a:ln>
                      <a:noFill/>
                    </a:ln>
                  </pic:spPr>
                </pic:pic>
              </a:graphicData>
            </a:graphic>
          </wp:inline>
        </w:drawing>
      </w:r>
    </w:p>
    <w:p w14:paraId="1DF389BB" w14:textId="0EB5EB69" w:rsidR="00ED152C" w:rsidRPr="006909D9" w:rsidRDefault="00427420" w:rsidP="002B21A4">
      <w:pPr>
        <w:pStyle w:val="Caption"/>
        <w:jc w:val="both"/>
        <w:rPr>
          <w:i w:val="0"/>
          <w:iCs w:val="0"/>
        </w:rPr>
      </w:pPr>
      <w:r>
        <w:t xml:space="preserve">Figure </w:t>
      </w:r>
      <w:r w:rsidR="00993B65">
        <w:fldChar w:fldCharType="begin"/>
      </w:r>
      <w:r w:rsidR="00993B65">
        <w:instrText xml:space="preserve"> SEQ Figure \* ARABIC </w:instrText>
      </w:r>
      <w:r w:rsidR="00993B65">
        <w:fldChar w:fldCharType="separate"/>
      </w:r>
      <w:r w:rsidR="00F76A84">
        <w:rPr>
          <w:noProof/>
        </w:rPr>
        <w:t>6</w:t>
      </w:r>
      <w:r w:rsidR="00993B65">
        <w:rPr>
          <w:noProof/>
        </w:rPr>
        <w:fldChar w:fldCharType="end"/>
      </w:r>
      <w:r>
        <w:t xml:space="preserve"> show that there is a major link between AI and human intelligence</w:t>
      </w:r>
    </w:p>
    <w:p w14:paraId="6A5CB623" w14:textId="77777777" w:rsidR="00D008E5" w:rsidRPr="006909D9" w:rsidRDefault="002C4F40" w:rsidP="002B21A4">
      <w:pPr>
        <w:jc w:val="both"/>
      </w:pPr>
      <w:r w:rsidRPr="006909D9">
        <w:t>Hybrid workforce security further strengthens responsible AI deployment by protecting sensitive data used in training and decision-making processes. Secure Access Service Edge (SASE) architectures integrate networking and security functions to provide consistent protection for distributed users, aligning with research that describes SASE as “a cloud-native architecture combining network and security services” [11].</w:t>
      </w:r>
    </w:p>
    <w:p w14:paraId="4DC9AE02" w14:textId="7C372393" w:rsidR="002C4F40" w:rsidRDefault="002C4F40" w:rsidP="002B21A4">
      <w:pPr>
        <w:jc w:val="both"/>
      </w:pPr>
      <w:r w:rsidRPr="006909D9">
        <w:t xml:space="preserve"> Additionally, Data Loss Prevention (DLP) mechanisms help prevent unauthorized data disclosure, supporting regulatory compliance and ethical AI governance by ensuring that </w:t>
      </w:r>
      <w:r w:rsidRPr="006909D9">
        <w:t>“sensitive data is monitored and protected across systems and users” [12].</w:t>
      </w:r>
    </w:p>
    <w:p w14:paraId="522544BD" w14:textId="77777777" w:rsidR="00E525D0" w:rsidRPr="006909D9" w:rsidRDefault="00E525D0" w:rsidP="002B21A4">
      <w:pPr>
        <w:jc w:val="both"/>
      </w:pPr>
    </w:p>
    <w:p w14:paraId="0CD00DB6" w14:textId="52A1F4E1" w:rsidR="002F5A84" w:rsidRPr="006909D9" w:rsidRDefault="00883B33" w:rsidP="002B21A4">
      <w:pPr>
        <w:pStyle w:val="Heading1"/>
        <w:jc w:val="both"/>
      </w:pPr>
      <w:bookmarkStart w:id="23" w:name="_Toc222226528"/>
      <w:r>
        <w:t>Conclution</w:t>
      </w:r>
      <w:bookmarkEnd w:id="23"/>
    </w:p>
    <w:p w14:paraId="7E04B203" w14:textId="67A4C6E2" w:rsidR="00275A25" w:rsidRDefault="00883B33" w:rsidP="002B21A4">
      <w:pPr>
        <w:jc w:val="both"/>
        <w:rPr>
          <w:lang w:val="en-GB"/>
        </w:rPr>
      </w:pPr>
      <w:r w:rsidRPr="00883B33">
        <w:rPr>
          <w:lang w:val="en-GB"/>
        </w:rPr>
        <w:t>This paper shows that effective AI and ML governance depends on strong lifecycle oversight, ethical safeguards, and regulatory compliance, especially as systems operate across distributed environments. Secure architectures such as ZTNA, SASE, and DLP are essential for protecting data and enforcing consistent policies in hybrid workforces. Together, these approaches reduce risk, strengthen accountability, and ensure AI systems remain trustworthy, secure, and aligned with organisational objectives while supporting scalable and resilient digital operations.</w:t>
      </w:r>
      <w:r>
        <w:rPr>
          <w:lang w:val="en-GB"/>
        </w:rPr>
        <w:t xml:space="preserve"> </w:t>
      </w:r>
    </w:p>
    <w:p w14:paraId="376EBCDF" w14:textId="77777777" w:rsidR="00883B33" w:rsidRPr="00883B33" w:rsidRDefault="00883B33" w:rsidP="002B21A4">
      <w:pPr>
        <w:jc w:val="both"/>
        <w:rPr>
          <w:lang w:val="en-GB"/>
        </w:rPr>
      </w:pPr>
    </w:p>
    <w:p w14:paraId="0564534F" w14:textId="77777777" w:rsidR="002834B7" w:rsidRDefault="002834B7" w:rsidP="002B21A4">
      <w:pPr>
        <w:pStyle w:val="Heading1"/>
        <w:jc w:val="both"/>
      </w:pPr>
      <w:bookmarkStart w:id="24" w:name="_Toc222226529"/>
      <w:r>
        <w:t>Abbreviations and Acronyms</w:t>
      </w:r>
      <w:bookmarkEnd w:id="24"/>
    </w:p>
    <w:tbl>
      <w:tblPr>
        <w:tblW w:w="0pt" w:type="auto"/>
        <w:tblBorders>
          <w:top w:val="thinThickThinSmallGap" w:sz="24" w:space="0" w:color="8496B0" w:themeColor="text2" w:themeTint="99"/>
          <w:start w:val="thinThickThinSmallGap" w:sz="24" w:space="0" w:color="8496B0" w:themeColor="text2" w:themeTint="99"/>
          <w:bottom w:val="thinThickThinSmallGap" w:sz="24" w:space="0" w:color="8496B0" w:themeColor="text2" w:themeTint="99"/>
          <w:end w:val="thinThickThinSmallGap" w:sz="24" w:space="0" w:color="8496B0" w:themeColor="text2" w:themeTint="99"/>
          <w:insideH w:val="thinThickThinSmallGap" w:sz="24" w:space="0" w:color="8496B0" w:themeColor="text2" w:themeTint="99"/>
          <w:insideV w:val="thinThickThinSmallGap" w:sz="24" w:space="0" w:color="8496B0" w:themeColor="text2" w:themeTint="99"/>
        </w:tblBorders>
        <w:tblLook w:firstRow="1" w:lastRow="0" w:firstColumn="1" w:lastColumn="0" w:noHBand="0" w:noVBand="1"/>
      </w:tblPr>
      <w:tblGrid>
        <w:gridCol w:w="2367"/>
        <w:gridCol w:w="2379"/>
      </w:tblGrid>
      <w:tr w:rsidR="002834B7" w14:paraId="75D17D04" w14:textId="77777777" w:rsidTr="007D7A0E">
        <w:trPr>
          <w:trHeight w:val="357"/>
        </w:trPr>
        <w:tc>
          <w:tcPr>
            <w:tcW w:w="121pt" w:type="dxa"/>
            <w:shd w:val="clear" w:color="auto" w:fill="auto"/>
          </w:tcPr>
          <w:p w14:paraId="74DCB8E4" w14:textId="77777777" w:rsidR="002834B7" w:rsidRPr="002B21A4" w:rsidRDefault="002834B7" w:rsidP="002B21A4">
            <w:pPr>
              <w:rPr>
                <w:b/>
                <w:bCs/>
              </w:rPr>
            </w:pPr>
            <w:r w:rsidRPr="002B21A4">
              <w:rPr>
                <w:b/>
                <w:bCs/>
              </w:rPr>
              <w:t>Acronym</w:t>
            </w:r>
          </w:p>
        </w:tc>
        <w:tc>
          <w:tcPr>
            <w:tcW w:w="121pt" w:type="dxa"/>
            <w:shd w:val="clear" w:color="auto" w:fill="auto"/>
          </w:tcPr>
          <w:p w14:paraId="52ADEFB3" w14:textId="77777777" w:rsidR="002834B7" w:rsidRPr="002B21A4" w:rsidRDefault="002834B7" w:rsidP="002B21A4">
            <w:pPr>
              <w:rPr>
                <w:b/>
                <w:bCs/>
              </w:rPr>
            </w:pPr>
            <w:r w:rsidRPr="002B21A4">
              <w:rPr>
                <w:b/>
                <w:bCs/>
              </w:rPr>
              <w:t>Meaning</w:t>
            </w:r>
          </w:p>
        </w:tc>
      </w:tr>
      <w:tr w:rsidR="002834B7" w14:paraId="1DD0433C" w14:textId="77777777" w:rsidTr="007D7A0E">
        <w:trPr>
          <w:trHeight w:val="361"/>
        </w:trPr>
        <w:tc>
          <w:tcPr>
            <w:tcW w:w="121pt" w:type="dxa"/>
            <w:shd w:val="clear" w:color="auto" w:fill="auto"/>
          </w:tcPr>
          <w:p w14:paraId="00B5FE3D" w14:textId="77777777" w:rsidR="002834B7" w:rsidRDefault="002834B7" w:rsidP="002B21A4">
            <w:pPr>
              <w:jc w:val="both"/>
            </w:pPr>
            <w:r>
              <w:t>AI</w:t>
            </w:r>
          </w:p>
        </w:tc>
        <w:tc>
          <w:tcPr>
            <w:tcW w:w="121pt" w:type="dxa"/>
            <w:shd w:val="clear" w:color="auto" w:fill="auto"/>
          </w:tcPr>
          <w:p w14:paraId="60E72055" w14:textId="77777777" w:rsidR="002834B7" w:rsidRDefault="002834B7" w:rsidP="002B21A4">
            <w:pPr>
              <w:jc w:val="both"/>
            </w:pPr>
            <w:r>
              <w:t>Artificial Intelligence</w:t>
            </w:r>
          </w:p>
        </w:tc>
      </w:tr>
      <w:tr w:rsidR="002834B7" w14:paraId="5E83A853" w14:textId="77777777" w:rsidTr="007D7A0E">
        <w:trPr>
          <w:trHeight w:val="357"/>
        </w:trPr>
        <w:tc>
          <w:tcPr>
            <w:tcW w:w="121pt" w:type="dxa"/>
            <w:shd w:val="clear" w:color="auto" w:fill="auto"/>
          </w:tcPr>
          <w:p w14:paraId="59B01862" w14:textId="77777777" w:rsidR="002834B7" w:rsidRDefault="002834B7" w:rsidP="002B21A4">
            <w:pPr>
              <w:jc w:val="both"/>
            </w:pPr>
            <w:r>
              <w:t>ML</w:t>
            </w:r>
          </w:p>
        </w:tc>
        <w:tc>
          <w:tcPr>
            <w:tcW w:w="121pt" w:type="dxa"/>
            <w:shd w:val="clear" w:color="auto" w:fill="auto"/>
          </w:tcPr>
          <w:p w14:paraId="53A43B4C" w14:textId="77777777" w:rsidR="002834B7" w:rsidRDefault="002834B7" w:rsidP="002B21A4">
            <w:pPr>
              <w:jc w:val="both"/>
            </w:pPr>
            <w:r>
              <w:t>Machine Learning</w:t>
            </w:r>
          </w:p>
        </w:tc>
      </w:tr>
      <w:tr w:rsidR="002834B7" w14:paraId="5EDD36D8" w14:textId="77777777" w:rsidTr="007D7A0E">
        <w:trPr>
          <w:trHeight w:val="357"/>
        </w:trPr>
        <w:tc>
          <w:tcPr>
            <w:tcW w:w="121pt" w:type="dxa"/>
            <w:shd w:val="clear" w:color="auto" w:fill="auto"/>
          </w:tcPr>
          <w:p w14:paraId="7BDD708F" w14:textId="77777777" w:rsidR="002834B7" w:rsidRDefault="002834B7" w:rsidP="002B21A4">
            <w:pPr>
              <w:jc w:val="both"/>
            </w:pPr>
            <w:r>
              <w:t>ZTNA</w:t>
            </w:r>
          </w:p>
        </w:tc>
        <w:tc>
          <w:tcPr>
            <w:tcW w:w="121pt" w:type="dxa"/>
            <w:shd w:val="clear" w:color="auto" w:fill="auto"/>
          </w:tcPr>
          <w:p w14:paraId="79341A2D" w14:textId="77777777" w:rsidR="002834B7" w:rsidRDefault="002834B7" w:rsidP="002B21A4">
            <w:pPr>
              <w:jc w:val="both"/>
            </w:pPr>
            <w:r>
              <w:t>Zero Trust Network Access</w:t>
            </w:r>
          </w:p>
        </w:tc>
      </w:tr>
      <w:tr w:rsidR="002834B7" w14:paraId="21F51147" w14:textId="77777777" w:rsidTr="007D7A0E">
        <w:trPr>
          <w:trHeight w:val="361"/>
        </w:trPr>
        <w:tc>
          <w:tcPr>
            <w:tcW w:w="121pt" w:type="dxa"/>
            <w:shd w:val="clear" w:color="auto" w:fill="auto"/>
          </w:tcPr>
          <w:p w14:paraId="678DD81B" w14:textId="77777777" w:rsidR="002834B7" w:rsidRDefault="002834B7" w:rsidP="002B21A4">
            <w:pPr>
              <w:jc w:val="both"/>
            </w:pPr>
            <w:r>
              <w:t>SASE</w:t>
            </w:r>
          </w:p>
        </w:tc>
        <w:tc>
          <w:tcPr>
            <w:tcW w:w="121pt" w:type="dxa"/>
            <w:shd w:val="clear" w:color="auto" w:fill="auto"/>
          </w:tcPr>
          <w:p w14:paraId="47A86344" w14:textId="77777777" w:rsidR="002834B7" w:rsidRDefault="002834B7" w:rsidP="002B21A4">
            <w:pPr>
              <w:jc w:val="both"/>
            </w:pPr>
            <w:r>
              <w:t>Secure Access Service Edge</w:t>
            </w:r>
          </w:p>
        </w:tc>
      </w:tr>
      <w:tr w:rsidR="002834B7" w14:paraId="6755A5E5" w14:textId="77777777" w:rsidTr="007D7A0E">
        <w:trPr>
          <w:trHeight w:val="357"/>
        </w:trPr>
        <w:tc>
          <w:tcPr>
            <w:tcW w:w="121pt" w:type="dxa"/>
            <w:shd w:val="clear" w:color="auto" w:fill="auto"/>
          </w:tcPr>
          <w:p w14:paraId="51A4A802" w14:textId="77777777" w:rsidR="002834B7" w:rsidRDefault="002834B7" w:rsidP="002B21A4">
            <w:pPr>
              <w:jc w:val="both"/>
            </w:pPr>
            <w:r>
              <w:t>DLP</w:t>
            </w:r>
          </w:p>
        </w:tc>
        <w:tc>
          <w:tcPr>
            <w:tcW w:w="121pt" w:type="dxa"/>
            <w:shd w:val="clear" w:color="auto" w:fill="auto"/>
          </w:tcPr>
          <w:p w14:paraId="34CE3F0D" w14:textId="77777777" w:rsidR="002834B7" w:rsidRDefault="002834B7" w:rsidP="002B21A4">
            <w:pPr>
              <w:jc w:val="both"/>
            </w:pPr>
            <w:r>
              <w:t>Data Loss Prevention</w:t>
            </w:r>
          </w:p>
        </w:tc>
      </w:tr>
      <w:tr w:rsidR="002834B7" w14:paraId="163DBF42" w14:textId="77777777" w:rsidTr="007D7A0E">
        <w:trPr>
          <w:trHeight w:val="357"/>
        </w:trPr>
        <w:tc>
          <w:tcPr>
            <w:tcW w:w="121pt" w:type="dxa"/>
            <w:shd w:val="clear" w:color="auto" w:fill="auto"/>
          </w:tcPr>
          <w:p w14:paraId="5BCA29AA" w14:textId="77777777" w:rsidR="002834B7" w:rsidRDefault="002834B7" w:rsidP="002B21A4">
            <w:pPr>
              <w:jc w:val="both"/>
            </w:pPr>
            <w:r>
              <w:t>ISO/IEC</w:t>
            </w:r>
          </w:p>
        </w:tc>
        <w:tc>
          <w:tcPr>
            <w:tcW w:w="121pt" w:type="dxa"/>
            <w:shd w:val="clear" w:color="auto" w:fill="auto"/>
          </w:tcPr>
          <w:p w14:paraId="75AD590A" w14:textId="77777777" w:rsidR="002834B7" w:rsidRDefault="002834B7" w:rsidP="002B21A4">
            <w:pPr>
              <w:jc w:val="both"/>
            </w:pPr>
            <w:r>
              <w:t>International Standards Bodies</w:t>
            </w:r>
          </w:p>
        </w:tc>
      </w:tr>
      <w:tr w:rsidR="002834B7" w14:paraId="4077C346" w14:textId="77777777" w:rsidTr="007D7A0E">
        <w:trPr>
          <w:trHeight w:val="574"/>
        </w:trPr>
        <w:tc>
          <w:tcPr>
            <w:tcW w:w="121pt" w:type="dxa"/>
            <w:shd w:val="clear" w:color="auto" w:fill="auto"/>
          </w:tcPr>
          <w:p w14:paraId="59DF0CBC" w14:textId="77777777" w:rsidR="002834B7" w:rsidRDefault="002834B7" w:rsidP="002B21A4">
            <w:pPr>
              <w:jc w:val="both"/>
            </w:pPr>
            <w:r>
              <w:t>NIST</w:t>
            </w:r>
          </w:p>
        </w:tc>
        <w:tc>
          <w:tcPr>
            <w:tcW w:w="121pt" w:type="dxa"/>
            <w:shd w:val="clear" w:color="auto" w:fill="auto"/>
          </w:tcPr>
          <w:p w14:paraId="5CF86641" w14:textId="77777777" w:rsidR="002834B7" w:rsidRDefault="002834B7" w:rsidP="002B21A4">
            <w:pPr>
              <w:jc w:val="both"/>
            </w:pPr>
            <w:r>
              <w:t>National Institute of Standards and Technology</w:t>
            </w:r>
          </w:p>
        </w:tc>
      </w:tr>
      <w:tr w:rsidR="002834B7" w14:paraId="0106C792" w14:textId="77777777" w:rsidTr="007D7A0E">
        <w:trPr>
          <w:trHeight w:val="574"/>
        </w:trPr>
        <w:tc>
          <w:tcPr>
            <w:tcW w:w="121pt" w:type="dxa"/>
            <w:shd w:val="clear" w:color="auto" w:fill="auto"/>
          </w:tcPr>
          <w:p w14:paraId="4D8B3157" w14:textId="77777777" w:rsidR="002834B7" w:rsidRDefault="002834B7" w:rsidP="002B21A4">
            <w:pPr>
              <w:jc w:val="both"/>
            </w:pPr>
            <w:r>
              <w:t>OECD</w:t>
            </w:r>
          </w:p>
        </w:tc>
        <w:tc>
          <w:tcPr>
            <w:tcW w:w="121pt" w:type="dxa"/>
            <w:shd w:val="clear" w:color="auto" w:fill="auto"/>
          </w:tcPr>
          <w:p w14:paraId="6FF0B96F" w14:textId="77777777" w:rsidR="002834B7" w:rsidRDefault="002834B7" w:rsidP="002B21A4">
            <w:pPr>
              <w:jc w:val="both"/>
            </w:pPr>
            <w:proofErr w:type="spellStart"/>
            <w:r>
              <w:t>Organisation</w:t>
            </w:r>
            <w:proofErr w:type="spellEnd"/>
            <w:r>
              <w:t xml:space="preserve"> for Economic Co-operation and Development</w:t>
            </w:r>
          </w:p>
        </w:tc>
      </w:tr>
      <w:tr w:rsidR="002834B7" w14:paraId="4A040D5E" w14:textId="77777777" w:rsidTr="007D7A0E">
        <w:trPr>
          <w:trHeight w:val="357"/>
        </w:trPr>
        <w:tc>
          <w:tcPr>
            <w:tcW w:w="121pt" w:type="dxa"/>
            <w:shd w:val="clear" w:color="auto" w:fill="auto"/>
          </w:tcPr>
          <w:p w14:paraId="7C22E368" w14:textId="77777777" w:rsidR="002834B7" w:rsidRDefault="002834B7" w:rsidP="002B21A4">
            <w:pPr>
              <w:jc w:val="both"/>
            </w:pPr>
            <w:r>
              <w:t>ENISA</w:t>
            </w:r>
          </w:p>
        </w:tc>
        <w:tc>
          <w:tcPr>
            <w:tcW w:w="121pt" w:type="dxa"/>
            <w:shd w:val="clear" w:color="auto" w:fill="auto"/>
          </w:tcPr>
          <w:p w14:paraId="617B15E6" w14:textId="77777777" w:rsidR="002834B7" w:rsidRDefault="002834B7" w:rsidP="002B21A4">
            <w:pPr>
              <w:jc w:val="both"/>
            </w:pPr>
            <w:r>
              <w:t>EU Agency for Cybersecurity</w:t>
            </w:r>
          </w:p>
        </w:tc>
      </w:tr>
    </w:tbl>
    <w:p w14:paraId="2480144B" w14:textId="77777777" w:rsidR="0087692A" w:rsidRPr="0087692A" w:rsidRDefault="0087692A" w:rsidP="002B21A4">
      <w:pPr>
        <w:jc w:val="both"/>
      </w:pPr>
    </w:p>
    <w:p w14:paraId="21523B97" w14:textId="77777777" w:rsidR="009303D9" w:rsidRDefault="009303D9" w:rsidP="002B21A4">
      <w:pPr>
        <w:pStyle w:val="Heading1"/>
        <w:jc w:val="both"/>
      </w:pPr>
      <w:bookmarkStart w:id="25" w:name="_Toc222226530"/>
      <w:r w:rsidRPr="005B520E">
        <w:t>References</w:t>
      </w:r>
      <w:bookmarkEnd w:id="25"/>
    </w:p>
    <w:p w14:paraId="3CB48109" w14:textId="3ECD006C" w:rsidR="004F5418" w:rsidRPr="001A2EAD" w:rsidRDefault="004F5418" w:rsidP="00993B65">
      <w:pPr>
        <w:pStyle w:val="Heading5"/>
        <w:numPr>
          <w:ilvl w:val="0"/>
          <w:numId w:val="7"/>
        </w:numPr>
        <w:jc w:val="both"/>
        <w:rPr>
          <w:spacing w:val="-1"/>
          <w:lang w:val="en-GB" w:eastAsia="x-none"/>
        </w:rPr>
      </w:pPr>
      <w:r w:rsidRPr="00047CF5">
        <w:rPr>
          <w:spacing w:val="-1"/>
          <w:sz w:val="24"/>
          <w:szCs w:val="24"/>
          <w:lang w:val="en-GB" w:eastAsia="x-none"/>
        </w:rPr>
        <w:t xml:space="preserve"> </w:t>
      </w:r>
      <w:r w:rsidRPr="001A2EAD">
        <w:rPr>
          <w:spacing w:val="-1"/>
          <w:lang w:val="en-GB" w:eastAsia="x-none"/>
        </w:rPr>
        <w:t xml:space="preserve">ISO/IEC, </w:t>
      </w:r>
      <w:r w:rsidRPr="001A2EAD">
        <w:rPr>
          <w:i/>
          <w:iCs/>
          <w:spacing w:val="-1"/>
          <w:lang w:val="en-GB" w:eastAsia="x-none"/>
        </w:rPr>
        <w:t>ISO/IEC TR 24368:2022—Information Technology—Artificial Intelligence—Overview of Ethical and Societal Concerns</w:t>
      </w:r>
      <w:r w:rsidRPr="001A2EAD">
        <w:rPr>
          <w:spacing w:val="-1"/>
          <w:lang w:val="en-GB" w:eastAsia="x-none"/>
        </w:rPr>
        <w:t>, Geneva, Switzerland: International Organization for Standardization, 2022.</w:t>
      </w:r>
    </w:p>
    <w:p w14:paraId="73C71174" w14:textId="43512014"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L. Floridi, J. Cowls, M. Beltrametti, </w:t>
      </w:r>
      <w:r w:rsidRPr="001A2EAD">
        <w:rPr>
          <w:i/>
          <w:iCs/>
          <w:spacing w:val="-1"/>
          <w:lang w:val="en-GB" w:eastAsia="x-none"/>
        </w:rPr>
        <w:t>et al</w:t>
      </w:r>
      <w:r w:rsidRPr="001A2EAD">
        <w:rPr>
          <w:spacing w:val="-1"/>
          <w:lang w:val="en-GB" w:eastAsia="x-none"/>
        </w:rPr>
        <w:t xml:space="preserve">., “AI4People—An ethical framework for a good AI society: Opportunities, risks, principles, and recommendations,” </w:t>
      </w:r>
      <w:r w:rsidRPr="001A2EAD">
        <w:rPr>
          <w:i/>
          <w:iCs/>
          <w:spacing w:val="-1"/>
          <w:lang w:val="en-GB" w:eastAsia="x-none"/>
        </w:rPr>
        <w:t>Minds and Machines</w:t>
      </w:r>
      <w:r w:rsidRPr="001A2EAD">
        <w:rPr>
          <w:spacing w:val="-1"/>
          <w:lang w:val="en-GB" w:eastAsia="x-none"/>
        </w:rPr>
        <w:t>, vol. 28, no. 4, pp. 689–707, Nov. 2018, doi: 10.1007/s11023-018-9482-5.</w:t>
      </w:r>
    </w:p>
    <w:p w14:paraId="36F59184" w14:textId="232FEA83"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OECD, </w:t>
      </w:r>
      <w:r w:rsidRPr="001A2EAD">
        <w:rPr>
          <w:i/>
          <w:iCs/>
          <w:spacing w:val="-1"/>
          <w:lang w:val="en-GB" w:eastAsia="x-none"/>
        </w:rPr>
        <w:t>Recommendation of the Council on Artificial Intelligence</w:t>
      </w:r>
      <w:r w:rsidRPr="001A2EAD">
        <w:rPr>
          <w:spacing w:val="-1"/>
          <w:lang w:val="en-GB" w:eastAsia="x-none"/>
        </w:rPr>
        <w:t xml:space="preserve">, OECD Legal </w:t>
      </w:r>
      <w:r w:rsidRPr="001A2EAD">
        <w:rPr>
          <w:spacing w:val="-1"/>
          <w:lang w:val="en-GB" w:eastAsia="x-none"/>
        </w:rPr>
        <w:lastRenderedPageBreak/>
        <w:t xml:space="preserve">Instruments, Paris, France, May 2019. [Online]. Available: </w:t>
      </w:r>
      <w:hyperlink r:id="rId22" w:tgtFrame="_new" w:history="1">
        <w:r w:rsidRPr="001A2EAD">
          <w:rPr>
            <w:rStyle w:val="Hyperlink"/>
            <w:spacing w:val="-1"/>
            <w:lang w:val="en-GB" w:eastAsia="x-none"/>
          </w:rPr>
          <w:t>https://www.oecd.org/going-digital/ai/principles/</w:t>
        </w:r>
      </w:hyperlink>
    </w:p>
    <w:p w14:paraId="05DC50E5" w14:textId="7524DB60"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National Institute of Standards and Technology (NIST), </w:t>
      </w:r>
      <w:r w:rsidRPr="001A2EAD">
        <w:rPr>
          <w:i/>
          <w:iCs/>
          <w:spacing w:val="-1"/>
          <w:lang w:val="en-GB" w:eastAsia="x-none"/>
        </w:rPr>
        <w:t>Zero Trust Architecture</w:t>
      </w:r>
      <w:r w:rsidRPr="001A2EAD">
        <w:rPr>
          <w:spacing w:val="-1"/>
          <w:lang w:val="en-GB" w:eastAsia="x-none"/>
        </w:rPr>
        <w:t>, NIST SP 800-207, Gaithersburg, MD, USA, Aug. 2020. [Online]. Available:</w:t>
      </w:r>
      <w:r w:rsidR="006E5D76" w:rsidRPr="001A2EAD">
        <w:rPr>
          <w:spacing w:val="-1"/>
          <w:lang w:val="en-GB" w:eastAsia="x-none"/>
        </w:rPr>
        <w:t xml:space="preserve"> </w:t>
      </w:r>
      <w:r w:rsidRPr="001A2EAD">
        <w:rPr>
          <w:spacing w:val="-1"/>
          <w:lang w:val="en-GB" w:eastAsia="x-none"/>
        </w:rPr>
        <w:t>https://csrc.nist.gov/publications/detail/sp/800-207/final</w:t>
      </w:r>
    </w:p>
    <w:p w14:paraId="70180FCB" w14:textId="6EE5DDC7"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European Union Agency for Cybersecurity (ENISA), </w:t>
      </w:r>
      <w:r w:rsidRPr="001A2EAD">
        <w:rPr>
          <w:i/>
          <w:iCs/>
          <w:spacing w:val="-1"/>
          <w:lang w:val="en-GB" w:eastAsia="x-none"/>
        </w:rPr>
        <w:t>Zero Trust Architecture</w:t>
      </w:r>
      <w:r w:rsidRPr="001A2EAD">
        <w:rPr>
          <w:spacing w:val="-1"/>
          <w:lang w:val="en-GB" w:eastAsia="x-none"/>
        </w:rPr>
        <w:t>, ENISA Technical Report, Athens, Greece, 2021. [Online]. Available: https://www.enisa.europa.eu/publications/zero-trust-architecture</w:t>
      </w:r>
    </w:p>
    <w:p w14:paraId="6622DE32" w14:textId="02FE3C7F"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P. Charters, M. Taylor, and J. McLeod, “Secure access service edge (SASE): A cloud-native security architecture,” </w:t>
      </w:r>
      <w:r w:rsidRPr="001A2EAD">
        <w:rPr>
          <w:i/>
          <w:iCs/>
          <w:spacing w:val="-1"/>
          <w:lang w:val="en-GB" w:eastAsia="x-none"/>
        </w:rPr>
        <w:t>IEEE Cloud Computing</w:t>
      </w:r>
      <w:r w:rsidRPr="001A2EAD">
        <w:rPr>
          <w:spacing w:val="-1"/>
          <w:lang w:val="en-GB" w:eastAsia="x-none"/>
        </w:rPr>
        <w:t>, vol. 8, no. 3, pp. 36–44, May–Jun. 2021, doi: 10.1109/MCC.2021.3072576.</w:t>
      </w:r>
    </w:p>
    <w:p w14:paraId="62B32351" w14:textId="1A7184DB"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National Institute of Standards and Technology (NIST), </w:t>
      </w:r>
      <w:r w:rsidRPr="001A2EAD">
        <w:rPr>
          <w:i/>
          <w:iCs/>
          <w:spacing w:val="-1"/>
          <w:lang w:val="en-GB" w:eastAsia="x-none"/>
        </w:rPr>
        <w:t>Security and Privacy Controls for Information Systems and Organizations</w:t>
      </w:r>
      <w:r w:rsidRPr="001A2EAD">
        <w:rPr>
          <w:spacing w:val="-1"/>
          <w:lang w:val="en-GB" w:eastAsia="x-none"/>
        </w:rPr>
        <w:t>, NIST SP 800-53 Rev. 5, Gaithersburg, MD, USA, Sept. 2020. [Online]. Available: https://csrc.nist.gov/publications/detail/sp/800-53/rev-5/final</w:t>
      </w:r>
    </w:p>
    <w:p w14:paraId="0D5EBDA2" w14:textId="1A009DFB"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Cloud Security Alliance, </w:t>
      </w:r>
      <w:r w:rsidRPr="001A2EAD">
        <w:rPr>
          <w:i/>
          <w:iCs/>
          <w:spacing w:val="-1"/>
          <w:lang w:val="en-GB" w:eastAsia="x-none"/>
        </w:rPr>
        <w:t>Data Loss Prevention for the Cloud</w:t>
      </w:r>
      <w:r w:rsidRPr="001A2EAD">
        <w:rPr>
          <w:spacing w:val="-1"/>
          <w:lang w:val="en-GB" w:eastAsia="x-none"/>
        </w:rPr>
        <w:t>, CSA White Paper, Seattle, WA, USA, 2019. [Online]. Available: https://cloudsecurityalliance.org/artifacts/data-loss-prevention-for-the-cloud/</w:t>
      </w:r>
    </w:p>
    <w:p w14:paraId="069DB637" w14:textId="7DEAC0AC"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L. Floridi, J. Cowls, M. Beltrametti, </w:t>
      </w:r>
      <w:r w:rsidRPr="001A2EAD">
        <w:rPr>
          <w:i/>
          <w:iCs/>
          <w:spacing w:val="-1"/>
          <w:lang w:val="en-GB" w:eastAsia="x-none"/>
        </w:rPr>
        <w:t>et al</w:t>
      </w:r>
      <w:r w:rsidRPr="001A2EAD">
        <w:rPr>
          <w:spacing w:val="-1"/>
          <w:lang w:val="en-GB" w:eastAsia="x-none"/>
        </w:rPr>
        <w:t xml:space="preserve">., “AI4People—An ethical framework for a good AI society: Opportunities, risks, principles, and recommendations,” </w:t>
      </w:r>
      <w:r w:rsidRPr="001A2EAD">
        <w:rPr>
          <w:i/>
          <w:iCs/>
          <w:spacing w:val="-1"/>
          <w:lang w:val="en-GB" w:eastAsia="x-none"/>
        </w:rPr>
        <w:t>Minds and Machines</w:t>
      </w:r>
      <w:r w:rsidRPr="001A2EAD">
        <w:rPr>
          <w:spacing w:val="-1"/>
          <w:lang w:val="en-GB" w:eastAsia="x-none"/>
        </w:rPr>
        <w:t>, vol. 28, no. 4, pp. 689–707, Nov. 2018, doi: 10.1007/s11023-018-9482-5.</w:t>
      </w:r>
    </w:p>
    <w:p w14:paraId="6B63FE98" w14:textId="4AB81135"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National Institute of Standards and Technology (NIST), </w:t>
      </w:r>
      <w:r w:rsidRPr="001A2EAD">
        <w:rPr>
          <w:i/>
          <w:iCs/>
          <w:spacing w:val="-1"/>
          <w:lang w:val="en-GB" w:eastAsia="x-none"/>
        </w:rPr>
        <w:t>Zero Trust Architecture</w:t>
      </w:r>
      <w:r w:rsidRPr="001A2EAD">
        <w:rPr>
          <w:spacing w:val="-1"/>
          <w:lang w:val="en-GB" w:eastAsia="x-none"/>
        </w:rPr>
        <w:t>, NIST SP 800-207, Gaithersburg, MD, USA, Aug. 2020. [Online]. Available: https://csrc.nist.gov/publications/detail/sp/800-207/final</w:t>
      </w:r>
    </w:p>
    <w:p w14:paraId="762B0A45" w14:textId="78840712" w:rsidR="004F5418"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P. Charters, M. Taylor, and J. McLeod, “Secure access service edge (SASE): A cloud-native security architecture,” </w:t>
      </w:r>
      <w:r w:rsidRPr="001A2EAD">
        <w:rPr>
          <w:i/>
          <w:iCs/>
          <w:spacing w:val="-1"/>
          <w:lang w:val="en-GB" w:eastAsia="x-none"/>
        </w:rPr>
        <w:t>IEEE Cloud Computing</w:t>
      </w:r>
      <w:r w:rsidRPr="001A2EAD">
        <w:rPr>
          <w:spacing w:val="-1"/>
          <w:lang w:val="en-GB" w:eastAsia="x-none"/>
        </w:rPr>
        <w:t>, vol. 8, no. 3, pp. 36–44, May–Jun. 2021, doi: 10.1109/MCC.2021.3072576.</w:t>
      </w:r>
    </w:p>
    <w:p w14:paraId="0BFB5130" w14:textId="28AD373E" w:rsidR="00127A60" w:rsidRPr="001A2EAD" w:rsidRDefault="004F5418" w:rsidP="00993B65">
      <w:pPr>
        <w:pStyle w:val="Heading5"/>
        <w:numPr>
          <w:ilvl w:val="0"/>
          <w:numId w:val="7"/>
        </w:numPr>
        <w:jc w:val="both"/>
        <w:rPr>
          <w:spacing w:val="-1"/>
          <w:lang w:val="en-GB" w:eastAsia="x-none"/>
        </w:rPr>
      </w:pPr>
      <w:r w:rsidRPr="001A2EAD">
        <w:rPr>
          <w:spacing w:val="-1"/>
          <w:lang w:val="en-GB" w:eastAsia="x-none"/>
        </w:rPr>
        <w:t xml:space="preserve"> National Institute of Standards and Technology (NIST), </w:t>
      </w:r>
      <w:r w:rsidRPr="001A2EAD">
        <w:rPr>
          <w:i/>
          <w:iCs/>
          <w:spacing w:val="-1"/>
          <w:lang w:val="en-GB" w:eastAsia="x-none"/>
        </w:rPr>
        <w:t>Security and Privacy Controls for Information Systems and Organizations</w:t>
      </w:r>
      <w:r w:rsidRPr="001A2EAD">
        <w:rPr>
          <w:spacing w:val="-1"/>
          <w:lang w:val="en-GB" w:eastAsia="x-none"/>
        </w:rPr>
        <w:t xml:space="preserve">, NIST SP 800-53 Rev. 5, </w:t>
      </w:r>
      <w:r w:rsidRPr="001A2EAD">
        <w:rPr>
          <w:spacing w:val="-1"/>
          <w:lang w:val="en-GB" w:eastAsia="x-none"/>
        </w:rPr>
        <w:t xml:space="preserve">Gaithersburg, MD, USA, Sept. 2020. [Online]. Available: </w:t>
      </w:r>
      <w:hyperlink r:id="rId23" w:history="1">
        <w:r w:rsidR="00127A60" w:rsidRPr="001A2EAD">
          <w:rPr>
            <w:rStyle w:val="Hyperlink"/>
            <w:spacing w:val="-1"/>
            <w:lang w:val="en-GB" w:eastAsia="x-none"/>
          </w:rPr>
          <w:t>https://csrc.nist.gov/publications/detail/sp/800-53/rev-5/final</w:t>
        </w:r>
      </w:hyperlink>
    </w:p>
    <w:p w14:paraId="68FB4F11" w14:textId="3054F125" w:rsidR="00F10BA7" w:rsidRPr="001A2EAD" w:rsidRDefault="00BD24F5" w:rsidP="002B21A4">
      <w:pPr>
        <w:ind w:start="18pt"/>
        <w:jc w:val="both"/>
        <w:rPr>
          <w:b/>
          <w:bCs/>
          <w:lang w:val="en-GB" w:eastAsia="x-none"/>
        </w:rPr>
      </w:pPr>
      <w:r w:rsidRPr="001A2EAD">
        <w:rPr>
          <w:b/>
          <w:bCs/>
          <w:lang w:val="en-GB" w:eastAsia="x-none"/>
        </w:rPr>
        <w:t>Pictures referencing</w:t>
      </w:r>
    </w:p>
    <w:p w14:paraId="0C1525E8" w14:textId="77777777" w:rsidR="00F10BA7" w:rsidRPr="001A2EAD" w:rsidRDefault="00F10BA7" w:rsidP="00993B65">
      <w:pPr>
        <w:pStyle w:val="NormalWeb"/>
        <w:numPr>
          <w:ilvl w:val="0"/>
          <w:numId w:val="7"/>
        </w:numPr>
        <w:jc w:val="both"/>
        <w:rPr>
          <w:sz w:val="20"/>
          <w:szCs w:val="20"/>
        </w:rPr>
      </w:pPr>
      <w:r w:rsidRPr="001A2EAD">
        <w:rPr>
          <w:sz w:val="20"/>
          <w:szCs w:val="20"/>
        </w:rPr>
        <w:t xml:space="preserve">NIST, </w:t>
      </w:r>
      <w:r w:rsidRPr="001A2EAD">
        <w:rPr>
          <w:rStyle w:val="Emphasis"/>
          <w:sz w:val="20"/>
          <w:szCs w:val="20"/>
        </w:rPr>
        <w:t>Artificial Intelligence Risk Management Framework (AI RMF 1.0)</w:t>
      </w:r>
      <w:r w:rsidRPr="001A2EAD">
        <w:rPr>
          <w:sz w:val="20"/>
          <w:szCs w:val="20"/>
        </w:rPr>
        <w:t>, Gaithersburg, MD, USA: National Institute of Standards and Technology, 2023.</w:t>
      </w:r>
    </w:p>
    <w:p w14:paraId="3B284A36" w14:textId="7F1B4156" w:rsidR="00F10BA7" w:rsidRPr="001A2EAD" w:rsidRDefault="00F10BA7" w:rsidP="00993B65">
      <w:pPr>
        <w:pStyle w:val="NormalWeb"/>
        <w:numPr>
          <w:ilvl w:val="0"/>
          <w:numId w:val="7"/>
        </w:numPr>
        <w:jc w:val="both"/>
        <w:rPr>
          <w:sz w:val="20"/>
          <w:szCs w:val="20"/>
        </w:rPr>
      </w:pPr>
      <w:r w:rsidRPr="001A2EAD">
        <w:rPr>
          <w:sz w:val="20"/>
          <w:szCs w:val="20"/>
        </w:rPr>
        <w:t xml:space="preserve">Brundage </w:t>
      </w:r>
      <w:r w:rsidRPr="001A2EAD">
        <w:rPr>
          <w:rStyle w:val="Emphasis"/>
          <w:sz w:val="20"/>
          <w:szCs w:val="20"/>
        </w:rPr>
        <w:t>et al.</w:t>
      </w:r>
      <w:r w:rsidRPr="001A2EAD">
        <w:rPr>
          <w:sz w:val="20"/>
          <w:szCs w:val="20"/>
        </w:rPr>
        <w:t xml:space="preserve">, </w:t>
      </w:r>
      <w:r w:rsidRPr="001A2EAD">
        <w:rPr>
          <w:rStyle w:val="Emphasis"/>
          <w:sz w:val="20"/>
          <w:szCs w:val="20"/>
        </w:rPr>
        <w:t>The Malicious Use of Artificial Intelligence: Forecasting, Prevention, and Mitigation</w:t>
      </w:r>
      <w:r w:rsidRPr="001A2EAD">
        <w:rPr>
          <w:sz w:val="20"/>
          <w:szCs w:val="20"/>
        </w:rPr>
        <w:t>, Oxford, UK: Future of Humanity Institute, Univ. of Oxford, 2018.</w:t>
      </w:r>
    </w:p>
    <w:p w14:paraId="34B0019E" w14:textId="05F847AC" w:rsidR="00F10BA7" w:rsidRPr="001A2EAD" w:rsidRDefault="00F10BA7" w:rsidP="00993B65">
      <w:pPr>
        <w:pStyle w:val="NormalWeb"/>
        <w:numPr>
          <w:ilvl w:val="0"/>
          <w:numId w:val="7"/>
        </w:numPr>
        <w:jc w:val="both"/>
        <w:rPr>
          <w:sz w:val="20"/>
          <w:szCs w:val="20"/>
        </w:rPr>
      </w:pPr>
      <w:r w:rsidRPr="001A2EAD">
        <w:rPr>
          <w:sz w:val="20"/>
          <w:szCs w:val="20"/>
        </w:rPr>
        <w:t xml:space="preserve">S. Rose, O. Borchert, S. Mitchell, and S. Connelly, </w:t>
      </w:r>
      <w:r w:rsidRPr="001A2EAD">
        <w:rPr>
          <w:rStyle w:val="Emphasis"/>
          <w:sz w:val="20"/>
          <w:szCs w:val="20"/>
        </w:rPr>
        <w:t>Zero Trust Architecture</w:t>
      </w:r>
      <w:r w:rsidRPr="001A2EAD">
        <w:rPr>
          <w:sz w:val="20"/>
          <w:szCs w:val="20"/>
        </w:rPr>
        <w:t>, NIST Special Publication 800</w:t>
      </w:r>
      <w:r w:rsidRPr="001A2EAD">
        <w:rPr>
          <w:sz w:val="20"/>
          <w:szCs w:val="20"/>
        </w:rPr>
        <w:noBreakHyphen/>
        <w:t>207, Gaithersburg, MD, USA: National Institute of Standards and Technology, 2020.</w:t>
      </w:r>
    </w:p>
    <w:p w14:paraId="5F3AD45A" w14:textId="77777777" w:rsidR="00F10BA7" w:rsidRPr="001A2EAD" w:rsidRDefault="00F10BA7" w:rsidP="00993B65">
      <w:pPr>
        <w:pStyle w:val="NormalWeb"/>
        <w:numPr>
          <w:ilvl w:val="0"/>
          <w:numId w:val="7"/>
        </w:numPr>
        <w:jc w:val="both"/>
        <w:rPr>
          <w:sz w:val="20"/>
          <w:szCs w:val="20"/>
        </w:rPr>
      </w:pPr>
      <w:r w:rsidRPr="001A2EAD">
        <w:rPr>
          <w:sz w:val="20"/>
          <w:szCs w:val="20"/>
        </w:rPr>
        <w:t xml:space="preserve">N. Bloom, J. Liang, J. Roberts, and Z. J. Ying, “Does working from home work? Evidence from a Chinese experiment,” </w:t>
      </w:r>
      <w:r w:rsidRPr="001A2EAD">
        <w:rPr>
          <w:rStyle w:val="Emphasis"/>
          <w:sz w:val="20"/>
          <w:szCs w:val="20"/>
        </w:rPr>
        <w:t>Q. J. Econ.</w:t>
      </w:r>
      <w:r w:rsidRPr="001A2EAD">
        <w:rPr>
          <w:sz w:val="20"/>
          <w:szCs w:val="20"/>
        </w:rPr>
        <w:t>, vol. 130, no. 1, pp. 165–218, 2015.</w:t>
      </w:r>
    </w:p>
    <w:p w14:paraId="3DC618F3" w14:textId="77777777" w:rsidR="00F10BA7" w:rsidRPr="001A2EAD" w:rsidRDefault="00F10BA7" w:rsidP="00993B65">
      <w:pPr>
        <w:pStyle w:val="NormalWeb"/>
        <w:numPr>
          <w:ilvl w:val="0"/>
          <w:numId w:val="7"/>
        </w:numPr>
        <w:jc w:val="both"/>
        <w:rPr>
          <w:sz w:val="20"/>
          <w:szCs w:val="20"/>
        </w:rPr>
      </w:pPr>
      <w:r w:rsidRPr="001A2EAD">
        <w:rPr>
          <w:sz w:val="20"/>
          <w:szCs w:val="20"/>
        </w:rPr>
        <w:t xml:space="preserve">R. Chandramouli and S. Rose, “Cloud-based access control,” </w:t>
      </w:r>
      <w:r w:rsidRPr="001A2EAD">
        <w:rPr>
          <w:rStyle w:val="Emphasis"/>
          <w:sz w:val="20"/>
          <w:szCs w:val="20"/>
        </w:rPr>
        <w:t>IEEE Security &amp; Privacy</w:t>
      </w:r>
      <w:r w:rsidRPr="001A2EAD">
        <w:rPr>
          <w:sz w:val="20"/>
          <w:szCs w:val="20"/>
        </w:rPr>
        <w:t>, vol. 12, no. 5, pp. 68–71, 2014.</w:t>
      </w:r>
    </w:p>
    <w:p w14:paraId="722DB524" w14:textId="77777777" w:rsidR="00F10BA7" w:rsidRPr="001A2EAD" w:rsidRDefault="00F10BA7" w:rsidP="00993B65">
      <w:pPr>
        <w:pStyle w:val="NormalWeb"/>
        <w:numPr>
          <w:ilvl w:val="0"/>
          <w:numId w:val="7"/>
        </w:numPr>
        <w:jc w:val="both"/>
        <w:rPr>
          <w:sz w:val="20"/>
          <w:szCs w:val="20"/>
        </w:rPr>
      </w:pPr>
      <w:r w:rsidRPr="001A2EAD">
        <w:rPr>
          <w:sz w:val="20"/>
          <w:szCs w:val="20"/>
        </w:rPr>
        <w:t xml:space="preserve">B. </w:t>
      </w:r>
      <w:proofErr w:type="spellStart"/>
      <w:r w:rsidRPr="001A2EAD">
        <w:rPr>
          <w:sz w:val="20"/>
          <w:szCs w:val="20"/>
        </w:rPr>
        <w:t>Shneiderman</w:t>
      </w:r>
      <w:proofErr w:type="spellEnd"/>
      <w:r w:rsidRPr="001A2EAD">
        <w:rPr>
          <w:sz w:val="20"/>
          <w:szCs w:val="20"/>
        </w:rPr>
        <w:t xml:space="preserve">, “Human-centered artificial intelligence: Reliable, safe &amp; trustworthy,” </w:t>
      </w:r>
      <w:r w:rsidRPr="001A2EAD">
        <w:rPr>
          <w:rStyle w:val="Emphasis"/>
          <w:sz w:val="20"/>
          <w:szCs w:val="20"/>
        </w:rPr>
        <w:t xml:space="preserve">Int. J. </w:t>
      </w:r>
      <w:proofErr w:type="gramStart"/>
      <w:r w:rsidRPr="001A2EAD">
        <w:rPr>
          <w:rStyle w:val="Emphasis"/>
          <w:sz w:val="20"/>
          <w:szCs w:val="20"/>
        </w:rPr>
        <w:t>Hum.-</w:t>
      </w:r>
      <w:proofErr w:type="spellStart"/>
      <w:proofErr w:type="gramEnd"/>
      <w:r w:rsidRPr="001A2EAD">
        <w:rPr>
          <w:rStyle w:val="Emphasis"/>
          <w:sz w:val="20"/>
          <w:szCs w:val="20"/>
        </w:rPr>
        <w:t>Comput</w:t>
      </w:r>
      <w:proofErr w:type="spellEnd"/>
      <w:r w:rsidRPr="001A2EAD">
        <w:rPr>
          <w:rStyle w:val="Emphasis"/>
          <w:sz w:val="20"/>
          <w:szCs w:val="20"/>
        </w:rPr>
        <w:t>. Interact.</w:t>
      </w:r>
      <w:r w:rsidRPr="001A2EAD">
        <w:rPr>
          <w:sz w:val="20"/>
          <w:szCs w:val="20"/>
        </w:rPr>
        <w:t>, vol. 36, no. 6, pp. 495–504, 2020.</w:t>
      </w:r>
    </w:p>
    <w:p w14:paraId="0B9F4AE9" w14:textId="77777777" w:rsidR="00127A60" w:rsidRPr="00F10BA7" w:rsidRDefault="00127A60" w:rsidP="002B21A4">
      <w:pPr>
        <w:jc w:val="both"/>
        <w:rPr>
          <w:lang w:val="en-GB" w:eastAsia="x-none"/>
        </w:rPr>
      </w:pPr>
    </w:p>
    <w:p w14:paraId="4EF2B8B8" w14:textId="6D1A47BB" w:rsidR="009303D9" w:rsidRDefault="009303D9" w:rsidP="002B21A4">
      <w:pPr>
        <w:jc w:val="both"/>
      </w:pPr>
    </w:p>
    <w:p w14:paraId="165ECDD5" w14:textId="1EE06D38" w:rsidR="0067767F" w:rsidRPr="0067767F" w:rsidRDefault="0067767F" w:rsidP="002B21A4">
      <w:pPr>
        <w:jc w:val="both"/>
      </w:pPr>
    </w:p>
    <w:p w14:paraId="22CABB63" w14:textId="568387BA" w:rsidR="0067767F" w:rsidRPr="0067767F" w:rsidRDefault="0067767F" w:rsidP="002B21A4">
      <w:pPr>
        <w:jc w:val="both"/>
      </w:pPr>
    </w:p>
    <w:p w14:paraId="0EFABE58" w14:textId="4464EC4B" w:rsidR="0067767F" w:rsidRPr="0067767F" w:rsidRDefault="0067767F" w:rsidP="002B21A4">
      <w:pPr>
        <w:jc w:val="both"/>
      </w:pPr>
    </w:p>
    <w:p w14:paraId="6EC9C72B" w14:textId="4DEAB93A" w:rsidR="0067767F" w:rsidRPr="0067767F" w:rsidRDefault="0067767F" w:rsidP="002B21A4">
      <w:pPr>
        <w:jc w:val="both"/>
      </w:pPr>
    </w:p>
    <w:p w14:paraId="40D0C29B" w14:textId="23C69AAA" w:rsidR="0067767F" w:rsidRPr="0067767F" w:rsidRDefault="0067767F" w:rsidP="002B21A4">
      <w:pPr>
        <w:jc w:val="both"/>
      </w:pPr>
    </w:p>
    <w:p w14:paraId="152823E2" w14:textId="3FF54A73" w:rsidR="0067767F" w:rsidRPr="0067767F" w:rsidRDefault="0067767F" w:rsidP="002B21A4">
      <w:pPr>
        <w:jc w:val="both"/>
      </w:pPr>
    </w:p>
    <w:p w14:paraId="40360434" w14:textId="734C2457" w:rsidR="0067767F" w:rsidRPr="0067767F" w:rsidRDefault="0067767F" w:rsidP="002B21A4">
      <w:pPr>
        <w:jc w:val="both"/>
      </w:pPr>
    </w:p>
    <w:p w14:paraId="4B1B1B8F" w14:textId="69FD23D3" w:rsidR="0067767F" w:rsidRPr="0067767F" w:rsidRDefault="0067767F" w:rsidP="002B21A4">
      <w:pPr>
        <w:jc w:val="both"/>
      </w:pPr>
    </w:p>
    <w:p w14:paraId="2F543E8E" w14:textId="4DF08C73" w:rsidR="0067767F" w:rsidRPr="0067767F" w:rsidRDefault="0067767F" w:rsidP="002B21A4">
      <w:pPr>
        <w:jc w:val="both"/>
      </w:pPr>
    </w:p>
    <w:p w14:paraId="204900D4" w14:textId="2BB191D2" w:rsidR="0067767F" w:rsidRPr="0067767F" w:rsidRDefault="0067767F" w:rsidP="002B21A4">
      <w:pPr>
        <w:jc w:val="both"/>
      </w:pPr>
    </w:p>
    <w:p w14:paraId="5633DFBB" w14:textId="1F1AFCDA" w:rsidR="0067767F" w:rsidRPr="0067767F" w:rsidRDefault="0067767F" w:rsidP="002B21A4">
      <w:pPr>
        <w:jc w:val="both"/>
      </w:pPr>
    </w:p>
    <w:p w14:paraId="6962EA98" w14:textId="12CEBA4A" w:rsidR="0067767F" w:rsidRPr="0067767F" w:rsidRDefault="0067767F" w:rsidP="002B21A4">
      <w:pPr>
        <w:jc w:val="both"/>
      </w:pPr>
    </w:p>
    <w:p w14:paraId="1FCD6008" w14:textId="24E9E0C2" w:rsidR="0067767F" w:rsidRPr="0067767F" w:rsidRDefault="0067767F" w:rsidP="002B21A4">
      <w:pPr>
        <w:jc w:val="both"/>
      </w:pPr>
    </w:p>
    <w:p w14:paraId="3B6041C0" w14:textId="76C74354" w:rsidR="0067767F" w:rsidRPr="0067767F" w:rsidRDefault="0067767F" w:rsidP="002B21A4">
      <w:pPr>
        <w:jc w:val="both"/>
      </w:pPr>
    </w:p>
    <w:p w14:paraId="556EF2E3" w14:textId="1C68D498" w:rsidR="0067767F" w:rsidRPr="0067767F" w:rsidRDefault="0067767F" w:rsidP="002B21A4">
      <w:pPr>
        <w:jc w:val="both"/>
      </w:pPr>
    </w:p>
    <w:p w14:paraId="7CB094CC" w14:textId="4582AE9B" w:rsidR="0067767F" w:rsidRDefault="0067767F" w:rsidP="002B21A4">
      <w:pPr>
        <w:jc w:val="both"/>
      </w:pPr>
    </w:p>
    <w:p w14:paraId="417139E3" w14:textId="2FC6A18B" w:rsidR="0067767F" w:rsidRDefault="0067767F" w:rsidP="002B21A4">
      <w:pPr>
        <w:jc w:val="both"/>
      </w:pPr>
    </w:p>
    <w:p w14:paraId="7230106F" w14:textId="38F36258" w:rsidR="0067767F" w:rsidRDefault="0067767F" w:rsidP="002B21A4">
      <w:pPr>
        <w:jc w:val="both"/>
      </w:pPr>
    </w:p>
    <w:p w14:paraId="6C1092B9" w14:textId="52D9AB5B" w:rsidR="0067767F" w:rsidRDefault="0067767F" w:rsidP="002B21A4">
      <w:pPr>
        <w:jc w:val="both"/>
      </w:pPr>
    </w:p>
    <w:p w14:paraId="038FAE7C" w14:textId="3A257828" w:rsidR="0067767F" w:rsidRDefault="0067767F" w:rsidP="002B21A4">
      <w:pPr>
        <w:jc w:val="both"/>
      </w:pPr>
    </w:p>
    <w:p w14:paraId="4A7F5758" w14:textId="1246A962" w:rsidR="0067767F" w:rsidRDefault="0067767F" w:rsidP="002B21A4">
      <w:pPr>
        <w:jc w:val="both"/>
      </w:pPr>
    </w:p>
    <w:p w14:paraId="7353FFBC" w14:textId="77777777" w:rsidR="00E910DE" w:rsidRDefault="00E910DE" w:rsidP="002B21A4">
      <w:pPr>
        <w:jc w:val="both"/>
      </w:pPr>
    </w:p>
    <w:p w14:paraId="66323A7D" w14:textId="77777777" w:rsidR="0046347D" w:rsidRDefault="0046347D" w:rsidP="002B21A4">
      <w:pPr>
        <w:jc w:val="both"/>
      </w:pPr>
    </w:p>
    <w:p w14:paraId="3F030782" w14:textId="77777777" w:rsidR="0046347D" w:rsidRDefault="0046347D" w:rsidP="002B21A4">
      <w:pPr>
        <w:jc w:val="both"/>
      </w:pPr>
    </w:p>
    <w:p w14:paraId="2F1A9351" w14:textId="77777777" w:rsidR="0046347D" w:rsidRDefault="0046347D" w:rsidP="002B21A4">
      <w:pPr>
        <w:jc w:val="both"/>
      </w:pPr>
    </w:p>
    <w:p w14:paraId="6F14E245" w14:textId="77777777" w:rsidR="0046347D" w:rsidRDefault="0046347D" w:rsidP="002B21A4">
      <w:pPr>
        <w:jc w:val="both"/>
      </w:pPr>
    </w:p>
    <w:p w14:paraId="28FD7E5A" w14:textId="77777777" w:rsidR="0046347D" w:rsidRDefault="0046347D" w:rsidP="002B21A4">
      <w:pPr>
        <w:jc w:val="both"/>
      </w:pPr>
    </w:p>
    <w:p w14:paraId="2F431675" w14:textId="77777777" w:rsidR="0046347D" w:rsidRDefault="0046347D" w:rsidP="002B21A4">
      <w:pPr>
        <w:jc w:val="both"/>
      </w:pPr>
    </w:p>
    <w:p w14:paraId="02E2156E" w14:textId="77777777" w:rsidR="0046347D" w:rsidRDefault="0046347D" w:rsidP="002B21A4">
      <w:pPr>
        <w:jc w:val="both"/>
      </w:pPr>
    </w:p>
    <w:p w14:paraId="2424EE4D" w14:textId="77777777" w:rsidR="0046347D" w:rsidRDefault="0046347D" w:rsidP="002B21A4">
      <w:pPr>
        <w:jc w:val="both"/>
      </w:pPr>
    </w:p>
    <w:p w14:paraId="44474216" w14:textId="77777777" w:rsidR="0046347D" w:rsidRDefault="0046347D" w:rsidP="002B21A4">
      <w:pPr>
        <w:jc w:val="both"/>
      </w:pPr>
    </w:p>
    <w:p w14:paraId="49AE11A4" w14:textId="77777777" w:rsidR="0046347D" w:rsidRDefault="0046347D" w:rsidP="0046347D">
      <w:pPr>
        <w:jc w:val="both"/>
      </w:pPr>
    </w:p>
    <w:p w14:paraId="0ED166EE" w14:textId="77777777" w:rsidR="0046347D" w:rsidRDefault="0046347D" w:rsidP="0046347D">
      <w:pPr>
        <w:jc w:val="both"/>
      </w:pPr>
    </w:p>
    <w:p w14:paraId="7DB7EE52" w14:textId="77777777" w:rsidR="0046347D" w:rsidRDefault="0046347D" w:rsidP="0046347D">
      <w:pPr>
        <w:jc w:val="both"/>
      </w:pPr>
    </w:p>
    <w:p w14:paraId="7BB9D682" w14:textId="12666832" w:rsidR="0046347D" w:rsidRDefault="0046347D" w:rsidP="0046347D">
      <w:pPr>
        <w:jc w:val="both"/>
        <w:sectPr w:rsidR="0046347D" w:rsidSect="00A32784">
          <w:type w:val="continuous"/>
          <w:pgSz w:w="595.30pt" w:h="841.90pt" w:code="9"/>
          <w:pgMar w:top="54pt" w:right="45.35pt" w:bottom="72pt" w:left="45.35pt" w:header="36pt" w:footer="36pt" w:gutter="0pt"/>
          <w:cols w:num="2" w:space="18pt"/>
          <w:docGrid w:linePitch="360"/>
        </w:sectPr>
      </w:pPr>
    </w:p>
    <w:p w14:paraId="09EE7279" w14:textId="77777777" w:rsidR="008040FC" w:rsidRDefault="008040FC" w:rsidP="006279FE">
      <w:pPr>
        <w:jc w:val="both"/>
      </w:pPr>
    </w:p>
    <w:p w14:paraId="6D86F489" w14:textId="77777777" w:rsidR="008040FC" w:rsidRDefault="008040FC" w:rsidP="0067767F"/>
    <w:p w14:paraId="1D3624A0" w14:textId="77777777" w:rsidR="008040FC" w:rsidRDefault="008040FC" w:rsidP="0067767F"/>
    <w:p w14:paraId="2C9A09DC" w14:textId="77777777" w:rsidR="008040FC" w:rsidRDefault="008040FC" w:rsidP="0067767F"/>
    <w:p w14:paraId="3C70C841" w14:textId="77777777" w:rsidR="008040FC" w:rsidRDefault="008040FC" w:rsidP="0067767F"/>
    <w:p w14:paraId="3BA4A5D1" w14:textId="77777777" w:rsidR="008040FC" w:rsidRDefault="008040FC" w:rsidP="0067767F"/>
    <w:p w14:paraId="0283C159" w14:textId="77777777" w:rsidR="008040FC" w:rsidRDefault="008040FC" w:rsidP="0067767F"/>
    <w:p w14:paraId="10849241" w14:textId="77777777" w:rsidR="008040FC" w:rsidRDefault="008040FC" w:rsidP="0067767F"/>
    <w:p w14:paraId="0D8D4B24" w14:textId="77777777" w:rsidR="008040FC" w:rsidRDefault="008040FC" w:rsidP="0067767F"/>
    <w:p w14:paraId="0C14B76C" w14:textId="77777777" w:rsidR="008040FC" w:rsidRDefault="008040FC" w:rsidP="0067767F"/>
    <w:p w14:paraId="0EC1CA18" w14:textId="77777777" w:rsidR="008040FC" w:rsidRDefault="008040FC" w:rsidP="0067767F"/>
    <w:p w14:paraId="3CB211D2" w14:textId="77777777" w:rsidR="008040FC" w:rsidRDefault="008040FC" w:rsidP="0067767F"/>
    <w:p w14:paraId="593E62FB" w14:textId="77777777" w:rsidR="008040FC" w:rsidRDefault="008040FC" w:rsidP="0067767F"/>
    <w:p w14:paraId="3B55E2D7" w14:textId="77777777" w:rsidR="008040FC" w:rsidRDefault="008040FC" w:rsidP="0067767F"/>
    <w:p w14:paraId="45DAA60B" w14:textId="77777777" w:rsidR="008040FC" w:rsidRDefault="008040FC" w:rsidP="0067767F"/>
    <w:p w14:paraId="3856DBF4" w14:textId="77777777" w:rsidR="008040FC" w:rsidRDefault="008040FC" w:rsidP="0067767F"/>
    <w:p w14:paraId="12D7F38C" w14:textId="77777777" w:rsidR="008040FC" w:rsidRDefault="008040FC" w:rsidP="0067767F"/>
    <w:p w14:paraId="7FE795D6" w14:textId="77777777" w:rsidR="008040FC" w:rsidRDefault="008040FC" w:rsidP="0067767F"/>
    <w:p w14:paraId="3DEAF42E" w14:textId="77777777" w:rsidR="008040FC" w:rsidRDefault="008040FC" w:rsidP="0067767F"/>
    <w:p w14:paraId="7F420B57" w14:textId="77777777" w:rsidR="008040FC" w:rsidRDefault="008040FC" w:rsidP="0067767F"/>
    <w:p w14:paraId="313BD29B" w14:textId="77777777" w:rsidR="008040FC" w:rsidRDefault="008040FC" w:rsidP="0067767F"/>
    <w:p w14:paraId="4F44EAB6" w14:textId="77777777" w:rsidR="008040FC" w:rsidRDefault="008040FC" w:rsidP="0067767F"/>
    <w:p w14:paraId="24A93E3C" w14:textId="77777777" w:rsidR="008040FC" w:rsidRDefault="008040FC" w:rsidP="0067767F"/>
    <w:p w14:paraId="2930DB3B" w14:textId="77777777" w:rsidR="008040FC" w:rsidRDefault="008040FC" w:rsidP="0067767F"/>
    <w:p w14:paraId="76300748" w14:textId="77777777" w:rsidR="008040FC" w:rsidRDefault="008040FC" w:rsidP="0067767F"/>
    <w:p w14:paraId="750B9732" w14:textId="77777777" w:rsidR="008040FC" w:rsidRDefault="008040FC" w:rsidP="0067767F"/>
    <w:p w14:paraId="1AC3D23D" w14:textId="77777777" w:rsidR="008040FC" w:rsidRDefault="008040FC" w:rsidP="0067767F"/>
    <w:p w14:paraId="76493F0B" w14:textId="77777777" w:rsidR="008040FC" w:rsidRDefault="008040FC" w:rsidP="0067767F"/>
    <w:p w14:paraId="10411901" w14:textId="77777777" w:rsidR="008040FC" w:rsidRDefault="008040FC" w:rsidP="0067767F"/>
    <w:p w14:paraId="5190F4EA" w14:textId="77777777" w:rsidR="008040FC" w:rsidRDefault="008040FC" w:rsidP="0067767F"/>
    <w:p w14:paraId="33112ED5" w14:textId="77777777" w:rsidR="008040FC" w:rsidRDefault="008040FC" w:rsidP="0067767F"/>
    <w:p w14:paraId="3896EA30" w14:textId="77777777" w:rsidR="008040FC" w:rsidRDefault="008040FC" w:rsidP="0067767F"/>
    <w:p w14:paraId="5BE4DB95" w14:textId="77777777" w:rsidR="008040FC" w:rsidRDefault="008040FC" w:rsidP="0067767F"/>
    <w:p w14:paraId="32C6B398" w14:textId="77777777" w:rsidR="008040FC" w:rsidRDefault="008040FC" w:rsidP="0067767F"/>
    <w:p w14:paraId="60726C68" w14:textId="19684518" w:rsidR="008040FC" w:rsidRDefault="008040FC" w:rsidP="0067767F"/>
    <w:p w14:paraId="502F6403" w14:textId="451CAD11" w:rsidR="00D8180B" w:rsidRDefault="00D8180B" w:rsidP="0067767F"/>
    <w:p w14:paraId="7828472E" w14:textId="3C3FA007" w:rsidR="00D8180B" w:rsidRDefault="00D8180B" w:rsidP="0067767F"/>
    <w:p w14:paraId="6FEB112B" w14:textId="27FE9CA7" w:rsidR="00D8180B" w:rsidRDefault="00D8180B" w:rsidP="0067767F"/>
    <w:p w14:paraId="6DCC7A39" w14:textId="5879C874" w:rsidR="00D8180B" w:rsidRDefault="00D8180B" w:rsidP="0067767F"/>
    <w:p w14:paraId="530BEBC5" w14:textId="0B60D869" w:rsidR="00D8180B" w:rsidRDefault="00D8180B" w:rsidP="0067767F"/>
    <w:p w14:paraId="1D5AE094" w14:textId="42665C97" w:rsidR="00D8180B" w:rsidRDefault="00D8180B" w:rsidP="0067767F"/>
    <w:p w14:paraId="6BFAE9FD" w14:textId="13EF86A6" w:rsidR="00D8180B" w:rsidRDefault="00D8180B" w:rsidP="0067767F"/>
    <w:p w14:paraId="670D4BF8" w14:textId="042855BE" w:rsidR="00D8180B" w:rsidRDefault="00D8180B" w:rsidP="0067767F"/>
    <w:p w14:paraId="1A6E1C0A" w14:textId="0D366016" w:rsidR="00D8180B" w:rsidRDefault="00D8180B" w:rsidP="0067767F"/>
    <w:p w14:paraId="7A10E529" w14:textId="7534466F" w:rsidR="00D8180B" w:rsidRDefault="00D8180B" w:rsidP="0067767F"/>
    <w:p w14:paraId="717F09EE" w14:textId="31ACE82C" w:rsidR="00D8180B" w:rsidRDefault="00D8180B" w:rsidP="0067767F"/>
    <w:p w14:paraId="5153AB70" w14:textId="11E4BE28" w:rsidR="00D8180B" w:rsidRDefault="00D8180B" w:rsidP="0067767F"/>
    <w:p w14:paraId="0F5FCF8A" w14:textId="69A98DCA" w:rsidR="00D8180B" w:rsidRDefault="00D8180B" w:rsidP="0067767F"/>
    <w:p w14:paraId="28B1621D" w14:textId="380DC34F" w:rsidR="00D8180B" w:rsidRDefault="00D8180B" w:rsidP="0067767F"/>
    <w:p w14:paraId="030A8033" w14:textId="44E4D77B" w:rsidR="00D8180B" w:rsidRDefault="00D8180B" w:rsidP="0067767F"/>
    <w:p w14:paraId="1A2B50F2" w14:textId="0ACD146E" w:rsidR="00D8180B" w:rsidRDefault="00D8180B" w:rsidP="0067767F"/>
    <w:p w14:paraId="7895827E" w14:textId="1ABC275E" w:rsidR="00D8180B" w:rsidRDefault="00D8180B" w:rsidP="0067767F"/>
    <w:p w14:paraId="3F3F03E9" w14:textId="59D805B2" w:rsidR="00D8180B" w:rsidRDefault="00D8180B" w:rsidP="0067767F"/>
    <w:p w14:paraId="4F5F643E" w14:textId="19956B8D" w:rsidR="006279FE" w:rsidRDefault="006279FE" w:rsidP="0067767F"/>
    <w:p w14:paraId="144BCF93" w14:textId="3B66FB97" w:rsidR="006279FE" w:rsidRDefault="006279FE" w:rsidP="0067767F"/>
    <w:p w14:paraId="78CEAABE" w14:textId="2B792187" w:rsidR="006279FE" w:rsidRDefault="006279FE" w:rsidP="0067767F"/>
    <w:p w14:paraId="6107FE19" w14:textId="0AABFEEB" w:rsidR="006279FE" w:rsidRDefault="006279FE" w:rsidP="0067767F"/>
    <w:p w14:paraId="035F3E30" w14:textId="77E16F7B" w:rsidR="006279FE" w:rsidRDefault="006279FE" w:rsidP="0067767F"/>
    <w:p w14:paraId="1E7EBCCB" w14:textId="7F1D7C01" w:rsidR="006279FE" w:rsidRDefault="006279FE" w:rsidP="0067767F"/>
    <w:p w14:paraId="292B1E69" w14:textId="77777777" w:rsidR="006279FE" w:rsidRDefault="006279FE" w:rsidP="0067767F"/>
    <w:p w14:paraId="3D5AB85B" w14:textId="77777777" w:rsidR="00E52C25" w:rsidRDefault="00E52C25" w:rsidP="00E52C25"/>
    <w:p w14:paraId="5C5F40D1" w14:textId="77777777" w:rsidR="00E52C25" w:rsidRDefault="00E52C25" w:rsidP="00E52C25"/>
    <w:p w14:paraId="4D466FE3" w14:textId="77777777" w:rsidR="00E52C25" w:rsidRPr="00F76851" w:rsidRDefault="00E52C25" w:rsidP="00E52C25">
      <w:pPr>
        <w:pStyle w:val="Author"/>
        <w:spacing w:before="5pt" w:beforeAutospacing="1" w:after="5pt" w:afterAutospacing="1"/>
        <w:rPr>
          <w:sz w:val="28"/>
          <w:szCs w:val="28"/>
        </w:rPr>
      </w:pPr>
      <w:r w:rsidRPr="00F76851">
        <w:rPr>
          <w:sz w:val="28"/>
          <w:szCs w:val="28"/>
        </w:rPr>
        <w:t xml:space="preserve">Name: Daunte Barchan </w:t>
      </w:r>
    </w:p>
    <w:p w14:paraId="223F28C4" w14:textId="77777777" w:rsidR="00E52C25" w:rsidRPr="00F76851" w:rsidRDefault="00E52C25" w:rsidP="00E52C25">
      <w:pPr>
        <w:pStyle w:val="Author"/>
        <w:spacing w:before="5pt" w:beforeAutospacing="1" w:after="5pt" w:afterAutospacing="1"/>
        <w:rPr>
          <w:sz w:val="28"/>
          <w:szCs w:val="28"/>
        </w:rPr>
      </w:pPr>
      <w:r w:rsidRPr="00F76851">
        <w:rPr>
          <w:sz w:val="28"/>
          <w:szCs w:val="28"/>
        </w:rPr>
        <w:t>Number: 2412948</w:t>
      </w:r>
    </w:p>
    <w:p w14:paraId="6C0B9DC0" w14:textId="77777777" w:rsidR="00E52C25" w:rsidRPr="00F76851" w:rsidRDefault="00E52C25" w:rsidP="00E52C25">
      <w:pPr>
        <w:pStyle w:val="Author"/>
        <w:spacing w:before="5pt" w:beforeAutospacing="1" w:after="5pt" w:afterAutospacing="1"/>
        <w:rPr>
          <w:sz w:val="28"/>
          <w:szCs w:val="28"/>
          <w:lang w:val="en-GB"/>
        </w:rPr>
      </w:pPr>
      <w:r w:rsidRPr="00F76851">
        <w:rPr>
          <w:sz w:val="28"/>
          <w:szCs w:val="28"/>
        </w:rPr>
        <w:t xml:space="preserve">Course: Data </w:t>
      </w:r>
      <w:r w:rsidRPr="00F76851">
        <w:rPr>
          <w:sz w:val="28"/>
          <w:szCs w:val="28"/>
          <w:lang w:val="en-GB"/>
        </w:rPr>
        <w:t xml:space="preserve">Data Security and Compliance </w:t>
      </w:r>
    </w:p>
    <w:p w14:paraId="14AFB195" w14:textId="77777777" w:rsidR="00E52C25" w:rsidRPr="00F76851" w:rsidRDefault="00E52C25" w:rsidP="00E52C25">
      <w:pPr>
        <w:pStyle w:val="Author"/>
        <w:spacing w:before="5pt" w:beforeAutospacing="1" w:after="5pt" w:afterAutospacing="1"/>
        <w:rPr>
          <w:sz w:val="28"/>
          <w:szCs w:val="28"/>
          <w:lang w:val="en-GB"/>
        </w:rPr>
      </w:pPr>
      <w:r w:rsidRPr="00F76851">
        <w:rPr>
          <w:sz w:val="28"/>
          <w:szCs w:val="28"/>
          <w:lang w:val="en-GB"/>
        </w:rPr>
        <w:t>Code: ACCA5034_BIRM</w:t>
      </w:r>
    </w:p>
    <w:p w14:paraId="333C6B16" w14:textId="77777777" w:rsidR="00E52C25" w:rsidRPr="00F76851" w:rsidRDefault="00E52C25" w:rsidP="00E52C25">
      <w:pPr>
        <w:pStyle w:val="Author"/>
        <w:spacing w:before="5pt" w:beforeAutospacing="1" w:after="5pt" w:afterAutospacing="1"/>
        <w:rPr>
          <w:sz w:val="28"/>
          <w:szCs w:val="28"/>
          <w:lang w:val="en-GB"/>
        </w:rPr>
      </w:pPr>
      <w:r w:rsidRPr="00F76851">
        <w:rPr>
          <w:sz w:val="28"/>
          <w:szCs w:val="28"/>
          <w:lang w:val="en-GB"/>
        </w:rPr>
        <w:t xml:space="preserve">Lecturer: Ben Farrah </w:t>
      </w:r>
    </w:p>
    <w:p w14:paraId="2FE4E92F" w14:textId="77777777" w:rsidR="00E52C25" w:rsidRDefault="00E52C25" w:rsidP="00E52C25">
      <w:pPr>
        <w:pStyle w:val="Author"/>
        <w:spacing w:before="5pt" w:beforeAutospacing="1" w:after="5pt" w:afterAutospacing="1"/>
        <w:rPr>
          <w:sz w:val="16"/>
          <w:szCs w:val="16"/>
          <w:lang w:val="en-GB"/>
        </w:rPr>
      </w:pPr>
      <w:r w:rsidRPr="00F76851">
        <w:rPr>
          <w:sz w:val="28"/>
          <w:szCs w:val="28"/>
          <w:lang w:val="en-GB"/>
        </w:rPr>
        <w:t>Date: 31</w:t>
      </w:r>
      <w:r w:rsidRPr="00F76851">
        <w:rPr>
          <w:sz w:val="28"/>
          <w:szCs w:val="28"/>
          <w:vertAlign w:val="superscript"/>
          <w:lang w:val="en-GB"/>
        </w:rPr>
        <w:t>st</w:t>
      </w:r>
      <w:r w:rsidRPr="00F76851">
        <w:rPr>
          <w:sz w:val="28"/>
          <w:szCs w:val="28"/>
          <w:lang w:val="en-GB"/>
        </w:rPr>
        <w:t xml:space="preserve"> March 2026</w:t>
      </w:r>
      <w:r>
        <w:rPr>
          <w:sz w:val="16"/>
          <w:szCs w:val="16"/>
          <w:lang w:val="en-GB"/>
        </w:rPr>
        <w:t xml:space="preserve"> </w:t>
      </w:r>
    </w:p>
    <w:p w14:paraId="7BD280C5" w14:textId="77777777" w:rsidR="00E52C25" w:rsidRDefault="00E52C25" w:rsidP="00E52C25">
      <w:pPr>
        <w:jc w:val="both"/>
      </w:pPr>
    </w:p>
    <w:p w14:paraId="55A2F775" w14:textId="77777777" w:rsidR="00E52C25" w:rsidRDefault="00E52C25" w:rsidP="00E52C25"/>
    <w:p w14:paraId="67FC20F0" w14:textId="77777777" w:rsidR="00E52C25" w:rsidRDefault="00E52C25" w:rsidP="00E52C25">
      <w:pPr>
        <w:spacing w:after="5.75pt" w:line="12.95pt" w:lineRule="auto"/>
      </w:pPr>
      <w:r w:rsidRPr="0086554B">
        <w:drawing>
          <wp:inline distT="0" distB="0" distL="0" distR="0" wp14:anchorId="3E8A9DC6" wp14:editId="66D3991B">
            <wp:extent cx="2856176" cy="594566"/>
            <wp:effectExtent l="0" t="0" r="1905" b="0"/>
            <wp:docPr id="2" name="Picture 2"/>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4"/>
                    <a:stretch>
                      <a:fillRect/>
                    </a:stretch>
                  </pic:blipFill>
                  <pic:spPr>
                    <a:xfrm>
                      <a:off x="0" y="0"/>
                      <a:ext cx="2992507" cy="622946"/>
                    </a:xfrm>
                    <a:prstGeom prst="rect">
                      <a:avLst/>
                    </a:prstGeom>
                  </pic:spPr>
                </pic:pic>
              </a:graphicData>
            </a:graphic>
          </wp:inline>
        </w:drawing>
      </w:r>
    </w:p>
    <w:p w14:paraId="4E88846F" w14:textId="77777777" w:rsidR="00E52C25" w:rsidRDefault="00E52C25" w:rsidP="00E52C25">
      <w:pPr>
        <w:spacing w:after="5.75pt" w:line="12.95pt" w:lineRule="auto"/>
      </w:pPr>
      <w:r>
        <w:rPr>
          <w:noProof/>
        </w:rPr>
        <w:drawing>
          <wp:inline distT="0" distB="0" distL="0" distR="0" wp14:anchorId="5EA59B64" wp14:editId="12472B77">
            <wp:extent cx="3539238" cy="2641977"/>
            <wp:effectExtent l="0" t="0" r="4445" b="6350"/>
            <wp:docPr id="6" name="Picture 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64850" cy="2661096"/>
                    </a:xfrm>
                    <a:prstGeom prst="rect">
                      <a:avLst/>
                    </a:prstGeom>
                    <a:noFill/>
                  </pic:spPr>
                </pic:pic>
              </a:graphicData>
            </a:graphic>
          </wp:inline>
        </w:drawing>
      </w:r>
    </w:p>
    <w:p w14:paraId="664D69B8" w14:textId="77777777" w:rsidR="00E52C25" w:rsidRDefault="00E52C25" w:rsidP="00E52C25"/>
    <w:p w14:paraId="42DD980D" w14:textId="77777777" w:rsidR="00E52C25" w:rsidRDefault="00E52C25" w:rsidP="00E52C25"/>
    <w:p w14:paraId="4A1F0D41" w14:textId="77777777" w:rsidR="00E52C25" w:rsidRDefault="00E52C25" w:rsidP="00E52C25"/>
    <w:p w14:paraId="244C4AFC" w14:textId="77777777" w:rsidR="00E52C25" w:rsidRDefault="00E52C25" w:rsidP="00E52C25"/>
    <w:p w14:paraId="1DE56D41" w14:textId="77777777" w:rsidR="00E52C25" w:rsidRDefault="00E52C25" w:rsidP="00E52C25"/>
    <w:p w14:paraId="059D29F0" w14:textId="77777777" w:rsidR="00E52C25" w:rsidRDefault="00E52C25" w:rsidP="00E52C25"/>
    <w:p w14:paraId="795E8F10" w14:textId="77777777" w:rsidR="00E52C25" w:rsidRDefault="00E52C25" w:rsidP="00E52C25"/>
    <w:p w14:paraId="3BA33F77" w14:textId="77777777" w:rsidR="00E52C25" w:rsidRDefault="00E52C25" w:rsidP="00E52C25"/>
    <w:p w14:paraId="00C68C61" w14:textId="77777777" w:rsidR="00E52C25" w:rsidRDefault="00E52C25" w:rsidP="00E52C25"/>
    <w:p w14:paraId="5C04180A" w14:textId="77777777" w:rsidR="00E52C25" w:rsidRDefault="00E52C25" w:rsidP="00E52C25"/>
    <w:p w14:paraId="241B1752" w14:textId="77777777" w:rsidR="00E52C25" w:rsidRDefault="00E52C25" w:rsidP="00E52C25"/>
    <w:p w14:paraId="3E5A6202" w14:textId="77777777" w:rsidR="00E52C25" w:rsidRDefault="00E52C25" w:rsidP="00E52C25"/>
    <w:p w14:paraId="2C6EA990" w14:textId="77777777" w:rsidR="00E52C25" w:rsidRDefault="00E52C25" w:rsidP="00E52C25"/>
    <w:p w14:paraId="2C6BD40D" w14:textId="77777777" w:rsidR="00E52C25" w:rsidRDefault="00E52C25" w:rsidP="00E52C25"/>
    <w:p w14:paraId="3FB2CF4A" w14:textId="77777777" w:rsidR="00E52C25" w:rsidRDefault="00E52C25" w:rsidP="00E52C25"/>
    <w:p w14:paraId="49C7182F" w14:textId="77777777" w:rsidR="00E52C25" w:rsidRDefault="00E52C25" w:rsidP="00E52C25"/>
    <w:p w14:paraId="75F795CB" w14:textId="77777777" w:rsidR="00E52C25" w:rsidRDefault="00E52C25" w:rsidP="00E52C25">
      <w:pPr>
        <w:jc w:val="both"/>
        <w:sectPr w:rsidR="00E52C25" w:rsidSect="00E52C25">
          <w:type w:val="continuous"/>
          <w:pgSz w:w="595.30pt" w:h="841.90pt" w:code="9"/>
          <w:pgMar w:top="54pt" w:right="45.35pt" w:bottom="72pt" w:left="45.35pt" w:header="36pt" w:footer="36pt" w:gutter="0pt"/>
          <w:cols w:space="18pt"/>
          <w:docGrid w:linePitch="360"/>
        </w:sectPr>
      </w:pPr>
    </w:p>
    <w:p w14:paraId="363A7AF7" w14:textId="77777777" w:rsidR="00E52C25" w:rsidRDefault="00E52C25" w:rsidP="00E52C25">
      <w:pPr>
        <w:jc w:val="start"/>
        <w:rPr>
          <w:rFonts w:asciiTheme="minorHAnsi" w:hAnsiTheme="minorHAnsi" w:cstheme="majorHAnsi"/>
          <w:sz w:val="24"/>
          <w:szCs w:val="24"/>
        </w:rPr>
        <w:sectPr w:rsidR="00E52C25" w:rsidSect="00E910DE">
          <w:type w:val="continuous"/>
          <w:pgSz w:w="595.30pt" w:h="841.90pt" w:code="9"/>
          <w:pgMar w:top="54pt" w:right="45.35pt" w:bottom="72pt" w:left="45.35pt" w:header="36pt" w:footer="36pt" w:gutter="0pt"/>
          <w:cols w:space="18pt"/>
          <w:docGrid w:linePitch="360"/>
        </w:sectPr>
      </w:pPr>
    </w:p>
    <w:p w14:paraId="7C8C370F" w14:textId="77777777" w:rsidR="00E52C25" w:rsidRDefault="00E52C25" w:rsidP="00E52C25">
      <w:pPr>
        <w:jc w:val="start"/>
        <w:rPr>
          <w:rFonts w:asciiTheme="minorHAnsi" w:hAnsiTheme="minorHAnsi" w:cstheme="majorHAnsi"/>
          <w:sz w:val="24"/>
          <w:szCs w:val="24"/>
        </w:rPr>
      </w:pPr>
    </w:p>
    <w:sdt>
      <w:sdtPr>
        <w:id w:val="-583841096"/>
        <w:docPartObj>
          <w:docPartGallery w:val="Table of Contents"/>
          <w:docPartUnique/>
        </w:docPartObj>
      </w:sdtPr>
      <w:sdtEndPr>
        <w:rPr>
          <w:rFonts w:ascii="Times New Roman" w:eastAsia="SimSun" w:hAnsi="Times New Roman" w:cs="Times New Roman"/>
          <w:b/>
          <w:bCs/>
          <w:noProof/>
          <w:color w:val="auto"/>
          <w:sz w:val="20"/>
          <w:szCs w:val="20"/>
        </w:rPr>
      </w:sdtEndPr>
      <w:sdtContent>
        <w:p w14:paraId="4C701A8F" w14:textId="77777777" w:rsidR="00E52C25" w:rsidRDefault="00E52C25" w:rsidP="00E52C25">
          <w:pPr>
            <w:pStyle w:val="TOCHeading"/>
            <w:rPr>
              <w:noProof/>
            </w:rPr>
          </w:pPr>
          <w:r>
            <w:t>Contents</w:t>
          </w:r>
          <w:r>
            <w:fldChar w:fldCharType="begin"/>
          </w:r>
          <w:r>
            <w:instrText xml:space="preserve"> TOC \o "1-3" \h \z \u </w:instrText>
          </w:r>
          <w:r>
            <w:fldChar w:fldCharType="separate"/>
          </w:r>
        </w:p>
        <w:p w14:paraId="03B7CABA" w14:textId="67FB396A"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598" w:history="1">
            <w:r w:rsidRPr="00B33607">
              <w:rPr>
                <w:rStyle w:val="Hyperlink"/>
                <w:b/>
                <w:bCs/>
                <w:noProof/>
              </w:rPr>
              <w:t>INTRODUCTION</w:t>
            </w:r>
            <w:r>
              <w:rPr>
                <w:noProof/>
                <w:webHidden/>
              </w:rPr>
              <w:t xml:space="preserve"> ……………………………………………………………………………………………………        </w:t>
            </w:r>
            <w:r>
              <w:rPr>
                <w:noProof/>
                <w:webHidden/>
              </w:rPr>
              <w:fldChar w:fldCharType="begin"/>
            </w:r>
            <w:r>
              <w:rPr>
                <w:noProof/>
                <w:webHidden/>
              </w:rPr>
              <w:instrText xml:space="preserve"> PAGEREF _Toc223445598 \h </w:instrText>
            </w:r>
            <w:r>
              <w:rPr>
                <w:noProof/>
                <w:webHidden/>
              </w:rPr>
            </w:r>
            <w:r>
              <w:rPr>
                <w:noProof/>
                <w:webHidden/>
              </w:rPr>
              <w:fldChar w:fldCharType="separate"/>
            </w:r>
            <w:r>
              <w:rPr>
                <w:noProof/>
                <w:webHidden/>
              </w:rPr>
              <w:t>2</w:t>
            </w:r>
            <w:r>
              <w:rPr>
                <w:noProof/>
                <w:webHidden/>
              </w:rPr>
              <w:fldChar w:fldCharType="end"/>
            </w:r>
          </w:hyperlink>
        </w:p>
        <w:p w14:paraId="3CE8FA4B" w14:textId="225C9207"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599" w:history="1">
            <w:r w:rsidRPr="00B33607">
              <w:rPr>
                <w:rStyle w:val="Hyperlink"/>
                <w:b/>
                <w:bCs/>
                <w:noProof/>
              </w:rPr>
              <w:t>ORGA</w:t>
            </w:r>
            <w:r w:rsidRPr="00B33607">
              <w:rPr>
                <w:rStyle w:val="Hyperlink"/>
                <w:b/>
                <w:bCs/>
                <w:noProof/>
              </w:rPr>
              <w:t>N</w:t>
            </w:r>
            <w:r w:rsidRPr="00B33607">
              <w:rPr>
                <w:rStyle w:val="Hyperlink"/>
                <w:b/>
                <w:bCs/>
                <w:noProof/>
              </w:rPr>
              <w:t>ISATION STRUCTURE</w:t>
            </w:r>
            <w:r>
              <w:rPr>
                <w:rStyle w:val="Hyperlink"/>
                <w:b/>
                <w:bCs/>
                <w:noProof/>
              </w:rPr>
              <w:t xml:space="preserve">  …………………………………………………………………………………..  </w:t>
            </w:r>
            <w:r>
              <w:rPr>
                <w:noProof/>
                <w:webHidden/>
              </w:rPr>
              <w:t xml:space="preserve">      </w:t>
            </w:r>
            <w:r>
              <w:rPr>
                <w:noProof/>
                <w:webHidden/>
              </w:rPr>
              <w:fldChar w:fldCharType="begin"/>
            </w:r>
            <w:r>
              <w:rPr>
                <w:noProof/>
                <w:webHidden/>
              </w:rPr>
              <w:instrText xml:space="preserve"> PAGEREF _Toc223445599 \h </w:instrText>
            </w:r>
            <w:r>
              <w:rPr>
                <w:noProof/>
                <w:webHidden/>
              </w:rPr>
            </w:r>
            <w:r>
              <w:rPr>
                <w:noProof/>
                <w:webHidden/>
              </w:rPr>
              <w:fldChar w:fldCharType="separate"/>
            </w:r>
            <w:r>
              <w:rPr>
                <w:noProof/>
                <w:webHidden/>
              </w:rPr>
              <w:t>3</w:t>
            </w:r>
            <w:r>
              <w:rPr>
                <w:noProof/>
                <w:webHidden/>
              </w:rPr>
              <w:fldChar w:fldCharType="end"/>
            </w:r>
          </w:hyperlink>
        </w:p>
        <w:p w14:paraId="50D6D5FA" w14:textId="5478346B"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0" w:history="1">
            <w:r w:rsidRPr="00B33607">
              <w:rPr>
                <w:rStyle w:val="Hyperlink"/>
                <w:b/>
                <w:bCs/>
                <w:noProof/>
              </w:rPr>
              <w:t>POLICIES &amp; PROCEDURES</w:t>
            </w:r>
            <w:r>
              <w:rPr>
                <w:noProof/>
                <w:webHidden/>
              </w:rPr>
              <w:t xml:space="preserve">  ………………………………………………………………………………………        </w:t>
            </w:r>
            <w:r>
              <w:rPr>
                <w:noProof/>
                <w:webHidden/>
              </w:rPr>
              <w:fldChar w:fldCharType="begin"/>
            </w:r>
            <w:r>
              <w:rPr>
                <w:noProof/>
                <w:webHidden/>
              </w:rPr>
              <w:instrText xml:space="preserve"> PAGEREF _Toc223445600 \h </w:instrText>
            </w:r>
            <w:r>
              <w:rPr>
                <w:noProof/>
                <w:webHidden/>
              </w:rPr>
            </w:r>
            <w:r>
              <w:rPr>
                <w:noProof/>
                <w:webHidden/>
              </w:rPr>
              <w:fldChar w:fldCharType="separate"/>
            </w:r>
            <w:r>
              <w:rPr>
                <w:noProof/>
                <w:webHidden/>
              </w:rPr>
              <w:t>3</w:t>
            </w:r>
            <w:r>
              <w:rPr>
                <w:noProof/>
                <w:webHidden/>
              </w:rPr>
              <w:fldChar w:fldCharType="end"/>
            </w:r>
          </w:hyperlink>
        </w:p>
        <w:p w14:paraId="5CDBC3A4" w14:textId="23A9731D"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1" w:history="1">
            <w:r w:rsidRPr="00B33607">
              <w:rPr>
                <w:rStyle w:val="Hyperlink"/>
                <w:b/>
                <w:bCs/>
                <w:noProof/>
              </w:rPr>
              <w:t>COMPLIAN</w:t>
            </w:r>
            <w:r w:rsidRPr="00B33607">
              <w:rPr>
                <w:rStyle w:val="Hyperlink"/>
                <w:b/>
                <w:bCs/>
                <w:noProof/>
              </w:rPr>
              <w:t>C</w:t>
            </w:r>
            <w:r w:rsidRPr="00B33607">
              <w:rPr>
                <w:rStyle w:val="Hyperlink"/>
                <w:b/>
                <w:bCs/>
                <w:noProof/>
              </w:rPr>
              <w:t>E</w:t>
            </w:r>
            <w:r>
              <w:rPr>
                <w:noProof/>
                <w:webHidden/>
              </w:rPr>
              <w:t xml:space="preserve">   ………………………………………………………………………………………………………       </w:t>
            </w:r>
            <w:r>
              <w:rPr>
                <w:noProof/>
                <w:webHidden/>
              </w:rPr>
              <w:fldChar w:fldCharType="begin"/>
            </w:r>
            <w:r>
              <w:rPr>
                <w:noProof/>
                <w:webHidden/>
              </w:rPr>
              <w:instrText xml:space="preserve"> PAGEREF _Toc223445601 \h </w:instrText>
            </w:r>
            <w:r>
              <w:rPr>
                <w:noProof/>
                <w:webHidden/>
              </w:rPr>
            </w:r>
            <w:r>
              <w:rPr>
                <w:noProof/>
                <w:webHidden/>
              </w:rPr>
              <w:fldChar w:fldCharType="separate"/>
            </w:r>
            <w:r>
              <w:rPr>
                <w:noProof/>
                <w:webHidden/>
              </w:rPr>
              <w:t>3</w:t>
            </w:r>
            <w:r>
              <w:rPr>
                <w:noProof/>
                <w:webHidden/>
              </w:rPr>
              <w:fldChar w:fldCharType="end"/>
            </w:r>
          </w:hyperlink>
        </w:p>
        <w:p w14:paraId="75ED5306" w14:textId="6BADD8CF"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2" w:history="1">
            <w:r w:rsidRPr="00B33607">
              <w:rPr>
                <w:rStyle w:val="Hyperlink"/>
                <w:b/>
                <w:bCs/>
                <w:noProof/>
              </w:rPr>
              <w:t>GOVERNANCE &amp; STRATEGY</w:t>
            </w:r>
            <w:r>
              <w:rPr>
                <w:noProof/>
                <w:webHidden/>
              </w:rPr>
              <w:t xml:space="preserve">    …………………………………………………………………………………..       </w:t>
            </w:r>
            <w:r>
              <w:rPr>
                <w:noProof/>
                <w:webHidden/>
              </w:rPr>
              <w:fldChar w:fldCharType="begin"/>
            </w:r>
            <w:r>
              <w:rPr>
                <w:noProof/>
                <w:webHidden/>
              </w:rPr>
              <w:instrText xml:space="preserve"> PAGEREF _Toc223445602 \h </w:instrText>
            </w:r>
            <w:r>
              <w:rPr>
                <w:noProof/>
                <w:webHidden/>
              </w:rPr>
            </w:r>
            <w:r>
              <w:rPr>
                <w:noProof/>
                <w:webHidden/>
              </w:rPr>
              <w:fldChar w:fldCharType="separate"/>
            </w:r>
            <w:r>
              <w:rPr>
                <w:noProof/>
                <w:webHidden/>
              </w:rPr>
              <w:t>5</w:t>
            </w:r>
            <w:r>
              <w:rPr>
                <w:noProof/>
                <w:webHidden/>
              </w:rPr>
              <w:fldChar w:fldCharType="end"/>
            </w:r>
          </w:hyperlink>
        </w:p>
        <w:p w14:paraId="2C971553" w14:textId="33192152"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3" w:history="1">
            <w:r w:rsidRPr="00B33607">
              <w:rPr>
                <w:rStyle w:val="Hyperlink"/>
                <w:b/>
                <w:bCs/>
                <w:noProof/>
              </w:rPr>
              <w:t>RISK MANAGEMENT</w:t>
            </w:r>
            <w:r>
              <w:rPr>
                <w:noProof/>
                <w:webHidden/>
              </w:rPr>
              <w:t xml:space="preserve">    ……………………………………………………………………………………………..       </w:t>
            </w:r>
            <w:r>
              <w:rPr>
                <w:noProof/>
                <w:webHidden/>
              </w:rPr>
              <w:fldChar w:fldCharType="begin"/>
            </w:r>
            <w:r>
              <w:rPr>
                <w:noProof/>
                <w:webHidden/>
              </w:rPr>
              <w:instrText xml:space="preserve"> PAGEREF _Toc223445603 \h </w:instrText>
            </w:r>
            <w:r>
              <w:rPr>
                <w:noProof/>
                <w:webHidden/>
              </w:rPr>
            </w:r>
            <w:r>
              <w:rPr>
                <w:noProof/>
                <w:webHidden/>
              </w:rPr>
              <w:fldChar w:fldCharType="separate"/>
            </w:r>
            <w:r>
              <w:rPr>
                <w:noProof/>
                <w:webHidden/>
              </w:rPr>
              <w:t>6</w:t>
            </w:r>
            <w:r>
              <w:rPr>
                <w:noProof/>
                <w:webHidden/>
              </w:rPr>
              <w:fldChar w:fldCharType="end"/>
            </w:r>
          </w:hyperlink>
        </w:p>
        <w:p w14:paraId="3B19ECA4" w14:textId="3358578A"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4" w:history="1">
            <w:r w:rsidRPr="00B33607">
              <w:rPr>
                <w:rStyle w:val="Hyperlink"/>
                <w:b/>
                <w:bCs/>
                <w:noProof/>
              </w:rPr>
              <w:t>CONTINGENCY PLANNING</w:t>
            </w:r>
            <w:r>
              <w:rPr>
                <w:noProof/>
                <w:webHidden/>
              </w:rPr>
              <w:t xml:space="preserve">    ……………………………………………………………………………………         </w:t>
            </w:r>
            <w:r>
              <w:rPr>
                <w:noProof/>
                <w:webHidden/>
              </w:rPr>
              <w:fldChar w:fldCharType="begin"/>
            </w:r>
            <w:r>
              <w:rPr>
                <w:noProof/>
                <w:webHidden/>
              </w:rPr>
              <w:instrText xml:space="preserve"> PAGEREF _Toc223445604 \h </w:instrText>
            </w:r>
            <w:r>
              <w:rPr>
                <w:noProof/>
                <w:webHidden/>
              </w:rPr>
            </w:r>
            <w:r>
              <w:rPr>
                <w:noProof/>
                <w:webHidden/>
              </w:rPr>
              <w:fldChar w:fldCharType="separate"/>
            </w:r>
            <w:r>
              <w:rPr>
                <w:noProof/>
                <w:webHidden/>
              </w:rPr>
              <w:t>7</w:t>
            </w:r>
            <w:r>
              <w:rPr>
                <w:noProof/>
                <w:webHidden/>
              </w:rPr>
              <w:fldChar w:fldCharType="end"/>
            </w:r>
          </w:hyperlink>
        </w:p>
        <w:p w14:paraId="6C982119" w14:textId="6F4A9AFF"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5" w:history="1">
            <w:r w:rsidRPr="00B33607">
              <w:rPr>
                <w:rStyle w:val="Hyperlink"/>
                <w:b/>
                <w:bCs/>
                <w:noProof/>
              </w:rPr>
              <w:t xml:space="preserve">PROTECTION </w:t>
            </w:r>
            <w:r w:rsidRPr="003177C9">
              <w:rPr>
                <w:rStyle w:val="Hyperlink"/>
                <w:b/>
                <w:bCs/>
                <w:noProof/>
                <w:sz w:val="24"/>
                <w:szCs w:val="24"/>
              </w:rPr>
              <w:t>MECHANISMS</w:t>
            </w:r>
            <w:r w:rsidR="00AC3D9E">
              <w:rPr>
                <w:noProof/>
                <w:webHidden/>
              </w:rPr>
              <w:t xml:space="preserve">    ……………………………………………………………………………….        </w:t>
            </w:r>
            <w:r>
              <w:rPr>
                <w:noProof/>
                <w:webHidden/>
              </w:rPr>
              <w:fldChar w:fldCharType="begin"/>
            </w:r>
            <w:r>
              <w:rPr>
                <w:noProof/>
                <w:webHidden/>
              </w:rPr>
              <w:instrText xml:space="preserve"> PAGEREF _Toc223445605 \h </w:instrText>
            </w:r>
            <w:r>
              <w:rPr>
                <w:noProof/>
                <w:webHidden/>
              </w:rPr>
            </w:r>
            <w:r>
              <w:rPr>
                <w:noProof/>
                <w:webHidden/>
              </w:rPr>
              <w:fldChar w:fldCharType="separate"/>
            </w:r>
            <w:r>
              <w:rPr>
                <w:noProof/>
                <w:webHidden/>
              </w:rPr>
              <w:t>7</w:t>
            </w:r>
            <w:r>
              <w:rPr>
                <w:noProof/>
                <w:webHidden/>
              </w:rPr>
              <w:fldChar w:fldCharType="end"/>
            </w:r>
          </w:hyperlink>
        </w:p>
        <w:p w14:paraId="233AADE6" w14:textId="5D122DA5" w:rsidR="00E52C25" w:rsidRPr="003177C9" w:rsidRDefault="00E52C25" w:rsidP="00E52C25">
          <w:pPr>
            <w:pStyle w:val="TOC1"/>
            <w:jc w:val="start"/>
            <w:rPr>
              <w:rFonts w:asciiTheme="minorHAnsi" w:eastAsiaTheme="minorEastAsia" w:hAnsiTheme="minorHAnsi" w:cstheme="minorBidi"/>
              <w:noProof/>
              <w:lang w:val="en-GB" w:eastAsia="en-GB"/>
            </w:rPr>
          </w:pPr>
          <w:hyperlink w:anchor="_Toc223445606" w:history="1">
            <w:r w:rsidRPr="003177C9">
              <w:rPr>
                <w:rStyle w:val="Hyperlink"/>
                <w:b/>
                <w:bCs/>
                <w:noProof/>
                <w:sz w:val="24"/>
                <w:szCs w:val="24"/>
              </w:rPr>
              <w:t>Phishing</w:t>
            </w:r>
            <w:r w:rsidRPr="003177C9">
              <w:rPr>
                <w:rStyle w:val="Hyperlink"/>
                <w:b/>
                <w:bCs/>
                <w:noProof/>
                <w:sz w:val="24"/>
                <w:szCs w:val="24"/>
              </w:rPr>
              <w:noBreakHyphen/>
              <w:t>resistant Multi</w:t>
            </w:r>
            <w:r w:rsidRPr="003177C9">
              <w:rPr>
                <w:rStyle w:val="Hyperlink"/>
                <w:b/>
                <w:bCs/>
                <w:noProof/>
                <w:sz w:val="24"/>
                <w:szCs w:val="24"/>
              </w:rPr>
              <w:noBreakHyphen/>
              <w:t>Factor Authentication (MFA)</w:t>
            </w:r>
            <w:r w:rsidR="00AC3D9E">
              <w:rPr>
                <w:noProof/>
                <w:webHidden/>
              </w:rPr>
              <w:t xml:space="preserve">    ……………………………………………..         </w:t>
            </w:r>
            <w:r w:rsidRPr="003177C9">
              <w:rPr>
                <w:noProof/>
                <w:webHidden/>
              </w:rPr>
              <w:fldChar w:fldCharType="begin"/>
            </w:r>
            <w:r w:rsidRPr="003177C9">
              <w:rPr>
                <w:noProof/>
                <w:webHidden/>
              </w:rPr>
              <w:instrText xml:space="preserve"> PAGEREF _Toc223445606 \h </w:instrText>
            </w:r>
            <w:r w:rsidRPr="003177C9">
              <w:rPr>
                <w:noProof/>
                <w:webHidden/>
              </w:rPr>
            </w:r>
            <w:r w:rsidRPr="003177C9">
              <w:rPr>
                <w:noProof/>
                <w:webHidden/>
              </w:rPr>
              <w:fldChar w:fldCharType="separate"/>
            </w:r>
            <w:r w:rsidRPr="003177C9">
              <w:rPr>
                <w:noProof/>
                <w:webHidden/>
              </w:rPr>
              <w:t>8</w:t>
            </w:r>
            <w:r w:rsidRPr="003177C9">
              <w:rPr>
                <w:noProof/>
                <w:webHidden/>
              </w:rPr>
              <w:fldChar w:fldCharType="end"/>
            </w:r>
          </w:hyperlink>
        </w:p>
        <w:p w14:paraId="1D2E2719" w14:textId="3BFA2FD8" w:rsidR="00E52C25" w:rsidRDefault="00E52C25" w:rsidP="00E52C25">
          <w:pPr>
            <w:pStyle w:val="TOC2"/>
            <w:jc w:val="start"/>
            <w:rPr>
              <w:rFonts w:asciiTheme="minorHAnsi" w:eastAsiaTheme="minorEastAsia" w:hAnsiTheme="minorHAnsi" w:cstheme="minorBidi"/>
              <w:noProof/>
              <w:sz w:val="22"/>
              <w:szCs w:val="22"/>
              <w:lang w:val="en-GB" w:eastAsia="en-GB"/>
            </w:rPr>
          </w:pPr>
          <w:hyperlink w:anchor="_Toc223445607" w:history="1">
            <w:r w:rsidRPr="00B33607">
              <w:rPr>
                <w:rStyle w:val="Hyperlink"/>
                <w:b/>
                <w:bCs/>
                <w:noProof/>
              </w:rPr>
              <w:t>VPNS a</w:t>
            </w:r>
            <w:r w:rsidRPr="00B33607">
              <w:rPr>
                <w:rStyle w:val="Hyperlink"/>
                <w:b/>
                <w:bCs/>
                <w:noProof/>
              </w:rPr>
              <w:t>n</w:t>
            </w:r>
            <w:r w:rsidRPr="00B33607">
              <w:rPr>
                <w:rStyle w:val="Hyperlink"/>
                <w:b/>
                <w:bCs/>
                <w:noProof/>
              </w:rPr>
              <w:t>d Firewalls</w:t>
            </w:r>
            <w:r w:rsidR="00AC3D9E">
              <w:rPr>
                <w:noProof/>
                <w:webHidden/>
              </w:rPr>
              <w:t xml:space="preserve">   ……………………………………………………………………………………………….         </w:t>
            </w:r>
            <w:r>
              <w:rPr>
                <w:noProof/>
                <w:webHidden/>
              </w:rPr>
              <w:fldChar w:fldCharType="begin"/>
            </w:r>
            <w:r>
              <w:rPr>
                <w:noProof/>
                <w:webHidden/>
              </w:rPr>
              <w:instrText xml:space="preserve"> PAGEREF _Toc223445607 \h </w:instrText>
            </w:r>
            <w:r>
              <w:rPr>
                <w:noProof/>
                <w:webHidden/>
              </w:rPr>
            </w:r>
            <w:r>
              <w:rPr>
                <w:noProof/>
                <w:webHidden/>
              </w:rPr>
              <w:fldChar w:fldCharType="separate"/>
            </w:r>
            <w:r>
              <w:rPr>
                <w:noProof/>
                <w:webHidden/>
              </w:rPr>
              <w:t>8</w:t>
            </w:r>
            <w:r>
              <w:rPr>
                <w:noProof/>
                <w:webHidden/>
              </w:rPr>
              <w:fldChar w:fldCharType="end"/>
            </w:r>
          </w:hyperlink>
        </w:p>
        <w:p w14:paraId="0E9EBC0F" w14:textId="37043CB1"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8" w:history="1">
            <w:r w:rsidRPr="00B33607">
              <w:rPr>
                <w:rStyle w:val="Hyperlink"/>
                <w:b/>
                <w:bCs/>
                <w:noProof/>
              </w:rPr>
              <w:t>Conclusion</w:t>
            </w:r>
            <w:r w:rsidR="00AC3D9E">
              <w:rPr>
                <w:noProof/>
                <w:webHidden/>
              </w:rPr>
              <w:t xml:space="preserve">    ……………………………………………………………………………………………………………       </w:t>
            </w:r>
            <w:r>
              <w:rPr>
                <w:noProof/>
                <w:webHidden/>
              </w:rPr>
              <w:fldChar w:fldCharType="begin"/>
            </w:r>
            <w:r>
              <w:rPr>
                <w:noProof/>
                <w:webHidden/>
              </w:rPr>
              <w:instrText xml:space="preserve"> PAGEREF _Toc223445608 \h </w:instrText>
            </w:r>
            <w:r>
              <w:rPr>
                <w:noProof/>
                <w:webHidden/>
              </w:rPr>
            </w:r>
            <w:r>
              <w:rPr>
                <w:noProof/>
                <w:webHidden/>
              </w:rPr>
              <w:fldChar w:fldCharType="separate"/>
            </w:r>
            <w:r>
              <w:rPr>
                <w:noProof/>
                <w:webHidden/>
              </w:rPr>
              <w:t>12</w:t>
            </w:r>
            <w:r>
              <w:rPr>
                <w:noProof/>
                <w:webHidden/>
              </w:rPr>
              <w:fldChar w:fldCharType="end"/>
            </w:r>
          </w:hyperlink>
        </w:p>
        <w:p w14:paraId="7AA133FB" w14:textId="0452F1DC" w:rsidR="00E52C25" w:rsidRDefault="00E52C25" w:rsidP="00E52C25">
          <w:pPr>
            <w:pStyle w:val="TOC1"/>
            <w:jc w:val="start"/>
            <w:rPr>
              <w:rFonts w:asciiTheme="minorHAnsi" w:eastAsiaTheme="minorEastAsia" w:hAnsiTheme="minorHAnsi" w:cstheme="minorBidi"/>
              <w:noProof/>
              <w:sz w:val="22"/>
              <w:szCs w:val="22"/>
              <w:lang w:val="en-GB" w:eastAsia="en-GB"/>
            </w:rPr>
          </w:pPr>
          <w:hyperlink w:anchor="_Toc223445609" w:history="1">
            <w:r w:rsidRPr="00B33607">
              <w:rPr>
                <w:rStyle w:val="Hyperlink"/>
                <w:b/>
                <w:bCs/>
                <w:noProof/>
              </w:rPr>
              <w:t>References</w:t>
            </w:r>
            <w:r w:rsidR="00AC3D9E">
              <w:rPr>
                <w:noProof/>
                <w:webHidden/>
              </w:rPr>
              <w:t xml:space="preserve">      …………………………………………………………………………………………………………..        </w:t>
            </w:r>
            <w:r>
              <w:rPr>
                <w:noProof/>
                <w:webHidden/>
              </w:rPr>
              <w:fldChar w:fldCharType="begin"/>
            </w:r>
            <w:r>
              <w:rPr>
                <w:noProof/>
                <w:webHidden/>
              </w:rPr>
              <w:instrText xml:space="preserve"> PAGEREF _Toc223445609 \h </w:instrText>
            </w:r>
            <w:r>
              <w:rPr>
                <w:noProof/>
                <w:webHidden/>
              </w:rPr>
            </w:r>
            <w:r>
              <w:rPr>
                <w:noProof/>
                <w:webHidden/>
              </w:rPr>
              <w:fldChar w:fldCharType="separate"/>
            </w:r>
            <w:r>
              <w:rPr>
                <w:noProof/>
                <w:webHidden/>
              </w:rPr>
              <w:t>12</w:t>
            </w:r>
            <w:r>
              <w:rPr>
                <w:noProof/>
                <w:webHidden/>
              </w:rPr>
              <w:fldChar w:fldCharType="end"/>
            </w:r>
          </w:hyperlink>
        </w:p>
        <w:p w14:paraId="15542EA7" w14:textId="7022A442" w:rsidR="00E52C25" w:rsidRPr="003177C9" w:rsidRDefault="00E52C25" w:rsidP="00E52C25">
          <w:pPr>
            <w:pStyle w:val="TOC2"/>
            <w:jc w:val="start"/>
            <w:rPr>
              <w:rFonts w:asciiTheme="minorHAnsi" w:eastAsiaTheme="minorEastAsia" w:hAnsiTheme="minorHAnsi" w:cstheme="minorBidi"/>
              <w:noProof/>
              <w:lang w:val="en-GB" w:eastAsia="en-GB"/>
            </w:rPr>
          </w:pPr>
          <w:hyperlink w:anchor="_Toc223445610" w:history="1">
            <w:r w:rsidRPr="003177C9">
              <w:rPr>
                <w:rStyle w:val="Hyperlink"/>
                <w:b/>
                <w:bCs/>
                <w:noProof/>
                <w:sz w:val="24"/>
                <w:szCs w:val="24"/>
              </w:rPr>
              <w:t>Figure references</w:t>
            </w:r>
            <w:r w:rsidR="00AC3D9E">
              <w:rPr>
                <w:noProof/>
                <w:webHidden/>
              </w:rPr>
              <w:t xml:space="preserve">     ……………………………………………………………………………………………..        </w:t>
            </w:r>
            <w:r w:rsidRPr="003177C9">
              <w:rPr>
                <w:noProof/>
                <w:webHidden/>
              </w:rPr>
              <w:fldChar w:fldCharType="begin"/>
            </w:r>
            <w:r w:rsidRPr="003177C9">
              <w:rPr>
                <w:noProof/>
                <w:webHidden/>
              </w:rPr>
              <w:instrText xml:space="preserve"> PAGEREF _Toc223445610 \h </w:instrText>
            </w:r>
            <w:r w:rsidRPr="003177C9">
              <w:rPr>
                <w:noProof/>
                <w:webHidden/>
              </w:rPr>
            </w:r>
            <w:r w:rsidRPr="003177C9">
              <w:rPr>
                <w:noProof/>
                <w:webHidden/>
              </w:rPr>
              <w:fldChar w:fldCharType="separate"/>
            </w:r>
            <w:r w:rsidRPr="003177C9">
              <w:rPr>
                <w:noProof/>
                <w:webHidden/>
              </w:rPr>
              <w:t>14</w:t>
            </w:r>
            <w:r w:rsidRPr="003177C9">
              <w:rPr>
                <w:noProof/>
                <w:webHidden/>
              </w:rPr>
              <w:fldChar w:fldCharType="end"/>
            </w:r>
          </w:hyperlink>
        </w:p>
        <w:p w14:paraId="598E89EB" w14:textId="77777777" w:rsidR="00E52C25" w:rsidRDefault="00E52C25" w:rsidP="00E52C25">
          <w:pPr>
            <w:jc w:val="start"/>
          </w:pPr>
          <w:r>
            <w:rPr>
              <w:b/>
              <w:bCs/>
              <w:noProof/>
            </w:rPr>
            <w:fldChar w:fldCharType="end"/>
          </w:r>
        </w:p>
      </w:sdtContent>
    </w:sdt>
    <w:p w14:paraId="2BB4CA8C" w14:textId="77777777" w:rsidR="00E52C25" w:rsidRDefault="00E52C25" w:rsidP="00E52C25">
      <w:pPr>
        <w:jc w:val="start"/>
      </w:pPr>
    </w:p>
    <w:p w14:paraId="51CB186D" w14:textId="77777777" w:rsidR="00E52C25" w:rsidRDefault="00E52C25" w:rsidP="00E52C25"/>
    <w:p w14:paraId="7774F6F2" w14:textId="77777777" w:rsidR="00E52C25" w:rsidRDefault="00E52C25" w:rsidP="00E52C25"/>
    <w:p w14:paraId="5D328A96" w14:textId="77777777" w:rsidR="00E52C25" w:rsidRDefault="00E52C25" w:rsidP="00E52C25"/>
    <w:p w14:paraId="76FB9340" w14:textId="77777777" w:rsidR="00E52C25" w:rsidRDefault="00E52C25" w:rsidP="00E52C25"/>
    <w:p w14:paraId="65F9622A" w14:textId="77777777" w:rsidR="00E52C25" w:rsidRDefault="00E52C25" w:rsidP="0046347D">
      <w:pPr>
        <w:jc w:val="both"/>
      </w:pPr>
    </w:p>
    <w:p w14:paraId="2B37D9B3" w14:textId="77777777" w:rsidR="00E52C25" w:rsidRDefault="00E52C25" w:rsidP="00E52C25"/>
    <w:p w14:paraId="18A765D9" w14:textId="77777777" w:rsidR="00E52C25" w:rsidRDefault="00E52C25" w:rsidP="00E52C25"/>
    <w:p w14:paraId="68FAE3B0" w14:textId="77777777" w:rsidR="00E52C25" w:rsidRDefault="00E52C25" w:rsidP="00E52C25"/>
    <w:p w14:paraId="7BFDB711" w14:textId="71C73BE1" w:rsidR="00E52C25" w:rsidRPr="00D8180B" w:rsidRDefault="00E52C25" w:rsidP="00E52C25">
      <w:pPr>
        <w:pStyle w:val="Heading1"/>
        <w:ind w:start="10.80pt"/>
        <w:rPr>
          <w:b/>
          <w:bCs/>
          <w:sz w:val="24"/>
          <w:szCs w:val="24"/>
          <w:u w:val="single"/>
        </w:rPr>
      </w:pPr>
      <w:bookmarkStart w:id="26" w:name="_Toc223445598"/>
      <w:r w:rsidRPr="00D8180B">
        <w:rPr>
          <w:b/>
          <w:bCs/>
          <w:sz w:val="24"/>
          <w:szCs w:val="24"/>
          <w:u w:val="single"/>
        </w:rPr>
        <w:t>INTRODUCTION</w:t>
      </w:r>
      <w:bookmarkEnd w:id="26"/>
    </w:p>
    <w:p w14:paraId="4F65091A" w14:textId="77777777" w:rsidR="00E52C25" w:rsidRPr="00D8180B" w:rsidRDefault="00E52C25" w:rsidP="00E52C25">
      <w:pPr>
        <w:spacing w:before="5pt" w:beforeAutospacing="1" w:after="5pt" w:afterAutospacing="1"/>
        <w:ind w:start="10.80pt"/>
        <w:jc w:val="start"/>
        <w:rPr>
          <w:rFonts w:eastAsia="Times New Roman"/>
          <w:sz w:val="24"/>
          <w:szCs w:val="24"/>
          <w:lang w:val="en-GB" w:eastAsia="en-GB"/>
        </w:rPr>
      </w:pPr>
      <w:r w:rsidRPr="00D8180B">
        <w:rPr>
          <w:rFonts w:eastAsia="Times New Roman"/>
          <w:sz w:val="24"/>
          <w:szCs w:val="24"/>
          <w:lang w:val="en-GB" w:eastAsia="en-GB"/>
        </w:rPr>
        <w:t>Modern hybrid organisations increasingly depend on cloud services, artificial intelligence, and distributed workforces, making strong security governance essential for maintaining operational resilience. As companies adopt AI</w:t>
      </w:r>
      <w:r w:rsidRPr="00D8180B">
        <w:rPr>
          <w:rFonts w:eastAsia="Times New Roman"/>
          <w:sz w:val="24"/>
          <w:szCs w:val="24"/>
          <w:lang w:val="en-GB" w:eastAsia="en-GB"/>
        </w:rPr>
        <w:noBreakHyphen/>
        <w:t>driven systems and cloud</w:t>
      </w:r>
      <w:r w:rsidRPr="00D8180B">
        <w:rPr>
          <w:rFonts w:eastAsia="Times New Roman"/>
          <w:sz w:val="24"/>
          <w:szCs w:val="24"/>
          <w:lang w:val="en-GB" w:eastAsia="en-GB"/>
        </w:rPr>
        <w:noBreakHyphen/>
        <w:t>based infrastructures, they must implement clear policies, structured procedures, and defined security roles to ensure responsible and secure technology use. This includes developing policies for AI usage, securing SaaS environments, and supporting BYOD practices that enable staff to work efficiently while maintaining high security standards. Regulatory compliance also plays a critical role, particularly with frameworks such as DORA and NIS2 introducing strict requirements for ICT risk management, operational resilience, and incident reporting. Adhering to these regulations ensures transparency, protects essential services, and strengthens the organisation’s ability to respond effectively to emerging threats.</w:t>
      </w:r>
    </w:p>
    <w:p w14:paraId="721B0315" w14:textId="77777777" w:rsidR="00E52C25" w:rsidRPr="008B0AF5" w:rsidRDefault="00E52C25" w:rsidP="00E52C25">
      <w:pPr>
        <w:spacing w:before="5pt" w:beforeAutospacing="1" w:after="5pt" w:afterAutospacing="1"/>
        <w:ind w:start="10.80pt"/>
        <w:jc w:val="start"/>
        <w:rPr>
          <w:rFonts w:eastAsia="Times New Roman"/>
          <w:sz w:val="24"/>
          <w:szCs w:val="24"/>
          <w:lang w:val="en-GB" w:eastAsia="en-GB"/>
        </w:rPr>
      </w:pPr>
      <w:r w:rsidRPr="00D8180B">
        <w:rPr>
          <w:rFonts w:eastAsia="Times New Roman"/>
          <w:sz w:val="24"/>
          <w:szCs w:val="24"/>
          <w:lang w:val="en-GB" w:eastAsia="en-GB"/>
        </w:rPr>
        <w:t xml:space="preserve">To support these obligations, organisations benefit from adopting a governance model aligned with the NIST Cybersecurity Framework (CSF) 2.0, which provides a structured approach to identifying risks, protecting assets, detecting threats, and recovering from incidents. This alignment ensures that security strategies directly support business goals and enable the organisation to operate confidently in a hybrid environment. Effective risk management is also essential, particularly in addressing software supply chain vulnerabilities, poisoned AI models, outdated dependencies, and cloud misconfigurations. A strong organisational structure, including roles such as a Cloud Security Architect and a </w:t>
      </w:r>
      <w:proofErr w:type="spellStart"/>
      <w:r w:rsidRPr="00D8180B">
        <w:rPr>
          <w:rFonts w:eastAsia="Times New Roman"/>
          <w:sz w:val="24"/>
          <w:szCs w:val="24"/>
          <w:lang w:val="en-GB" w:eastAsia="en-GB"/>
        </w:rPr>
        <w:t>DevSecOps</w:t>
      </w:r>
      <w:proofErr w:type="spellEnd"/>
      <w:r w:rsidRPr="00D8180B">
        <w:rPr>
          <w:rFonts w:eastAsia="Times New Roman"/>
          <w:sz w:val="24"/>
          <w:szCs w:val="24"/>
          <w:lang w:val="en-GB" w:eastAsia="en-GB"/>
        </w:rPr>
        <w:t xml:space="preserve"> Lead, ensures that cloud environments are securely designed and that security is embedded throughout the development lifecycle. Combined with modern protection mechanisms</w:t>
      </w:r>
      <w:r>
        <w:rPr>
          <w:rFonts w:eastAsia="Times New Roman"/>
          <w:sz w:val="24"/>
          <w:szCs w:val="24"/>
          <w:lang w:val="en-GB" w:eastAsia="en-GB"/>
        </w:rPr>
        <w:t xml:space="preserve"> </w:t>
      </w:r>
      <w:r w:rsidRPr="00D8180B">
        <w:rPr>
          <w:rFonts w:eastAsia="Times New Roman"/>
          <w:sz w:val="24"/>
          <w:szCs w:val="24"/>
          <w:lang w:val="en-GB" w:eastAsia="en-GB"/>
        </w:rPr>
        <w:t>such as CSPM, SIEM, EDR, and phishing</w:t>
      </w:r>
      <w:r w:rsidRPr="00D8180B">
        <w:rPr>
          <w:rFonts w:eastAsia="Times New Roman"/>
          <w:sz w:val="24"/>
          <w:szCs w:val="24"/>
          <w:lang w:val="en-GB" w:eastAsia="en-GB"/>
        </w:rPr>
        <w:noBreakHyphen/>
        <w:t>resistant MFA</w:t>
      </w:r>
      <w:r>
        <w:rPr>
          <w:rFonts w:eastAsia="Times New Roman"/>
          <w:sz w:val="24"/>
          <w:szCs w:val="24"/>
          <w:lang w:val="en-GB" w:eastAsia="en-GB"/>
        </w:rPr>
        <w:t xml:space="preserve"> </w:t>
      </w:r>
      <w:r w:rsidRPr="00D8180B">
        <w:rPr>
          <w:rFonts w:eastAsia="Times New Roman"/>
          <w:sz w:val="24"/>
          <w:szCs w:val="24"/>
          <w:lang w:val="en-GB" w:eastAsia="en-GB"/>
        </w:rPr>
        <w:t xml:space="preserve">and supported by robust </w:t>
      </w:r>
      <w:r w:rsidRPr="00D8180B">
        <w:rPr>
          <w:rFonts w:eastAsia="Times New Roman"/>
          <w:sz w:val="24"/>
          <w:szCs w:val="24"/>
          <w:lang w:val="en-GB" w:eastAsia="en-GB"/>
        </w:rPr>
        <w:lastRenderedPageBreak/>
        <w:t>contingency planning for ransomware and other cyber threats, these measures create a resilient security posture capable of sustaining trust, compliance, and operational continuity.</w:t>
      </w:r>
    </w:p>
    <w:p w14:paraId="11523844" w14:textId="77777777" w:rsidR="00E52C25" w:rsidRPr="00D8180B" w:rsidRDefault="00E52C25" w:rsidP="00E52C25">
      <w:pPr>
        <w:rPr>
          <w:sz w:val="24"/>
          <w:szCs w:val="24"/>
        </w:rPr>
      </w:pPr>
    </w:p>
    <w:p w14:paraId="1A453118" w14:textId="00B250F6" w:rsidR="00E52C25" w:rsidRPr="008D2932" w:rsidRDefault="00E52C25" w:rsidP="00E52C25">
      <w:pPr>
        <w:pStyle w:val="Heading1"/>
        <w:rPr>
          <w:rStyle w:val="Strong"/>
          <w:sz w:val="24"/>
          <w:szCs w:val="24"/>
          <w:u w:val="single"/>
        </w:rPr>
      </w:pPr>
      <w:bookmarkStart w:id="27" w:name="_Toc223445599"/>
      <w:r w:rsidRPr="008D2932">
        <w:rPr>
          <w:rStyle w:val="Strong"/>
          <w:sz w:val="24"/>
          <w:szCs w:val="24"/>
          <w:u w:val="single"/>
        </w:rPr>
        <w:t xml:space="preserve">ORGANISATION </w:t>
      </w:r>
      <w:commentRangeStart w:id="28"/>
      <w:commentRangeStart w:id="29"/>
      <w:r w:rsidRPr="008D2932">
        <w:rPr>
          <w:rStyle w:val="Strong"/>
          <w:sz w:val="24"/>
          <w:szCs w:val="24"/>
          <w:u w:val="single"/>
        </w:rPr>
        <w:t>STRU</w:t>
      </w:r>
      <w:commentRangeEnd w:id="28"/>
      <w:r w:rsidR="002B21A4">
        <w:rPr>
          <w:rStyle w:val="CommentReference"/>
          <w:smallCaps w:val="0"/>
          <w:noProof w:val="0"/>
        </w:rPr>
        <w:commentReference w:id="28"/>
      </w:r>
      <w:commentRangeEnd w:id="29"/>
      <w:r w:rsidR="002B21A4">
        <w:rPr>
          <w:rStyle w:val="CommentReference"/>
          <w:smallCaps w:val="0"/>
          <w:noProof w:val="0"/>
        </w:rPr>
        <w:commentReference w:id="29"/>
      </w:r>
      <w:r w:rsidRPr="008D2932">
        <w:rPr>
          <w:rStyle w:val="Strong"/>
          <w:sz w:val="24"/>
          <w:szCs w:val="24"/>
          <w:u w:val="single"/>
        </w:rPr>
        <w:t>CTURE</w:t>
      </w:r>
      <w:bookmarkEnd w:id="27"/>
    </w:p>
    <w:p w14:paraId="6B791585" w14:textId="77777777" w:rsidR="00E52C25" w:rsidRPr="008B0AF5" w:rsidRDefault="00E52C25" w:rsidP="00E52C25"/>
    <w:p w14:paraId="1F3B8B2D" w14:textId="77777777" w:rsidR="00E52C25" w:rsidRPr="00D8180B" w:rsidRDefault="00E52C25" w:rsidP="004309C2">
      <w:pPr>
        <w:pStyle w:val="NormalWeb"/>
        <w:jc w:val="start"/>
      </w:pPr>
      <w:r w:rsidRPr="00D8180B">
        <w:t xml:space="preserve">The structure of the cloud security architecture that the organization must have </w:t>
      </w:r>
      <w:proofErr w:type="gramStart"/>
      <w:r w:rsidRPr="00D8180B">
        <w:t>is</w:t>
      </w:r>
      <w:proofErr w:type="gramEnd"/>
      <w:r w:rsidRPr="00D8180B">
        <w:t xml:space="preserve"> one that clearly defines responsibility for securing cloud environments, enforcing configuration standards, and ensuring that all cloud</w:t>
      </w:r>
      <w:r w:rsidRPr="00D8180B">
        <w:noBreakHyphen/>
        <w:t>based services meet compliance and operational requirements. It should have a dedicated Cloud Security Architect who oversees cloud governance, designs secure architectures, and ensures that identity, access, and data protection controls are consistently applied across all cloud platforms. This will ensure that the company will run to the highest performance by following the legislations and guidelines of legal requirements and upholding the civil rights of the consumers and staff using the company</w:t>
      </w:r>
      <w:r>
        <w:t xml:space="preserve"> [1,2,3]</w:t>
      </w:r>
      <w:r w:rsidRPr="00D8180B">
        <w:t>.</w:t>
      </w:r>
    </w:p>
    <w:p w14:paraId="4A56FA90" w14:textId="07274028" w:rsidR="00E52C25" w:rsidRDefault="00E52C25" w:rsidP="004309C2">
      <w:pPr>
        <w:pStyle w:val="NormalWeb"/>
        <w:jc w:val="start"/>
      </w:pPr>
      <w:r w:rsidRPr="00D8180B">
        <w:t xml:space="preserve">The </w:t>
      </w:r>
      <w:proofErr w:type="spellStart"/>
      <w:r w:rsidRPr="00D8180B">
        <w:t>DevSecOps</w:t>
      </w:r>
      <w:proofErr w:type="spellEnd"/>
      <w:r w:rsidRPr="00D8180B">
        <w:t xml:space="preserve"> lead role within the fully hybrid company system will be responsible for embedding security into every stage of the software development lifecycle, ensuring that development, security, and operations teams work collaboratively to deliver secure and resilient applications. This is important because it enables continuous security integration, reduces vulnerabilities early in the development process, and ensures that the organization can rapidly deploy updates while maintaining strong security controls across hybrid environments</w:t>
      </w:r>
      <w:r>
        <w:t xml:space="preserve"> [4,5,6,7]</w:t>
      </w:r>
      <w:r w:rsidRPr="00D8180B">
        <w:t>.</w:t>
      </w:r>
    </w:p>
    <w:p w14:paraId="07D4E9B2" w14:textId="1C040137" w:rsidR="00F518CF" w:rsidRDefault="00F518CF" w:rsidP="00E52C25">
      <w:pPr>
        <w:pStyle w:val="NormalWeb"/>
      </w:pPr>
    </w:p>
    <w:p w14:paraId="6FA0F9EA" w14:textId="77777777" w:rsidR="00CE47F9" w:rsidRDefault="005E3B8B" w:rsidP="00CE47F9">
      <w:pPr>
        <w:pStyle w:val="NormalWeb"/>
        <w:keepNext/>
      </w:pPr>
      <w:r w:rsidRPr="005E3B8B">
        <w:drawing>
          <wp:inline distT="0" distB="0" distL="0" distR="0" wp14:anchorId="09DC3D14" wp14:editId="648BC522">
            <wp:extent cx="4629560" cy="3069552"/>
            <wp:effectExtent l="0" t="0" r="0" b="0"/>
            <wp:docPr id="24" name="Picture 2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26"/>
                    <a:stretch>
                      <a:fillRect/>
                    </a:stretch>
                  </pic:blipFill>
                  <pic:spPr>
                    <a:xfrm>
                      <a:off x="0" y="0"/>
                      <a:ext cx="4672331" cy="3097911"/>
                    </a:xfrm>
                    <a:prstGeom prst="rect">
                      <a:avLst/>
                    </a:prstGeom>
                  </pic:spPr>
                </pic:pic>
              </a:graphicData>
            </a:graphic>
          </wp:inline>
        </w:drawing>
      </w:r>
    </w:p>
    <w:p w14:paraId="60AF4B88" w14:textId="426D6D38" w:rsidR="00C671AF" w:rsidRDefault="00CE47F9" w:rsidP="00CE47F9">
      <w:pPr>
        <w:pStyle w:val="Caption"/>
      </w:pPr>
      <w:r>
        <w:t xml:space="preserve">Figure </w:t>
      </w:r>
      <w:r w:rsidR="002005B6">
        <w:t>1</w:t>
      </w:r>
      <w:r>
        <w:t xml:space="preserve"> show </w:t>
      </w:r>
      <w:proofErr w:type="spellStart"/>
      <w:proofErr w:type="gramStart"/>
      <w:r>
        <w:t>a</w:t>
      </w:r>
      <w:proofErr w:type="spellEnd"/>
      <w:proofErr w:type="gramEnd"/>
      <w:r>
        <w:t xml:space="preserve"> organizational structure chart</w:t>
      </w:r>
      <w:r w:rsidR="008C3729">
        <w:t xml:space="preserve"> for a hybrid company </w:t>
      </w:r>
      <w:r>
        <w:t>[8].</w:t>
      </w:r>
    </w:p>
    <w:p w14:paraId="7BA82094" w14:textId="77777777" w:rsidR="00F518CF" w:rsidRPr="00D8180B" w:rsidRDefault="00F518CF" w:rsidP="00E52C25">
      <w:pPr>
        <w:pStyle w:val="NormalWeb"/>
      </w:pPr>
    </w:p>
    <w:p w14:paraId="05D74F84" w14:textId="77777777" w:rsidR="00E52C25" w:rsidRPr="00D8180B" w:rsidRDefault="00E52C25" w:rsidP="00E52C25">
      <w:pPr>
        <w:rPr>
          <w:sz w:val="24"/>
          <w:szCs w:val="24"/>
        </w:rPr>
      </w:pPr>
    </w:p>
    <w:p w14:paraId="30122F54" w14:textId="0B69F938" w:rsidR="00E52C25" w:rsidRDefault="00E52C25" w:rsidP="00E52C25">
      <w:pPr>
        <w:pStyle w:val="Heading1"/>
        <w:rPr>
          <w:rStyle w:val="Strong"/>
          <w:sz w:val="24"/>
          <w:szCs w:val="24"/>
          <w:u w:val="single"/>
        </w:rPr>
      </w:pPr>
      <w:bookmarkStart w:id="30" w:name="_Toc223445600"/>
      <w:r w:rsidRPr="008D2932">
        <w:rPr>
          <w:rStyle w:val="Strong"/>
          <w:sz w:val="24"/>
          <w:szCs w:val="24"/>
          <w:u w:val="single"/>
        </w:rPr>
        <w:lastRenderedPageBreak/>
        <w:t>POLICIES &amp; PROCEDURES</w:t>
      </w:r>
      <w:bookmarkEnd w:id="30"/>
    </w:p>
    <w:p w14:paraId="21961D56" w14:textId="77777777" w:rsidR="00F76A84" w:rsidRDefault="00D11305" w:rsidP="00F76A84">
      <w:pPr>
        <w:keepNext/>
      </w:pPr>
      <w:r w:rsidRPr="00D11305">
        <w:drawing>
          <wp:inline distT="0" distB="0" distL="0" distR="0" wp14:anchorId="55B32991" wp14:editId="554E8E7F">
            <wp:extent cx="4021920" cy="4748040"/>
            <wp:effectExtent l="0" t="0" r="0" b="0"/>
            <wp:docPr id="205" name="Picture 2" descr="A flow diagram shows an action step labeled as, “Plan initiated” points to another action step box by an arrow labeled as, “Current state assessed.” The “Current state assessed” points to another action step box by an arrow labeled as, “Current state compared to desired state as per plan.” The “Current state compared to desired state as per plan” points to a decision making box labeled as, “Current= Desired?” An arrow from the left of decision box labeled as, “Yes” points to action step box labeled as, “Monitor and periodically reassess.” An arrow from “Monitor and periodically reassess” points to action step box labeled as, “Current state assessed.” An arrow facing downwards labeled as, “No” from decision box points to action step box labeled as, “Develop gap analysis remediation plan.” An arrow from “Develop gap analysis remediation plan” points to an action step box labeled as, “Implement gap analysis remediation plan and reassess.” An arrow from “Implement gap analysis remediation plan and reassess” points to an action step box labeled as, “Current state assessed.” &#10;"/>
            <wp:cNvGraphicFramePr/>
            <a:graphic xmlns:a="http://purl.oclc.org/ooxml/drawingml/main">
              <a:graphicData uri="http://purl.oclc.org/ooxml/drawingml/picture">
                <pic:pic xmlns:pic="http://purl.oclc.org/ooxml/drawingml/picture">
                  <pic:nvPicPr>
                    <pic:cNvPr id="205" name="Picture 2" descr="A flow diagram shows an action step labeled as, “Plan initiated” points to another action step box by an arrow labeled as, “Current state assessed.” The “Current state assessed” points to another action step box by an arrow labeled as, “Current state compared to desired state as per plan.” The “Current state compared to desired state as per plan” points to a decision making box labeled as, “Current= Desired?” An arrow from the left of decision box labeled as, “Yes” points to action step box labeled as, “Monitor and periodically reassess.” An arrow from “Monitor and periodically reassess” points to action step box labeled as, “Current state assessed.” An arrow facing downwards labeled as, “No” from decision box points to action step box labeled as, “Develop gap analysis remediation plan.” An arrow from “Develop gap analysis remediation plan” points to an action step box labeled as, “Implement gap analysis remediation plan and reassess.” An arrow from “Implement gap analysis remediation plan and reassess” points to an action step box labeled as, “Current state assessed.” &#10;"/>
                    <pic:cNvPicPr/>
                  </pic:nvPicPr>
                  <pic:blipFill>
                    <a:blip r:embed="rId27"/>
                    <a:stretch/>
                  </pic:blipFill>
                  <pic:spPr>
                    <a:xfrm>
                      <a:off x="0" y="0"/>
                      <a:ext cx="4021920" cy="4748040"/>
                    </a:xfrm>
                    <a:prstGeom prst="rect">
                      <a:avLst/>
                    </a:prstGeom>
                    <a:ln w="0">
                      <a:noFill/>
                    </a:ln>
                  </pic:spPr>
                </pic:pic>
              </a:graphicData>
            </a:graphic>
          </wp:inline>
        </w:drawing>
      </w:r>
    </w:p>
    <w:p w14:paraId="5D175CAC" w14:textId="5C1586BF" w:rsidR="00D11305" w:rsidRDefault="00F76A84" w:rsidP="00F76A84">
      <w:pPr>
        <w:pStyle w:val="Caption"/>
      </w:pPr>
      <w:r>
        <w:t xml:space="preserve">Figure </w:t>
      </w:r>
      <w:r w:rsidR="002005B6">
        <w:t>2</w:t>
      </w:r>
      <w:r>
        <w:t xml:space="preserve"> shows g</w:t>
      </w:r>
      <w:r w:rsidRPr="002C7F2B">
        <w:t>ap analysis</w:t>
      </w:r>
      <w:r>
        <w:t xml:space="preserve"> </w:t>
      </w:r>
      <w:r w:rsidR="00F76851">
        <w:t>implementations</w:t>
      </w:r>
      <w:r>
        <w:t xml:space="preserve"> that will need to be </w:t>
      </w:r>
      <w:r w:rsidR="00F76851">
        <w:t>assessed</w:t>
      </w:r>
      <w:r>
        <w:t xml:space="preserve"> over time to assess efficiency and cost affectivity to ensure the best effective system is being used (9).</w:t>
      </w:r>
    </w:p>
    <w:p w14:paraId="44AE8215" w14:textId="77777777" w:rsidR="00E52C25" w:rsidRPr="008B0AF5" w:rsidRDefault="00E52C25" w:rsidP="00E52C25"/>
    <w:p w14:paraId="75C12DED" w14:textId="77777777" w:rsidR="00E52C25" w:rsidRPr="00D8180B" w:rsidRDefault="00E52C25" w:rsidP="00E52C25">
      <w:pPr>
        <w:pStyle w:val="NormalWeb"/>
        <w:jc w:val="start"/>
      </w:pPr>
      <w:r w:rsidRPr="00D8180B">
        <w:t>The policies and procedures within developmental policies for the use of AI are essential because they define responsible usage, establish ethical and legal boundaries, and ensure that AI systems are deployed in a controlled, transparent, and auditable manner. They help prevent misuse, bias, and operational risks by setting clear expectations for data handling, model training, and ongoing monitoring.</w:t>
      </w:r>
    </w:p>
    <w:p w14:paraId="0F0BD62F" w14:textId="77777777" w:rsidR="00E52C25" w:rsidRPr="00645D23" w:rsidRDefault="00E52C25" w:rsidP="00E52C25">
      <w:pPr>
        <w:pStyle w:val="NormalWeb"/>
        <w:jc w:val="start"/>
      </w:pPr>
      <w:r w:rsidRPr="00D8180B">
        <w:t>The secure SaaS configuration is important because it ensures that cloud</w:t>
      </w:r>
      <w:r w:rsidRPr="00D8180B">
        <w:noBreakHyphen/>
        <w:t>based applications are properly hardened, access</w:t>
      </w:r>
      <w:r w:rsidRPr="00D8180B">
        <w:noBreakHyphen/>
        <w:t>controlled, and continuously monitored for misconfigurations or vulnerabilities</w:t>
      </w:r>
      <w:r>
        <w:t xml:space="preserve">. </w:t>
      </w:r>
    </w:p>
    <w:p w14:paraId="542490EE" w14:textId="7BFF775F" w:rsidR="00E52C25" w:rsidRDefault="00E52C25" w:rsidP="00E52C25">
      <w:pPr>
        <w:pStyle w:val="NormalWeb"/>
        <w:jc w:val="start"/>
      </w:pPr>
      <w:r w:rsidRPr="00645D23">
        <w:t xml:space="preserve">While BYOD reduces </w:t>
      </w:r>
      <w:proofErr w:type="spellStart"/>
      <w:r w:rsidRPr="00645D23">
        <w:t>CapEx</w:t>
      </w:r>
      <w:proofErr w:type="spellEnd"/>
      <w:r w:rsidRPr="00645D23">
        <w:t>, it introduces data residency risks when personal devices lack enterprise endpoint encryption, necessitating containerization strategies that segment corporate and personal data</w:t>
      </w:r>
      <w:r>
        <w:t xml:space="preserve"> [</w:t>
      </w:r>
      <w:r w:rsidR="00F76A84">
        <w:t>10,11,12</w:t>
      </w:r>
      <w:r>
        <w:t>]</w:t>
      </w:r>
      <w:r w:rsidRPr="00645D23">
        <w:t>.</w:t>
      </w:r>
    </w:p>
    <w:p w14:paraId="1293849B" w14:textId="4052E2FC" w:rsidR="004309C2" w:rsidRDefault="004309C2" w:rsidP="00E52C25">
      <w:pPr>
        <w:pStyle w:val="NormalWeb"/>
        <w:jc w:val="start"/>
      </w:pPr>
    </w:p>
    <w:p w14:paraId="46DAAB9F" w14:textId="423F325F" w:rsidR="004309C2" w:rsidRPr="00645D23" w:rsidRDefault="004309C2" w:rsidP="00E52C25">
      <w:pPr>
        <w:pStyle w:val="NormalWeb"/>
        <w:jc w:val="start"/>
      </w:pPr>
      <w:r>
        <w:t xml:space="preserve">A </w:t>
      </w:r>
      <w:proofErr w:type="gramStart"/>
      <w:r>
        <w:t>phase by phase</w:t>
      </w:r>
      <w:proofErr w:type="gramEnd"/>
      <w:r>
        <w:t xml:space="preserve"> road map to achieving a secure system would be to follow this implementation, p</w:t>
      </w:r>
      <w:r w:rsidRPr="004309C2">
        <w:t>hase 1</w:t>
      </w:r>
      <w:r>
        <w:t>,</w:t>
      </w:r>
      <w:r w:rsidRPr="004309C2">
        <w:t xml:space="preserve"> </w:t>
      </w:r>
      <w:r>
        <w:t>i</w:t>
      </w:r>
      <w:r w:rsidRPr="004309C2">
        <w:t>nventory all assets and map data flows</w:t>
      </w:r>
      <w:r>
        <w:t>,</w:t>
      </w:r>
      <w:r w:rsidRPr="004309C2">
        <w:t xml:space="preserve"> </w:t>
      </w:r>
      <w:r w:rsidR="00622FAB">
        <w:t>p</w:t>
      </w:r>
      <w:r w:rsidRPr="004309C2">
        <w:t>hase 2</w:t>
      </w:r>
      <w:r>
        <w:t>,</w:t>
      </w:r>
      <w:r w:rsidRPr="004309C2">
        <w:t xml:space="preserve"> </w:t>
      </w:r>
      <w:r w:rsidR="00622FAB">
        <w:t>d</w:t>
      </w:r>
      <w:r w:rsidRPr="004309C2">
        <w:t>eploy identity federation (</w:t>
      </w:r>
      <w:proofErr w:type="spellStart"/>
      <w:r w:rsidRPr="004309C2">
        <w:t>Entra</w:t>
      </w:r>
      <w:proofErr w:type="spellEnd"/>
      <w:r w:rsidRPr="004309C2">
        <w:t xml:space="preserve"> ID/AD sync) and MFA. Phase 3</w:t>
      </w:r>
      <w:r w:rsidR="00622FAB">
        <w:t>,</w:t>
      </w:r>
      <w:r w:rsidRPr="004309C2">
        <w:t xml:space="preserve"> </w:t>
      </w:r>
      <w:r w:rsidR="00622FAB">
        <w:t>i</w:t>
      </w:r>
      <w:r w:rsidRPr="004309C2">
        <w:t>mplement micro-segmentation and CSPM</w:t>
      </w:r>
      <w:r w:rsidR="00622FAB">
        <w:t>, p</w:t>
      </w:r>
      <w:r w:rsidRPr="004309C2">
        <w:t>hase 4</w:t>
      </w:r>
      <w:r w:rsidR="00622FAB">
        <w:t>,</w:t>
      </w:r>
      <w:r w:rsidRPr="004309C2">
        <w:t xml:space="preserve"> </w:t>
      </w:r>
      <w:r w:rsidR="00622FAB">
        <w:t>r</w:t>
      </w:r>
      <w:r w:rsidRPr="004309C2">
        <w:t>oll out JIT access and continuous verification</w:t>
      </w:r>
      <w:r w:rsidR="00622FAB">
        <w:t>,</w:t>
      </w:r>
      <w:r w:rsidRPr="004309C2">
        <w:t xml:space="preserve"> </w:t>
      </w:r>
      <w:r w:rsidR="00622FAB">
        <w:t>f</w:t>
      </w:r>
      <w:r w:rsidRPr="004309C2">
        <w:t>ull deployment requires 18-24 months</w:t>
      </w:r>
      <w:r w:rsidR="00622FAB">
        <w:t xml:space="preserve"> ruff time frame</w:t>
      </w:r>
      <w:r w:rsidRPr="004309C2">
        <w:t xml:space="preserve"> with quarterly maturity assessments against NIST SP 800-207</w:t>
      </w:r>
      <w:r w:rsidR="00622FAB">
        <w:t xml:space="preserve"> to insure high competency levels of the employees</w:t>
      </w:r>
      <w:r w:rsidRPr="004309C2">
        <w:t>.</w:t>
      </w:r>
    </w:p>
    <w:p w14:paraId="19D8DBB8" w14:textId="77777777" w:rsidR="00E52C25" w:rsidRPr="00D8180B" w:rsidRDefault="00E52C25" w:rsidP="00E52C25">
      <w:pPr>
        <w:pStyle w:val="NormalWeb"/>
        <w:jc w:val="start"/>
      </w:pPr>
    </w:p>
    <w:p w14:paraId="2F71F2D8" w14:textId="5C07DF02" w:rsidR="00E52C25" w:rsidRDefault="00E52C25" w:rsidP="00E52C25">
      <w:pPr>
        <w:pStyle w:val="NormalWeb"/>
        <w:jc w:val="start"/>
      </w:pPr>
      <w:r w:rsidRPr="00D8180B">
        <w:t xml:space="preserve">BYOD for a hybrid workforce is an important feature to have for a high level of availability and running performance of the organization for users and staff because BYOD is a flexible operational model that enables employees to securely use personal devices, improving productivity, reducing hardware costs, </w:t>
      </w:r>
      <w:r w:rsidRPr="00D8180B">
        <w:lastRenderedPageBreak/>
        <w:t>and supporting seamless access to corporate resources across remote and on</w:t>
      </w:r>
      <w:r w:rsidRPr="00D8180B">
        <w:noBreakHyphen/>
        <w:t>site environments</w:t>
      </w:r>
      <w:r>
        <w:t xml:space="preserve"> [</w:t>
      </w:r>
      <w:r w:rsidR="00C671AF">
        <w:t>1</w:t>
      </w:r>
      <w:r w:rsidR="00F76A84">
        <w:t>3,14,15,16</w:t>
      </w:r>
      <w:r>
        <w:t>]</w:t>
      </w:r>
      <w:r w:rsidRPr="00D8180B">
        <w:t>.</w:t>
      </w:r>
    </w:p>
    <w:p w14:paraId="417E0982" w14:textId="70EB14E2" w:rsidR="00E52C25" w:rsidRDefault="00E52C25" w:rsidP="00CE47F9">
      <w:pPr>
        <w:pStyle w:val="NormalWeb"/>
      </w:pPr>
    </w:p>
    <w:p w14:paraId="638C5C31" w14:textId="77777777" w:rsidR="008C3729" w:rsidRDefault="00CE47F9" w:rsidP="008C3729">
      <w:pPr>
        <w:pStyle w:val="NormalWeb"/>
        <w:keepNext/>
      </w:pPr>
      <w:r>
        <w:rPr>
          <w:noProof/>
        </w:rPr>
        <w:drawing>
          <wp:inline distT="0" distB="0" distL="0" distR="0" wp14:anchorId="2897F5C6" wp14:editId="6B017031">
            <wp:extent cx="6123709" cy="3919220"/>
            <wp:effectExtent l="0" t="0" r="0" b="5080"/>
            <wp:docPr id="25" name="Picture 25" descr="a clean professional table-style infographic illustrating AI development policies, secure SaaS configuration requirements, and BYOD risks and benefits. Include three sections: AI Policies (responsible use, ethical boundaries, monitoring), Secure SaaS Configuration (hardening, access control, continuous monitoring), and BYOD in Hybrid Workforce (risks like data residency and benefits like flexibility). Use a modern corporate layout with icons and clear headings."/>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1" descr="a clean professional table-style infographic illustrating AI development policies, secure SaaS configuration requirements, and BYOD risks and benefits. Include three sections: AI Policies (responsible use, ethical boundaries, monitoring), Secure SaaS Configuration (hardening, access control, continuous monitoring), and BYOD in Hybrid Workforce (risks like data residency and benefits like flexibility). Use a modern corporate layout with icons and clear heading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33107" cy="3925235"/>
                    </a:xfrm>
                    <a:prstGeom prst="rect">
                      <a:avLst/>
                    </a:prstGeom>
                    <a:noFill/>
                    <a:ln>
                      <a:noFill/>
                    </a:ln>
                  </pic:spPr>
                </pic:pic>
              </a:graphicData>
            </a:graphic>
          </wp:inline>
        </w:drawing>
      </w:r>
    </w:p>
    <w:p w14:paraId="058D126C" w14:textId="4E8B8FBD" w:rsidR="00CE47F9" w:rsidRPr="00D8180B" w:rsidRDefault="008C3729" w:rsidP="008C3729">
      <w:pPr>
        <w:pStyle w:val="Caption"/>
        <w:rPr>
          <w:sz w:val="24"/>
          <w:szCs w:val="24"/>
        </w:rPr>
      </w:pPr>
      <w:r>
        <w:t xml:space="preserve">Figure </w:t>
      </w:r>
      <w:r w:rsidR="002005B6">
        <w:t>3</w:t>
      </w:r>
      <w:r>
        <w:t xml:space="preserve"> shows the policies and procedures that a hybrid company will follow [1</w:t>
      </w:r>
      <w:r w:rsidR="00F76A84">
        <w:t>7</w:t>
      </w:r>
      <w:r>
        <w:t>].</w:t>
      </w:r>
    </w:p>
    <w:p w14:paraId="1B3F8D2E" w14:textId="53B79E22" w:rsidR="00E52C25" w:rsidRPr="008D2932" w:rsidRDefault="00E52C25" w:rsidP="00E52C25">
      <w:pPr>
        <w:pStyle w:val="Heading1"/>
        <w:rPr>
          <w:rStyle w:val="Strong"/>
          <w:sz w:val="24"/>
          <w:szCs w:val="24"/>
          <w:u w:val="single"/>
        </w:rPr>
      </w:pPr>
      <w:bookmarkStart w:id="31" w:name="_Toc223445601"/>
      <w:r w:rsidRPr="008D2932">
        <w:rPr>
          <w:rStyle w:val="Strong"/>
          <w:sz w:val="24"/>
          <w:szCs w:val="24"/>
          <w:u w:val="single"/>
        </w:rPr>
        <w:t>COMPLIANCE</w:t>
      </w:r>
      <w:bookmarkEnd w:id="31"/>
    </w:p>
    <w:p w14:paraId="7017E617" w14:textId="77777777" w:rsidR="00E52C25" w:rsidRPr="008B0AF5" w:rsidRDefault="00E52C25" w:rsidP="00E52C25"/>
    <w:p w14:paraId="5FE2EC07" w14:textId="77777777" w:rsidR="00E52C25" w:rsidRPr="000C08B7" w:rsidRDefault="00E52C25" w:rsidP="00E52C25">
      <w:pPr>
        <w:pStyle w:val="NormalWeb"/>
        <w:jc w:val="start"/>
        <w:rPr>
          <w:lang w:val="en-GB"/>
        </w:rPr>
      </w:pPr>
      <w:r w:rsidRPr="000C08B7">
        <w:rPr>
          <w:lang w:val="en-GB"/>
        </w:rPr>
        <w:t>Regulatory compliance is central to operational resilience in hybrid organisations operating within the European Union. The Digital Operational Resilience Act (DORA) establishes binding requirements for financial entities and their ICT providers, mandating structured ICT risk management, incident response capability, and resilience testing across distributed environments. In hybrid infrastructures spanning on-premises systems, multi-cloud platforms, and remote endpoints, DORA requires centralised logging, continuous monitoring, formal incident classification, and validated recovery procedures.</w:t>
      </w:r>
    </w:p>
    <w:p w14:paraId="1F85A322" w14:textId="51CF3A4F" w:rsidR="00E52C25" w:rsidRDefault="00E52C25" w:rsidP="00E52C25">
      <w:pPr>
        <w:pStyle w:val="NormalWeb"/>
        <w:jc w:val="start"/>
        <w:rPr>
          <w:lang w:val="en-GB"/>
        </w:rPr>
      </w:pPr>
      <w:r w:rsidRPr="000C08B7">
        <w:rPr>
          <w:lang w:val="en-GB"/>
        </w:rPr>
        <w:t>DORA reframes resilience as a legal obligation rather than a best-practice recommendation.</w:t>
      </w:r>
      <w:r>
        <w:rPr>
          <w:lang w:val="en-GB"/>
        </w:rPr>
        <w:t xml:space="preserve"> </w:t>
      </w:r>
      <w:r w:rsidRPr="000C08B7">
        <w:rPr>
          <w:lang w:val="en-GB"/>
        </w:rPr>
        <w:t>Organisations must demonstrate the ability to withstand, respond to, and recover from ICT-related disruptions without operational fragmentation. This includes threat-led penetration testing, strict third-party risk governance, and comprehensive business continuity validation. For hybrid enterprises, this reinforces the need for unified visibility across cloud workloads, supply chains, identity systems, and endpoint environments</w:t>
      </w:r>
      <w:r w:rsidR="00C671AF">
        <w:rPr>
          <w:lang w:val="en-GB"/>
        </w:rPr>
        <w:t xml:space="preserve"> </w:t>
      </w:r>
      <w:r>
        <w:rPr>
          <w:lang w:val="en-GB"/>
        </w:rPr>
        <w:t>[1</w:t>
      </w:r>
      <w:r w:rsidR="00F76A84">
        <w:rPr>
          <w:lang w:val="en-GB"/>
        </w:rPr>
        <w:t>8</w:t>
      </w:r>
      <w:r>
        <w:rPr>
          <w:lang w:val="en-GB"/>
        </w:rPr>
        <w:t>]</w:t>
      </w:r>
      <w:r w:rsidRPr="000C08B7">
        <w:rPr>
          <w:lang w:val="en-GB"/>
        </w:rPr>
        <w:t>.</w:t>
      </w:r>
    </w:p>
    <w:p w14:paraId="64D019FA" w14:textId="77777777" w:rsidR="00E52C25" w:rsidRPr="000C08B7" w:rsidRDefault="00E52C25" w:rsidP="00E52C25">
      <w:pPr>
        <w:pStyle w:val="NormalWeb"/>
        <w:jc w:val="start"/>
        <w:rPr>
          <w:lang w:val="en-GB"/>
        </w:rPr>
      </w:pPr>
    </w:p>
    <w:p w14:paraId="1E8188BA" w14:textId="77777777" w:rsidR="00E52C25" w:rsidRPr="000C08B7" w:rsidRDefault="00E52C25" w:rsidP="00E52C25">
      <w:pPr>
        <w:pStyle w:val="NormalWeb"/>
        <w:jc w:val="start"/>
        <w:rPr>
          <w:lang w:val="en-GB"/>
        </w:rPr>
      </w:pPr>
      <w:r w:rsidRPr="000C08B7">
        <w:rPr>
          <w:lang w:val="en-GB"/>
        </w:rPr>
        <w:t>Complementing DORA, the NIS2 Directive strengthens cybersecurity governance across essential and important sectors. NIS2 enhances executive accountability, formalises risk management expectations, and imposes strict incident reporting timelines. While DORA focuses specifically on financial-sector ICT resilience, NIS2 introduces broader supervisory and governance requirements across industries.</w:t>
      </w:r>
    </w:p>
    <w:p w14:paraId="6A67198A" w14:textId="1B642975" w:rsidR="00E52C25" w:rsidRDefault="00E52C25" w:rsidP="00E52C25">
      <w:pPr>
        <w:pStyle w:val="NormalWeb"/>
        <w:jc w:val="start"/>
      </w:pPr>
      <w:r w:rsidRPr="000C08B7">
        <w:rPr>
          <w:lang w:val="en-GB"/>
        </w:rPr>
        <w:t>Together, DORA and NIS2 create a layered compliance framework. DORA drives technical resilience and operational testing, whereas NIS2 reinforces organisational oversight and strategic risk governance. For hybrid organisations, regulatory alignment should not be viewed solely as compliance fulfilment but as a strategic mechanism to strengthen Zero Trust architecture, improve security maturity, and ensure sustained operational continuity across distributed technology environments</w:t>
      </w:r>
      <w:r>
        <w:t xml:space="preserve"> [1</w:t>
      </w:r>
      <w:r w:rsidR="00F76A84">
        <w:t>9</w:t>
      </w:r>
      <w:r>
        <w:t>]</w:t>
      </w:r>
      <w:r w:rsidRPr="00D8180B">
        <w:t>.</w:t>
      </w:r>
    </w:p>
    <w:p w14:paraId="3E190DF9" w14:textId="77777777" w:rsidR="005E3B8B" w:rsidRPr="000C08B7" w:rsidRDefault="005E3B8B" w:rsidP="00E52C25">
      <w:pPr>
        <w:pStyle w:val="NormalWeb"/>
        <w:jc w:val="start"/>
        <w:rPr>
          <w:lang w:val="en-GB"/>
        </w:rPr>
      </w:pPr>
    </w:p>
    <w:p w14:paraId="104BB866" w14:textId="77777777" w:rsidR="00E52C25" w:rsidRDefault="00E52C25" w:rsidP="00E52C25">
      <w:pPr>
        <w:pStyle w:val="NormalWeb"/>
        <w:keepNext/>
        <w:jc w:val="start"/>
      </w:pPr>
      <w:r>
        <w:rPr>
          <w:noProof/>
        </w:rPr>
        <w:drawing>
          <wp:inline distT="0" distB="0" distL="0" distR="0" wp14:anchorId="4F5B296E" wp14:editId="620AB341">
            <wp:extent cx="5953086" cy="3192703"/>
            <wp:effectExtent l="0" t="0" r="0" b="8255"/>
            <wp:docPr id="13" name="Picture 13"/>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62772" cy="3197898"/>
                    </a:xfrm>
                    <a:prstGeom prst="rect">
                      <a:avLst/>
                    </a:prstGeom>
                    <a:noFill/>
                  </pic:spPr>
                </pic:pic>
              </a:graphicData>
            </a:graphic>
          </wp:inline>
        </w:drawing>
      </w:r>
    </w:p>
    <w:p w14:paraId="43EDDECC" w14:textId="7B24FEC5" w:rsidR="00E52C25" w:rsidRDefault="00E52C25" w:rsidP="00E52C25">
      <w:pPr>
        <w:pStyle w:val="Caption"/>
      </w:pPr>
      <w:r>
        <w:t xml:space="preserve">Figure </w:t>
      </w:r>
      <w:r w:rsidR="002005B6">
        <w:t>4</w:t>
      </w:r>
      <w:r>
        <w:t xml:space="preserve"> shows the DORAs compliance as a graph in importance level [</w:t>
      </w:r>
      <w:r w:rsidR="00F76A84">
        <w:t>20</w:t>
      </w:r>
      <w:r>
        <w:t>]</w:t>
      </w:r>
    </w:p>
    <w:p w14:paraId="1789055D" w14:textId="77777777" w:rsidR="00E52C25" w:rsidRDefault="00E52C25" w:rsidP="00E52C25"/>
    <w:p w14:paraId="7E9F7EAC" w14:textId="7DDEB71F" w:rsidR="00E52C25" w:rsidRPr="003D2D81" w:rsidRDefault="00E52C25" w:rsidP="00E52C25">
      <w:pPr>
        <w:jc w:val="start"/>
        <w:rPr>
          <w:sz w:val="24"/>
          <w:szCs w:val="24"/>
        </w:rPr>
      </w:pPr>
      <w:r w:rsidRPr="003D2D81">
        <w:rPr>
          <w:sz w:val="24"/>
          <w:szCs w:val="24"/>
        </w:rPr>
        <w:t>Hybrid organizations face unique data sovereignty challenges because data is distributed across on-prem infrastructure, cloud platforms, SaaS services, and remote endpoints. Under GDPR, organizations must ensure that EU personal data remains within approved EU regions unless legally compliant transfer mechanisms are applied. In hybrid cloud architectures, this requires strict control over where workloads are deployed, where backups are stored, and where replication or disaster recovery services operate. Misconfigured cloud storage, global content delivery networks, or cross-region failover settings can unintentionally transfer EU data outside authorized jurisdictions. Additionally, remote access from non-EU locations may create further compliance risks. To maintain regulatory alignment, hybrid organizations must enforce regional deployment policies, apply data classification controls, and ensure contractual agreements with cloud providers guarantee EU data residency. Continuous monitoring of cloud configurations is essential to prevent accidental cross-border data exposure</w:t>
      </w:r>
      <w:r>
        <w:rPr>
          <w:sz w:val="24"/>
          <w:szCs w:val="24"/>
        </w:rPr>
        <w:t xml:space="preserve"> [</w:t>
      </w:r>
      <w:r w:rsidR="008C3729">
        <w:rPr>
          <w:sz w:val="24"/>
          <w:szCs w:val="24"/>
        </w:rPr>
        <w:t>2</w:t>
      </w:r>
      <w:r w:rsidR="00F76A84">
        <w:rPr>
          <w:sz w:val="24"/>
          <w:szCs w:val="24"/>
        </w:rPr>
        <w:t>1</w:t>
      </w:r>
      <w:r>
        <w:rPr>
          <w:sz w:val="24"/>
          <w:szCs w:val="24"/>
        </w:rPr>
        <w:t>]</w:t>
      </w:r>
      <w:r w:rsidRPr="003D2D81">
        <w:rPr>
          <w:sz w:val="24"/>
          <w:szCs w:val="24"/>
        </w:rPr>
        <w:t>.</w:t>
      </w:r>
    </w:p>
    <w:p w14:paraId="47CB8E09" w14:textId="3E3888CF" w:rsidR="00E52C25" w:rsidRPr="008D2932" w:rsidRDefault="00E52C25" w:rsidP="00E52C25">
      <w:pPr>
        <w:pStyle w:val="Heading1"/>
        <w:rPr>
          <w:rStyle w:val="Strong"/>
          <w:sz w:val="24"/>
          <w:szCs w:val="24"/>
          <w:u w:val="single"/>
        </w:rPr>
      </w:pPr>
      <w:bookmarkStart w:id="32" w:name="_Toc223445602"/>
      <w:r w:rsidRPr="008D2932">
        <w:rPr>
          <w:rStyle w:val="Strong"/>
          <w:sz w:val="24"/>
          <w:szCs w:val="24"/>
          <w:u w:val="single"/>
        </w:rPr>
        <w:t>GOVERNANCE &amp; STRATEGY</w:t>
      </w:r>
      <w:bookmarkEnd w:id="32"/>
    </w:p>
    <w:p w14:paraId="6714CB5B" w14:textId="77777777" w:rsidR="00E52C25" w:rsidRPr="008B0AF5" w:rsidRDefault="00E52C25" w:rsidP="00E52C25"/>
    <w:p w14:paraId="23CA44F7" w14:textId="77777777" w:rsidR="00E52C25" w:rsidRDefault="00E52C25" w:rsidP="00E52C25">
      <w:pPr>
        <w:pStyle w:val="NormalWeb"/>
        <w:jc w:val="start"/>
      </w:pPr>
      <w:r>
        <w:t xml:space="preserve">Governance and strategy </w:t>
      </w:r>
      <w:proofErr w:type="gramStart"/>
      <w:r>
        <w:t>is</w:t>
      </w:r>
      <w:proofErr w:type="gramEnd"/>
      <w:r>
        <w:t xml:space="preserve"> important with a fully hybrid company because it ensures that security, technology, and business operations remain aligned despite distributed teams, diverse devices, and cloud</w:t>
      </w:r>
      <w:r>
        <w:noBreakHyphen/>
        <w:t>centric workflows. It provides a unified direction for risk management, establishes accountability, defines clear security standards, and ensures consistent decision</w:t>
      </w:r>
      <w:r>
        <w:noBreakHyphen/>
        <w:t>making across on</w:t>
      </w:r>
      <w:r>
        <w:noBreakHyphen/>
        <w:t>prem, cloud, and remote environments. Strong governance also helps organizations priorities investments, maintain regulatory compliance, and adapt quickly to emerging threats or technological changes.</w:t>
      </w:r>
    </w:p>
    <w:p w14:paraId="21C48895" w14:textId="77777777" w:rsidR="00E52C25" w:rsidRDefault="00E52C25" w:rsidP="00E52C25">
      <w:pPr>
        <w:pStyle w:val="NormalWeb"/>
        <w:jc w:val="start"/>
      </w:pPr>
    </w:p>
    <w:p w14:paraId="0BB86F3C" w14:textId="686C5BF4" w:rsidR="00E52C25" w:rsidRDefault="00E52C25" w:rsidP="00E52C25">
      <w:pPr>
        <w:pStyle w:val="NormalWeb"/>
        <w:jc w:val="start"/>
      </w:pPr>
      <w:r>
        <w:t>NIST is a globally recognized standards body that provides structured cybersecurity frameworks designed to secure complex, distributed environments. For a fully hybrid company, NIST offers clear guidance on managing cloud, on</w:t>
      </w:r>
      <w:r>
        <w:noBreakHyphen/>
        <w:t>prem, and remote</w:t>
      </w:r>
      <w:r>
        <w:noBreakHyphen/>
        <w:t xml:space="preserve">work risks by defining controls for identity, data protection, continuous monitoring, incident response, and resilience. Its frameworks help hybrid organizations build consistent, measurable, and repeatable security practices across every platform and </w:t>
      </w:r>
      <w:proofErr w:type="gramStart"/>
      <w:r>
        <w:t>location[</w:t>
      </w:r>
      <w:proofErr w:type="gramEnd"/>
      <w:r w:rsidR="008C3729">
        <w:t>22</w:t>
      </w:r>
      <w:r w:rsidR="00F76A84">
        <w:t>,23</w:t>
      </w:r>
      <w:r>
        <w:t>].</w:t>
      </w:r>
    </w:p>
    <w:p w14:paraId="3D8FFFA1" w14:textId="77777777" w:rsidR="00E52C25" w:rsidRDefault="00E52C25" w:rsidP="00E52C25">
      <w:pPr>
        <w:pStyle w:val="NormalWeb"/>
        <w:jc w:val="start"/>
      </w:pPr>
    </w:p>
    <w:p w14:paraId="584E8B1E" w14:textId="77777777" w:rsidR="00E52C25" w:rsidRDefault="00E52C25" w:rsidP="00E52C25">
      <w:pPr>
        <w:pStyle w:val="NormalWeb"/>
        <w:keepNext/>
        <w:jc w:val="start"/>
      </w:pPr>
      <w:r w:rsidRPr="00801378">
        <w:lastRenderedPageBreak/>
        <w:drawing>
          <wp:inline distT="0" distB="0" distL="0" distR="0" wp14:anchorId="0215DE7A" wp14:editId="3A481D5C">
            <wp:extent cx="6407150" cy="3408219"/>
            <wp:effectExtent l="0" t="0" r="0" b="1905"/>
            <wp:docPr id="7" name="Picture 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0"/>
                    <a:stretch>
                      <a:fillRect/>
                    </a:stretch>
                  </pic:blipFill>
                  <pic:spPr>
                    <a:xfrm>
                      <a:off x="0" y="0"/>
                      <a:ext cx="6420665" cy="3415408"/>
                    </a:xfrm>
                    <a:prstGeom prst="rect">
                      <a:avLst/>
                    </a:prstGeom>
                  </pic:spPr>
                </pic:pic>
              </a:graphicData>
            </a:graphic>
          </wp:inline>
        </w:drawing>
      </w:r>
    </w:p>
    <w:p w14:paraId="583BF09D" w14:textId="4CDA8012" w:rsidR="00E52C25" w:rsidRPr="00D8180B" w:rsidRDefault="00E52C25" w:rsidP="00E52C25">
      <w:pPr>
        <w:pStyle w:val="Caption"/>
        <w:rPr>
          <w:sz w:val="24"/>
          <w:szCs w:val="24"/>
        </w:rPr>
      </w:pPr>
      <w:r>
        <w:t xml:space="preserve">Figure </w:t>
      </w:r>
      <w:r w:rsidR="002005B6">
        <w:t>5</w:t>
      </w:r>
      <w:r>
        <w:t xml:space="preserve"> shows the NIST framework for implementation for an organization [</w:t>
      </w:r>
      <w:r w:rsidR="00C671AF">
        <w:t>2</w:t>
      </w:r>
      <w:r w:rsidR="00F76A84">
        <w:t>4</w:t>
      </w:r>
      <w:r>
        <w:t>]</w:t>
      </w:r>
    </w:p>
    <w:p w14:paraId="0E8A9466" w14:textId="46034A94" w:rsidR="00E52C25" w:rsidRDefault="00E52C25" w:rsidP="00E52C25">
      <w:pPr>
        <w:pStyle w:val="NormalWeb"/>
        <w:jc w:val="start"/>
      </w:pPr>
      <w:r w:rsidRPr="00D8180B">
        <w:t xml:space="preserve">With a fully hybrid company it must have a high level of proposed governance model and be based on the </w:t>
      </w:r>
      <w:commentRangeStart w:id="33"/>
      <w:commentRangeStart w:id="34"/>
      <w:r w:rsidRPr="00D8180B">
        <w:t xml:space="preserve">NIST framework </w:t>
      </w:r>
      <w:commentRangeEnd w:id="33"/>
      <w:r>
        <w:rPr>
          <w:rStyle w:val="CommentReference"/>
        </w:rPr>
        <w:commentReference w:id="33"/>
      </w:r>
      <w:commentRangeEnd w:id="34"/>
      <w:r>
        <w:rPr>
          <w:rStyle w:val="CommentReference"/>
        </w:rPr>
        <w:commentReference w:id="34"/>
      </w:r>
      <w:r w:rsidRPr="00D8180B">
        <w:t>mainly to uphold a strong company structure because upholding a high level of NIST guidelines provides a standardized, risk</w:t>
      </w:r>
      <w:r w:rsidRPr="00D8180B">
        <w:noBreakHyphen/>
        <w:t xml:space="preserve">based approach to identifying, protecting, detecting, responding to, and recovering from cyber </w:t>
      </w:r>
      <w:proofErr w:type="gramStart"/>
      <w:r w:rsidRPr="00D8180B">
        <w:t>threats</w:t>
      </w:r>
      <w:r>
        <w:t>[</w:t>
      </w:r>
      <w:proofErr w:type="gramEnd"/>
      <w:r>
        <w:t>2</w:t>
      </w:r>
      <w:r w:rsidR="00F76A84">
        <w:t>5</w:t>
      </w:r>
      <w:r>
        <w:t>]</w:t>
      </w:r>
      <w:r w:rsidRPr="00D8180B">
        <w:t>.</w:t>
      </w:r>
    </w:p>
    <w:p w14:paraId="756BCCF7" w14:textId="77777777" w:rsidR="00E52C25" w:rsidRPr="00D8180B" w:rsidRDefault="00E52C25" w:rsidP="00E52C25">
      <w:pPr>
        <w:pStyle w:val="NormalWeb"/>
        <w:jc w:val="start"/>
      </w:pPr>
    </w:p>
    <w:p w14:paraId="43A31D9C" w14:textId="47E8A18E" w:rsidR="00E52C25" w:rsidRPr="00D8180B" w:rsidRDefault="00E52C25" w:rsidP="00E52C25">
      <w:pPr>
        <w:pStyle w:val="NormalWeb"/>
        <w:jc w:val="start"/>
      </w:pPr>
      <w:r w:rsidRPr="00D8180B">
        <w:t>Linking security strategies in relation to business goals is important because it ensures that cybersecurity investments directly support operational continuity, customer trust, regulatory compliance, and long</w:t>
      </w:r>
      <w:r w:rsidRPr="00D8180B">
        <w:noBreakHyphen/>
        <w:t>term organizational growth</w:t>
      </w:r>
      <w:r>
        <w:t xml:space="preserve"> [</w:t>
      </w:r>
      <w:r w:rsidR="008C3729">
        <w:t>26</w:t>
      </w:r>
      <w:r w:rsidR="00F76A84">
        <w:t>,27</w:t>
      </w:r>
      <w:r>
        <w:t>]</w:t>
      </w:r>
      <w:r w:rsidRPr="00D8180B">
        <w:t>.</w:t>
      </w:r>
    </w:p>
    <w:p w14:paraId="63B3C981" w14:textId="561456DD" w:rsidR="00E52C25" w:rsidRDefault="00E52C25" w:rsidP="00E52C25">
      <w:pPr>
        <w:pStyle w:val="Heading1"/>
        <w:rPr>
          <w:rStyle w:val="Strong"/>
          <w:sz w:val="24"/>
          <w:szCs w:val="24"/>
          <w:u w:val="single"/>
        </w:rPr>
      </w:pPr>
      <w:bookmarkStart w:id="35" w:name="_Toc223445603"/>
      <w:r w:rsidRPr="00D8180B">
        <w:rPr>
          <w:rStyle w:val="Strong"/>
          <w:sz w:val="24"/>
          <w:szCs w:val="24"/>
          <w:u w:val="single"/>
        </w:rPr>
        <w:t>RISK</w:t>
      </w:r>
      <w:commentRangeStart w:id="36"/>
      <w:commentRangeStart w:id="37"/>
      <w:r w:rsidRPr="00D8180B">
        <w:rPr>
          <w:rStyle w:val="Strong"/>
          <w:sz w:val="24"/>
          <w:szCs w:val="24"/>
          <w:u w:val="single"/>
        </w:rPr>
        <w:t xml:space="preserve"> MANAGEMENT</w:t>
      </w:r>
      <w:commentRangeEnd w:id="36"/>
      <w:r>
        <w:rPr>
          <w:rStyle w:val="CommentReference"/>
          <w:smallCaps w:val="0"/>
          <w:noProof w:val="0"/>
        </w:rPr>
        <w:commentReference w:id="36"/>
      </w:r>
      <w:commentRangeEnd w:id="37"/>
      <w:r>
        <w:rPr>
          <w:rStyle w:val="CommentReference"/>
          <w:smallCaps w:val="0"/>
          <w:noProof w:val="0"/>
        </w:rPr>
        <w:commentReference w:id="37"/>
      </w:r>
      <w:bookmarkEnd w:id="35"/>
    </w:p>
    <w:p w14:paraId="03463FEB" w14:textId="77777777" w:rsidR="00E52C25" w:rsidRDefault="00E52C25" w:rsidP="00E52C25">
      <w:pPr>
        <w:keepNext/>
      </w:pPr>
      <w:r>
        <w:rPr>
          <w:noProof/>
        </w:rPr>
        <w:drawing>
          <wp:inline distT="0" distB="0" distL="0" distR="0" wp14:anchorId="784CE5F4" wp14:editId="186C660A">
            <wp:extent cx="6414089" cy="2958715"/>
            <wp:effectExtent l="0" t="0" r="6350" b="0"/>
            <wp:docPr id="16" name="Picture 16"/>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461174" cy="2980435"/>
                    </a:xfrm>
                    <a:prstGeom prst="rect">
                      <a:avLst/>
                    </a:prstGeom>
                    <a:noFill/>
                  </pic:spPr>
                </pic:pic>
              </a:graphicData>
            </a:graphic>
          </wp:inline>
        </w:drawing>
      </w:r>
    </w:p>
    <w:p w14:paraId="390EDCFC" w14:textId="64D46B36" w:rsidR="00E52C25" w:rsidRPr="008B0AF5" w:rsidRDefault="00E52C25" w:rsidP="00E52C25">
      <w:pPr>
        <w:pStyle w:val="Caption"/>
      </w:pPr>
      <w:r>
        <w:t xml:space="preserve">Figure </w:t>
      </w:r>
      <w:r w:rsidR="002005B6">
        <w:t>6</w:t>
      </w:r>
      <w:r>
        <w:t xml:space="preserve"> shows the </w:t>
      </w:r>
      <w:proofErr w:type="gramStart"/>
      <w:r>
        <w:t>zero trust</w:t>
      </w:r>
      <w:proofErr w:type="gramEnd"/>
      <w:r>
        <w:t xml:space="preserve"> architecture structure that should be followed within a hybrid company [</w:t>
      </w:r>
      <w:r w:rsidR="00C671AF">
        <w:t>2</w:t>
      </w:r>
      <w:r w:rsidR="00F76A84">
        <w:t>8</w:t>
      </w:r>
      <w:r>
        <w:t>]</w:t>
      </w:r>
      <w:r w:rsidR="008C3729">
        <w:t>.</w:t>
      </w:r>
    </w:p>
    <w:p w14:paraId="0A407563" w14:textId="77777777" w:rsidR="00E52C25" w:rsidRDefault="00E52C25" w:rsidP="00E52C25">
      <w:pPr>
        <w:pStyle w:val="NormalWeb"/>
        <w:jc w:val="start"/>
      </w:pPr>
    </w:p>
    <w:p w14:paraId="65E4062B" w14:textId="64360F3B" w:rsidR="00E52C25" w:rsidRPr="00D8180B" w:rsidRDefault="00E52C25" w:rsidP="00E52C25">
      <w:pPr>
        <w:pStyle w:val="NormalWeb"/>
        <w:jc w:val="start"/>
      </w:pPr>
      <w:r w:rsidRPr="00D8180B">
        <w:lastRenderedPageBreak/>
        <w:t xml:space="preserve">Risk management is important within a company because it identifies potential threats, reduces vulnerabilities, and ensures that the organization can anticipate, withstand, and recover from cyber </w:t>
      </w:r>
      <w:proofErr w:type="gramStart"/>
      <w:r w:rsidRPr="00D8180B">
        <w:t>incidents</w:t>
      </w:r>
      <w:r>
        <w:t>[</w:t>
      </w:r>
      <w:proofErr w:type="gramEnd"/>
      <w:r>
        <w:t>2</w:t>
      </w:r>
      <w:r w:rsidR="00F76A84">
        <w:t>9</w:t>
      </w:r>
      <w:r>
        <w:t>]</w:t>
      </w:r>
      <w:r w:rsidRPr="00D8180B">
        <w:t>.</w:t>
      </w:r>
    </w:p>
    <w:p w14:paraId="77CD8A17" w14:textId="77777777" w:rsidR="00E52C25" w:rsidRPr="00D8180B" w:rsidRDefault="00E52C25" w:rsidP="00E52C25">
      <w:pPr>
        <w:pStyle w:val="NormalWeb"/>
        <w:jc w:val="start"/>
      </w:pPr>
      <w:r w:rsidRPr="00D8180B">
        <w:t>Conducting a high</w:t>
      </w:r>
      <w:r w:rsidRPr="00D8180B">
        <w:noBreakHyphen/>
        <w:t>level risk assessment focusing on software supply chain risk is important because modern systems rely heavily on third</w:t>
      </w:r>
      <w:r w:rsidRPr="00D8180B">
        <w:noBreakHyphen/>
        <w:t>party components, open</w:t>
      </w:r>
      <w:r w:rsidRPr="00D8180B">
        <w:noBreakHyphen/>
        <w:t>source libraries, and external AI models, all of which can introduce hidden vulnerabilities.</w:t>
      </w:r>
    </w:p>
    <w:p w14:paraId="233798D5" w14:textId="3B4061E4" w:rsidR="00E52C25" w:rsidRPr="00D8180B" w:rsidRDefault="00E52C25" w:rsidP="00E52C25">
      <w:pPr>
        <w:pStyle w:val="NormalWeb"/>
        <w:jc w:val="start"/>
      </w:pPr>
      <w:r w:rsidRPr="00D8180B">
        <w:t xml:space="preserve">When conducting a risk management assessment within a fully hybrid company you need to take into consideration poisoned AI models because compromised or manipulated training data can lead to biased, inaccurate, or malicious model outputs that undermine business </w:t>
      </w:r>
      <w:proofErr w:type="gramStart"/>
      <w:r w:rsidRPr="00D8180B">
        <w:t>operations</w:t>
      </w:r>
      <w:r>
        <w:t>[</w:t>
      </w:r>
      <w:proofErr w:type="gramEnd"/>
      <w:r w:rsidR="00F76A84">
        <w:t>30</w:t>
      </w:r>
      <w:r>
        <w:t>]</w:t>
      </w:r>
      <w:r w:rsidRPr="00D8180B">
        <w:t>.</w:t>
      </w:r>
    </w:p>
    <w:p w14:paraId="26EEDC40" w14:textId="77777777" w:rsidR="00E52C25" w:rsidRPr="00D8180B" w:rsidRDefault="00E52C25" w:rsidP="00E52C25">
      <w:pPr>
        <w:pStyle w:val="NormalWeb"/>
        <w:jc w:val="start"/>
      </w:pPr>
      <w:r w:rsidRPr="00D8180B">
        <w:t>Vulnerable dependencies must also be considered because outdated or unpatched libraries can be exploited by attackers to gain unauthorized access or escalate privileges within the environment.</w:t>
      </w:r>
    </w:p>
    <w:p w14:paraId="348457EC" w14:textId="700EC02C" w:rsidR="00E52C25" w:rsidRPr="00D8180B" w:rsidRDefault="00E52C25" w:rsidP="00E52C25">
      <w:pPr>
        <w:pStyle w:val="NormalWeb"/>
        <w:jc w:val="start"/>
      </w:pPr>
      <w:r w:rsidRPr="00D8180B">
        <w:t>Cloud misconfigurations are another major concern because they are one of the leading causes of data breaches, often exposing sensitive information or allowing unauthorized access due to incorrect permissions or insecure defaults</w:t>
      </w:r>
      <w:r>
        <w:t xml:space="preserve"> [</w:t>
      </w:r>
      <w:r w:rsidR="008C3729">
        <w:t>31</w:t>
      </w:r>
      <w:r w:rsidR="00F76A84">
        <w:t>,32</w:t>
      </w:r>
      <w:r>
        <w:t>]</w:t>
      </w:r>
      <w:r w:rsidRPr="00D8180B">
        <w:t>.</w:t>
      </w:r>
    </w:p>
    <w:p w14:paraId="542DB5F3" w14:textId="77777777" w:rsidR="00E52C25" w:rsidRDefault="00E52C25" w:rsidP="00E52C25">
      <w:pPr>
        <w:pStyle w:val="NormalWeb"/>
        <w:jc w:val="start"/>
      </w:pPr>
      <w:r>
        <w:t xml:space="preserve">Scalable solutions are important to </w:t>
      </w:r>
      <w:proofErr w:type="gramStart"/>
      <w:r>
        <w:t>insure</w:t>
      </w:r>
      <w:proofErr w:type="gramEnd"/>
      <w:r>
        <w:t xml:space="preserve"> that you have the sufficient security that reflects the cost and budget that the company has to spend on any specific sector based on needs for the company in terms of security, equipment, employees and software and programs.</w:t>
      </w:r>
    </w:p>
    <w:p w14:paraId="78AA1479" w14:textId="77777777" w:rsidR="00E52C25" w:rsidRDefault="00E52C25" w:rsidP="00E52C25">
      <w:pPr>
        <w:pStyle w:val="NormalWeb"/>
        <w:jc w:val="start"/>
      </w:pPr>
    </w:p>
    <w:p w14:paraId="2FE0670F" w14:textId="77777777" w:rsidR="00E52C25" w:rsidRDefault="00E52C25" w:rsidP="00E52C25">
      <w:pPr>
        <w:pStyle w:val="NormalWeb"/>
        <w:keepNext/>
        <w:jc w:val="start"/>
      </w:pPr>
      <w:r w:rsidRPr="00A04157">
        <w:drawing>
          <wp:inline distT="0" distB="0" distL="0" distR="0" wp14:anchorId="6B55B4C5" wp14:editId="5204CFEB">
            <wp:extent cx="6408420" cy="3269245"/>
            <wp:effectExtent l="0" t="0" r="0" b="7620"/>
            <wp:docPr id="14" name="Picture 14"/>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2"/>
                    <a:stretch>
                      <a:fillRect/>
                    </a:stretch>
                  </pic:blipFill>
                  <pic:spPr>
                    <a:xfrm>
                      <a:off x="0" y="0"/>
                      <a:ext cx="6418792" cy="3274536"/>
                    </a:xfrm>
                    <a:prstGeom prst="rect">
                      <a:avLst/>
                    </a:prstGeom>
                  </pic:spPr>
                </pic:pic>
              </a:graphicData>
            </a:graphic>
          </wp:inline>
        </w:drawing>
      </w:r>
    </w:p>
    <w:p w14:paraId="4EDE8317" w14:textId="6531F187" w:rsidR="00E52C25" w:rsidRDefault="00E52C25" w:rsidP="00E52C25">
      <w:pPr>
        <w:pStyle w:val="Caption"/>
      </w:pPr>
      <w:r>
        <w:t xml:space="preserve">Figure </w:t>
      </w:r>
      <w:r w:rsidR="002005B6">
        <w:t>7</w:t>
      </w:r>
      <w:r>
        <w:t xml:space="preserve"> shows the risk management implementation within a hybrid organization [</w:t>
      </w:r>
      <w:r w:rsidR="00C671AF">
        <w:t>3</w:t>
      </w:r>
      <w:r w:rsidR="00F76A84">
        <w:t>3</w:t>
      </w:r>
      <w:r>
        <w:t>]</w:t>
      </w:r>
      <w:r w:rsidR="00F76A84">
        <w:t>.</w:t>
      </w:r>
    </w:p>
    <w:p w14:paraId="4957DEA0" w14:textId="77777777" w:rsidR="00E52C25" w:rsidRPr="00D8180B" w:rsidRDefault="00E52C25" w:rsidP="00E52C25">
      <w:pPr>
        <w:pStyle w:val="NormalWeb"/>
        <w:jc w:val="start"/>
      </w:pPr>
    </w:p>
    <w:p w14:paraId="4B046EB9" w14:textId="0E807FBA" w:rsidR="00E52C25" w:rsidRDefault="00E52C25" w:rsidP="00E52C25">
      <w:pPr>
        <w:pStyle w:val="Heading1"/>
        <w:rPr>
          <w:rStyle w:val="Strong"/>
          <w:sz w:val="24"/>
          <w:szCs w:val="24"/>
          <w:u w:val="single"/>
        </w:rPr>
      </w:pPr>
      <w:bookmarkStart w:id="38" w:name="_Toc223445604"/>
      <w:r w:rsidRPr="003861FF">
        <w:rPr>
          <w:rStyle w:val="Strong"/>
          <w:sz w:val="24"/>
          <w:szCs w:val="24"/>
          <w:u w:val="single"/>
        </w:rPr>
        <w:t>CONTINGENCY PLANNING</w:t>
      </w:r>
      <w:bookmarkEnd w:id="38"/>
    </w:p>
    <w:p w14:paraId="04189DCE" w14:textId="77777777" w:rsidR="00E52C25" w:rsidRPr="008B0AF5" w:rsidRDefault="00E52C25" w:rsidP="00E52C25"/>
    <w:p w14:paraId="3F6A9F35" w14:textId="77777777" w:rsidR="00E52C25" w:rsidRPr="00D8180B" w:rsidRDefault="00E52C25" w:rsidP="00E52C25">
      <w:pPr>
        <w:pStyle w:val="NormalWeb"/>
        <w:jc w:val="start"/>
      </w:pPr>
      <w:r w:rsidRPr="00D8180B">
        <w:t>Contingency planning is important because it prepares the organization to maintain operations during unexpected disruptions and ensures rapid recovery from cyber incidents.</w:t>
      </w:r>
    </w:p>
    <w:p w14:paraId="786A9702" w14:textId="77777777" w:rsidR="00E52C25" w:rsidRPr="00D8180B" w:rsidRDefault="00E52C25" w:rsidP="00E52C25">
      <w:pPr>
        <w:pStyle w:val="NormalWeb"/>
        <w:jc w:val="start"/>
      </w:pPr>
      <w:r w:rsidRPr="00D8180B">
        <w:t>Disaster control and recovery plans are important because they provide structured procedures for restoring systems, minimizing downtime, and protecting critical data assets.</w:t>
      </w:r>
    </w:p>
    <w:p w14:paraId="2C301101" w14:textId="77777777" w:rsidR="00E52C25" w:rsidRPr="00D8180B" w:rsidRDefault="00E52C25" w:rsidP="00E52C25">
      <w:pPr>
        <w:pStyle w:val="NormalWeb"/>
        <w:jc w:val="start"/>
      </w:pPr>
      <w:r w:rsidRPr="00D8180B">
        <w:t>Ransomware attacks are a significant threat that can encrypt essential data, disrupt operations, and cause financial and reputational damage if not properly mitigated.</w:t>
      </w:r>
    </w:p>
    <w:p w14:paraId="4B090EC8" w14:textId="40EAB161" w:rsidR="00E52C25" w:rsidRPr="00D8180B" w:rsidRDefault="00E52C25" w:rsidP="00E52C25">
      <w:pPr>
        <w:pStyle w:val="NormalWeb"/>
        <w:jc w:val="start"/>
      </w:pPr>
      <w:r w:rsidRPr="00D8180B">
        <w:t>This is good practice for attacks to a fully hybrid company which faces common cyber</w:t>
      </w:r>
      <w:r w:rsidRPr="00D8180B">
        <w:noBreakHyphen/>
        <w:t>attacks like ransomware attacks and other threats such as credential theft, cloud breaches, and supply chain compromises</w:t>
      </w:r>
      <w:r>
        <w:t xml:space="preserve"> [</w:t>
      </w:r>
      <w:r w:rsidR="00C671AF">
        <w:t>3</w:t>
      </w:r>
      <w:r w:rsidR="008C3729">
        <w:t>4</w:t>
      </w:r>
      <w:r w:rsidR="00F76A84">
        <w:t>,35</w:t>
      </w:r>
      <w:r>
        <w:t>]</w:t>
      </w:r>
    </w:p>
    <w:p w14:paraId="3588EA12" w14:textId="77777777" w:rsidR="00E52C25" w:rsidRPr="00D8180B" w:rsidRDefault="00E52C25" w:rsidP="00E52C25">
      <w:pPr>
        <w:pStyle w:val="NormalWeb"/>
        <w:jc w:val="start"/>
      </w:pPr>
    </w:p>
    <w:p w14:paraId="60887F17" w14:textId="3C61EBAE" w:rsidR="00E52C25" w:rsidRPr="008D2932" w:rsidRDefault="00E52C25" w:rsidP="00E52C25">
      <w:pPr>
        <w:pStyle w:val="Heading1"/>
        <w:rPr>
          <w:rStyle w:val="Strong"/>
          <w:sz w:val="24"/>
          <w:szCs w:val="24"/>
          <w:u w:val="single"/>
        </w:rPr>
      </w:pPr>
      <w:bookmarkStart w:id="39" w:name="_Toc223445605"/>
      <w:commentRangeStart w:id="40"/>
      <w:commentRangeStart w:id="41"/>
      <w:r w:rsidRPr="008D2932">
        <w:rPr>
          <w:rStyle w:val="Strong"/>
          <w:sz w:val="24"/>
          <w:szCs w:val="24"/>
          <w:u w:val="single"/>
        </w:rPr>
        <w:lastRenderedPageBreak/>
        <w:t>PROTECTION MECHANISMS</w:t>
      </w:r>
      <w:commentRangeEnd w:id="40"/>
      <w:r w:rsidRPr="008D2932">
        <w:rPr>
          <w:rStyle w:val="CommentReference"/>
          <w:sz w:val="24"/>
          <w:szCs w:val="24"/>
          <w:u w:val="single"/>
        </w:rPr>
        <w:commentReference w:id="40"/>
      </w:r>
      <w:commentRangeEnd w:id="41"/>
      <w:r w:rsidRPr="008D2932">
        <w:rPr>
          <w:rStyle w:val="CommentReference"/>
          <w:sz w:val="24"/>
          <w:szCs w:val="24"/>
          <w:u w:val="single"/>
        </w:rPr>
        <w:commentReference w:id="41"/>
      </w:r>
      <w:bookmarkEnd w:id="39"/>
    </w:p>
    <w:p w14:paraId="6F808B4A" w14:textId="77777777" w:rsidR="00E52C25" w:rsidRPr="008D4AA0" w:rsidRDefault="00E52C25" w:rsidP="00E52C25">
      <w:pPr>
        <w:jc w:val="start"/>
      </w:pPr>
    </w:p>
    <w:p w14:paraId="316C9257" w14:textId="50F73D51" w:rsidR="00E52C25" w:rsidRPr="003C2AAC" w:rsidRDefault="00E52C25" w:rsidP="00E52C25">
      <w:pPr>
        <w:pStyle w:val="NormalWeb"/>
        <w:jc w:val="start"/>
        <w:rPr>
          <w:rFonts w:eastAsia="Times New Roman"/>
          <w:lang w:val="en-GB" w:eastAsia="en-GB"/>
        </w:rPr>
      </w:pPr>
      <w:r w:rsidRPr="003C2AAC">
        <w:rPr>
          <w:rFonts w:eastAsia="Times New Roman"/>
          <w:lang w:val="en-GB" w:eastAsia="en-GB"/>
        </w:rPr>
        <w:t>In a fully hybrid company, operating across on-premises systems, multiple cloud platforms, and remote endpoints, modern protection mechanisms are critical to securing a dynamic attack surface. Cloud Security Posture Management (CSPM) continuously monitors cloud environments for misconfigurations, insecure permissions, and compliance gaps, providing automated remediation to prevent data exposure and enforce encryption standards. Security Information and Event Management (SIEM) aggregates logs from all systems, enabling real-time threat detection, behavioural analytics, and automated response. Together, CSPM and SIEM maintain visibility, compliance, and resilience across hybrid environments [</w:t>
      </w:r>
      <w:r w:rsidR="00C671AF">
        <w:rPr>
          <w:rFonts w:eastAsia="Times New Roman"/>
          <w:lang w:val="en-GB" w:eastAsia="en-GB"/>
        </w:rPr>
        <w:t>3</w:t>
      </w:r>
      <w:r w:rsidR="00F76A84">
        <w:rPr>
          <w:rFonts w:eastAsia="Times New Roman"/>
          <w:lang w:val="en-GB" w:eastAsia="en-GB"/>
        </w:rPr>
        <w:t>6</w:t>
      </w:r>
      <w:r w:rsidRPr="003C2AAC">
        <w:rPr>
          <w:rFonts w:eastAsia="Times New Roman"/>
          <w:lang w:val="en-GB" w:eastAsia="en-GB"/>
        </w:rPr>
        <w:t>].</w:t>
      </w:r>
    </w:p>
    <w:p w14:paraId="2D36E235" w14:textId="77777777" w:rsidR="00E52C25" w:rsidRPr="003C2AAC" w:rsidRDefault="00E52C25" w:rsidP="00E52C25">
      <w:pPr>
        <w:pStyle w:val="NormalWeb"/>
        <w:jc w:val="start"/>
        <w:rPr>
          <w:rFonts w:eastAsia="Times New Roman"/>
          <w:lang w:val="en-GB" w:eastAsia="en-GB"/>
        </w:rPr>
      </w:pPr>
      <w:r w:rsidRPr="003C2AAC">
        <w:rPr>
          <w:rFonts w:eastAsia="Times New Roman"/>
          <w:lang w:val="en-GB" w:eastAsia="en-GB"/>
        </w:rPr>
        <w:t>Traditional perimeter-based security, including VPNs and on-prem firewalls, is insufficient in distributed hybrid environments. Secure Access Service Edge (SASE) and Security Service Edge (SSE) deliver cloud-native, identity-driven security by integrating Zero Trust Network Access (ZTNA), secure web gateways, cloud access security brokers, and firewall-as-a-service. These architectures provide scalable, consistent protection for users and workloads regardless of location. Endpoint Detection and Response (EDR) monitors devices continuously, isolates threats, and automates remediation, while phishing-resistant Multi-Factor Authentication (MFA) such as FIDO2 keys or certificate-based methods ensures strong identity verification, even against sophisticated attacks.</w:t>
      </w:r>
    </w:p>
    <w:p w14:paraId="2D90D37C" w14:textId="77777777" w:rsidR="00E52C25" w:rsidRPr="003C2AAC" w:rsidRDefault="00E52C25" w:rsidP="00E52C25">
      <w:pPr>
        <w:pStyle w:val="NormalWeb"/>
        <w:jc w:val="start"/>
        <w:rPr>
          <w:rFonts w:eastAsia="Times New Roman"/>
          <w:lang w:val="en-GB" w:eastAsia="en-GB"/>
        </w:rPr>
      </w:pPr>
      <w:r w:rsidRPr="003C2AAC">
        <w:rPr>
          <w:rFonts w:eastAsia="Times New Roman"/>
          <w:lang w:val="en-GB" w:eastAsia="en-GB"/>
        </w:rPr>
        <w:t xml:space="preserve">Identity architecture is central to hybrid security. Integrating on-premises Active Directory (AD) with Microsoft </w:t>
      </w:r>
      <w:proofErr w:type="spellStart"/>
      <w:r w:rsidRPr="003C2AAC">
        <w:rPr>
          <w:rFonts w:eastAsia="Times New Roman"/>
          <w:lang w:val="en-GB" w:eastAsia="en-GB"/>
        </w:rPr>
        <w:t>Entra</w:t>
      </w:r>
      <w:proofErr w:type="spellEnd"/>
      <w:r w:rsidRPr="003C2AAC">
        <w:rPr>
          <w:rFonts w:eastAsia="Times New Roman"/>
          <w:lang w:val="en-GB" w:eastAsia="en-GB"/>
        </w:rPr>
        <w:t xml:space="preserve"> ID via Identity Provider (IdP) federation enables Single Sign-On (SSO) and consistent directory synchronization. Conditional Access policies and MFA reduce password sprawl, prevent identity silos, and enforce governance across distributed systems. Just-in-Time (JIT) access further strengthens privileged account management by granting elevated permissions only for approved, time-limited sessions. Combined with Role-Based Access Control (RBAC), JIT reduces standing privileges, mitigates insider threats, and supports least-privilege enforcement across on-prem, cloud, SaaS, and remote endpoints.</w:t>
      </w:r>
    </w:p>
    <w:p w14:paraId="280E19C9" w14:textId="45C411AB" w:rsidR="00E52C25" w:rsidRDefault="00E52C25" w:rsidP="00E52C25">
      <w:pPr>
        <w:pStyle w:val="NormalWeb"/>
        <w:jc w:val="start"/>
        <w:rPr>
          <w:rFonts w:eastAsia="Times New Roman"/>
          <w:lang w:val="en-GB" w:eastAsia="en-GB"/>
        </w:rPr>
      </w:pPr>
      <w:r w:rsidRPr="003C2AAC">
        <w:rPr>
          <w:rFonts w:eastAsia="Times New Roman"/>
          <w:lang w:val="en-GB" w:eastAsia="en-GB"/>
        </w:rPr>
        <w:t xml:space="preserve">By combining cloud monitoring, SIEM, EDR, SASE/SSE architectures, MFA, and federated identity with JIT access, hybrid organisations achieve a comprehensive Zero Trust posture. This layered approach ensures strong authentication, continuous monitoring, rapid threat response, and secure, compliant access across all platforms, maintaining operational resilience and regulatory adherence in complex, distributed </w:t>
      </w:r>
      <w:proofErr w:type="gramStart"/>
      <w:r w:rsidRPr="003C2AAC">
        <w:rPr>
          <w:rFonts w:eastAsia="Times New Roman"/>
          <w:lang w:val="en-GB" w:eastAsia="en-GB"/>
        </w:rPr>
        <w:t>environments</w:t>
      </w:r>
      <w:r>
        <w:rPr>
          <w:rFonts w:eastAsia="Times New Roman"/>
          <w:lang w:val="en-GB" w:eastAsia="en-GB"/>
        </w:rPr>
        <w:t>[</w:t>
      </w:r>
      <w:proofErr w:type="gramEnd"/>
      <w:r>
        <w:rPr>
          <w:rFonts w:eastAsia="Times New Roman"/>
          <w:lang w:val="en-GB" w:eastAsia="en-GB"/>
        </w:rPr>
        <w:t>3</w:t>
      </w:r>
      <w:r w:rsidR="00F76A84">
        <w:rPr>
          <w:rFonts w:eastAsia="Times New Roman"/>
          <w:lang w:val="en-GB" w:eastAsia="en-GB"/>
        </w:rPr>
        <w:t>7</w:t>
      </w:r>
      <w:r>
        <w:rPr>
          <w:rFonts w:eastAsia="Times New Roman"/>
          <w:lang w:val="en-GB" w:eastAsia="en-GB"/>
        </w:rPr>
        <w:t>]</w:t>
      </w:r>
      <w:r w:rsidRPr="003C2AAC">
        <w:rPr>
          <w:rFonts w:eastAsia="Times New Roman"/>
          <w:lang w:val="en-GB" w:eastAsia="en-GB"/>
        </w:rPr>
        <w:t>.</w:t>
      </w:r>
    </w:p>
    <w:p w14:paraId="5FF85EBE" w14:textId="56578227" w:rsidR="00EE4771" w:rsidRDefault="00EE4771" w:rsidP="00E52C25">
      <w:pPr>
        <w:pStyle w:val="NormalWeb"/>
        <w:jc w:val="start"/>
        <w:rPr>
          <w:rFonts w:eastAsia="Times New Roman"/>
          <w:lang w:val="en-GB" w:eastAsia="en-GB"/>
        </w:rPr>
      </w:pPr>
    </w:p>
    <w:p w14:paraId="6B353AC4" w14:textId="77777777" w:rsidR="00EE4771" w:rsidRDefault="00EE4771" w:rsidP="00EE4771">
      <w:pPr>
        <w:pStyle w:val="NormalWeb"/>
        <w:keepNext/>
        <w:jc w:val="start"/>
      </w:pPr>
      <w:r w:rsidRPr="00EE4771">
        <w:rPr>
          <w:rFonts w:eastAsia="Times New Roman"/>
          <w:lang w:val="en-GB" w:eastAsia="en-GB"/>
        </w:rPr>
        <w:drawing>
          <wp:inline distT="0" distB="0" distL="0" distR="0" wp14:anchorId="75BBCC71" wp14:editId="44B5A282">
            <wp:extent cx="6406843" cy="3051079"/>
            <wp:effectExtent l="0" t="0" r="0" b="0"/>
            <wp:docPr id="27" name="Picture 27"/>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3"/>
                    <a:stretch>
                      <a:fillRect/>
                    </a:stretch>
                  </pic:blipFill>
                  <pic:spPr>
                    <a:xfrm>
                      <a:off x="0" y="0"/>
                      <a:ext cx="6407975" cy="3051618"/>
                    </a:xfrm>
                    <a:prstGeom prst="rect">
                      <a:avLst/>
                    </a:prstGeom>
                  </pic:spPr>
                </pic:pic>
              </a:graphicData>
            </a:graphic>
          </wp:inline>
        </w:drawing>
      </w:r>
    </w:p>
    <w:p w14:paraId="7628F7EB" w14:textId="06B1EEB3" w:rsidR="00EE4771" w:rsidRPr="003C2AAC" w:rsidRDefault="00EE4771" w:rsidP="00EE4771">
      <w:pPr>
        <w:pStyle w:val="Caption"/>
        <w:rPr>
          <w:rFonts w:eastAsia="Times New Roman"/>
          <w:sz w:val="24"/>
          <w:szCs w:val="24"/>
          <w:lang w:val="en-GB" w:eastAsia="en-GB"/>
        </w:rPr>
      </w:pPr>
      <w:r>
        <w:t xml:space="preserve">Figure </w:t>
      </w:r>
      <w:r w:rsidR="002005B6">
        <w:t>8</w:t>
      </w:r>
      <w:r>
        <w:t xml:space="preserve"> shows different protection mechanisms you can use for protecting a hybrid company system [3</w:t>
      </w:r>
      <w:r w:rsidR="00F76A84">
        <w:t>8</w:t>
      </w:r>
      <w:r>
        <w:t>].</w:t>
      </w:r>
    </w:p>
    <w:p w14:paraId="3FFFF069" w14:textId="77777777" w:rsidR="00E52C25" w:rsidRDefault="00E52C25" w:rsidP="00E52C25">
      <w:pPr>
        <w:pStyle w:val="NormalWeb"/>
        <w:jc w:val="start"/>
      </w:pPr>
    </w:p>
    <w:p w14:paraId="58B6D56B" w14:textId="01C87AEF" w:rsidR="00E52C25" w:rsidRPr="0046347D" w:rsidRDefault="00E52C25" w:rsidP="00E52C25">
      <w:pPr>
        <w:pStyle w:val="Heading1"/>
        <w:rPr>
          <w:sz w:val="24"/>
          <w:szCs w:val="24"/>
          <w:u w:val="single"/>
        </w:rPr>
      </w:pPr>
      <w:bookmarkStart w:id="42" w:name="_Toc223445606"/>
      <w:r w:rsidRPr="0046347D">
        <w:rPr>
          <w:rStyle w:val="Strong"/>
          <w:sz w:val="24"/>
          <w:szCs w:val="24"/>
          <w:u w:val="single"/>
        </w:rPr>
        <w:t>Phishing</w:t>
      </w:r>
      <w:r w:rsidRPr="0046347D">
        <w:rPr>
          <w:rStyle w:val="Strong"/>
          <w:sz w:val="24"/>
          <w:szCs w:val="24"/>
          <w:u w:val="single"/>
        </w:rPr>
        <w:noBreakHyphen/>
        <w:t>resistant Multi</w:t>
      </w:r>
      <w:r w:rsidRPr="0046347D">
        <w:rPr>
          <w:rStyle w:val="Strong"/>
          <w:sz w:val="24"/>
          <w:szCs w:val="24"/>
          <w:u w:val="single"/>
        </w:rPr>
        <w:noBreakHyphen/>
        <w:t>Factor Authentication (MFA)</w:t>
      </w:r>
      <w:bookmarkEnd w:id="42"/>
    </w:p>
    <w:p w14:paraId="79264B93" w14:textId="77777777" w:rsidR="00E52C25" w:rsidRPr="00D8180B" w:rsidRDefault="00E52C25" w:rsidP="00E52C25">
      <w:pPr>
        <w:pStyle w:val="NormalWeb"/>
        <w:jc w:val="start"/>
      </w:pPr>
    </w:p>
    <w:p w14:paraId="4D2E4136" w14:textId="5C6AB4E4" w:rsidR="00E52C25" w:rsidRPr="003C2AAC" w:rsidRDefault="00E52C25" w:rsidP="00E52C25">
      <w:pPr>
        <w:pStyle w:val="NormalWeb"/>
        <w:jc w:val="start"/>
        <w:rPr>
          <w:lang w:val="en-GB"/>
        </w:rPr>
      </w:pPr>
      <w:r w:rsidRPr="003C2AAC">
        <w:rPr>
          <w:lang w:val="en-GB"/>
        </w:rPr>
        <w:t xml:space="preserve">In a fully hybrid company, operating across on-premises systems, multi-cloud platforms, and remote endpoints, modern security mechanisms are essential to protect a constantly evolving attack surface. Cloud Security Posture Management (CSPM) provides continuous monitoring of cloud environments, detecting misconfigurations, insecure permissions, and compliance gaps. Automated remediation ensures all cloud resources remain aligned with security policies, preventing accidental data exposure and enforcing encryption standards. Security Information and Event Management (SIEM) aggregates logs from on-prem, cloud, and endpoint systems, enabling real-time threat detection, </w:t>
      </w:r>
      <w:proofErr w:type="spellStart"/>
      <w:r w:rsidRPr="003C2AAC">
        <w:rPr>
          <w:lang w:val="en-GB"/>
        </w:rPr>
        <w:t>behavioral</w:t>
      </w:r>
      <w:proofErr w:type="spellEnd"/>
      <w:r w:rsidRPr="003C2AAC">
        <w:rPr>
          <w:lang w:val="en-GB"/>
        </w:rPr>
        <w:t xml:space="preserve"> analytics, and automated response. Together, CSPM and SIEM maintain visibility, compliance, and operational resilience across distributed environments [</w:t>
      </w:r>
      <w:r>
        <w:rPr>
          <w:lang w:val="en-GB"/>
        </w:rPr>
        <w:t>3</w:t>
      </w:r>
      <w:r w:rsidR="00F76A84">
        <w:rPr>
          <w:lang w:val="en-GB"/>
        </w:rPr>
        <w:t>9</w:t>
      </w:r>
      <w:r w:rsidRPr="003C2AAC">
        <w:rPr>
          <w:lang w:val="en-GB"/>
        </w:rPr>
        <w:t>].</w:t>
      </w:r>
    </w:p>
    <w:p w14:paraId="0288835F" w14:textId="77777777" w:rsidR="00E52C25" w:rsidRPr="003C2AAC" w:rsidRDefault="00E52C25" w:rsidP="00E52C25">
      <w:pPr>
        <w:pStyle w:val="NormalWeb"/>
        <w:jc w:val="start"/>
        <w:rPr>
          <w:lang w:val="en-GB"/>
        </w:rPr>
      </w:pPr>
      <w:r w:rsidRPr="003C2AAC">
        <w:rPr>
          <w:lang w:val="en-GB"/>
        </w:rPr>
        <w:t>Traditional perimeter-based security, such as VPNs and on-prem firewalls, is insufficient in hybrid architectures due to distributed users and cloud workloads. Secure Access Service Edge (SASE) and Security Service Edge (SSE) offer cloud-native, identity-driven security, integrating Zero Trust Network Access (ZTNA), secure web gateways, cloud access security brokers, and firewall-as-a-service. These models enforce scalable, consistent protection regardless of user location or device. Endpoint Detection and Response (EDR) continuously monitors devices, isolates threats, and automates remediation, while phishing-resistant Multi-Factor Authentication (MFA), such as FIDO2 keys or certificate-based methods, ensures robust identity verification against sophisticated attacks.</w:t>
      </w:r>
    </w:p>
    <w:p w14:paraId="4A248351" w14:textId="77777777" w:rsidR="00E52C25" w:rsidRPr="003C2AAC" w:rsidRDefault="00E52C25" w:rsidP="00E52C25">
      <w:pPr>
        <w:pStyle w:val="NormalWeb"/>
        <w:jc w:val="start"/>
        <w:rPr>
          <w:lang w:val="en-GB"/>
        </w:rPr>
      </w:pPr>
      <w:r w:rsidRPr="003C2AAC">
        <w:rPr>
          <w:lang w:val="en-GB"/>
        </w:rPr>
        <w:t xml:space="preserve">Identity architecture is critical in hybrid environments. Integrating on-premises Active Directory (AD) with Microsoft </w:t>
      </w:r>
      <w:proofErr w:type="spellStart"/>
      <w:r w:rsidRPr="003C2AAC">
        <w:rPr>
          <w:lang w:val="en-GB"/>
        </w:rPr>
        <w:t>Entra</w:t>
      </w:r>
      <w:proofErr w:type="spellEnd"/>
      <w:r w:rsidRPr="003C2AAC">
        <w:rPr>
          <w:lang w:val="en-GB"/>
        </w:rPr>
        <w:t xml:space="preserve"> ID via Identity Provider (IdP) federation enables Single Sign-On (SSO), consistent directory synchronization, and centralized Conditional Access enforcement. Just-in-Time (JIT) access strengthens privileged account management by granting elevated permissions only for approved, time-limited sessions. Combined with Role-Based Access Control (RBAC), JIT reduces standing privileges, mitigates insider threats, and enforces least-privilege across on-prem, cloud, SaaS, and remote systems.</w:t>
      </w:r>
    </w:p>
    <w:p w14:paraId="75CE8FEB" w14:textId="6E57671F" w:rsidR="00E52C25" w:rsidRDefault="00E52C25" w:rsidP="00E52C25">
      <w:pPr>
        <w:pStyle w:val="NormalWeb"/>
        <w:jc w:val="start"/>
        <w:rPr>
          <w:lang w:val="en-GB"/>
        </w:rPr>
      </w:pPr>
      <w:r w:rsidRPr="003C2AAC">
        <w:rPr>
          <w:lang w:val="en-GB"/>
        </w:rPr>
        <w:t xml:space="preserve">By combining CSPM, SIEM, EDR, SASE/SSE architectures, MFA, and federated identity with JIT access, hybrid organisations achieve a comprehensive Zero Trust posture. This layered approach ensures strong authentication, continuous monitoring, rapid threat response, and secure, compliant access across all platforms, maintaining operational resilience, regulatory adherence, and robust protection in complex distributed </w:t>
      </w:r>
      <w:proofErr w:type="gramStart"/>
      <w:r w:rsidRPr="003C2AAC">
        <w:rPr>
          <w:lang w:val="en-GB"/>
        </w:rPr>
        <w:t>environments</w:t>
      </w:r>
      <w:r>
        <w:rPr>
          <w:lang w:val="en-GB"/>
        </w:rPr>
        <w:t>[</w:t>
      </w:r>
      <w:proofErr w:type="gramEnd"/>
      <w:r w:rsidR="00F76A84">
        <w:rPr>
          <w:lang w:val="en-GB"/>
        </w:rPr>
        <w:t>40</w:t>
      </w:r>
      <w:r>
        <w:rPr>
          <w:lang w:val="en-GB"/>
        </w:rPr>
        <w:t>]</w:t>
      </w:r>
      <w:r w:rsidRPr="003C2AAC">
        <w:rPr>
          <w:lang w:val="en-GB"/>
        </w:rPr>
        <w:t>.</w:t>
      </w:r>
    </w:p>
    <w:p w14:paraId="107424E2" w14:textId="77777777" w:rsidR="00E52C25" w:rsidRPr="005F3409" w:rsidRDefault="00E52C25" w:rsidP="00E52C25">
      <w:pPr>
        <w:pStyle w:val="NormalWeb"/>
        <w:jc w:val="start"/>
        <w:rPr>
          <w:lang w:val="en-GB"/>
        </w:rPr>
      </w:pPr>
    </w:p>
    <w:p w14:paraId="52B7A4FA" w14:textId="623AE474" w:rsidR="00E52C25" w:rsidRPr="00EC144C" w:rsidRDefault="00E52C25" w:rsidP="00E52C25">
      <w:pPr>
        <w:pStyle w:val="Heading2"/>
        <w:jc w:val="center"/>
        <w:rPr>
          <w:b/>
          <w:bCs/>
          <w:i w:val="0"/>
          <w:iCs w:val="0"/>
          <w:sz w:val="24"/>
          <w:szCs w:val="24"/>
          <w:u w:val="single"/>
        </w:rPr>
      </w:pPr>
      <w:bookmarkStart w:id="43" w:name="_Toc223445607"/>
      <w:r w:rsidRPr="00EC144C">
        <w:rPr>
          <w:b/>
          <w:bCs/>
          <w:i w:val="0"/>
          <w:iCs w:val="0"/>
          <w:sz w:val="24"/>
          <w:szCs w:val="24"/>
          <w:u w:val="single"/>
        </w:rPr>
        <w:t>VPNS and Firewalls</w:t>
      </w:r>
      <w:bookmarkEnd w:id="43"/>
    </w:p>
    <w:p w14:paraId="6A40F178" w14:textId="77777777" w:rsidR="00E52C25" w:rsidRPr="00EC144C" w:rsidRDefault="00E52C25" w:rsidP="00E52C25"/>
    <w:tbl>
      <w:tblPr>
        <w:tblpPr w:leftFromText="180" w:rightFromText="180" w:vertAnchor="text" w:horzAnchor="page" w:tblpX="1422" w:tblpY="-1079"/>
        <w:tblW w:w="0pt" w:type="auto"/>
        <w:tblCellSpacing w:w="0.75pt" w:type="dxa"/>
        <w:tblBorders>
          <w:top w:val="outset" w:sz="6" w:space="0" w:color="auto"/>
          <w:start w:val="outset" w:sz="6" w:space="0" w:color="auto"/>
          <w:bottom w:val="outset" w:sz="6" w:space="0" w:color="auto"/>
          <w:end w:val="outset" w:sz="6" w:space="0" w:color="auto"/>
        </w:tblBorders>
        <w:shd w:val="clear" w:color="auto" w:fill="FFFFFF"/>
        <w:tblCellMar>
          <w:top w:w="0.75pt" w:type="dxa"/>
          <w:start w:w="0.75pt" w:type="dxa"/>
          <w:bottom w:w="0.75pt" w:type="dxa"/>
          <w:end w:w="0.75pt" w:type="dxa"/>
        </w:tblCellMar>
        <w:tblLook w:firstRow="1" w:lastRow="0" w:firstColumn="1" w:lastColumn="0" w:noHBand="0" w:noVBand="1"/>
      </w:tblPr>
      <w:tblGrid>
        <w:gridCol w:w="2076"/>
        <w:gridCol w:w="1372"/>
        <w:gridCol w:w="6628"/>
      </w:tblGrid>
      <w:tr w:rsidR="00E52C25" w:rsidRPr="006562CB" w14:paraId="2A5ED7C5" w14:textId="77777777" w:rsidTr="007D7A0E">
        <w:trPr>
          <w:tblCellSpacing w:w="0.75pt" w:type="dxa"/>
        </w:trPr>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587C82F3" w14:textId="77777777" w:rsidR="00E52C25" w:rsidRPr="006562CB" w:rsidRDefault="00E52C25" w:rsidP="007D7A0E">
            <w:pPr>
              <w:rPr>
                <w:rFonts w:ascii="Arial" w:eastAsia="Times New Roman" w:hAnsi="Arial" w:cs="Arial"/>
                <w:b/>
                <w:bCs/>
                <w:sz w:val="24"/>
                <w:szCs w:val="24"/>
                <w:lang w:val="en-GB" w:eastAsia="en-GB"/>
              </w:rPr>
            </w:pPr>
            <w:r w:rsidRPr="006562CB">
              <w:rPr>
                <w:rFonts w:ascii="Arial" w:eastAsia="Times New Roman" w:hAnsi="Arial" w:cs="Arial"/>
                <w:b/>
                <w:bCs/>
                <w:sz w:val="24"/>
                <w:szCs w:val="24"/>
                <w:lang w:val="en-GB" w:eastAsia="en-GB"/>
              </w:rPr>
              <w:lastRenderedPageBreak/>
              <w:t>Firewall?</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3BB895DF" w14:textId="77777777" w:rsidR="00E52C25" w:rsidRPr="006562CB" w:rsidRDefault="00E52C25" w:rsidP="007D7A0E">
            <w:pPr>
              <w:rPr>
                <w:rFonts w:ascii="Arial" w:eastAsia="Times New Roman" w:hAnsi="Arial" w:cs="Arial"/>
                <w:b/>
                <w:bCs/>
                <w:sz w:val="24"/>
                <w:szCs w:val="24"/>
                <w:lang w:val="en-GB" w:eastAsia="en-GB"/>
              </w:rPr>
            </w:pPr>
            <w:r w:rsidRPr="006562CB">
              <w:rPr>
                <w:rFonts w:ascii="Arial" w:eastAsia="Times New Roman" w:hAnsi="Arial" w:cs="Arial"/>
                <w:b/>
                <w:bCs/>
                <w:sz w:val="24"/>
                <w:szCs w:val="24"/>
                <w:lang w:val="en-GB" w:eastAsia="en-GB"/>
              </w:rPr>
              <w:t>Layer name</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335A4D93" w14:textId="77777777" w:rsidR="00E52C25" w:rsidRPr="006562CB" w:rsidRDefault="00E52C25" w:rsidP="007D7A0E">
            <w:pPr>
              <w:rPr>
                <w:rFonts w:ascii="Arial" w:eastAsia="Times New Roman" w:hAnsi="Arial" w:cs="Arial"/>
                <w:b/>
                <w:bCs/>
                <w:sz w:val="24"/>
                <w:szCs w:val="24"/>
                <w:lang w:val="en-GB" w:eastAsia="en-GB"/>
              </w:rPr>
            </w:pPr>
            <w:r w:rsidRPr="006562CB">
              <w:rPr>
                <w:rFonts w:ascii="Arial" w:eastAsia="Times New Roman" w:hAnsi="Arial" w:cs="Arial"/>
                <w:b/>
                <w:bCs/>
                <w:sz w:val="24"/>
                <w:szCs w:val="24"/>
                <w:lang w:val="en-GB" w:eastAsia="en-GB"/>
              </w:rPr>
              <w:t>Topics &amp; Methods</w:t>
            </w:r>
          </w:p>
        </w:tc>
      </w:tr>
      <w:tr w:rsidR="00E52C25" w:rsidRPr="006562CB" w14:paraId="07FBE123" w14:textId="77777777" w:rsidTr="007D7A0E">
        <w:trPr>
          <w:tblCellSpacing w:w="0.75pt" w:type="dxa"/>
        </w:trPr>
        <w:tc>
          <w:tcPr>
            <w:tcW w:w="0pt" w:type="auto"/>
            <w:vMerge w:val="restart"/>
            <w:tcBorders>
              <w:top w:val="outset" w:sz="6" w:space="0" w:color="auto"/>
              <w:start w:val="outset" w:sz="6" w:space="0" w:color="auto"/>
              <w:bottom w:val="outset" w:sz="6" w:space="0" w:color="auto"/>
              <w:end w:val="outset" w:sz="6" w:space="0" w:color="auto"/>
            </w:tcBorders>
            <w:shd w:val="clear" w:color="auto" w:fill="9999FF"/>
            <w:vAlign w:val="center"/>
            <w:hideMark/>
          </w:tcPr>
          <w:p w14:paraId="13887277" w14:textId="77777777" w:rsidR="00E52C25" w:rsidRPr="006562CB" w:rsidRDefault="00E52C25" w:rsidP="007D7A0E">
            <w:pPr>
              <w:jc w:val="start"/>
              <w:rPr>
                <w:rFonts w:ascii="Arial" w:eastAsia="Times New Roman" w:hAnsi="Arial" w:cs="Arial"/>
                <w:lang w:val="en-GB" w:eastAsia="en-GB"/>
              </w:rPr>
            </w:pPr>
            <w:r w:rsidRPr="006562CB">
              <w:rPr>
                <w:rFonts w:ascii="Arial" w:eastAsia="Times New Roman" w:hAnsi="Arial" w:cs="Arial"/>
                <w:lang w:val="en-GB" w:eastAsia="en-GB"/>
              </w:rPr>
              <w:t>application gateways live here</w:t>
            </w:r>
          </w:p>
        </w:tc>
        <w:tc>
          <w:tcPr>
            <w:tcW w:w="0pt" w:type="auto"/>
            <w:tcBorders>
              <w:top w:val="outset" w:sz="6" w:space="0" w:color="auto"/>
              <w:start w:val="outset" w:sz="6" w:space="0" w:color="auto"/>
              <w:bottom w:val="outset" w:sz="6" w:space="0" w:color="auto"/>
              <w:end w:val="outset" w:sz="6" w:space="0" w:color="auto"/>
            </w:tcBorders>
            <w:shd w:val="clear" w:color="auto" w:fill="CC33CC"/>
            <w:vAlign w:val="center"/>
            <w:hideMark/>
          </w:tcPr>
          <w:p w14:paraId="749C0729"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Application</w:t>
            </w:r>
            <w:r w:rsidRPr="006562CB">
              <w:rPr>
                <w:rFonts w:ascii="Arial" w:eastAsia="Times New Roman" w:hAnsi="Arial" w:cs="Arial"/>
                <w:b/>
                <w:bCs/>
                <w:lang w:val="en-GB" w:eastAsia="en-GB"/>
              </w:rPr>
              <w:br/>
              <w:t>(layer 7)</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20CB981F" w14:textId="77777777" w:rsidR="00E52C25" w:rsidRPr="006562CB" w:rsidRDefault="00E52C25" w:rsidP="00993B65">
            <w:pPr>
              <w:numPr>
                <w:ilvl w:val="0"/>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Network Services</w:t>
            </w:r>
          </w:p>
          <w:p w14:paraId="3D97AA37" w14:textId="77777777" w:rsidR="00E52C25" w:rsidRPr="006562CB" w:rsidRDefault="00E52C25" w:rsidP="00993B65">
            <w:pPr>
              <w:numPr>
                <w:ilvl w:val="1"/>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File services</w:t>
            </w:r>
          </w:p>
          <w:p w14:paraId="7E69C85C" w14:textId="77777777" w:rsidR="00E52C25" w:rsidRPr="006562CB" w:rsidRDefault="00E52C25" w:rsidP="00993B65">
            <w:pPr>
              <w:numPr>
                <w:ilvl w:val="1"/>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Print services</w:t>
            </w:r>
          </w:p>
          <w:p w14:paraId="3B385D18" w14:textId="77777777" w:rsidR="00E52C25" w:rsidRPr="006562CB" w:rsidRDefault="00E52C25" w:rsidP="00993B65">
            <w:pPr>
              <w:numPr>
                <w:ilvl w:val="1"/>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Message services</w:t>
            </w:r>
          </w:p>
          <w:p w14:paraId="7C583C4E" w14:textId="77777777" w:rsidR="00E52C25" w:rsidRPr="006562CB" w:rsidRDefault="00E52C25" w:rsidP="00993B65">
            <w:pPr>
              <w:numPr>
                <w:ilvl w:val="1"/>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Application services</w:t>
            </w:r>
          </w:p>
          <w:p w14:paraId="600E6D53" w14:textId="77777777" w:rsidR="00E52C25" w:rsidRPr="006562CB" w:rsidRDefault="00E52C25" w:rsidP="00993B65">
            <w:pPr>
              <w:numPr>
                <w:ilvl w:val="1"/>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Database services</w:t>
            </w:r>
          </w:p>
          <w:p w14:paraId="2485060F" w14:textId="77777777" w:rsidR="00E52C25" w:rsidRPr="006562CB" w:rsidRDefault="00E52C25" w:rsidP="00993B65">
            <w:pPr>
              <w:numPr>
                <w:ilvl w:val="0"/>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Service Advertisement - how services become known</w:t>
            </w:r>
          </w:p>
          <w:p w14:paraId="1E463F6C" w14:textId="77777777" w:rsidR="00E52C25" w:rsidRPr="006562CB" w:rsidRDefault="00E52C25" w:rsidP="00993B65">
            <w:pPr>
              <w:numPr>
                <w:ilvl w:val="0"/>
                <w:numId w:val="9"/>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Service Use - how services are obtained</w:t>
            </w:r>
          </w:p>
        </w:tc>
      </w:tr>
      <w:tr w:rsidR="00E52C25" w:rsidRPr="006562CB" w14:paraId="408B4E41" w14:textId="77777777" w:rsidTr="007D7A0E">
        <w:trPr>
          <w:tblCellSpacing w:w="0.75pt" w:type="dxa"/>
        </w:trPr>
        <w:tc>
          <w:tcPr>
            <w:tcW w:w="0pt" w:type="auto"/>
            <w:vMerge/>
            <w:tcBorders>
              <w:top w:val="outset" w:sz="6" w:space="0" w:color="auto"/>
              <w:start w:val="outset" w:sz="6" w:space="0" w:color="auto"/>
              <w:bottom w:val="outset" w:sz="6" w:space="0" w:color="auto"/>
              <w:end w:val="outset" w:sz="6" w:space="0" w:color="auto"/>
            </w:tcBorders>
            <w:shd w:val="clear" w:color="auto" w:fill="FFFFFF"/>
            <w:vAlign w:val="center"/>
            <w:hideMark/>
          </w:tcPr>
          <w:p w14:paraId="64F8B974" w14:textId="77777777" w:rsidR="00E52C25" w:rsidRPr="006562CB" w:rsidRDefault="00E52C25" w:rsidP="007D7A0E">
            <w:pPr>
              <w:jc w:val="start"/>
              <w:rPr>
                <w:rFonts w:ascii="Arial" w:eastAsia="Times New Roman" w:hAnsi="Arial" w:cs="Arial"/>
                <w:lang w:val="en-GB" w:eastAsia="en-GB"/>
              </w:rPr>
            </w:pPr>
          </w:p>
        </w:tc>
        <w:tc>
          <w:tcPr>
            <w:tcW w:w="0pt" w:type="auto"/>
            <w:tcBorders>
              <w:top w:val="outset" w:sz="6" w:space="0" w:color="auto"/>
              <w:start w:val="outset" w:sz="6" w:space="0" w:color="auto"/>
              <w:bottom w:val="outset" w:sz="6" w:space="0" w:color="auto"/>
              <w:end w:val="outset" w:sz="6" w:space="0" w:color="auto"/>
            </w:tcBorders>
            <w:shd w:val="clear" w:color="auto" w:fill="3366FF"/>
            <w:vAlign w:val="center"/>
            <w:hideMark/>
          </w:tcPr>
          <w:p w14:paraId="34EF8AC2"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Presentation</w:t>
            </w:r>
            <w:r w:rsidRPr="006562CB">
              <w:rPr>
                <w:rFonts w:ascii="Arial" w:eastAsia="Times New Roman" w:hAnsi="Arial" w:cs="Arial"/>
                <w:b/>
                <w:bCs/>
                <w:lang w:val="en-GB" w:eastAsia="en-GB"/>
              </w:rPr>
              <w:br/>
              <w:t>(layer 6)</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64AAF25E" w14:textId="77777777" w:rsidR="00E52C25" w:rsidRPr="006562CB" w:rsidRDefault="00E52C25" w:rsidP="00993B65">
            <w:pPr>
              <w:numPr>
                <w:ilvl w:val="0"/>
                <w:numId w:val="10"/>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Translation - bit translation, byte translation, character code translation, file translation</w:t>
            </w:r>
          </w:p>
          <w:p w14:paraId="0D20DB57" w14:textId="77777777" w:rsidR="00E52C25" w:rsidRPr="006562CB" w:rsidRDefault="00E52C25" w:rsidP="00993B65">
            <w:pPr>
              <w:numPr>
                <w:ilvl w:val="0"/>
                <w:numId w:val="10"/>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Encryption - cipher, private key or public key</w:t>
            </w:r>
          </w:p>
        </w:tc>
      </w:tr>
      <w:tr w:rsidR="00E52C25" w:rsidRPr="006562CB" w14:paraId="290C64BC" w14:textId="77777777" w:rsidTr="007D7A0E">
        <w:trPr>
          <w:tblCellSpacing w:w="0.75pt" w:type="dxa"/>
        </w:trPr>
        <w:tc>
          <w:tcPr>
            <w:tcW w:w="0pt" w:type="auto"/>
            <w:vMerge/>
            <w:tcBorders>
              <w:top w:val="outset" w:sz="6" w:space="0" w:color="auto"/>
              <w:start w:val="outset" w:sz="6" w:space="0" w:color="auto"/>
              <w:bottom w:val="outset" w:sz="6" w:space="0" w:color="auto"/>
              <w:end w:val="outset" w:sz="6" w:space="0" w:color="auto"/>
            </w:tcBorders>
            <w:shd w:val="clear" w:color="auto" w:fill="FFFFFF"/>
            <w:vAlign w:val="center"/>
            <w:hideMark/>
          </w:tcPr>
          <w:p w14:paraId="3B45EF8D" w14:textId="77777777" w:rsidR="00E52C25" w:rsidRPr="006562CB" w:rsidRDefault="00E52C25" w:rsidP="007D7A0E">
            <w:pPr>
              <w:jc w:val="start"/>
              <w:rPr>
                <w:rFonts w:ascii="Arial" w:eastAsia="Times New Roman" w:hAnsi="Arial" w:cs="Arial"/>
                <w:lang w:val="en-GB" w:eastAsia="en-GB"/>
              </w:rPr>
            </w:pPr>
          </w:p>
        </w:tc>
        <w:tc>
          <w:tcPr>
            <w:tcW w:w="0pt" w:type="auto"/>
            <w:tcBorders>
              <w:top w:val="outset" w:sz="6" w:space="0" w:color="auto"/>
              <w:start w:val="outset" w:sz="6" w:space="0" w:color="auto"/>
              <w:bottom w:val="outset" w:sz="6" w:space="0" w:color="auto"/>
              <w:end w:val="outset" w:sz="6" w:space="0" w:color="auto"/>
            </w:tcBorders>
            <w:shd w:val="clear" w:color="auto" w:fill="33CCFF"/>
            <w:vAlign w:val="center"/>
            <w:hideMark/>
          </w:tcPr>
          <w:p w14:paraId="0503C932"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Session</w:t>
            </w:r>
            <w:r w:rsidRPr="006562CB">
              <w:rPr>
                <w:rFonts w:ascii="Arial" w:eastAsia="Times New Roman" w:hAnsi="Arial" w:cs="Arial"/>
                <w:b/>
                <w:bCs/>
                <w:lang w:val="en-GB" w:eastAsia="en-GB"/>
              </w:rPr>
              <w:br/>
              <w:t>(layer 5)</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7D4A35E3" w14:textId="77777777" w:rsidR="00E52C25" w:rsidRPr="006562CB" w:rsidRDefault="00E52C25" w:rsidP="00993B65">
            <w:pPr>
              <w:numPr>
                <w:ilvl w:val="0"/>
                <w:numId w:val="11"/>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Dialog Control - simplex, half-duplex and duplex</w:t>
            </w:r>
          </w:p>
          <w:p w14:paraId="2302448C" w14:textId="77777777" w:rsidR="00E52C25" w:rsidRPr="006562CB" w:rsidRDefault="00E52C25" w:rsidP="00993B65">
            <w:pPr>
              <w:numPr>
                <w:ilvl w:val="0"/>
                <w:numId w:val="11"/>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Session Administration - connection establishment, data transfer and connection release</w:t>
            </w:r>
          </w:p>
        </w:tc>
      </w:tr>
      <w:tr w:rsidR="00E52C25" w:rsidRPr="006562CB" w14:paraId="5D4825BD" w14:textId="77777777" w:rsidTr="007D7A0E">
        <w:trPr>
          <w:tblCellSpacing w:w="0.75pt" w:type="dxa"/>
        </w:trPr>
        <w:tc>
          <w:tcPr>
            <w:tcW w:w="0pt" w:type="auto"/>
            <w:tcBorders>
              <w:top w:val="outset" w:sz="6" w:space="0" w:color="auto"/>
              <w:start w:val="outset" w:sz="6" w:space="0" w:color="auto"/>
              <w:bottom w:val="outset" w:sz="6" w:space="0" w:color="auto"/>
              <w:end w:val="outset" w:sz="6" w:space="0" w:color="auto"/>
            </w:tcBorders>
            <w:shd w:val="clear" w:color="auto" w:fill="66FF99"/>
            <w:vAlign w:val="center"/>
            <w:hideMark/>
          </w:tcPr>
          <w:p w14:paraId="5B814AC6" w14:textId="77777777" w:rsidR="00E52C25" w:rsidRPr="006562CB" w:rsidRDefault="00E52C25" w:rsidP="007D7A0E">
            <w:pPr>
              <w:jc w:val="start"/>
              <w:rPr>
                <w:rFonts w:ascii="Arial" w:eastAsia="Times New Roman" w:hAnsi="Arial" w:cs="Arial"/>
                <w:lang w:val="en-GB" w:eastAsia="en-GB"/>
              </w:rPr>
            </w:pPr>
            <w:r w:rsidRPr="006562CB">
              <w:rPr>
                <w:rFonts w:ascii="Arial" w:eastAsia="Times New Roman" w:hAnsi="Arial" w:cs="Arial"/>
                <w:lang w:val="en-GB" w:eastAsia="en-GB"/>
              </w:rPr>
              <w:t>circuit gateways</w:t>
            </w:r>
            <w:r w:rsidRPr="006562CB">
              <w:rPr>
                <w:rFonts w:ascii="Arial" w:eastAsia="Times New Roman" w:hAnsi="Arial" w:cs="Arial"/>
                <w:lang w:val="en-GB" w:eastAsia="en-GB"/>
              </w:rPr>
              <w:br/>
              <w:t>live here</w:t>
            </w:r>
          </w:p>
        </w:tc>
        <w:tc>
          <w:tcPr>
            <w:tcW w:w="0pt" w:type="auto"/>
            <w:tcBorders>
              <w:top w:val="outset" w:sz="6" w:space="0" w:color="auto"/>
              <w:start w:val="outset" w:sz="6" w:space="0" w:color="auto"/>
              <w:bottom w:val="outset" w:sz="6" w:space="0" w:color="auto"/>
              <w:end w:val="outset" w:sz="6" w:space="0" w:color="auto"/>
            </w:tcBorders>
            <w:shd w:val="clear" w:color="auto" w:fill="33FF33"/>
            <w:vAlign w:val="center"/>
            <w:hideMark/>
          </w:tcPr>
          <w:p w14:paraId="0A1E7CE7"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Transport</w:t>
            </w:r>
            <w:r w:rsidRPr="006562CB">
              <w:rPr>
                <w:rFonts w:ascii="Arial" w:eastAsia="Times New Roman" w:hAnsi="Arial" w:cs="Arial"/>
                <w:b/>
                <w:bCs/>
                <w:lang w:val="en-GB" w:eastAsia="en-GB"/>
              </w:rPr>
              <w:br/>
              <w:t>(layer 4)</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4EAA5DC5" w14:textId="77777777" w:rsidR="00E52C25" w:rsidRPr="006562CB" w:rsidRDefault="00E52C25" w:rsidP="00993B65">
            <w:pPr>
              <w:numPr>
                <w:ilvl w:val="0"/>
                <w:numId w:val="12"/>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Address/name Resolution</w:t>
            </w:r>
          </w:p>
          <w:p w14:paraId="78DC1CB7" w14:textId="77777777" w:rsidR="00E52C25" w:rsidRPr="006562CB" w:rsidRDefault="00E52C25" w:rsidP="00993B65">
            <w:pPr>
              <w:numPr>
                <w:ilvl w:val="0"/>
                <w:numId w:val="12"/>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Addressing</w:t>
            </w:r>
          </w:p>
          <w:p w14:paraId="2F4683A1" w14:textId="77777777" w:rsidR="00E52C25" w:rsidRPr="006562CB" w:rsidRDefault="00E52C25" w:rsidP="00993B65">
            <w:pPr>
              <w:numPr>
                <w:ilvl w:val="0"/>
                <w:numId w:val="12"/>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Segment Development - breaking large messages into segments,</w:t>
            </w:r>
            <w:r w:rsidRPr="006562CB">
              <w:rPr>
                <w:rFonts w:ascii="Arial" w:eastAsia="Times New Roman" w:hAnsi="Arial" w:cs="Arial"/>
                <w:lang w:val="en-GB" w:eastAsia="en-GB"/>
              </w:rPr>
              <w:br/>
              <w:t>combining small messages into segments</w:t>
            </w:r>
          </w:p>
          <w:p w14:paraId="3F3487BD" w14:textId="77777777" w:rsidR="00E52C25" w:rsidRPr="006562CB" w:rsidRDefault="00E52C25" w:rsidP="00993B65">
            <w:pPr>
              <w:numPr>
                <w:ilvl w:val="0"/>
                <w:numId w:val="12"/>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Connection Services</w:t>
            </w:r>
          </w:p>
        </w:tc>
      </w:tr>
      <w:tr w:rsidR="00E52C25" w:rsidRPr="006562CB" w14:paraId="267DFBF6" w14:textId="77777777" w:rsidTr="007D7A0E">
        <w:trPr>
          <w:tblCellSpacing w:w="0.75pt" w:type="dxa"/>
        </w:trPr>
        <w:tc>
          <w:tcPr>
            <w:tcW w:w="0pt" w:type="auto"/>
            <w:tcBorders>
              <w:top w:val="outset" w:sz="6" w:space="0" w:color="auto"/>
              <w:start w:val="outset" w:sz="6" w:space="0" w:color="auto"/>
              <w:bottom w:val="outset" w:sz="6" w:space="0" w:color="auto"/>
              <w:end w:val="outset" w:sz="6" w:space="0" w:color="auto"/>
            </w:tcBorders>
            <w:shd w:val="clear" w:color="auto" w:fill="FFFF99"/>
            <w:vAlign w:val="center"/>
            <w:hideMark/>
          </w:tcPr>
          <w:p w14:paraId="33DCB9D3" w14:textId="77777777" w:rsidR="00E52C25" w:rsidRPr="006562CB" w:rsidRDefault="00E52C25" w:rsidP="007D7A0E">
            <w:pPr>
              <w:jc w:val="start"/>
              <w:rPr>
                <w:rFonts w:ascii="Arial" w:eastAsia="Times New Roman" w:hAnsi="Arial" w:cs="Arial"/>
                <w:lang w:val="en-GB" w:eastAsia="en-GB"/>
              </w:rPr>
            </w:pPr>
            <w:r w:rsidRPr="006562CB">
              <w:rPr>
                <w:rFonts w:ascii="Arial" w:eastAsia="Times New Roman" w:hAnsi="Arial" w:cs="Arial"/>
                <w:lang w:val="en-GB" w:eastAsia="en-GB"/>
              </w:rPr>
              <w:t>packet filtering</w:t>
            </w:r>
            <w:r w:rsidRPr="006562CB">
              <w:rPr>
                <w:rFonts w:ascii="Arial" w:eastAsia="Times New Roman" w:hAnsi="Arial" w:cs="Arial"/>
                <w:lang w:val="en-GB" w:eastAsia="en-GB"/>
              </w:rPr>
              <w:br/>
              <w:t>firewalls live here</w:t>
            </w:r>
          </w:p>
        </w:tc>
        <w:tc>
          <w:tcPr>
            <w:tcW w:w="0pt" w:type="auto"/>
            <w:tcBorders>
              <w:top w:val="outset" w:sz="6" w:space="0" w:color="auto"/>
              <w:start w:val="outset" w:sz="6" w:space="0" w:color="auto"/>
              <w:bottom w:val="outset" w:sz="6" w:space="0" w:color="auto"/>
              <w:end w:val="outset" w:sz="6" w:space="0" w:color="auto"/>
            </w:tcBorders>
            <w:shd w:val="clear" w:color="auto" w:fill="FFFF00"/>
            <w:vAlign w:val="center"/>
            <w:hideMark/>
          </w:tcPr>
          <w:p w14:paraId="35D1984A"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Network</w:t>
            </w:r>
            <w:r w:rsidRPr="006562CB">
              <w:rPr>
                <w:rFonts w:ascii="Arial" w:eastAsia="Times New Roman" w:hAnsi="Arial" w:cs="Arial"/>
                <w:b/>
                <w:bCs/>
                <w:lang w:val="en-GB" w:eastAsia="en-GB"/>
              </w:rPr>
              <w:br/>
              <w:t>(layer 3)</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44CC110B" w14:textId="77777777" w:rsidR="00E52C25" w:rsidRPr="006562CB" w:rsidRDefault="00E52C25" w:rsidP="00993B65">
            <w:pPr>
              <w:numPr>
                <w:ilvl w:val="0"/>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Addressing - network addresses. 2 methods:</w:t>
            </w:r>
          </w:p>
          <w:p w14:paraId="63B6BBBE"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Logical Network</w:t>
            </w:r>
          </w:p>
          <w:p w14:paraId="744D65AD"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Service</w:t>
            </w:r>
          </w:p>
          <w:p w14:paraId="58428F23" w14:textId="77777777" w:rsidR="00E52C25" w:rsidRPr="006562CB" w:rsidRDefault="00E52C25" w:rsidP="00993B65">
            <w:pPr>
              <w:numPr>
                <w:ilvl w:val="0"/>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Switching - route creation for packets, messages and circuits. 3 methods:</w:t>
            </w:r>
          </w:p>
          <w:p w14:paraId="0C7A2422"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Packet switching</w:t>
            </w:r>
          </w:p>
          <w:p w14:paraId="44C8EDD7"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Message switching</w:t>
            </w:r>
          </w:p>
          <w:p w14:paraId="6B592180"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Circuit switching</w:t>
            </w:r>
          </w:p>
          <w:p w14:paraId="556727E1" w14:textId="77777777" w:rsidR="00E52C25" w:rsidRPr="006562CB" w:rsidRDefault="00E52C25" w:rsidP="00993B65">
            <w:pPr>
              <w:numPr>
                <w:ilvl w:val="0"/>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Route Discovery - finding a route. 2 methods:</w:t>
            </w:r>
          </w:p>
          <w:p w14:paraId="7171D0A8"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Distance vector</w:t>
            </w:r>
          </w:p>
          <w:p w14:paraId="365EA8C7"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Link-state</w:t>
            </w:r>
          </w:p>
          <w:p w14:paraId="687DBBEC" w14:textId="77777777" w:rsidR="00E52C25" w:rsidRPr="006562CB" w:rsidRDefault="00E52C25" w:rsidP="00993B65">
            <w:pPr>
              <w:numPr>
                <w:ilvl w:val="0"/>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Route Selection - choosing a route. 2 methods:</w:t>
            </w:r>
          </w:p>
          <w:p w14:paraId="3A9F4093"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Static</w:t>
            </w:r>
          </w:p>
          <w:p w14:paraId="0A7D1A34"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Dynamic</w:t>
            </w:r>
          </w:p>
          <w:p w14:paraId="7C62E559" w14:textId="77777777" w:rsidR="00E52C25" w:rsidRPr="006562CB" w:rsidRDefault="00E52C25" w:rsidP="00993B65">
            <w:pPr>
              <w:numPr>
                <w:ilvl w:val="0"/>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Connection Services - flow control, error control and packet sequence control. 3 methods:</w:t>
            </w:r>
          </w:p>
          <w:p w14:paraId="79058AD4"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Network-layer flow control</w:t>
            </w:r>
          </w:p>
          <w:p w14:paraId="64ABDED3"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Error control</w:t>
            </w:r>
          </w:p>
          <w:p w14:paraId="30902F94" w14:textId="77777777" w:rsidR="00E52C25" w:rsidRPr="006562CB" w:rsidRDefault="00E52C25" w:rsidP="00993B65">
            <w:pPr>
              <w:numPr>
                <w:ilvl w:val="1"/>
                <w:numId w:val="13"/>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Packet sequence control</w:t>
            </w:r>
          </w:p>
        </w:tc>
      </w:tr>
      <w:tr w:rsidR="00E52C25" w:rsidRPr="006562CB" w14:paraId="18581794" w14:textId="77777777" w:rsidTr="007D7A0E">
        <w:trPr>
          <w:tblCellSpacing w:w="0.75pt" w:type="dxa"/>
        </w:trPr>
        <w:tc>
          <w:tcPr>
            <w:tcW w:w="0pt" w:type="auto"/>
            <w:tcBorders>
              <w:top w:val="outset" w:sz="6" w:space="0" w:color="auto"/>
              <w:start w:val="outset" w:sz="6" w:space="0" w:color="auto"/>
              <w:bottom w:val="outset" w:sz="6" w:space="0" w:color="auto"/>
              <w:end w:val="outset" w:sz="6" w:space="0" w:color="auto"/>
            </w:tcBorders>
            <w:shd w:val="clear" w:color="auto" w:fill="FF6666"/>
            <w:vAlign w:val="center"/>
            <w:hideMark/>
          </w:tcPr>
          <w:p w14:paraId="4A37D2E0" w14:textId="77777777" w:rsidR="00E52C25" w:rsidRPr="006562CB" w:rsidRDefault="00E52C25" w:rsidP="007D7A0E">
            <w:pPr>
              <w:jc w:val="start"/>
              <w:rPr>
                <w:rFonts w:ascii="Arial" w:eastAsia="Times New Roman" w:hAnsi="Arial" w:cs="Arial"/>
                <w:lang w:val="en-GB" w:eastAsia="en-GB"/>
              </w:rPr>
            </w:pPr>
            <w:r w:rsidRPr="006562CB">
              <w:rPr>
                <w:rFonts w:ascii="Arial" w:eastAsia="Times New Roman" w:hAnsi="Arial" w:cs="Arial"/>
                <w:lang w:val="en-GB" w:eastAsia="en-GB"/>
              </w:rPr>
              <w:t>MAC layer firewalls</w:t>
            </w:r>
            <w:r w:rsidRPr="006562CB">
              <w:rPr>
                <w:rFonts w:ascii="Arial" w:eastAsia="Times New Roman" w:hAnsi="Arial" w:cs="Arial"/>
                <w:lang w:val="en-GB" w:eastAsia="en-GB"/>
              </w:rPr>
              <w:br/>
              <w:t>live here</w:t>
            </w:r>
          </w:p>
        </w:tc>
        <w:tc>
          <w:tcPr>
            <w:tcW w:w="0pt" w:type="auto"/>
            <w:tcBorders>
              <w:top w:val="outset" w:sz="6" w:space="0" w:color="auto"/>
              <w:start w:val="outset" w:sz="6" w:space="0" w:color="auto"/>
              <w:bottom w:val="outset" w:sz="6" w:space="0" w:color="auto"/>
              <w:end w:val="outset" w:sz="6" w:space="0" w:color="auto"/>
            </w:tcBorders>
            <w:shd w:val="clear" w:color="auto" w:fill="FF6600"/>
            <w:vAlign w:val="center"/>
            <w:hideMark/>
          </w:tcPr>
          <w:p w14:paraId="5AA1B24A"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Data link</w:t>
            </w:r>
            <w:r w:rsidRPr="006562CB">
              <w:rPr>
                <w:rFonts w:ascii="Arial" w:eastAsia="Times New Roman" w:hAnsi="Arial" w:cs="Arial"/>
                <w:b/>
                <w:bCs/>
                <w:lang w:val="en-GB" w:eastAsia="en-GB"/>
              </w:rPr>
              <w:br/>
              <w:t>(layer 2)</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0841B5B3" w14:textId="77777777" w:rsidR="00E52C25" w:rsidRPr="006562CB" w:rsidRDefault="00E52C25" w:rsidP="00993B65">
            <w:pPr>
              <w:numPr>
                <w:ilvl w:val="0"/>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MAC sublayer</w:t>
            </w:r>
          </w:p>
          <w:p w14:paraId="5BE44E52" w14:textId="77777777" w:rsidR="00E52C25" w:rsidRPr="006562CB" w:rsidRDefault="00E52C25" w:rsidP="00993B65">
            <w:pPr>
              <w:numPr>
                <w:ilvl w:val="1"/>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Logical Topology - 2 methods:</w:t>
            </w:r>
          </w:p>
          <w:p w14:paraId="609D85C4"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Bus</w:t>
            </w:r>
          </w:p>
          <w:p w14:paraId="16219236"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Ring</w:t>
            </w:r>
          </w:p>
          <w:p w14:paraId="20F2EB93" w14:textId="77777777" w:rsidR="00E52C25" w:rsidRPr="006562CB" w:rsidRDefault="00E52C25" w:rsidP="00993B65">
            <w:pPr>
              <w:numPr>
                <w:ilvl w:val="1"/>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Media Access - 3 methods:</w:t>
            </w:r>
          </w:p>
          <w:p w14:paraId="22442498"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Contention</w:t>
            </w:r>
          </w:p>
          <w:p w14:paraId="2B3CABEB"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Token Passing</w:t>
            </w:r>
          </w:p>
          <w:p w14:paraId="519C21E6"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Polling</w:t>
            </w:r>
          </w:p>
          <w:p w14:paraId="6DCD51FD" w14:textId="77777777" w:rsidR="00E52C25" w:rsidRPr="006562CB" w:rsidRDefault="00E52C25" w:rsidP="00993B65">
            <w:pPr>
              <w:numPr>
                <w:ilvl w:val="1"/>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Addressing - 1 method:</w:t>
            </w:r>
          </w:p>
          <w:p w14:paraId="78CF4427"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Physical Device Address - the MAC address</w:t>
            </w:r>
          </w:p>
          <w:p w14:paraId="42768614" w14:textId="77777777" w:rsidR="00E52C25" w:rsidRPr="006562CB" w:rsidRDefault="00E52C25" w:rsidP="00993B65">
            <w:pPr>
              <w:numPr>
                <w:ilvl w:val="0"/>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LLC sublayer</w:t>
            </w:r>
          </w:p>
          <w:p w14:paraId="5802751F" w14:textId="77777777" w:rsidR="00E52C25" w:rsidRPr="006562CB" w:rsidRDefault="00E52C25" w:rsidP="00993B65">
            <w:pPr>
              <w:numPr>
                <w:ilvl w:val="1"/>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Transmission Synchronization - 3 methods:</w:t>
            </w:r>
          </w:p>
          <w:p w14:paraId="71540784"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Synchronous</w:t>
            </w:r>
          </w:p>
          <w:p w14:paraId="3FB14A50"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Asynchronous</w:t>
            </w:r>
          </w:p>
          <w:p w14:paraId="0F7CC68B"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Isochronous</w:t>
            </w:r>
          </w:p>
          <w:p w14:paraId="40D9700E" w14:textId="77777777" w:rsidR="00E52C25" w:rsidRPr="006562CB" w:rsidRDefault="00E52C25" w:rsidP="00993B65">
            <w:pPr>
              <w:numPr>
                <w:ilvl w:val="1"/>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lastRenderedPageBreak/>
              <w:t>Connection Services - 3 methods:</w:t>
            </w:r>
          </w:p>
          <w:p w14:paraId="70AC8D58"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Unacknowledged Connectionless</w:t>
            </w:r>
          </w:p>
          <w:p w14:paraId="26B75504"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Connection Oriented</w:t>
            </w:r>
          </w:p>
          <w:p w14:paraId="62455198" w14:textId="77777777" w:rsidR="00E52C25" w:rsidRPr="006562CB" w:rsidRDefault="00E52C25" w:rsidP="00993B65">
            <w:pPr>
              <w:numPr>
                <w:ilvl w:val="2"/>
                <w:numId w:val="14"/>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Acknowledged Connectionless</w:t>
            </w:r>
          </w:p>
        </w:tc>
      </w:tr>
      <w:tr w:rsidR="00E52C25" w:rsidRPr="006562CB" w14:paraId="4649EF2C" w14:textId="77777777" w:rsidTr="007D7A0E">
        <w:trPr>
          <w:tblCellSpacing w:w="0.75pt" w:type="dxa"/>
        </w:trPr>
        <w:tc>
          <w:tcPr>
            <w:tcW w:w="0pt" w:type="auto"/>
            <w:tcBorders>
              <w:top w:val="outset" w:sz="6" w:space="0" w:color="auto"/>
              <w:start w:val="outset" w:sz="6" w:space="0" w:color="auto"/>
              <w:bottom w:val="outset" w:sz="6" w:space="0" w:color="auto"/>
              <w:end w:val="outset" w:sz="6" w:space="0" w:color="auto"/>
            </w:tcBorders>
            <w:shd w:val="clear" w:color="auto" w:fill="FF6666"/>
            <w:vAlign w:val="center"/>
            <w:hideMark/>
          </w:tcPr>
          <w:p w14:paraId="068D36B3" w14:textId="77777777" w:rsidR="00E52C25" w:rsidRPr="006562CB" w:rsidRDefault="00E52C25" w:rsidP="007D7A0E">
            <w:pPr>
              <w:jc w:val="start"/>
              <w:rPr>
                <w:rFonts w:ascii="Arial" w:eastAsia="Times New Roman" w:hAnsi="Arial" w:cs="Arial"/>
                <w:lang w:val="en-GB" w:eastAsia="en-GB"/>
              </w:rPr>
            </w:pPr>
            <w:r w:rsidRPr="006562CB">
              <w:rPr>
                <w:rFonts w:ascii="Arial" w:eastAsia="Times New Roman" w:hAnsi="Arial" w:cs="Arial"/>
                <w:lang w:val="en-GB" w:eastAsia="en-GB"/>
              </w:rPr>
              <w:lastRenderedPageBreak/>
              <w:t>no firewall lives here:</w:t>
            </w:r>
            <w:r w:rsidRPr="006562CB">
              <w:rPr>
                <w:rFonts w:ascii="Arial" w:eastAsia="Times New Roman" w:hAnsi="Arial" w:cs="Arial"/>
                <w:lang w:val="en-GB" w:eastAsia="en-GB"/>
              </w:rPr>
              <w:br/>
              <w:t>no addresses on this layer</w:t>
            </w:r>
          </w:p>
        </w:tc>
        <w:tc>
          <w:tcPr>
            <w:tcW w:w="0pt" w:type="auto"/>
            <w:tcBorders>
              <w:top w:val="outset" w:sz="6" w:space="0" w:color="auto"/>
              <w:start w:val="outset" w:sz="6" w:space="0" w:color="auto"/>
              <w:bottom w:val="outset" w:sz="6" w:space="0" w:color="auto"/>
              <w:end w:val="outset" w:sz="6" w:space="0" w:color="auto"/>
            </w:tcBorders>
            <w:shd w:val="clear" w:color="auto" w:fill="FF3232"/>
            <w:vAlign w:val="center"/>
            <w:hideMark/>
          </w:tcPr>
          <w:p w14:paraId="727831C3" w14:textId="77777777" w:rsidR="00E52C25" w:rsidRPr="006562CB" w:rsidRDefault="00E52C25" w:rsidP="007D7A0E">
            <w:pPr>
              <w:jc w:val="start"/>
              <w:rPr>
                <w:rFonts w:ascii="Arial" w:eastAsia="Times New Roman" w:hAnsi="Arial" w:cs="Arial"/>
                <w:b/>
                <w:bCs/>
                <w:lang w:val="en-GB" w:eastAsia="en-GB"/>
              </w:rPr>
            </w:pPr>
            <w:r w:rsidRPr="006562CB">
              <w:rPr>
                <w:rFonts w:ascii="Arial" w:eastAsia="Times New Roman" w:hAnsi="Arial" w:cs="Arial"/>
                <w:b/>
                <w:bCs/>
                <w:lang w:val="en-GB" w:eastAsia="en-GB"/>
              </w:rPr>
              <w:t>Physical</w:t>
            </w:r>
            <w:r w:rsidRPr="006562CB">
              <w:rPr>
                <w:rFonts w:ascii="Arial" w:eastAsia="Times New Roman" w:hAnsi="Arial" w:cs="Arial"/>
                <w:b/>
                <w:bCs/>
                <w:lang w:val="en-GB" w:eastAsia="en-GB"/>
              </w:rPr>
              <w:br/>
              <w:t>(layer 1)</w:t>
            </w:r>
          </w:p>
        </w:tc>
        <w:tc>
          <w:tcPr>
            <w:tcW w:w="0pt" w:type="auto"/>
            <w:tcBorders>
              <w:top w:val="outset" w:sz="6" w:space="0" w:color="auto"/>
              <w:start w:val="outset" w:sz="6" w:space="0" w:color="auto"/>
              <w:bottom w:val="outset" w:sz="6" w:space="0" w:color="auto"/>
              <w:end w:val="outset" w:sz="6" w:space="0" w:color="auto"/>
            </w:tcBorders>
            <w:shd w:val="clear" w:color="auto" w:fill="FFFFFF"/>
            <w:vAlign w:val="center"/>
            <w:hideMark/>
          </w:tcPr>
          <w:p w14:paraId="081A03A6"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Connection Type - 2 methods:</w:t>
            </w:r>
          </w:p>
          <w:p w14:paraId="690AA9E1"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Point-to-Point</w:t>
            </w:r>
          </w:p>
          <w:p w14:paraId="59240DE1"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Multipoint</w:t>
            </w:r>
          </w:p>
          <w:p w14:paraId="57355537"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Physical Topology - 5 methods:</w:t>
            </w:r>
          </w:p>
          <w:p w14:paraId="34130F13"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Bus</w:t>
            </w:r>
          </w:p>
          <w:p w14:paraId="5A361B8D"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Ring</w:t>
            </w:r>
          </w:p>
          <w:p w14:paraId="68CBCD48"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Star</w:t>
            </w:r>
          </w:p>
          <w:p w14:paraId="6D8F33EC"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Mesh</w:t>
            </w:r>
          </w:p>
          <w:p w14:paraId="29C7CCBD"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Cellular</w:t>
            </w:r>
          </w:p>
          <w:p w14:paraId="710626A1"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 xml:space="preserve">Digital </w:t>
            </w:r>
            <w:proofErr w:type="spellStart"/>
            <w:r w:rsidRPr="006562CB">
              <w:rPr>
                <w:rFonts w:ascii="Arial" w:eastAsia="Times New Roman" w:hAnsi="Arial" w:cs="Arial"/>
                <w:lang w:val="en-GB" w:eastAsia="en-GB"/>
              </w:rPr>
              <w:t>Signaling</w:t>
            </w:r>
            <w:proofErr w:type="spellEnd"/>
            <w:r w:rsidRPr="006562CB">
              <w:rPr>
                <w:rFonts w:ascii="Arial" w:eastAsia="Times New Roman" w:hAnsi="Arial" w:cs="Arial"/>
                <w:lang w:val="en-GB" w:eastAsia="en-GB"/>
              </w:rPr>
              <w:t xml:space="preserve"> - 2 methods:</w:t>
            </w:r>
          </w:p>
          <w:p w14:paraId="1404E2A1"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Current State</w:t>
            </w:r>
          </w:p>
          <w:p w14:paraId="1A7702F2"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State Transition</w:t>
            </w:r>
          </w:p>
          <w:p w14:paraId="62B8CA30"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 xml:space="preserve">Analog </w:t>
            </w:r>
            <w:proofErr w:type="spellStart"/>
            <w:r w:rsidRPr="006562CB">
              <w:rPr>
                <w:rFonts w:ascii="Arial" w:eastAsia="Times New Roman" w:hAnsi="Arial" w:cs="Arial"/>
                <w:lang w:val="en-GB" w:eastAsia="en-GB"/>
              </w:rPr>
              <w:t>Signaling</w:t>
            </w:r>
            <w:proofErr w:type="spellEnd"/>
            <w:r w:rsidRPr="006562CB">
              <w:rPr>
                <w:rFonts w:ascii="Arial" w:eastAsia="Times New Roman" w:hAnsi="Arial" w:cs="Arial"/>
                <w:lang w:val="en-GB" w:eastAsia="en-GB"/>
              </w:rPr>
              <w:t xml:space="preserve"> - 2 methods:</w:t>
            </w:r>
          </w:p>
          <w:p w14:paraId="66319031"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Current State</w:t>
            </w:r>
          </w:p>
          <w:p w14:paraId="16759234"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State Transition</w:t>
            </w:r>
          </w:p>
          <w:p w14:paraId="377685AB"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Bit Synchronization - 2 methods:</w:t>
            </w:r>
          </w:p>
          <w:p w14:paraId="58F2D47A"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Synchronous</w:t>
            </w:r>
          </w:p>
          <w:p w14:paraId="76CE209D"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Asynchronous</w:t>
            </w:r>
          </w:p>
          <w:p w14:paraId="5CC60E23"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Bandwidth Usage - 2 methods:</w:t>
            </w:r>
          </w:p>
          <w:p w14:paraId="35192C28"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Baseband</w:t>
            </w:r>
          </w:p>
          <w:p w14:paraId="21BFD366"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Broadband</w:t>
            </w:r>
          </w:p>
          <w:p w14:paraId="571DB3DD" w14:textId="77777777" w:rsidR="00E52C25" w:rsidRPr="006562CB" w:rsidRDefault="00E52C25" w:rsidP="00993B65">
            <w:pPr>
              <w:numPr>
                <w:ilvl w:val="0"/>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Multiplexing - 3 methods:</w:t>
            </w:r>
          </w:p>
          <w:p w14:paraId="298A0DE3"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Frequency Division</w:t>
            </w:r>
          </w:p>
          <w:p w14:paraId="304386D2"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Time Division</w:t>
            </w:r>
          </w:p>
          <w:p w14:paraId="2997F976" w14:textId="77777777" w:rsidR="00E52C25" w:rsidRPr="006562CB" w:rsidRDefault="00E52C25" w:rsidP="00993B65">
            <w:pPr>
              <w:numPr>
                <w:ilvl w:val="1"/>
                <w:numId w:val="15"/>
              </w:numPr>
              <w:spacing w:before="5pt" w:beforeAutospacing="1" w:after="5pt" w:afterAutospacing="1"/>
              <w:jc w:val="start"/>
              <w:rPr>
                <w:rFonts w:ascii="Arial" w:eastAsia="Times New Roman" w:hAnsi="Arial" w:cs="Arial"/>
                <w:lang w:val="en-GB" w:eastAsia="en-GB"/>
              </w:rPr>
            </w:pPr>
            <w:r w:rsidRPr="006562CB">
              <w:rPr>
                <w:rFonts w:ascii="Arial" w:eastAsia="Times New Roman" w:hAnsi="Arial" w:cs="Arial"/>
                <w:lang w:val="en-GB" w:eastAsia="en-GB"/>
              </w:rPr>
              <w:t>Statistical Time Division</w:t>
            </w:r>
          </w:p>
        </w:tc>
      </w:tr>
    </w:tbl>
    <w:p w14:paraId="1D693384" w14:textId="77777777" w:rsidR="00E52C25" w:rsidRDefault="00E52C25" w:rsidP="00E52C25">
      <w:pPr>
        <w:jc w:val="start"/>
        <w:rPr>
          <w:sz w:val="24"/>
          <w:szCs w:val="24"/>
        </w:rPr>
      </w:pPr>
    </w:p>
    <w:p w14:paraId="67EA2232" w14:textId="093C5659" w:rsidR="00E52C25" w:rsidRPr="00EC144C" w:rsidRDefault="00E52C25" w:rsidP="00E52C25">
      <w:pPr>
        <w:rPr>
          <w:i/>
          <w:iCs/>
          <w:color w:val="44546A" w:themeColor="text2"/>
          <w:sz w:val="18"/>
          <w:szCs w:val="18"/>
        </w:rPr>
      </w:pPr>
      <w:r w:rsidRPr="00EC144C">
        <w:rPr>
          <w:i/>
          <w:iCs/>
          <w:color w:val="44546A" w:themeColor="text2"/>
          <w:sz w:val="18"/>
          <w:szCs w:val="18"/>
        </w:rPr>
        <w:t>Figure</w:t>
      </w:r>
      <w:r>
        <w:rPr>
          <w:i/>
          <w:iCs/>
          <w:color w:val="44546A" w:themeColor="text2"/>
          <w:sz w:val="18"/>
          <w:szCs w:val="18"/>
        </w:rPr>
        <w:t xml:space="preserve"> </w:t>
      </w:r>
      <w:r w:rsidR="002005B6">
        <w:rPr>
          <w:i/>
          <w:iCs/>
          <w:color w:val="44546A" w:themeColor="text2"/>
          <w:sz w:val="18"/>
          <w:szCs w:val="18"/>
        </w:rPr>
        <w:t>9</w:t>
      </w:r>
      <w:r w:rsidRPr="00EC144C">
        <w:rPr>
          <w:i/>
          <w:iCs/>
          <w:color w:val="44546A" w:themeColor="text2"/>
          <w:sz w:val="18"/>
          <w:szCs w:val="18"/>
        </w:rPr>
        <w:t xml:space="preserve"> shows</w:t>
      </w:r>
      <w:r>
        <w:rPr>
          <w:i/>
          <w:iCs/>
          <w:color w:val="44546A" w:themeColor="text2"/>
          <w:sz w:val="18"/>
          <w:szCs w:val="18"/>
        </w:rPr>
        <w:t xml:space="preserve"> a table on</w:t>
      </w:r>
      <w:r w:rsidRPr="00EC144C">
        <w:rPr>
          <w:i/>
          <w:iCs/>
          <w:color w:val="44546A" w:themeColor="text2"/>
          <w:sz w:val="18"/>
          <w:szCs w:val="18"/>
        </w:rPr>
        <w:t xml:space="preserve"> </w:t>
      </w:r>
      <w:r>
        <w:rPr>
          <w:i/>
          <w:iCs/>
          <w:color w:val="44546A" w:themeColor="text2"/>
          <w:sz w:val="18"/>
          <w:szCs w:val="18"/>
        </w:rPr>
        <w:t>s</w:t>
      </w:r>
      <w:r w:rsidRPr="00EC144C">
        <w:rPr>
          <w:i/>
          <w:iCs/>
          <w:color w:val="44546A" w:themeColor="text2"/>
          <w:sz w:val="18"/>
          <w:szCs w:val="18"/>
        </w:rPr>
        <w:t>ecurity Technology in terms of Firewalls and VPNs</w:t>
      </w:r>
      <w:r w:rsidR="005E3B8B">
        <w:rPr>
          <w:i/>
          <w:iCs/>
          <w:color w:val="44546A" w:themeColor="text2"/>
          <w:sz w:val="18"/>
          <w:szCs w:val="18"/>
        </w:rPr>
        <w:t xml:space="preserve"> [</w:t>
      </w:r>
      <w:r w:rsidR="00EE4771">
        <w:rPr>
          <w:i/>
          <w:iCs/>
          <w:color w:val="44546A" w:themeColor="text2"/>
          <w:sz w:val="18"/>
          <w:szCs w:val="18"/>
        </w:rPr>
        <w:t>4</w:t>
      </w:r>
      <w:r w:rsidR="00F76A84">
        <w:rPr>
          <w:i/>
          <w:iCs/>
          <w:color w:val="44546A" w:themeColor="text2"/>
          <w:sz w:val="18"/>
          <w:szCs w:val="18"/>
        </w:rPr>
        <w:t>1</w:t>
      </w:r>
      <w:r w:rsidR="005E3B8B">
        <w:rPr>
          <w:i/>
          <w:iCs/>
          <w:color w:val="44546A" w:themeColor="text2"/>
          <w:sz w:val="18"/>
          <w:szCs w:val="18"/>
        </w:rPr>
        <w:t>]</w:t>
      </w:r>
    </w:p>
    <w:p w14:paraId="1C2ED0CD" w14:textId="77777777" w:rsidR="00E52C25" w:rsidRDefault="00E52C25" w:rsidP="00E52C25">
      <w:pPr>
        <w:jc w:val="start"/>
        <w:rPr>
          <w:sz w:val="24"/>
          <w:szCs w:val="24"/>
        </w:rPr>
      </w:pPr>
    </w:p>
    <w:p w14:paraId="4B0D0CE2" w14:textId="77777777" w:rsidR="00E52C25" w:rsidRPr="000C08B7" w:rsidRDefault="00E52C25" w:rsidP="00E52C25">
      <w:pPr>
        <w:jc w:val="start"/>
        <w:rPr>
          <w:sz w:val="24"/>
          <w:szCs w:val="24"/>
          <w:lang w:val="en-GB"/>
        </w:rPr>
      </w:pPr>
      <w:r w:rsidRPr="000C08B7">
        <w:rPr>
          <w:sz w:val="24"/>
          <w:szCs w:val="24"/>
          <w:lang w:val="en-GB"/>
        </w:rPr>
        <w:t>In a fully hybrid organisation, traditional perimeter-based firewalls are no longer sufficient due to distributed users, cloud-hosted services, and remote endpoints operating beyond centralised networks. Security boundaries must therefore extend across on-premises systems, multi-cloud platforms, and endpoint devices. Modern firewall strategy shifts from static perimeter defence to adaptive, policy-driven enforcement aligned with Zero Trust principles.</w:t>
      </w:r>
    </w:p>
    <w:p w14:paraId="4EB40DB9" w14:textId="5ACA6AF3" w:rsidR="00E52C25" w:rsidRPr="000C08B7" w:rsidRDefault="00E52C25" w:rsidP="00E52C25">
      <w:pPr>
        <w:jc w:val="start"/>
        <w:rPr>
          <w:sz w:val="24"/>
          <w:szCs w:val="24"/>
          <w:lang w:val="en-GB"/>
        </w:rPr>
      </w:pPr>
      <w:r w:rsidRPr="000C08B7">
        <w:rPr>
          <w:sz w:val="24"/>
          <w:szCs w:val="24"/>
          <w:lang w:val="en-GB"/>
        </w:rPr>
        <w:t xml:space="preserve">Next-generation firewalls (NGFWs) provide deep packet inspection, application awareness, and intrusion prevention capabilities that are essential for inspecting encrypted traffic and controlling SaaS usage in hybrid environments. Web Application Firewalls (WAFs) further protect cloud-hosted applications and APIs by mitigating attacks such as SQL injection and cross-site scripting, which are common in externally accessible </w:t>
      </w:r>
      <w:proofErr w:type="gramStart"/>
      <w:r w:rsidRPr="000C08B7">
        <w:rPr>
          <w:sz w:val="24"/>
          <w:szCs w:val="24"/>
          <w:lang w:val="en-GB"/>
        </w:rPr>
        <w:t>services</w:t>
      </w:r>
      <w:r>
        <w:rPr>
          <w:sz w:val="24"/>
          <w:szCs w:val="24"/>
          <w:lang w:val="en-GB"/>
        </w:rPr>
        <w:t>[</w:t>
      </w:r>
      <w:proofErr w:type="gramEnd"/>
      <w:r w:rsidR="008C3729">
        <w:rPr>
          <w:sz w:val="24"/>
          <w:szCs w:val="24"/>
          <w:lang w:val="en-GB"/>
        </w:rPr>
        <w:t>4</w:t>
      </w:r>
      <w:r w:rsidR="00F76A84">
        <w:rPr>
          <w:sz w:val="24"/>
          <w:szCs w:val="24"/>
          <w:lang w:val="en-GB"/>
        </w:rPr>
        <w:t>2</w:t>
      </w:r>
      <w:r>
        <w:rPr>
          <w:sz w:val="24"/>
          <w:szCs w:val="24"/>
          <w:lang w:val="en-GB"/>
        </w:rPr>
        <w:t>]</w:t>
      </w:r>
    </w:p>
    <w:p w14:paraId="6C7F40F4" w14:textId="0D7C32DE" w:rsidR="00E52C25" w:rsidRDefault="00E52C25" w:rsidP="00E52C25">
      <w:pPr>
        <w:jc w:val="start"/>
        <w:rPr>
          <w:sz w:val="24"/>
          <w:szCs w:val="24"/>
          <w:lang w:val="en-GB"/>
        </w:rPr>
      </w:pPr>
      <w:r w:rsidRPr="000C08B7">
        <w:rPr>
          <w:sz w:val="24"/>
          <w:szCs w:val="24"/>
          <w:lang w:val="en-GB"/>
        </w:rPr>
        <w:t>Cloud-native firewalls and Firewall-as-a-Service (</w:t>
      </w:r>
      <w:proofErr w:type="spellStart"/>
      <w:r w:rsidRPr="000C08B7">
        <w:rPr>
          <w:sz w:val="24"/>
          <w:szCs w:val="24"/>
          <w:lang w:val="en-GB"/>
        </w:rPr>
        <w:t>FWaaS</w:t>
      </w:r>
      <w:proofErr w:type="spellEnd"/>
      <w:r w:rsidRPr="000C08B7">
        <w:rPr>
          <w:sz w:val="24"/>
          <w:szCs w:val="24"/>
          <w:lang w:val="en-GB"/>
        </w:rPr>
        <w:t>) solutions enable scalable, centralised policy enforcement without routing traffic through physical data centres. This ensures consistent access control across distributed architectures while reducing latency for remote users. Host-based firewalls strengthen endpoint protection by enforcing security policies even when devices connect through untrusted networks.</w:t>
      </w:r>
    </w:p>
    <w:p w14:paraId="61F01785" w14:textId="707333B7" w:rsidR="00622FAB" w:rsidRPr="00622FAB" w:rsidRDefault="00622FAB" w:rsidP="00622FAB">
      <w:pPr>
        <w:jc w:val="start"/>
        <w:rPr>
          <w:sz w:val="24"/>
          <w:szCs w:val="24"/>
          <w:lang w:val="en-GB"/>
        </w:rPr>
      </w:pPr>
      <w:r w:rsidRPr="00622FAB">
        <w:rPr>
          <w:sz w:val="24"/>
          <w:szCs w:val="24"/>
          <w:lang w:val="en-GB"/>
        </w:rPr>
        <w:t xml:space="preserve">Cloud misconfigurations </w:t>
      </w:r>
      <w:r>
        <w:rPr>
          <w:sz w:val="24"/>
          <w:szCs w:val="24"/>
          <w:lang w:val="en-GB"/>
        </w:rPr>
        <w:t xml:space="preserve">such as </w:t>
      </w:r>
      <w:r w:rsidRPr="00622FAB">
        <w:rPr>
          <w:sz w:val="24"/>
          <w:szCs w:val="24"/>
          <w:lang w:val="en-GB"/>
        </w:rPr>
        <w:t xml:space="preserve">immediate data exposure </w:t>
      </w:r>
      <w:r>
        <w:rPr>
          <w:sz w:val="24"/>
          <w:szCs w:val="24"/>
          <w:lang w:val="en-GB"/>
        </w:rPr>
        <w:t xml:space="preserve">is a </w:t>
      </w:r>
      <w:r w:rsidRPr="00622FAB">
        <w:rPr>
          <w:sz w:val="24"/>
          <w:szCs w:val="24"/>
          <w:lang w:val="en-GB"/>
        </w:rPr>
        <w:t xml:space="preserve">risk </w:t>
      </w:r>
      <w:r>
        <w:rPr>
          <w:sz w:val="24"/>
          <w:szCs w:val="24"/>
          <w:lang w:val="en-GB"/>
        </w:rPr>
        <w:t>as well as</w:t>
      </w:r>
      <w:r w:rsidRPr="00622FAB">
        <w:rPr>
          <w:sz w:val="24"/>
          <w:szCs w:val="24"/>
          <w:lang w:val="en-GB"/>
        </w:rPr>
        <w:t xml:space="preserve"> phishing-resistant MFA deployment</w:t>
      </w:r>
      <w:r>
        <w:rPr>
          <w:sz w:val="24"/>
          <w:szCs w:val="24"/>
          <w:lang w:val="en-GB"/>
        </w:rPr>
        <w:t xml:space="preserve">s to </w:t>
      </w:r>
      <w:r w:rsidRPr="00622FAB">
        <w:rPr>
          <w:sz w:val="24"/>
          <w:szCs w:val="24"/>
          <w:lang w:val="en-GB"/>
        </w:rPr>
        <w:t>prevents</w:t>
      </w:r>
      <w:r>
        <w:rPr>
          <w:sz w:val="24"/>
          <w:szCs w:val="24"/>
          <w:lang w:val="en-GB"/>
        </w:rPr>
        <w:t xml:space="preserve"> up to</w:t>
      </w:r>
      <w:r w:rsidRPr="00622FAB">
        <w:rPr>
          <w:sz w:val="24"/>
          <w:szCs w:val="24"/>
          <w:lang w:val="en-GB"/>
        </w:rPr>
        <w:t xml:space="preserve"> 80% of breaches.</w:t>
      </w:r>
      <w:r>
        <w:rPr>
          <w:sz w:val="24"/>
          <w:szCs w:val="24"/>
          <w:lang w:val="en-GB"/>
        </w:rPr>
        <w:t xml:space="preserve"> </w:t>
      </w:r>
      <w:r w:rsidRPr="00622FAB">
        <w:rPr>
          <w:sz w:val="24"/>
          <w:szCs w:val="24"/>
          <w:lang w:val="en-GB"/>
        </w:rPr>
        <w:t>Software supply chain validation</w:t>
      </w:r>
      <w:r>
        <w:rPr>
          <w:sz w:val="24"/>
          <w:szCs w:val="24"/>
          <w:lang w:val="en-GB"/>
        </w:rPr>
        <w:t xml:space="preserve"> are very important when it comes to </w:t>
      </w:r>
      <w:r w:rsidR="001F5554">
        <w:rPr>
          <w:sz w:val="24"/>
          <w:szCs w:val="24"/>
          <w:lang w:val="en-GB"/>
        </w:rPr>
        <w:t>outsourcing</w:t>
      </w:r>
      <w:r w:rsidRPr="00622FAB">
        <w:rPr>
          <w:sz w:val="24"/>
          <w:szCs w:val="24"/>
          <w:lang w:val="en-GB"/>
        </w:rPr>
        <w:t xml:space="preserve"> and AI model integrity monitoring</w:t>
      </w:r>
      <w:r w:rsidR="001F5554">
        <w:rPr>
          <w:sz w:val="24"/>
          <w:szCs w:val="24"/>
          <w:lang w:val="en-GB"/>
        </w:rPr>
        <w:t xml:space="preserve"> is vital to keep the safety of the organisations running’s and usability and availability and is the best cost </w:t>
      </w:r>
      <w:proofErr w:type="spellStart"/>
      <w:r w:rsidR="001F5554">
        <w:rPr>
          <w:sz w:val="24"/>
          <w:szCs w:val="24"/>
          <w:lang w:val="en-GB"/>
        </w:rPr>
        <w:t>affective</w:t>
      </w:r>
      <w:proofErr w:type="spellEnd"/>
      <w:r w:rsidR="001F5554">
        <w:rPr>
          <w:sz w:val="24"/>
          <w:szCs w:val="24"/>
          <w:lang w:val="en-GB"/>
        </w:rPr>
        <w:t xml:space="preserve"> way to keep the business running and money flow active</w:t>
      </w:r>
      <w:r w:rsidRPr="00622FAB">
        <w:rPr>
          <w:sz w:val="24"/>
          <w:szCs w:val="24"/>
          <w:lang w:val="en-GB"/>
        </w:rPr>
        <w:t xml:space="preserve">. </w:t>
      </w:r>
      <w:r w:rsidR="001F5554">
        <w:rPr>
          <w:sz w:val="24"/>
          <w:szCs w:val="24"/>
          <w:lang w:val="en-GB"/>
        </w:rPr>
        <w:t>L</w:t>
      </w:r>
      <w:r w:rsidRPr="00622FAB">
        <w:rPr>
          <w:sz w:val="24"/>
          <w:szCs w:val="24"/>
          <w:lang w:val="en-GB"/>
        </w:rPr>
        <w:t>egacy system segmentation</w:t>
      </w:r>
      <w:r w:rsidR="001F5554">
        <w:rPr>
          <w:sz w:val="24"/>
          <w:szCs w:val="24"/>
          <w:lang w:val="en-GB"/>
        </w:rPr>
        <w:t xml:space="preserve"> is important to have as a failsafe in the unfortunate times that the organisation does get hacked or affected in cybersecurity issues,</w:t>
      </w:r>
      <w:r w:rsidRPr="00622FAB">
        <w:rPr>
          <w:sz w:val="24"/>
          <w:szCs w:val="24"/>
          <w:lang w:val="en-GB"/>
        </w:rPr>
        <w:t xml:space="preserve"> </w:t>
      </w:r>
      <w:proofErr w:type="gramStart"/>
      <w:r w:rsidRPr="00622FAB">
        <w:rPr>
          <w:sz w:val="24"/>
          <w:szCs w:val="24"/>
          <w:lang w:val="en-GB"/>
        </w:rPr>
        <w:t>This</w:t>
      </w:r>
      <w:proofErr w:type="gramEnd"/>
      <w:r w:rsidRPr="00622FAB">
        <w:rPr>
          <w:sz w:val="24"/>
          <w:szCs w:val="24"/>
          <w:lang w:val="en-GB"/>
        </w:rPr>
        <w:t xml:space="preserve"> </w:t>
      </w:r>
      <w:r w:rsidRPr="00622FAB">
        <w:rPr>
          <w:sz w:val="24"/>
          <w:szCs w:val="24"/>
          <w:lang w:val="en-GB"/>
        </w:rPr>
        <w:lastRenderedPageBreak/>
        <w:t>sequence addresses highest likelihood</w:t>
      </w:r>
      <w:r w:rsidR="001F5554">
        <w:rPr>
          <w:sz w:val="24"/>
          <w:szCs w:val="24"/>
          <w:lang w:val="en-GB"/>
        </w:rPr>
        <w:t xml:space="preserve"> by the </w:t>
      </w:r>
      <w:r w:rsidRPr="00622FAB">
        <w:rPr>
          <w:sz w:val="24"/>
          <w:szCs w:val="24"/>
          <w:lang w:val="en-GB"/>
        </w:rPr>
        <w:t xml:space="preserve">impact combinations </w:t>
      </w:r>
      <w:r w:rsidR="001F5554">
        <w:rPr>
          <w:sz w:val="24"/>
          <w:szCs w:val="24"/>
          <w:lang w:val="en-GB"/>
        </w:rPr>
        <w:t xml:space="preserve">by </w:t>
      </w:r>
      <w:r w:rsidRPr="00622FAB">
        <w:rPr>
          <w:sz w:val="24"/>
          <w:szCs w:val="24"/>
          <w:lang w:val="en-GB"/>
        </w:rPr>
        <w:t>first building foundational visibility for subsequent controls.</w:t>
      </w:r>
    </w:p>
    <w:p w14:paraId="52C346BF" w14:textId="52724CBB" w:rsidR="00622FAB" w:rsidRPr="00622FAB" w:rsidRDefault="00622FAB" w:rsidP="00622FAB">
      <w:pPr>
        <w:jc w:val="start"/>
        <w:rPr>
          <w:sz w:val="24"/>
          <w:szCs w:val="24"/>
          <w:lang w:val="en-GB"/>
        </w:rPr>
      </w:pPr>
    </w:p>
    <w:p w14:paraId="1C6668F0" w14:textId="77777777" w:rsidR="00622FAB" w:rsidRPr="000C08B7" w:rsidRDefault="00622FAB" w:rsidP="00E52C25">
      <w:pPr>
        <w:jc w:val="start"/>
        <w:rPr>
          <w:sz w:val="24"/>
          <w:szCs w:val="24"/>
          <w:lang w:val="en-GB"/>
        </w:rPr>
      </w:pPr>
    </w:p>
    <w:p w14:paraId="68EBCD2B" w14:textId="1A5B28CA" w:rsidR="00E52C25" w:rsidRPr="000C08B7" w:rsidRDefault="00E52C25" w:rsidP="00E52C25">
      <w:pPr>
        <w:jc w:val="start"/>
        <w:rPr>
          <w:sz w:val="24"/>
          <w:szCs w:val="24"/>
          <w:lang w:val="en-GB"/>
        </w:rPr>
      </w:pPr>
      <w:r w:rsidRPr="000C08B7">
        <w:rPr>
          <w:sz w:val="24"/>
          <w:szCs w:val="24"/>
          <w:lang w:val="en-GB"/>
        </w:rPr>
        <w:t xml:space="preserve">From a compliance perspective, firewall controls directly support ICT risk management, access control, and monitoring obligations under the Digital Operational Resilience Act (DORA) and NIS2. However, firewalls alone do not guarantee resilience. Their effectiveness depends on correct configuration, continuous monitoring, and integration with SIEM and identity governance systems. In hybrid organisations, firewall strategy must therefore operate as part of a centrally governed, risk-based security architecture rather than as a standalone perimeter </w:t>
      </w:r>
      <w:proofErr w:type="gramStart"/>
      <w:r w:rsidRPr="000C08B7">
        <w:rPr>
          <w:sz w:val="24"/>
          <w:szCs w:val="24"/>
          <w:lang w:val="en-GB"/>
        </w:rPr>
        <w:t>control</w:t>
      </w:r>
      <w:r>
        <w:rPr>
          <w:sz w:val="24"/>
          <w:szCs w:val="24"/>
          <w:lang w:val="en-GB"/>
        </w:rPr>
        <w:t>[</w:t>
      </w:r>
      <w:proofErr w:type="gramEnd"/>
      <w:r w:rsidR="008C3729">
        <w:rPr>
          <w:sz w:val="24"/>
          <w:szCs w:val="24"/>
          <w:lang w:val="en-GB"/>
        </w:rPr>
        <w:t>4</w:t>
      </w:r>
      <w:r w:rsidR="00F76A84">
        <w:rPr>
          <w:sz w:val="24"/>
          <w:szCs w:val="24"/>
          <w:lang w:val="en-GB"/>
        </w:rPr>
        <w:t>3</w:t>
      </w:r>
      <w:r>
        <w:rPr>
          <w:sz w:val="24"/>
          <w:szCs w:val="24"/>
          <w:lang w:val="en-GB"/>
        </w:rPr>
        <w:t>]</w:t>
      </w:r>
      <w:r w:rsidRPr="000C08B7">
        <w:rPr>
          <w:sz w:val="24"/>
          <w:szCs w:val="24"/>
          <w:lang w:val="en-GB"/>
        </w:rPr>
        <w:t>.</w:t>
      </w:r>
    </w:p>
    <w:p w14:paraId="392AE6A1" w14:textId="77777777" w:rsidR="00E52C25" w:rsidRDefault="00E52C25" w:rsidP="00E52C25">
      <w:pPr>
        <w:jc w:val="start"/>
        <w:rPr>
          <w:sz w:val="24"/>
          <w:szCs w:val="24"/>
        </w:rPr>
      </w:pPr>
    </w:p>
    <w:p w14:paraId="3DDE7991" w14:textId="77777777" w:rsidR="00E52C25" w:rsidRDefault="00E52C25" w:rsidP="00E52C25">
      <w:pPr>
        <w:jc w:val="start"/>
        <w:rPr>
          <w:sz w:val="24"/>
          <w:szCs w:val="24"/>
        </w:rPr>
      </w:pPr>
    </w:p>
    <w:p w14:paraId="1AEA89AB" w14:textId="77777777" w:rsidR="00E52C25" w:rsidRDefault="00E52C25" w:rsidP="00E52C25">
      <w:pPr>
        <w:jc w:val="start"/>
        <w:rPr>
          <w:sz w:val="24"/>
          <w:szCs w:val="24"/>
        </w:rPr>
      </w:pPr>
    </w:p>
    <w:p w14:paraId="32B01E5E" w14:textId="77777777" w:rsidR="00E52C25" w:rsidRDefault="00E52C25" w:rsidP="00E52C25">
      <w:pPr>
        <w:keepNext/>
        <w:jc w:val="start"/>
      </w:pPr>
      <w:r w:rsidRPr="00324643">
        <w:rPr>
          <w:sz w:val="24"/>
          <w:szCs w:val="24"/>
        </w:rPr>
        <w:drawing>
          <wp:inline distT="0" distB="0" distL="0" distR="0" wp14:anchorId="1DA94902" wp14:editId="02629504">
            <wp:extent cx="6408420" cy="4399915"/>
            <wp:effectExtent l="0" t="0" r="0" b="635"/>
            <wp:docPr id="11" name="Picture 1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34"/>
                    <a:stretch>
                      <a:fillRect/>
                    </a:stretch>
                  </pic:blipFill>
                  <pic:spPr>
                    <a:xfrm>
                      <a:off x="0" y="0"/>
                      <a:ext cx="6408420" cy="4399915"/>
                    </a:xfrm>
                    <a:prstGeom prst="rect">
                      <a:avLst/>
                    </a:prstGeom>
                  </pic:spPr>
                </pic:pic>
              </a:graphicData>
            </a:graphic>
          </wp:inline>
        </w:drawing>
      </w:r>
    </w:p>
    <w:p w14:paraId="2989CD4C" w14:textId="21CFC19B" w:rsidR="00E52C25" w:rsidRDefault="00E52C25" w:rsidP="00E52C25">
      <w:pPr>
        <w:pStyle w:val="Caption"/>
      </w:pPr>
      <w:r>
        <w:t xml:space="preserve">Figure </w:t>
      </w:r>
      <w:r w:rsidR="002005B6">
        <w:t>10</w:t>
      </w:r>
      <w:r>
        <w:t xml:space="preserve"> shows the VPNs security structure that the different types of VPNs that are available</w:t>
      </w:r>
      <w:r w:rsidR="003A1657">
        <w:t xml:space="preserve"> [4</w:t>
      </w:r>
      <w:r w:rsidR="00F76A84">
        <w:t>4</w:t>
      </w:r>
      <w:r w:rsidR="003A1657">
        <w:t>].</w:t>
      </w:r>
    </w:p>
    <w:p w14:paraId="2695AB96" w14:textId="77777777" w:rsidR="00E52C25" w:rsidRPr="00602A72" w:rsidRDefault="00E52C25" w:rsidP="00E52C25">
      <w:pPr>
        <w:jc w:val="start"/>
        <w:rPr>
          <w:sz w:val="24"/>
          <w:szCs w:val="24"/>
        </w:rPr>
      </w:pPr>
    </w:p>
    <w:p w14:paraId="56E45E33" w14:textId="69BD4772" w:rsidR="00E52C25" w:rsidRPr="000C08B7" w:rsidRDefault="00E52C25" w:rsidP="00E52C25">
      <w:pPr>
        <w:jc w:val="start"/>
        <w:rPr>
          <w:rFonts w:eastAsia="Times New Roman"/>
          <w:sz w:val="24"/>
          <w:szCs w:val="24"/>
          <w:lang w:val="en-GB" w:eastAsia="en-GB"/>
        </w:rPr>
      </w:pPr>
      <w:r w:rsidRPr="000C08B7">
        <w:rPr>
          <w:rFonts w:eastAsia="Times New Roman"/>
          <w:sz w:val="24"/>
          <w:szCs w:val="24"/>
          <w:lang w:val="en-GB" w:eastAsia="en-GB"/>
        </w:rPr>
        <w:t>Virtual Private Networks (VPNs) remain a critical component of secure connectivity within hybrid organisations, enabling encrypted communication between remote users, branch offices, and cloud environments. By establishing secure tunnels over public networks, VPNs protect data confidentiality and integrity during transmission. However, their role within modern hybrid architectures must be carefully evaluated alongside evolving Zero Trust principles</w:t>
      </w:r>
      <w:r>
        <w:rPr>
          <w:rFonts w:eastAsia="Times New Roman"/>
          <w:sz w:val="24"/>
          <w:szCs w:val="24"/>
          <w:lang w:val="en-GB" w:eastAsia="en-GB"/>
        </w:rPr>
        <w:t xml:space="preserve"> [</w:t>
      </w:r>
      <w:r w:rsidR="005E3B8B">
        <w:rPr>
          <w:rFonts w:eastAsia="Times New Roman"/>
          <w:sz w:val="24"/>
          <w:szCs w:val="24"/>
          <w:lang w:val="en-GB" w:eastAsia="en-GB"/>
        </w:rPr>
        <w:t>4</w:t>
      </w:r>
      <w:r w:rsidR="00F76851">
        <w:rPr>
          <w:rFonts w:eastAsia="Times New Roman"/>
          <w:sz w:val="24"/>
          <w:szCs w:val="24"/>
          <w:lang w:val="en-GB" w:eastAsia="en-GB"/>
        </w:rPr>
        <w:t>5</w:t>
      </w:r>
      <w:r>
        <w:rPr>
          <w:rFonts w:eastAsia="Times New Roman"/>
          <w:sz w:val="24"/>
          <w:szCs w:val="24"/>
          <w:lang w:val="en-GB" w:eastAsia="en-GB"/>
        </w:rPr>
        <w:t>]</w:t>
      </w:r>
      <w:r w:rsidRPr="000C08B7">
        <w:rPr>
          <w:rFonts w:eastAsia="Times New Roman"/>
          <w:sz w:val="24"/>
          <w:szCs w:val="24"/>
          <w:lang w:val="en-GB" w:eastAsia="en-GB"/>
        </w:rPr>
        <w:t>.</w:t>
      </w:r>
    </w:p>
    <w:p w14:paraId="11FEBA06" w14:textId="24440C98" w:rsidR="00E52C25" w:rsidRPr="000C08B7" w:rsidRDefault="00E52C25" w:rsidP="00E52C25">
      <w:pPr>
        <w:jc w:val="start"/>
        <w:rPr>
          <w:rFonts w:eastAsia="Times New Roman"/>
          <w:sz w:val="24"/>
          <w:szCs w:val="24"/>
          <w:lang w:val="en-GB" w:eastAsia="en-GB"/>
        </w:rPr>
      </w:pPr>
      <w:r w:rsidRPr="000C08B7">
        <w:rPr>
          <w:rFonts w:eastAsia="Times New Roman"/>
          <w:sz w:val="24"/>
          <w:szCs w:val="24"/>
          <w:lang w:val="en-GB" w:eastAsia="en-GB"/>
        </w:rPr>
        <w:t xml:space="preserve">Remote Access VPNs allow individual users to securely connect to organisational resources from external locations. They provide strong encryption and authentication mechanisms, particularly when integrated with Multi-Factor Authentication (MFA). Nevertheless, their security effectiveness depends heavily on endpoint hygiene and credential management. Compromised devices, weak passwords, outdated VPN clients, or insufficient access revocation processes can undermine protection. </w:t>
      </w:r>
      <w:r w:rsidRPr="000C08B7">
        <w:rPr>
          <w:rFonts w:eastAsia="Times New Roman"/>
          <w:sz w:val="24"/>
          <w:szCs w:val="24"/>
          <w:lang w:val="en-GB" w:eastAsia="en-GB"/>
        </w:rPr>
        <w:lastRenderedPageBreak/>
        <w:t>Furthermore, traditional VPN models often grant broad network access once authenticated, increasing lateral movement risk if an account is compromised</w:t>
      </w:r>
      <w:r>
        <w:rPr>
          <w:rFonts w:eastAsia="Times New Roman"/>
          <w:sz w:val="24"/>
          <w:szCs w:val="24"/>
          <w:lang w:val="en-GB" w:eastAsia="en-GB"/>
        </w:rPr>
        <w:t xml:space="preserve"> [</w:t>
      </w:r>
      <w:r w:rsidR="005E3B8B">
        <w:rPr>
          <w:rFonts w:eastAsia="Times New Roman"/>
          <w:sz w:val="24"/>
          <w:szCs w:val="24"/>
          <w:lang w:val="en-GB" w:eastAsia="en-GB"/>
        </w:rPr>
        <w:t>4</w:t>
      </w:r>
      <w:r w:rsidR="00F76851">
        <w:rPr>
          <w:rFonts w:eastAsia="Times New Roman"/>
          <w:sz w:val="24"/>
          <w:szCs w:val="24"/>
          <w:lang w:val="en-GB" w:eastAsia="en-GB"/>
        </w:rPr>
        <w:t>6</w:t>
      </w:r>
      <w:r>
        <w:rPr>
          <w:rFonts w:eastAsia="Times New Roman"/>
          <w:sz w:val="24"/>
          <w:szCs w:val="24"/>
          <w:lang w:val="en-GB" w:eastAsia="en-GB"/>
        </w:rPr>
        <w:t>]</w:t>
      </w:r>
      <w:r w:rsidRPr="000C08B7">
        <w:rPr>
          <w:rFonts w:eastAsia="Times New Roman"/>
          <w:sz w:val="24"/>
          <w:szCs w:val="24"/>
          <w:lang w:val="en-GB" w:eastAsia="en-GB"/>
        </w:rPr>
        <w:t>.</w:t>
      </w:r>
    </w:p>
    <w:p w14:paraId="74333671" w14:textId="77777777" w:rsidR="00E52C25" w:rsidRPr="000C08B7" w:rsidRDefault="00E52C25" w:rsidP="00E52C25">
      <w:pPr>
        <w:jc w:val="start"/>
        <w:rPr>
          <w:rFonts w:eastAsia="Times New Roman"/>
          <w:sz w:val="24"/>
          <w:szCs w:val="24"/>
          <w:lang w:val="en-GB" w:eastAsia="en-GB"/>
        </w:rPr>
      </w:pPr>
      <w:r w:rsidRPr="000C08B7">
        <w:rPr>
          <w:rFonts w:eastAsia="Times New Roman"/>
          <w:sz w:val="24"/>
          <w:szCs w:val="24"/>
          <w:lang w:val="en-GB" w:eastAsia="en-GB"/>
        </w:rPr>
        <w:t>Site-to-Site VPNs establish persistent encrypted tunnels between corporate networks or cloud environments. These configurations support secure inter-branch communication and hybrid cloud integration. However, misconfigured IPsec policies, weak key management, or inadequate segmentation can expose entire network segments if one connected site is breached. Because Site-to-Site VPNs create trusted pathways between networks, a compromise in one environment may propagate across the tunnel.</w:t>
      </w:r>
    </w:p>
    <w:p w14:paraId="6BBC8B14" w14:textId="26779770" w:rsidR="00E52C25" w:rsidRPr="000C08B7" w:rsidRDefault="00E52C25" w:rsidP="00E52C25">
      <w:pPr>
        <w:jc w:val="start"/>
        <w:rPr>
          <w:rFonts w:eastAsia="Times New Roman"/>
          <w:sz w:val="24"/>
          <w:szCs w:val="24"/>
          <w:lang w:val="en-GB" w:eastAsia="en-GB"/>
        </w:rPr>
      </w:pPr>
      <w:r w:rsidRPr="000C08B7">
        <w:rPr>
          <w:rFonts w:eastAsia="Times New Roman"/>
          <w:sz w:val="24"/>
          <w:szCs w:val="24"/>
          <w:lang w:val="en-GB" w:eastAsia="en-GB"/>
        </w:rPr>
        <w:t>From a compliance perspective, VPNs support encryption and secure communication obligations under DORA and NIS2. However, reliance solely on VPN-based perimeter access is insufficient for modern threat landscapes. Hybrid organisations should integrate VPN solutions with identity-based access controls, network segmentation, and continuous monitoring to ensure resilience. VPNs therefore function most effectively when incorporated into a broader Zero Trust architecture rather than treated as a primary security boundary</w:t>
      </w:r>
      <w:r>
        <w:rPr>
          <w:rFonts w:eastAsia="Times New Roman"/>
          <w:sz w:val="24"/>
          <w:szCs w:val="24"/>
          <w:lang w:val="en-GB" w:eastAsia="en-GB"/>
        </w:rPr>
        <w:t xml:space="preserve"> [</w:t>
      </w:r>
      <w:r w:rsidR="00EE4771">
        <w:rPr>
          <w:rFonts w:eastAsia="Times New Roman"/>
          <w:sz w:val="24"/>
          <w:szCs w:val="24"/>
          <w:lang w:val="en-GB" w:eastAsia="en-GB"/>
        </w:rPr>
        <w:t>47</w:t>
      </w:r>
      <w:r w:rsidR="00F76851">
        <w:rPr>
          <w:rFonts w:eastAsia="Times New Roman"/>
          <w:sz w:val="24"/>
          <w:szCs w:val="24"/>
          <w:lang w:val="en-GB" w:eastAsia="en-GB"/>
        </w:rPr>
        <w:t>,48</w:t>
      </w:r>
      <w:r>
        <w:rPr>
          <w:rFonts w:eastAsia="Times New Roman"/>
          <w:sz w:val="24"/>
          <w:szCs w:val="24"/>
          <w:lang w:val="en-GB" w:eastAsia="en-GB"/>
        </w:rPr>
        <w:t>]</w:t>
      </w:r>
      <w:r w:rsidRPr="000C08B7">
        <w:rPr>
          <w:rFonts w:eastAsia="Times New Roman"/>
          <w:sz w:val="24"/>
          <w:szCs w:val="24"/>
          <w:lang w:val="en-GB" w:eastAsia="en-GB"/>
        </w:rPr>
        <w:t>.</w:t>
      </w:r>
    </w:p>
    <w:p w14:paraId="3B306C30" w14:textId="77777777" w:rsidR="00E52C25" w:rsidRDefault="00E52C25" w:rsidP="00E52C25">
      <w:pPr>
        <w:ind w:firstLine="36pt"/>
        <w:jc w:val="start"/>
        <w:rPr>
          <w:sz w:val="24"/>
          <w:szCs w:val="24"/>
        </w:rPr>
      </w:pPr>
    </w:p>
    <w:p w14:paraId="4BB332E5" w14:textId="77777777" w:rsidR="00E52C25" w:rsidRPr="00D8180B" w:rsidRDefault="00E52C25" w:rsidP="00E52C25">
      <w:pPr>
        <w:ind w:firstLine="36pt"/>
        <w:jc w:val="start"/>
        <w:rPr>
          <w:sz w:val="24"/>
          <w:szCs w:val="24"/>
        </w:rPr>
      </w:pPr>
    </w:p>
    <w:p w14:paraId="34B463A4" w14:textId="357DB518" w:rsidR="00E52C25" w:rsidRPr="00D8180B" w:rsidRDefault="00E52C25" w:rsidP="0046347D">
      <w:pPr>
        <w:pStyle w:val="Heading1"/>
        <w:rPr>
          <w:b/>
          <w:bCs/>
          <w:sz w:val="24"/>
          <w:szCs w:val="24"/>
          <w:u w:val="single"/>
        </w:rPr>
      </w:pPr>
      <w:bookmarkStart w:id="44" w:name="_Toc221632978"/>
      <w:bookmarkStart w:id="45" w:name="_Toc223445608"/>
      <w:r w:rsidRPr="00D8180B">
        <w:rPr>
          <w:b/>
          <w:bCs/>
          <w:sz w:val="24"/>
          <w:szCs w:val="24"/>
          <w:u w:val="single"/>
        </w:rPr>
        <w:t>Conclusion</w:t>
      </w:r>
      <w:bookmarkEnd w:id="44"/>
      <w:bookmarkEnd w:id="45"/>
    </w:p>
    <w:p w14:paraId="075F6C5D" w14:textId="77777777" w:rsidR="00E52C25" w:rsidRPr="00D8180B" w:rsidRDefault="00E52C25" w:rsidP="00E52C25">
      <w:pPr>
        <w:jc w:val="start"/>
        <w:rPr>
          <w:sz w:val="24"/>
          <w:szCs w:val="24"/>
        </w:rPr>
      </w:pPr>
    </w:p>
    <w:p w14:paraId="72CCE0D5" w14:textId="77777777" w:rsidR="00E52C25" w:rsidRPr="000C08B7" w:rsidRDefault="00E52C25" w:rsidP="00E52C25">
      <w:pPr>
        <w:jc w:val="start"/>
        <w:rPr>
          <w:sz w:val="24"/>
          <w:szCs w:val="24"/>
          <w:lang w:val="en-GB"/>
        </w:rPr>
      </w:pPr>
      <w:r w:rsidRPr="000C08B7">
        <w:rPr>
          <w:sz w:val="24"/>
          <w:szCs w:val="24"/>
          <w:lang w:val="en-GB"/>
        </w:rPr>
        <w:t>For fully hybrid organisations, strong data security and compliance are essential. Clear governance, guided by frameworks like NIST CSF 2.0, ensures security strategies match business goals and maintain consistent protection across cloud, on-premises, and remote environments. Policies for AI use, BYOD, and secure SaaS setups reduce operational risks and provide clear rules for staff.</w:t>
      </w:r>
    </w:p>
    <w:p w14:paraId="38DA3C4C" w14:textId="77777777" w:rsidR="00E52C25" w:rsidRPr="000C08B7" w:rsidRDefault="00E52C25" w:rsidP="00E52C25">
      <w:pPr>
        <w:jc w:val="start"/>
        <w:rPr>
          <w:sz w:val="24"/>
          <w:szCs w:val="24"/>
          <w:lang w:val="en-GB"/>
        </w:rPr>
      </w:pPr>
      <w:r w:rsidRPr="000C08B7">
        <w:rPr>
          <w:sz w:val="24"/>
          <w:szCs w:val="24"/>
          <w:lang w:val="en-GB"/>
        </w:rPr>
        <w:t>Compliance with regulations such as DORA and NIS2 is vital. They enforce consistent ICT risk management, monitoring, incident reporting, and third-party oversight, helping organisations stay resilient during cyber incidents and operational disruptions. Effective risk management, including addressing software supply chain weaknesses, poisoned AI models, and cloud misconfigurations, further strengthens security.</w:t>
      </w:r>
    </w:p>
    <w:p w14:paraId="2747FF43" w14:textId="77777777" w:rsidR="00E52C25" w:rsidRPr="000C08B7" w:rsidRDefault="00E52C25" w:rsidP="00E52C25">
      <w:pPr>
        <w:jc w:val="start"/>
        <w:rPr>
          <w:sz w:val="24"/>
          <w:szCs w:val="24"/>
          <w:lang w:val="en-GB"/>
        </w:rPr>
      </w:pPr>
      <w:r w:rsidRPr="000C08B7">
        <w:rPr>
          <w:sz w:val="24"/>
          <w:szCs w:val="24"/>
          <w:lang w:val="en-GB"/>
        </w:rPr>
        <w:t>Technical protections, including CSPM, SIEM, EDR, phishing-resistant MFA, firewalls, and VPNs, provide multiple layers of defence for devices, networks, and cloud services. Using these tools within a Zero Trust model helps prevent attacks while supporting compliance requirements.</w:t>
      </w:r>
    </w:p>
    <w:p w14:paraId="1018640A" w14:textId="77777777" w:rsidR="00E52C25" w:rsidRPr="000C08B7" w:rsidRDefault="00E52C25" w:rsidP="00E52C25">
      <w:pPr>
        <w:jc w:val="start"/>
        <w:rPr>
          <w:sz w:val="24"/>
          <w:szCs w:val="24"/>
          <w:lang w:val="en-GB"/>
        </w:rPr>
      </w:pPr>
      <w:r w:rsidRPr="000C08B7">
        <w:rPr>
          <w:sz w:val="24"/>
          <w:szCs w:val="24"/>
          <w:lang w:val="en-GB"/>
        </w:rPr>
        <w:t>In summary, hybrid organisations that combine structured governance, regulatory compliance, proactive risk management, and modern security technologies can maintain secure operations, protect critical data, and ensure business continuity. This approach builds trust with stakeholders and enables companies to respond effectively to emerging threats.</w:t>
      </w:r>
    </w:p>
    <w:p w14:paraId="12C29E0A" w14:textId="77777777" w:rsidR="00E52C25" w:rsidRDefault="00E52C25" w:rsidP="00E52C25">
      <w:pPr>
        <w:jc w:val="both"/>
        <w:rPr>
          <w:sz w:val="24"/>
          <w:szCs w:val="24"/>
        </w:rPr>
      </w:pPr>
    </w:p>
    <w:p w14:paraId="4F35A745" w14:textId="77777777" w:rsidR="00E52C25" w:rsidRDefault="00E52C25" w:rsidP="00E52C25">
      <w:pPr>
        <w:jc w:val="both"/>
        <w:rPr>
          <w:sz w:val="24"/>
          <w:szCs w:val="24"/>
        </w:rPr>
      </w:pPr>
    </w:p>
    <w:p w14:paraId="585EE066" w14:textId="77777777" w:rsidR="00E52C25" w:rsidRDefault="00E52C25" w:rsidP="00E52C25">
      <w:pPr>
        <w:jc w:val="both"/>
        <w:rPr>
          <w:sz w:val="24"/>
          <w:szCs w:val="24"/>
        </w:rPr>
      </w:pPr>
    </w:p>
    <w:p w14:paraId="4AD39D31" w14:textId="77777777" w:rsidR="00E52C25" w:rsidRDefault="00E52C25" w:rsidP="00E52C25">
      <w:pPr>
        <w:jc w:val="both"/>
        <w:rPr>
          <w:sz w:val="24"/>
          <w:szCs w:val="24"/>
        </w:rPr>
      </w:pPr>
    </w:p>
    <w:p w14:paraId="33424F79" w14:textId="77777777" w:rsidR="00E52C25" w:rsidRDefault="00E52C25" w:rsidP="00E52C25">
      <w:pPr>
        <w:jc w:val="both"/>
        <w:rPr>
          <w:sz w:val="24"/>
          <w:szCs w:val="24"/>
        </w:rPr>
      </w:pPr>
    </w:p>
    <w:p w14:paraId="11EF934D" w14:textId="77777777" w:rsidR="00E52C25" w:rsidRDefault="00E52C25" w:rsidP="00E52C25">
      <w:pPr>
        <w:jc w:val="both"/>
        <w:rPr>
          <w:sz w:val="24"/>
          <w:szCs w:val="24"/>
        </w:rPr>
      </w:pPr>
    </w:p>
    <w:p w14:paraId="2EF2A93F" w14:textId="77777777" w:rsidR="00E52C25" w:rsidRDefault="00E52C25" w:rsidP="00E52C25">
      <w:pPr>
        <w:jc w:val="both"/>
        <w:rPr>
          <w:sz w:val="24"/>
          <w:szCs w:val="24"/>
        </w:rPr>
      </w:pPr>
    </w:p>
    <w:p w14:paraId="2E53992C" w14:textId="77777777" w:rsidR="00E52C25" w:rsidRDefault="00E52C25" w:rsidP="00E52C25">
      <w:pPr>
        <w:jc w:val="both"/>
        <w:rPr>
          <w:sz w:val="24"/>
          <w:szCs w:val="24"/>
        </w:rPr>
      </w:pPr>
    </w:p>
    <w:p w14:paraId="58280B2B" w14:textId="77777777" w:rsidR="00E52C25" w:rsidRDefault="00E52C25" w:rsidP="00E52C25">
      <w:pPr>
        <w:jc w:val="both"/>
        <w:rPr>
          <w:sz w:val="24"/>
          <w:szCs w:val="24"/>
        </w:rPr>
      </w:pPr>
    </w:p>
    <w:p w14:paraId="134156D4" w14:textId="77777777" w:rsidR="00E52C25" w:rsidRDefault="00E52C25" w:rsidP="00E52C25">
      <w:pPr>
        <w:jc w:val="both"/>
        <w:rPr>
          <w:sz w:val="24"/>
          <w:szCs w:val="24"/>
        </w:rPr>
      </w:pPr>
    </w:p>
    <w:p w14:paraId="4CACAD33" w14:textId="77777777" w:rsidR="00E52C25" w:rsidRDefault="00E52C25" w:rsidP="00E52C25">
      <w:pPr>
        <w:jc w:val="both"/>
        <w:rPr>
          <w:sz w:val="24"/>
          <w:szCs w:val="24"/>
        </w:rPr>
      </w:pPr>
    </w:p>
    <w:p w14:paraId="177D617C" w14:textId="77777777" w:rsidR="00E52C25" w:rsidRDefault="00E52C25" w:rsidP="00E52C25">
      <w:pPr>
        <w:jc w:val="both"/>
        <w:rPr>
          <w:sz w:val="24"/>
          <w:szCs w:val="24"/>
        </w:rPr>
      </w:pPr>
    </w:p>
    <w:p w14:paraId="4011915D" w14:textId="77777777" w:rsidR="00E52C25" w:rsidRDefault="00E52C25" w:rsidP="00E52C25">
      <w:pPr>
        <w:jc w:val="both"/>
        <w:rPr>
          <w:sz w:val="24"/>
          <w:szCs w:val="24"/>
        </w:rPr>
      </w:pPr>
    </w:p>
    <w:p w14:paraId="7D0262EA" w14:textId="77777777" w:rsidR="00E52C25" w:rsidRDefault="00E52C25" w:rsidP="00E52C25">
      <w:pPr>
        <w:jc w:val="both"/>
        <w:rPr>
          <w:sz w:val="24"/>
          <w:szCs w:val="24"/>
        </w:rPr>
      </w:pPr>
    </w:p>
    <w:p w14:paraId="5F99ABCF" w14:textId="77777777" w:rsidR="00E52C25" w:rsidRDefault="00E52C25" w:rsidP="00E52C25">
      <w:pPr>
        <w:jc w:val="both"/>
        <w:rPr>
          <w:sz w:val="24"/>
          <w:szCs w:val="24"/>
        </w:rPr>
      </w:pPr>
    </w:p>
    <w:p w14:paraId="25610755" w14:textId="143ECDC8" w:rsidR="00E52C25" w:rsidRDefault="00E52C25" w:rsidP="00E52C25">
      <w:pPr>
        <w:jc w:val="both"/>
        <w:rPr>
          <w:sz w:val="24"/>
          <w:szCs w:val="24"/>
        </w:rPr>
      </w:pPr>
    </w:p>
    <w:p w14:paraId="53E1DCC4" w14:textId="77777777" w:rsidR="00E52C25" w:rsidRPr="00D8180B" w:rsidRDefault="00E52C25" w:rsidP="002005B6">
      <w:pPr>
        <w:jc w:val="both"/>
        <w:rPr>
          <w:b/>
          <w:bCs/>
          <w:sz w:val="24"/>
          <w:szCs w:val="24"/>
        </w:rPr>
      </w:pPr>
    </w:p>
    <w:p w14:paraId="1ADF2784" w14:textId="2F4F149C" w:rsidR="00E52C25" w:rsidRDefault="00E52C25" w:rsidP="0046347D">
      <w:pPr>
        <w:pStyle w:val="Heading1"/>
        <w:tabs>
          <w:tab w:val="start" w:pos="91.45pt"/>
        </w:tabs>
        <w:rPr>
          <w:b/>
          <w:bCs/>
          <w:sz w:val="24"/>
          <w:szCs w:val="24"/>
          <w:u w:val="single"/>
        </w:rPr>
      </w:pPr>
      <w:bookmarkStart w:id="46" w:name="_Toc221632979"/>
      <w:bookmarkStart w:id="47" w:name="_Toc223445609"/>
      <w:r w:rsidRPr="00D8180B">
        <w:rPr>
          <w:b/>
          <w:bCs/>
          <w:sz w:val="24"/>
          <w:szCs w:val="24"/>
          <w:u w:val="single"/>
        </w:rPr>
        <w:lastRenderedPageBreak/>
        <w:t>References</w:t>
      </w:r>
      <w:bookmarkEnd w:id="46"/>
      <w:bookmarkEnd w:id="47"/>
    </w:p>
    <w:p w14:paraId="07D6620B" w14:textId="77777777" w:rsidR="00EF42CE" w:rsidRPr="00EF42CE" w:rsidRDefault="00EF42CE" w:rsidP="00EF42CE"/>
    <w:p w14:paraId="579A45F5" w14:textId="547AA0F1" w:rsidR="00105BD1" w:rsidRPr="00105BD1" w:rsidRDefault="00105BD1" w:rsidP="00105BD1">
      <w:pPr>
        <w:jc w:val="start"/>
        <w:rPr>
          <w:sz w:val="24"/>
          <w:szCs w:val="24"/>
        </w:rPr>
      </w:pPr>
    </w:p>
    <w:p w14:paraId="3F3B4639" w14:textId="44A65C9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ISO/IEC, </w:t>
      </w:r>
      <w:r w:rsidRPr="00105BD1">
        <w:rPr>
          <w:i/>
          <w:iCs/>
          <w:sz w:val="24"/>
          <w:szCs w:val="24"/>
          <w:lang w:val="en-GB"/>
        </w:rPr>
        <w:t>ISO/IEC 27017:2021 — Code of Practice for Information Security Controls for Cloud Services</w:t>
      </w:r>
      <w:r w:rsidRPr="00105BD1">
        <w:rPr>
          <w:sz w:val="24"/>
          <w:szCs w:val="24"/>
          <w:lang w:val="en-GB"/>
        </w:rPr>
        <w:t>. Geneva, Switzerland: ISO, 2021.</w:t>
      </w:r>
    </w:p>
    <w:p w14:paraId="6001D58B" w14:textId="29F55AB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Cloud Security Alliance, </w:t>
      </w:r>
      <w:r w:rsidRPr="00105BD1">
        <w:rPr>
          <w:i/>
          <w:iCs/>
          <w:sz w:val="24"/>
          <w:szCs w:val="24"/>
          <w:lang w:val="en-GB"/>
        </w:rPr>
        <w:t>Security Guidance for Critical Areas of Focus in Cloud Computing v5.1</w:t>
      </w:r>
      <w:r w:rsidRPr="00105BD1">
        <w:rPr>
          <w:sz w:val="24"/>
          <w:szCs w:val="24"/>
          <w:lang w:val="en-GB"/>
        </w:rPr>
        <w:t>. CSA, 2022.</w:t>
      </w:r>
    </w:p>
    <w:p w14:paraId="416A115C" w14:textId="7F8B9C3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W. Jansen and T. Grance, </w:t>
      </w:r>
      <w:r w:rsidRPr="00105BD1">
        <w:rPr>
          <w:i/>
          <w:iCs/>
          <w:sz w:val="24"/>
          <w:szCs w:val="24"/>
          <w:lang w:val="en-GB"/>
        </w:rPr>
        <w:t>Guidelines on Security and Privacy in Public Cloud Computing</w:t>
      </w:r>
      <w:r w:rsidRPr="00105BD1">
        <w:rPr>
          <w:sz w:val="24"/>
          <w:szCs w:val="24"/>
          <w:lang w:val="en-GB"/>
        </w:rPr>
        <w:t>, NIST SP 800-144. Gaithersburg, MD, USA: NIST, 2011.</w:t>
      </w:r>
    </w:p>
    <w:p w14:paraId="1D28C46D" w14:textId="2E4DF3B8"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NIST, </w:t>
      </w:r>
      <w:r w:rsidRPr="00105BD1">
        <w:rPr>
          <w:i/>
          <w:iCs/>
          <w:sz w:val="24"/>
          <w:szCs w:val="24"/>
          <w:lang w:val="en-GB"/>
        </w:rPr>
        <w:t>Secure Software Development Framework (SSDF)</w:t>
      </w:r>
      <w:r w:rsidRPr="00105BD1">
        <w:rPr>
          <w:sz w:val="24"/>
          <w:szCs w:val="24"/>
          <w:lang w:val="en-GB"/>
        </w:rPr>
        <w:t>, NIST SP 800-218. Gaithersburg, MD, USA: NIST, 2022.</w:t>
      </w:r>
    </w:p>
    <w:p w14:paraId="40044072" w14:textId="378F6734"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OWASP, </w:t>
      </w:r>
      <w:proofErr w:type="spellStart"/>
      <w:r w:rsidRPr="00105BD1">
        <w:rPr>
          <w:i/>
          <w:iCs/>
          <w:sz w:val="24"/>
          <w:szCs w:val="24"/>
          <w:lang w:val="en-GB"/>
        </w:rPr>
        <w:t>DevSecOps</w:t>
      </w:r>
      <w:proofErr w:type="spellEnd"/>
      <w:r w:rsidRPr="00105BD1">
        <w:rPr>
          <w:i/>
          <w:iCs/>
          <w:sz w:val="24"/>
          <w:szCs w:val="24"/>
          <w:lang w:val="en-GB"/>
        </w:rPr>
        <w:t xml:space="preserve"> Maturity Model (DSOMM)</w:t>
      </w:r>
      <w:r w:rsidRPr="00105BD1">
        <w:rPr>
          <w:sz w:val="24"/>
          <w:szCs w:val="24"/>
          <w:lang w:val="en-GB"/>
        </w:rPr>
        <w:t xml:space="preserve">. OWASP Foundation, 2021. [Online]. Available: </w:t>
      </w:r>
      <w:hyperlink r:id="rId35" w:tgtFrame="_blank" w:history="1">
        <w:r w:rsidRPr="00105BD1">
          <w:rPr>
            <w:rStyle w:val="Hyperlink"/>
            <w:sz w:val="24"/>
            <w:szCs w:val="24"/>
            <w:u w:val="none"/>
            <w:lang w:val="en-GB"/>
          </w:rPr>
          <w:t>https://owasp.org/www-project-dsomm/</w:t>
        </w:r>
      </w:hyperlink>
    </w:p>
    <w:p w14:paraId="7E292DC0" w14:textId="39F2ED89"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Gartner, </w:t>
      </w:r>
      <w:proofErr w:type="spellStart"/>
      <w:r w:rsidRPr="00105BD1">
        <w:rPr>
          <w:i/>
          <w:iCs/>
          <w:sz w:val="24"/>
          <w:szCs w:val="24"/>
          <w:lang w:val="en-GB"/>
        </w:rPr>
        <w:t>DevSecOps</w:t>
      </w:r>
      <w:proofErr w:type="spellEnd"/>
      <w:r w:rsidRPr="00105BD1">
        <w:rPr>
          <w:i/>
          <w:iCs/>
          <w:sz w:val="24"/>
          <w:szCs w:val="24"/>
          <w:lang w:val="en-GB"/>
        </w:rPr>
        <w:t>: How to Seamlessly Integrate Security into DevOps</w:t>
      </w:r>
      <w:r w:rsidRPr="00105BD1">
        <w:rPr>
          <w:sz w:val="24"/>
          <w:szCs w:val="24"/>
          <w:lang w:val="en-GB"/>
        </w:rPr>
        <w:t>. Stamford, CT, USA: Gartner, 2020.</w:t>
      </w:r>
    </w:p>
    <w:p w14:paraId="0CCD24E0" w14:textId="1C105754"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B. </w:t>
      </w:r>
      <w:proofErr w:type="spellStart"/>
      <w:r w:rsidRPr="00105BD1">
        <w:rPr>
          <w:sz w:val="24"/>
          <w:szCs w:val="24"/>
          <w:lang w:val="en-GB"/>
        </w:rPr>
        <w:t>Shneiderman</w:t>
      </w:r>
      <w:proofErr w:type="spellEnd"/>
      <w:r w:rsidRPr="00105BD1">
        <w:rPr>
          <w:sz w:val="24"/>
          <w:szCs w:val="24"/>
          <w:lang w:val="en-GB"/>
        </w:rPr>
        <w:t>, "Human-</w:t>
      </w:r>
      <w:proofErr w:type="spellStart"/>
      <w:r w:rsidRPr="00105BD1">
        <w:rPr>
          <w:sz w:val="24"/>
          <w:szCs w:val="24"/>
          <w:lang w:val="en-GB"/>
        </w:rPr>
        <w:t>centered</w:t>
      </w:r>
      <w:proofErr w:type="spellEnd"/>
      <w:r w:rsidRPr="00105BD1">
        <w:rPr>
          <w:sz w:val="24"/>
          <w:szCs w:val="24"/>
          <w:lang w:val="en-GB"/>
        </w:rPr>
        <w:t xml:space="preserve"> artificial intelligence," </w:t>
      </w:r>
      <w:r w:rsidRPr="00105BD1">
        <w:rPr>
          <w:i/>
          <w:iCs/>
          <w:sz w:val="24"/>
          <w:szCs w:val="24"/>
          <w:lang w:val="en-GB"/>
        </w:rPr>
        <w:t xml:space="preserve">Int. J. </w:t>
      </w:r>
      <w:proofErr w:type="gramStart"/>
      <w:r w:rsidRPr="00105BD1">
        <w:rPr>
          <w:i/>
          <w:iCs/>
          <w:sz w:val="24"/>
          <w:szCs w:val="24"/>
          <w:lang w:val="en-GB"/>
        </w:rPr>
        <w:t>Hum.-</w:t>
      </w:r>
      <w:proofErr w:type="spellStart"/>
      <w:proofErr w:type="gramEnd"/>
      <w:r w:rsidRPr="00105BD1">
        <w:rPr>
          <w:i/>
          <w:iCs/>
          <w:sz w:val="24"/>
          <w:szCs w:val="24"/>
          <w:lang w:val="en-GB"/>
        </w:rPr>
        <w:t>Comput</w:t>
      </w:r>
      <w:proofErr w:type="spellEnd"/>
      <w:r w:rsidRPr="00105BD1">
        <w:rPr>
          <w:i/>
          <w:iCs/>
          <w:sz w:val="24"/>
          <w:szCs w:val="24"/>
          <w:lang w:val="en-GB"/>
        </w:rPr>
        <w:t>. Interact.</w:t>
      </w:r>
      <w:r w:rsidRPr="00105BD1">
        <w:rPr>
          <w:sz w:val="24"/>
          <w:szCs w:val="24"/>
          <w:lang w:val="en-GB"/>
        </w:rPr>
        <w:t>, vol. 36, no. 6, pp. 495–504, 2020.</w:t>
      </w:r>
    </w:p>
    <w:p w14:paraId="350C5E3F" w14:textId="1B3003D9"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Microsoft, "Security teams, roles, and functions – Cloud Adoption Framework," </w:t>
      </w:r>
      <w:r w:rsidRPr="00105BD1">
        <w:rPr>
          <w:i/>
          <w:iCs/>
          <w:sz w:val="24"/>
          <w:szCs w:val="24"/>
          <w:lang w:val="en-GB"/>
        </w:rPr>
        <w:t>Microsoft Learn</w:t>
      </w:r>
      <w:r w:rsidRPr="00105BD1">
        <w:rPr>
          <w:sz w:val="24"/>
          <w:szCs w:val="24"/>
          <w:lang w:val="en-GB"/>
        </w:rPr>
        <w:t xml:space="preserve">, 2025. [Online]. Available: </w:t>
      </w:r>
      <w:hyperlink r:id="rId36" w:tgtFrame="_blank" w:history="1">
        <w:r w:rsidRPr="00105BD1">
          <w:rPr>
            <w:rStyle w:val="Hyperlink"/>
            <w:sz w:val="24"/>
            <w:szCs w:val="24"/>
            <w:u w:val="none"/>
            <w:lang w:val="en-GB"/>
          </w:rPr>
          <w:t>https://learn.microsoft.com/en-us/azure/cloud-adoption-framework/secure/security-teams-roles</w:t>
        </w:r>
      </w:hyperlink>
      <w:r w:rsidRPr="00105BD1">
        <w:rPr>
          <w:sz w:val="24"/>
          <w:szCs w:val="24"/>
          <w:lang w:val="en-GB"/>
        </w:rPr>
        <w:t>. [Accessed: Mar. 9, 2026].</w:t>
      </w:r>
    </w:p>
    <w:p w14:paraId="36886B8E" w14:textId="662E5998"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University of Wales Trinity Saint David, "Strategic planning and continuous improvement flowchart," Week 9 Lecture Material, Moodle Learning Platform, 2026. [Online]. Available: Moodle URL. [Accessed: Mar. 12, 2026].</w:t>
      </w:r>
    </w:p>
    <w:p w14:paraId="2A930A2B" w14:textId="6CFAA239"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S. Rose, O. Borchert, S. Mitchell, and S. Connelly, </w:t>
      </w:r>
      <w:r w:rsidRPr="00105BD1">
        <w:rPr>
          <w:i/>
          <w:iCs/>
          <w:sz w:val="24"/>
          <w:szCs w:val="24"/>
          <w:lang w:val="en-GB"/>
        </w:rPr>
        <w:t>Zero Trust Architecture</w:t>
      </w:r>
      <w:r w:rsidRPr="00105BD1">
        <w:rPr>
          <w:sz w:val="24"/>
          <w:szCs w:val="24"/>
          <w:lang w:val="en-GB"/>
        </w:rPr>
        <w:t>, NIST SP 800-207. Gaithersburg, MD, USA: NIST, 2020.</w:t>
      </w:r>
    </w:p>
    <w:p w14:paraId="65F9D675" w14:textId="21AFB68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Gartner, </w:t>
      </w:r>
      <w:r w:rsidRPr="00105BD1">
        <w:rPr>
          <w:i/>
          <w:iCs/>
          <w:sz w:val="24"/>
          <w:szCs w:val="24"/>
          <w:lang w:val="en-GB"/>
        </w:rPr>
        <w:t>The Future of Network Security Is in the Cloud</w:t>
      </w:r>
      <w:r w:rsidRPr="00105BD1">
        <w:rPr>
          <w:sz w:val="24"/>
          <w:szCs w:val="24"/>
          <w:lang w:val="en-GB"/>
        </w:rPr>
        <w:t>. Stamford, CT, USA: Gartner, 2020.</w:t>
      </w:r>
    </w:p>
    <w:p w14:paraId="3CA5213E" w14:textId="0F614564"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ISO/IEC, </w:t>
      </w:r>
      <w:r w:rsidRPr="00105BD1">
        <w:rPr>
          <w:i/>
          <w:iCs/>
          <w:sz w:val="24"/>
          <w:szCs w:val="24"/>
          <w:lang w:val="en-GB"/>
        </w:rPr>
        <w:t>ISO/IEC 27001:2022 — Information Security Management Systems</w:t>
      </w:r>
      <w:r w:rsidRPr="00105BD1">
        <w:rPr>
          <w:sz w:val="24"/>
          <w:szCs w:val="24"/>
          <w:lang w:val="en-GB"/>
        </w:rPr>
        <w:t>. Geneva, Switzerland: ISO, 2022.</w:t>
      </w:r>
    </w:p>
    <w:p w14:paraId="25F92017" w14:textId="47186ED9"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K. Scarfone and M. </w:t>
      </w:r>
      <w:proofErr w:type="spellStart"/>
      <w:r w:rsidRPr="00105BD1">
        <w:rPr>
          <w:sz w:val="24"/>
          <w:szCs w:val="24"/>
          <w:lang w:val="en-GB"/>
        </w:rPr>
        <w:t>Souppaya</w:t>
      </w:r>
      <w:proofErr w:type="spellEnd"/>
      <w:r w:rsidRPr="00105BD1">
        <w:rPr>
          <w:sz w:val="24"/>
          <w:szCs w:val="24"/>
          <w:lang w:val="en-GB"/>
        </w:rPr>
        <w:t xml:space="preserve">, </w:t>
      </w:r>
      <w:r w:rsidRPr="00105BD1">
        <w:rPr>
          <w:i/>
          <w:iCs/>
          <w:sz w:val="24"/>
          <w:szCs w:val="24"/>
          <w:lang w:val="en-GB"/>
        </w:rPr>
        <w:t>Guidelines for Managing the Security of Mobile Devices in the Enterprise</w:t>
      </w:r>
      <w:r w:rsidRPr="00105BD1">
        <w:rPr>
          <w:sz w:val="24"/>
          <w:szCs w:val="24"/>
          <w:lang w:val="en-GB"/>
        </w:rPr>
        <w:t>, NIST SP 800-124 Rev. 2. Gaithersburg, MD, USA: NIST, 2020.</w:t>
      </w:r>
    </w:p>
    <w:p w14:paraId="6150E0A7" w14:textId="70960A5C"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ENISA, </w:t>
      </w:r>
      <w:r w:rsidRPr="00105BD1">
        <w:rPr>
          <w:i/>
          <w:iCs/>
          <w:sz w:val="24"/>
          <w:szCs w:val="24"/>
          <w:lang w:val="en-GB"/>
        </w:rPr>
        <w:t>Bring Your Own Device (BYOD) Security Risks and Mitigation Strategies</w:t>
      </w:r>
      <w:r w:rsidRPr="00105BD1">
        <w:rPr>
          <w:sz w:val="24"/>
          <w:szCs w:val="24"/>
          <w:lang w:val="en-GB"/>
        </w:rPr>
        <w:t>. Heraklion, Greece: ENISA, 2021.</w:t>
      </w:r>
    </w:p>
    <w:p w14:paraId="76C75FC0" w14:textId="43DC2C2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J. </w:t>
      </w:r>
      <w:proofErr w:type="spellStart"/>
      <w:r w:rsidRPr="00105BD1">
        <w:rPr>
          <w:sz w:val="24"/>
          <w:szCs w:val="24"/>
          <w:lang w:val="en-GB"/>
        </w:rPr>
        <w:t>Kindervag</w:t>
      </w:r>
      <w:proofErr w:type="spellEnd"/>
      <w:r w:rsidRPr="00105BD1">
        <w:rPr>
          <w:sz w:val="24"/>
          <w:szCs w:val="24"/>
          <w:lang w:val="en-GB"/>
        </w:rPr>
        <w:t xml:space="preserve">, "Zero Trust: No </w:t>
      </w:r>
      <w:proofErr w:type="gramStart"/>
      <w:r w:rsidRPr="00105BD1">
        <w:rPr>
          <w:sz w:val="24"/>
          <w:szCs w:val="24"/>
          <w:lang w:val="en-GB"/>
        </w:rPr>
        <w:t>more chewy</w:t>
      </w:r>
      <w:proofErr w:type="gramEnd"/>
      <w:r w:rsidRPr="00105BD1">
        <w:rPr>
          <w:sz w:val="24"/>
          <w:szCs w:val="24"/>
          <w:lang w:val="en-GB"/>
        </w:rPr>
        <w:t xml:space="preserve"> </w:t>
      </w:r>
      <w:proofErr w:type="spellStart"/>
      <w:r w:rsidRPr="00105BD1">
        <w:rPr>
          <w:sz w:val="24"/>
          <w:szCs w:val="24"/>
          <w:lang w:val="en-GB"/>
        </w:rPr>
        <w:t>centers</w:t>
      </w:r>
      <w:proofErr w:type="spellEnd"/>
      <w:r w:rsidRPr="00105BD1">
        <w:rPr>
          <w:sz w:val="24"/>
          <w:szCs w:val="24"/>
          <w:lang w:val="en-GB"/>
        </w:rPr>
        <w:t>," Forrester Research, Cambridge, MA, USA, Tech. Rep., 2016.</w:t>
      </w:r>
    </w:p>
    <w:p w14:paraId="59B136F8" w14:textId="4BD4F587"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 Bishop, </w:t>
      </w:r>
      <w:r w:rsidRPr="00105BD1">
        <w:rPr>
          <w:i/>
          <w:iCs/>
          <w:sz w:val="24"/>
          <w:szCs w:val="24"/>
          <w:lang w:val="en-GB"/>
        </w:rPr>
        <w:t>Computer Security: Art and Science</w:t>
      </w:r>
      <w:r w:rsidRPr="00105BD1">
        <w:rPr>
          <w:sz w:val="24"/>
          <w:szCs w:val="24"/>
          <w:lang w:val="en-GB"/>
        </w:rPr>
        <w:t>, 2nd ed. Boston, MA, USA: Addison-Wesley, 2018.</w:t>
      </w:r>
    </w:p>
    <w:p w14:paraId="7E96A96C" w14:textId="199D8A72"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Microsoft, "Cloud adoption framework strategy and policy guidance," </w:t>
      </w:r>
      <w:r w:rsidRPr="00105BD1">
        <w:rPr>
          <w:i/>
          <w:iCs/>
          <w:sz w:val="24"/>
          <w:szCs w:val="24"/>
          <w:lang w:val="en-GB"/>
        </w:rPr>
        <w:t>Microsoft Learn</w:t>
      </w:r>
      <w:r w:rsidRPr="00105BD1">
        <w:rPr>
          <w:sz w:val="24"/>
          <w:szCs w:val="24"/>
          <w:lang w:val="en-GB"/>
        </w:rPr>
        <w:t xml:space="preserve">, 2024. [Online]. Available: </w:t>
      </w:r>
      <w:hyperlink r:id="rId37" w:tgtFrame="_blank" w:history="1">
        <w:r w:rsidRPr="00105BD1">
          <w:rPr>
            <w:rStyle w:val="Hyperlink"/>
            <w:sz w:val="24"/>
            <w:szCs w:val="24"/>
            <w:u w:val="none"/>
            <w:lang w:val="en-GB"/>
          </w:rPr>
          <w:t>https://learn.microsoft.com/en-us/azure/cloud-adoption-framework/strategy/</w:t>
        </w:r>
      </w:hyperlink>
      <w:r w:rsidRPr="00105BD1">
        <w:rPr>
          <w:sz w:val="24"/>
          <w:szCs w:val="24"/>
          <w:lang w:val="en-GB"/>
        </w:rPr>
        <w:t>. [Accessed: Mar. 10, 2026].</w:t>
      </w:r>
    </w:p>
    <w:p w14:paraId="74EE9290" w14:textId="28672FB2"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European Union, "Regulation (EU) 2022/2554 — Digital Operational Resilience Act (DORA)," </w:t>
      </w:r>
      <w:r w:rsidRPr="00105BD1">
        <w:rPr>
          <w:i/>
          <w:iCs/>
          <w:sz w:val="24"/>
          <w:szCs w:val="24"/>
          <w:lang w:val="en-GB"/>
        </w:rPr>
        <w:t>Official Journal of the European Union</w:t>
      </w:r>
      <w:r w:rsidRPr="00105BD1">
        <w:rPr>
          <w:sz w:val="24"/>
          <w:szCs w:val="24"/>
          <w:lang w:val="en-GB"/>
        </w:rPr>
        <w:t>, Dec. 14, 2022.</w:t>
      </w:r>
    </w:p>
    <w:p w14:paraId="7F7981BD" w14:textId="16FAA3B6"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European Union, "Directive (EU) 2022/2555 — NIS2 Directive," </w:t>
      </w:r>
      <w:r w:rsidRPr="00105BD1">
        <w:rPr>
          <w:i/>
          <w:iCs/>
          <w:sz w:val="24"/>
          <w:szCs w:val="24"/>
          <w:lang w:val="en-GB"/>
        </w:rPr>
        <w:t>Official Journal of the European Union</w:t>
      </w:r>
      <w:r w:rsidRPr="00105BD1">
        <w:rPr>
          <w:sz w:val="24"/>
          <w:szCs w:val="24"/>
          <w:lang w:val="en-GB"/>
        </w:rPr>
        <w:t>, Dec. 14, 2022.</w:t>
      </w:r>
    </w:p>
    <w:p w14:paraId="7373315C" w14:textId="77AF311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European Union, "Regulation (EU) 2016/679 — General Data Protection Regulation (GDPR)," </w:t>
      </w:r>
      <w:r w:rsidRPr="00105BD1">
        <w:rPr>
          <w:i/>
          <w:iCs/>
          <w:sz w:val="24"/>
          <w:szCs w:val="24"/>
          <w:lang w:val="en-GB"/>
        </w:rPr>
        <w:t>Official Journal of the European Union</w:t>
      </w:r>
      <w:r w:rsidRPr="00105BD1">
        <w:rPr>
          <w:sz w:val="24"/>
          <w:szCs w:val="24"/>
          <w:lang w:val="en-GB"/>
        </w:rPr>
        <w:t>, Apr. 27, 2016, consolidated version 2023.</w:t>
      </w:r>
    </w:p>
    <w:p w14:paraId="25398073" w14:textId="53E79E42"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ENISA, </w:t>
      </w:r>
      <w:r w:rsidRPr="00105BD1">
        <w:rPr>
          <w:i/>
          <w:iCs/>
          <w:sz w:val="24"/>
          <w:szCs w:val="24"/>
          <w:lang w:val="en-GB"/>
        </w:rPr>
        <w:t>Data Protection Engineering in the Cloud</w:t>
      </w:r>
      <w:r w:rsidRPr="00105BD1">
        <w:rPr>
          <w:sz w:val="24"/>
          <w:szCs w:val="24"/>
          <w:lang w:val="en-GB"/>
        </w:rPr>
        <w:t>. Heraklion, Greece: ENISA, 2021.</w:t>
      </w:r>
    </w:p>
    <w:p w14:paraId="2A017027" w14:textId="60D48462"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S. Arora, R. Krishnan, and A. Singh, "</w:t>
      </w:r>
      <w:proofErr w:type="spellStart"/>
      <w:r w:rsidRPr="00105BD1">
        <w:rPr>
          <w:sz w:val="24"/>
          <w:szCs w:val="24"/>
          <w:lang w:val="en-GB"/>
        </w:rPr>
        <w:t>DevSecOps</w:t>
      </w:r>
      <w:proofErr w:type="spellEnd"/>
      <w:r w:rsidRPr="00105BD1">
        <w:rPr>
          <w:sz w:val="24"/>
          <w:szCs w:val="24"/>
          <w:lang w:val="en-GB"/>
        </w:rPr>
        <w:t xml:space="preserve">: Integrating security into DevOps," </w:t>
      </w:r>
      <w:r w:rsidRPr="00105BD1">
        <w:rPr>
          <w:i/>
          <w:iCs/>
          <w:sz w:val="24"/>
          <w:szCs w:val="24"/>
          <w:lang w:val="en-GB"/>
        </w:rPr>
        <w:t xml:space="preserve">IEEE </w:t>
      </w:r>
      <w:proofErr w:type="spellStart"/>
      <w:r w:rsidRPr="00105BD1">
        <w:rPr>
          <w:i/>
          <w:iCs/>
          <w:sz w:val="24"/>
          <w:szCs w:val="24"/>
          <w:lang w:val="en-GB"/>
        </w:rPr>
        <w:t>Softw</w:t>
      </w:r>
      <w:proofErr w:type="spellEnd"/>
      <w:r w:rsidRPr="00105BD1">
        <w:rPr>
          <w:i/>
          <w:iCs/>
          <w:sz w:val="24"/>
          <w:szCs w:val="24"/>
          <w:lang w:val="en-GB"/>
        </w:rPr>
        <w:t>.</w:t>
      </w:r>
      <w:r w:rsidRPr="00105BD1">
        <w:rPr>
          <w:sz w:val="24"/>
          <w:szCs w:val="24"/>
          <w:lang w:val="en-GB"/>
        </w:rPr>
        <w:t>, vol. 38, no. 2, pp. 88–94, Mar./Apr. 2021.</w:t>
      </w:r>
    </w:p>
    <w:p w14:paraId="143860BC" w14:textId="6FA32522"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L. Williams, "Security in the software supply chain," </w:t>
      </w:r>
      <w:r w:rsidRPr="00105BD1">
        <w:rPr>
          <w:i/>
          <w:iCs/>
          <w:sz w:val="24"/>
          <w:szCs w:val="24"/>
          <w:lang w:val="en-GB"/>
        </w:rPr>
        <w:t xml:space="preserve">IEEE </w:t>
      </w:r>
      <w:proofErr w:type="spellStart"/>
      <w:r w:rsidRPr="00105BD1">
        <w:rPr>
          <w:i/>
          <w:iCs/>
          <w:sz w:val="24"/>
          <w:szCs w:val="24"/>
          <w:lang w:val="en-GB"/>
        </w:rPr>
        <w:t>Softw</w:t>
      </w:r>
      <w:proofErr w:type="spellEnd"/>
      <w:r w:rsidRPr="00105BD1">
        <w:rPr>
          <w:i/>
          <w:iCs/>
          <w:sz w:val="24"/>
          <w:szCs w:val="24"/>
          <w:lang w:val="en-GB"/>
        </w:rPr>
        <w:t>.</w:t>
      </w:r>
      <w:r w:rsidRPr="00105BD1">
        <w:rPr>
          <w:sz w:val="24"/>
          <w:szCs w:val="24"/>
          <w:lang w:val="en-GB"/>
        </w:rPr>
        <w:t>, vol. 37, no. 1, pp. 3–6, Jan./Feb. 2020.</w:t>
      </w:r>
    </w:p>
    <w:p w14:paraId="51E3DA99" w14:textId="03305114" w:rsidR="00105BD1" w:rsidRPr="00105BD1" w:rsidRDefault="00105BD1" w:rsidP="00993B65">
      <w:pPr>
        <w:pStyle w:val="ListParagraph"/>
        <w:numPr>
          <w:ilvl w:val="0"/>
          <w:numId w:val="16"/>
        </w:numPr>
        <w:jc w:val="start"/>
        <w:rPr>
          <w:sz w:val="24"/>
          <w:szCs w:val="24"/>
          <w:lang w:val="en-GB"/>
        </w:rPr>
      </w:pPr>
      <w:r w:rsidRPr="00105BD1">
        <w:rPr>
          <w:sz w:val="24"/>
          <w:szCs w:val="24"/>
          <w:lang w:val="en-GB"/>
        </w:rPr>
        <w:lastRenderedPageBreak/>
        <w:t xml:space="preserve">M. P. E. </w:t>
      </w:r>
      <w:proofErr w:type="spellStart"/>
      <w:r w:rsidRPr="00105BD1">
        <w:rPr>
          <w:sz w:val="24"/>
          <w:szCs w:val="24"/>
          <w:lang w:val="en-GB"/>
        </w:rPr>
        <w:t>Heimdahl</w:t>
      </w:r>
      <w:proofErr w:type="spellEnd"/>
      <w:r w:rsidRPr="00105BD1">
        <w:rPr>
          <w:sz w:val="24"/>
          <w:szCs w:val="24"/>
          <w:lang w:val="en-GB"/>
        </w:rPr>
        <w:t>, "</w:t>
      </w:r>
      <w:proofErr w:type="gramStart"/>
      <w:r w:rsidRPr="00105BD1">
        <w:rPr>
          <w:sz w:val="24"/>
          <w:szCs w:val="24"/>
          <w:lang w:val="en-GB"/>
        </w:rPr>
        <w:t>Open source</w:t>
      </w:r>
      <w:proofErr w:type="gramEnd"/>
      <w:r w:rsidRPr="00105BD1">
        <w:rPr>
          <w:sz w:val="24"/>
          <w:szCs w:val="24"/>
          <w:lang w:val="en-GB"/>
        </w:rPr>
        <w:t xml:space="preserve"> vulnerabilities and dependency risks," </w:t>
      </w:r>
      <w:r w:rsidRPr="00105BD1">
        <w:rPr>
          <w:i/>
          <w:iCs/>
          <w:sz w:val="24"/>
          <w:szCs w:val="24"/>
          <w:lang w:val="en-GB"/>
        </w:rPr>
        <w:t xml:space="preserve">IEEE </w:t>
      </w:r>
      <w:proofErr w:type="spellStart"/>
      <w:r w:rsidRPr="00105BD1">
        <w:rPr>
          <w:i/>
          <w:iCs/>
          <w:sz w:val="24"/>
          <w:szCs w:val="24"/>
          <w:lang w:val="en-GB"/>
        </w:rPr>
        <w:t>Softw</w:t>
      </w:r>
      <w:proofErr w:type="spellEnd"/>
      <w:r w:rsidRPr="00105BD1">
        <w:rPr>
          <w:i/>
          <w:iCs/>
          <w:sz w:val="24"/>
          <w:szCs w:val="24"/>
          <w:lang w:val="en-GB"/>
        </w:rPr>
        <w:t>.</w:t>
      </w:r>
      <w:r w:rsidRPr="00105BD1">
        <w:rPr>
          <w:sz w:val="24"/>
          <w:szCs w:val="24"/>
          <w:lang w:val="en-GB"/>
        </w:rPr>
        <w:t>, vol. 36, no. 5, pp. 10–15, Sept./Oct. 2019.</w:t>
      </w:r>
    </w:p>
    <w:p w14:paraId="2D45F24E" w14:textId="6443416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S. B. Shah and M. S. Islam, "Software supply chain attacks: A systematic review," </w:t>
      </w:r>
      <w:r w:rsidRPr="00105BD1">
        <w:rPr>
          <w:i/>
          <w:iCs/>
          <w:sz w:val="24"/>
          <w:szCs w:val="24"/>
          <w:lang w:val="en-GB"/>
        </w:rPr>
        <w:t>IEEE Access</w:t>
      </w:r>
      <w:r w:rsidRPr="00105BD1">
        <w:rPr>
          <w:sz w:val="24"/>
          <w:szCs w:val="24"/>
          <w:lang w:val="en-GB"/>
        </w:rPr>
        <w:t>, vol. 10, pp. 112–130, 2022.</w:t>
      </w:r>
    </w:p>
    <w:p w14:paraId="6F6D6231" w14:textId="3BB32FF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ENISA, </w:t>
      </w:r>
      <w:r w:rsidRPr="00105BD1">
        <w:rPr>
          <w:i/>
          <w:iCs/>
          <w:sz w:val="24"/>
          <w:szCs w:val="24"/>
          <w:lang w:val="en-GB"/>
        </w:rPr>
        <w:t>Cybersecurity for SMEs: Challenges and Recommendations</w:t>
      </w:r>
      <w:r w:rsidRPr="00105BD1">
        <w:rPr>
          <w:sz w:val="24"/>
          <w:szCs w:val="24"/>
          <w:lang w:val="en-GB"/>
        </w:rPr>
        <w:t>. Heraklion, Greece: ENISA, 2021.</w:t>
      </w:r>
    </w:p>
    <w:p w14:paraId="525CD30F" w14:textId="3D7B3BD5"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ENISA, </w:t>
      </w:r>
      <w:r w:rsidRPr="00105BD1">
        <w:rPr>
          <w:i/>
          <w:iCs/>
          <w:sz w:val="24"/>
          <w:szCs w:val="24"/>
          <w:lang w:val="en-GB"/>
        </w:rPr>
        <w:t>Threat Landscape 2023</w:t>
      </w:r>
      <w:r w:rsidRPr="00105BD1">
        <w:rPr>
          <w:sz w:val="24"/>
          <w:szCs w:val="24"/>
          <w:lang w:val="en-GB"/>
        </w:rPr>
        <w:t>. Heraklion, Greece: ENISA, 2023.</w:t>
      </w:r>
    </w:p>
    <w:p w14:paraId="4E19B799" w14:textId="5CFEFEA1"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NIST, </w:t>
      </w:r>
      <w:r w:rsidRPr="00105BD1">
        <w:rPr>
          <w:i/>
          <w:iCs/>
          <w:sz w:val="24"/>
          <w:szCs w:val="24"/>
          <w:lang w:val="en-GB"/>
        </w:rPr>
        <w:t>Security and Privacy Controls for Information Systems and Organizations</w:t>
      </w:r>
      <w:r w:rsidRPr="00105BD1">
        <w:rPr>
          <w:sz w:val="24"/>
          <w:szCs w:val="24"/>
          <w:lang w:val="en-GB"/>
        </w:rPr>
        <w:t>, NIST SP 800-53 Rev. 5. Gaithersburg, MD, USA: NIST, 2020.</w:t>
      </w:r>
    </w:p>
    <w:p w14:paraId="4BA5378E" w14:textId="3510B510"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NIST, </w:t>
      </w:r>
      <w:r w:rsidRPr="00105BD1">
        <w:rPr>
          <w:i/>
          <w:iCs/>
          <w:sz w:val="24"/>
          <w:szCs w:val="24"/>
          <w:lang w:val="en-GB"/>
        </w:rPr>
        <w:t>Contingency Planning Guide for Federal Information Systems</w:t>
      </w:r>
      <w:r w:rsidRPr="00105BD1">
        <w:rPr>
          <w:sz w:val="24"/>
          <w:szCs w:val="24"/>
          <w:lang w:val="en-GB"/>
        </w:rPr>
        <w:t>, NIST SP 800-34 Rev. 1. Gaithersburg, MD, USA: NIST, 2010.</w:t>
      </w:r>
    </w:p>
    <w:p w14:paraId="1C512DA9" w14:textId="25792F1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NIST, </w:t>
      </w:r>
      <w:r w:rsidRPr="00105BD1">
        <w:rPr>
          <w:i/>
          <w:iCs/>
          <w:sz w:val="24"/>
          <w:szCs w:val="24"/>
          <w:lang w:val="en-GB"/>
        </w:rPr>
        <w:t>Computer Security Incident Handling Guide</w:t>
      </w:r>
      <w:r w:rsidRPr="00105BD1">
        <w:rPr>
          <w:sz w:val="24"/>
          <w:szCs w:val="24"/>
          <w:lang w:val="en-GB"/>
        </w:rPr>
        <w:t>, NIST SP 800-61 Rev. 2. Gaithersburg, MD, USA: NIST, 2012.</w:t>
      </w:r>
    </w:p>
    <w:p w14:paraId="71517586" w14:textId="0F21F9CF"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S. S. Gill et al., "Transformative cloud security: Misconfigurations and automated remediation," </w:t>
      </w:r>
      <w:r w:rsidRPr="00105BD1">
        <w:rPr>
          <w:i/>
          <w:iCs/>
          <w:sz w:val="24"/>
          <w:szCs w:val="24"/>
          <w:lang w:val="en-GB"/>
        </w:rPr>
        <w:t xml:space="preserve">IEEE Cloud </w:t>
      </w:r>
      <w:proofErr w:type="spellStart"/>
      <w:r w:rsidRPr="00105BD1">
        <w:rPr>
          <w:i/>
          <w:iCs/>
          <w:sz w:val="24"/>
          <w:szCs w:val="24"/>
          <w:lang w:val="en-GB"/>
        </w:rPr>
        <w:t>Comput</w:t>
      </w:r>
      <w:proofErr w:type="spellEnd"/>
      <w:r w:rsidRPr="00105BD1">
        <w:rPr>
          <w:i/>
          <w:iCs/>
          <w:sz w:val="24"/>
          <w:szCs w:val="24"/>
          <w:lang w:val="en-GB"/>
        </w:rPr>
        <w:t>.</w:t>
      </w:r>
      <w:r w:rsidRPr="00105BD1">
        <w:rPr>
          <w:sz w:val="24"/>
          <w:szCs w:val="24"/>
          <w:lang w:val="en-GB"/>
        </w:rPr>
        <w:t>, vol. 8, no. 2, pp. 45–56, Mar./Apr. 2021.</w:t>
      </w:r>
    </w:p>
    <w:p w14:paraId="5D167A4F" w14:textId="16DF49E1"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S. J. Stolfo, A. D. </w:t>
      </w:r>
      <w:proofErr w:type="spellStart"/>
      <w:r w:rsidRPr="00105BD1">
        <w:rPr>
          <w:sz w:val="24"/>
          <w:szCs w:val="24"/>
          <w:lang w:val="en-GB"/>
        </w:rPr>
        <w:t>Keromytis</w:t>
      </w:r>
      <w:proofErr w:type="spellEnd"/>
      <w:r w:rsidRPr="00105BD1">
        <w:rPr>
          <w:sz w:val="24"/>
          <w:szCs w:val="24"/>
          <w:lang w:val="en-GB"/>
        </w:rPr>
        <w:t xml:space="preserve">, and S. M. </w:t>
      </w:r>
      <w:proofErr w:type="spellStart"/>
      <w:r w:rsidRPr="00105BD1">
        <w:rPr>
          <w:sz w:val="24"/>
          <w:szCs w:val="24"/>
          <w:lang w:val="en-GB"/>
        </w:rPr>
        <w:t>Bellovin</w:t>
      </w:r>
      <w:proofErr w:type="spellEnd"/>
      <w:r w:rsidRPr="00105BD1">
        <w:rPr>
          <w:sz w:val="24"/>
          <w:szCs w:val="24"/>
          <w:lang w:val="en-GB"/>
        </w:rPr>
        <w:t xml:space="preserve">, </w:t>
      </w:r>
      <w:r w:rsidRPr="00105BD1">
        <w:rPr>
          <w:i/>
          <w:iCs/>
          <w:sz w:val="24"/>
          <w:szCs w:val="24"/>
          <w:lang w:val="en-GB"/>
        </w:rPr>
        <w:t>Measuring and Mitigating Ransomware</w:t>
      </w:r>
      <w:r w:rsidRPr="00105BD1">
        <w:rPr>
          <w:sz w:val="24"/>
          <w:szCs w:val="24"/>
          <w:lang w:val="en-GB"/>
        </w:rPr>
        <w:t>. Springer, 2017.</w:t>
      </w:r>
    </w:p>
    <w:p w14:paraId="425F0071" w14:textId="78B019EB"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Microsoft, "Privileged Identity Management overview," </w:t>
      </w:r>
      <w:r w:rsidRPr="00105BD1">
        <w:rPr>
          <w:i/>
          <w:iCs/>
          <w:sz w:val="24"/>
          <w:szCs w:val="24"/>
          <w:lang w:val="en-GB"/>
        </w:rPr>
        <w:t>Microsoft Docs</w:t>
      </w:r>
      <w:r w:rsidRPr="00105BD1">
        <w:rPr>
          <w:sz w:val="24"/>
          <w:szCs w:val="24"/>
          <w:lang w:val="en-GB"/>
        </w:rPr>
        <w:t xml:space="preserve">, 2023. [Online]. Available: </w:t>
      </w:r>
      <w:hyperlink r:id="rId38" w:tgtFrame="_blank" w:history="1">
        <w:r w:rsidRPr="00105BD1">
          <w:rPr>
            <w:rStyle w:val="Hyperlink"/>
            <w:sz w:val="24"/>
            <w:szCs w:val="24"/>
            <w:u w:val="none"/>
            <w:lang w:val="en-GB"/>
          </w:rPr>
          <w:t>https://docs.microsoft.com/en-us/azure/active-directory/privileged-identity-management/</w:t>
        </w:r>
      </w:hyperlink>
    </w:p>
    <w:p w14:paraId="51A0BD6D" w14:textId="33F9293F"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Microsoft, "What is Conditional Access?" </w:t>
      </w:r>
      <w:r w:rsidRPr="00105BD1">
        <w:rPr>
          <w:i/>
          <w:iCs/>
          <w:sz w:val="24"/>
          <w:szCs w:val="24"/>
          <w:lang w:val="en-GB"/>
        </w:rPr>
        <w:t>Microsoft Learn</w:t>
      </w:r>
      <w:r w:rsidRPr="00105BD1">
        <w:rPr>
          <w:sz w:val="24"/>
          <w:szCs w:val="24"/>
          <w:lang w:val="en-GB"/>
        </w:rPr>
        <w:t xml:space="preserve">, 2023. [Online]. Available: </w:t>
      </w:r>
      <w:hyperlink r:id="rId39" w:tgtFrame="_blank" w:history="1">
        <w:r w:rsidRPr="00105BD1">
          <w:rPr>
            <w:rStyle w:val="Hyperlink"/>
            <w:sz w:val="24"/>
            <w:szCs w:val="24"/>
            <w:u w:val="none"/>
            <w:lang w:val="en-GB"/>
          </w:rPr>
          <w:t>https://learn.microsoft.com/en-us/entra/identity/conditional-access/overview</w:t>
        </w:r>
      </w:hyperlink>
      <w:r w:rsidRPr="00105BD1">
        <w:rPr>
          <w:sz w:val="24"/>
          <w:szCs w:val="24"/>
          <w:lang w:val="en-GB"/>
        </w:rPr>
        <w:t>. [Accessed: Mar. 5, 2026].</w:t>
      </w:r>
    </w:p>
    <w:p w14:paraId="1E8FD84A" w14:textId="5D4B7CA2"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Gartner, </w:t>
      </w:r>
      <w:r w:rsidRPr="00105BD1">
        <w:rPr>
          <w:i/>
          <w:iCs/>
          <w:sz w:val="24"/>
          <w:szCs w:val="24"/>
          <w:lang w:val="en-GB"/>
        </w:rPr>
        <w:t>Market Guide for Zero Trust Network Access</w:t>
      </w:r>
      <w:r w:rsidRPr="00105BD1">
        <w:rPr>
          <w:sz w:val="24"/>
          <w:szCs w:val="24"/>
          <w:lang w:val="en-GB"/>
        </w:rPr>
        <w:t>, 2023. Stamford, CT, USA: Gartner, 2023.</w:t>
      </w:r>
    </w:p>
    <w:p w14:paraId="0F69529F" w14:textId="05385618"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ISACA, </w:t>
      </w:r>
      <w:r w:rsidRPr="00105BD1">
        <w:rPr>
          <w:i/>
          <w:iCs/>
          <w:sz w:val="24"/>
          <w:szCs w:val="24"/>
          <w:lang w:val="en-GB"/>
        </w:rPr>
        <w:t>Implementing the NIST Cybersecurity Framework</w:t>
      </w:r>
      <w:r w:rsidRPr="00105BD1">
        <w:rPr>
          <w:sz w:val="24"/>
          <w:szCs w:val="24"/>
          <w:lang w:val="en-GB"/>
        </w:rPr>
        <w:t>, 2nd ed. Rolling Meadows, IL, USA: ISACA, 2022.</w:t>
      </w:r>
    </w:p>
    <w:p w14:paraId="56935907" w14:textId="3655660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H. Kim and S. Park, "Enhancing VPN access control using identity-centric Zero Trust principles," </w:t>
      </w:r>
      <w:r w:rsidRPr="00105BD1">
        <w:rPr>
          <w:i/>
          <w:iCs/>
          <w:sz w:val="24"/>
          <w:szCs w:val="24"/>
          <w:lang w:val="en-GB"/>
        </w:rPr>
        <w:t>IEEE Access</w:t>
      </w:r>
      <w:r w:rsidRPr="00105BD1">
        <w:rPr>
          <w:sz w:val="24"/>
          <w:szCs w:val="24"/>
          <w:lang w:val="en-GB"/>
        </w:rPr>
        <w:t>, vol. 10, pp. 15023–15040, 2022.</w:t>
      </w:r>
    </w:p>
    <w:p w14:paraId="6DCB5561" w14:textId="1A2270FD"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 Gupta et al., "Security assessment and evaluation of VPNs: A comprehensive survey," </w:t>
      </w:r>
      <w:r w:rsidRPr="00105BD1">
        <w:rPr>
          <w:i/>
          <w:iCs/>
          <w:sz w:val="24"/>
          <w:szCs w:val="24"/>
          <w:lang w:val="en-GB"/>
        </w:rPr>
        <w:t xml:space="preserve">ACM </w:t>
      </w:r>
      <w:proofErr w:type="spellStart"/>
      <w:r w:rsidRPr="00105BD1">
        <w:rPr>
          <w:i/>
          <w:iCs/>
          <w:sz w:val="24"/>
          <w:szCs w:val="24"/>
          <w:lang w:val="en-GB"/>
        </w:rPr>
        <w:t>Comput</w:t>
      </w:r>
      <w:proofErr w:type="spellEnd"/>
      <w:r w:rsidRPr="00105BD1">
        <w:rPr>
          <w:i/>
          <w:iCs/>
          <w:sz w:val="24"/>
          <w:szCs w:val="24"/>
          <w:lang w:val="en-GB"/>
        </w:rPr>
        <w:t xml:space="preserve">. </w:t>
      </w:r>
      <w:proofErr w:type="spellStart"/>
      <w:r w:rsidRPr="00105BD1">
        <w:rPr>
          <w:i/>
          <w:iCs/>
          <w:sz w:val="24"/>
          <w:szCs w:val="24"/>
          <w:lang w:val="en-GB"/>
        </w:rPr>
        <w:t>Surv</w:t>
      </w:r>
      <w:proofErr w:type="spellEnd"/>
      <w:r w:rsidRPr="00105BD1">
        <w:rPr>
          <w:i/>
          <w:iCs/>
          <w:sz w:val="24"/>
          <w:szCs w:val="24"/>
          <w:lang w:val="en-GB"/>
        </w:rPr>
        <w:t>.</w:t>
      </w:r>
      <w:r w:rsidRPr="00105BD1">
        <w:rPr>
          <w:sz w:val="24"/>
          <w:szCs w:val="24"/>
          <w:lang w:val="en-GB"/>
        </w:rPr>
        <w:t>, vol. 55, no. 7, pp. 1–38, 2022.</w:t>
      </w:r>
    </w:p>
    <w:p w14:paraId="2C976366" w14:textId="436BD04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Y. Zhang and L. Chen, "Zero Trust architecture for hybrid cloud environments: A modern security model," </w:t>
      </w:r>
      <w:r w:rsidRPr="00105BD1">
        <w:rPr>
          <w:i/>
          <w:iCs/>
          <w:sz w:val="24"/>
          <w:szCs w:val="24"/>
          <w:lang w:val="en-GB"/>
        </w:rPr>
        <w:t xml:space="preserve">IEEE Trans. </w:t>
      </w:r>
      <w:proofErr w:type="spellStart"/>
      <w:r w:rsidRPr="00105BD1">
        <w:rPr>
          <w:i/>
          <w:iCs/>
          <w:sz w:val="24"/>
          <w:szCs w:val="24"/>
          <w:lang w:val="en-GB"/>
        </w:rPr>
        <w:t>Netw</w:t>
      </w:r>
      <w:proofErr w:type="spellEnd"/>
      <w:r w:rsidRPr="00105BD1">
        <w:rPr>
          <w:i/>
          <w:iCs/>
          <w:sz w:val="24"/>
          <w:szCs w:val="24"/>
          <w:lang w:val="en-GB"/>
        </w:rPr>
        <w:t>. Serv. Manag.</w:t>
      </w:r>
      <w:r w:rsidRPr="00105BD1">
        <w:rPr>
          <w:sz w:val="24"/>
          <w:szCs w:val="24"/>
          <w:lang w:val="en-GB"/>
        </w:rPr>
        <w:t>, vol. 20, no. 3, pp. 2401–2415, Sept. 2023.</w:t>
      </w:r>
    </w:p>
    <w:p w14:paraId="46CD0EF4" w14:textId="222A14C7"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R. Patel and J. Singh, "Zero Trust segmentation for distributed enterprise networks," </w:t>
      </w:r>
      <w:r w:rsidRPr="00105BD1">
        <w:rPr>
          <w:i/>
          <w:iCs/>
          <w:sz w:val="24"/>
          <w:szCs w:val="24"/>
          <w:lang w:val="en-GB"/>
        </w:rPr>
        <w:t>IEEE Trans. Inf. Forensics Security</w:t>
      </w:r>
      <w:r w:rsidRPr="00105BD1">
        <w:rPr>
          <w:sz w:val="24"/>
          <w:szCs w:val="24"/>
          <w:lang w:val="en-GB"/>
        </w:rPr>
        <w:t>, vol. 19, pp. 1120–1135, 2024.</w:t>
      </w:r>
    </w:p>
    <w:p w14:paraId="43C38ABF" w14:textId="400530B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T. Alvarez and M. R. Hassan, "Zero Trust enforcement in hybrid multi-cloud infrastructures," </w:t>
      </w:r>
      <w:r w:rsidRPr="00105BD1">
        <w:rPr>
          <w:i/>
          <w:iCs/>
          <w:sz w:val="24"/>
          <w:szCs w:val="24"/>
          <w:lang w:val="en-GB"/>
        </w:rPr>
        <w:t xml:space="preserve">IEEE Cloud </w:t>
      </w:r>
      <w:proofErr w:type="spellStart"/>
      <w:r w:rsidRPr="00105BD1">
        <w:rPr>
          <w:i/>
          <w:iCs/>
          <w:sz w:val="24"/>
          <w:szCs w:val="24"/>
          <w:lang w:val="en-GB"/>
        </w:rPr>
        <w:t>Comput</w:t>
      </w:r>
      <w:proofErr w:type="spellEnd"/>
      <w:r w:rsidRPr="00105BD1">
        <w:rPr>
          <w:i/>
          <w:iCs/>
          <w:sz w:val="24"/>
          <w:szCs w:val="24"/>
          <w:lang w:val="en-GB"/>
        </w:rPr>
        <w:t>.</w:t>
      </w:r>
      <w:r w:rsidRPr="00105BD1">
        <w:rPr>
          <w:sz w:val="24"/>
          <w:szCs w:val="24"/>
          <w:lang w:val="en-GB"/>
        </w:rPr>
        <w:t>, vol. 12, no. 1, pp. 55–68, Jan./Feb. 2025.</w:t>
      </w:r>
    </w:p>
    <w:p w14:paraId="3FAE8EA3" w14:textId="70030C8B"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A. </w:t>
      </w:r>
      <w:proofErr w:type="spellStart"/>
      <w:r w:rsidRPr="00105BD1">
        <w:rPr>
          <w:sz w:val="24"/>
          <w:szCs w:val="24"/>
          <w:lang w:val="en-GB"/>
        </w:rPr>
        <w:t>Alshamrani</w:t>
      </w:r>
      <w:proofErr w:type="spellEnd"/>
      <w:r w:rsidRPr="00105BD1">
        <w:rPr>
          <w:sz w:val="24"/>
          <w:szCs w:val="24"/>
          <w:lang w:val="en-GB"/>
        </w:rPr>
        <w:t xml:space="preserve">, "A survey on VPN security: Protocols, attacks, and defences," </w:t>
      </w:r>
      <w:r w:rsidRPr="00105BD1">
        <w:rPr>
          <w:i/>
          <w:iCs/>
          <w:sz w:val="24"/>
          <w:szCs w:val="24"/>
          <w:lang w:val="en-GB"/>
        </w:rPr>
        <w:t>IEEE Access</w:t>
      </w:r>
      <w:r w:rsidRPr="00105BD1">
        <w:rPr>
          <w:sz w:val="24"/>
          <w:szCs w:val="24"/>
          <w:lang w:val="en-GB"/>
        </w:rPr>
        <w:t>, vol. 9, pp. 120–145, 2021.</w:t>
      </w:r>
    </w:p>
    <w:p w14:paraId="26A2E779" w14:textId="6F2B6D0A"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European Parliament and Council of the European Union, "Regulation (EU) 2022/2554 on Digital Operational Resilience for the Financial Sector (DORA)," </w:t>
      </w:r>
      <w:r w:rsidRPr="00105BD1">
        <w:rPr>
          <w:i/>
          <w:iCs/>
          <w:sz w:val="24"/>
          <w:szCs w:val="24"/>
          <w:lang w:val="en-GB"/>
        </w:rPr>
        <w:t>Official Journal of the European Union</w:t>
      </w:r>
      <w:r w:rsidRPr="00105BD1">
        <w:rPr>
          <w:sz w:val="24"/>
          <w:szCs w:val="24"/>
          <w:lang w:val="en-GB"/>
        </w:rPr>
        <w:t>, L 333, Dec. 27, 2022, pp. 1–58.</w:t>
      </w:r>
    </w:p>
    <w:p w14:paraId="5296C1C8" w14:textId="71DE107D"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J. Hall, "A guide to the NIST Cyber Security Framework," </w:t>
      </w:r>
      <w:r w:rsidRPr="00105BD1">
        <w:rPr>
          <w:i/>
          <w:iCs/>
          <w:sz w:val="24"/>
          <w:szCs w:val="24"/>
          <w:lang w:val="en-GB"/>
        </w:rPr>
        <w:t>IFSEC Global</w:t>
      </w:r>
      <w:r w:rsidRPr="00105BD1">
        <w:rPr>
          <w:sz w:val="24"/>
          <w:szCs w:val="24"/>
          <w:lang w:val="en-GB"/>
        </w:rPr>
        <w:t xml:space="preserve">, Sep. 2020. [Online]. Available: </w:t>
      </w:r>
      <w:hyperlink r:id="rId40" w:tgtFrame="_blank" w:history="1">
        <w:r w:rsidRPr="00105BD1">
          <w:rPr>
            <w:rStyle w:val="Hyperlink"/>
            <w:sz w:val="24"/>
            <w:szCs w:val="24"/>
            <w:u w:val="none"/>
            <w:lang w:val="en-GB"/>
          </w:rPr>
          <w:t>https://www.ifsecglobal.com/cyber-security/a-guide-to-the-nist-cyber-security-framework/</w:t>
        </w:r>
      </w:hyperlink>
      <w:r w:rsidRPr="00105BD1">
        <w:rPr>
          <w:sz w:val="24"/>
          <w:szCs w:val="24"/>
          <w:lang w:val="en-GB"/>
        </w:rPr>
        <w:t>. [Accessed: Mar. 3, 2026].</w:t>
      </w:r>
    </w:p>
    <w:p w14:paraId="7C94F1AA" w14:textId="4E3211B4"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Microsoft, "Zero Trust Architecture (ZTA): Policy enforcement points across hybrid infrastructure," </w:t>
      </w:r>
      <w:r w:rsidRPr="00105BD1">
        <w:rPr>
          <w:i/>
          <w:iCs/>
          <w:sz w:val="24"/>
          <w:szCs w:val="24"/>
          <w:lang w:val="en-GB"/>
        </w:rPr>
        <w:t>Microsoft Learn</w:t>
      </w:r>
      <w:r w:rsidRPr="00105BD1">
        <w:rPr>
          <w:sz w:val="24"/>
          <w:szCs w:val="24"/>
          <w:lang w:val="en-GB"/>
        </w:rPr>
        <w:t xml:space="preserve">, 2025. [Online]. Available: </w:t>
      </w:r>
      <w:hyperlink r:id="rId41" w:tgtFrame="_blank" w:history="1">
        <w:r w:rsidRPr="00105BD1">
          <w:rPr>
            <w:rStyle w:val="Hyperlink"/>
            <w:sz w:val="24"/>
            <w:szCs w:val="24"/>
            <w:u w:val="none"/>
            <w:lang w:val="en-GB"/>
          </w:rPr>
          <w:t>https://learn.microsoft.com/en-us/security/zero-trust/</w:t>
        </w:r>
      </w:hyperlink>
      <w:r w:rsidRPr="00105BD1">
        <w:rPr>
          <w:sz w:val="24"/>
          <w:szCs w:val="24"/>
          <w:lang w:val="en-GB"/>
        </w:rPr>
        <w:t>. [Accessed: Mar. 3, 2026].</w:t>
      </w:r>
    </w:p>
    <w:p w14:paraId="7908090E" w14:textId="1B7E0FD5" w:rsidR="00105BD1" w:rsidRPr="00105BD1" w:rsidRDefault="00105BD1" w:rsidP="00993B65">
      <w:pPr>
        <w:pStyle w:val="ListParagraph"/>
        <w:numPr>
          <w:ilvl w:val="0"/>
          <w:numId w:val="16"/>
        </w:numPr>
        <w:jc w:val="start"/>
        <w:rPr>
          <w:sz w:val="24"/>
          <w:szCs w:val="24"/>
          <w:lang w:val="en-GB"/>
        </w:rPr>
      </w:pPr>
      <w:proofErr w:type="spellStart"/>
      <w:r w:rsidRPr="00105BD1">
        <w:rPr>
          <w:sz w:val="24"/>
          <w:szCs w:val="24"/>
          <w:lang w:val="en-GB"/>
        </w:rPr>
        <w:t>OpenAI</w:t>
      </w:r>
      <w:proofErr w:type="spellEnd"/>
      <w:r w:rsidRPr="00105BD1">
        <w:rPr>
          <w:sz w:val="24"/>
          <w:szCs w:val="24"/>
          <w:lang w:val="en-GB"/>
        </w:rPr>
        <w:t xml:space="preserve">, "DALL·E 3 system card," </w:t>
      </w:r>
      <w:proofErr w:type="spellStart"/>
      <w:r w:rsidRPr="00105BD1">
        <w:rPr>
          <w:i/>
          <w:iCs/>
          <w:sz w:val="24"/>
          <w:szCs w:val="24"/>
          <w:lang w:val="en-GB"/>
        </w:rPr>
        <w:t>OpenAI</w:t>
      </w:r>
      <w:proofErr w:type="spellEnd"/>
      <w:r w:rsidRPr="00105BD1">
        <w:rPr>
          <w:i/>
          <w:iCs/>
          <w:sz w:val="24"/>
          <w:szCs w:val="24"/>
          <w:lang w:val="en-GB"/>
        </w:rPr>
        <w:t xml:space="preserve"> Research</w:t>
      </w:r>
      <w:r w:rsidRPr="00105BD1">
        <w:rPr>
          <w:sz w:val="24"/>
          <w:szCs w:val="24"/>
          <w:lang w:val="en-GB"/>
        </w:rPr>
        <w:t xml:space="preserve">, 2023. [Online]. Available: </w:t>
      </w:r>
      <w:hyperlink r:id="rId42" w:tgtFrame="_blank" w:history="1">
        <w:r w:rsidRPr="00105BD1">
          <w:rPr>
            <w:rStyle w:val="Hyperlink"/>
            <w:sz w:val="24"/>
            <w:szCs w:val="24"/>
            <w:u w:val="none"/>
            <w:lang w:val="en-GB"/>
          </w:rPr>
          <w:t>https://openai.com/research/dall-e-3-system-card</w:t>
        </w:r>
      </w:hyperlink>
      <w:r w:rsidRPr="00105BD1">
        <w:rPr>
          <w:sz w:val="24"/>
          <w:szCs w:val="24"/>
          <w:lang w:val="en-GB"/>
        </w:rPr>
        <w:t>. [Accessed: Mar. 3, 2026].</w:t>
      </w:r>
    </w:p>
    <w:p w14:paraId="4450597E" w14:textId="54D8C803" w:rsidR="00105BD1" w:rsidRPr="00105BD1" w:rsidRDefault="00105BD1" w:rsidP="00993B65">
      <w:pPr>
        <w:pStyle w:val="ListParagraph"/>
        <w:numPr>
          <w:ilvl w:val="0"/>
          <w:numId w:val="16"/>
        </w:numPr>
        <w:jc w:val="start"/>
        <w:rPr>
          <w:sz w:val="24"/>
          <w:szCs w:val="24"/>
          <w:lang w:val="en-GB"/>
        </w:rPr>
      </w:pPr>
      <w:r w:rsidRPr="00105BD1">
        <w:rPr>
          <w:sz w:val="24"/>
          <w:szCs w:val="24"/>
          <w:lang w:val="en-GB"/>
        </w:rPr>
        <w:lastRenderedPageBreak/>
        <w:t>University of Wales Trinity Saint David, "Security Technology: Firewalls and VPNs," Week 6 Reading Activity, Moodle Learning Platform, 2026. [Online]. Available: Moodle URL. [Accessed: Mar. 3, 2026].</w:t>
      </w:r>
    </w:p>
    <w:p w14:paraId="598616E8" w14:textId="3E1F60FE" w:rsidR="00105BD1" w:rsidRPr="00105BD1" w:rsidRDefault="00105BD1" w:rsidP="00993B65">
      <w:pPr>
        <w:pStyle w:val="ListParagraph"/>
        <w:numPr>
          <w:ilvl w:val="0"/>
          <w:numId w:val="16"/>
        </w:numPr>
        <w:jc w:val="start"/>
        <w:rPr>
          <w:sz w:val="24"/>
          <w:szCs w:val="24"/>
          <w:lang w:val="en-GB"/>
        </w:rPr>
      </w:pPr>
      <w:r w:rsidRPr="00105BD1">
        <w:rPr>
          <w:sz w:val="24"/>
          <w:szCs w:val="24"/>
          <w:lang w:val="en-GB"/>
        </w:rPr>
        <w:t xml:space="preserve"> H. Abbas et al., "Security assessment and evaluation of VPNs: A comprehensive survey," </w:t>
      </w:r>
      <w:r w:rsidRPr="00105BD1">
        <w:rPr>
          <w:i/>
          <w:iCs/>
          <w:sz w:val="24"/>
          <w:szCs w:val="24"/>
          <w:lang w:val="en-GB"/>
        </w:rPr>
        <w:t xml:space="preserve">ACM </w:t>
      </w:r>
      <w:proofErr w:type="spellStart"/>
      <w:r w:rsidRPr="00105BD1">
        <w:rPr>
          <w:i/>
          <w:iCs/>
          <w:sz w:val="24"/>
          <w:szCs w:val="24"/>
          <w:lang w:val="en-GB"/>
        </w:rPr>
        <w:t>Comput</w:t>
      </w:r>
      <w:proofErr w:type="spellEnd"/>
      <w:r w:rsidRPr="00105BD1">
        <w:rPr>
          <w:i/>
          <w:iCs/>
          <w:sz w:val="24"/>
          <w:szCs w:val="24"/>
          <w:lang w:val="en-GB"/>
        </w:rPr>
        <w:t xml:space="preserve">. </w:t>
      </w:r>
      <w:proofErr w:type="spellStart"/>
      <w:r w:rsidRPr="00105BD1">
        <w:rPr>
          <w:i/>
          <w:iCs/>
          <w:sz w:val="24"/>
          <w:szCs w:val="24"/>
          <w:lang w:val="en-GB"/>
        </w:rPr>
        <w:t>Surv</w:t>
      </w:r>
      <w:proofErr w:type="spellEnd"/>
      <w:r w:rsidRPr="00105BD1">
        <w:rPr>
          <w:i/>
          <w:iCs/>
          <w:sz w:val="24"/>
          <w:szCs w:val="24"/>
          <w:lang w:val="en-GB"/>
        </w:rPr>
        <w:t>.</w:t>
      </w:r>
      <w:r w:rsidRPr="00105BD1">
        <w:rPr>
          <w:sz w:val="24"/>
          <w:szCs w:val="24"/>
          <w:lang w:val="en-GB"/>
        </w:rPr>
        <w:t xml:space="preserve">, vol. 55, no. 7, pp. 1–38, 2023, </w:t>
      </w:r>
      <w:proofErr w:type="spellStart"/>
      <w:r w:rsidRPr="00105BD1">
        <w:rPr>
          <w:sz w:val="24"/>
          <w:szCs w:val="24"/>
          <w:lang w:val="en-GB"/>
        </w:rPr>
        <w:t>doi</w:t>
      </w:r>
      <w:proofErr w:type="spellEnd"/>
      <w:r w:rsidRPr="00105BD1">
        <w:rPr>
          <w:sz w:val="24"/>
          <w:szCs w:val="24"/>
          <w:lang w:val="en-GB"/>
        </w:rPr>
        <w:t>: 10.1145/3579162.</w:t>
      </w:r>
    </w:p>
    <w:p w14:paraId="7F7D2EB0" w14:textId="77777777" w:rsidR="00105BD1" w:rsidRPr="00105BD1" w:rsidRDefault="00105BD1" w:rsidP="00105BD1">
      <w:pPr>
        <w:jc w:val="start"/>
        <w:rPr>
          <w:sz w:val="24"/>
          <w:szCs w:val="24"/>
        </w:rPr>
      </w:pPr>
    </w:p>
    <w:sectPr w:rsidR="00105BD1" w:rsidRPr="00105BD1" w:rsidSect="008040FC">
      <w:type w:val="continuous"/>
      <w:pgSz w:w="595.30pt" w:h="841.90pt" w:code="9"/>
      <w:pgMar w:top="54pt" w:right="45.35pt" w:bottom="72pt" w:left="45.35pt" w:header="36pt" w:footer="36pt" w:gutter="0pt"/>
      <w:cols w:space="18pt"/>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mment w:id="0" w:author="Daunte Barchan (2412948)" w:date="2026-02-19T11:07:00Z" w:initials="DB(">
    <w:p w14:paraId="56B9E0AC" w14:textId="33C17EE9" w:rsidR="00B055D0" w:rsidRDefault="00B055D0">
      <w:pPr>
        <w:pStyle w:val="CommentText"/>
      </w:pPr>
      <w:r>
        <w:rPr>
          <w:rStyle w:val="CommentReference"/>
        </w:rPr>
        <w:annotationRef/>
      </w:r>
      <w:r>
        <w:t>Add the title of the paper</w:t>
      </w:r>
    </w:p>
  </w:comment>
  <w:comment w:id="1" w:author="Daunte Barchan (2412948)" w:date="2026-02-19T11:07:00Z" w:initials="DB(">
    <w:p w14:paraId="212E86BD" w14:textId="10F3CF30" w:rsidR="00B055D0" w:rsidRDefault="00B055D0">
      <w:pPr>
        <w:pStyle w:val="CommentText"/>
      </w:pPr>
      <w:r>
        <w:rPr>
          <w:rStyle w:val="CommentReference"/>
        </w:rPr>
        <w:annotationRef/>
      </w:r>
    </w:p>
  </w:comment>
  <w:comment w:id="6" w:author="Daunte Barchan (2412948) [2]" w:date="2026-02-12T11:16:00Z" w:initials="DB">
    <w:p w14:paraId="7323ACA4" w14:textId="5379CEF3" w:rsidR="00B8776B" w:rsidRDefault="00B8776B">
      <w:pPr>
        <w:pStyle w:val="CommentText"/>
      </w:pPr>
      <w:r>
        <w:rPr>
          <w:rStyle w:val="CommentReference"/>
        </w:rPr>
        <w:annotationRef/>
      </w:r>
      <w:r>
        <w:t xml:space="preserve">Explain </w:t>
      </w:r>
      <w:r w:rsidR="006F1406">
        <w:t>the technical details of HW</w:t>
      </w:r>
    </w:p>
  </w:comment>
  <w:comment w:id="7" w:author="Daunte Barchan (2412948) [2]" w:date="2026-02-12T11:16:00Z" w:initials="DB">
    <w:p w14:paraId="76D8D648" w14:textId="77A1800A" w:rsidR="006F1406" w:rsidRDefault="006F1406">
      <w:pPr>
        <w:pStyle w:val="CommentText"/>
      </w:pPr>
      <w:r>
        <w:rPr>
          <w:rStyle w:val="CommentReference"/>
        </w:rPr>
        <w:annotationRef/>
      </w:r>
    </w:p>
  </w:comment>
  <w:comment w:id="12" w:author="Daunte Barchan (2412948)" w:date="2026-02-19T11:06:00Z" w:initials="DB(">
    <w:p w14:paraId="579DC809" w14:textId="4CA2C8E9" w:rsidR="006562CB" w:rsidRDefault="006562CB">
      <w:pPr>
        <w:pStyle w:val="CommentText"/>
      </w:pPr>
      <w:r>
        <w:rPr>
          <w:rStyle w:val="CommentReference"/>
        </w:rPr>
        <w:annotationRef/>
      </w:r>
      <w:r>
        <w:t>The figure shoud be clear</w:t>
      </w:r>
    </w:p>
  </w:comment>
  <w:comment w:id="13" w:author="Daunte Barchan (2412948)" w:date="2026-02-19T11:06:00Z" w:initials="DB(">
    <w:p w14:paraId="1C027E2B" w14:textId="26AF0433" w:rsidR="006562CB" w:rsidRDefault="006562CB">
      <w:pPr>
        <w:pStyle w:val="CommentText"/>
      </w:pPr>
      <w:r>
        <w:rPr>
          <w:rStyle w:val="CommentReference"/>
        </w:rPr>
        <w:annotationRef/>
      </w:r>
    </w:p>
  </w:comment>
  <w:comment w:id="15" w:author="Daunte Barchan (2412948) [2]" w:date="2026-02-12T11:17:00Z" w:initials="DB">
    <w:p w14:paraId="5A4E9DF6" w14:textId="77777777" w:rsidR="00F725E2" w:rsidRDefault="00F725E2" w:rsidP="00F725E2">
      <w:pPr>
        <w:pStyle w:val="CommentText"/>
      </w:pPr>
      <w:r>
        <w:rPr>
          <w:rStyle w:val="CommentReference"/>
        </w:rPr>
        <w:annotationRef/>
      </w:r>
      <w:r>
        <w:t>Explain the problem then provide solutions</w:t>
      </w:r>
    </w:p>
  </w:comment>
  <w:comment w:id="16" w:author="Daunte Barchan (2412948) [2]" w:date="2026-02-12T11:17:00Z" w:initials="DB">
    <w:p w14:paraId="150EB9C4" w14:textId="77777777" w:rsidR="00F725E2" w:rsidRDefault="00F725E2" w:rsidP="00F725E2">
      <w:pPr>
        <w:pStyle w:val="CommentText"/>
      </w:pPr>
      <w:r>
        <w:rPr>
          <w:rStyle w:val="CommentReference"/>
        </w:rPr>
        <w:annotationRef/>
      </w:r>
    </w:p>
  </w:comment>
  <w:comment w:id="18" w:author="Daunte Barchan (2412948)" w:date="2026-02-19T11:05:00Z" w:initials="DB(">
    <w:p w14:paraId="54FEA289" w14:textId="687A8FCF" w:rsidR="006562CB" w:rsidRDefault="006562CB">
      <w:pPr>
        <w:pStyle w:val="CommentText"/>
      </w:pPr>
      <w:r>
        <w:rPr>
          <w:rStyle w:val="CommentReference"/>
        </w:rPr>
        <w:annotationRef/>
      </w:r>
      <w:r>
        <w:t>Add VPNs</w:t>
      </w:r>
    </w:p>
  </w:comment>
  <w:comment w:id="19" w:author="Daunte Barchan (2412948)" w:date="2026-02-19T11:05:00Z" w:initials="DB(">
    <w:p w14:paraId="40EBF302" w14:textId="36D66267" w:rsidR="006562CB" w:rsidRDefault="006562CB">
      <w:pPr>
        <w:pStyle w:val="CommentText"/>
      </w:pPr>
      <w:r>
        <w:rPr>
          <w:rStyle w:val="CommentReference"/>
        </w:rPr>
        <w:annotationRef/>
      </w:r>
    </w:p>
  </w:comment>
  <w:comment w:id="28" w:author="Daunte Barchan (2412948)" w:date="2026-03-05T11:35:00Z" w:initials="DB(">
    <w:p w14:paraId="4520ACBF" w14:textId="2A472B14" w:rsidR="002B21A4" w:rsidRDefault="002B21A4">
      <w:pPr>
        <w:pStyle w:val="CommentText"/>
      </w:pPr>
      <w:r>
        <w:rPr>
          <w:rStyle w:val="CommentReference"/>
        </w:rPr>
        <w:annotationRef/>
      </w:r>
      <w:r>
        <w:t xml:space="preserve">Add a flowchart </w:t>
      </w:r>
    </w:p>
  </w:comment>
  <w:comment w:id="29" w:author="Daunte Barchan (2412948)" w:date="2026-03-05T11:36:00Z" w:initials="DB(">
    <w:p w14:paraId="074C7290" w14:textId="1AD3BF0E" w:rsidR="002B21A4" w:rsidRDefault="002B21A4">
      <w:pPr>
        <w:pStyle w:val="CommentText"/>
      </w:pPr>
      <w:r>
        <w:rPr>
          <w:rStyle w:val="CommentReference"/>
        </w:rPr>
        <w:annotationRef/>
      </w:r>
    </w:p>
  </w:comment>
  <w:comment w:id="33" w:author="Daunte Barchan (2412948)" w:date="2026-02-19T11:12:00Z" w:initials="DB(">
    <w:p w14:paraId="1AFB7247" w14:textId="77777777" w:rsidR="00E52C25" w:rsidRDefault="00E52C25" w:rsidP="00E52C25">
      <w:pPr>
        <w:pStyle w:val="CommentText"/>
      </w:pPr>
      <w:r>
        <w:rPr>
          <w:rStyle w:val="CommentReference"/>
        </w:rPr>
        <w:annotationRef/>
      </w:r>
      <w:r>
        <w:t xml:space="preserve">The use of NIST should clarified </w:t>
      </w:r>
    </w:p>
  </w:comment>
  <w:comment w:id="34" w:author="Daunte Barchan (2412948)" w:date="2026-02-19T11:13:00Z" w:initials="DB(">
    <w:p w14:paraId="3B5BCDA3" w14:textId="77777777" w:rsidR="00E52C25" w:rsidRDefault="00E52C25" w:rsidP="00E52C25">
      <w:pPr>
        <w:pStyle w:val="CommentText"/>
      </w:pPr>
      <w:r>
        <w:rPr>
          <w:rStyle w:val="CommentReference"/>
        </w:rPr>
        <w:annotationRef/>
      </w:r>
    </w:p>
  </w:comment>
  <w:comment w:id="36" w:author="Daunte Barchan (2412948)" w:date="2026-02-19T11:12:00Z" w:initials="DB(">
    <w:p w14:paraId="4BECA767" w14:textId="77777777" w:rsidR="00E52C25" w:rsidRDefault="00E52C25" w:rsidP="00E52C25">
      <w:pPr>
        <w:pStyle w:val="CommentText"/>
      </w:pPr>
      <w:r>
        <w:rPr>
          <w:rStyle w:val="CommentReference"/>
        </w:rPr>
        <w:annotationRef/>
      </w:r>
      <w:r>
        <w:t xml:space="preserve">Table of assets should be added, and also a risk assessment </w:t>
      </w:r>
    </w:p>
  </w:comment>
  <w:comment w:id="37" w:author="Daunte Barchan (2412948)" w:date="2026-02-19T11:12:00Z" w:initials="DB(">
    <w:p w14:paraId="50DEF54E" w14:textId="77777777" w:rsidR="00E52C25" w:rsidRDefault="00E52C25" w:rsidP="00E52C25">
      <w:pPr>
        <w:pStyle w:val="CommentText"/>
      </w:pPr>
      <w:r>
        <w:rPr>
          <w:rStyle w:val="CommentReference"/>
        </w:rPr>
        <w:annotationRef/>
      </w:r>
    </w:p>
  </w:comment>
  <w:comment w:id="40" w:author="Daunte Barchan (2412948)" w:date="2026-02-19T11:10:00Z" w:initials="DB(">
    <w:p w14:paraId="147597D7" w14:textId="77777777" w:rsidR="00E52C25" w:rsidRDefault="00E52C25" w:rsidP="00E52C25">
      <w:pPr>
        <w:pStyle w:val="CommentText"/>
      </w:pPr>
      <w:r>
        <w:rPr>
          <w:rStyle w:val="CommentReference"/>
        </w:rPr>
        <w:annotationRef/>
      </w:r>
      <w:r>
        <w:t>Explain more</w:t>
      </w:r>
    </w:p>
    <w:p w14:paraId="7E4ED929" w14:textId="77777777" w:rsidR="00E52C25" w:rsidRDefault="00E52C25" w:rsidP="00E52C25">
      <w:pPr>
        <w:pStyle w:val="CommentText"/>
      </w:pPr>
    </w:p>
  </w:comment>
  <w:comment w:id="41" w:author="Daunte Barchan (2412948)" w:date="2026-02-19T11:10:00Z" w:initials="DB(">
    <w:p w14:paraId="31EDF3BB" w14:textId="77777777" w:rsidR="00E52C25" w:rsidRDefault="00E52C25" w:rsidP="00E52C25">
      <w:pPr>
        <w:pStyle w:val="CommentText"/>
      </w:pPr>
      <w:r>
        <w:rPr>
          <w:rStyle w:val="CommentReference"/>
        </w:rPr>
        <w:annotationRef/>
      </w:r>
    </w:p>
  </w:comment>
</w:comments>
</file>

<file path=word/commentsExtended.xml><?xml version="1.0" encoding="utf-8"?>
<w15:commentsEx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15:commentEx w15:paraId="56B9E0AC" w15:done="0"/>
  <w15:commentEx w15:paraId="212E86BD" w15:paraIdParent="56B9E0AC" w15:done="0"/>
  <w15:commentEx w15:paraId="7323ACA4" w15:done="1"/>
  <w15:commentEx w15:paraId="76D8D648" w15:paraIdParent="7323ACA4" w15:done="1"/>
  <w15:commentEx w15:paraId="579DC809" w15:done="0"/>
  <w15:commentEx w15:paraId="1C027E2B" w15:paraIdParent="579DC809" w15:done="0"/>
  <w15:commentEx w15:paraId="5A4E9DF6" w15:done="1"/>
  <w15:commentEx w15:paraId="150EB9C4" w15:paraIdParent="5A4E9DF6" w15:done="1"/>
  <w15:commentEx w15:paraId="54FEA289" w15:done="0"/>
  <w15:commentEx w15:paraId="40EBF302" w15:paraIdParent="54FEA289" w15:done="0"/>
  <w15:commentEx w15:paraId="4520ACBF" w15:done="0"/>
  <w15:commentEx w15:paraId="074C7290" w15:paraIdParent="4520ACBF" w15:done="0"/>
  <w15:commentEx w15:paraId="1AFB7247" w15:done="0"/>
  <w15:commentEx w15:paraId="3B5BCDA3" w15:paraIdParent="1AFB7247" w15:done="0"/>
  <w15:commentEx w15:paraId="4BECA767" w15:done="0"/>
  <w15:commentEx w15:paraId="50DEF54E" w15:paraIdParent="4BECA767" w15:done="0"/>
  <w15:commentEx w15:paraId="7E4ED929" w15:done="0"/>
  <w15:commentEx w15:paraId="31EDF3BB" w15:paraIdParent="7E4ED929" w15:done="0"/>
</w15:commentsEx>
</file>

<file path=word/commentsExtensible.xml><?xml version="1.0" encoding="utf-8"?>
<w16cex:commentsExtensibl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16cex:commentExtensible w16cex:durableId="2D416D6E" w16cex:dateUtc="2026-02-19T11:07:00Z"/>
  <w16cex:commentExtensible w16cex:durableId="2D416D7C" w16cex:dateUtc="2026-02-19T11:07:00Z"/>
  <w16cex:commentExtensible w16cex:durableId="2D3834F1" w16cex:dateUtc="2026-02-12T11:16:00Z"/>
  <w16cex:commentExtensible w16cex:durableId="2D38351C" w16cex:dateUtc="2026-02-12T11:16:00Z"/>
  <w16cex:commentExtensible w16cex:durableId="2D416D26" w16cex:dateUtc="2026-02-19T11:06:00Z"/>
  <w16cex:commentExtensible w16cex:durableId="2D416D33" w16cex:dateUtc="2026-02-19T11:06:00Z"/>
  <w16cex:commentExtensible w16cex:durableId="2D38B83D" w16cex:dateUtc="2026-02-12T11:17:00Z"/>
  <w16cex:commentExtensible w16cex:durableId="2D38B83C" w16cex:dateUtc="2026-02-12T11:17:00Z"/>
  <w16cex:commentExtensible w16cex:durableId="2D416D06" w16cex:dateUtc="2026-02-19T11:05:00Z"/>
  <w16cex:commentExtensible w16cex:durableId="2D416D11" w16cex:dateUtc="2026-02-19T11:05:00Z"/>
  <w16cex:commentExtensible w16cex:durableId="2D53E915" w16cex:dateUtc="2026-03-05T11:35:00Z"/>
  <w16cex:commentExtensible w16cex:durableId="2D53E928" w16cex:dateUtc="2026-03-05T11:36:00Z"/>
  <w16cex:commentExtensible w16cex:durableId="2D416EB5" w16cex:dateUtc="2026-02-19T11:12:00Z"/>
  <w16cex:commentExtensible w16cex:durableId="2D416ECE" w16cex:dateUtc="2026-02-19T11:13:00Z"/>
  <w16cex:commentExtensible w16cex:durableId="2D416E80" w16cex:dateUtc="2026-02-19T11:12:00Z"/>
  <w16cex:commentExtensible w16cex:durableId="2D416EA2" w16cex:dateUtc="2026-02-19T11:12:00Z"/>
  <w16cex:commentExtensible w16cex:durableId="2D416E0C" w16cex:dateUtc="2026-02-19T11:10:00Z"/>
  <w16cex:commentExtensible w16cex:durableId="2D416E17" w16cex:dateUtc="2026-02-19T11:10:00Z"/>
</w16cex:commentsExtensible>
</file>

<file path=word/commentsIds.xml><?xml version="1.0" encoding="utf-8"?>
<w16cid:commentsId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16cid:commentId w16cid:paraId="56B9E0AC" w16cid:durableId="2D416D6E"/>
  <w16cid:commentId w16cid:paraId="212E86BD" w16cid:durableId="2D416D7C"/>
  <w16cid:commentId w16cid:paraId="7323ACA4" w16cid:durableId="2D3834F1"/>
  <w16cid:commentId w16cid:paraId="76D8D648" w16cid:durableId="2D38351C"/>
  <w16cid:commentId w16cid:paraId="579DC809" w16cid:durableId="2D416D26"/>
  <w16cid:commentId w16cid:paraId="1C027E2B" w16cid:durableId="2D416D33"/>
  <w16cid:commentId w16cid:paraId="5A4E9DF6" w16cid:durableId="2D38B83D"/>
  <w16cid:commentId w16cid:paraId="150EB9C4" w16cid:durableId="2D38B83C"/>
  <w16cid:commentId w16cid:paraId="54FEA289" w16cid:durableId="2D416D06"/>
  <w16cid:commentId w16cid:paraId="40EBF302" w16cid:durableId="2D416D11"/>
  <w16cid:commentId w16cid:paraId="4520ACBF" w16cid:durableId="2D53E915"/>
  <w16cid:commentId w16cid:paraId="074C7290" w16cid:durableId="2D53E928"/>
  <w16cid:commentId w16cid:paraId="1AFB7247" w16cid:durableId="2D416EB5"/>
  <w16cid:commentId w16cid:paraId="3B5BCDA3" w16cid:durableId="2D416ECE"/>
  <w16cid:commentId w16cid:paraId="4BECA767" w16cid:durableId="2D416E80"/>
  <w16cid:commentId w16cid:paraId="50DEF54E" w16cid:durableId="2D416EA2"/>
  <w16cid:commentId w16cid:paraId="7E4ED929" w16cid:durableId="2D416E0C"/>
  <w16cid:commentId w16cid:paraId="31EDF3BB" w16cid:durableId="2D416E17"/>
</w16cid:commentsIds>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375A0F71" w14:textId="77777777" w:rsidR="00993B65" w:rsidRDefault="00993B65" w:rsidP="001A3B3D">
      <w:r>
        <w:separator/>
      </w:r>
    </w:p>
  </w:endnote>
  <w:endnote w:type="continuationSeparator" w:id="0">
    <w:p w14:paraId="045F8CAB" w14:textId="77777777" w:rsidR="00993B65" w:rsidRDefault="00993B65"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Arial">
    <w:panose1 w:val="020B0604020202020204"/>
    <w:charset w:characterSet="iso-8859-1"/>
    <w:family w:val="swiss"/>
    <w:pitch w:val="variable"/>
    <w:sig w:usb0="E0002EFF" w:usb1="C000785B" w:usb2="00000009" w:usb3="00000000" w:csb0="000001FF" w:csb1="00000000"/>
  </w:font>
  <w:font w:name="Calibri Light">
    <w:panose1 w:val="020F0302020204030204"/>
    <w:charset w:characterSet="iso-8859-1"/>
    <w:family w:val="swiss"/>
    <w:pitch w:val="variable"/>
    <w:sig w:usb0="E4002EFF" w:usb1="C200247B" w:usb2="00000009" w:usb3="00000000" w:csb0="000001FF" w:csb1="00000000"/>
  </w:font>
  <w:font w:name="Calibri">
    <w:panose1 w:val="020F0502020204030204"/>
    <w:charset w:characterSet="iso-8859-1"/>
    <w:family w:val="swiss"/>
    <w:pitch w:val="variable"/>
    <w:sig w:usb0="E4002EFF" w:usb1="C2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69E75918" w14:textId="77777777" w:rsidR="001A3B3D" w:rsidRPr="006F6D3D" w:rsidRDefault="001A3B3D" w:rsidP="0056610F">
    <w:pPr>
      <w:pStyle w:val="Footer"/>
      <w:jc w:val="start"/>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54BB0564" w14:textId="77777777" w:rsidR="00993B65" w:rsidRDefault="00993B65" w:rsidP="001A3B3D">
      <w:r>
        <w:separator/>
      </w:r>
    </w:p>
  </w:footnote>
  <w:footnote w:type="continuationSeparator" w:id="0">
    <w:p w14:paraId="6BCF1F08" w14:textId="77777777" w:rsidR="00993B65" w:rsidRDefault="00993B65" w:rsidP="001A3B3D">
      <w:r>
        <w:continuationSeparator/>
      </w:r>
    </w:p>
  </w:footnote>
</w:footnotes>
</file>

<file path=word/header1.xml><?xml version="1.0" encoding="utf-8"?>
<w:hd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52FE26D3" w14:textId="77777777" w:rsidR="00B15F63" w:rsidRDefault="00B15F63" w:rsidP="00B15F63">
    <w:pPr>
      <w:pStyle w:val="Header"/>
      <w:jc w:val="both"/>
    </w:pPr>
  </w:p>
</w:hdr>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012A5DA9"/>
    <w:multiLevelType w:val="multilevel"/>
    <w:tmpl w:val="B380E8A4"/>
    <w:lvl w:ilvl="0">
      <w:start w:val="1"/>
      <w:numFmt w:val="bullet"/>
      <w:lvlText w:val=""/>
      <w:lvlJc w:val="start"/>
      <w:pPr>
        <w:tabs>
          <w:tab w:val="num" w:pos="36pt"/>
        </w:tabs>
        <w:ind w:start="36pt" w:hanging="18pt"/>
      </w:pPr>
      <w:rPr>
        <w:rFonts w:ascii="Symbol" w:hAnsi="Symbol" w:hint="default"/>
        <w:sz w:val="20"/>
      </w:rPr>
    </w:lvl>
    <w:lvl w:ilvl="1">
      <w:start w:val="1"/>
      <w:numFmt w:val="bullet"/>
      <w:lvlText w:val="o"/>
      <w:lvlJc w:val="start"/>
      <w:pPr>
        <w:tabs>
          <w:tab w:val="num" w:pos="72pt"/>
        </w:tabs>
        <w:ind w:start="72pt" w:hanging="18pt"/>
      </w:pPr>
      <w:rPr>
        <w:rFonts w:ascii="Courier New" w:hAnsi="Courier New" w:hint="default"/>
        <w:sz w:val="20"/>
      </w:rPr>
    </w:lvl>
    <w:lvl w:ilvl="2">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 w15:restartNumberingAfterBreak="0">
    <w:nsid w:val="0A16241A"/>
    <w:multiLevelType w:val="hybridMultilevel"/>
    <w:tmpl w:val="6EF07EF2"/>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2" w15:restartNumberingAfterBreak="0">
    <w:nsid w:val="21DA6DAE"/>
    <w:multiLevelType w:val="multilevel"/>
    <w:tmpl w:val="D61C7DC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4"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5" w15:restartNumberingAfterBreak="0">
    <w:nsid w:val="3EB0361E"/>
    <w:multiLevelType w:val="multilevel"/>
    <w:tmpl w:val="A9968CB6"/>
    <w:lvl w:ilvl="0">
      <w:start w:val="1"/>
      <w:numFmt w:val="bullet"/>
      <w:lvlText w:val=""/>
      <w:lvlJc w:val="start"/>
      <w:pPr>
        <w:tabs>
          <w:tab w:val="num" w:pos="36pt"/>
        </w:tabs>
        <w:ind w:start="36pt" w:hanging="18pt"/>
      </w:pPr>
      <w:rPr>
        <w:rFonts w:ascii="Symbol" w:hAnsi="Symbol" w:hint="default"/>
        <w:sz w:val="20"/>
      </w:rPr>
    </w:lvl>
    <w:lvl w:ilvl="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6" w15:restartNumberingAfterBreak="0">
    <w:nsid w:val="407B6354"/>
    <w:multiLevelType w:val="multilevel"/>
    <w:tmpl w:val="C7B4BBA2"/>
    <w:lvl w:ilvl="0">
      <w:start w:val="1"/>
      <w:numFmt w:val="bullet"/>
      <w:lvlText w:val=""/>
      <w:lvlJc w:val="start"/>
      <w:pPr>
        <w:tabs>
          <w:tab w:val="num" w:pos="36pt"/>
        </w:tabs>
        <w:ind w:start="36pt" w:hanging="18pt"/>
      </w:pPr>
      <w:rPr>
        <w:rFonts w:ascii="Symbol" w:hAnsi="Symbol" w:hint="default"/>
        <w:sz w:val="20"/>
      </w:rPr>
    </w:lvl>
    <w:lvl w:ilvl="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7" w15:restartNumberingAfterBreak="0">
    <w:nsid w:val="42015C27"/>
    <w:multiLevelType w:val="multilevel"/>
    <w:tmpl w:val="366667C2"/>
    <w:lvl w:ilvl="0">
      <w:start w:val="1"/>
      <w:numFmt w:val="bullet"/>
      <w:lvlText w:val=""/>
      <w:lvlJc w:val="start"/>
      <w:pPr>
        <w:tabs>
          <w:tab w:val="num" w:pos="36pt"/>
        </w:tabs>
        <w:ind w:start="36pt" w:hanging="18pt"/>
      </w:pPr>
      <w:rPr>
        <w:rFonts w:ascii="Symbol" w:hAnsi="Symbol" w:hint="default"/>
        <w:sz w:val="20"/>
      </w:rPr>
    </w:lvl>
    <w:lvl w:ilvl="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8" w15:restartNumberingAfterBreak="0">
    <w:nsid w:val="42D81D19"/>
    <w:multiLevelType w:val="hybridMultilevel"/>
    <w:tmpl w:val="64F0A644"/>
    <w:lvl w:ilvl="0" w:tplc="08090015">
      <w:start w:val="1"/>
      <w:numFmt w:val="upperLetter"/>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9"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0" w15:restartNumberingAfterBreak="0">
    <w:nsid w:val="49FA3CB4"/>
    <w:multiLevelType w:val="hybridMultilevel"/>
    <w:tmpl w:val="7CB6D9FE"/>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1"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12" w15:restartNumberingAfterBreak="0">
    <w:nsid w:val="5CA02757"/>
    <w:multiLevelType w:val="multilevel"/>
    <w:tmpl w:val="D66A5EB4"/>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3"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15" w15:restartNumberingAfterBreak="0">
    <w:nsid w:val="6E3A6CA0"/>
    <w:multiLevelType w:val="multilevel"/>
    <w:tmpl w:val="E4EE35E0"/>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num w:numId="1">
    <w:abstractNumId w:val="4"/>
  </w:num>
  <w:num w:numId="2">
    <w:abstractNumId w:val="13"/>
  </w:num>
  <w:num w:numId="3">
    <w:abstractNumId w:val="3"/>
  </w:num>
  <w:num w:numId="4">
    <w:abstractNumId w:val="11"/>
  </w:num>
  <w:num w:numId="5">
    <w:abstractNumId w:val="14"/>
  </w:num>
  <w:num w:numId="6">
    <w:abstractNumId w:val="9"/>
  </w:num>
  <w:num w:numId="7">
    <w:abstractNumId w:val="1"/>
  </w:num>
  <w:num w:numId="8">
    <w:abstractNumId w:val="8"/>
  </w:num>
  <w:num w:numId="9">
    <w:abstractNumId w:val="6"/>
  </w:num>
  <w:num w:numId="10">
    <w:abstractNumId w:val="15"/>
  </w:num>
  <w:num w:numId="11">
    <w:abstractNumId w:val="2"/>
  </w:num>
  <w:num w:numId="12">
    <w:abstractNumId w:val="12"/>
  </w:num>
  <w:num w:numId="13">
    <w:abstractNumId w:val="7"/>
  </w:num>
  <w:num w:numId="14">
    <w:abstractNumId w:val="0"/>
  </w:num>
  <w:num w:numId="15">
    <w:abstractNumId w:val="5"/>
  </w:num>
  <w:num w:numId="16">
    <w:abstractNumId w:val="10"/>
  </w:num>
  <w:numIdMacAtCleanup w:val="16"/>
</w:numbering>
</file>

<file path=word/people.xml><?xml version="1.0" encoding="utf-8"?>
<w15:peopl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15:person w15:author="Daunte Barchan (2412948)">
    <w15:presenceInfo w15:providerId="AD" w15:userId="S::2412948@student.uwtsd.ac.uk::f1383fce-09cb-4b1d-92a9-190c12371db1"/>
  </w15:person>
  <w15:person w15:author="Daunte Barchan (2412948) [2]">
    <w15:presenceInfo w15:providerId="AD" w15:userId="S::2412948@student.uwtsd.ac.uk::f1383fce-09cb-4b1d-92a9-190c12371db1"/>
  </w15:person>
</w15:people>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0E2A"/>
    <w:rsid w:val="000108A4"/>
    <w:rsid w:val="000143F5"/>
    <w:rsid w:val="00036003"/>
    <w:rsid w:val="0004280E"/>
    <w:rsid w:val="0004781E"/>
    <w:rsid w:val="00047CF5"/>
    <w:rsid w:val="0005212C"/>
    <w:rsid w:val="00057B8B"/>
    <w:rsid w:val="000608AE"/>
    <w:rsid w:val="00066202"/>
    <w:rsid w:val="00086654"/>
    <w:rsid w:val="0008758A"/>
    <w:rsid w:val="00097128"/>
    <w:rsid w:val="000A4839"/>
    <w:rsid w:val="000C08B7"/>
    <w:rsid w:val="000C1E68"/>
    <w:rsid w:val="000D3904"/>
    <w:rsid w:val="00105B69"/>
    <w:rsid w:val="00105BD1"/>
    <w:rsid w:val="00111883"/>
    <w:rsid w:val="00124764"/>
    <w:rsid w:val="00127A60"/>
    <w:rsid w:val="001343A1"/>
    <w:rsid w:val="00147267"/>
    <w:rsid w:val="001548A5"/>
    <w:rsid w:val="00166FFF"/>
    <w:rsid w:val="0017373C"/>
    <w:rsid w:val="001758EA"/>
    <w:rsid w:val="001828B9"/>
    <w:rsid w:val="0019181F"/>
    <w:rsid w:val="00196D90"/>
    <w:rsid w:val="001A0E8A"/>
    <w:rsid w:val="001A28F0"/>
    <w:rsid w:val="001A2EAD"/>
    <w:rsid w:val="001A2EFD"/>
    <w:rsid w:val="001A3B3D"/>
    <w:rsid w:val="001A4738"/>
    <w:rsid w:val="001B67DC"/>
    <w:rsid w:val="001B7A5B"/>
    <w:rsid w:val="001C5359"/>
    <w:rsid w:val="001D3B17"/>
    <w:rsid w:val="001E2F41"/>
    <w:rsid w:val="001F5554"/>
    <w:rsid w:val="002005B6"/>
    <w:rsid w:val="002149F8"/>
    <w:rsid w:val="002172F4"/>
    <w:rsid w:val="002254A9"/>
    <w:rsid w:val="00233D97"/>
    <w:rsid w:val="002347A2"/>
    <w:rsid w:val="002533A7"/>
    <w:rsid w:val="00273295"/>
    <w:rsid w:val="00275A25"/>
    <w:rsid w:val="002806DA"/>
    <w:rsid w:val="002834B7"/>
    <w:rsid w:val="002850E3"/>
    <w:rsid w:val="002879EE"/>
    <w:rsid w:val="00293258"/>
    <w:rsid w:val="002A2D00"/>
    <w:rsid w:val="002B21A4"/>
    <w:rsid w:val="002B7A42"/>
    <w:rsid w:val="002C49B5"/>
    <w:rsid w:val="002C4F40"/>
    <w:rsid w:val="002F5A84"/>
    <w:rsid w:val="00300CA0"/>
    <w:rsid w:val="00303076"/>
    <w:rsid w:val="00317E72"/>
    <w:rsid w:val="00324643"/>
    <w:rsid w:val="00354FCF"/>
    <w:rsid w:val="00361756"/>
    <w:rsid w:val="00361FBD"/>
    <w:rsid w:val="00362B27"/>
    <w:rsid w:val="00377810"/>
    <w:rsid w:val="0037781C"/>
    <w:rsid w:val="00384FE4"/>
    <w:rsid w:val="00386061"/>
    <w:rsid w:val="003861FF"/>
    <w:rsid w:val="0039105F"/>
    <w:rsid w:val="003A1657"/>
    <w:rsid w:val="003A19E2"/>
    <w:rsid w:val="003B2B40"/>
    <w:rsid w:val="003B4E04"/>
    <w:rsid w:val="003C295B"/>
    <w:rsid w:val="003C2AAC"/>
    <w:rsid w:val="003D2D81"/>
    <w:rsid w:val="003D47AC"/>
    <w:rsid w:val="003E2284"/>
    <w:rsid w:val="003F5A08"/>
    <w:rsid w:val="00407097"/>
    <w:rsid w:val="00420716"/>
    <w:rsid w:val="004245B0"/>
    <w:rsid w:val="00427420"/>
    <w:rsid w:val="004309C2"/>
    <w:rsid w:val="004325FB"/>
    <w:rsid w:val="004432BA"/>
    <w:rsid w:val="0044407E"/>
    <w:rsid w:val="00447BB9"/>
    <w:rsid w:val="00453249"/>
    <w:rsid w:val="004538DB"/>
    <w:rsid w:val="0046031D"/>
    <w:rsid w:val="0046347D"/>
    <w:rsid w:val="0047240B"/>
    <w:rsid w:val="00473AC9"/>
    <w:rsid w:val="00486690"/>
    <w:rsid w:val="00486B63"/>
    <w:rsid w:val="00490F18"/>
    <w:rsid w:val="00497D7E"/>
    <w:rsid w:val="004B0006"/>
    <w:rsid w:val="004D72B5"/>
    <w:rsid w:val="004E0D02"/>
    <w:rsid w:val="004F5418"/>
    <w:rsid w:val="00506D1F"/>
    <w:rsid w:val="00546AE9"/>
    <w:rsid w:val="00551B7F"/>
    <w:rsid w:val="0056610F"/>
    <w:rsid w:val="00573BA4"/>
    <w:rsid w:val="00575BCA"/>
    <w:rsid w:val="0059080B"/>
    <w:rsid w:val="00593C52"/>
    <w:rsid w:val="005A35EE"/>
    <w:rsid w:val="005B0344"/>
    <w:rsid w:val="005B520E"/>
    <w:rsid w:val="005B73B5"/>
    <w:rsid w:val="005C5526"/>
    <w:rsid w:val="005E2800"/>
    <w:rsid w:val="005E3B8B"/>
    <w:rsid w:val="005E571B"/>
    <w:rsid w:val="005F3409"/>
    <w:rsid w:val="005F76B8"/>
    <w:rsid w:val="00602A72"/>
    <w:rsid w:val="00605825"/>
    <w:rsid w:val="00606003"/>
    <w:rsid w:val="00612944"/>
    <w:rsid w:val="00622FAB"/>
    <w:rsid w:val="006279FE"/>
    <w:rsid w:val="00643284"/>
    <w:rsid w:val="00645D22"/>
    <w:rsid w:val="00645D23"/>
    <w:rsid w:val="00651A08"/>
    <w:rsid w:val="00654204"/>
    <w:rsid w:val="006562CB"/>
    <w:rsid w:val="006579DB"/>
    <w:rsid w:val="00657AFC"/>
    <w:rsid w:val="00662A26"/>
    <w:rsid w:val="00670434"/>
    <w:rsid w:val="0067767F"/>
    <w:rsid w:val="00677FD8"/>
    <w:rsid w:val="0068144D"/>
    <w:rsid w:val="006909D9"/>
    <w:rsid w:val="006A5D82"/>
    <w:rsid w:val="006A7767"/>
    <w:rsid w:val="006B08AB"/>
    <w:rsid w:val="006B69BB"/>
    <w:rsid w:val="006B6B66"/>
    <w:rsid w:val="006B7EF7"/>
    <w:rsid w:val="006C71B6"/>
    <w:rsid w:val="006E5D76"/>
    <w:rsid w:val="006F10DF"/>
    <w:rsid w:val="006F1406"/>
    <w:rsid w:val="006F6D3D"/>
    <w:rsid w:val="0071286E"/>
    <w:rsid w:val="00713636"/>
    <w:rsid w:val="00715BEA"/>
    <w:rsid w:val="00731122"/>
    <w:rsid w:val="00740EEA"/>
    <w:rsid w:val="00764AA8"/>
    <w:rsid w:val="00787A76"/>
    <w:rsid w:val="00792F4A"/>
    <w:rsid w:val="007945AD"/>
    <w:rsid w:val="00794804"/>
    <w:rsid w:val="007A0A5D"/>
    <w:rsid w:val="007A116B"/>
    <w:rsid w:val="007B33F1"/>
    <w:rsid w:val="007B36CA"/>
    <w:rsid w:val="007B4E0C"/>
    <w:rsid w:val="007B6DDA"/>
    <w:rsid w:val="007C0308"/>
    <w:rsid w:val="007C2FF2"/>
    <w:rsid w:val="007C42EB"/>
    <w:rsid w:val="007D6232"/>
    <w:rsid w:val="007E7EE5"/>
    <w:rsid w:val="007F1F99"/>
    <w:rsid w:val="007F768F"/>
    <w:rsid w:val="00801378"/>
    <w:rsid w:val="008040FC"/>
    <w:rsid w:val="00805DE4"/>
    <w:rsid w:val="0080791D"/>
    <w:rsid w:val="00810F01"/>
    <w:rsid w:val="0081435E"/>
    <w:rsid w:val="008147B5"/>
    <w:rsid w:val="008263C5"/>
    <w:rsid w:val="00827675"/>
    <w:rsid w:val="00836367"/>
    <w:rsid w:val="00873603"/>
    <w:rsid w:val="0087692A"/>
    <w:rsid w:val="00883B33"/>
    <w:rsid w:val="00886152"/>
    <w:rsid w:val="00892237"/>
    <w:rsid w:val="00893855"/>
    <w:rsid w:val="0089496C"/>
    <w:rsid w:val="008A2C7D"/>
    <w:rsid w:val="008B0AF5"/>
    <w:rsid w:val="008B6524"/>
    <w:rsid w:val="008C3729"/>
    <w:rsid w:val="008C4B23"/>
    <w:rsid w:val="008D2932"/>
    <w:rsid w:val="008D4AA0"/>
    <w:rsid w:val="008E7F0F"/>
    <w:rsid w:val="008F6E2C"/>
    <w:rsid w:val="009303D9"/>
    <w:rsid w:val="00933C64"/>
    <w:rsid w:val="009457FE"/>
    <w:rsid w:val="0095379B"/>
    <w:rsid w:val="009645FF"/>
    <w:rsid w:val="00972203"/>
    <w:rsid w:val="00993B65"/>
    <w:rsid w:val="009A39C3"/>
    <w:rsid w:val="009D7F86"/>
    <w:rsid w:val="009E15F9"/>
    <w:rsid w:val="009F1D79"/>
    <w:rsid w:val="00A04157"/>
    <w:rsid w:val="00A059B3"/>
    <w:rsid w:val="00A118F8"/>
    <w:rsid w:val="00A213E3"/>
    <w:rsid w:val="00A319D8"/>
    <w:rsid w:val="00A31BB5"/>
    <w:rsid w:val="00A32784"/>
    <w:rsid w:val="00A3615F"/>
    <w:rsid w:val="00A52F03"/>
    <w:rsid w:val="00A55F6C"/>
    <w:rsid w:val="00A63567"/>
    <w:rsid w:val="00A9285B"/>
    <w:rsid w:val="00AA6274"/>
    <w:rsid w:val="00AC3D9E"/>
    <w:rsid w:val="00AD322C"/>
    <w:rsid w:val="00AE3409"/>
    <w:rsid w:val="00AF4CF9"/>
    <w:rsid w:val="00AF5CA9"/>
    <w:rsid w:val="00B0363F"/>
    <w:rsid w:val="00B055D0"/>
    <w:rsid w:val="00B11A60"/>
    <w:rsid w:val="00B15F63"/>
    <w:rsid w:val="00B22613"/>
    <w:rsid w:val="00B44A76"/>
    <w:rsid w:val="00B56CD4"/>
    <w:rsid w:val="00B768D1"/>
    <w:rsid w:val="00B81500"/>
    <w:rsid w:val="00B8776B"/>
    <w:rsid w:val="00B878C6"/>
    <w:rsid w:val="00B96A6B"/>
    <w:rsid w:val="00BA1025"/>
    <w:rsid w:val="00BA22F8"/>
    <w:rsid w:val="00BA59CB"/>
    <w:rsid w:val="00BA6456"/>
    <w:rsid w:val="00BB054C"/>
    <w:rsid w:val="00BC3420"/>
    <w:rsid w:val="00BC39FC"/>
    <w:rsid w:val="00BC3C64"/>
    <w:rsid w:val="00BD24F5"/>
    <w:rsid w:val="00BD670B"/>
    <w:rsid w:val="00BE7D3C"/>
    <w:rsid w:val="00BF5FF6"/>
    <w:rsid w:val="00C00B15"/>
    <w:rsid w:val="00C0207F"/>
    <w:rsid w:val="00C05A46"/>
    <w:rsid w:val="00C16117"/>
    <w:rsid w:val="00C3075A"/>
    <w:rsid w:val="00C56CB4"/>
    <w:rsid w:val="00C645B7"/>
    <w:rsid w:val="00C671AF"/>
    <w:rsid w:val="00C85DDF"/>
    <w:rsid w:val="00C919A4"/>
    <w:rsid w:val="00C94696"/>
    <w:rsid w:val="00CA4392"/>
    <w:rsid w:val="00CA6DC0"/>
    <w:rsid w:val="00CC393F"/>
    <w:rsid w:val="00CC4F6D"/>
    <w:rsid w:val="00CC6D7C"/>
    <w:rsid w:val="00CE1FE2"/>
    <w:rsid w:val="00CE47F9"/>
    <w:rsid w:val="00CE7C05"/>
    <w:rsid w:val="00CF4791"/>
    <w:rsid w:val="00D008E5"/>
    <w:rsid w:val="00D11305"/>
    <w:rsid w:val="00D21050"/>
    <w:rsid w:val="00D2176E"/>
    <w:rsid w:val="00D57A0D"/>
    <w:rsid w:val="00D57FE1"/>
    <w:rsid w:val="00D619F9"/>
    <w:rsid w:val="00D632BE"/>
    <w:rsid w:val="00D670F0"/>
    <w:rsid w:val="00D72D06"/>
    <w:rsid w:val="00D7522C"/>
    <w:rsid w:val="00D7536F"/>
    <w:rsid w:val="00D76668"/>
    <w:rsid w:val="00D769F7"/>
    <w:rsid w:val="00D77D6D"/>
    <w:rsid w:val="00D8180B"/>
    <w:rsid w:val="00D86F20"/>
    <w:rsid w:val="00D9457E"/>
    <w:rsid w:val="00DB5B36"/>
    <w:rsid w:val="00DD1251"/>
    <w:rsid w:val="00DE57B9"/>
    <w:rsid w:val="00E07383"/>
    <w:rsid w:val="00E115F9"/>
    <w:rsid w:val="00E12440"/>
    <w:rsid w:val="00E165BC"/>
    <w:rsid w:val="00E2104F"/>
    <w:rsid w:val="00E2715A"/>
    <w:rsid w:val="00E274F7"/>
    <w:rsid w:val="00E321F1"/>
    <w:rsid w:val="00E3773D"/>
    <w:rsid w:val="00E44097"/>
    <w:rsid w:val="00E525D0"/>
    <w:rsid w:val="00E52C25"/>
    <w:rsid w:val="00E61E12"/>
    <w:rsid w:val="00E61F1A"/>
    <w:rsid w:val="00E655D7"/>
    <w:rsid w:val="00E67B1F"/>
    <w:rsid w:val="00E748C6"/>
    <w:rsid w:val="00E7596C"/>
    <w:rsid w:val="00E878F2"/>
    <w:rsid w:val="00E910DE"/>
    <w:rsid w:val="00E93DF1"/>
    <w:rsid w:val="00EB3476"/>
    <w:rsid w:val="00EC144C"/>
    <w:rsid w:val="00EC4A96"/>
    <w:rsid w:val="00ED0149"/>
    <w:rsid w:val="00ED152C"/>
    <w:rsid w:val="00EE0057"/>
    <w:rsid w:val="00EE208A"/>
    <w:rsid w:val="00EE4771"/>
    <w:rsid w:val="00EF42CE"/>
    <w:rsid w:val="00EF7DE3"/>
    <w:rsid w:val="00F02E2B"/>
    <w:rsid w:val="00F03103"/>
    <w:rsid w:val="00F10BA7"/>
    <w:rsid w:val="00F17957"/>
    <w:rsid w:val="00F21621"/>
    <w:rsid w:val="00F271DE"/>
    <w:rsid w:val="00F27719"/>
    <w:rsid w:val="00F35BDB"/>
    <w:rsid w:val="00F4135C"/>
    <w:rsid w:val="00F41591"/>
    <w:rsid w:val="00F4735F"/>
    <w:rsid w:val="00F5143B"/>
    <w:rsid w:val="00F518CF"/>
    <w:rsid w:val="00F536E5"/>
    <w:rsid w:val="00F627DA"/>
    <w:rsid w:val="00F63EE0"/>
    <w:rsid w:val="00F658E4"/>
    <w:rsid w:val="00F70706"/>
    <w:rsid w:val="00F725E2"/>
    <w:rsid w:val="00F7288F"/>
    <w:rsid w:val="00F76851"/>
    <w:rsid w:val="00F76A84"/>
    <w:rsid w:val="00F847A6"/>
    <w:rsid w:val="00F9441B"/>
    <w:rsid w:val="00FA2F73"/>
    <w:rsid w:val="00FA4C32"/>
    <w:rsid w:val="00FA5CA2"/>
    <w:rsid w:val="00FD04B9"/>
    <w:rsid w:val="00FE7114"/>
    <w:rsid w:val="00FF30D9"/>
    <w:rsid w:val="00FF5BE3"/>
    <w:rsid w:val="00FF6A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FC7D30"/>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Hyperlink" w:uiPriority="99"/>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link w:val="Heading1Char"/>
    <w:qFormat/>
    <w:rsid w:val="006B6B66"/>
    <w:pPr>
      <w:keepNext/>
      <w:keepLines/>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spacing w:before="6pt" w:after="3pt"/>
      <w:jc w:val="start"/>
      <w:outlineLvl w:val="1"/>
    </w:pPr>
    <w:rPr>
      <w:i/>
      <w:iCs/>
      <w:noProof/>
    </w:rPr>
  </w:style>
  <w:style w:type="paragraph" w:styleId="Heading3">
    <w:name w:val="heading 3"/>
    <w:basedOn w:val="Normal"/>
    <w:next w:val="Normal"/>
    <w:qFormat/>
    <w:rsid w:val="00794804"/>
    <w:pPr>
      <w:spacing w:line="12pt" w:lineRule="exact"/>
      <w:jc w:val="both"/>
      <w:outlineLvl w:val="2"/>
    </w:pPr>
    <w:rPr>
      <w:i/>
      <w:iCs/>
      <w:noProof/>
    </w:rPr>
  </w:style>
  <w:style w:type="paragraph" w:styleId="Heading4">
    <w:name w:val="heading 4"/>
    <w:basedOn w:val="Normal"/>
    <w:next w:val="Normal"/>
    <w:qFormat/>
    <w:rsid w:val="00794804"/>
    <w:pPr>
      <w:tabs>
        <w:tab w:val="start" w:pos="36pt"/>
      </w:tabs>
      <w:spacing w:before="2pt" w:after="2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4"/>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6"/>
      </w:numPr>
      <w:spacing w:before="3pt" w:after="1.50pt"/>
      <w:ind w:start="2.90pt" w:hanging="1.45pt"/>
      <w:jc w:val="end"/>
    </w:pPr>
    <w:rPr>
      <w:sz w:val="12"/>
      <w:szCs w:val="12"/>
    </w:rPr>
  </w:style>
  <w:style w:type="paragraph" w:customStyle="1" w:styleId="tablehead">
    <w:name w:val="table head"/>
    <w:pPr>
      <w:numPr>
        <w:numId w:val="5"/>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customStyle="1" w:styleId="Default">
    <w:name w:val="Default"/>
    <w:rsid w:val="00787A76"/>
    <w:pPr>
      <w:autoSpaceDE w:val="0"/>
      <w:autoSpaceDN w:val="0"/>
      <w:adjustRightInd w:val="0"/>
    </w:pPr>
    <w:rPr>
      <w:rFonts w:ascii="Arial" w:eastAsiaTheme="minorEastAsia" w:hAnsi="Arial" w:cs="Arial"/>
      <w:color w:val="000000"/>
      <w:sz w:val="24"/>
      <w:szCs w:val="24"/>
      <w:lang w:val="en-GB" w:eastAsia="en-GB"/>
    </w:rPr>
  </w:style>
  <w:style w:type="paragraph" w:styleId="NormalWeb">
    <w:name w:val="Normal (Web)"/>
    <w:basedOn w:val="Normal"/>
    <w:uiPriority w:val="99"/>
    <w:rsid w:val="001548A5"/>
    <w:rPr>
      <w:sz w:val="24"/>
      <w:szCs w:val="24"/>
    </w:rPr>
  </w:style>
  <w:style w:type="character" w:styleId="Hyperlink">
    <w:name w:val="Hyperlink"/>
    <w:basedOn w:val="DefaultParagraphFont"/>
    <w:uiPriority w:val="99"/>
    <w:rsid w:val="001548A5"/>
    <w:rPr>
      <w:color w:val="0563C1" w:themeColor="hyperlink"/>
      <w:u w:val="single"/>
    </w:rPr>
  </w:style>
  <w:style w:type="character" w:styleId="UnresolvedMention">
    <w:name w:val="Unresolved Mention"/>
    <w:basedOn w:val="DefaultParagraphFont"/>
    <w:uiPriority w:val="99"/>
    <w:semiHidden/>
    <w:unhideWhenUsed/>
    <w:rsid w:val="001548A5"/>
    <w:rPr>
      <w:color w:val="605E5C"/>
      <w:shd w:val="clear" w:color="auto" w:fill="E1DFDD"/>
    </w:rPr>
  </w:style>
  <w:style w:type="character" w:styleId="Strong">
    <w:name w:val="Strong"/>
    <w:basedOn w:val="DefaultParagraphFont"/>
    <w:uiPriority w:val="22"/>
    <w:qFormat/>
    <w:rsid w:val="001D3B17"/>
    <w:rPr>
      <w:b/>
      <w:bCs/>
    </w:rPr>
  </w:style>
  <w:style w:type="character" w:styleId="IntenseEmphasis">
    <w:name w:val="Intense Emphasis"/>
    <w:basedOn w:val="DefaultParagraphFont"/>
    <w:uiPriority w:val="21"/>
    <w:qFormat/>
    <w:rsid w:val="002F5A84"/>
    <w:rPr>
      <w:i/>
      <w:iCs/>
      <w:color w:val="5B9BD5" w:themeColor="accent1"/>
    </w:rPr>
  </w:style>
  <w:style w:type="paragraph" w:styleId="ListParagraph">
    <w:name w:val="List Paragraph"/>
    <w:basedOn w:val="Normal"/>
    <w:uiPriority w:val="34"/>
    <w:qFormat/>
    <w:rsid w:val="00677FD8"/>
    <w:pPr>
      <w:ind w:start="36pt"/>
      <w:contextualSpacing/>
    </w:pPr>
  </w:style>
  <w:style w:type="character" w:styleId="CommentReference">
    <w:name w:val="annotation reference"/>
    <w:basedOn w:val="DefaultParagraphFont"/>
    <w:rsid w:val="00B8776B"/>
    <w:rPr>
      <w:sz w:val="16"/>
      <w:szCs w:val="16"/>
    </w:rPr>
  </w:style>
  <w:style w:type="paragraph" w:styleId="CommentText">
    <w:name w:val="annotation text"/>
    <w:basedOn w:val="Normal"/>
    <w:link w:val="CommentTextChar"/>
    <w:rsid w:val="00B8776B"/>
  </w:style>
  <w:style w:type="character" w:customStyle="1" w:styleId="CommentTextChar">
    <w:name w:val="Comment Text Char"/>
    <w:basedOn w:val="DefaultParagraphFont"/>
    <w:link w:val="CommentText"/>
    <w:rsid w:val="00B8776B"/>
  </w:style>
  <w:style w:type="paragraph" w:styleId="CommentSubject">
    <w:name w:val="annotation subject"/>
    <w:basedOn w:val="CommentText"/>
    <w:next w:val="CommentText"/>
    <w:link w:val="CommentSubjectChar"/>
    <w:rsid w:val="00B8776B"/>
    <w:rPr>
      <w:b/>
      <w:bCs/>
    </w:rPr>
  </w:style>
  <w:style w:type="character" w:customStyle="1" w:styleId="CommentSubjectChar">
    <w:name w:val="Comment Subject Char"/>
    <w:basedOn w:val="CommentTextChar"/>
    <w:link w:val="CommentSubject"/>
    <w:rsid w:val="00B8776B"/>
    <w:rPr>
      <w:b/>
      <w:bCs/>
    </w:rPr>
  </w:style>
  <w:style w:type="paragraph" w:styleId="Caption">
    <w:name w:val="caption"/>
    <w:basedOn w:val="Normal"/>
    <w:next w:val="Normal"/>
    <w:unhideWhenUsed/>
    <w:qFormat/>
    <w:rsid w:val="007C42EB"/>
    <w:pPr>
      <w:spacing w:after="10pt"/>
    </w:pPr>
    <w:rPr>
      <w:i/>
      <w:iCs/>
      <w:color w:val="44546A" w:themeColor="text2"/>
      <w:sz w:val="18"/>
      <w:szCs w:val="18"/>
    </w:rPr>
  </w:style>
  <w:style w:type="character" w:styleId="Emphasis">
    <w:name w:val="Emphasis"/>
    <w:basedOn w:val="DefaultParagraphFont"/>
    <w:uiPriority w:val="20"/>
    <w:qFormat/>
    <w:rsid w:val="00F27719"/>
    <w:rPr>
      <w:i/>
      <w:iCs/>
    </w:rPr>
  </w:style>
  <w:style w:type="character" w:customStyle="1" w:styleId="Heading1Char">
    <w:name w:val="Heading 1 Char"/>
    <w:basedOn w:val="DefaultParagraphFont"/>
    <w:link w:val="Heading1"/>
    <w:rsid w:val="006279FE"/>
    <w:rPr>
      <w:smallCaps/>
      <w:noProof/>
    </w:rPr>
  </w:style>
  <w:style w:type="paragraph" w:styleId="TOC1">
    <w:name w:val="toc 1"/>
    <w:basedOn w:val="Normal"/>
    <w:next w:val="Normal"/>
    <w:autoRedefine/>
    <w:uiPriority w:val="39"/>
    <w:unhideWhenUsed/>
    <w:rsid w:val="006279FE"/>
    <w:pPr>
      <w:spacing w:after="5pt"/>
    </w:pPr>
  </w:style>
  <w:style w:type="paragraph" w:styleId="TOCHeading">
    <w:name w:val="TOC Heading"/>
    <w:basedOn w:val="Heading1"/>
    <w:next w:val="Normal"/>
    <w:uiPriority w:val="39"/>
    <w:unhideWhenUsed/>
    <w:qFormat/>
    <w:rsid w:val="006279FE"/>
    <w:pPr>
      <w:tabs>
        <w:tab w:val="clear" w:pos="10.80pt"/>
      </w:tabs>
      <w:spacing w:before="12pt" w:after="0pt" w:line="12.95pt" w:lineRule="auto"/>
      <w:jc w:val="star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2">
    <w:name w:val="toc 2"/>
    <w:basedOn w:val="Normal"/>
    <w:next w:val="Normal"/>
    <w:autoRedefine/>
    <w:uiPriority w:val="39"/>
    <w:rsid w:val="00DB5B36"/>
    <w:pPr>
      <w:spacing w:after="5pt"/>
      <w:ind w:start="10pt"/>
    </w:pPr>
  </w:style>
  <w:style w:type="paragraph" w:styleId="TOC3">
    <w:name w:val="toc 3"/>
    <w:basedOn w:val="Normal"/>
    <w:next w:val="Normal"/>
    <w:autoRedefine/>
    <w:uiPriority w:val="39"/>
    <w:rsid w:val="00DB5B36"/>
    <w:pPr>
      <w:spacing w:after="5pt"/>
      <w:ind w:start="20pt"/>
    </w:pPr>
  </w:style>
  <w:style w:type="character" w:customStyle="1" w:styleId="vkekvd">
    <w:name w:val="vkekvd"/>
    <w:basedOn w:val="DefaultParagraphFont"/>
    <w:rsid w:val="007B4E0C"/>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82208">
      <w:bodyDiv w:val="1"/>
      <w:marLeft w:val="0pt"/>
      <w:marRight w:val="0pt"/>
      <w:marTop w:val="0pt"/>
      <w:marBottom w:val="0pt"/>
      <w:divBdr>
        <w:top w:val="none" w:sz="0" w:space="0" w:color="auto"/>
        <w:left w:val="none" w:sz="0" w:space="0" w:color="auto"/>
        <w:bottom w:val="none" w:sz="0" w:space="0" w:color="auto"/>
        <w:right w:val="none" w:sz="0" w:space="0" w:color="auto"/>
      </w:divBdr>
    </w:div>
    <w:div w:id="103044648">
      <w:bodyDiv w:val="1"/>
      <w:marLeft w:val="0pt"/>
      <w:marRight w:val="0pt"/>
      <w:marTop w:val="0pt"/>
      <w:marBottom w:val="0pt"/>
      <w:divBdr>
        <w:top w:val="none" w:sz="0" w:space="0" w:color="auto"/>
        <w:left w:val="none" w:sz="0" w:space="0" w:color="auto"/>
        <w:bottom w:val="none" w:sz="0" w:space="0" w:color="auto"/>
        <w:right w:val="none" w:sz="0" w:space="0" w:color="auto"/>
      </w:divBdr>
    </w:div>
    <w:div w:id="205455464">
      <w:bodyDiv w:val="1"/>
      <w:marLeft w:val="0pt"/>
      <w:marRight w:val="0pt"/>
      <w:marTop w:val="0pt"/>
      <w:marBottom w:val="0pt"/>
      <w:divBdr>
        <w:top w:val="none" w:sz="0" w:space="0" w:color="auto"/>
        <w:left w:val="none" w:sz="0" w:space="0" w:color="auto"/>
        <w:bottom w:val="none" w:sz="0" w:space="0" w:color="auto"/>
        <w:right w:val="none" w:sz="0" w:space="0" w:color="auto"/>
      </w:divBdr>
    </w:div>
    <w:div w:id="258951868">
      <w:bodyDiv w:val="1"/>
      <w:marLeft w:val="0pt"/>
      <w:marRight w:val="0pt"/>
      <w:marTop w:val="0pt"/>
      <w:marBottom w:val="0pt"/>
      <w:divBdr>
        <w:top w:val="none" w:sz="0" w:space="0" w:color="auto"/>
        <w:left w:val="none" w:sz="0" w:space="0" w:color="auto"/>
        <w:bottom w:val="none" w:sz="0" w:space="0" w:color="auto"/>
        <w:right w:val="none" w:sz="0" w:space="0" w:color="auto"/>
      </w:divBdr>
    </w:div>
    <w:div w:id="33727061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69407430">
          <w:marLeft w:val="0pt"/>
          <w:marRight w:val="0pt"/>
          <w:marTop w:val="0pt"/>
          <w:marBottom w:val="12pt"/>
          <w:divBdr>
            <w:top w:val="none" w:sz="0" w:space="0" w:color="auto"/>
            <w:left w:val="none" w:sz="0" w:space="0" w:color="auto"/>
            <w:bottom w:val="none" w:sz="0" w:space="0" w:color="auto"/>
            <w:right w:val="none" w:sz="0" w:space="0" w:color="auto"/>
          </w:divBdr>
        </w:div>
        <w:div w:id="1945260580">
          <w:marLeft w:val="0pt"/>
          <w:marRight w:val="0pt"/>
          <w:marTop w:val="0pt"/>
          <w:marBottom w:val="12pt"/>
          <w:divBdr>
            <w:top w:val="none" w:sz="0" w:space="0" w:color="auto"/>
            <w:left w:val="none" w:sz="0" w:space="0" w:color="auto"/>
            <w:bottom w:val="none" w:sz="0" w:space="0" w:color="auto"/>
            <w:right w:val="none" w:sz="0" w:space="0" w:color="auto"/>
          </w:divBdr>
        </w:div>
        <w:div w:id="1074352763">
          <w:marLeft w:val="0pt"/>
          <w:marRight w:val="0pt"/>
          <w:marTop w:val="0pt"/>
          <w:marBottom w:val="12pt"/>
          <w:divBdr>
            <w:top w:val="none" w:sz="0" w:space="0" w:color="auto"/>
            <w:left w:val="none" w:sz="0" w:space="0" w:color="auto"/>
            <w:bottom w:val="none" w:sz="0" w:space="0" w:color="auto"/>
            <w:right w:val="none" w:sz="0" w:space="0" w:color="auto"/>
          </w:divBdr>
        </w:div>
        <w:div w:id="1229683686">
          <w:marLeft w:val="0pt"/>
          <w:marRight w:val="0pt"/>
          <w:marTop w:val="0pt"/>
          <w:marBottom w:val="12pt"/>
          <w:divBdr>
            <w:top w:val="none" w:sz="0" w:space="0" w:color="auto"/>
            <w:left w:val="none" w:sz="0" w:space="0" w:color="auto"/>
            <w:bottom w:val="none" w:sz="0" w:space="0" w:color="auto"/>
            <w:right w:val="none" w:sz="0" w:space="0" w:color="auto"/>
          </w:divBdr>
        </w:div>
        <w:div w:id="1146701968">
          <w:marLeft w:val="0pt"/>
          <w:marRight w:val="0pt"/>
          <w:marTop w:val="0pt"/>
          <w:marBottom w:val="12pt"/>
          <w:divBdr>
            <w:top w:val="none" w:sz="0" w:space="0" w:color="auto"/>
            <w:left w:val="none" w:sz="0" w:space="0" w:color="auto"/>
            <w:bottom w:val="none" w:sz="0" w:space="0" w:color="auto"/>
            <w:right w:val="none" w:sz="0" w:space="0" w:color="auto"/>
          </w:divBdr>
        </w:div>
        <w:div w:id="1711297740">
          <w:marLeft w:val="0pt"/>
          <w:marRight w:val="0pt"/>
          <w:marTop w:val="0pt"/>
          <w:marBottom w:val="12pt"/>
          <w:divBdr>
            <w:top w:val="none" w:sz="0" w:space="0" w:color="auto"/>
            <w:left w:val="none" w:sz="0" w:space="0" w:color="auto"/>
            <w:bottom w:val="none" w:sz="0" w:space="0" w:color="auto"/>
            <w:right w:val="none" w:sz="0" w:space="0" w:color="auto"/>
          </w:divBdr>
        </w:div>
        <w:div w:id="1124151528">
          <w:marLeft w:val="0pt"/>
          <w:marRight w:val="0pt"/>
          <w:marTop w:val="0pt"/>
          <w:marBottom w:val="12pt"/>
          <w:divBdr>
            <w:top w:val="none" w:sz="0" w:space="0" w:color="auto"/>
            <w:left w:val="none" w:sz="0" w:space="0" w:color="auto"/>
            <w:bottom w:val="none" w:sz="0" w:space="0" w:color="auto"/>
            <w:right w:val="none" w:sz="0" w:space="0" w:color="auto"/>
          </w:divBdr>
        </w:div>
        <w:div w:id="1356232812">
          <w:marLeft w:val="0pt"/>
          <w:marRight w:val="0pt"/>
          <w:marTop w:val="0pt"/>
          <w:marBottom w:val="12pt"/>
          <w:divBdr>
            <w:top w:val="none" w:sz="0" w:space="0" w:color="auto"/>
            <w:left w:val="none" w:sz="0" w:space="0" w:color="auto"/>
            <w:bottom w:val="none" w:sz="0" w:space="0" w:color="auto"/>
            <w:right w:val="none" w:sz="0" w:space="0" w:color="auto"/>
          </w:divBdr>
        </w:div>
        <w:div w:id="1679112611">
          <w:marLeft w:val="0pt"/>
          <w:marRight w:val="0pt"/>
          <w:marTop w:val="0pt"/>
          <w:marBottom w:val="12pt"/>
          <w:divBdr>
            <w:top w:val="none" w:sz="0" w:space="0" w:color="auto"/>
            <w:left w:val="none" w:sz="0" w:space="0" w:color="auto"/>
            <w:bottom w:val="none" w:sz="0" w:space="0" w:color="auto"/>
            <w:right w:val="none" w:sz="0" w:space="0" w:color="auto"/>
          </w:divBdr>
        </w:div>
        <w:div w:id="1264219870">
          <w:marLeft w:val="0pt"/>
          <w:marRight w:val="0pt"/>
          <w:marTop w:val="0pt"/>
          <w:marBottom w:val="12pt"/>
          <w:divBdr>
            <w:top w:val="none" w:sz="0" w:space="0" w:color="auto"/>
            <w:left w:val="none" w:sz="0" w:space="0" w:color="auto"/>
            <w:bottom w:val="none" w:sz="0" w:space="0" w:color="auto"/>
            <w:right w:val="none" w:sz="0" w:space="0" w:color="auto"/>
          </w:divBdr>
        </w:div>
        <w:div w:id="1262646137">
          <w:marLeft w:val="0pt"/>
          <w:marRight w:val="0pt"/>
          <w:marTop w:val="0pt"/>
          <w:marBottom w:val="12pt"/>
          <w:divBdr>
            <w:top w:val="none" w:sz="0" w:space="0" w:color="auto"/>
            <w:left w:val="none" w:sz="0" w:space="0" w:color="auto"/>
            <w:bottom w:val="none" w:sz="0" w:space="0" w:color="auto"/>
            <w:right w:val="none" w:sz="0" w:space="0" w:color="auto"/>
          </w:divBdr>
        </w:div>
        <w:div w:id="166093400">
          <w:marLeft w:val="0pt"/>
          <w:marRight w:val="0pt"/>
          <w:marTop w:val="0pt"/>
          <w:marBottom w:val="12pt"/>
          <w:divBdr>
            <w:top w:val="none" w:sz="0" w:space="0" w:color="auto"/>
            <w:left w:val="none" w:sz="0" w:space="0" w:color="auto"/>
            <w:bottom w:val="none" w:sz="0" w:space="0" w:color="auto"/>
            <w:right w:val="none" w:sz="0" w:space="0" w:color="auto"/>
          </w:divBdr>
        </w:div>
        <w:div w:id="1665431969">
          <w:marLeft w:val="0pt"/>
          <w:marRight w:val="0pt"/>
          <w:marTop w:val="0pt"/>
          <w:marBottom w:val="12pt"/>
          <w:divBdr>
            <w:top w:val="none" w:sz="0" w:space="0" w:color="auto"/>
            <w:left w:val="none" w:sz="0" w:space="0" w:color="auto"/>
            <w:bottom w:val="none" w:sz="0" w:space="0" w:color="auto"/>
            <w:right w:val="none" w:sz="0" w:space="0" w:color="auto"/>
          </w:divBdr>
        </w:div>
        <w:div w:id="969358298">
          <w:marLeft w:val="0pt"/>
          <w:marRight w:val="0pt"/>
          <w:marTop w:val="0pt"/>
          <w:marBottom w:val="12pt"/>
          <w:divBdr>
            <w:top w:val="none" w:sz="0" w:space="0" w:color="auto"/>
            <w:left w:val="none" w:sz="0" w:space="0" w:color="auto"/>
            <w:bottom w:val="none" w:sz="0" w:space="0" w:color="auto"/>
            <w:right w:val="none" w:sz="0" w:space="0" w:color="auto"/>
          </w:divBdr>
        </w:div>
        <w:div w:id="1125779216">
          <w:marLeft w:val="0pt"/>
          <w:marRight w:val="0pt"/>
          <w:marTop w:val="0pt"/>
          <w:marBottom w:val="12pt"/>
          <w:divBdr>
            <w:top w:val="none" w:sz="0" w:space="0" w:color="auto"/>
            <w:left w:val="none" w:sz="0" w:space="0" w:color="auto"/>
            <w:bottom w:val="none" w:sz="0" w:space="0" w:color="auto"/>
            <w:right w:val="none" w:sz="0" w:space="0" w:color="auto"/>
          </w:divBdr>
        </w:div>
        <w:div w:id="194125518">
          <w:marLeft w:val="0pt"/>
          <w:marRight w:val="0pt"/>
          <w:marTop w:val="0pt"/>
          <w:marBottom w:val="12pt"/>
          <w:divBdr>
            <w:top w:val="none" w:sz="0" w:space="0" w:color="auto"/>
            <w:left w:val="none" w:sz="0" w:space="0" w:color="auto"/>
            <w:bottom w:val="none" w:sz="0" w:space="0" w:color="auto"/>
            <w:right w:val="none" w:sz="0" w:space="0" w:color="auto"/>
          </w:divBdr>
        </w:div>
        <w:div w:id="1499661451">
          <w:marLeft w:val="0pt"/>
          <w:marRight w:val="0pt"/>
          <w:marTop w:val="0pt"/>
          <w:marBottom w:val="12pt"/>
          <w:divBdr>
            <w:top w:val="none" w:sz="0" w:space="0" w:color="auto"/>
            <w:left w:val="none" w:sz="0" w:space="0" w:color="auto"/>
            <w:bottom w:val="none" w:sz="0" w:space="0" w:color="auto"/>
            <w:right w:val="none" w:sz="0" w:space="0" w:color="auto"/>
          </w:divBdr>
        </w:div>
        <w:div w:id="1657799350">
          <w:marLeft w:val="0pt"/>
          <w:marRight w:val="0pt"/>
          <w:marTop w:val="0pt"/>
          <w:marBottom w:val="12pt"/>
          <w:divBdr>
            <w:top w:val="none" w:sz="0" w:space="0" w:color="auto"/>
            <w:left w:val="none" w:sz="0" w:space="0" w:color="auto"/>
            <w:bottom w:val="none" w:sz="0" w:space="0" w:color="auto"/>
            <w:right w:val="none" w:sz="0" w:space="0" w:color="auto"/>
          </w:divBdr>
        </w:div>
        <w:div w:id="96023358">
          <w:marLeft w:val="0pt"/>
          <w:marRight w:val="0pt"/>
          <w:marTop w:val="0pt"/>
          <w:marBottom w:val="12pt"/>
          <w:divBdr>
            <w:top w:val="none" w:sz="0" w:space="0" w:color="auto"/>
            <w:left w:val="none" w:sz="0" w:space="0" w:color="auto"/>
            <w:bottom w:val="none" w:sz="0" w:space="0" w:color="auto"/>
            <w:right w:val="none" w:sz="0" w:space="0" w:color="auto"/>
          </w:divBdr>
        </w:div>
        <w:div w:id="2029334615">
          <w:marLeft w:val="0pt"/>
          <w:marRight w:val="0pt"/>
          <w:marTop w:val="0pt"/>
          <w:marBottom w:val="12pt"/>
          <w:divBdr>
            <w:top w:val="none" w:sz="0" w:space="0" w:color="auto"/>
            <w:left w:val="none" w:sz="0" w:space="0" w:color="auto"/>
            <w:bottom w:val="none" w:sz="0" w:space="0" w:color="auto"/>
            <w:right w:val="none" w:sz="0" w:space="0" w:color="auto"/>
          </w:divBdr>
        </w:div>
        <w:div w:id="144593497">
          <w:marLeft w:val="0pt"/>
          <w:marRight w:val="0pt"/>
          <w:marTop w:val="0pt"/>
          <w:marBottom w:val="12pt"/>
          <w:divBdr>
            <w:top w:val="none" w:sz="0" w:space="0" w:color="auto"/>
            <w:left w:val="none" w:sz="0" w:space="0" w:color="auto"/>
            <w:bottom w:val="none" w:sz="0" w:space="0" w:color="auto"/>
            <w:right w:val="none" w:sz="0" w:space="0" w:color="auto"/>
          </w:divBdr>
        </w:div>
        <w:div w:id="903175305">
          <w:marLeft w:val="0pt"/>
          <w:marRight w:val="0pt"/>
          <w:marTop w:val="0pt"/>
          <w:marBottom w:val="12pt"/>
          <w:divBdr>
            <w:top w:val="none" w:sz="0" w:space="0" w:color="auto"/>
            <w:left w:val="none" w:sz="0" w:space="0" w:color="auto"/>
            <w:bottom w:val="none" w:sz="0" w:space="0" w:color="auto"/>
            <w:right w:val="none" w:sz="0" w:space="0" w:color="auto"/>
          </w:divBdr>
        </w:div>
        <w:div w:id="443354947">
          <w:marLeft w:val="0pt"/>
          <w:marRight w:val="0pt"/>
          <w:marTop w:val="0pt"/>
          <w:marBottom w:val="12pt"/>
          <w:divBdr>
            <w:top w:val="none" w:sz="0" w:space="0" w:color="auto"/>
            <w:left w:val="none" w:sz="0" w:space="0" w:color="auto"/>
            <w:bottom w:val="none" w:sz="0" w:space="0" w:color="auto"/>
            <w:right w:val="none" w:sz="0" w:space="0" w:color="auto"/>
          </w:divBdr>
        </w:div>
        <w:div w:id="38284844">
          <w:marLeft w:val="0pt"/>
          <w:marRight w:val="0pt"/>
          <w:marTop w:val="0pt"/>
          <w:marBottom w:val="12pt"/>
          <w:divBdr>
            <w:top w:val="none" w:sz="0" w:space="0" w:color="auto"/>
            <w:left w:val="none" w:sz="0" w:space="0" w:color="auto"/>
            <w:bottom w:val="none" w:sz="0" w:space="0" w:color="auto"/>
            <w:right w:val="none" w:sz="0" w:space="0" w:color="auto"/>
          </w:divBdr>
        </w:div>
        <w:div w:id="1487433114">
          <w:marLeft w:val="0pt"/>
          <w:marRight w:val="0pt"/>
          <w:marTop w:val="0pt"/>
          <w:marBottom w:val="12pt"/>
          <w:divBdr>
            <w:top w:val="none" w:sz="0" w:space="0" w:color="auto"/>
            <w:left w:val="none" w:sz="0" w:space="0" w:color="auto"/>
            <w:bottom w:val="none" w:sz="0" w:space="0" w:color="auto"/>
            <w:right w:val="none" w:sz="0" w:space="0" w:color="auto"/>
          </w:divBdr>
        </w:div>
        <w:div w:id="1209877804">
          <w:marLeft w:val="0pt"/>
          <w:marRight w:val="0pt"/>
          <w:marTop w:val="0pt"/>
          <w:marBottom w:val="12pt"/>
          <w:divBdr>
            <w:top w:val="none" w:sz="0" w:space="0" w:color="auto"/>
            <w:left w:val="none" w:sz="0" w:space="0" w:color="auto"/>
            <w:bottom w:val="none" w:sz="0" w:space="0" w:color="auto"/>
            <w:right w:val="none" w:sz="0" w:space="0" w:color="auto"/>
          </w:divBdr>
        </w:div>
        <w:div w:id="1197743237">
          <w:marLeft w:val="0pt"/>
          <w:marRight w:val="0pt"/>
          <w:marTop w:val="0pt"/>
          <w:marBottom w:val="12pt"/>
          <w:divBdr>
            <w:top w:val="none" w:sz="0" w:space="0" w:color="auto"/>
            <w:left w:val="none" w:sz="0" w:space="0" w:color="auto"/>
            <w:bottom w:val="none" w:sz="0" w:space="0" w:color="auto"/>
            <w:right w:val="none" w:sz="0" w:space="0" w:color="auto"/>
          </w:divBdr>
        </w:div>
        <w:div w:id="890264388">
          <w:marLeft w:val="0pt"/>
          <w:marRight w:val="0pt"/>
          <w:marTop w:val="0pt"/>
          <w:marBottom w:val="12pt"/>
          <w:divBdr>
            <w:top w:val="none" w:sz="0" w:space="0" w:color="auto"/>
            <w:left w:val="none" w:sz="0" w:space="0" w:color="auto"/>
            <w:bottom w:val="none" w:sz="0" w:space="0" w:color="auto"/>
            <w:right w:val="none" w:sz="0" w:space="0" w:color="auto"/>
          </w:divBdr>
        </w:div>
        <w:div w:id="1826700005">
          <w:marLeft w:val="0pt"/>
          <w:marRight w:val="0pt"/>
          <w:marTop w:val="0pt"/>
          <w:marBottom w:val="12pt"/>
          <w:divBdr>
            <w:top w:val="none" w:sz="0" w:space="0" w:color="auto"/>
            <w:left w:val="none" w:sz="0" w:space="0" w:color="auto"/>
            <w:bottom w:val="none" w:sz="0" w:space="0" w:color="auto"/>
            <w:right w:val="none" w:sz="0" w:space="0" w:color="auto"/>
          </w:divBdr>
        </w:div>
        <w:div w:id="57556479">
          <w:marLeft w:val="0pt"/>
          <w:marRight w:val="0pt"/>
          <w:marTop w:val="0pt"/>
          <w:marBottom w:val="12pt"/>
          <w:divBdr>
            <w:top w:val="none" w:sz="0" w:space="0" w:color="auto"/>
            <w:left w:val="none" w:sz="0" w:space="0" w:color="auto"/>
            <w:bottom w:val="none" w:sz="0" w:space="0" w:color="auto"/>
            <w:right w:val="none" w:sz="0" w:space="0" w:color="auto"/>
          </w:divBdr>
        </w:div>
        <w:div w:id="1750688072">
          <w:marLeft w:val="0pt"/>
          <w:marRight w:val="0pt"/>
          <w:marTop w:val="0pt"/>
          <w:marBottom w:val="12pt"/>
          <w:divBdr>
            <w:top w:val="none" w:sz="0" w:space="0" w:color="auto"/>
            <w:left w:val="none" w:sz="0" w:space="0" w:color="auto"/>
            <w:bottom w:val="none" w:sz="0" w:space="0" w:color="auto"/>
            <w:right w:val="none" w:sz="0" w:space="0" w:color="auto"/>
          </w:divBdr>
        </w:div>
        <w:div w:id="487554191">
          <w:marLeft w:val="0pt"/>
          <w:marRight w:val="0pt"/>
          <w:marTop w:val="0pt"/>
          <w:marBottom w:val="12pt"/>
          <w:divBdr>
            <w:top w:val="none" w:sz="0" w:space="0" w:color="auto"/>
            <w:left w:val="none" w:sz="0" w:space="0" w:color="auto"/>
            <w:bottom w:val="none" w:sz="0" w:space="0" w:color="auto"/>
            <w:right w:val="none" w:sz="0" w:space="0" w:color="auto"/>
          </w:divBdr>
        </w:div>
        <w:div w:id="736635970">
          <w:marLeft w:val="0pt"/>
          <w:marRight w:val="0pt"/>
          <w:marTop w:val="0pt"/>
          <w:marBottom w:val="12pt"/>
          <w:divBdr>
            <w:top w:val="none" w:sz="0" w:space="0" w:color="auto"/>
            <w:left w:val="none" w:sz="0" w:space="0" w:color="auto"/>
            <w:bottom w:val="none" w:sz="0" w:space="0" w:color="auto"/>
            <w:right w:val="none" w:sz="0" w:space="0" w:color="auto"/>
          </w:divBdr>
        </w:div>
        <w:div w:id="116267982">
          <w:marLeft w:val="0pt"/>
          <w:marRight w:val="0pt"/>
          <w:marTop w:val="0pt"/>
          <w:marBottom w:val="12pt"/>
          <w:divBdr>
            <w:top w:val="none" w:sz="0" w:space="0" w:color="auto"/>
            <w:left w:val="none" w:sz="0" w:space="0" w:color="auto"/>
            <w:bottom w:val="none" w:sz="0" w:space="0" w:color="auto"/>
            <w:right w:val="none" w:sz="0" w:space="0" w:color="auto"/>
          </w:divBdr>
        </w:div>
        <w:div w:id="1105265758">
          <w:marLeft w:val="0pt"/>
          <w:marRight w:val="0pt"/>
          <w:marTop w:val="0pt"/>
          <w:marBottom w:val="12pt"/>
          <w:divBdr>
            <w:top w:val="none" w:sz="0" w:space="0" w:color="auto"/>
            <w:left w:val="none" w:sz="0" w:space="0" w:color="auto"/>
            <w:bottom w:val="none" w:sz="0" w:space="0" w:color="auto"/>
            <w:right w:val="none" w:sz="0" w:space="0" w:color="auto"/>
          </w:divBdr>
        </w:div>
        <w:div w:id="622543116">
          <w:marLeft w:val="0pt"/>
          <w:marRight w:val="0pt"/>
          <w:marTop w:val="0pt"/>
          <w:marBottom w:val="12pt"/>
          <w:divBdr>
            <w:top w:val="none" w:sz="0" w:space="0" w:color="auto"/>
            <w:left w:val="none" w:sz="0" w:space="0" w:color="auto"/>
            <w:bottom w:val="none" w:sz="0" w:space="0" w:color="auto"/>
            <w:right w:val="none" w:sz="0" w:space="0" w:color="auto"/>
          </w:divBdr>
        </w:div>
        <w:div w:id="2098287928">
          <w:marLeft w:val="0pt"/>
          <w:marRight w:val="0pt"/>
          <w:marTop w:val="0pt"/>
          <w:marBottom w:val="12pt"/>
          <w:divBdr>
            <w:top w:val="none" w:sz="0" w:space="0" w:color="auto"/>
            <w:left w:val="none" w:sz="0" w:space="0" w:color="auto"/>
            <w:bottom w:val="none" w:sz="0" w:space="0" w:color="auto"/>
            <w:right w:val="none" w:sz="0" w:space="0" w:color="auto"/>
          </w:divBdr>
        </w:div>
        <w:div w:id="1459566158">
          <w:marLeft w:val="0pt"/>
          <w:marRight w:val="0pt"/>
          <w:marTop w:val="0pt"/>
          <w:marBottom w:val="12pt"/>
          <w:divBdr>
            <w:top w:val="none" w:sz="0" w:space="0" w:color="auto"/>
            <w:left w:val="none" w:sz="0" w:space="0" w:color="auto"/>
            <w:bottom w:val="none" w:sz="0" w:space="0" w:color="auto"/>
            <w:right w:val="none" w:sz="0" w:space="0" w:color="auto"/>
          </w:divBdr>
        </w:div>
        <w:div w:id="1523595768">
          <w:marLeft w:val="0pt"/>
          <w:marRight w:val="0pt"/>
          <w:marTop w:val="0pt"/>
          <w:marBottom w:val="12pt"/>
          <w:divBdr>
            <w:top w:val="none" w:sz="0" w:space="0" w:color="auto"/>
            <w:left w:val="none" w:sz="0" w:space="0" w:color="auto"/>
            <w:bottom w:val="none" w:sz="0" w:space="0" w:color="auto"/>
            <w:right w:val="none" w:sz="0" w:space="0" w:color="auto"/>
          </w:divBdr>
        </w:div>
        <w:div w:id="2120636144">
          <w:marLeft w:val="0pt"/>
          <w:marRight w:val="0pt"/>
          <w:marTop w:val="0pt"/>
          <w:marBottom w:val="12pt"/>
          <w:divBdr>
            <w:top w:val="none" w:sz="0" w:space="0" w:color="auto"/>
            <w:left w:val="none" w:sz="0" w:space="0" w:color="auto"/>
            <w:bottom w:val="none" w:sz="0" w:space="0" w:color="auto"/>
            <w:right w:val="none" w:sz="0" w:space="0" w:color="auto"/>
          </w:divBdr>
        </w:div>
        <w:div w:id="1659461373">
          <w:marLeft w:val="0pt"/>
          <w:marRight w:val="0pt"/>
          <w:marTop w:val="0pt"/>
          <w:marBottom w:val="12pt"/>
          <w:divBdr>
            <w:top w:val="none" w:sz="0" w:space="0" w:color="auto"/>
            <w:left w:val="none" w:sz="0" w:space="0" w:color="auto"/>
            <w:bottom w:val="none" w:sz="0" w:space="0" w:color="auto"/>
            <w:right w:val="none" w:sz="0" w:space="0" w:color="auto"/>
          </w:divBdr>
        </w:div>
        <w:div w:id="1047414186">
          <w:marLeft w:val="0pt"/>
          <w:marRight w:val="0pt"/>
          <w:marTop w:val="0pt"/>
          <w:marBottom w:val="12pt"/>
          <w:divBdr>
            <w:top w:val="none" w:sz="0" w:space="0" w:color="auto"/>
            <w:left w:val="none" w:sz="0" w:space="0" w:color="auto"/>
            <w:bottom w:val="none" w:sz="0" w:space="0" w:color="auto"/>
            <w:right w:val="none" w:sz="0" w:space="0" w:color="auto"/>
          </w:divBdr>
        </w:div>
        <w:div w:id="745734912">
          <w:marLeft w:val="0pt"/>
          <w:marRight w:val="0pt"/>
          <w:marTop w:val="0pt"/>
          <w:marBottom w:val="12pt"/>
          <w:divBdr>
            <w:top w:val="none" w:sz="0" w:space="0" w:color="auto"/>
            <w:left w:val="none" w:sz="0" w:space="0" w:color="auto"/>
            <w:bottom w:val="none" w:sz="0" w:space="0" w:color="auto"/>
            <w:right w:val="none" w:sz="0" w:space="0" w:color="auto"/>
          </w:divBdr>
        </w:div>
        <w:div w:id="681056226">
          <w:marLeft w:val="0pt"/>
          <w:marRight w:val="0pt"/>
          <w:marTop w:val="0pt"/>
          <w:marBottom w:val="12pt"/>
          <w:divBdr>
            <w:top w:val="none" w:sz="0" w:space="0" w:color="auto"/>
            <w:left w:val="none" w:sz="0" w:space="0" w:color="auto"/>
            <w:bottom w:val="none" w:sz="0" w:space="0" w:color="auto"/>
            <w:right w:val="none" w:sz="0" w:space="0" w:color="auto"/>
          </w:divBdr>
        </w:div>
        <w:div w:id="1054891046">
          <w:marLeft w:val="0pt"/>
          <w:marRight w:val="0pt"/>
          <w:marTop w:val="0pt"/>
          <w:marBottom w:val="12pt"/>
          <w:divBdr>
            <w:top w:val="none" w:sz="0" w:space="0" w:color="auto"/>
            <w:left w:val="none" w:sz="0" w:space="0" w:color="auto"/>
            <w:bottom w:val="none" w:sz="0" w:space="0" w:color="auto"/>
            <w:right w:val="none" w:sz="0" w:space="0" w:color="auto"/>
          </w:divBdr>
        </w:div>
        <w:div w:id="861943041">
          <w:marLeft w:val="0pt"/>
          <w:marRight w:val="0pt"/>
          <w:marTop w:val="0pt"/>
          <w:marBottom w:val="12pt"/>
          <w:divBdr>
            <w:top w:val="none" w:sz="0" w:space="0" w:color="auto"/>
            <w:left w:val="none" w:sz="0" w:space="0" w:color="auto"/>
            <w:bottom w:val="none" w:sz="0" w:space="0" w:color="auto"/>
            <w:right w:val="none" w:sz="0" w:space="0" w:color="auto"/>
          </w:divBdr>
        </w:div>
        <w:div w:id="295455343">
          <w:marLeft w:val="0pt"/>
          <w:marRight w:val="0pt"/>
          <w:marTop w:val="0pt"/>
          <w:marBottom w:val="12pt"/>
          <w:divBdr>
            <w:top w:val="none" w:sz="0" w:space="0" w:color="auto"/>
            <w:left w:val="none" w:sz="0" w:space="0" w:color="auto"/>
            <w:bottom w:val="none" w:sz="0" w:space="0" w:color="auto"/>
            <w:right w:val="none" w:sz="0" w:space="0" w:color="auto"/>
          </w:divBdr>
        </w:div>
        <w:div w:id="590352636">
          <w:marLeft w:val="0pt"/>
          <w:marRight w:val="0pt"/>
          <w:marTop w:val="0pt"/>
          <w:marBottom w:val="12pt"/>
          <w:divBdr>
            <w:top w:val="none" w:sz="0" w:space="0" w:color="auto"/>
            <w:left w:val="none" w:sz="0" w:space="0" w:color="auto"/>
            <w:bottom w:val="none" w:sz="0" w:space="0" w:color="auto"/>
            <w:right w:val="none" w:sz="0" w:space="0" w:color="auto"/>
          </w:divBdr>
        </w:div>
      </w:divsChild>
    </w:div>
    <w:div w:id="391730893">
      <w:bodyDiv w:val="1"/>
      <w:marLeft w:val="0pt"/>
      <w:marRight w:val="0pt"/>
      <w:marTop w:val="0pt"/>
      <w:marBottom w:val="0pt"/>
      <w:divBdr>
        <w:top w:val="none" w:sz="0" w:space="0" w:color="auto"/>
        <w:left w:val="none" w:sz="0" w:space="0" w:color="auto"/>
        <w:bottom w:val="none" w:sz="0" w:space="0" w:color="auto"/>
        <w:right w:val="none" w:sz="0" w:space="0" w:color="auto"/>
      </w:divBdr>
    </w:div>
    <w:div w:id="415368167">
      <w:bodyDiv w:val="1"/>
      <w:marLeft w:val="0pt"/>
      <w:marRight w:val="0pt"/>
      <w:marTop w:val="0pt"/>
      <w:marBottom w:val="0pt"/>
      <w:divBdr>
        <w:top w:val="none" w:sz="0" w:space="0" w:color="auto"/>
        <w:left w:val="none" w:sz="0" w:space="0" w:color="auto"/>
        <w:bottom w:val="none" w:sz="0" w:space="0" w:color="auto"/>
        <w:right w:val="none" w:sz="0" w:space="0" w:color="auto"/>
      </w:divBdr>
    </w:div>
    <w:div w:id="426314343">
      <w:bodyDiv w:val="1"/>
      <w:marLeft w:val="0pt"/>
      <w:marRight w:val="0pt"/>
      <w:marTop w:val="0pt"/>
      <w:marBottom w:val="0pt"/>
      <w:divBdr>
        <w:top w:val="none" w:sz="0" w:space="0" w:color="auto"/>
        <w:left w:val="none" w:sz="0" w:space="0" w:color="auto"/>
        <w:bottom w:val="none" w:sz="0" w:space="0" w:color="auto"/>
        <w:right w:val="none" w:sz="0" w:space="0" w:color="auto"/>
      </w:divBdr>
    </w:div>
    <w:div w:id="448743406">
      <w:bodyDiv w:val="1"/>
      <w:marLeft w:val="0pt"/>
      <w:marRight w:val="0pt"/>
      <w:marTop w:val="0pt"/>
      <w:marBottom w:val="0pt"/>
      <w:divBdr>
        <w:top w:val="none" w:sz="0" w:space="0" w:color="auto"/>
        <w:left w:val="none" w:sz="0" w:space="0" w:color="auto"/>
        <w:bottom w:val="none" w:sz="0" w:space="0" w:color="auto"/>
        <w:right w:val="none" w:sz="0" w:space="0" w:color="auto"/>
      </w:divBdr>
    </w:div>
    <w:div w:id="478618900">
      <w:bodyDiv w:val="1"/>
      <w:marLeft w:val="0pt"/>
      <w:marRight w:val="0pt"/>
      <w:marTop w:val="0pt"/>
      <w:marBottom w:val="0pt"/>
      <w:divBdr>
        <w:top w:val="none" w:sz="0" w:space="0" w:color="auto"/>
        <w:left w:val="none" w:sz="0" w:space="0" w:color="auto"/>
        <w:bottom w:val="none" w:sz="0" w:space="0" w:color="auto"/>
        <w:right w:val="none" w:sz="0" w:space="0" w:color="auto"/>
      </w:divBdr>
    </w:div>
    <w:div w:id="502362192">
      <w:bodyDiv w:val="1"/>
      <w:marLeft w:val="0pt"/>
      <w:marRight w:val="0pt"/>
      <w:marTop w:val="0pt"/>
      <w:marBottom w:val="0pt"/>
      <w:divBdr>
        <w:top w:val="none" w:sz="0" w:space="0" w:color="auto"/>
        <w:left w:val="none" w:sz="0" w:space="0" w:color="auto"/>
        <w:bottom w:val="none" w:sz="0" w:space="0" w:color="auto"/>
        <w:right w:val="none" w:sz="0" w:space="0" w:color="auto"/>
      </w:divBdr>
    </w:div>
    <w:div w:id="502554909">
      <w:bodyDiv w:val="1"/>
      <w:marLeft w:val="0pt"/>
      <w:marRight w:val="0pt"/>
      <w:marTop w:val="0pt"/>
      <w:marBottom w:val="0pt"/>
      <w:divBdr>
        <w:top w:val="none" w:sz="0" w:space="0" w:color="auto"/>
        <w:left w:val="none" w:sz="0" w:space="0" w:color="auto"/>
        <w:bottom w:val="none" w:sz="0" w:space="0" w:color="auto"/>
        <w:right w:val="none" w:sz="0" w:space="0" w:color="auto"/>
      </w:divBdr>
    </w:div>
    <w:div w:id="527371274">
      <w:bodyDiv w:val="1"/>
      <w:marLeft w:val="0pt"/>
      <w:marRight w:val="0pt"/>
      <w:marTop w:val="0pt"/>
      <w:marBottom w:val="0pt"/>
      <w:divBdr>
        <w:top w:val="none" w:sz="0" w:space="0" w:color="auto"/>
        <w:left w:val="none" w:sz="0" w:space="0" w:color="auto"/>
        <w:bottom w:val="none" w:sz="0" w:space="0" w:color="auto"/>
        <w:right w:val="none" w:sz="0" w:space="0" w:color="auto"/>
      </w:divBdr>
    </w:div>
    <w:div w:id="588923569">
      <w:bodyDiv w:val="1"/>
      <w:marLeft w:val="0pt"/>
      <w:marRight w:val="0pt"/>
      <w:marTop w:val="0pt"/>
      <w:marBottom w:val="0pt"/>
      <w:divBdr>
        <w:top w:val="none" w:sz="0" w:space="0" w:color="auto"/>
        <w:left w:val="none" w:sz="0" w:space="0" w:color="auto"/>
        <w:bottom w:val="none" w:sz="0" w:space="0" w:color="auto"/>
        <w:right w:val="none" w:sz="0" w:space="0" w:color="auto"/>
      </w:divBdr>
    </w:div>
    <w:div w:id="598219182">
      <w:bodyDiv w:val="1"/>
      <w:marLeft w:val="0pt"/>
      <w:marRight w:val="0pt"/>
      <w:marTop w:val="0pt"/>
      <w:marBottom w:val="0pt"/>
      <w:divBdr>
        <w:top w:val="none" w:sz="0" w:space="0" w:color="auto"/>
        <w:left w:val="none" w:sz="0" w:space="0" w:color="auto"/>
        <w:bottom w:val="none" w:sz="0" w:space="0" w:color="auto"/>
        <w:right w:val="none" w:sz="0" w:space="0" w:color="auto"/>
      </w:divBdr>
    </w:div>
    <w:div w:id="605819227">
      <w:bodyDiv w:val="1"/>
      <w:marLeft w:val="0pt"/>
      <w:marRight w:val="0pt"/>
      <w:marTop w:val="0pt"/>
      <w:marBottom w:val="0pt"/>
      <w:divBdr>
        <w:top w:val="none" w:sz="0" w:space="0" w:color="auto"/>
        <w:left w:val="none" w:sz="0" w:space="0" w:color="auto"/>
        <w:bottom w:val="none" w:sz="0" w:space="0" w:color="auto"/>
        <w:right w:val="none" w:sz="0" w:space="0" w:color="auto"/>
      </w:divBdr>
    </w:div>
    <w:div w:id="634798445">
      <w:bodyDiv w:val="1"/>
      <w:marLeft w:val="0pt"/>
      <w:marRight w:val="0pt"/>
      <w:marTop w:val="0pt"/>
      <w:marBottom w:val="0pt"/>
      <w:divBdr>
        <w:top w:val="none" w:sz="0" w:space="0" w:color="auto"/>
        <w:left w:val="none" w:sz="0" w:space="0" w:color="auto"/>
        <w:bottom w:val="none" w:sz="0" w:space="0" w:color="auto"/>
        <w:right w:val="none" w:sz="0" w:space="0" w:color="auto"/>
      </w:divBdr>
    </w:div>
    <w:div w:id="693115430">
      <w:bodyDiv w:val="1"/>
      <w:marLeft w:val="0pt"/>
      <w:marRight w:val="0pt"/>
      <w:marTop w:val="0pt"/>
      <w:marBottom w:val="0pt"/>
      <w:divBdr>
        <w:top w:val="none" w:sz="0" w:space="0" w:color="auto"/>
        <w:left w:val="none" w:sz="0" w:space="0" w:color="auto"/>
        <w:bottom w:val="none" w:sz="0" w:space="0" w:color="auto"/>
        <w:right w:val="none" w:sz="0" w:space="0" w:color="auto"/>
      </w:divBdr>
    </w:div>
    <w:div w:id="699086208">
      <w:bodyDiv w:val="1"/>
      <w:marLeft w:val="0pt"/>
      <w:marRight w:val="0pt"/>
      <w:marTop w:val="0pt"/>
      <w:marBottom w:val="0pt"/>
      <w:divBdr>
        <w:top w:val="none" w:sz="0" w:space="0" w:color="auto"/>
        <w:left w:val="none" w:sz="0" w:space="0" w:color="auto"/>
        <w:bottom w:val="none" w:sz="0" w:space="0" w:color="auto"/>
        <w:right w:val="none" w:sz="0" w:space="0" w:color="auto"/>
      </w:divBdr>
    </w:div>
    <w:div w:id="715736836">
      <w:bodyDiv w:val="1"/>
      <w:marLeft w:val="0pt"/>
      <w:marRight w:val="0pt"/>
      <w:marTop w:val="0pt"/>
      <w:marBottom w:val="0pt"/>
      <w:divBdr>
        <w:top w:val="none" w:sz="0" w:space="0" w:color="auto"/>
        <w:left w:val="none" w:sz="0" w:space="0" w:color="auto"/>
        <w:bottom w:val="none" w:sz="0" w:space="0" w:color="auto"/>
        <w:right w:val="none" w:sz="0" w:space="0" w:color="auto"/>
      </w:divBdr>
    </w:div>
    <w:div w:id="73277649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532308516">
          <w:marLeft w:val="0pt"/>
          <w:marRight w:val="0pt"/>
          <w:marTop w:val="0pt"/>
          <w:marBottom w:val="0pt"/>
          <w:divBdr>
            <w:top w:val="none" w:sz="0" w:space="0" w:color="auto"/>
            <w:left w:val="none" w:sz="0" w:space="0" w:color="auto"/>
            <w:bottom w:val="none" w:sz="0" w:space="0" w:color="auto"/>
            <w:right w:val="none" w:sz="0" w:space="0" w:color="auto"/>
          </w:divBdr>
        </w:div>
      </w:divsChild>
    </w:div>
    <w:div w:id="735666150">
      <w:bodyDiv w:val="1"/>
      <w:marLeft w:val="0pt"/>
      <w:marRight w:val="0pt"/>
      <w:marTop w:val="0pt"/>
      <w:marBottom w:val="0pt"/>
      <w:divBdr>
        <w:top w:val="none" w:sz="0" w:space="0" w:color="auto"/>
        <w:left w:val="none" w:sz="0" w:space="0" w:color="auto"/>
        <w:bottom w:val="none" w:sz="0" w:space="0" w:color="auto"/>
        <w:right w:val="none" w:sz="0" w:space="0" w:color="auto"/>
      </w:divBdr>
      <w:divsChild>
        <w:div w:id="280306585">
          <w:marLeft w:val="0pt"/>
          <w:marRight w:val="0pt"/>
          <w:marTop w:val="0pt"/>
          <w:marBottom w:val="12pt"/>
          <w:divBdr>
            <w:top w:val="none" w:sz="0" w:space="0" w:color="auto"/>
            <w:left w:val="none" w:sz="0" w:space="0" w:color="auto"/>
            <w:bottom w:val="none" w:sz="0" w:space="0" w:color="auto"/>
            <w:right w:val="none" w:sz="0" w:space="0" w:color="auto"/>
          </w:divBdr>
        </w:div>
      </w:divsChild>
    </w:div>
    <w:div w:id="747576656">
      <w:bodyDiv w:val="1"/>
      <w:marLeft w:val="0pt"/>
      <w:marRight w:val="0pt"/>
      <w:marTop w:val="0pt"/>
      <w:marBottom w:val="0pt"/>
      <w:divBdr>
        <w:top w:val="none" w:sz="0" w:space="0" w:color="auto"/>
        <w:left w:val="none" w:sz="0" w:space="0" w:color="auto"/>
        <w:bottom w:val="none" w:sz="0" w:space="0" w:color="auto"/>
        <w:right w:val="none" w:sz="0" w:space="0" w:color="auto"/>
      </w:divBdr>
    </w:div>
    <w:div w:id="759566167">
      <w:bodyDiv w:val="1"/>
      <w:marLeft w:val="0pt"/>
      <w:marRight w:val="0pt"/>
      <w:marTop w:val="0pt"/>
      <w:marBottom w:val="0pt"/>
      <w:divBdr>
        <w:top w:val="none" w:sz="0" w:space="0" w:color="auto"/>
        <w:left w:val="none" w:sz="0" w:space="0" w:color="auto"/>
        <w:bottom w:val="none" w:sz="0" w:space="0" w:color="auto"/>
        <w:right w:val="none" w:sz="0" w:space="0" w:color="auto"/>
      </w:divBdr>
    </w:div>
    <w:div w:id="833766534">
      <w:bodyDiv w:val="1"/>
      <w:marLeft w:val="0pt"/>
      <w:marRight w:val="0pt"/>
      <w:marTop w:val="0pt"/>
      <w:marBottom w:val="0pt"/>
      <w:divBdr>
        <w:top w:val="none" w:sz="0" w:space="0" w:color="auto"/>
        <w:left w:val="none" w:sz="0" w:space="0" w:color="auto"/>
        <w:bottom w:val="none" w:sz="0" w:space="0" w:color="auto"/>
        <w:right w:val="none" w:sz="0" w:space="0" w:color="auto"/>
      </w:divBdr>
    </w:div>
    <w:div w:id="837840520">
      <w:bodyDiv w:val="1"/>
      <w:marLeft w:val="0pt"/>
      <w:marRight w:val="0pt"/>
      <w:marTop w:val="0pt"/>
      <w:marBottom w:val="0pt"/>
      <w:divBdr>
        <w:top w:val="none" w:sz="0" w:space="0" w:color="auto"/>
        <w:left w:val="none" w:sz="0" w:space="0" w:color="auto"/>
        <w:bottom w:val="none" w:sz="0" w:space="0" w:color="auto"/>
        <w:right w:val="none" w:sz="0" w:space="0" w:color="auto"/>
      </w:divBdr>
    </w:div>
    <w:div w:id="84078161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498306911">
          <w:marLeft w:val="0pt"/>
          <w:marRight w:val="0pt"/>
          <w:marTop w:val="0pt"/>
          <w:marBottom w:val="0pt"/>
          <w:divBdr>
            <w:top w:val="none" w:sz="0" w:space="0" w:color="auto"/>
            <w:left w:val="none" w:sz="0" w:space="0" w:color="auto"/>
            <w:bottom w:val="none" w:sz="0" w:space="0" w:color="auto"/>
            <w:right w:val="none" w:sz="0" w:space="0" w:color="auto"/>
          </w:divBdr>
        </w:div>
      </w:divsChild>
    </w:div>
    <w:div w:id="895120616">
      <w:bodyDiv w:val="1"/>
      <w:marLeft w:val="0pt"/>
      <w:marRight w:val="0pt"/>
      <w:marTop w:val="0pt"/>
      <w:marBottom w:val="0pt"/>
      <w:divBdr>
        <w:top w:val="none" w:sz="0" w:space="0" w:color="auto"/>
        <w:left w:val="none" w:sz="0" w:space="0" w:color="auto"/>
        <w:bottom w:val="none" w:sz="0" w:space="0" w:color="auto"/>
        <w:right w:val="none" w:sz="0" w:space="0" w:color="auto"/>
      </w:divBdr>
    </w:div>
    <w:div w:id="91883411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2140106064">
          <w:marLeft w:val="0pt"/>
          <w:marRight w:val="0pt"/>
          <w:marTop w:val="0pt"/>
          <w:marBottom w:val="0pt"/>
          <w:divBdr>
            <w:top w:val="none" w:sz="0" w:space="0" w:color="auto"/>
            <w:left w:val="none" w:sz="0" w:space="0" w:color="auto"/>
            <w:bottom w:val="none" w:sz="0" w:space="0" w:color="auto"/>
            <w:right w:val="none" w:sz="0" w:space="0" w:color="auto"/>
          </w:divBdr>
        </w:div>
      </w:divsChild>
    </w:div>
    <w:div w:id="920991293">
      <w:bodyDiv w:val="1"/>
      <w:marLeft w:val="0pt"/>
      <w:marRight w:val="0pt"/>
      <w:marTop w:val="0pt"/>
      <w:marBottom w:val="0pt"/>
      <w:divBdr>
        <w:top w:val="none" w:sz="0" w:space="0" w:color="auto"/>
        <w:left w:val="none" w:sz="0" w:space="0" w:color="auto"/>
        <w:bottom w:val="none" w:sz="0" w:space="0" w:color="auto"/>
        <w:right w:val="none" w:sz="0" w:space="0" w:color="auto"/>
      </w:divBdr>
      <w:divsChild>
        <w:div w:id="2042431597">
          <w:marLeft w:val="0pt"/>
          <w:marRight w:val="0pt"/>
          <w:marTop w:val="0pt"/>
          <w:marBottom w:val="0pt"/>
          <w:divBdr>
            <w:top w:val="none" w:sz="0" w:space="0" w:color="auto"/>
            <w:left w:val="none" w:sz="0" w:space="0" w:color="auto"/>
            <w:bottom w:val="none" w:sz="0" w:space="0" w:color="auto"/>
            <w:right w:val="none" w:sz="0" w:space="0" w:color="auto"/>
          </w:divBdr>
        </w:div>
      </w:divsChild>
    </w:div>
    <w:div w:id="96411978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77465879">
          <w:marLeft w:val="0pt"/>
          <w:marRight w:val="0pt"/>
          <w:marTop w:val="0pt"/>
          <w:marBottom w:val="0pt"/>
          <w:divBdr>
            <w:top w:val="none" w:sz="0" w:space="0" w:color="auto"/>
            <w:left w:val="none" w:sz="0" w:space="0" w:color="auto"/>
            <w:bottom w:val="none" w:sz="0" w:space="0" w:color="auto"/>
            <w:right w:val="none" w:sz="0" w:space="0" w:color="auto"/>
          </w:divBdr>
        </w:div>
      </w:divsChild>
    </w:div>
    <w:div w:id="995106577">
      <w:bodyDiv w:val="1"/>
      <w:marLeft w:val="0pt"/>
      <w:marRight w:val="0pt"/>
      <w:marTop w:val="0pt"/>
      <w:marBottom w:val="0pt"/>
      <w:divBdr>
        <w:top w:val="none" w:sz="0" w:space="0" w:color="auto"/>
        <w:left w:val="none" w:sz="0" w:space="0" w:color="auto"/>
        <w:bottom w:val="none" w:sz="0" w:space="0" w:color="auto"/>
        <w:right w:val="none" w:sz="0" w:space="0" w:color="auto"/>
      </w:divBdr>
    </w:div>
    <w:div w:id="1021516236">
      <w:bodyDiv w:val="1"/>
      <w:marLeft w:val="0pt"/>
      <w:marRight w:val="0pt"/>
      <w:marTop w:val="0pt"/>
      <w:marBottom w:val="0pt"/>
      <w:divBdr>
        <w:top w:val="none" w:sz="0" w:space="0" w:color="auto"/>
        <w:left w:val="none" w:sz="0" w:space="0" w:color="auto"/>
        <w:bottom w:val="none" w:sz="0" w:space="0" w:color="auto"/>
        <w:right w:val="none" w:sz="0" w:space="0" w:color="auto"/>
      </w:divBdr>
    </w:div>
    <w:div w:id="1040938263">
      <w:bodyDiv w:val="1"/>
      <w:marLeft w:val="0pt"/>
      <w:marRight w:val="0pt"/>
      <w:marTop w:val="0pt"/>
      <w:marBottom w:val="0pt"/>
      <w:divBdr>
        <w:top w:val="none" w:sz="0" w:space="0" w:color="auto"/>
        <w:left w:val="none" w:sz="0" w:space="0" w:color="auto"/>
        <w:bottom w:val="none" w:sz="0" w:space="0" w:color="auto"/>
        <w:right w:val="none" w:sz="0" w:space="0" w:color="auto"/>
      </w:divBdr>
    </w:div>
    <w:div w:id="1055350051">
      <w:bodyDiv w:val="1"/>
      <w:marLeft w:val="0pt"/>
      <w:marRight w:val="0pt"/>
      <w:marTop w:val="0pt"/>
      <w:marBottom w:val="0pt"/>
      <w:divBdr>
        <w:top w:val="none" w:sz="0" w:space="0" w:color="auto"/>
        <w:left w:val="none" w:sz="0" w:space="0" w:color="auto"/>
        <w:bottom w:val="none" w:sz="0" w:space="0" w:color="auto"/>
        <w:right w:val="none" w:sz="0" w:space="0" w:color="auto"/>
      </w:divBdr>
    </w:div>
    <w:div w:id="1121655575">
      <w:bodyDiv w:val="1"/>
      <w:marLeft w:val="0pt"/>
      <w:marRight w:val="0pt"/>
      <w:marTop w:val="0pt"/>
      <w:marBottom w:val="0pt"/>
      <w:divBdr>
        <w:top w:val="none" w:sz="0" w:space="0" w:color="auto"/>
        <w:left w:val="none" w:sz="0" w:space="0" w:color="auto"/>
        <w:bottom w:val="none" w:sz="0" w:space="0" w:color="auto"/>
        <w:right w:val="none" w:sz="0" w:space="0" w:color="auto"/>
      </w:divBdr>
    </w:div>
    <w:div w:id="1181548812">
      <w:bodyDiv w:val="1"/>
      <w:marLeft w:val="0pt"/>
      <w:marRight w:val="0pt"/>
      <w:marTop w:val="0pt"/>
      <w:marBottom w:val="0pt"/>
      <w:divBdr>
        <w:top w:val="none" w:sz="0" w:space="0" w:color="auto"/>
        <w:left w:val="none" w:sz="0" w:space="0" w:color="auto"/>
        <w:bottom w:val="none" w:sz="0" w:space="0" w:color="auto"/>
        <w:right w:val="none" w:sz="0" w:space="0" w:color="auto"/>
      </w:divBdr>
    </w:div>
    <w:div w:id="1198467021">
      <w:bodyDiv w:val="1"/>
      <w:marLeft w:val="0pt"/>
      <w:marRight w:val="0pt"/>
      <w:marTop w:val="0pt"/>
      <w:marBottom w:val="0pt"/>
      <w:divBdr>
        <w:top w:val="none" w:sz="0" w:space="0" w:color="auto"/>
        <w:left w:val="none" w:sz="0" w:space="0" w:color="auto"/>
        <w:bottom w:val="none" w:sz="0" w:space="0" w:color="auto"/>
        <w:right w:val="none" w:sz="0" w:space="0" w:color="auto"/>
      </w:divBdr>
    </w:div>
    <w:div w:id="1204440610">
      <w:bodyDiv w:val="1"/>
      <w:marLeft w:val="0pt"/>
      <w:marRight w:val="0pt"/>
      <w:marTop w:val="0pt"/>
      <w:marBottom w:val="0pt"/>
      <w:divBdr>
        <w:top w:val="none" w:sz="0" w:space="0" w:color="auto"/>
        <w:left w:val="none" w:sz="0" w:space="0" w:color="auto"/>
        <w:bottom w:val="none" w:sz="0" w:space="0" w:color="auto"/>
        <w:right w:val="none" w:sz="0" w:space="0" w:color="auto"/>
      </w:divBdr>
    </w:div>
    <w:div w:id="1312830021">
      <w:bodyDiv w:val="1"/>
      <w:marLeft w:val="0pt"/>
      <w:marRight w:val="0pt"/>
      <w:marTop w:val="0pt"/>
      <w:marBottom w:val="0pt"/>
      <w:divBdr>
        <w:top w:val="none" w:sz="0" w:space="0" w:color="auto"/>
        <w:left w:val="none" w:sz="0" w:space="0" w:color="auto"/>
        <w:bottom w:val="none" w:sz="0" w:space="0" w:color="auto"/>
        <w:right w:val="none" w:sz="0" w:space="0" w:color="auto"/>
      </w:divBdr>
    </w:div>
    <w:div w:id="1318075320">
      <w:bodyDiv w:val="1"/>
      <w:marLeft w:val="0pt"/>
      <w:marRight w:val="0pt"/>
      <w:marTop w:val="0pt"/>
      <w:marBottom w:val="0pt"/>
      <w:divBdr>
        <w:top w:val="none" w:sz="0" w:space="0" w:color="auto"/>
        <w:left w:val="none" w:sz="0" w:space="0" w:color="auto"/>
        <w:bottom w:val="none" w:sz="0" w:space="0" w:color="auto"/>
        <w:right w:val="none" w:sz="0" w:space="0" w:color="auto"/>
      </w:divBdr>
    </w:div>
    <w:div w:id="1455639571">
      <w:bodyDiv w:val="1"/>
      <w:marLeft w:val="0pt"/>
      <w:marRight w:val="0pt"/>
      <w:marTop w:val="0pt"/>
      <w:marBottom w:val="0pt"/>
      <w:divBdr>
        <w:top w:val="none" w:sz="0" w:space="0" w:color="auto"/>
        <w:left w:val="none" w:sz="0" w:space="0" w:color="auto"/>
        <w:bottom w:val="none" w:sz="0" w:space="0" w:color="auto"/>
        <w:right w:val="none" w:sz="0" w:space="0" w:color="auto"/>
      </w:divBdr>
    </w:div>
    <w:div w:id="148812867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18031370">
          <w:marLeft w:val="0pt"/>
          <w:marRight w:val="0pt"/>
          <w:marTop w:val="0pt"/>
          <w:marBottom w:val="12pt"/>
          <w:divBdr>
            <w:top w:val="none" w:sz="0" w:space="0" w:color="auto"/>
            <w:left w:val="none" w:sz="0" w:space="0" w:color="auto"/>
            <w:bottom w:val="none" w:sz="0" w:space="0" w:color="auto"/>
            <w:right w:val="none" w:sz="0" w:space="0" w:color="auto"/>
          </w:divBdr>
        </w:div>
        <w:div w:id="76563726">
          <w:marLeft w:val="0pt"/>
          <w:marRight w:val="0pt"/>
          <w:marTop w:val="0pt"/>
          <w:marBottom w:val="12pt"/>
          <w:divBdr>
            <w:top w:val="none" w:sz="0" w:space="0" w:color="auto"/>
            <w:left w:val="none" w:sz="0" w:space="0" w:color="auto"/>
            <w:bottom w:val="none" w:sz="0" w:space="0" w:color="auto"/>
            <w:right w:val="none" w:sz="0" w:space="0" w:color="auto"/>
          </w:divBdr>
        </w:div>
        <w:div w:id="1377661592">
          <w:marLeft w:val="0pt"/>
          <w:marRight w:val="0pt"/>
          <w:marTop w:val="0pt"/>
          <w:marBottom w:val="12pt"/>
          <w:divBdr>
            <w:top w:val="none" w:sz="0" w:space="0" w:color="auto"/>
            <w:left w:val="none" w:sz="0" w:space="0" w:color="auto"/>
            <w:bottom w:val="none" w:sz="0" w:space="0" w:color="auto"/>
            <w:right w:val="none" w:sz="0" w:space="0" w:color="auto"/>
          </w:divBdr>
        </w:div>
        <w:div w:id="1220940050">
          <w:marLeft w:val="0pt"/>
          <w:marRight w:val="0pt"/>
          <w:marTop w:val="0pt"/>
          <w:marBottom w:val="12pt"/>
          <w:divBdr>
            <w:top w:val="none" w:sz="0" w:space="0" w:color="auto"/>
            <w:left w:val="none" w:sz="0" w:space="0" w:color="auto"/>
            <w:bottom w:val="none" w:sz="0" w:space="0" w:color="auto"/>
            <w:right w:val="none" w:sz="0" w:space="0" w:color="auto"/>
          </w:divBdr>
        </w:div>
        <w:div w:id="1957059957">
          <w:marLeft w:val="0pt"/>
          <w:marRight w:val="0pt"/>
          <w:marTop w:val="0pt"/>
          <w:marBottom w:val="12pt"/>
          <w:divBdr>
            <w:top w:val="none" w:sz="0" w:space="0" w:color="auto"/>
            <w:left w:val="none" w:sz="0" w:space="0" w:color="auto"/>
            <w:bottom w:val="none" w:sz="0" w:space="0" w:color="auto"/>
            <w:right w:val="none" w:sz="0" w:space="0" w:color="auto"/>
          </w:divBdr>
        </w:div>
        <w:div w:id="1938755643">
          <w:marLeft w:val="0pt"/>
          <w:marRight w:val="0pt"/>
          <w:marTop w:val="0pt"/>
          <w:marBottom w:val="12pt"/>
          <w:divBdr>
            <w:top w:val="none" w:sz="0" w:space="0" w:color="auto"/>
            <w:left w:val="none" w:sz="0" w:space="0" w:color="auto"/>
            <w:bottom w:val="none" w:sz="0" w:space="0" w:color="auto"/>
            <w:right w:val="none" w:sz="0" w:space="0" w:color="auto"/>
          </w:divBdr>
        </w:div>
        <w:div w:id="963194111">
          <w:marLeft w:val="0pt"/>
          <w:marRight w:val="0pt"/>
          <w:marTop w:val="0pt"/>
          <w:marBottom w:val="12pt"/>
          <w:divBdr>
            <w:top w:val="none" w:sz="0" w:space="0" w:color="auto"/>
            <w:left w:val="none" w:sz="0" w:space="0" w:color="auto"/>
            <w:bottom w:val="none" w:sz="0" w:space="0" w:color="auto"/>
            <w:right w:val="none" w:sz="0" w:space="0" w:color="auto"/>
          </w:divBdr>
        </w:div>
        <w:div w:id="1383289923">
          <w:marLeft w:val="0pt"/>
          <w:marRight w:val="0pt"/>
          <w:marTop w:val="0pt"/>
          <w:marBottom w:val="12pt"/>
          <w:divBdr>
            <w:top w:val="none" w:sz="0" w:space="0" w:color="auto"/>
            <w:left w:val="none" w:sz="0" w:space="0" w:color="auto"/>
            <w:bottom w:val="none" w:sz="0" w:space="0" w:color="auto"/>
            <w:right w:val="none" w:sz="0" w:space="0" w:color="auto"/>
          </w:divBdr>
        </w:div>
        <w:div w:id="1055086830">
          <w:marLeft w:val="0pt"/>
          <w:marRight w:val="0pt"/>
          <w:marTop w:val="0pt"/>
          <w:marBottom w:val="12pt"/>
          <w:divBdr>
            <w:top w:val="none" w:sz="0" w:space="0" w:color="auto"/>
            <w:left w:val="none" w:sz="0" w:space="0" w:color="auto"/>
            <w:bottom w:val="none" w:sz="0" w:space="0" w:color="auto"/>
            <w:right w:val="none" w:sz="0" w:space="0" w:color="auto"/>
          </w:divBdr>
        </w:div>
        <w:div w:id="1126855752">
          <w:marLeft w:val="0pt"/>
          <w:marRight w:val="0pt"/>
          <w:marTop w:val="0pt"/>
          <w:marBottom w:val="12pt"/>
          <w:divBdr>
            <w:top w:val="none" w:sz="0" w:space="0" w:color="auto"/>
            <w:left w:val="none" w:sz="0" w:space="0" w:color="auto"/>
            <w:bottom w:val="none" w:sz="0" w:space="0" w:color="auto"/>
            <w:right w:val="none" w:sz="0" w:space="0" w:color="auto"/>
          </w:divBdr>
        </w:div>
        <w:div w:id="395395186">
          <w:marLeft w:val="0pt"/>
          <w:marRight w:val="0pt"/>
          <w:marTop w:val="0pt"/>
          <w:marBottom w:val="12pt"/>
          <w:divBdr>
            <w:top w:val="none" w:sz="0" w:space="0" w:color="auto"/>
            <w:left w:val="none" w:sz="0" w:space="0" w:color="auto"/>
            <w:bottom w:val="none" w:sz="0" w:space="0" w:color="auto"/>
            <w:right w:val="none" w:sz="0" w:space="0" w:color="auto"/>
          </w:divBdr>
        </w:div>
        <w:div w:id="1659797206">
          <w:marLeft w:val="0pt"/>
          <w:marRight w:val="0pt"/>
          <w:marTop w:val="0pt"/>
          <w:marBottom w:val="12pt"/>
          <w:divBdr>
            <w:top w:val="none" w:sz="0" w:space="0" w:color="auto"/>
            <w:left w:val="none" w:sz="0" w:space="0" w:color="auto"/>
            <w:bottom w:val="none" w:sz="0" w:space="0" w:color="auto"/>
            <w:right w:val="none" w:sz="0" w:space="0" w:color="auto"/>
          </w:divBdr>
        </w:div>
        <w:div w:id="37290688">
          <w:marLeft w:val="0pt"/>
          <w:marRight w:val="0pt"/>
          <w:marTop w:val="0pt"/>
          <w:marBottom w:val="12pt"/>
          <w:divBdr>
            <w:top w:val="none" w:sz="0" w:space="0" w:color="auto"/>
            <w:left w:val="none" w:sz="0" w:space="0" w:color="auto"/>
            <w:bottom w:val="none" w:sz="0" w:space="0" w:color="auto"/>
            <w:right w:val="none" w:sz="0" w:space="0" w:color="auto"/>
          </w:divBdr>
        </w:div>
        <w:div w:id="277152748">
          <w:marLeft w:val="0pt"/>
          <w:marRight w:val="0pt"/>
          <w:marTop w:val="0pt"/>
          <w:marBottom w:val="12pt"/>
          <w:divBdr>
            <w:top w:val="none" w:sz="0" w:space="0" w:color="auto"/>
            <w:left w:val="none" w:sz="0" w:space="0" w:color="auto"/>
            <w:bottom w:val="none" w:sz="0" w:space="0" w:color="auto"/>
            <w:right w:val="none" w:sz="0" w:space="0" w:color="auto"/>
          </w:divBdr>
        </w:div>
        <w:div w:id="92869018">
          <w:marLeft w:val="0pt"/>
          <w:marRight w:val="0pt"/>
          <w:marTop w:val="0pt"/>
          <w:marBottom w:val="12pt"/>
          <w:divBdr>
            <w:top w:val="none" w:sz="0" w:space="0" w:color="auto"/>
            <w:left w:val="none" w:sz="0" w:space="0" w:color="auto"/>
            <w:bottom w:val="none" w:sz="0" w:space="0" w:color="auto"/>
            <w:right w:val="none" w:sz="0" w:space="0" w:color="auto"/>
          </w:divBdr>
        </w:div>
        <w:div w:id="1384717695">
          <w:marLeft w:val="0pt"/>
          <w:marRight w:val="0pt"/>
          <w:marTop w:val="0pt"/>
          <w:marBottom w:val="12pt"/>
          <w:divBdr>
            <w:top w:val="none" w:sz="0" w:space="0" w:color="auto"/>
            <w:left w:val="none" w:sz="0" w:space="0" w:color="auto"/>
            <w:bottom w:val="none" w:sz="0" w:space="0" w:color="auto"/>
            <w:right w:val="none" w:sz="0" w:space="0" w:color="auto"/>
          </w:divBdr>
        </w:div>
        <w:div w:id="581917191">
          <w:marLeft w:val="0pt"/>
          <w:marRight w:val="0pt"/>
          <w:marTop w:val="0pt"/>
          <w:marBottom w:val="12pt"/>
          <w:divBdr>
            <w:top w:val="none" w:sz="0" w:space="0" w:color="auto"/>
            <w:left w:val="none" w:sz="0" w:space="0" w:color="auto"/>
            <w:bottom w:val="none" w:sz="0" w:space="0" w:color="auto"/>
            <w:right w:val="none" w:sz="0" w:space="0" w:color="auto"/>
          </w:divBdr>
        </w:div>
        <w:div w:id="1346590440">
          <w:marLeft w:val="0pt"/>
          <w:marRight w:val="0pt"/>
          <w:marTop w:val="0pt"/>
          <w:marBottom w:val="12pt"/>
          <w:divBdr>
            <w:top w:val="none" w:sz="0" w:space="0" w:color="auto"/>
            <w:left w:val="none" w:sz="0" w:space="0" w:color="auto"/>
            <w:bottom w:val="none" w:sz="0" w:space="0" w:color="auto"/>
            <w:right w:val="none" w:sz="0" w:space="0" w:color="auto"/>
          </w:divBdr>
        </w:div>
        <w:div w:id="497114829">
          <w:marLeft w:val="0pt"/>
          <w:marRight w:val="0pt"/>
          <w:marTop w:val="0pt"/>
          <w:marBottom w:val="12pt"/>
          <w:divBdr>
            <w:top w:val="none" w:sz="0" w:space="0" w:color="auto"/>
            <w:left w:val="none" w:sz="0" w:space="0" w:color="auto"/>
            <w:bottom w:val="none" w:sz="0" w:space="0" w:color="auto"/>
            <w:right w:val="none" w:sz="0" w:space="0" w:color="auto"/>
          </w:divBdr>
        </w:div>
        <w:div w:id="216746789">
          <w:marLeft w:val="0pt"/>
          <w:marRight w:val="0pt"/>
          <w:marTop w:val="0pt"/>
          <w:marBottom w:val="12pt"/>
          <w:divBdr>
            <w:top w:val="none" w:sz="0" w:space="0" w:color="auto"/>
            <w:left w:val="none" w:sz="0" w:space="0" w:color="auto"/>
            <w:bottom w:val="none" w:sz="0" w:space="0" w:color="auto"/>
            <w:right w:val="none" w:sz="0" w:space="0" w:color="auto"/>
          </w:divBdr>
        </w:div>
        <w:div w:id="1544292826">
          <w:marLeft w:val="0pt"/>
          <w:marRight w:val="0pt"/>
          <w:marTop w:val="0pt"/>
          <w:marBottom w:val="12pt"/>
          <w:divBdr>
            <w:top w:val="none" w:sz="0" w:space="0" w:color="auto"/>
            <w:left w:val="none" w:sz="0" w:space="0" w:color="auto"/>
            <w:bottom w:val="none" w:sz="0" w:space="0" w:color="auto"/>
            <w:right w:val="none" w:sz="0" w:space="0" w:color="auto"/>
          </w:divBdr>
        </w:div>
        <w:div w:id="1930776506">
          <w:marLeft w:val="0pt"/>
          <w:marRight w:val="0pt"/>
          <w:marTop w:val="0pt"/>
          <w:marBottom w:val="12pt"/>
          <w:divBdr>
            <w:top w:val="none" w:sz="0" w:space="0" w:color="auto"/>
            <w:left w:val="none" w:sz="0" w:space="0" w:color="auto"/>
            <w:bottom w:val="none" w:sz="0" w:space="0" w:color="auto"/>
            <w:right w:val="none" w:sz="0" w:space="0" w:color="auto"/>
          </w:divBdr>
        </w:div>
        <w:div w:id="687174796">
          <w:marLeft w:val="0pt"/>
          <w:marRight w:val="0pt"/>
          <w:marTop w:val="0pt"/>
          <w:marBottom w:val="12pt"/>
          <w:divBdr>
            <w:top w:val="none" w:sz="0" w:space="0" w:color="auto"/>
            <w:left w:val="none" w:sz="0" w:space="0" w:color="auto"/>
            <w:bottom w:val="none" w:sz="0" w:space="0" w:color="auto"/>
            <w:right w:val="none" w:sz="0" w:space="0" w:color="auto"/>
          </w:divBdr>
        </w:div>
        <w:div w:id="1138453869">
          <w:marLeft w:val="0pt"/>
          <w:marRight w:val="0pt"/>
          <w:marTop w:val="0pt"/>
          <w:marBottom w:val="12pt"/>
          <w:divBdr>
            <w:top w:val="none" w:sz="0" w:space="0" w:color="auto"/>
            <w:left w:val="none" w:sz="0" w:space="0" w:color="auto"/>
            <w:bottom w:val="none" w:sz="0" w:space="0" w:color="auto"/>
            <w:right w:val="none" w:sz="0" w:space="0" w:color="auto"/>
          </w:divBdr>
        </w:div>
        <w:div w:id="224729554">
          <w:marLeft w:val="0pt"/>
          <w:marRight w:val="0pt"/>
          <w:marTop w:val="0pt"/>
          <w:marBottom w:val="12pt"/>
          <w:divBdr>
            <w:top w:val="none" w:sz="0" w:space="0" w:color="auto"/>
            <w:left w:val="none" w:sz="0" w:space="0" w:color="auto"/>
            <w:bottom w:val="none" w:sz="0" w:space="0" w:color="auto"/>
            <w:right w:val="none" w:sz="0" w:space="0" w:color="auto"/>
          </w:divBdr>
        </w:div>
        <w:div w:id="470947194">
          <w:marLeft w:val="0pt"/>
          <w:marRight w:val="0pt"/>
          <w:marTop w:val="0pt"/>
          <w:marBottom w:val="12pt"/>
          <w:divBdr>
            <w:top w:val="none" w:sz="0" w:space="0" w:color="auto"/>
            <w:left w:val="none" w:sz="0" w:space="0" w:color="auto"/>
            <w:bottom w:val="none" w:sz="0" w:space="0" w:color="auto"/>
            <w:right w:val="none" w:sz="0" w:space="0" w:color="auto"/>
          </w:divBdr>
        </w:div>
        <w:div w:id="1792480184">
          <w:marLeft w:val="0pt"/>
          <w:marRight w:val="0pt"/>
          <w:marTop w:val="0pt"/>
          <w:marBottom w:val="12pt"/>
          <w:divBdr>
            <w:top w:val="none" w:sz="0" w:space="0" w:color="auto"/>
            <w:left w:val="none" w:sz="0" w:space="0" w:color="auto"/>
            <w:bottom w:val="none" w:sz="0" w:space="0" w:color="auto"/>
            <w:right w:val="none" w:sz="0" w:space="0" w:color="auto"/>
          </w:divBdr>
        </w:div>
        <w:div w:id="2033652671">
          <w:marLeft w:val="0pt"/>
          <w:marRight w:val="0pt"/>
          <w:marTop w:val="0pt"/>
          <w:marBottom w:val="12pt"/>
          <w:divBdr>
            <w:top w:val="none" w:sz="0" w:space="0" w:color="auto"/>
            <w:left w:val="none" w:sz="0" w:space="0" w:color="auto"/>
            <w:bottom w:val="none" w:sz="0" w:space="0" w:color="auto"/>
            <w:right w:val="none" w:sz="0" w:space="0" w:color="auto"/>
          </w:divBdr>
        </w:div>
        <w:div w:id="483202783">
          <w:marLeft w:val="0pt"/>
          <w:marRight w:val="0pt"/>
          <w:marTop w:val="0pt"/>
          <w:marBottom w:val="12pt"/>
          <w:divBdr>
            <w:top w:val="none" w:sz="0" w:space="0" w:color="auto"/>
            <w:left w:val="none" w:sz="0" w:space="0" w:color="auto"/>
            <w:bottom w:val="none" w:sz="0" w:space="0" w:color="auto"/>
            <w:right w:val="none" w:sz="0" w:space="0" w:color="auto"/>
          </w:divBdr>
        </w:div>
        <w:div w:id="2099018335">
          <w:marLeft w:val="0pt"/>
          <w:marRight w:val="0pt"/>
          <w:marTop w:val="0pt"/>
          <w:marBottom w:val="12pt"/>
          <w:divBdr>
            <w:top w:val="none" w:sz="0" w:space="0" w:color="auto"/>
            <w:left w:val="none" w:sz="0" w:space="0" w:color="auto"/>
            <w:bottom w:val="none" w:sz="0" w:space="0" w:color="auto"/>
            <w:right w:val="none" w:sz="0" w:space="0" w:color="auto"/>
          </w:divBdr>
        </w:div>
        <w:div w:id="741368225">
          <w:marLeft w:val="0pt"/>
          <w:marRight w:val="0pt"/>
          <w:marTop w:val="0pt"/>
          <w:marBottom w:val="12pt"/>
          <w:divBdr>
            <w:top w:val="none" w:sz="0" w:space="0" w:color="auto"/>
            <w:left w:val="none" w:sz="0" w:space="0" w:color="auto"/>
            <w:bottom w:val="none" w:sz="0" w:space="0" w:color="auto"/>
            <w:right w:val="none" w:sz="0" w:space="0" w:color="auto"/>
          </w:divBdr>
        </w:div>
        <w:div w:id="269434766">
          <w:marLeft w:val="0pt"/>
          <w:marRight w:val="0pt"/>
          <w:marTop w:val="0pt"/>
          <w:marBottom w:val="12pt"/>
          <w:divBdr>
            <w:top w:val="none" w:sz="0" w:space="0" w:color="auto"/>
            <w:left w:val="none" w:sz="0" w:space="0" w:color="auto"/>
            <w:bottom w:val="none" w:sz="0" w:space="0" w:color="auto"/>
            <w:right w:val="none" w:sz="0" w:space="0" w:color="auto"/>
          </w:divBdr>
        </w:div>
        <w:div w:id="893388268">
          <w:marLeft w:val="0pt"/>
          <w:marRight w:val="0pt"/>
          <w:marTop w:val="0pt"/>
          <w:marBottom w:val="12pt"/>
          <w:divBdr>
            <w:top w:val="none" w:sz="0" w:space="0" w:color="auto"/>
            <w:left w:val="none" w:sz="0" w:space="0" w:color="auto"/>
            <w:bottom w:val="none" w:sz="0" w:space="0" w:color="auto"/>
            <w:right w:val="none" w:sz="0" w:space="0" w:color="auto"/>
          </w:divBdr>
        </w:div>
        <w:div w:id="723337110">
          <w:marLeft w:val="0pt"/>
          <w:marRight w:val="0pt"/>
          <w:marTop w:val="0pt"/>
          <w:marBottom w:val="12pt"/>
          <w:divBdr>
            <w:top w:val="none" w:sz="0" w:space="0" w:color="auto"/>
            <w:left w:val="none" w:sz="0" w:space="0" w:color="auto"/>
            <w:bottom w:val="none" w:sz="0" w:space="0" w:color="auto"/>
            <w:right w:val="none" w:sz="0" w:space="0" w:color="auto"/>
          </w:divBdr>
        </w:div>
        <w:div w:id="1847595278">
          <w:marLeft w:val="0pt"/>
          <w:marRight w:val="0pt"/>
          <w:marTop w:val="0pt"/>
          <w:marBottom w:val="12pt"/>
          <w:divBdr>
            <w:top w:val="none" w:sz="0" w:space="0" w:color="auto"/>
            <w:left w:val="none" w:sz="0" w:space="0" w:color="auto"/>
            <w:bottom w:val="none" w:sz="0" w:space="0" w:color="auto"/>
            <w:right w:val="none" w:sz="0" w:space="0" w:color="auto"/>
          </w:divBdr>
        </w:div>
        <w:div w:id="1540050600">
          <w:marLeft w:val="0pt"/>
          <w:marRight w:val="0pt"/>
          <w:marTop w:val="0pt"/>
          <w:marBottom w:val="12pt"/>
          <w:divBdr>
            <w:top w:val="none" w:sz="0" w:space="0" w:color="auto"/>
            <w:left w:val="none" w:sz="0" w:space="0" w:color="auto"/>
            <w:bottom w:val="none" w:sz="0" w:space="0" w:color="auto"/>
            <w:right w:val="none" w:sz="0" w:space="0" w:color="auto"/>
          </w:divBdr>
        </w:div>
        <w:div w:id="643857639">
          <w:marLeft w:val="0pt"/>
          <w:marRight w:val="0pt"/>
          <w:marTop w:val="0pt"/>
          <w:marBottom w:val="12pt"/>
          <w:divBdr>
            <w:top w:val="none" w:sz="0" w:space="0" w:color="auto"/>
            <w:left w:val="none" w:sz="0" w:space="0" w:color="auto"/>
            <w:bottom w:val="none" w:sz="0" w:space="0" w:color="auto"/>
            <w:right w:val="none" w:sz="0" w:space="0" w:color="auto"/>
          </w:divBdr>
        </w:div>
        <w:div w:id="1717773223">
          <w:marLeft w:val="0pt"/>
          <w:marRight w:val="0pt"/>
          <w:marTop w:val="0pt"/>
          <w:marBottom w:val="12pt"/>
          <w:divBdr>
            <w:top w:val="none" w:sz="0" w:space="0" w:color="auto"/>
            <w:left w:val="none" w:sz="0" w:space="0" w:color="auto"/>
            <w:bottom w:val="none" w:sz="0" w:space="0" w:color="auto"/>
            <w:right w:val="none" w:sz="0" w:space="0" w:color="auto"/>
          </w:divBdr>
        </w:div>
        <w:div w:id="1214852768">
          <w:marLeft w:val="0pt"/>
          <w:marRight w:val="0pt"/>
          <w:marTop w:val="0pt"/>
          <w:marBottom w:val="12pt"/>
          <w:divBdr>
            <w:top w:val="none" w:sz="0" w:space="0" w:color="auto"/>
            <w:left w:val="none" w:sz="0" w:space="0" w:color="auto"/>
            <w:bottom w:val="none" w:sz="0" w:space="0" w:color="auto"/>
            <w:right w:val="none" w:sz="0" w:space="0" w:color="auto"/>
          </w:divBdr>
        </w:div>
        <w:div w:id="1347709850">
          <w:marLeft w:val="0pt"/>
          <w:marRight w:val="0pt"/>
          <w:marTop w:val="0pt"/>
          <w:marBottom w:val="12pt"/>
          <w:divBdr>
            <w:top w:val="none" w:sz="0" w:space="0" w:color="auto"/>
            <w:left w:val="none" w:sz="0" w:space="0" w:color="auto"/>
            <w:bottom w:val="none" w:sz="0" w:space="0" w:color="auto"/>
            <w:right w:val="none" w:sz="0" w:space="0" w:color="auto"/>
          </w:divBdr>
        </w:div>
        <w:div w:id="562255948">
          <w:marLeft w:val="0pt"/>
          <w:marRight w:val="0pt"/>
          <w:marTop w:val="0pt"/>
          <w:marBottom w:val="12pt"/>
          <w:divBdr>
            <w:top w:val="none" w:sz="0" w:space="0" w:color="auto"/>
            <w:left w:val="none" w:sz="0" w:space="0" w:color="auto"/>
            <w:bottom w:val="none" w:sz="0" w:space="0" w:color="auto"/>
            <w:right w:val="none" w:sz="0" w:space="0" w:color="auto"/>
          </w:divBdr>
        </w:div>
        <w:div w:id="27726380">
          <w:marLeft w:val="0pt"/>
          <w:marRight w:val="0pt"/>
          <w:marTop w:val="0pt"/>
          <w:marBottom w:val="12pt"/>
          <w:divBdr>
            <w:top w:val="none" w:sz="0" w:space="0" w:color="auto"/>
            <w:left w:val="none" w:sz="0" w:space="0" w:color="auto"/>
            <w:bottom w:val="none" w:sz="0" w:space="0" w:color="auto"/>
            <w:right w:val="none" w:sz="0" w:space="0" w:color="auto"/>
          </w:divBdr>
        </w:div>
        <w:div w:id="645475929">
          <w:marLeft w:val="0pt"/>
          <w:marRight w:val="0pt"/>
          <w:marTop w:val="0pt"/>
          <w:marBottom w:val="12pt"/>
          <w:divBdr>
            <w:top w:val="none" w:sz="0" w:space="0" w:color="auto"/>
            <w:left w:val="none" w:sz="0" w:space="0" w:color="auto"/>
            <w:bottom w:val="none" w:sz="0" w:space="0" w:color="auto"/>
            <w:right w:val="none" w:sz="0" w:space="0" w:color="auto"/>
          </w:divBdr>
        </w:div>
        <w:div w:id="526719947">
          <w:marLeft w:val="0pt"/>
          <w:marRight w:val="0pt"/>
          <w:marTop w:val="0pt"/>
          <w:marBottom w:val="12pt"/>
          <w:divBdr>
            <w:top w:val="none" w:sz="0" w:space="0" w:color="auto"/>
            <w:left w:val="none" w:sz="0" w:space="0" w:color="auto"/>
            <w:bottom w:val="none" w:sz="0" w:space="0" w:color="auto"/>
            <w:right w:val="none" w:sz="0" w:space="0" w:color="auto"/>
          </w:divBdr>
        </w:div>
        <w:div w:id="952781360">
          <w:marLeft w:val="0pt"/>
          <w:marRight w:val="0pt"/>
          <w:marTop w:val="0pt"/>
          <w:marBottom w:val="12pt"/>
          <w:divBdr>
            <w:top w:val="none" w:sz="0" w:space="0" w:color="auto"/>
            <w:left w:val="none" w:sz="0" w:space="0" w:color="auto"/>
            <w:bottom w:val="none" w:sz="0" w:space="0" w:color="auto"/>
            <w:right w:val="none" w:sz="0" w:space="0" w:color="auto"/>
          </w:divBdr>
        </w:div>
        <w:div w:id="1097024700">
          <w:marLeft w:val="0pt"/>
          <w:marRight w:val="0pt"/>
          <w:marTop w:val="0pt"/>
          <w:marBottom w:val="12pt"/>
          <w:divBdr>
            <w:top w:val="none" w:sz="0" w:space="0" w:color="auto"/>
            <w:left w:val="none" w:sz="0" w:space="0" w:color="auto"/>
            <w:bottom w:val="none" w:sz="0" w:space="0" w:color="auto"/>
            <w:right w:val="none" w:sz="0" w:space="0" w:color="auto"/>
          </w:divBdr>
        </w:div>
        <w:div w:id="2011905618">
          <w:marLeft w:val="0pt"/>
          <w:marRight w:val="0pt"/>
          <w:marTop w:val="0pt"/>
          <w:marBottom w:val="12pt"/>
          <w:divBdr>
            <w:top w:val="none" w:sz="0" w:space="0" w:color="auto"/>
            <w:left w:val="none" w:sz="0" w:space="0" w:color="auto"/>
            <w:bottom w:val="none" w:sz="0" w:space="0" w:color="auto"/>
            <w:right w:val="none" w:sz="0" w:space="0" w:color="auto"/>
          </w:divBdr>
        </w:div>
        <w:div w:id="1606959347">
          <w:marLeft w:val="0pt"/>
          <w:marRight w:val="0pt"/>
          <w:marTop w:val="0pt"/>
          <w:marBottom w:val="12pt"/>
          <w:divBdr>
            <w:top w:val="none" w:sz="0" w:space="0" w:color="auto"/>
            <w:left w:val="none" w:sz="0" w:space="0" w:color="auto"/>
            <w:bottom w:val="none" w:sz="0" w:space="0" w:color="auto"/>
            <w:right w:val="none" w:sz="0" w:space="0" w:color="auto"/>
          </w:divBdr>
        </w:div>
      </w:divsChild>
    </w:div>
    <w:div w:id="1502039088">
      <w:bodyDiv w:val="1"/>
      <w:marLeft w:val="0pt"/>
      <w:marRight w:val="0pt"/>
      <w:marTop w:val="0pt"/>
      <w:marBottom w:val="0pt"/>
      <w:divBdr>
        <w:top w:val="none" w:sz="0" w:space="0" w:color="auto"/>
        <w:left w:val="none" w:sz="0" w:space="0" w:color="auto"/>
        <w:bottom w:val="none" w:sz="0" w:space="0" w:color="auto"/>
        <w:right w:val="none" w:sz="0" w:space="0" w:color="auto"/>
      </w:divBdr>
    </w:div>
    <w:div w:id="1517965889">
      <w:bodyDiv w:val="1"/>
      <w:marLeft w:val="0pt"/>
      <w:marRight w:val="0pt"/>
      <w:marTop w:val="0pt"/>
      <w:marBottom w:val="0pt"/>
      <w:divBdr>
        <w:top w:val="none" w:sz="0" w:space="0" w:color="auto"/>
        <w:left w:val="none" w:sz="0" w:space="0" w:color="auto"/>
        <w:bottom w:val="none" w:sz="0" w:space="0" w:color="auto"/>
        <w:right w:val="none" w:sz="0" w:space="0" w:color="auto"/>
      </w:divBdr>
    </w:div>
    <w:div w:id="1527013654">
      <w:bodyDiv w:val="1"/>
      <w:marLeft w:val="0pt"/>
      <w:marRight w:val="0pt"/>
      <w:marTop w:val="0pt"/>
      <w:marBottom w:val="0pt"/>
      <w:divBdr>
        <w:top w:val="none" w:sz="0" w:space="0" w:color="auto"/>
        <w:left w:val="none" w:sz="0" w:space="0" w:color="auto"/>
        <w:bottom w:val="none" w:sz="0" w:space="0" w:color="auto"/>
        <w:right w:val="none" w:sz="0" w:space="0" w:color="auto"/>
      </w:divBdr>
    </w:div>
    <w:div w:id="1532108164">
      <w:bodyDiv w:val="1"/>
      <w:marLeft w:val="0pt"/>
      <w:marRight w:val="0pt"/>
      <w:marTop w:val="0pt"/>
      <w:marBottom w:val="0pt"/>
      <w:divBdr>
        <w:top w:val="none" w:sz="0" w:space="0" w:color="auto"/>
        <w:left w:val="none" w:sz="0" w:space="0" w:color="auto"/>
        <w:bottom w:val="none" w:sz="0" w:space="0" w:color="auto"/>
        <w:right w:val="none" w:sz="0" w:space="0" w:color="auto"/>
      </w:divBdr>
    </w:div>
    <w:div w:id="1540776400">
      <w:bodyDiv w:val="1"/>
      <w:marLeft w:val="0pt"/>
      <w:marRight w:val="0pt"/>
      <w:marTop w:val="0pt"/>
      <w:marBottom w:val="0pt"/>
      <w:divBdr>
        <w:top w:val="none" w:sz="0" w:space="0" w:color="auto"/>
        <w:left w:val="none" w:sz="0" w:space="0" w:color="auto"/>
        <w:bottom w:val="none" w:sz="0" w:space="0" w:color="auto"/>
        <w:right w:val="none" w:sz="0" w:space="0" w:color="auto"/>
      </w:divBdr>
    </w:div>
    <w:div w:id="1552839614">
      <w:bodyDiv w:val="1"/>
      <w:marLeft w:val="0pt"/>
      <w:marRight w:val="0pt"/>
      <w:marTop w:val="0pt"/>
      <w:marBottom w:val="0pt"/>
      <w:divBdr>
        <w:top w:val="none" w:sz="0" w:space="0" w:color="auto"/>
        <w:left w:val="none" w:sz="0" w:space="0" w:color="auto"/>
        <w:bottom w:val="none" w:sz="0" w:space="0" w:color="auto"/>
        <w:right w:val="none" w:sz="0" w:space="0" w:color="auto"/>
      </w:divBdr>
    </w:div>
    <w:div w:id="1574005644">
      <w:bodyDiv w:val="1"/>
      <w:marLeft w:val="0pt"/>
      <w:marRight w:val="0pt"/>
      <w:marTop w:val="0pt"/>
      <w:marBottom w:val="0pt"/>
      <w:divBdr>
        <w:top w:val="none" w:sz="0" w:space="0" w:color="auto"/>
        <w:left w:val="none" w:sz="0" w:space="0" w:color="auto"/>
        <w:bottom w:val="none" w:sz="0" w:space="0" w:color="auto"/>
        <w:right w:val="none" w:sz="0" w:space="0" w:color="auto"/>
      </w:divBdr>
    </w:div>
    <w:div w:id="1587575632">
      <w:bodyDiv w:val="1"/>
      <w:marLeft w:val="0pt"/>
      <w:marRight w:val="0pt"/>
      <w:marTop w:val="0pt"/>
      <w:marBottom w:val="0pt"/>
      <w:divBdr>
        <w:top w:val="none" w:sz="0" w:space="0" w:color="auto"/>
        <w:left w:val="none" w:sz="0" w:space="0" w:color="auto"/>
        <w:bottom w:val="none" w:sz="0" w:space="0" w:color="auto"/>
        <w:right w:val="none" w:sz="0" w:space="0" w:color="auto"/>
      </w:divBdr>
    </w:div>
    <w:div w:id="1590000323">
      <w:bodyDiv w:val="1"/>
      <w:marLeft w:val="0pt"/>
      <w:marRight w:val="0pt"/>
      <w:marTop w:val="0pt"/>
      <w:marBottom w:val="0pt"/>
      <w:divBdr>
        <w:top w:val="none" w:sz="0" w:space="0" w:color="auto"/>
        <w:left w:val="none" w:sz="0" w:space="0" w:color="auto"/>
        <w:bottom w:val="none" w:sz="0" w:space="0" w:color="auto"/>
        <w:right w:val="none" w:sz="0" w:space="0" w:color="auto"/>
      </w:divBdr>
    </w:div>
    <w:div w:id="1660379320">
      <w:bodyDiv w:val="1"/>
      <w:marLeft w:val="0pt"/>
      <w:marRight w:val="0pt"/>
      <w:marTop w:val="0pt"/>
      <w:marBottom w:val="0pt"/>
      <w:divBdr>
        <w:top w:val="none" w:sz="0" w:space="0" w:color="auto"/>
        <w:left w:val="none" w:sz="0" w:space="0" w:color="auto"/>
        <w:bottom w:val="none" w:sz="0" w:space="0" w:color="auto"/>
        <w:right w:val="none" w:sz="0" w:space="0" w:color="auto"/>
      </w:divBdr>
    </w:div>
    <w:div w:id="1681737003">
      <w:bodyDiv w:val="1"/>
      <w:marLeft w:val="0pt"/>
      <w:marRight w:val="0pt"/>
      <w:marTop w:val="0pt"/>
      <w:marBottom w:val="0pt"/>
      <w:divBdr>
        <w:top w:val="none" w:sz="0" w:space="0" w:color="auto"/>
        <w:left w:val="none" w:sz="0" w:space="0" w:color="auto"/>
        <w:bottom w:val="none" w:sz="0" w:space="0" w:color="auto"/>
        <w:right w:val="none" w:sz="0" w:space="0" w:color="auto"/>
      </w:divBdr>
    </w:div>
    <w:div w:id="1705863229">
      <w:bodyDiv w:val="1"/>
      <w:marLeft w:val="0pt"/>
      <w:marRight w:val="0pt"/>
      <w:marTop w:val="0pt"/>
      <w:marBottom w:val="0pt"/>
      <w:divBdr>
        <w:top w:val="none" w:sz="0" w:space="0" w:color="auto"/>
        <w:left w:val="none" w:sz="0" w:space="0" w:color="auto"/>
        <w:bottom w:val="none" w:sz="0" w:space="0" w:color="auto"/>
        <w:right w:val="none" w:sz="0" w:space="0" w:color="auto"/>
      </w:divBdr>
    </w:div>
    <w:div w:id="1794667577">
      <w:bodyDiv w:val="1"/>
      <w:marLeft w:val="0pt"/>
      <w:marRight w:val="0pt"/>
      <w:marTop w:val="0pt"/>
      <w:marBottom w:val="0pt"/>
      <w:divBdr>
        <w:top w:val="none" w:sz="0" w:space="0" w:color="auto"/>
        <w:left w:val="none" w:sz="0" w:space="0" w:color="auto"/>
        <w:bottom w:val="none" w:sz="0" w:space="0" w:color="auto"/>
        <w:right w:val="none" w:sz="0" w:space="0" w:color="auto"/>
      </w:divBdr>
    </w:div>
    <w:div w:id="1856455378">
      <w:bodyDiv w:val="1"/>
      <w:marLeft w:val="0pt"/>
      <w:marRight w:val="0pt"/>
      <w:marTop w:val="0pt"/>
      <w:marBottom w:val="0pt"/>
      <w:divBdr>
        <w:top w:val="none" w:sz="0" w:space="0" w:color="auto"/>
        <w:left w:val="none" w:sz="0" w:space="0" w:color="auto"/>
        <w:bottom w:val="none" w:sz="0" w:space="0" w:color="auto"/>
        <w:right w:val="none" w:sz="0" w:space="0" w:color="auto"/>
      </w:divBdr>
    </w:div>
    <w:div w:id="1872185033">
      <w:bodyDiv w:val="1"/>
      <w:marLeft w:val="0pt"/>
      <w:marRight w:val="0pt"/>
      <w:marTop w:val="0pt"/>
      <w:marBottom w:val="0pt"/>
      <w:divBdr>
        <w:top w:val="none" w:sz="0" w:space="0" w:color="auto"/>
        <w:left w:val="none" w:sz="0" w:space="0" w:color="auto"/>
        <w:bottom w:val="none" w:sz="0" w:space="0" w:color="auto"/>
        <w:right w:val="none" w:sz="0" w:space="0" w:color="auto"/>
      </w:divBdr>
    </w:div>
    <w:div w:id="1875387211">
      <w:bodyDiv w:val="1"/>
      <w:marLeft w:val="0pt"/>
      <w:marRight w:val="0pt"/>
      <w:marTop w:val="0pt"/>
      <w:marBottom w:val="0pt"/>
      <w:divBdr>
        <w:top w:val="none" w:sz="0" w:space="0" w:color="auto"/>
        <w:left w:val="none" w:sz="0" w:space="0" w:color="auto"/>
        <w:bottom w:val="none" w:sz="0" w:space="0" w:color="auto"/>
        <w:right w:val="none" w:sz="0" w:space="0" w:color="auto"/>
      </w:divBdr>
    </w:div>
    <w:div w:id="1917670315">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418331102">
          <w:marLeft w:val="0pt"/>
          <w:marRight w:val="0pt"/>
          <w:marTop w:val="0pt"/>
          <w:marBottom w:val="0pt"/>
          <w:divBdr>
            <w:top w:val="none" w:sz="0" w:space="0" w:color="auto"/>
            <w:left w:val="none" w:sz="0" w:space="0" w:color="auto"/>
            <w:bottom w:val="none" w:sz="0" w:space="0" w:color="auto"/>
            <w:right w:val="none" w:sz="0" w:space="0" w:color="auto"/>
          </w:divBdr>
        </w:div>
      </w:divsChild>
    </w:div>
    <w:div w:id="1980987180">
      <w:bodyDiv w:val="1"/>
      <w:marLeft w:val="0pt"/>
      <w:marRight w:val="0pt"/>
      <w:marTop w:val="0pt"/>
      <w:marBottom w:val="0pt"/>
      <w:divBdr>
        <w:top w:val="none" w:sz="0" w:space="0" w:color="auto"/>
        <w:left w:val="none" w:sz="0" w:space="0" w:color="auto"/>
        <w:bottom w:val="none" w:sz="0" w:space="0" w:color="auto"/>
        <w:right w:val="none" w:sz="0" w:space="0" w:color="auto"/>
      </w:divBdr>
    </w:div>
    <w:div w:id="2052413714">
      <w:bodyDiv w:val="1"/>
      <w:marLeft w:val="0pt"/>
      <w:marRight w:val="0pt"/>
      <w:marTop w:val="0pt"/>
      <w:marBottom w:val="0pt"/>
      <w:divBdr>
        <w:top w:val="none" w:sz="0" w:space="0" w:color="auto"/>
        <w:left w:val="none" w:sz="0" w:space="0" w:color="auto"/>
        <w:bottom w:val="none" w:sz="0" w:space="0" w:color="auto"/>
        <w:right w:val="none" w:sz="0" w:space="0" w:color="auto"/>
      </w:divBdr>
    </w:div>
    <w:div w:id="2060086162">
      <w:bodyDiv w:val="1"/>
      <w:marLeft w:val="0pt"/>
      <w:marRight w:val="0pt"/>
      <w:marTop w:val="0pt"/>
      <w:marBottom w:val="0pt"/>
      <w:divBdr>
        <w:top w:val="none" w:sz="0" w:space="0" w:color="auto"/>
        <w:left w:val="none" w:sz="0" w:space="0" w:color="auto"/>
        <w:bottom w:val="none" w:sz="0" w:space="0" w:color="auto"/>
        <w:right w:val="none" w:sz="0" w:space="0" w:color="auto"/>
      </w:divBdr>
    </w:div>
    <w:div w:id="206775192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75156615">
          <w:marLeft w:val="0pt"/>
          <w:marRight w:val="0pt"/>
          <w:marTop w:val="0pt"/>
          <w:marBottom w:val="12pt"/>
          <w:divBdr>
            <w:top w:val="none" w:sz="0" w:space="0" w:color="auto"/>
            <w:left w:val="none" w:sz="0" w:space="0" w:color="auto"/>
            <w:bottom w:val="none" w:sz="0" w:space="0" w:color="auto"/>
            <w:right w:val="none" w:sz="0" w:space="0" w:color="auto"/>
          </w:divBdr>
        </w:div>
      </w:divsChild>
    </w:div>
    <w:div w:id="2146658611">
      <w:bodyDiv w:val="1"/>
      <w:marLeft w:val="0pt"/>
      <w:marRight w:val="0pt"/>
      <w:marTop w:val="0pt"/>
      <w:marBottom w:val="0pt"/>
      <w:divBdr>
        <w:top w:val="none" w:sz="0" w:space="0" w:color="auto"/>
        <w:left w:val="none" w:sz="0" w:space="0" w:color="auto"/>
        <w:bottom w:val="none" w:sz="0" w:space="0" w:color="auto"/>
        <w:right w:val="none" w:sz="0" w:space="0" w:color="auto"/>
      </w:divBdr>
    </w:div>
    <w:div w:id="2146968104">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purl.oclc.org/ooxml/officeDocument/relationships/footer" Target="footer1.xml"/><Relationship Id="rId18" Type="http://purl.oclc.org/ooxml/officeDocument/relationships/image" Target="media/image4.png"/><Relationship Id="rId26" Type="http://purl.oclc.org/ooxml/officeDocument/relationships/image" Target="media/image10.png"/><Relationship Id="rId39" Type="http://purl.oclc.org/ooxml/officeDocument/relationships/hyperlink" Target="https://learn.microsoft.com/en-us/entra/identity/conditional-access/overview" TargetMode="External"/><Relationship Id="rId21" Type="http://purl.oclc.org/ooxml/officeDocument/relationships/image" Target="media/image7.jpeg"/><Relationship Id="rId34" Type="http://purl.oclc.org/ooxml/officeDocument/relationships/image" Target="media/image18.png"/><Relationship Id="rId42" Type="http://purl.oclc.org/ooxml/officeDocument/relationships/hyperlink" Target="https://openai.com/research/dall-e-3-system-card" TargetMode="External"/><Relationship Id="rId7" Type="http://purl.oclc.org/ooxml/officeDocument/relationships/endnotes" Target="endnotes.xml"/><Relationship Id="rId2" Type="http://purl.oclc.org/ooxml/officeDocument/relationships/numbering" Target="numbering.xml"/><Relationship Id="rId16" Type="http://purl.oclc.org/ooxml/officeDocument/relationships/hyperlink" Target="https://www.ksolves.com/blog/artificial-intelligence/mitigating-generative-ai-security-risks-strategies-for-organizational-resilience" TargetMode="External"/><Relationship Id="rId29" Type="http://purl.oclc.org/ooxml/officeDocument/relationships/image" Target="media/image13.png"/><Relationship Id="rId1" Type="http://purl.oclc.org/ooxml/officeDocument/relationships/customXml" Target="../customXml/item1.xml"/><Relationship Id="rId6" Type="http://purl.oclc.org/ooxml/officeDocument/relationships/footnotes" Target="footnotes.xml"/><Relationship Id="rId11" Type="http://schemas.microsoft.com/office/2018/08/relationships/commentsExtensible" Target="commentsExtensible.xml"/><Relationship Id="rId24" Type="http://purl.oclc.org/ooxml/officeDocument/relationships/image" Target="media/image8.png"/><Relationship Id="rId32" Type="http://purl.oclc.org/ooxml/officeDocument/relationships/image" Target="media/image16.png"/><Relationship Id="rId37" Type="http://purl.oclc.org/ooxml/officeDocument/relationships/hyperlink" Target="https://learn.microsoft.com/en-us/azure/cloud-adoption-framework/strategy/" TargetMode="External"/><Relationship Id="rId40" Type="http://purl.oclc.org/ooxml/officeDocument/relationships/hyperlink" Target="https://www.ifsecglobal.com/cyber-security/a-guide-to-the-nist-cyber-security-framework/" TargetMode="External"/><Relationship Id="rId45" Type="http://purl.oclc.org/ooxml/officeDocument/relationships/theme" Target="theme/theme1.xml"/><Relationship Id="rId5" Type="http://purl.oclc.org/ooxml/officeDocument/relationships/webSettings" Target="webSettings.xml"/><Relationship Id="rId15" Type="http://purl.oclc.org/ooxml/officeDocument/relationships/image" Target="media/image2.jpeg"/><Relationship Id="rId23" Type="http://purl.oclc.org/ooxml/officeDocument/relationships/hyperlink" Target="https://csrc.nist.gov/publications/detail/sp/800-53/rev-5/final" TargetMode="External"/><Relationship Id="rId28" Type="http://purl.oclc.org/ooxml/officeDocument/relationships/image" Target="media/image12.png"/><Relationship Id="rId36" Type="http://purl.oclc.org/ooxml/officeDocument/relationships/hyperlink" Target="https://learn.microsoft.com/en-us/azure/cloud-adoption-framework/secure/security-teams-roles" TargetMode="External"/><Relationship Id="rId10" Type="http://schemas.microsoft.com/office/2016/09/relationships/commentsIds" Target="commentsIds.xml"/><Relationship Id="rId19" Type="http://purl.oclc.org/ooxml/officeDocument/relationships/image" Target="media/image5.png"/><Relationship Id="rId31" Type="http://purl.oclc.org/ooxml/officeDocument/relationships/image" Target="media/image15.png"/><Relationship Id="rId44" Type="http://schemas.microsoft.com/office/2011/relationships/people" Target="people.xml"/><Relationship Id="rId4" Type="http://purl.oclc.org/ooxml/officeDocument/relationships/settings" Target="settings.xml"/><Relationship Id="rId9" Type="http://schemas.microsoft.com/office/2011/relationships/commentsExtended" Target="commentsExtended.xml"/><Relationship Id="rId14" Type="http://purl.oclc.org/ooxml/officeDocument/relationships/image" Target="media/image1.png"/><Relationship Id="rId22" Type="http://purl.oclc.org/ooxml/officeDocument/relationships/hyperlink" Target="https://www.oecd.org/going-digital/ai/principles/" TargetMode="External"/><Relationship Id="rId27" Type="http://purl.oclc.org/ooxml/officeDocument/relationships/image" Target="media/image11.png"/><Relationship Id="rId30" Type="http://purl.oclc.org/ooxml/officeDocument/relationships/image" Target="media/image14.png"/><Relationship Id="rId35" Type="http://purl.oclc.org/ooxml/officeDocument/relationships/hyperlink" Target="https://owasp.org/www-project-dsomm/" TargetMode="External"/><Relationship Id="rId43" Type="http://purl.oclc.org/ooxml/officeDocument/relationships/fontTable" Target="fontTable.xml"/><Relationship Id="rId8" Type="http://purl.oclc.org/ooxml/officeDocument/relationships/comments" Target="comments.xml"/><Relationship Id="rId3" Type="http://purl.oclc.org/ooxml/officeDocument/relationships/styles" Target="styles.xml"/><Relationship Id="rId12" Type="http://purl.oclc.org/ooxml/officeDocument/relationships/header" Target="header1.xml"/><Relationship Id="rId17" Type="http://purl.oclc.org/ooxml/officeDocument/relationships/image" Target="media/image3.jpeg"/><Relationship Id="rId25" Type="http://purl.oclc.org/ooxml/officeDocument/relationships/image" Target="media/image9.png"/><Relationship Id="rId33" Type="http://purl.oclc.org/ooxml/officeDocument/relationships/image" Target="media/image17.png"/><Relationship Id="rId38" Type="http://purl.oclc.org/ooxml/officeDocument/relationships/hyperlink" Target="https://docs.microsoft.com/en-us/azure/active-directory/privileged-identity-management/" TargetMode="External"/><Relationship Id="rId20" Type="http://purl.oclc.org/ooxml/officeDocument/relationships/image" Target="media/image6.png"/><Relationship Id="rId41" Type="http://purl.oclc.org/ooxml/officeDocument/relationships/hyperlink" Target="https://learn.microsoft.com/en-us/security/zero-trust/" TargetMode="Externa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3501</TotalTime>
  <Pages>22</Pages>
  <Words>7432</Words>
  <Characters>42364</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49697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Daunte Barchan (2412948)</cp:lastModifiedBy>
  <cp:revision>4</cp:revision>
  <dcterms:created xsi:type="dcterms:W3CDTF">2026-03-03T16:02:00Z</dcterms:created>
  <dcterms:modified xsi:type="dcterms:W3CDTF">2026-03-12T11:42:00Z</dcterms:modified>
</cp:coreProperties>
</file>