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90F" w:rsidRDefault="00AD090F" w:rsidP="00B12029">
      <w:pPr>
        <w:jc w:val="center"/>
        <w:rPr>
          <w:b/>
          <w:sz w:val="48"/>
          <w:szCs w:val="48"/>
        </w:rPr>
      </w:pPr>
    </w:p>
    <w:p w:rsidR="00AD090F" w:rsidRDefault="00AD090F" w:rsidP="00B12029">
      <w:pPr>
        <w:jc w:val="center"/>
        <w:rPr>
          <w:b/>
          <w:sz w:val="48"/>
          <w:szCs w:val="48"/>
        </w:rPr>
      </w:pPr>
    </w:p>
    <w:p w:rsidR="00AD090F" w:rsidRDefault="00AD090F" w:rsidP="00B12029">
      <w:pPr>
        <w:jc w:val="center"/>
        <w:rPr>
          <w:b/>
          <w:sz w:val="48"/>
          <w:szCs w:val="48"/>
        </w:rPr>
      </w:pPr>
    </w:p>
    <w:p w:rsidR="00AD090F" w:rsidRDefault="00AD090F" w:rsidP="00B12029">
      <w:pPr>
        <w:jc w:val="center"/>
        <w:rPr>
          <w:b/>
          <w:sz w:val="48"/>
          <w:szCs w:val="48"/>
        </w:rPr>
      </w:pPr>
    </w:p>
    <w:p w:rsidR="00B12029" w:rsidRDefault="00B12029" w:rsidP="00B12029">
      <w:pPr>
        <w:jc w:val="center"/>
        <w:rPr>
          <w:b/>
          <w:sz w:val="48"/>
          <w:szCs w:val="48"/>
        </w:rPr>
      </w:pPr>
      <w:r>
        <w:rPr>
          <w:b/>
          <w:sz w:val="48"/>
          <w:szCs w:val="48"/>
        </w:rPr>
        <w:t>Deborah Ann Lloyd</w:t>
      </w:r>
    </w:p>
    <w:p w:rsidR="00B12029" w:rsidRDefault="00B12029" w:rsidP="00B12029">
      <w:pPr>
        <w:jc w:val="center"/>
        <w:rPr>
          <w:b/>
          <w:sz w:val="48"/>
          <w:szCs w:val="48"/>
        </w:rPr>
      </w:pPr>
      <w:r>
        <w:rPr>
          <w:b/>
          <w:sz w:val="48"/>
          <w:szCs w:val="48"/>
        </w:rPr>
        <w:t>1803701</w:t>
      </w:r>
    </w:p>
    <w:p w:rsidR="008B3910" w:rsidRDefault="008B3910" w:rsidP="00B12029">
      <w:pPr>
        <w:jc w:val="center"/>
        <w:rPr>
          <w:b/>
          <w:sz w:val="48"/>
          <w:szCs w:val="48"/>
        </w:rPr>
      </w:pPr>
      <w:r>
        <w:rPr>
          <w:b/>
          <w:sz w:val="48"/>
          <w:szCs w:val="48"/>
        </w:rPr>
        <w:t>Effective Teaching</w:t>
      </w:r>
      <w:r w:rsidR="00872B32">
        <w:rPr>
          <w:b/>
          <w:sz w:val="48"/>
          <w:szCs w:val="48"/>
        </w:rPr>
        <w:t>,</w:t>
      </w:r>
      <w:r>
        <w:rPr>
          <w:b/>
          <w:sz w:val="48"/>
          <w:szCs w:val="48"/>
        </w:rPr>
        <w:t xml:space="preserve"> Learning and Assessment</w:t>
      </w:r>
    </w:p>
    <w:p w:rsidR="00B12029" w:rsidRDefault="00B12029" w:rsidP="00B12029">
      <w:pPr>
        <w:jc w:val="center"/>
        <w:rPr>
          <w:b/>
          <w:sz w:val="48"/>
          <w:szCs w:val="48"/>
        </w:rPr>
      </w:pPr>
      <w:r>
        <w:rPr>
          <w:b/>
          <w:sz w:val="48"/>
          <w:szCs w:val="48"/>
        </w:rPr>
        <w:t>M6X0226</w:t>
      </w:r>
      <w:r w:rsidR="008B3910">
        <w:rPr>
          <w:b/>
          <w:sz w:val="48"/>
          <w:szCs w:val="48"/>
        </w:rPr>
        <w:t>9</w:t>
      </w:r>
    </w:p>
    <w:p w:rsidR="00B12029" w:rsidRDefault="00B12029" w:rsidP="00B12029">
      <w:pPr>
        <w:jc w:val="center"/>
        <w:rPr>
          <w:b/>
          <w:sz w:val="48"/>
          <w:szCs w:val="48"/>
        </w:rPr>
      </w:pPr>
      <w:r>
        <w:rPr>
          <w:b/>
          <w:sz w:val="48"/>
          <w:szCs w:val="48"/>
        </w:rPr>
        <w:t>Micro-Teach Reflection</w:t>
      </w:r>
      <w:r w:rsidR="008B3910">
        <w:rPr>
          <w:b/>
          <w:sz w:val="48"/>
          <w:szCs w:val="48"/>
        </w:rPr>
        <w:t xml:space="preserve"> 2</w:t>
      </w:r>
    </w:p>
    <w:p w:rsidR="00B12029" w:rsidRDefault="00B12029" w:rsidP="00B12029">
      <w:pPr>
        <w:jc w:val="center"/>
        <w:rPr>
          <w:b/>
          <w:sz w:val="48"/>
          <w:szCs w:val="48"/>
        </w:rPr>
      </w:pPr>
      <w:bookmarkStart w:id="0" w:name="_GoBack"/>
      <w:bookmarkEnd w:id="0"/>
      <w:r>
        <w:rPr>
          <w:b/>
          <w:sz w:val="48"/>
          <w:szCs w:val="48"/>
        </w:rPr>
        <w:t xml:space="preserve">Tutor - Caroline </w:t>
      </w:r>
      <w:proofErr w:type="spellStart"/>
      <w:r>
        <w:rPr>
          <w:b/>
          <w:sz w:val="48"/>
          <w:szCs w:val="48"/>
        </w:rPr>
        <w:t>Usei</w:t>
      </w:r>
      <w:proofErr w:type="spellEnd"/>
    </w:p>
    <w:p w:rsidR="00B12029" w:rsidRDefault="00B12029" w:rsidP="00B12029">
      <w:pPr>
        <w:jc w:val="center"/>
        <w:rPr>
          <w:b/>
          <w:sz w:val="48"/>
          <w:szCs w:val="48"/>
        </w:rPr>
      </w:pPr>
      <w:r>
        <w:rPr>
          <w:b/>
          <w:sz w:val="48"/>
          <w:szCs w:val="48"/>
        </w:rPr>
        <w:t>Word Count -</w:t>
      </w:r>
      <w:r w:rsidR="008B3910">
        <w:rPr>
          <w:b/>
          <w:sz w:val="48"/>
          <w:szCs w:val="48"/>
        </w:rPr>
        <w:t xml:space="preserve"> 2578</w:t>
      </w:r>
    </w:p>
    <w:p w:rsidR="00B12029" w:rsidRDefault="00B12029" w:rsidP="00B12029">
      <w:pPr>
        <w:jc w:val="center"/>
        <w:rPr>
          <w:b/>
          <w:sz w:val="48"/>
          <w:szCs w:val="48"/>
        </w:rPr>
      </w:pPr>
      <w:r>
        <w:rPr>
          <w:b/>
          <w:sz w:val="48"/>
          <w:szCs w:val="48"/>
        </w:rPr>
        <w:t xml:space="preserve">Submission Date – </w:t>
      </w:r>
      <w:r w:rsidR="008B3910">
        <w:rPr>
          <w:b/>
          <w:sz w:val="48"/>
          <w:szCs w:val="48"/>
        </w:rPr>
        <w:t>16 November</w:t>
      </w:r>
      <w:r>
        <w:rPr>
          <w:b/>
          <w:sz w:val="48"/>
          <w:szCs w:val="48"/>
        </w:rPr>
        <w:t xml:space="preserve"> 2018</w:t>
      </w:r>
    </w:p>
    <w:p w:rsidR="008B3910" w:rsidRDefault="008B3910" w:rsidP="00B12029">
      <w:pPr>
        <w:jc w:val="center"/>
        <w:rPr>
          <w:b/>
          <w:sz w:val="48"/>
          <w:szCs w:val="48"/>
        </w:rPr>
      </w:pPr>
    </w:p>
    <w:p w:rsidR="00B12029" w:rsidRDefault="00B12029" w:rsidP="00B12029"/>
    <w:p w:rsidR="00B12029" w:rsidRDefault="00B12029" w:rsidP="00B12029"/>
    <w:p w:rsidR="00B12029" w:rsidRDefault="00B12029" w:rsidP="00B12029"/>
    <w:p w:rsidR="00B12029" w:rsidRDefault="00B12029"/>
    <w:p w:rsidR="00B12029" w:rsidRDefault="00B12029"/>
    <w:p w:rsidR="00B12029" w:rsidRDefault="00B12029"/>
    <w:p w:rsidR="00B12029" w:rsidRDefault="00B12029"/>
    <w:p w:rsidR="00B12029" w:rsidRDefault="00B12029"/>
    <w:p w:rsidR="00B12029" w:rsidRDefault="00B12029">
      <w:pPr>
        <w:rPr>
          <w:b/>
          <w:sz w:val="28"/>
          <w:szCs w:val="28"/>
        </w:rPr>
      </w:pPr>
    </w:p>
    <w:p w:rsidR="00AD090F" w:rsidRDefault="00AD090F">
      <w:pPr>
        <w:rPr>
          <w:b/>
          <w:sz w:val="28"/>
          <w:szCs w:val="28"/>
        </w:rPr>
      </w:pPr>
    </w:p>
    <w:p w:rsidR="00AD090F" w:rsidRPr="008B3910" w:rsidRDefault="00AD090F">
      <w:pPr>
        <w:rPr>
          <w:b/>
          <w:sz w:val="28"/>
          <w:szCs w:val="28"/>
        </w:rPr>
      </w:pPr>
    </w:p>
    <w:p w:rsidR="00A71B6E" w:rsidRPr="008B3910" w:rsidRDefault="00A71B6E" w:rsidP="008B3910">
      <w:pPr>
        <w:jc w:val="center"/>
        <w:rPr>
          <w:b/>
          <w:sz w:val="28"/>
          <w:szCs w:val="28"/>
        </w:rPr>
      </w:pPr>
      <w:r w:rsidRPr="008B3910">
        <w:rPr>
          <w:b/>
          <w:sz w:val="28"/>
          <w:szCs w:val="28"/>
        </w:rPr>
        <w:t>Introduction</w:t>
      </w:r>
    </w:p>
    <w:p w:rsidR="006A5FCC" w:rsidRDefault="00987AB3">
      <w:r>
        <w:t xml:space="preserve">The following paper is a reflection and critical evaluation of my recent micro-teach session and the effectiveness of the contemporary teaching methods utilised during the lesson. </w:t>
      </w:r>
      <w:r w:rsidR="008A5194">
        <w:t>It will also discuss how cross-cutting themes embedded into the lesson impacted on the learning.  The paper will begin with an academic critique obtained from various journal articles.  The paper will then move on to reflect and evaluate the micro-teach session.  This will be based on the work of Gibbs (1988) (</w:t>
      </w:r>
      <w:r w:rsidR="004B5C57">
        <w:t>a</w:t>
      </w:r>
      <w:r w:rsidR="008A5194">
        <w:t>ppendix 1).  The paper wil</w:t>
      </w:r>
      <w:r w:rsidR="004B5C57">
        <w:t>l rea</w:t>
      </w:r>
      <w:r w:rsidR="00186A7C">
        <w:t>d</w:t>
      </w:r>
      <w:r w:rsidR="008A5194">
        <w:t xml:space="preserve"> systematic</w:t>
      </w:r>
      <w:r w:rsidR="004B5C57">
        <w:t>ally</w:t>
      </w:r>
      <w:r w:rsidR="008A5194">
        <w:t xml:space="preserve"> </w:t>
      </w:r>
      <w:r w:rsidR="004B5C57">
        <w:t>before con</w:t>
      </w:r>
      <w:r w:rsidR="00186A7C">
        <w:t>c</w:t>
      </w:r>
      <w:r w:rsidR="004B5C57">
        <w:t>luding and</w:t>
      </w:r>
      <w:r w:rsidR="008A5194">
        <w:t xml:space="preserve"> offer</w:t>
      </w:r>
      <w:r w:rsidR="00B8684F">
        <w:t>ing</w:t>
      </w:r>
      <w:r w:rsidR="008A5194">
        <w:t xml:space="preserve"> recommendations. Professional standards relating to the micro-teach session will be included where appropriate</w:t>
      </w:r>
      <w:r w:rsidR="004B5C57">
        <w:t>.</w:t>
      </w:r>
    </w:p>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AD090F" w:rsidRDefault="00AD090F"/>
    <w:p w:rsidR="008B3910" w:rsidRDefault="008B3910"/>
    <w:p w:rsidR="008B3910" w:rsidRDefault="008B3910"/>
    <w:p w:rsidR="008B3910" w:rsidRDefault="008B3910"/>
    <w:p w:rsidR="008B3910" w:rsidRDefault="008B3910"/>
    <w:p w:rsidR="000E7B23" w:rsidRDefault="000E7B23">
      <w:r>
        <w:lastRenderedPageBreak/>
        <w:t xml:space="preserve">For education to be sustainable it is recognised that pedagogy should be geared towards relativism as opposed to absolutism.  It is suggested that post compulsory learners need to be more prepared to compete in the outside world.  This can be achieved through active participation – a more learner-centred approach.  This approach allows for critical thinking, problem solving and independent thought.  Moreover, learner-centred approaches allow for more frequent feedback between teacher and learner thus </w:t>
      </w:r>
      <w:r w:rsidR="00B8684F">
        <w:t>enabling</w:t>
      </w:r>
      <w:r>
        <w:t xml:space="preserve"> the teacher to assess their progress more effectively (Myers and Beringer, 2010).  Spence and Helwig (2013) refer to this as epistemological.  In other words,</w:t>
      </w:r>
      <w:r w:rsidR="008B3910">
        <w:t xml:space="preserve"> as learners, </w:t>
      </w:r>
      <w:r>
        <w:t xml:space="preserve">how do we know this – how can we justify it? They argue that pedagogy should be learner centred from childhood – a more constructivist approach – learning by doing such as researching what is out there and building on existing knowledge. </w:t>
      </w:r>
      <w:r w:rsidR="008F45CB">
        <w:t xml:space="preserve"> </w:t>
      </w:r>
      <w:r>
        <w:t>This can be compared to Blooms Taxonomy (1956).  Bloom suggested that learning should not be about simply recalling information. Learners should be encouraged to compare and contrast the information – an i</w:t>
      </w:r>
      <w:r w:rsidRPr="00AE24DB">
        <w:t>nterpretivist approach</w:t>
      </w:r>
      <w:r>
        <w:t xml:space="preserve"> through their own research to provide them with a deeper understanding of the topic.  Similarly, </w:t>
      </w:r>
      <w:proofErr w:type="spellStart"/>
      <w:r>
        <w:t>Tassone</w:t>
      </w:r>
      <w:proofErr w:type="spellEnd"/>
      <w:r>
        <w:t xml:space="preserve"> </w:t>
      </w:r>
      <w:r w:rsidRPr="00915B74">
        <w:rPr>
          <w:i/>
        </w:rPr>
        <w:t>et al</w:t>
      </w:r>
      <w:r>
        <w:t xml:space="preserve"> (2018) explain that contemporary teachi</w:t>
      </w:r>
      <w:r w:rsidR="008B7E0B">
        <w:t xml:space="preserve">ng </w:t>
      </w:r>
      <w:r>
        <w:t>is the way forward especially in higher education: “…</w:t>
      </w:r>
      <w:r w:rsidRPr="00915B74">
        <w:t>contemporary education and curricula should reflect the same cross-boundary, engaged, ethical, critical, and overall more responsible inquiry and innovation processes that researchers and stakeholders are called upon to undertake in our current society</w:t>
      </w:r>
      <w:r>
        <w:t>”. In other words, t</w:t>
      </w:r>
      <w:r w:rsidRPr="00915B74">
        <w:t xml:space="preserve">eachers can no longer confine themselves to traditional teaching methods where learners </w:t>
      </w:r>
      <w:r>
        <w:t>passively</w:t>
      </w:r>
      <w:r w:rsidRPr="00915B74">
        <w:t xml:space="preserve"> acquire knowledge</w:t>
      </w:r>
      <w:r>
        <w:t>.  Teaching should be about encouraging the learners to take responsibility for their own learning through research and testing theories to prepare them for real life challenges outside the classroom.</w:t>
      </w:r>
      <w:r w:rsidR="008F45CB">
        <w:t xml:space="preserve"> </w:t>
      </w:r>
    </w:p>
    <w:p w:rsidR="00400C9F" w:rsidRDefault="00400C9F">
      <w:r>
        <w:t>Although</w:t>
      </w:r>
      <w:r w:rsidR="008B7E0B">
        <w:t xml:space="preserve"> this</w:t>
      </w:r>
      <w:r>
        <w:t xml:space="preserve"> </w:t>
      </w:r>
      <w:r w:rsidR="008B7E0B">
        <w:t>“</w:t>
      </w:r>
      <w:r>
        <w:t>formative assessment</w:t>
      </w:r>
      <w:r w:rsidR="008B3910">
        <w:t xml:space="preserve"> process</w:t>
      </w:r>
      <w:r w:rsidR="008B7E0B">
        <w:t>”</w:t>
      </w:r>
      <w:r>
        <w:t xml:space="preserve"> is far from being a new concept, it is still recognised as being “part and parcel of good teaching”.  This continual assessment process enables the teacher to identify the gaps in the skills of the individual learner during what is to be learned</w:t>
      </w:r>
      <w:r w:rsidR="006F4E04">
        <w:t xml:space="preserve">, </w:t>
      </w:r>
      <w:r>
        <w:t xml:space="preserve">for example, the topic or unit.  This allows for a continual evaluation of the teaching methods used (appendix </w:t>
      </w:r>
      <w:r w:rsidR="000E7B23">
        <w:t>2</w:t>
      </w:r>
      <w:r>
        <w:t>) as opposed to a summative assessment, where learning outcomes are evaluated after delivery (Roskos and Neuman, 2012).</w:t>
      </w:r>
      <w:r w:rsidR="00B47006">
        <w:t xml:space="preserve"> </w:t>
      </w:r>
      <w:r w:rsidR="008B3910">
        <w:t xml:space="preserve"> </w:t>
      </w:r>
      <w:r w:rsidR="00B47006">
        <w:t xml:space="preserve">In agreement, Lopez-Pastor </w:t>
      </w:r>
      <w:r w:rsidR="00B47006" w:rsidRPr="00571C5B">
        <w:rPr>
          <w:i/>
        </w:rPr>
        <w:t>et al</w:t>
      </w:r>
      <w:r w:rsidR="00B47006">
        <w:t xml:space="preserve"> (2013) describe formative assessment as “vital to the development of good teaching and learning practices”. </w:t>
      </w:r>
      <w:r w:rsidR="000E7B23">
        <w:t xml:space="preserve"> </w:t>
      </w:r>
      <w:r w:rsidR="00B47006">
        <w:t xml:space="preserve">Evidence suggests that learners received better results than those using summative assessments through final exams. Conversely, it is perceived by both teachers and learners that formative assessment methods increase workload compared to traditional final exams.  This has, however, been proven not to be the case for learners.  Findings suggest that formative assessments are not disproportionate as the workload is spread over the academic year. In contrast, even though the workload does not increase as much as it is perceived for teachers, formative assessment can be problematic. The points being, for this process to be effective, class sizes must be reduced to enable the teacher to have direct contact with individual learners and the design of the methods used must also be carefully considered. </w:t>
      </w:r>
    </w:p>
    <w:p w:rsidR="003A4D15" w:rsidRDefault="008B7E0B" w:rsidP="003A4D15">
      <w:r>
        <w:t>Th</w:t>
      </w:r>
      <w:r w:rsidR="008B3910">
        <w:t xml:space="preserve">is paper </w:t>
      </w:r>
      <w:r>
        <w:t>will now move on</w:t>
      </w:r>
      <w:r w:rsidR="008B3910">
        <w:t xml:space="preserve"> to </w:t>
      </w:r>
      <w:r w:rsidR="006C268B">
        <w:t>describe the micro-teach plan, how I was feeling and an overall evaluation of the session.</w:t>
      </w:r>
    </w:p>
    <w:p w:rsidR="00D42D83" w:rsidRDefault="005C6D4E" w:rsidP="009668B9">
      <w:r>
        <w:t>A lesson plan was completed prior to the</w:t>
      </w:r>
      <w:r w:rsidR="00B26390">
        <w:t xml:space="preserve"> forty-five minute</w:t>
      </w:r>
      <w:r>
        <w:t xml:space="preserve"> micro-teach lesson</w:t>
      </w:r>
      <w:r w:rsidR="00A23F07">
        <w:t xml:space="preserve"> with ideas for activities taken from the website SDERA (2018)</w:t>
      </w:r>
      <w:r>
        <w:t>.  This enabled me to plan and design in advance what was to be learn</w:t>
      </w:r>
      <w:r w:rsidR="007F5E0E">
        <w:t>t</w:t>
      </w:r>
      <w:r>
        <w:t xml:space="preserve"> and the teaching strategies </w:t>
      </w:r>
      <w:r w:rsidR="00F33E9B">
        <w:t>required</w:t>
      </w:r>
      <w:r>
        <w:t xml:space="preserve"> to</w:t>
      </w:r>
      <w:r w:rsidR="00F33E9B">
        <w:t xml:space="preserve"> enhance the learning experience</w:t>
      </w:r>
      <w:r w:rsidR="005A1153">
        <w:t xml:space="preserve">. This also </w:t>
      </w:r>
      <w:r>
        <w:t>enabl</w:t>
      </w:r>
      <w:r w:rsidR="005A1153">
        <w:t xml:space="preserve">ed </w:t>
      </w:r>
      <w:r>
        <w:t xml:space="preserve">me to meet </w:t>
      </w:r>
      <w:r w:rsidR="006916E9">
        <w:t xml:space="preserve">my own module learning outcomes.  </w:t>
      </w:r>
      <w:r w:rsidR="00B26390">
        <w:t xml:space="preserve">The plan was designed for fifty minutes to ensure that I had enough content as my previous lesson was ten minutes short. </w:t>
      </w:r>
      <w:r w:rsidR="006916E9">
        <w:t xml:space="preserve">The lesson was planned and designed with a constructivist approach to learning (A1). The International Bureau of Education (2018) define this approach as giving the learner the opportunity to actively build on their </w:t>
      </w:r>
      <w:r w:rsidR="006916E9">
        <w:lastRenderedPageBreak/>
        <w:t>own knowledge rather than simply acquiring it (V2). I recognised that although the learners involved shared the same academic goals</w:t>
      </w:r>
      <w:r w:rsidR="005A1153">
        <w:t>,</w:t>
      </w:r>
      <w:r w:rsidR="006916E9">
        <w:t xml:space="preserve"> the learning objectives needed to be generic in nature to be able to accommodate their varied dis</w:t>
      </w:r>
      <w:r w:rsidR="00F33E9B">
        <w:t>c</w:t>
      </w:r>
      <w:r w:rsidR="006916E9">
        <w:t>iplines</w:t>
      </w:r>
      <w:r w:rsidR="00F33E9B">
        <w:t>.  The point being, the learners would be able to take what they ha</w:t>
      </w:r>
      <w:r w:rsidR="005A1153">
        <w:t>d</w:t>
      </w:r>
      <w:r w:rsidR="00F33E9B">
        <w:t xml:space="preserve"> learned from the lesson and apply it to their everyday lives ((V1).</w:t>
      </w:r>
      <w:r w:rsidR="00062064">
        <w:t xml:space="preserve"> </w:t>
      </w:r>
    </w:p>
    <w:p w:rsidR="005A3DA8" w:rsidRDefault="00F33E9B" w:rsidP="00855B34">
      <w:r>
        <w:t>The lesson w</w:t>
      </w:r>
      <w:r w:rsidR="00A23F07">
        <w:t>as</w:t>
      </w:r>
      <w:r w:rsidR="00841430">
        <w:t xml:space="preserve"> to be</w:t>
      </w:r>
      <w:r>
        <w:t xml:space="preserve"> delivered via PowerPoin</w:t>
      </w:r>
      <w:r w:rsidR="00F52BC2">
        <w:t>t</w:t>
      </w:r>
      <w:r w:rsidR="00A23F07">
        <w:t xml:space="preserve"> together</w:t>
      </w:r>
      <w:r w:rsidR="00F52BC2">
        <w:t xml:space="preserve"> with handouts that expand</w:t>
      </w:r>
      <w:r w:rsidR="00A23F07">
        <w:t>ed</w:t>
      </w:r>
      <w:r w:rsidR="00F52BC2">
        <w:t xml:space="preserve"> on the objectives to support and enhance the learning experience.  The idea being that the learners w</w:t>
      </w:r>
      <w:r w:rsidR="00A23F07">
        <w:t>ould</w:t>
      </w:r>
      <w:r w:rsidR="00F52BC2">
        <w:t xml:space="preserve"> define </w:t>
      </w:r>
      <w:r w:rsidR="001B2D5C">
        <w:t xml:space="preserve">key phrases </w:t>
      </w:r>
      <w:r w:rsidR="00F52BC2">
        <w:t>themselves and then compare with definitions from academics (A2)</w:t>
      </w:r>
      <w:r w:rsidR="00B117FE">
        <w:t>.</w:t>
      </w:r>
      <w:r w:rsidR="00F52BC2">
        <w:t xml:space="preserve"> The lesson</w:t>
      </w:r>
      <w:r w:rsidR="005A1153">
        <w:t xml:space="preserve"> </w:t>
      </w:r>
      <w:r w:rsidR="00F52BC2">
        <w:t>include</w:t>
      </w:r>
      <w:r w:rsidR="00A23F07">
        <w:t>d</w:t>
      </w:r>
      <w:r w:rsidR="005A1153">
        <w:t xml:space="preserve"> discussion, so I c</w:t>
      </w:r>
      <w:r w:rsidR="00A23F07">
        <w:t>ould</w:t>
      </w:r>
      <w:r w:rsidR="005A1153">
        <w:t xml:space="preserve"> assess what </w:t>
      </w:r>
      <w:r w:rsidR="00A23F07">
        <w:t>was</w:t>
      </w:r>
      <w:r w:rsidR="005A1153">
        <w:t xml:space="preserve"> understood and give feedback</w:t>
      </w:r>
      <w:r w:rsidR="00A23F07">
        <w:t xml:space="preserve"> </w:t>
      </w:r>
      <w:r w:rsidR="005A1153">
        <w:t>(A3).</w:t>
      </w:r>
      <w:r w:rsidR="00F52BC2">
        <w:t xml:space="preserve"> </w:t>
      </w:r>
      <w:r w:rsidR="000F1A1F">
        <w:t xml:space="preserve"> </w:t>
      </w:r>
      <w:r w:rsidR="001B2D5C">
        <w:t>T</w:t>
      </w:r>
      <w:r w:rsidR="000F1A1F">
        <w:t>his active participation is a student-centred approach.  This</w:t>
      </w:r>
      <w:r w:rsidR="00A23F07">
        <w:t xml:space="preserve"> a</w:t>
      </w:r>
      <w:r w:rsidR="000F1A1F">
        <w:t>llow</w:t>
      </w:r>
      <w:r w:rsidR="00A23F07">
        <w:t>ed</w:t>
      </w:r>
      <w:r w:rsidR="000F1A1F">
        <w:t xml:space="preserve"> for critical thinking, problem solving and independent thought.</w:t>
      </w:r>
      <w:r w:rsidR="00ED156A">
        <w:t xml:space="preserve"> </w:t>
      </w:r>
      <w:r w:rsidR="00B117FE">
        <w:t xml:space="preserve"> Four</w:t>
      </w:r>
      <w:r w:rsidR="00ED156A">
        <w:t xml:space="preserve"> cross-cutting themes w</w:t>
      </w:r>
      <w:r w:rsidR="00A23F07">
        <w:t>ere also</w:t>
      </w:r>
      <w:r w:rsidR="00ED156A">
        <w:t xml:space="preserve"> embedded into the lesson for continued professional development of the learners</w:t>
      </w:r>
      <w:r w:rsidR="00B117FE">
        <w:t>; entrepreneurship, literacy, Welsh language and culture</w:t>
      </w:r>
      <w:r w:rsidR="006F4E04">
        <w:t>,</w:t>
      </w:r>
      <w:r w:rsidR="00B117FE">
        <w:t xml:space="preserve"> and employability/transferable skills. </w:t>
      </w:r>
      <w:r w:rsidR="00ED156A">
        <w:t xml:space="preserve"> (A5).  According to the International Bureau of Education (2018) c</w:t>
      </w:r>
      <w:r w:rsidR="00ED156A" w:rsidRPr="00754F57">
        <w:t>ross-cutting themes</w:t>
      </w:r>
      <w:r w:rsidR="00ED156A">
        <w:t xml:space="preserve"> are defined as “</w:t>
      </w:r>
      <w:r w:rsidR="00B117FE">
        <w:t>i</w:t>
      </w:r>
      <w:r w:rsidR="00ED156A" w:rsidRPr="00754F57">
        <w:t>mportant curriculum content which is to be covered across subjects (or disciplines or learning areas), rather than being taught and learned in one particular subject</w:t>
      </w:r>
      <w:r w:rsidR="00ED156A">
        <w:t xml:space="preserve">”.  </w:t>
      </w:r>
      <w:r w:rsidR="001B2D5C">
        <w:t xml:space="preserve">The topic </w:t>
      </w:r>
      <w:r w:rsidR="00A23F07">
        <w:t>was</w:t>
      </w:r>
      <w:r w:rsidR="001B2D5C">
        <w:t xml:space="preserve"> e</w:t>
      </w:r>
      <w:r w:rsidR="009668B9">
        <w:t>ntrepreneurship and business start-up which is also a cross-cutting theme (JRC Science for Policy Report ,2016). “Entrepreneurship is when you act upon opportunities and ideas and transform them into value for others. The value that is created can be financial, cultural, or social</w:t>
      </w:r>
      <w:r w:rsidR="00A23F07">
        <w:t>.”</w:t>
      </w:r>
      <w:r w:rsidR="009668B9">
        <w:t xml:space="preserve"> (FFE-YE, 2012) as cited in the</w:t>
      </w:r>
      <w:r w:rsidR="009668B9" w:rsidRPr="00936B3A">
        <w:t xml:space="preserve"> </w:t>
      </w:r>
      <w:r w:rsidR="009668B9">
        <w:t>JRC Science for Policy Report (2016). This report also suggests that teaching entrepreneurship will enable learners who</w:t>
      </w:r>
      <w:r w:rsidR="001B2D5C">
        <w:t xml:space="preserve"> already</w:t>
      </w:r>
      <w:r w:rsidR="009668B9">
        <w:t xml:space="preserve"> have the capability to develop in this area to flourish.  The recession in 2008 left western markets vulnerable.  Innovation is paramount to sustain competitive advantage in the twenty-first century.  Traditional methods have been replaced; what was once seen as disruptive is now perceived as “full of opportunities”. It is not just about growth but survival.  The point being, merely making a change is simply not good enough.  To survive this new age of austerity, businesses require entrepreneurial competence (Burns 2013).</w:t>
      </w:r>
      <w:r w:rsidR="001B2D5C">
        <w:t xml:space="preserve"> </w:t>
      </w:r>
      <w:r w:rsidR="005A3DA8">
        <w:t>Literacy</w:t>
      </w:r>
      <w:r w:rsidR="00ED156A">
        <w:t xml:space="preserve"> w</w:t>
      </w:r>
      <w:r w:rsidR="00A23F07">
        <w:t>as</w:t>
      </w:r>
      <w:r w:rsidR="00ED156A">
        <w:t xml:space="preserve"> included throughout by asking the class what key terms mean such as</w:t>
      </w:r>
      <w:r w:rsidR="005A3DA8">
        <w:t>;</w:t>
      </w:r>
      <w:r w:rsidR="00ED156A">
        <w:t xml:space="preserve"> entrepreneur, traits and employability</w:t>
      </w:r>
      <w:r w:rsidR="009668B9">
        <w:t xml:space="preserve">. </w:t>
      </w:r>
      <w:r w:rsidR="00B117FE">
        <w:t xml:space="preserve"> </w:t>
      </w:r>
      <w:r w:rsidR="009668B9">
        <w:t xml:space="preserve">Welsh language and culture </w:t>
      </w:r>
      <w:r w:rsidR="005A3DA8">
        <w:t xml:space="preserve">were </w:t>
      </w:r>
      <w:r w:rsidR="00A23F07">
        <w:t>also</w:t>
      </w:r>
      <w:r w:rsidR="009668B9">
        <w:t xml:space="preserve"> recognised by greeting the learners in Welsh and a discussion on how three</w:t>
      </w:r>
      <w:r w:rsidR="00B117FE">
        <w:t xml:space="preserve"> foreign</w:t>
      </w:r>
      <w:r w:rsidR="009668B9">
        <w:t xml:space="preserve"> entrepreneurs have embraced the Welsh culture and invested in Swansea by creating local jobs</w:t>
      </w:r>
      <w:r w:rsidR="00A23F07">
        <w:t xml:space="preserve">. </w:t>
      </w:r>
      <w:r w:rsidR="00ED156A">
        <w:t xml:space="preserve"> </w:t>
      </w:r>
      <w:r w:rsidR="005A1153">
        <w:t>The combination of methods</w:t>
      </w:r>
      <w:r w:rsidR="002158AF">
        <w:t xml:space="preserve"> </w:t>
      </w:r>
      <w:r w:rsidR="005A1153">
        <w:t xml:space="preserve">used such as the internet research and group discussion </w:t>
      </w:r>
      <w:r w:rsidR="00A23F07">
        <w:t>were</w:t>
      </w:r>
      <w:r w:rsidR="005A1153">
        <w:t xml:space="preserve"> designed to provi</w:t>
      </w:r>
      <w:r w:rsidR="002158AF">
        <w:t>de</w:t>
      </w:r>
      <w:r w:rsidR="005A1153">
        <w:t xml:space="preserve"> me with an understanding of the individual learning styles (K3) and allow for an evaluation of the effectiveness of my teaching (K5).</w:t>
      </w:r>
      <w:r w:rsidR="000F1A1F">
        <w:t xml:space="preserve"> </w:t>
      </w:r>
      <w:r w:rsidR="00855B34">
        <w:t xml:space="preserve"> </w:t>
      </w:r>
    </w:p>
    <w:p w:rsidR="00841430" w:rsidRDefault="005A3DA8" w:rsidP="00855B34">
      <w:r>
        <w:t>My group consisted of seven student teachers and our individual micro-teach</w:t>
      </w:r>
      <w:r w:rsidR="00841430">
        <w:t xml:space="preserve"> was assessed peer to peer.  According to Parikh and Sheehan (2016) peer assessment plays a part in contemporary teaching methods as it enables the learner to “learn from others’ experiences”.  It also aids critical thinking and creativity as learners feel the need to impress their cohorts.  However, the </w:t>
      </w:r>
      <w:r w:rsidR="00841430" w:rsidRPr="008C5977">
        <w:t>Cent</w:t>
      </w:r>
      <w:r w:rsidR="00841430">
        <w:t>re</w:t>
      </w:r>
      <w:r w:rsidR="00841430" w:rsidRPr="008C5977">
        <w:t xml:space="preserve"> for Education and Innovation (201</w:t>
      </w:r>
      <w:r w:rsidR="00841430">
        <w:t>6</w:t>
      </w:r>
      <w:r w:rsidR="00841430" w:rsidRPr="008C5977">
        <w:t xml:space="preserve">) </w:t>
      </w:r>
      <w:r w:rsidR="00841430">
        <w:t>argue that there are disadvantages such as a lack of experience during the assessment process (appendix 3). I agree that there are disadvantages.  We decide</w:t>
      </w:r>
      <w:r>
        <w:t xml:space="preserve">d to </w:t>
      </w:r>
      <w:r w:rsidR="00841430">
        <w:t xml:space="preserve">assess </w:t>
      </w:r>
      <w:r>
        <w:t>each</w:t>
      </w:r>
      <w:r w:rsidR="00841430">
        <w:t xml:space="preserve"> lesson after delivery.  This involved the student teacher leaving the room while their peers assessed the micro-teach performance.   On reflection I realised that </w:t>
      </w:r>
      <w:r>
        <w:t>it</w:t>
      </w:r>
      <w:r w:rsidR="00841430">
        <w:t xml:space="preserve"> would have been far easier to assess during the lesson by writing down points for feedback</w:t>
      </w:r>
      <w:r>
        <w:t xml:space="preserve"> </w:t>
      </w:r>
      <w:r w:rsidR="008B52D7">
        <w:t>when they</w:t>
      </w:r>
      <w:r w:rsidR="00841430">
        <w:t xml:space="preserve"> were fresh in our mind</w:t>
      </w:r>
      <w:r w:rsidR="008B52D7">
        <w:t>s.</w:t>
      </w:r>
      <w:r w:rsidR="00841430">
        <w:t xml:space="preserve"> </w:t>
      </w:r>
      <w:r w:rsidR="008B52D7">
        <w:t>Also, it would have been</w:t>
      </w:r>
      <w:r w:rsidR="00841430">
        <w:t xml:space="preserve"> less time consuming as the discussion lasted for at least ten minutes for each student teacher.  </w:t>
      </w:r>
      <w:r w:rsidR="008B52D7">
        <w:t>Looking back, I feel that there was</w:t>
      </w:r>
      <w:r w:rsidR="00841430">
        <w:t xml:space="preserve"> </w:t>
      </w:r>
      <w:r w:rsidR="008B52D7">
        <w:t xml:space="preserve">too much </w:t>
      </w:r>
      <w:r w:rsidR="00841430">
        <w:t xml:space="preserve">nit-picking as it was suggested that we must have some criticism to give each other more to write about during our reflective evaluation.  </w:t>
      </w:r>
      <w:r w:rsidR="00B8684F">
        <w:t>But looking back,</w:t>
      </w:r>
      <w:r w:rsidR="00855B34">
        <w:t xml:space="preserve"> </w:t>
      </w:r>
      <w:r w:rsidR="00B8684F">
        <w:t>I feel that if something was</w:t>
      </w:r>
      <w:r w:rsidR="00855B34">
        <w:t xml:space="preserve"> good</w:t>
      </w:r>
      <w:r w:rsidR="00B8684F">
        <w:t xml:space="preserve"> we should have</w:t>
      </w:r>
      <w:r w:rsidR="00855B34">
        <w:t xml:space="preserve"> just let it be good.  I also felt there was too much emphasis on the timing.  </w:t>
      </w:r>
      <w:r w:rsidR="00B8684F">
        <w:t>The point of the exercise was</w:t>
      </w:r>
      <w:r w:rsidR="00855B34">
        <w:t xml:space="preserve"> to</w:t>
      </w:r>
      <w:r w:rsidR="00B8684F">
        <w:t xml:space="preserve"> learn from the experience.</w:t>
      </w:r>
    </w:p>
    <w:p w:rsidR="001B2D5C" w:rsidRDefault="00855B34" w:rsidP="001B2D5C">
      <w:r>
        <w:lastRenderedPageBreak/>
        <w:t>I was fou</w:t>
      </w:r>
      <w:r w:rsidR="00FD4287">
        <w:t>r</w:t>
      </w:r>
      <w:r>
        <w:t>th on the list to deliver my micro-teach</w:t>
      </w:r>
      <w:r w:rsidR="00FD4287">
        <w:t xml:space="preserve">. </w:t>
      </w:r>
      <w:r w:rsidR="00F52BC2">
        <w:t xml:space="preserve">I set </w:t>
      </w:r>
      <w:r>
        <w:t>my</w:t>
      </w:r>
      <w:r w:rsidR="00F52BC2">
        <w:t xml:space="preserve"> lesson up during the lunch break</w:t>
      </w:r>
      <w:r w:rsidR="002158AF">
        <w:t>.  I was really pleased that I was delivering my lesson after lunch</w:t>
      </w:r>
      <w:r w:rsidR="00F52BC2">
        <w:t xml:space="preserve"> as I have a fear of using someone else’s equipment. It makes me extremely apprehensive. I have been practising during my professional teaching experience as part of my action plan to try and overcome this fear</w:t>
      </w:r>
      <w:r w:rsidR="000F1A1F">
        <w:t>.</w:t>
      </w:r>
      <w:r w:rsidR="005A1153">
        <w:t xml:space="preserve"> It to</w:t>
      </w:r>
      <w:r w:rsidR="000F1A1F">
        <w:t>o</w:t>
      </w:r>
      <w:r w:rsidR="005A1153">
        <w:t xml:space="preserve">k less time to set up than on previous </w:t>
      </w:r>
      <w:r w:rsidR="000F1A1F">
        <w:t>occasions,</w:t>
      </w:r>
      <w:r w:rsidR="005A1153">
        <w:t xml:space="preserve"> so I feel that I am improving</w:t>
      </w:r>
      <w:r w:rsidR="000F1A1F">
        <w:t xml:space="preserve">. </w:t>
      </w:r>
      <w:r w:rsidR="002158AF">
        <w:t xml:space="preserve">The room was cluttered with tables and chairs; there was only six learners and I wanted them to be close for group work.  They kindly arranged themselves in two groups of three with the idea being for one group to turn around to face the other group for the second objective. </w:t>
      </w:r>
      <w:r w:rsidR="00134F37">
        <w:t xml:space="preserve"> </w:t>
      </w:r>
      <w:r w:rsidR="002158AF">
        <w:t xml:space="preserve">It could be suggested that room lay-out is an important part of the learning experience. </w:t>
      </w:r>
      <w:r w:rsidR="00E67D17">
        <w:t>I</w:t>
      </w:r>
      <w:r w:rsidR="00314CE5">
        <w:t xml:space="preserve"> </w:t>
      </w:r>
      <w:r w:rsidR="00E67D17">
        <w:t>greeted</w:t>
      </w:r>
      <w:r w:rsidR="00314CE5">
        <w:t xml:space="preserve"> the class in </w:t>
      </w:r>
      <w:r w:rsidR="00A23F07">
        <w:t>W</w:t>
      </w:r>
      <w:r w:rsidR="00314CE5">
        <w:t xml:space="preserve">elsh and they responded which made me feel that it was a good start to the lesson. However, I did feel nervous and I was aware that I was shaking which annoyed me. The lesson began with an introduction to the topic via PowerPoint.  The slides looked colourful and appealing.  I gave out the first handout and my hands were shaking.  I told the learners this and I instantly wanted to step outside my body and give myself some stern advice. </w:t>
      </w:r>
    </w:p>
    <w:p w:rsidR="00C06945" w:rsidRDefault="001B2D5C" w:rsidP="001B2D5C">
      <w:r>
        <w:t>The assessment strategies</w:t>
      </w:r>
      <w:r w:rsidR="00FD4287">
        <w:t xml:space="preserve"> that I</w:t>
      </w:r>
      <w:r>
        <w:t xml:space="preserve"> used were successful. </w:t>
      </w:r>
      <w:r w:rsidR="00461261">
        <w:t xml:space="preserve"> However, what surprised me beforehand was that nobody knew </w:t>
      </w:r>
      <w:r w:rsidR="00C06945">
        <w:t>the meaning of the word trait</w:t>
      </w:r>
      <w:r w:rsidR="00461261">
        <w:t xml:space="preserve">. This proved that formative assessment was the way forward as the class would have struggled to complete the task if they did not know the meaning of key terms. </w:t>
      </w:r>
      <w:r>
        <w:t xml:space="preserve"> The learners responded well to the </w:t>
      </w:r>
      <w:r w:rsidR="00B26390">
        <w:t>ac</w:t>
      </w:r>
      <w:r>
        <w:t>tivities</w:t>
      </w:r>
      <w:r w:rsidR="00B26390">
        <w:t>.  The</w:t>
      </w:r>
      <w:r w:rsidR="00A671D1">
        <w:t xml:space="preserve"> learners were given a list of personality traits before</w:t>
      </w:r>
      <w:r w:rsidR="00B26390">
        <w:t xml:space="preserve"> search</w:t>
      </w:r>
      <w:r w:rsidR="00A671D1">
        <w:t xml:space="preserve">ing </w:t>
      </w:r>
      <w:r w:rsidR="00B26390">
        <w:t>the internet for information on their chosen entrepreneu</w:t>
      </w:r>
      <w:r w:rsidR="00461261">
        <w:t>r</w:t>
      </w:r>
      <w:r w:rsidR="00A671D1">
        <w:t xml:space="preserve">. </w:t>
      </w:r>
      <w:r w:rsidR="00FD4287">
        <w:t xml:space="preserve">  There was plenty of chatting and critical thinking on the person they had chosen.</w:t>
      </w:r>
      <w:r w:rsidR="00A671D1">
        <w:t xml:space="preserve"> Th</w:t>
      </w:r>
      <w:r w:rsidR="00461261">
        <w:t>e</w:t>
      </w:r>
      <w:r w:rsidR="00C64434">
        <w:t xml:space="preserve"> research was then used to make a concept map which involved</w:t>
      </w:r>
      <w:r w:rsidR="00A671D1">
        <w:t xml:space="preserve"> match</w:t>
      </w:r>
      <w:r w:rsidR="00C64434">
        <w:t>ing</w:t>
      </w:r>
      <w:r w:rsidR="00A671D1">
        <w:t xml:space="preserve"> </w:t>
      </w:r>
      <w:r w:rsidR="00C64434">
        <w:t>the</w:t>
      </w:r>
      <w:r w:rsidR="00A671D1">
        <w:t xml:space="preserve"> traits </w:t>
      </w:r>
      <w:r w:rsidR="00461261">
        <w:t>to the entrepreneur.</w:t>
      </w:r>
      <w:r w:rsidR="00B26390">
        <w:t xml:space="preserve"> </w:t>
      </w:r>
      <w:r w:rsidR="00FD4287">
        <w:t xml:space="preserve">The results were pleasing. </w:t>
      </w:r>
      <w:r w:rsidR="00461261">
        <w:t xml:space="preserve">This </w:t>
      </w:r>
      <w:r w:rsidR="00B26390">
        <w:t>satisf</w:t>
      </w:r>
      <w:r w:rsidR="00461261">
        <w:t>ied</w:t>
      </w:r>
      <w:r w:rsidR="00B26390">
        <w:t xml:space="preserve"> the first objective </w:t>
      </w:r>
      <w:r w:rsidR="00A671D1">
        <w:t xml:space="preserve">– </w:t>
      </w:r>
      <w:r w:rsidR="00B26390">
        <w:t>define the role of the entrepreneur</w:t>
      </w:r>
      <w:r w:rsidR="00A671D1">
        <w:t xml:space="preserve"> and name the personality traits</w:t>
      </w:r>
      <w:r w:rsidR="00461261">
        <w:t>. The second objective was to identify</w:t>
      </w:r>
      <w:r w:rsidR="00C06945">
        <w:t xml:space="preserve"> </w:t>
      </w:r>
      <w:r w:rsidR="00461261">
        <w:t xml:space="preserve">employability/transferable skills. </w:t>
      </w:r>
      <w:r w:rsidR="00C06945">
        <w:t xml:space="preserve">What struck me was the discussion surrounding it. </w:t>
      </w:r>
      <w:r w:rsidR="00461261">
        <w:t xml:space="preserve"> The learners were asked to define employability</w:t>
      </w:r>
      <w:r w:rsidR="00C64434">
        <w:t xml:space="preserve">. </w:t>
      </w:r>
      <w:r w:rsidR="00461261">
        <w:t xml:space="preserve"> </w:t>
      </w:r>
      <w:r w:rsidR="00C64434">
        <w:t>This</w:t>
      </w:r>
      <w:r w:rsidR="00461261">
        <w:t xml:space="preserve"> led to the conclusion that</w:t>
      </w:r>
      <w:r w:rsidR="00C64434">
        <w:t xml:space="preserve"> </w:t>
      </w:r>
      <w:r w:rsidR="00A23F07">
        <w:t>‘</w:t>
      </w:r>
      <w:r w:rsidR="00C64434">
        <w:t>employability</w:t>
      </w:r>
      <w:r w:rsidR="00A23F07">
        <w:t>’</w:t>
      </w:r>
      <w:r w:rsidR="00C06945">
        <w:t xml:space="preserve"> should be replaced with ‘life skills’ as </w:t>
      </w:r>
      <w:r w:rsidR="00134F37">
        <w:t>the learners believed it to be off-putting</w:t>
      </w:r>
      <w:r w:rsidR="00C06945">
        <w:t xml:space="preserve"> to people who have never worked and are attending interviews for the first time. </w:t>
      </w:r>
      <w:r w:rsidR="00C64434">
        <w:t xml:space="preserve"> </w:t>
      </w:r>
      <w:r w:rsidR="00C06945">
        <w:t>Also, this</w:t>
      </w:r>
      <w:r>
        <w:t xml:space="preserve"> unintentionally led to another cross-cutting theme – </w:t>
      </w:r>
      <w:r w:rsidRPr="008074C8">
        <w:t>sustainability</w:t>
      </w:r>
      <w:r>
        <w:t xml:space="preserve">. The Brundtland Report (1987) as cited in </w:t>
      </w:r>
      <w:proofErr w:type="spellStart"/>
      <w:r>
        <w:t>Blowfield</w:t>
      </w:r>
      <w:proofErr w:type="spellEnd"/>
      <w:r>
        <w:t>, (2013) defines sustainability as “development which meets the needs of the present without compromising the ability of future generations to meet their own needs.” When discussing what employability skills their chosen entrepreneurs would seek from employees</w:t>
      </w:r>
      <w:r w:rsidR="00461261">
        <w:t>,</w:t>
      </w:r>
      <w:r>
        <w:t xml:space="preserve"> it led to how philanthropic Richard Branson was and the importance of how his charity work aids sustainability by donating funds to reduce global warming.  In addition, the entrepreneur at the start of the micro-teach</w:t>
      </w:r>
      <w:r w:rsidR="00461261">
        <w:t>, Niall Mellon,</w:t>
      </w:r>
      <w:r>
        <w:t xml:space="preserve"> was mentioned again at this point</w:t>
      </w:r>
      <w:r w:rsidR="00134F37">
        <w:t xml:space="preserve"> due to his charity work. </w:t>
      </w:r>
      <w:r w:rsidR="00FD4287">
        <w:t xml:space="preserve">The atmosphere was welcoming, and the learners were enjoying the learning experience.  </w:t>
      </w:r>
      <w:r w:rsidR="00C06945">
        <w:t xml:space="preserve">The conclusion was </w:t>
      </w:r>
      <w:r w:rsidR="00FD4287">
        <w:t>energetic</w:t>
      </w:r>
      <w:r w:rsidR="00C06945">
        <w:t xml:space="preserve">.  The open-ended question: ‘Are entrepreneurs born or made?’ created much discussion and independent thought. The learners </w:t>
      </w:r>
      <w:r w:rsidR="00FD4287">
        <w:t>informed me that</w:t>
      </w:r>
      <w:r w:rsidR="00C06945">
        <w:t xml:space="preserve"> they</w:t>
      </w:r>
      <w:r w:rsidR="00134F37">
        <w:t xml:space="preserve"> had</w:t>
      </w:r>
      <w:r w:rsidR="00FD4287">
        <w:t xml:space="preserve"> understood the lesson</w:t>
      </w:r>
      <w:r w:rsidR="00134F37">
        <w:t xml:space="preserve"> and were confident they had met the objectives</w:t>
      </w:r>
      <w:r w:rsidR="0064183E">
        <w:t xml:space="preserve">. </w:t>
      </w:r>
      <w:r w:rsidR="00C06945">
        <w:t xml:space="preserve"> </w:t>
      </w:r>
      <w:r w:rsidR="0064183E">
        <w:t>T</w:t>
      </w:r>
      <w:r w:rsidR="00C06945">
        <w:t>he extra activity (appendix</w:t>
      </w:r>
      <w:r w:rsidR="00FD4287">
        <w:t xml:space="preserve"> 4</w:t>
      </w:r>
      <w:r w:rsidR="00C06945">
        <w:t xml:space="preserve">) </w:t>
      </w:r>
      <w:r w:rsidR="0064183E">
        <w:t>that I included to ensure I had enough content was used</w:t>
      </w:r>
      <w:r w:rsidR="00A13198">
        <w:t xml:space="preserve"> and it was a useful activity as the learners had to answer unexpected quick fired questions. I</w:t>
      </w:r>
      <w:r w:rsidR="00FD4287">
        <w:t xml:space="preserve"> explained that I included this activity as</w:t>
      </w:r>
      <w:r w:rsidR="00A13198">
        <w:t xml:space="preserve"> </w:t>
      </w:r>
      <w:r w:rsidR="00FD4287">
        <w:t>it was</w:t>
      </w:r>
      <w:r w:rsidR="00A13198">
        <w:t xml:space="preserve"> good practice for reflection and interview skills. </w:t>
      </w:r>
      <w:r w:rsidR="00865302">
        <w:t xml:space="preserve"> Overall the lesson went to plan but I am very annoyed that I told the learners I was shaking, and I will never do this again</w:t>
      </w:r>
      <w:r w:rsidR="006C268B">
        <w:t>.</w:t>
      </w:r>
      <w:r w:rsidR="00865302">
        <w:t xml:space="preserve"> </w:t>
      </w:r>
      <w:r w:rsidR="006C268B">
        <w:t>I</w:t>
      </w:r>
      <w:r w:rsidR="00865302">
        <w:t>t could be said that</w:t>
      </w:r>
      <w:r w:rsidR="00134F37">
        <w:t xml:space="preserve"> </w:t>
      </w:r>
      <w:r w:rsidR="00F94D1C">
        <w:t>this could raise negative questions regarding my ability as a teacher.</w:t>
      </w:r>
    </w:p>
    <w:p w:rsidR="006C268B" w:rsidRDefault="006C268B" w:rsidP="001B2D5C">
      <w:r>
        <w:t>This part of the paper will analyse the micro-teach before concluding:</w:t>
      </w:r>
    </w:p>
    <w:p w:rsidR="0033491D" w:rsidRDefault="00C64434" w:rsidP="001B2D5C">
      <w:r>
        <w:t>I researched the website SDERA (2018) for ideas on</w:t>
      </w:r>
      <w:r w:rsidR="0064183E">
        <w:t xml:space="preserve"> contemporary pedagogies</w:t>
      </w:r>
      <w:r w:rsidR="007E05CE">
        <w:t xml:space="preserve"> such</w:t>
      </w:r>
      <w:r>
        <w:t xml:space="preserve"> as;</w:t>
      </w:r>
      <w:r w:rsidR="007E05CE">
        <w:t xml:space="preserve"> collective problem solving</w:t>
      </w:r>
      <w:r w:rsidR="008D510B">
        <w:t>,</w:t>
      </w:r>
      <w:r w:rsidR="007E05CE">
        <w:t xml:space="preserve"> whe</w:t>
      </w:r>
      <w:r w:rsidR="008D510B">
        <w:t>re</w:t>
      </w:r>
      <w:r w:rsidR="007E05CE">
        <w:t xml:space="preserve"> </w:t>
      </w:r>
      <w:r w:rsidR="008D510B">
        <w:t xml:space="preserve">learners </w:t>
      </w:r>
      <w:r w:rsidR="007E05CE">
        <w:t>discuss</w:t>
      </w:r>
      <w:r w:rsidR="008D510B">
        <w:t xml:space="preserve"> </w:t>
      </w:r>
      <w:r w:rsidR="007E05CE">
        <w:t>and share solutions to problems</w:t>
      </w:r>
      <w:r>
        <w:t>, a concept map and</w:t>
      </w:r>
      <w:r w:rsidR="008D510B">
        <w:t>,</w:t>
      </w:r>
      <w:r>
        <w:t xml:space="preserve"> fill in the missing words.  These activities went well, and I would use them again as I feel they can be adapted to the </w:t>
      </w:r>
      <w:r w:rsidR="00865302">
        <w:t>age group and learning styles of all learners</w:t>
      </w:r>
      <w:r w:rsidR="00A13198">
        <w:t xml:space="preserve"> and that they aid critical thinking and </w:t>
      </w:r>
      <w:r w:rsidR="00A13198">
        <w:lastRenderedPageBreak/>
        <w:t xml:space="preserve">reflection. </w:t>
      </w:r>
      <w:r w:rsidR="00865302">
        <w:t xml:space="preserve"> </w:t>
      </w:r>
      <w:r w:rsidR="008D510B">
        <w:t>Also, I</w:t>
      </w:r>
      <w:r w:rsidR="00865302">
        <w:t xml:space="preserve"> agree with the academic references used</w:t>
      </w:r>
      <w:r w:rsidR="008D510B">
        <w:t>,</w:t>
      </w:r>
      <w:r w:rsidR="00865302">
        <w:t xml:space="preserve"> particularly </w:t>
      </w:r>
      <w:proofErr w:type="spellStart"/>
      <w:r w:rsidR="00865302">
        <w:t>Tassone</w:t>
      </w:r>
      <w:proofErr w:type="spellEnd"/>
      <w:r w:rsidR="00865302">
        <w:t xml:space="preserve"> </w:t>
      </w:r>
      <w:r w:rsidR="00865302" w:rsidRPr="00915B74">
        <w:rPr>
          <w:i/>
        </w:rPr>
        <w:t>et al</w:t>
      </w:r>
      <w:r w:rsidR="00865302">
        <w:t xml:space="preserve"> (2018).  It makes sense to me that learners should be prepared for the outside world. I am a mature student who has </w:t>
      </w:r>
      <w:r w:rsidR="00A13198">
        <w:t>experienced</w:t>
      </w:r>
      <w:r w:rsidR="00865302">
        <w:t xml:space="preserve"> how </w:t>
      </w:r>
      <w:r w:rsidR="006C268B">
        <w:t>challenging</w:t>
      </w:r>
      <w:r w:rsidR="00865302">
        <w:t xml:space="preserve"> life can be</w:t>
      </w:r>
      <w:r w:rsidR="006C268B">
        <w:t>.</w:t>
      </w:r>
      <w:r w:rsidR="00062064">
        <w:t xml:space="preserve">  </w:t>
      </w:r>
      <w:r w:rsidR="0033491D">
        <w:t xml:space="preserve">I was pleased with the feedback I received from my peers. They stated that I had met the learning objectives easily and there was a good balance of teaching and student led activities.  They welcomed the fact I addressed them in Welsh and that I was encouraging </w:t>
      </w:r>
      <w:r w:rsidR="007A4B4F">
        <w:t>with lots of</w:t>
      </w:r>
      <w:r w:rsidR="0033491D">
        <w:t xml:space="preserve"> positive energy. They identified the cross-cutting themes used and were satisfied with how the lesson concluded.  I</w:t>
      </w:r>
      <w:r w:rsidR="00B03105">
        <w:t>n</w:t>
      </w:r>
      <w:r w:rsidR="0033491D">
        <w:t xml:space="preserve"> addition, </w:t>
      </w:r>
      <w:r w:rsidR="00B03105">
        <w:t xml:space="preserve">it </w:t>
      </w:r>
      <w:r w:rsidR="0033491D">
        <w:t>was mentioned that I should never let my learners know if I am nervous – I totally agree, and I could kick myself.  Conversely, I do not agree with the targets for improvement.  It was pointed out that I should adapt the lesson suitable for the age-group</w:t>
      </w:r>
      <w:r w:rsidR="00B03105">
        <w:t xml:space="preserve"> to make the activity more challenging</w:t>
      </w:r>
      <w:r w:rsidR="0033491D">
        <w:t xml:space="preserve"> as the handouts</w:t>
      </w:r>
      <w:r w:rsidR="00B03105">
        <w:t xml:space="preserve"> on employability</w:t>
      </w:r>
      <w:r w:rsidR="0033491D">
        <w:t xml:space="preserve"> took away critical thinking.  The handout w</w:t>
      </w:r>
      <w:r w:rsidR="00B03105">
        <w:t>as</w:t>
      </w:r>
      <w:r w:rsidR="0033491D">
        <w:t xml:space="preserve"> given out after I had asked</w:t>
      </w:r>
      <w:r w:rsidR="00B03105">
        <w:t xml:space="preserve"> the class to define employability, so the critical thinking had already taken place! </w:t>
      </w:r>
      <w:r w:rsidR="0047004F">
        <w:t xml:space="preserve"> </w:t>
      </w:r>
      <w:r w:rsidR="007A4B4F">
        <w:t>Therefore, if I had been assessed during the lesson this would have been documented.</w:t>
      </w:r>
      <w:r w:rsidR="00B03105">
        <w:t xml:space="preserve"> It was also recommended that I should re-cap more on previous lessons.  I used a character from the previous lesson and reminded them who he was.  I then asked if this person was an entrepreneur. I feel this was adequate as the previous lesson was </w:t>
      </w:r>
      <w:r w:rsidR="001416BF">
        <w:t>a different subject all together.</w:t>
      </w:r>
      <w:r w:rsidR="00EE1155">
        <w:t xml:space="preserve">  </w:t>
      </w:r>
    </w:p>
    <w:p w:rsidR="00EE1155" w:rsidRDefault="00035A21" w:rsidP="00035A21">
      <w:r>
        <w:t>Academic literature suggests that contemporary teaching is the way forward.  I feel this was also proven during the micro-teach</w:t>
      </w:r>
      <w:r w:rsidR="00946F33">
        <w:t>.</w:t>
      </w:r>
      <w:r w:rsidR="003D15E7">
        <w:t xml:space="preserve"> The learners responded well and were eager to take part in the lesson. </w:t>
      </w:r>
      <w:r w:rsidR="00946F33">
        <w:t xml:space="preserve"> The cross-cutting themes</w:t>
      </w:r>
      <w:r w:rsidR="00186A7C">
        <w:t xml:space="preserve"> used provide</w:t>
      </w:r>
      <w:r w:rsidR="008F45CB">
        <w:t>d</w:t>
      </w:r>
      <w:r w:rsidR="00186A7C">
        <w:t xml:space="preserve"> the learners with </w:t>
      </w:r>
      <w:r w:rsidR="008919C6">
        <w:t>additional information to enhance the learning. This was clear to me as when I</w:t>
      </w:r>
      <w:r w:rsidR="008F45CB">
        <w:t xml:space="preserve"> greeted them in Welsh and</w:t>
      </w:r>
      <w:r w:rsidR="008919C6">
        <w:t xml:space="preserve"> spoke about </w:t>
      </w:r>
      <w:r w:rsidR="003D15E7">
        <w:t xml:space="preserve">foreign entrepreneurs investing in Swansea as it encouraged discussion.  It was also evident that embedding </w:t>
      </w:r>
      <w:r w:rsidR="008F45CB">
        <w:t>literacy-based</w:t>
      </w:r>
      <w:r w:rsidR="003D15E7">
        <w:t xml:space="preserve"> questions were important as many of the learners were unsure of key terms which would have made the activities difficult to take part in. </w:t>
      </w:r>
      <w:r w:rsidR="008F45CB">
        <w:t xml:space="preserve">Entrepreneurship overall created a buzz amongst the learners who quickly got involved with the tasks and made the research their own. </w:t>
      </w:r>
      <w:r w:rsidR="00EE1155">
        <w:t xml:space="preserve"> </w:t>
      </w:r>
    </w:p>
    <w:p w:rsidR="008F45CB" w:rsidRDefault="008F45CB" w:rsidP="00035A21">
      <w:proofErr w:type="spellStart"/>
      <w:r>
        <w:t>Lopaz</w:t>
      </w:r>
      <w:proofErr w:type="spellEnd"/>
      <w:r>
        <w:t xml:space="preserve">-Pastor </w:t>
      </w:r>
      <w:r w:rsidRPr="00835BDD">
        <w:rPr>
          <w:i/>
        </w:rPr>
        <w:t>et al</w:t>
      </w:r>
      <w:r>
        <w:t xml:space="preserve"> (2013)</w:t>
      </w:r>
      <w:r w:rsidR="00835BDD">
        <w:t xml:space="preserve"> argued that contemporary teaching d</w:t>
      </w:r>
      <w:r w:rsidR="00EE1155">
        <w:t>oes</w:t>
      </w:r>
      <w:r w:rsidR="00835BDD">
        <w:t xml:space="preserve"> not cause extra workload for learners.  However, they did discuss how this teaching style could be problematic for teachers. </w:t>
      </w:r>
      <w:r w:rsidR="00B12029">
        <w:t xml:space="preserve">I had difficulty </w:t>
      </w:r>
      <w:r w:rsidR="00835BDD">
        <w:t>obtain</w:t>
      </w:r>
      <w:r w:rsidR="00B12029">
        <w:t>ing</w:t>
      </w:r>
      <w:r w:rsidR="00835BDD">
        <w:t xml:space="preserve"> any more information from other academic writers on th</w:t>
      </w:r>
      <w:r w:rsidR="00B12029">
        <w:t>is</w:t>
      </w:r>
      <w:r w:rsidR="00835BDD">
        <w:t xml:space="preserve"> subject</w:t>
      </w:r>
      <w:r w:rsidR="00B12029">
        <w:t>.</w:t>
      </w:r>
      <w:r w:rsidR="00835BDD">
        <w:t xml:space="preserve"> Therefore, it is recommended that th</w:t>
      </w:r>
      <w:r w:rsidR="00B12029">
        <w:t>is</w:t>
      </w:r>
      <w:r w:rsidR="00835BDD">
        <w:t xml:space="preserve"> area </w:t>
      </w:r>
      <w:r w:rsidR="00B12029">
        <w:t>is</w:t>
      </w:r>
      <w:r w:rsidR="00835BDD">
        <w:t xml:space="preserve"> worthy of further stud</w:t>
      </w:r>
      <w:r w:rsidR="00B12029">
        <w:t>y for future improvement.</w:t>
      </w:r>
      <w:r w:rsidR="00835BDD">
        <w:t xml:space="preserve">  I plan to</w:t>
      </w:r>
      <w:r w:rsidR="00B12029">
        <w:t xml:space="preserve"> study the implications [if any]</w:t>
      </w:r>
      <w:r w:rsidR="00835BDD">
        <w:t xml:space="preserve"> during my professional teaching experience</w:t>
      </w:r>
      <w:r w:rsidR="00B12029">
        <w:t xml:space="preserve"> (K6</w:t>
      </w:r>
      <w:r w:rsidR="007A4B4F">
        <w:t>), (V3</w:t>
      </w:r>
      <w:r w:rsidR="00B12029">
        <w:t>).</w:t>
      </w:r>
      <w:r w:rsidR="007A4B4F">
        <w:t xml:space="preserve">  I also recommend that rooms are set-up to develop effective learning environments (A4). The room had too many chairs and tables. </w:t>
      </w:r>
      <w:r w:rsidR="00EE1155">
        <w:t xml:space="preserve"> I plan to monitor room set-up during my professional teaching experience and document any changes made and how they have improved/not improved the learning experience.</w:t>
      </w:r>
    </w:p>
    <w:p w:rsidR="00EE1155" w:rsidRDefault="00EE1155" w:rsidP="00EE1155">
      <w:r>
        <w:t>The peer to peer assessment enabled me to critically analyse how to/not to assess.</w:t>
      </w:r>
    </w:p>
    <w:p w:rsidR="00EE1155" w:rsidRDefault="00EE1155" w:rsidP="00035A21"/>
    <w:p w:rsidR="00B12029" w:rsidRDefault="00B12029" w:rsidP="00035A21"/>
    <w:p w:rsidR="00B12029" w:rsidRDefault="00B12029" w:rsidP="00035A21"/>
    <w:p w:rsidR="00B12029" w:rsidRDefault="00B12029" w:rsidP="00035A21"/>
    <w:p w:rsidR="00B12029" w:rsidRDefault="00B12029" w:rsidP="00035A21"/>
    <w:p w:rsidR="00AD090F" w:rsidRDefault="00AD090F" w:rsidP="00AD090F">
      <w:pPr>
        <w:rPr>
          <w:b/>
          <w:sz w:val="28"/>
          <w:szCs w:val="28"/>
        </w:rPr>
      </w:pPr>
    </w:p>
    <w:p w:rsidR="00AD090F" w:rsidRDefault="00AD090F" w:rsidP="00B12029">
      <w:pPr>
        <w:jc w:val="center"/>
        <w:rPr>
          <w:b/>
          <w:sz w:val="28"/>
          <w:szCs w:val="28"/>
        </w:rPr>
      </w:pPr>
    </w:p>
    <w:p w:rsidR="005E281F" w:rsidRDefault="005E281F" w:rsidP="00B12029">
      <w:pPr>
        <w:jc w:val="center"/>
        <w:rPr>
          <w:b/>
          <w:sz w:val="28"/>
          <w:szCs w:val="28"/>
        </w:rPr>
      </w:pPr>
    </w:p>
    <w:p w:rsidR="00186A7C" w:rsidRPr="00B12029" w:rsidRDefault="00186A7C" w:rsidP="00B12029">
      <w:pPr>
        <w:jc w:val="center"/>
        <w:rPr>
          <w:b/>
          <w:sz w:val="28"/>
          <w:szCs w:val="28"/>
        </w:rPr>
      </w:pPr>
      <w:r w:rsidRPr="00B12029">
        <w:rPr>
          <w:b/>
          <w:sz w:val="28"/>
          <w:szCs w:val="28"/>
        </w:rPr>
        <w:lastRenderedPageBreak/>
        <w:t>References</w:t>
      </w:r>
    </w:p>
    <w:p w:rsidR="00186A7C" w:rsidRDefault="00186A7C" w:rsidP="00186A7C">
      <w:r>
        <w:t xml:space="preserve">Bloom, S. B. (1956) </w:t>
      </w:r>
      <w:r>
        <w:rPr>
          <w:i/>
        </w:rPr>
        <w:t>Taxonomy of educational objectives: Handbook 1: Cognitive domain</w:t>
      </w:r>
      <w:r>
        <w:t>. New York: Longman.</w:t>
      </w:r>
    </w:p>
    <w:p w:rsidR="00186A7C" w:rsidRPr="00E15B46" w:rsidRDefault="00186A7C" w:rsidP="00186A7C">
      <w:proofErr w:type="spellStart"/>
      <w:r w:rsidRPr="00E15B46">
        <w:t>Blowfield</w:t>
      </w:r>
      <w:proofErr w:type="spellEnd"/>
      <w:r w:rsidRPr="00E15B46">
        <w:t xml:space="preserve">, M. (2013) </w:t>
      </w:r>
      <w:r w:rsidRPr="00E15B46">
        <w:rPr>
          <w:i/>
        </w:rPr>
        <w:t>Business and sustainability</w:t>
      </w:r>
      <w:r w:rsidRPr="00E15B46">
        <w:t>. Oxford: Oxford University Press.</w:t>
      </w:r>
    </w:p>
    <w:p w:rsidR="00186A7C" w:rsidRPr="00E15B46" w:rsidRDefault="00186A7C" w:rsidP="00186A7C">
      <w:r w:rsidRPr="00E15B46">
        <w:t xml:space="preserve">Burns, P (2013) </w:t>
      </w:r>
      <w:r w:rsidRPr="00E15B46">
        <w:rPr>
          <w:i/>
        </w:rPr>
        <w:t>Corporate entrepreneurship</w:t>
      </w:r>
      <w:r w:rsidRPr="00E15B46">
        <w:t xml:space="preserve">. 3rd </w:t>
      </w:r>
      <w:proofErr w:type="spellStart"/>
      <w:r w:rsidRPr="00E15B46">
        <w:t>edn</w:t>
      </w:r>
      <w:proofErr w:type="spellEnd"/>
      <w:r w:rsidRPr="00E15B46">
        <w:t>. London: Palgrave Macmillan.</w:t>
      </w:r>
    </w:p>
    <w:p w:rsidR="00186A7C" w:rsidRDefault="00186A7C" w:rsidP="00186A7C">
      <w:r w:rsidRPr="008C5977">
        <w:t>Cent</w:t>
      </w:r>
      <w:r>
        <w:t>re</w:t>
      </w:r>
      <w:r w:rsidRPr="008C5977">
        <w:t xml:space="preserve"> for Education and Innovation (201</w:t>
      </w:r>
      <w:r>
        <w:t>6</w:t>
      </w:r>
      <w:r w:rsidRPr="008C5977">
        <w:t xml:space="preserve">) </w:t>
      </w:r>
      <w:r w:rsidRPr="008C5977">
        <w:rPr>
          <w:i/>
        </w:rPr>
        <w:t>Advantages and Disadvantages of Self- and Peer- Assessment</w:t>
      </w:r>
      <w:r>
        <w:rPr>
          <w:i/>
        </w:rPr>
        <w:t xml:space="preserve">. </w:t>
      </w:r>
      <w:r>
        <w:t xml:space="preserve">Available at: </w:t>
      </w:r>
      <w:hyperlink r:id="rId4" w:history="1">
        <w:r w:rsidRPr="008D0428">
          <w:rPr>
            <w:rStyle w:val="Hyperlink"/>
          </w:rPr>
          <w:t>http://cei.ust.hk/learner-centered-course-design/learning-assessment/self-and-peer-assessment/advantages-and</w:t>
        </w:r>
      </w:hyperlink>
      <w:r>
        <w:t xml:space="preserve"> (Accessed: 3 November 2018).</w:t>
      </w:r>
    </w:p>
    <w:p w:rsidR="00186A7C" w:rsidRDefault="00186A7C" w:rsidP="00186A7C">
      <w:r>
        <w:t xml:space="preserve">Gibbs, G. (1988) </w:t>
      </w:r>
      <w:r>
        <w:rPr>
          <w:i/>
        </w:rPr>
        <w:t>Learning by doing: A guide to teaching and learning methods</w:t>
      </w:r>
      <w:r>
        <w:t>. Oxford:</w:t>
      </w:r>
      <w:r>
        <w:rPr>
          <w:rFonts w:ascii="Arial" w:hAnsi="Arial" w:cs="Arial"/>
          <w:color w:val="666666"/>
          <w:sz w:val="20"/>
          <w:szCs w:val="20"/>
          <w:shd w:val="clear" w:color="auto" w:fill="FFFFFF"/>
        </w:rPr>
        <w:t xml:space="preserve"> </w:t>
      </w:r>
      <w:r>
        <w:t>Oxford Brookes Further Education Unit.</w:t>
      </w:r>
    </w:p>
    <w:p w:rsidR="00186A7C" w:rsidRDefault="00186A7C" w:rsidP="00186A7C">
      <w:r>
        <w:t xml:space="preserve">International Bureau of Education (2018) </w:t>
      </w:r>
      <w:r w:rsidRPr="00E138E1">
        <w:rPr>
          <w:i/>
        </w:rPr>
        <w:t>Cross-cutting themes</w:t>
      </w:r>
      <w:r>
        <w:t xml:space="preserve">. Available at: </w:t>
      </w:r>
      <w:hyperlink r:id="rId5" w:history="1">
        <w:r w:rsidRPr="00050B3C">
          <w:rPr>
            <w:rStyle w:val="Hyperlink"/>
          </w:rPr>
          <w:t>http://www.ibe.unesco.org/en/glossary-curriculum-terminology/c/cross-cutting-themes</w:t>
        </w:r>
      </w:hyperlink>
      <w:r>
        <w:t xml:space="preserve"> (Accessed:4 November 2018).</w:t>
      </w:r>
    </w:p>
    <w:p w:rsidR="00186A7C" w:rsidRPr="00C80DFB" w:rsidRDefault="00186A7C" w:rsidP="00186A7C">
      <w:pPr>
        <w:rPr>
          <w:i/>
        </w:rPr>
      </w:pPr>
      <w:r>
        <w:t xml:space="preserve">JRC Science for Policy Report (2016) </w:t>
      </w:r>
      <w:proofErr w:type="spellStart"/>
      <w:r w:rsidRPr="008D5212">
        <w:rPr>
          <w:i/>
        </w:rPr>
        <w:t>EntreComp</w:t>
      </w:r>
      <w:proofErr w:type="spellEnd"/>
      <w:r w:rsidRPr="008D5212">
        <w:rPr>
          <w:i/>
        </w:rPr>
        <w:t>: The entrepreneurship competence framework</w:t>
      </w:r>
      <w:r>
        <w:rPr>
          <w:i/>
        </w:rPr>
        <w:t xml:space="preserve">. </w:t>
      </w:r>
      <w:r>
        <w:t xml:space="preserve">Available at: </w:t>
      </w:r>
      <w:hyperlink r:id="rId6" w:history="1">
        <w:r w:rsidRPr="00050B3C">
          <w:rPr>
            <w:rStyle w:val="Hyperlink"/>
          </w:rPr>
          <w:t>http://publications.jrc.ec.europa.eu/repository/bitstream/JRC101581/lfna27939enn.pdf</w:t>
        </w:r>
      </w:hyperlink>
      <w:r>
        <w:t xml:space="preserve"> (Accessed: 4 November 2018).</w:t>
      </w:r>
    </w:p>
    <w:p w:rsidR="00186A7C" w:rsidRDefault="00186A7C" w:rsidP="00186A7C">
      <w:r>
        <w:t xml:space="preserve">Myers, O, E Jr. and </w:t>
      </w:r>
      <w:proofErr w:type="spellStart"/>
      <w:r>
        <w:t>Beringer</w:t>
      </w:r>
      <w:proofErr w:type="spellEnd"/>
      <w:r>
        <w:t>, A (2010) ‘</w:t>
      </w:r>
      <w:r w:rsidRPr="002D7744">
        <w:t xml:space="preserve">Sustainability in </w:t>
      </w:r>
      <w:r>
        <w:t>h</w:t>
      </w:r>
      <w:r w:rsidRPr="002D7744">
        <w:t xml:space="preserve">igher </w:t>
      </w:r>
      <w:r>
        <w:t>e</w:t>
      </w:r>
      <w:r w:rsidRPr="002D7744">
        <w:t xml:space="preserve">ducation: Psychological </w:t>
      </w:r>
      <w:r>
        <w:t>r</w:t>
      </w:r>
      <w:r w:rsidRPr="002D7744">
        <w:t xml:space="preserve">esearch for </w:t>
      </w:r>
      <w:r>
        <w:t>e</w:t>
      </w:r>
      <w:r w:rsidRPr="002D7744">
        <w:t xml:space="preserve">ffective </w:t>
      </w:r>
      <w:r>
        <w:t>p</w:t>
      </w:r>
      <w:r w:rsidRPr="002D7744">
        <w:t>edagogy</w:t>
      </w:r>
      <w:r>
        <w:t xml:space="preserve">’, </w:t>
      </w:r>
      <w:r w:rsidRPr="00687285">
        <w:rPr>
          <w:i/>
        </w:rPr>
        <w:t>The Canadian Journal of Higher Education</w:t>
      </w:r>
      <w:r>
        <w:t xml:space="preserve">, 40 (2), pp.  51-77. </w:t>
      </w:r>
      <w:r w:rsidRPr="00687285">
        <w:rPr>
          <w:i/>
        </w:rPr>
        <w:t xml:space="preserve">Search </w:t>
      </w:r>
      <w:proofErr w:type="spellStart"/>
      <w:r w:rsidRPr="00687285">
        <w:rPr>
          <w:i/>
        </w:rPr>
        <w:t>Proquest</w:t>
      </w:r>
      <w:proofErr w:type="spellEnd"/>
      <w:r>
        <w:t xml:space="preserve"> [Online]. Available at: </w:t>
      </w:r>
      <w:hyperlink r:id="rId7" w:history="1">
        <w:r w:rsidRPr="008D0428">
          <w:rPr>
            <w:rStyle w:val="Hyperlink"/>
          </w:rPr>
          <w:t>https://search-proquest-com.ezproxy.uwtsd.ac.uk/docview/814375797?accountid=130472&amp;rfr_id=info%3Axri%2Fsid%3Aprimo</w:t>
        </w:r>
      </w:hyperlink>
      <w:r>
        <w:t xml:space="preserve"> (Accessed: 3 November 2018).</w:t>
      </w:r>
    </w:p>
    <w:p w:rsidR="00186A7C" w:rsidRDefault="00186A7C" w:rsidP="00186A7C">
      <w:r>
        <w:t xml:space="preserve">Lopez-Pastor, M. V., </w:t>
      </w:r>
      <w:proofErr w:type="spellStart"/>
      <w:r>
        <w:t>Pintor</w:t>
      </w:r>
      <w:proofErr w:type="spellEnd"/>
      <w:r>
        <w:t xml:space="preserve">, P., </w:t>
      </w:r>
      <w:proofErr w:type="spellStart"/>
      <w:r>
        <w:t>Muros</w:t>
      </w:r>
      <w:proofErr w:type="spellEnd"/>
      <w:r>
        <w:t xml:space="preserve">, B. and Webb, G. (2013) ‘Formative assessment strategies and their effect on student performance and on student and tutor workload: the results of research projects undertaken in preparation for greater convergence of universities in Spain within the European Higher Education Area (EHEA)’, </w:t>
      </w:r>
      <w:r w:rsidRPr="00D55878">
        <w:rPr>
          <w:i/>
        </w:rPr>
        <w:t>Journal of Further and Higher Education</w:t>
      </w:r>
      <w:r>
        <w:t xml:space="preserve">, 37 (2), pp. 163-180, </w:t>
      </w:r>
      <w:r w:rsidRPr="00D55878">
        <w:rPr>
          <w:i/>
        </w:rPr>
        <w:t>Taylor and Francis Group</w:t>
      </w:r>
      <w:r>
        <w:t xml:space="preserve"> [Online] Available at: </w:t>
      </w:r>
      <w:hyperlink r:id="rId8" w:history="1">
        <w:r w:rsidRPr="008D0428">
          <w:rPr>
            <w:rStyle w:val="Hyperlink"/>
          </w:rPr>
          <w:t>https://www-tandfonline-com.ezproxy.uwtsd.ac.uk/doi/pdf/10.1080/0309877X.2011.644780?needAccess=true</w:t>
        </w:r>
      </w:hyperlink>
      <w:r>
        <w:t xml:space="preserve"> (Accessed: 3 November 2018).</w:t>
      </w:r>
    </w:p>
    <w:p w:rsidR="00186A7C" w:rsidRDefault="00186A7C" w:rsidP="00186A7C">
      <w:r>
        <w:t xml:space="preserve">Parikh, B. T. and Sheehan, A. H. Sheehan (2016) ‘Student pharmacists’ perceptions of the implementation of peer assessment instruction and activities within a didactic course’, Currents in Pharmacy Teaching and Learning 8, pp.  821–826 ScienceDirect [Online] Available at: </w:t>
      </w:r>
      <w:hyperlink r:id="rId9" w:history="1">
        <w:r w:rsidRPr="008D0428">
          <w:rPr>
            <w:rStyle w:val="Hyperlink"/>
          </w:rPr>
          <w:t>https://ac-els-cdn-com.ezproxy.uwtsd.ac.uk/S1877129715301738/1-s2.0-S1877129715301738-main.pdf?_tid=43cea3dc-5f1f-40ec-8aa7-5208b4802057&amp;acdnat=1541249307_97ee986247d3d42a31787f5f244d237c</w:t>
        </w:r>
      </w:hyperlink>
      <w:r>
        <w:t xml:space="preserve"> (Accessed: 3 November 2018).</w:t>
      </w:r>
    </w:p>
    <w:p w:rsidR="00186A7C" w:rsidRDefault="00186A7C" w:rsidP="00186A7C">
      <w:proofErr w:type="spellStart"/>
      <w:r>
        <w:t>Roskos</w:t>
      </w:r>
      <w:proofErr w:type="spellEnd"/>
      <w:r>
        <w:t xml:space="preserve">, K and Neuman, B. S. (2012) ‘Formative assessment: Simply no additives’, </w:t>
      </w:r>
      <w:r w:rsidRPr="00B37911">
        <w:rPr>
          <w:i/>
        </w:rPr>
        <w:t>The Reading Teacher,</w:t>
      </w:r>
      <w:r>
        <w:t xml:space="preserve"> 65 (8) pp. 534-538,</w:t>
      </w:r>
      <w:r w:rsidRPr="00B37911">
        <w:rPr>
          <w:i/>
        </w:rPr>
        <w:t>Wiley Blackwell</w:t>
      </w:r>
      <w:r>
        <w:t xml:space="preserve"> [Online] Available at: </w:t>
      </w:r>
      <w:hyperlink r:id="rId10" w:history="1">
        <w:r w:rsidRPr="008D0428">
          <w:rPr>
            <w:rStyle w:val="Hyperlink"/>
          </w:rPr>
          <w:t>https://web-a-ebscohost-com.ezproxy.uwtsd.ac.uk/ehost/pdfviewer/pdfviewer?vid=1&amp;sid=c3b01a83-91fa-41da-a029-19860734401c%40sdc-v-sessmgr04</w:t>
        </w:r>
      </w:hyperlink>
      <w:r>
        <w:t xml:space="preserve"> (Accessed: 3 November 2018).</w:t>
      </w:r>
    </w:p>
    <w:p w:rsidR="00186A7C" w:rsidRPr="00C80DFB" w:rsidRDefault="00186A7C" w:rsidP="00186A7C">
      <w:r w:rsidRPr="00C80DFB">
        <w:lastRenderedPageBreak/>
        <w:t xml:space="preserve">SDERA (2018) </w:t>
      </w:r>
      <w:r w:rsidRPr="00C80DFB">
        <w:rPr>
          <w:i/>
          <w:iCs/>
        </w:rPr>
        <w:t>Teaching and learning strategies</w:t>
      </w:r>
      <w:r w:rsidRPr="00C80DFB">
        <w:t xml:space="preserve">. Available at: </w:t>
      </w:r>
      <w:hyperlink r:id="rId11" w:history="1">
        <w:r w:rsidRPr="00C80DFB">
          <w:rPr>
            <w:rStyle w:val="Hyperlink"/>
          </w:rPr>
          <w:t>https://www.sdera.wa.edu.au/media/2134/ccea-section-g-teaching-and-learning-strategies.pdf</w:t>
        </w:r>
      </w:hyperlink>
      <w:r w:rsidRPr="00C80DFB">
        <w:t xml:space="preserve">  (Accessed: 28 October 2018).</w:t>
      </w:r>
    </w:p>
    <w:p w:rsidR="00186A7C" w:rsidRDefault="00186A7C" w:rsidP="00186A7C">
      <w:r>
        <w:t xml:space="preserve">Spence, S. and </w:t>
      </w:r>
      <w:proofErr w:type="spellStart"/>
      <w:r>
        <w:t>Helwig,C</w:t>
      </w:r>
      <w:proofErr w:type="spellEnd"/>
      <w:r>
        <w:t xml:space="preserve">. C. (2013) ‘Epistemological Development and Judgments and Reasoning About Teaching Methods’ </w:t>
      </w:r>
      <w:r w:rsidRPr="00BB2A25">
        <w:rPr>
          <w:i/>
        </w:rPr>
        <w:t>The Journal of Genetic Psychology</w:t>
      </w:r>
      <w:r>
        <w:t xml:space="preserve">, 174 (5), pp. 534–556, </w:t>
      </w:r>
      <w:r w:rsidRPr="00BB2A25">
        <w:rPr>
          <w:i/>
        </w:rPr>
        <w:t>Taylor &amp; Francis Group</w:t>
      </w:r>
      <w:r>
        <w:t xml:space="preserve"> [Online] Available at: </w:t>
      </w:r>
      <w:hyperlink r:id="rId12" w:history="1">
        <w:r w:rsidRPr="008D0428">
          <w:rPr>
            <w:rStyle w:val="Hyperlink"/>
          </w:rPr>
          <w:t>https://web-b-ebscohost-com.ezproxy.uwtsd.ac.uk/ehost/pdfviewer/pdfviewer?vid=1&amp;sid=a41b3536-f9c2-4e25-8502-f5ffa9bdfbdd%40pdc-v-sessmgr01</w:t>
        </w:r>
      </w:hyperlink>
      <w:r>
        <w:t xml:space="preserve"> (Accessed: 3 November 2018).</w:t>
      </w:r>
    </w:p>
    <w:p w:rsidR="00186A7C" w:rsidRDefault="00186A7C" w:rsidP="00186A7C">
      <w:proofErr w:type="spellStart"/>
      <w:r>
        <w:t>Tassone</w:t>
      </w:r>
      <w:proofErr w:type="spellEnd"/>
      <w:r>
        <w:t xml:space="preserve">, C. V., </w:t>
      </w:r>
      <w:proofErr w:type="spellStart"/>
      <w:r>
        <w:t>O’Mahony</w:t>
      </w:r>
      <w:proofErr w:type="spellEnd"/>
      <w:r>
        <w:t xml:space="preserve">, C, McKenna, E., </w:t>
      </w:r>
      <w:proofErr w:type="spellStart"/>
      <w:r>
        <w:t>Eppink</w:t>
      </w:r>
      <w:proofErr w:type="spellEnd"/>
      <w:r>
        <w:t xml:space="preserve">, J. H. and </w:t>
      </w:r>
      <w:proofErr w:type="spellStart"/>
      <w:r>
        <w:t>Wals</w:t>
      </w:r>
      <w:proofErr w:type="spellEnd"/>
      <w:r>
        <w:t>, J. E. A. (2018) ‘(Re-)</w:t>
      </w:r>
      <w:r w:rsidRPr="00BF67A4">
        <w:t>designing higher education curricula in times of systemic dysfunction: a responsible research and innovation perspective</w:t>
      </w:r>
      <w:r>
        <w:t xml:space="preserve">’, </w:t>
      </w:r>
      <w:r w:rsidRPr="00582E07">
        <w:rPr>
          <w:i/>
        </w:rPr>
        <w:t>Higher Education</w:t>
      </w:r>
      <w:r>
        <w:t xml:space="preserve">, 76 (2), pp. 337-352, </w:t>
      </w:r>
      <w:r w:rsidRPr="00582E07">
        <w:rPr>
          <w:i/>
        </w:rPr>
        <w:t>Springer</w:t>
      </w:r>
      <w:r w:rsidRPr="00582E07">
        <w:t xml:space="preserve"> Link [</w:t>
      </w:r>
      <w:r>
        <w:t xml:space="preserve">Online]. Available at: </w:t>
      </w:r>
      <w:hyperlink r:id="rId13" w:history="1">
        <w:r w:rsidRPr="00050B3C">
          <w:rPr>
            <w:rStyle w:val="Hyperlink"/>
          </w:rPr>
          <w:t>https://link.springer.com/article/10.1007%2Fs10734-017-0211-4</w:t>
        </w:r>
      </w:hyperlink>
      <w:r>
        <w:t xml:space="preserve"> (Accessed: 4 November 2018).</w:t>
      </w: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CE7C11">
      <w:pPr>
        <w:rPr>
          <w:b/>
          <w:sz w:val="28"/>
          <w:szCs w:val="28"/>
        </w:rPr>
      </w:pPr>
    </w:p>
    <w:p w:rsidR="00CE7C11" w:rsidRDefault="00CE7C11" w:rsidP="008919C6">
      <w:pPr>
        <w:jc w:val="center"/>
        <w:rPr>
          <w:b/>
          <w:sz w:val="28"/>
          <w:szCs w:val="28"/>
        </w:rPr>
      </w:pPr>
    </w:p>
    <w:p w:rsidR="00AD090F" w:rsidRDefault="00AD090F" w:rsidP="008919C6">
      <w:pPr>
        <w:jc w:val="center"/>
        <w:rPr>
          <w:b/>
          <w:sz w:val="28"/>
          <w:szCs w:val="28"/>
        </w:rPr>
      </w:pPr>
    </w:p>
    <w:p w:rsidR="00AD090F" w:rsidRDefault="00AD090F" w:rsidP="008919C6">
      <w:pPr>
        <w:jc w:val="center"/>
        <w:rPr>
          <w:b/>
          <w:sz w:val="28"/>
          <w:szCs w:val="28"/>
        </w:rPr>
      </w:pPr>
    </w:p>
    <w:p w:rsidR="00186A7C" w:rsidRPr="008919C6" w:rsidRDefault="00186A7C" w:rsidP="008919C6">
      <w:pPr>
        <w:jc w:val="center"/>
        <w:rPr>
          <w:b/>
          <w:sz w:val="28"/>
          <w:szCs w:val="28"/>
        </w:rPr>
      </w:pPr>
      <w:r w:rsidRPr="008919C6">
        <w:rPr>
          <w:b/>
          <w:sz w:val="28"/>
          <w:szCs w:val="28"/>
        </w:rPr>
        <w:lastRenderedPageBreak/>
        <w:t>Bibliography</w:t>
      </w:r>
    </w:p>
    <w:p w:rsidR="00186A7C" w:rsidRDefault="00186A7C" w:rsidP="00186A7C">
      <w:r>
        <w:t xml:space="preserve">King, P. M., &amp; Kitchener, K. S. (1994). </w:t>
      </w:r>
      <w:r w:rsidRPr="00687285">
        <w:rPr>
          <w:i/>
        </w:rPr>
        <w:t>Developing reflective judgment: Understanding and promoting intellectual growth and critical thinking in adolescents and adults</w:t>
      </w:r>
      <w:r>
        <w:t>. San Francisco, CA: Jossey-Bass</w:t>
      </w:r>
    </w:p>
    <w:p w:rsidR="00AD090F" w:rsidRDefault="00AD090F" w:rsidP="00186A7C">
      <w:r>
        <w:t xml:space="preserve">QAA (2018) </w:t>
      </w:r>
      <w:r w:rsidRPr="008D5212">
        <w:rPr>
          <w:i/>
        </w:rPr>
        <w:t>Enterprise and Entrepreneurship Education: Guidance for UK Higher Education Providers.</w:t>
      </w:r>
      <w:r>
        <w:t xml:space="preserve"> Available at: </w:t>
      </w:r>
      <w:hyperlink r:id="rId14" w:history="1">
        <w:r w:rsidRPr="00050B3C">
          <w:rPr>
            <w:rStyle w:val="Hyperlink"/>
          </w:rPr>
          <w:t>http://www.qaa.ac.uk/docs/qaa/about-us/enterprise-and-entrpreneurship-education-2018.pdf?sfvrsn=20e2f581_10</w:t>
        </w:r>
      </w:hyperlink>
      <w:r>
        <w:t xml:space="preserve"> (Accessed: 4 November 2018).</w:t>
      </w:r>
    </w:p>
    <w:p w:rsidR="00186A7C" w:rsidRDefault="00186A7C" w:rsidP="00186A7C">
      <w:r>
        <w:t>Wales.</w:t>
      </w:r>
      <w:r w:rsidRPr="002F57FC">
        <w:t xml:space="preserve"> </w:t>
      </w:r>
      <w:r>
        <w:t xml:space="preserve">Welsh European Funding Office (2018) </w:t>
      </w:r>
      <w:r w:rsidRPr="002F57FC">
        <w:rPr>
          <w:i/>
        </w:rPr>
        <w:t>European Structural Funds 2014-2020: Cross Cutting Themes Key Document – European Social Fund</w:t>
      </w:r>
      <w:r>
        <w:rPr>
          <w:i/>
        </w:rPr>
        <w:t>.</w:t>
      </w:r>
      <w:r>
        <w:t xml:space="preserve"> [Online] Available at: </w:t>
      </w:r>
      <w:hyperlink r:id="rId15" w:history="1">
        <w:r w:rsidRPr="00050B3C">
          <w:rPr>
            <w:rStyle w:val="Hyperlink"/>
          </w:rPr>
          <w:t>https://gov.wales/docs/wefo/publications/181017-esf-key-en.pdf</w:t>
        </w:r>
      </w:hyperlink>
      <w:r>
        <w:t xml:space="preserve"> (Accessed: 4 November 2018).</w:t>
      </w:r>
    </w:p>
    <w:p w:rsidR="00186A7C" w:rsidRDefault="00186A7C"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8919C6" w:rsidRDefault="008919C6" w:rsidP="00186A7C"/>
    <w:p w:rsidR="00186A7C" w:rsidRPr="008919C6" w:rsidRDefault="00186A7C" w:rsidP="008919C6">
      <w:pPr>
        <w:jc w:val="center"/>
        <w:rPr>
          <w:b/>
          <w:sz w:val="28"/>
          <w:szCs w:val="28"/>
        </w:rPr>
      </w:pPr>
      <w:r w:rsidRPr="008919C6">
        <w:rPr>
          <w:b/>
          <w:sz w:val="28"/>
          <w:szCs w:val="28"/>
        </w:rPr>
        <w:t>Appendices section</w:t>
      </w:r>
    </w:p>
    <w:p w:rsidR="00186A7C" w:rsidRDefault="00186A7C" w:rsidP="00186A7C">
      <w:r>
        <w:t>Appendix 1</w:t>
      </w:r>
    </w:p>
    <w:p w:rsidR="00186A7C" w:rsidRDefault="00186A7C" w:rsidP="008919C6">
      <w:pPr>
        <w:jc w:val="center"/>
      </w:pPr>
      <w:r>
        <w:rPr>
          <w:noProof/>
        </w:rPr>
        <w:drawing>
          <wp:inline distT="0" distB="0" distL="0" distR="0" wp14:anchorId="790CD50F" wp14:editId="7C569FC0">
            <wp:extent cx="4563112" cy="4077269"/>
            <wp:effectExtent l="0" t="0" r="8890" b="0"/>
            <wp:docPr id="1" name="Picture 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DC2CCE.tmp"/>
                    <pic:cNvPicPr/>
                  </pic:nvPicPr>
                  <pic:blipFill>
                    <a:blip r:embed="rId16">
                      <a:extLst>
                        <a:ext uri="{28A0092B-C50C-407E-A947-70E740481C1C}">
                          <a14:useLocalDpi xmlns:a14="http://schemas.microsoft.com/office/drawing/2010/main" val="0"/>
                        </a:ext>
                      </a:extLst>
                    </a:blip>
                    <a:stretch>
                      <a:fillRect/>
                    </a:stretch>
                  </pic:blipFill>
                  <pic:spPr>
                    <a:xfrm>
                      <a:off x="0" y="0"/>
                      <a:ext cx="4563112" cy="4077269"/>
                    </a:xfrm>
                    <a:prstGeom prst="rect">
                      <a:avLst/>
                    </a:prstGeom>
                  </pic:spPr>
                </pic:pic>
              </a:graphicData>
            </a:graphic>
          </wp:inline>
        </w:drawing>
      </w:r>
    </w:p>
    <w:p w:rsidR="008919C6" w:rsidRDefault="008919C6" w:rsidP="008919C6">
      <w:pPr>
        <w:jc w:val="center"/>
      </w:pPr>
    </w:p>
    <w:p w:rsidR="00AD090F" w:rsidRDefault="00083A03" w:rsidP="00AD090F">
      <w:r>
        <w:t>App</w:t>
      </w:r>
      <w:r w:rsidR="008919C6">
        <w:t>endix 2</w:t>
      </w:r>
      <w:r w:rsidR="00AD090F">
        <w:t xml:space="preserve">: </w:t>
      </w:r>
      <w:proofErr w:type="spellStart"/>
      <w:r w:rsidR="00AD090F">
        <w:t>Roskos</w:t>
      </w:r>
      <w:proofErr w:type="spellEnd"/>
      <w:r w:rsidR="00AD090F">
        <w:t xml:space="preserve"> and Neuman (2012).</w:t>
      </w:r>
    </w:p>
    <w:p w:rsidR="00AD090F" w:rsidRDefault="00AD090F" w:rsidP="00673ACB"/>
    <w:p w:rsidR="008919C6" w:rsidRDefault="00186A7C" w:rsidP="00AD090F">
      <w:pPr>
        <w:jc w:val="center"/>
      </w:pPr>
      <w:r>
        <w:rPr>
          <w:noProof/>
        </w:rPr>
        <w:drawing>
          <wp:inline distT="0" distB="0" distL="0" distR="0" wp14:anchorId="75BB5E30" wp14:editId="301949B4">
            <wp:extent cx="4439270" cy="2800741"/>
            <wp:effectExtent l="0" t="0" r="0" b="0"/>
            <wp:docPr id="6" name="Picture 6" descr="A close up of a key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1C782D.tmp"/>
                    <pic:cNvPicPr/>
                  </pic:nvPicPr>
                  <pic:blipFill>
                    <a:blip r:embed="rId17">
                      <a:extLst>
                        <a:ext uri="{28A0092B-C50C-407E-A947-70E740481C1C}">
                          <a14:useLocalDpi xmlns:a14="http://schemas.microsoft.com/office/drawing/2010/main" val="0"/>
                        </a:ext>
                      </a:extLst>
                    </a:blip>
                    <a:stretch>
                      <a:fillRect/>
                    </a:stretch>
                  </pic:blipFill>
                  <pic:spPr>
                    <a:xfrm>
                      <a:off x="0" y="0"/>
                      <a:ext cx="4439270" cy="2800741"/>
                    </a:xfrm>
                    <a:prstGeom prst="rect">
                      <a:avLst/>
                    </a:prstGeom>
                  </pic:spPr>
                </pic:pic>
              </a:graphicData>
            </a:graphic>
          </wp:inline>
        </w:drawing>
      </w:r>
    </w:p>
    <w:p w:rsidR="008919C6" w:rsidRDefault="008919C6" w:rsidP="008919C6"/>
    <w:p w:rsidR="008919C6" w:rsidRDefault="008919C6" w:rsidP="008919C6"/>
    <w:p w:rsidR="00AD090F" w:rsidRDefault="008919C6" w:rsidP="00AD090F">
      <w:r>
        <w:t>Appendix 3</w:t>
      </w:r>
      <w:r w:rsidR="00AD090F">
        <w:t xml:space="preserve">: </w:t>
      </w:r>
      <w:r w:rsidR="00AD090F" w:rsidRPr="008C5977">
        <w:t>Cent</w:t>
      </w:r>
      <w:r w:rsidR="00AD090F">
        <w:t>re</w:t>
      </w:r>
      <w:r w:rsidR="00AD090F" w:rsidRPr="008C5977">
        <w:t xml:space="preserve"> for Education and Innovation (201</w:t>
      </w:r>
      <w:r w:rsidR="00AD090F">
        <w:t>6</w:t>
      </w:r>
      <w:r w:rsidR="00AD090F" w:rsidRPr="008C5977">
        <w:t>)</w:t>
      </w:r>
    </w:p>
    <w:p w:rsidR="008919C6" w:rsidRDefault="008919C6" w:rsidP="008919C6"/>
    <w:p w:rsidR="008919C6" w:rsidRDefault="00186A7C" w:rsidP="00673ACB">
      <w:r>
        <w:rPr>
          <w:noProof/>
        </w:rPr>
        <w:drawing>
          <wp:inline distT="0" distB="0" distL="0" distR="0" wp14:anchorId="082435FC" wp14:editId="7037AD28">
            <wp:extent cx="5731510" cy="3710940"/>
            <wp:effectExtent l="0" t="0" r="2540" b="3810"/>
            <wp:docPr id="8" name="Picture 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1C128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3710940"/>
                    </a:xfrm>
                    <a:prstGeom prst="rect">
                      <a:avLst/>
                    </a:prstGeom>
                  </pic:spPr>
                </pic:pic>
              </a:graphicData>
            </a:graphic>
          </wp:inline>
        </w:drawing>
      </w:r>
    </w:p>
    <w:p w:rsidR="008919C6" w:rsidRDefault="008919C6" w:rsidP="00673ACB"/>
    <w:p w:rsidR="00AD090F" w:rsidRDefault="00AD090F" w:rsidP="00673ACB"/>
    <w:p w:rsidR="008919C6" w:rsidRDefault="008919C6" w:rsidP="00673ACB">
      <w:r>
        <w:t>Appendix 4</w:t>
      </w:r>
      <w:r w:rsidR="00AD090F">
        <w:t>: Activity - Fill in the missing words</w:t>
      </w:r>
    </w:p>
    <w:p w:rsidR="00186A7C" w:rsidRPr="00673ACB" w:rsidRDefault="00186A7C" w:rsidP="008919C6">
      <w:pPr>
        <w:jc w:val="center"/>
      </w:pPr>
      <w:r w:rsidRPr="00875935">
        <w:rPr>
          <w:noProof/>
        </w:rPr>
        <w:drawing>
          <wp:inline distT="0" distB="0" distL="0" distR="0" wp14:anchorId="25C3F630" wp14:editId="69C862FB">
            <wp:extent cx="5731510" cy="2796540"/>
            <wp:effectExtent l="0" t="0" r="2540" b="3810"/>
            <wp:docPr id="33" name="Content Placeholder 8">
              <a:extLst xmlns:a="http://schemas.openxmlformats.org/drawingml/2006/main">
                <a:ext uri="{FF2B5EF4-FFF2-40B4-BE49-F238E27FC236}">
                  <a16:creationId xmlns:a16="http://schemas.microsoft.com/office/drawing/2014/main" id="{E9EB598D-B0DB-4695-8037-9DAB8FFFD1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3" name="Content Placeholder 8">
                      <a:extLst>
                        <a:ext uri="{FF2B5EF4-FFF2-40B4-BE49-F238E27FC236}">
                          <a16:creationId xmlns:a16="http://schemas.microsoft.com/office/drawing/2014/main" id="{E9EB598D-B0DB-4695-8037-9DAB8FFFD156}"/>
                        </a:ext>
                      </a:extLst>
                    </pic:cNvPr>
                    <pic:cNvPicPr>
                      <a:picLocks noGrp="1"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2796540"/>
                    </a:xfrm>
                    <a:prstGeom prst="rect">
                      <a:avLst/>
                    </a:prstGeom>
                  </pic:spPr>
                </pic:pic>
              </a:graphicData>
            </a:graphic>
          </wp:inline>
        </w:drawing>
      </w:r>
    </w:p>
    <w:sectPr w:rsidR="00186A7C" w:rsidRPr="00673ACB" w:rsidSect="008B3910">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95"/>
    <w:rsid w:val="00035A21"/>
    <w:rsid w:val="000531F6"/>
    <w:rsid w:val="00062064"/>
    <w:rsid w:val="00077184"/>
    <w:rsid w:val="00083A03"/>
    <w:rsid w:val="000C5E69"/>
    <w:rsid w:val="000E5695"/>
    <w:rsid w:val="000E7B23"/>
    <w:rsid w:val="000F1A1F"/>
    <w:rsid w:val="00110954"/>
    <w:rsid w:val="001119B0"/>
    <w:rsid w:val="00134F37"/>
    <w:rsid w:val="001416BF"/>
    <w:rsid w:val="00186A7C"/>
    <w:rsid w:val="001B2D5C"/>
    <w:rsid w:val="002158AF"/>
    <w:rsid w:val="002275F6"/>
    <w:rsid w:val="00260995"/>
    <w:rsid w:val="00297AFA"/>
    <w:rsid w:val="00314CE5"/>
    <w:rsid w:val="0033491D"/>
    <w:rsid w:val="003A4D15"/>
    <w:rsid w:val="003D15E7"/>
    <w:rsid w:val="003E1B31"/>
    <w:rsid w:val="00400C9F"/>
    <w:rsid w:val="00461261"/>
    <w:rsid w:val="0047004F"/>
    <w:rsid w:val="00487E45"/>
    <w:rsid w:val="004B5C57"/>
    <w:rsid w:val="004E40C2"/>
    <w:rsid w:val="005A0B2D"/>
    <w:rsid w:val="005A1153"/>
    <w:rsid w:val="005A3DA8"/>
    <w:rsid w:val="005C6D4E"/>
    <w:rsid w:val="005D18D9"/>
    <w:rsid w:val="005E281F"/>
    <w:rsid w:val="00612D9A"/>
    <w:rsid w:val="0064183E"/>
    <w:rsid w:val="00647E19"/>
    <w:rsid w:val="00655849"/>
    <w:rsid w:val="00673ACB"/>
    <w:rsid w:val="006916E9"/>
    <w:rsid w:val="006A5C0E"/>
    <w:rsid w:val="006A5FCC"/>
    <w:rsid w:val="006C268B"/>
    <w:rsid w:val="006F4E04"/>
    <w:rsid w:val="0073640A"/>
    <w:rsid w:val="00754F57"/>
    <w:rsid w:val="007A4B4F"/>
    <w:rsid w:val="007E05CE"/>
    <w:rsid w:val="007E0F5F"/>
    <w:rsid w:val="007F48E5"/>
    <w:rsid w:val="007F5E0E"/>
    <w:rsid w:val="008074C8"/>
    <w:rsid w:val="008246EF"/>
    <w:rsid w:val="00835BDD"/>
    <w:rsid w:val="00841430"/>
    <w:rsid w:val="00855B34"/>
    <w:rsid w:val="008568A0"/>
    <w:rsid w:val="00865302"/>
    <w:rsid w:val="008677DF"/>
    <w:rsid w:val="00872B32"/>
    <w:rsid w:val="008919C6"/>
    <w:rsid w:val="008A5194"/>
    <w:rsid w:val="008B3910"/>
    <w:rsid w:val="008B52D7"/>
    <w:rsid w:val="008B56C7"/>
    <w:rsid w:val="008B7E0B"/>
    <w:rsid w:val="008D510B"/>
    <w:rsid w:val="008F45CB"/>
    <w:rsid w:val="00915B74"/>
    <w:rsid w:val="009450DD"/>
    <w:rsid w:val="00946F33"/>
    <w:rsid w:val="00954F24"/>
    <w:rsid w:val="009668B9"/>
    <w:rsid w:val="00987AB3"/>
    <w:rsid w:val="00A12066"/>
    <w:rsid w:val="00A13198"/>
    <w:rsid w:val="00A23F07"/>
    <w:rsid w:val="00A671D1"/>
    <w:rsid w:val="00A71B6E"/>
    <w:rsid w:val="00AD090F"/>
    <w:rsid w:val="00AE24DB"/>
    <w:rsid w:val="00B03105"/>
    <w:rsid w:val="00B117FE"/>
    <w:rsid w:val="00B12029"/>
    <w:rsid w:val="00B26390"/>
    <w:rsid w:val="00B47006"/>
    <w:rsid w:val="00B8684F"/>
    <w:rsid w:val="00BF3CF6"/>
    <w:rsid w:val="00C06945"/>
    <w:rsid w:val="00C64434"/>
    <w:rsid w:val="00CE213C"/>
    <w:rsid w:val="00CE7C11"/>
    <w:rsid w:val="00D26C6A"/>
    <w:rsid w:val="00D42D83"/>
    <w:rsid w:val="00D57D6F"/>
    <w:rsid w:val="00DA4A95"/>
    <w:rsid w:val="00DB7256"/>
    <w:rsid w:val="00E3016C"/>
    <w:rsid w:val="00E67D17"/>
    <w:rsid w:val="00E87BA9"/>
    <w:rsid w:val="00ED156A"/>
    <w:rsid w:val="00EE1155"/>
    <w:rsid w:val="00EF1F45"/>
    <w:rsid w:val="00F33E9B"/>
    <w:rsid w:val="00F52BC2"/>
    <w:rsid w:val="00F94D1C"/>
    <w:rsid w:val="00FA76FA"/>
    <w:rsid w:val="00FD075C"/>
    <w:rsid w:val="00FD4287"/>
    <w:rsid w:val="00FF0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4DF65"/>
  <w15:chartTrackingRefBased/>
  <w15:docId w15:val="{CE270951-E8C3-4594-B251-D1B886CD3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71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6A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93385">
      <w:bodyDiv w:val="1"/>
      <w:marLeft w:val="0"/>
      <w:marRight w:val="0"/>
      <w:marTop w:val="0"/>
      <w:marBottom w:val="0"/>
      <w:divBdr>
        <w:top w:val="none" w:sz="0" w:space="0" w:color="auto"/>
        <w:left w:val="none" w:sz="0" w:space="0" w:color="auto"/>
        <w:bottom w:val="none" w:sz="0" w:space="0" w:color="auto"/>
        <w:right w:val="none" w:sz="0" w:space="0" w:color="auto"/>
      </w:divBdr>
    </w:div>
    <w:div w:id="293172540">
      <w:bodyDiv w:val="1"/>
      <w:marLeft w:val="0"/>
      <w:marRight w:val="0"/>
      <w:marTop w:val="0"/>
      <w:marBottom w:val="0"/>
      <w:divBdr>
        <w:top w:val="none" w:sz="0" w:space="0" w:color="auto"/>
        <w:left w:val="none" w:sz="0" w:space="0" w:color="auto"/>
        <w:bottom w:val="none" w:sz="0" w:space="0" w:color="auto"/>
        <w:right w:val="none" w:sz="0" w:space="0" w:color="auto"/>
      </w:divBdr>
    </w:div>
    <w:div w:id="205168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0309877X.2011.644780?needAccess=true" TargetMode="External"/><Relationship Id="rId13" Type="http://schemas.openxmlformats.org/officeDocument/2006/relationships/hyperlink" Target="https://link.springer.com/article/10.1007%2Fs10734-017-0211-4" TargetMode="External"/><Relationship Id="rId18" Type="http://schemas.openxmlformats.org/officeDocument/2006/relationships/image" Target="media/image3.tmp"/><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search-proquest-com.ezproxy.uwtsd.ac.uk/docview/814375797?accountid=130472&amp;rfr_id=info%3Axri%2Fsid%3Aprimo" TargetMode="External"/><Relationship Id="rId12" Type="http://schemas.openxmlformats.org/officeDocument/2006/relationships/hyperlink" Target="https://web-b-ebscohost-com.ezproxy.uwtsd.ac.uk/ehost/pdfviewer/pdfviewer?vid=1&amp;sid=a41b3536-f9c2-4e25-8502-f5ffa9bdfbdd%40pdc-v-sessmgr01" TargetMode="External"/><Relationship Id="rId17" Type="http://schemas.openxmlformats.org/officeDocument/2006/relationships/image" Target="media/image2.tmp"/><Relationship Id="rId2" Type="http://schemas.openxmlformats.org/officeDocument/2006/relationships/settings" Target="settings.xml"/><Relationship Id="rId16" Type="http://schemas.openxmlformats.org/officeDocument/2006/relationships/image" Target="media/image1.tmp"/><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publications.jrc.ec.europa.eu/repository/bitstream/JRC101581/lfna27939enn.pdf" TargetMode="External"/><Relationship Id="rId11" Type="http://schemas.openxmlformats.org/officeDocument/2006/relationships/hyperlink" Target="https://www.sdera.wa.edu.au/media/2134/ccea-section-g-teaching-and-learning-strategies.pdf" TargetMode="External"/><Relationship Id="rId5" Type="http://schemas.openxmlformats.org/officeDocument/2006/relationships/hyperlink" Target="http://www.ibe.unesco.org/en/glossary-curriculum-terminology/c/cross-cutting-themes" TargetMode="External"/><Relationship Id="rId15" Type="http://schemas.openxmlformats.org/officeDocument/2006/relationships/hyperlink" Target="https://gov.wales/docs/wefo/publications/181017-esf-key-en.pdf" TargetMode="External"/><Relationship Id="rId10" Type="http://schemas.openxmlformats.org/officeDocument/2006/relationships/hyperlink" Target="https://web-a-ebscohost-com.ezproxy.uwtsd.ac.uk/ehost/pdfviewer/pdfviewer?vid=1&amp;sid=c3b01a83-91fa-41da-a029-19860734401c%40sdc-v-sessmgr04" TargetMode="External"/><Relationship Id="rId19" Type="http://schemas.openxmlformats.org/officeDocument/2006/relationships/image" Target="media/image4.tmp"/><Relationship Id="rId4" Type="http://schemas.openxmlformats.org/officeDocument/2006/relationships/hyperlink" Target="http://cei.ust.hk/learner-centered-course-design/learning-assessment/self-and-peer-assessment/advantages-and" TargetMode="External"/><Relationship Id="rId9" Type="http://schemas.openxmlformats.org/officeDocument/2006/relationships/hyperlink" Target="https://ac-els-cdn-com.ezproxy.uwtsd.ac.uk/S1877129715301738/1-s2.0-S1877129715301738-main.pdf?_tid=43cea3dc-5f1f-40ec-8aa7-5208b4802057&amp;acdnat=1541249307_97ee986247d3d42a31787f5f244d237c" TargetMode="External"/><Relationship Id="rId14" Type="http://schemas.openxmlformats.org/officeDocument/2006/relationships/hyperlink" Target="http://www.qaa.ac.uk/docs/qaa/about-us/enterprise-and-entrpreneurship-education-2018.pdf?sfvrsn=20e2f581_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11</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39</cp:revision>
  <dcterms:created xsi:type="dcterms:W3CDTF">2018-11-03T08:48:00Z</dcterms:created>
  <dcterms:modified xsi:type="dcterms:W3CDTF">2018-11-15T11:13:00Z</dcterms:modified>
</cp:coreProperties>
</file>