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3F6BD" w14:textId="36EE4E52" w:rsidR="00925308" w:rsidRDefault="00925308">
      <w:pPr>
        <w:rPr>
          <w:color w:val="222222"/>
          <w:highlight w:val="white"/>
        </w:rPr>
      </w:pPr>
      <w:r>
        <w:rPr>
          <w:color w:val="222222"/>
          <w:highlight w:val="white"/>
        </w:rPr>
        <w:t>Owain Langton. Learner Number: 2132148</w:t>
      </w:r>
    </w:p>
    <w:p w14:paraId="29F5BD97" w14:textId="77777777" w:rsidR="00925308" w:rsidRDefault="00925308">
      <w:pPr>
        <w:rPr>
          <w:color w:val="222222"/>
          <w:highlight w:val="white"/>
        </w:rPr>
      </w:pPr>
    </w:p>
    <w:p w14:paraId="00000001" w14:textId="53771AB4" w:rsidR="00FF01A1" w:rsidRDefault="00000000">
      <w:pPr>
        <w:rPr>
          <w:color w:val="222222"/>
          <w:highlight w:val="white"/>
        </w:rPr>
      </w:pPr>
      <w:r>
        <w:rPr>
          <w:color w:val="222222"/>
          <w:highlight w:val="white"/>
        </w:rPr>
        <w:t xml:space="preserve">Essay one: </w:t>
      </w:r>
    </w:p>
    <w:p w14:paraId="00000002" w14:textId="77777777" w:rsidR="00FF01A1" w:rsidRDefault="00000000">
      <w:pPr>
        <w:rPr>
          <w:color w:val="222222"/>
          <w:highlight w:val="white"/>
        </w:rPr>
      </w:pPr>
      <w:r>
        <w:rPr>
          <w:color w:val="222222"/>
          <w:highlight w:val="white"/>
        </w:rPr>
        <w:t xml:space="preserve">“Inclusion is increasingly recognised as essential to support and achieve diversity improvement” (Durham University, 2020). Examine the role of organisational culture in creating an inclusive and diverse workforce within policing. </w:t>
      </w:r>
    </w:p>
    <w:p w14:paraId="00000003" w14:textId="77777777" w:rsidR="00FF01A1" w:rsidRDefault="00FF01A1">
      <w:pPr>
        <w:rPr>
          <w:color w:val="222222"/>
          <w:highlight w:val="white"/>
        </w:rPr>
      </w:pPr>
    </w:p>
    <w:p w14:paraId="00000004" w14:textId="77777777" w:rsidR="00FF01A1" w:rsidRDefault="00000000">
      <w:pPr>
        <w:rPr>
          <w:color w:val="222222"/>
          <w:highlight w:val="white"/>
        </w:rPr>
      </w:pPr>
      <w:r>
        <w:rPr>
          <w:color w:val="222222"/>
          <w:highlight w:val="white"/>
        </w:rPr>
        <w:t xml:space="preserve">For this essay I will be exploring the role of the organisational culture within the police service in creating an inclusive and diverse workplace, focusing specifically on Dyslexia, and the impact that Dyslexia has in the police service. </w:t>
      </w:r>
    </w:p>
    <w:p w14:paraId="00000005" w14:textId="77777777" w:rsidR="00FF01A1" w:rsidRDefault="00FF01A1">
      <w:pPr>
        <w:rPr>
          <w:color w:val="222222"/>
          <w:highlight w:val="white"/>
        </w:rPr>
      </w:pPr>
    </w:p>
    <w:p w14:paraId="00000006" w14:textId="77777777" w:rsidR="00FF01A1" w:rsidRDefault="00000000">
      <w:pPr>
        <w:rPr>
          <w:color w:val="222222"/>
          <w:highlight w:val="white"/>
        </w:rPr>
      </w:pPr>
      <w:proofErr w:type="gramStart"/>
      <w:r>
        <w:rPr>
          <w:color w:val="222222"/>
          <w:highlight w:val="white"/>
        </w:rPr>
        <w:t>Firstly</w:t>
      </w:r>
      <w:proofErr w:type="gramEnd"/>
      <w:r>
        <w:rPr>
          <w:color w:val="222222"/>
          <w:highlight w:val="white"/>
        </w:rPr>
        <w:t xml:space="preserve"> I will explore what dyslexia is, how many people in the general population have it and how this number translates into the police service. I will then explore how the police service in the UK supports people with dyslexia and increase diversity within the police force. </w:t>
      </w:r>
    </w:p>
    <w:p w14:paraId="00000007" w14:textId="77777777" w:rsidR="00FF01A1" w:rsidRDefault="00FF01A1">
      <w:pPr>
        <w:rPr>
          <w:color w:val="222222"/>
          <w:highlight w:val="white"/>
        </w:rPr>
      </w:pPr>
    </w:p>
    <w:p w14:paraId="00000008" w14:textId="77777777" w:rsidR="00FF01A1" w:rsidRDefault="00000000">
      <w:pPr>
        <w:rPr>
          <w:color w:val="222222"/>
          <w:highlight w:val="white"/>
        </w:rPr>
      </w:pPr>
      <w:r>
        <w:rPr>
          <w:color w:val="222222"/>
          <w:highlight w:val="white"/>
        </w:rPr>
        <w:t xml:space="preserve">Dyslexia is defined by the National Health Service (NHS) for the UK as a common learning difficulty that mainly causes problems with reading, writing, and spelling. The NHS continues to state that unlike a learning disability, intelligence isn’t affected by Dyslexia, and that they estimate 10% of the population to have some degree of dyslexia. However </w:t>
      </w:r>
      <w:proofErr w:type="spellStart"/>
      <w:r>
        <w:rPr>
          <w:color w:val="222222"/>
          <w:highlight w:val="white"/>
        </w:rPr>
        <w:t>Snowling</w:t>
      </w:r>
      <w:proofErr w:type="spellEnd"/>
      <w:r>
        <w:rPr>
          <w:color w:val="222222"/>
          <w:highlight w:val="white"/>
        </w:rPr>
        <w:t xml:space="preserve"> and others estimate the percentage to be somewhere between 4% and 8% (</w:t>
      </w:r>
      <w:proofErr w:type="spellStart"/>
      <w:r>
        <w:rPr>
          <w:color w:val="222222"/>
          <w:highlight w:val="white"/>
        </w:rPr>
        <w:t>Snowling</w:t>
      </w:r>
      <w:proofErr w:type="spellEnd"/>
      <w:r>
        <w:rPr>
          <w:color w:val="222222"/>
          <w:highlight w:val="white"/>
        </w:rPr>
        <w:t>, 2019.Snowling and Stackhouse, 2013</w:t>
      </w:r>
      <w:proofErr w:type="gramStart"/>
      <w:r>
        <w:rPr>
          <w:color w:val="222222"/>
          <w:highlight w:val="white"/>
        </w:rPr>
        <w:t>) .</w:t>
      </w:r>
      <w:proofErr w:type="gramEnd"/>
      <w:r>
        <w:rPr>
          <w:color w:val="222222"/>
          <w:highlight w:val="white"/>
        </w:rPr>
        <w:t xml:space="preserve"> </w:t>
      </w:r>
    </w:p>
    <w:p w14:paraId="00000009" w14:textId="77777777" w:rsidR="00FF01A1" w:rsidRDefault="00000000">
      <w:pPr>
        <w:rPr>
          <w:color w:val="222222"/>
          <w:highlight w:val="white"/>
        </w:rPr>
      </w:pPr>
      <w:proofErr w:type="spellStart"/>
      <w:r>
        <w:rPr>
          <w:color w:val="222222"/>
          <w:highlight w:val="white"/>
        </w:rPr>
        <w:t>Snowling</w:t>
      </w:r>
      <w:proofErr w:type="spellEnd"/>
      <w:r>
        <w:rPr>
          <w:color w:val="222222"/>
          <w:highlight w:val="white"/>
        </w:rPr>
        <w:t xml:space="preserve"> is extremely important in the study of dyslexia and his work with Maughan is very helpful when trying to understand the impact that dyslexia </w:t>
      </w:r>
      <w:proofErr w:type="gramStart"/>
      <w:r>
        <w:rPr>
          <w:color w:val="222222"/>
          <w:highlight w:val="white"/>
        </w:rPr>
        <w:t>has</w:t>
      </w:r>
      <w:proofErr w:type="gramEnd"/>
      <w:r>
        <w:rPr>
          <w:color w:val="222222"/>
          <w:highlight w:val="white"/>
        </w:rPr>
        <w:t xml:space="preserve">. </w:t>
      </w:r>
      <w:proofErr w:type="spellStart"/>
      <w:r>
        <w:rPr>
          <w:color w:val="222222"/>
          <w:highlight w:val="white"/>
        </w:rPr>
        <w:t>Snowling</w:t>
      </w:r>
      <w:proofErr w:type="spellEnd"/>
      <w:r>
        <w:rPr>
          <w:color w:val="222222"/>
          <w:highlight w:val="white"/>
        </w:rPr>
        <w:t xml:space="preserve"> describes dyslexia as having three key areas that it </w:t>
      </w:r>
      <w:proofErr w:type="gramStart"/>
      <w:r>
        <w:rPr>
          <w:color w:val="222222"/>
          <w:highlight w:val="white"/>
        </w:rPr>
        <w:t>affects;</w:t>
      </w:r>
      <w:proofErr w:type="gramEnd"/>
      <w:r>
        <w:rPr>
          <w:color w:val="222222"/>
          <w:highlight w:val="white"/>
        </w:rPr>
        <w:t xml:space="preserve"> phonological skills, short-term memory, and sequencing speed (</w:t>
      </w:r>
      <w:proofErr w:type="spellStart"/>
      <w:r>
        <w:rPr>
          <w:color w:val="222222"/>
          <w:highlight w:val="white"/>
        </w:rPr>
        <w:t>Snowling</w:t>
      </w:r>
      <w:proofErr w:type="spellEnd"/>
      <w:r>
        <w:rPr>
          <w:color w:val="222222"/>
          <w:highlight w:val="white"/>
        </w:rPr>
        <w:t xml:space="preserve"> and Stackhouse, 2013). </w:t>
      </w:r>
    </w:p>
    <w:p w14:paraId="0000000A" w14:textId="77777777" w:rsidR="00FF01A1" w:rsidRDefault="00000000">
      <w:pPr>
        <w:rPr>
          <w:color w:val="222222"/>
          <w:highlight w:val="white"/>
        </w:rPr>
      </w:pPr>
      <w:r>
        <w:rPr>
          <w:color w:val="222222"/>
          <w:highlight w:val="white"/>
        </w:rPr>
        <w:t xml:space="preserve">The impact that these three areas have on an individual can be surmised by the following generalisations, difficulty with speech and language, reading, spelling. Difficulty with concentration, following instructions (Peterson &amp; Pennington 2012). These difficulties are then amplified with </w:t>
      </w:r>
      <w:proofErr w:type="spellStart"/>
      <w:r>
        <w:rPr>
          <w:color w:val="222222"/>
          <w:highlight w:val="white"/>
        </w:rPr>
        <w:t>Snowlings</w:t>
      </w:r>
      <w:proofErr w:type="spellEnd"/>
      <w:r>
        <w:rPr>
          <w:color w:val="222222"/>
          <w:highlight w:val="white"/>
        </w:rPr>
        <w:t xml:space="preserve"> discovery of sequencing speed, whereby they state that this has impact not only on the above difficulties, but on organisational skills, and ordered information (</w:t>
      </w:r>
      <w:proofErr w:type="spellStart"/>
      <w:r>
        <w:rPr>
          <w:color w:val="222222"/>
          <w:highlight w:val="white"/>
        </w:rPr>
        <w:t>Snowling</w:t>
      </w:r>
      <w:proofErr w:type="spellEnd"/>
      <w:r>
        <w:rPr>
          <w:color w:val="222222"/>
          <w:highlight w:val="white"/>
        </w:rPr>
        <w:t xml:space="preserve"> and Stackhouse, 2013).</w:t>
      </w:r>
    </w:p>
    <w:p w14:paraId="0000000B" w14:textId="77777777" w:rsidR="00FF01A1" w:rsidRDefault="00FF01A1">
      <w:pPr>
        <w:rPr>
          <w:color w:val="222222"/>
          <w:highlight w:val="white"/>
        </w:rPr>
      </w:pPr>
    </w:p>
    <w:p w14:paraId="0000000C" w14:textId="77777777" w:rsidR="00FF01A1" w:rsidRDefault="00000000">
      <w:pPr>
        <w:rPr>
          <w:color w:val="222222"/>
          <w:highlight w:val="white"/>
        </w:rPr>
      </w:pPr>
      <w:r>
        <w:rPr>
          <w:color w:val="222222"/>
          <w:highlight w:val="white"/>
        </w:rPr>
        <w:t xml:space="preserve">Following from the statistics stated above this essay will now explore possible reasons why officers within the police do not identify as being dyslexic, and how they are able to go about their job and not be identified within the organisation as having dyslexia. </w:t>
      </w:r>
    </w:p>
    <w:p w14:paraId="0000000D" w14:textId="77777777" w:rsidR="00FF01A1" w:rsidRDefault="00FF01A1">
      <w:pPr>
        <w:rPr>
          <w:color w:val="222222"/>
          <w:highlight w:val="white"/>
        </w:rPr>
      </w:pPr>
    </w:p>
    <w:p w14:paraId="0000000E" w14:textId="77777777" w:rsidR="00FF01A1" w:rsidRDefault="00000000">
      <w:pPr>
        <w:rPr>
          <w:color w:val="222222"/>
          <w:highlight w:val="white"/>
        </w:rPr>
      </w:pPr>
      <w:r>
        <w:rPr>
          <w:color w:val="222222"/>
          <w:highlight w:val="white"/>
        </w:rPr>
        <w:t>Within the readings of Police Work: The Social Organisation of Policing  (Manning, 1997) states that for an officer’s work to be deemed “good” they must be able to do the following: manage agreement between parties and maintain control over the direction of their actions; the adoption of a cool, unemotional tone; to demonstrate properly executed tactics and properly applied skills; and to adopt an open-minded view of encounters with the public.</w:t>
      </w:r>
    </w:p>
    <w:p w14:paraId="0000000F" w14:textId="77777777" w:rsidR="00FF01A1" w:rsidRDefault="00000000">
      <w:pPr>
        <w:rPr>
          <w:color w:val="222222"/>
          <w:highlight w:val="white"/>
        </w:rPr>
      </w:pPr>
      <w:r>
        <w:rPr>
          <w:color w:val="222222"/>
          <w:highlight w:val="white"/>
        </w:rPr>
        <w:t xml:space="preserve">All of these would in general be accomplished using an individual's emotional intelligence, and their ability to read people’s body language, and their ability to control their own emotions. None of this is therefore affected by dyslexia.  Furthermore, it is often an officer's experience of previous encounters that allow them to properly manage all of the above needs, and to provide positive outcomes when dealing with the public. </w:t>
      </w:r>
    </w:p>
    <w:p w14:paraId="00000010" w14:textId="77777777" w:rsidR="00FF01A1" w:rsidRDefault="00000000">
      <w:pPr>
        <w:rPr>
          <w:color w:val="222222"/>
          <w:highlight w:val="white"/>
        </w:rPr>
      </w:pPr>
      <w:r>
        <w:rPr>
          <w:color w:val="222222"/>
          <w:highlight w:val="white"/>
        </w:rPr>
        <w:t xml:space="preserve">Manning (2014) continues to state that the possession of a wide range of communication skills is essential to police work, but their application is a matter of judgement. </w:t>
      </w:r>
      <w:proofErr w:type="gramStart"/>
      <w:r>
        <w:rPr>
          <w:color w:val="222222"/>
          <w:highlight w:val="white"/>
        </w:rPr>
        <w:t>Therefore</w:t>
      </w:r>
      <w:proofErr w:type="gramEnd"/>
      <w:r>
        <w:rPr>
          <w:color w:val="222222"/>
          <w:highlight w:val="white"/>
        </w:rPr>
        <w:t xml:space="preserve"> due </w:t>
      </w:r>
      <w:r>
        <w:rPr>
          <w:color w:val="222222"/>
          <w:highlight w:val="white"/>
        </w:rPr>
        <w:lastRenderedPageBreak/>
        <w:t xml:space="preserve">to the difficulty and subjective nature of assessing proper communication technique, it is difficult to assess if an officer has dyslexia when assessing them. It may be their personality traits, their cognitive ability, or a range of other subjective reasons, including dyslexia. </w:t>
      </w:r>
    </w:p>
    <w:p w14:paraId="00000011" w14:textId="77777777" w:rsidR="00FF01A1" w:rsidRDefault="00FF01A1">
      <w:pPr>
        <w:rPr>
          <w:color w:val="222222"/>
          <w:highlight w:val="white"/>
        </w:rPr>
      </w:pPr>
    </w:p>
    <w:p w14:paraId="00000012" w14:textId="77777777" w:rsidR="00FF01A1" w:rsidRDefault="00000000">
      <w:pPr>
        <w:rPr>
          <w:color w:val="222222"/>
          <w:highlight w:val="white"/>
        </w:rPr>
      </w:pPr>
      <w:r>
        <w:rPr>
          <w:color w:val="222222"/>
          <w:highlight w:val="white"/>
        </w:rPr>
        <w:t xml:space="preserve">The difficulty with assessing if someone has dyslexia through regular “good” (Manning, 1997) police work is coupled with what Bartlett says people have an anxiety about disclosing their information to employers due to the fear that their employer will respond in a negative or discriminatory fashion. </w:t>
      </w:r>
      <w:proofErr w:type="gramStart"/>
      <w:r>
        <w:rPr>
          <w:color w:val="222222"/>
          <w:highlight w:val="white"/>
        </w:rPr>
        <w:t>Furthermore</w:t>
      </w:r>
      <w:proofErr w:type="gramEnd"/>
      <w:r>
        <w:rPr>
          <w:color w:val="222222"/>
          <w:highlight w:val="white"/>
        </w:rPr>
        <w:t xml:space="preserve"> they may also fear this from their co-workers or direct line managers (Bartlett, Moody and Kindersley, 2010). </w:t>
      </w:r>
    </w:p>
    <w:p w14:paraId="00000013" w14:textId="77777777" w:rsidR="00FF01A1" w:rsidRDefault="00000000">
      <w:pPr>
        <w:rPr>
          <w:color w:val="222222"/>
          <w:highlight w:val="white"/>
        </w:rPr>
      </w:pPr>
      <w:r>
        <w:rPr>
          <w:color w:val="222222"/>
          <w:highlight w:val="white"/>
        </w:rPr>
        <w:t xml:space="preserve">Applying this to GWENT police there is a divide between the employer (GWENT police), which is made up of senior management, who very seldom contact or speak to individual officers, direct line managers in the form of Sergeants and Inspectors, whom have a massive impact on the daily welfare of officers due to regular daily interactions and having primary responsibility for the welfare of the officers below them. Further to this is the fear mentioned about co-workers, who may or may not be supportive of other officers, the support and camaraderie between co-workers is a large welfare indicator for individuals in a workplace (Hill, 2013). </w:t>
      </w:r>
    </w:p>
    <w:p w14:paraId="00000014" w14:textId="77777777" w:rsidR="00FF01A1" w:rsidRDefault="00FF01A1">
      <w:pPr>
        <w:rPr>
          <w:color w:val="222222"/>
          <w:highlight w:val="white"/>
        </w:rPr>
      </w:pPr>
    </w:p>
    <w:p w14:paraId="00000015" w14:textId="77777777" w:rsidR="00FF01A1" w:rsidRDefault="00000000">
      <w:pPr>
        <w:rPr>
          <w:color w:val="222222"/>
          <w:highlight w:val="white"/>
        </w:rPr>
      </w:pPr>
      <w:r>
        <w:rPr>
          <w:color w:val="222222"/>
          <w:highlight w:val="white"/>
        </w:rPr>
        <w:t xml:space="preserve">The police force </w:t>
      </w:r>
      <w:proofErr w:type="gramStart"/>
      <w:r>
        <w:rPr>
          <w:color w:val="222222"/>
          <w:highlight w:val="white"/>
        </w:rPr>
        <w:t>have</w:t>
      </w:r>
      <w:proofErr w:type="gramEnd"/>
      <w:r>
        <w:rPr>
          <w:color w:val="222222"/>
          <w:highlight w:val="white"/>
        </w:rPr>
        <w:t xml:space="preserve"> to be aware of the disability discrimination act 1995 and the equality act 2010, whereby it is unlawful to discriminate against people due to disability. These acts include dyslexia, meaning by law the police force </w:t>
      </w:r>
      <w:proofErr w:type="spellStart"/>
      <w:r>
        <w:rPr>
          <w:color w:val="222222"/>
          <w:highlight w:val="white"/>
        </w:rPr>
        <w:t>can not</w:t>
      </w:r>
      <w:proofErr w:type="spellEnd"/>
      <w:r>
        <w:rPr>
          <w:color w:val="222222"/>
          <w:highlight w:val="white"/>
        </w:rPr>
        <w:t xml:space="preserve"> discriminate against people with dyslexia. </w:t>
      </w:r>
    </w:p>
    <w:p w14:paraId="00000016" w14:textId="77777777" w:rsidR="00FF01A1" w:rsidRDefault="00000000">
      <w:pPr>
        <w:rPr>
          <w:color w:val="222222"/>
          <w:highlight w:val="white"/>
        </w:rPr>
      </w:pPr>
      <w:r>
        <w:rPr>
          <w:color w:val="222222"/>
          <w:highlight w:val="white"/>
        </w:rPr>
        <w:t xml:space="preserve">These acts instruct employers on how to remove barriers and facilitate people with disabilities within their organisation. </w:t>
      </w:r>
    </w:p>
    <w:p w14:paraId="00000017" w14:textId="77777777" w:rsidR="00FF01A1" w:rsidRDefault="00FF01A1">
      <w:pPr>
        <w:rPr>
          <w:color w:val="222222"/>
          <w:highlight w:val="white"/>
        </w:rPr>
      </w:pPr>
    </w:p>
    <w:p w14:paraId="00000018" w14:textId="77777777" w:rsidR="00FF01A1" w:rsidRDefault="00000000">
      <w:pPr>
        <w:rPr>
          <w:color w:val="222222"/>
          <w:highlight w:val="white"/>
        </w:rPr>
      </w:pPr>
      <w:r>
        <w:rPr>
          <w:color w:val="222222"/>
          <w:highlight w:val="white"/>
        </w:rPr>
        <w:t xml:space="preserve">Kirby (Kirby and Welch, 2016) states that a reason to disclose a disability such as dyslexia to the police service as an employee is to receive workplace support. This can involve support such as extra time for assignments or police work, assistive technology, or one to one help with work. </w:t>
      </w:r>
    </w:p>
    <w:p w14:paraId="00000019" w14:textId="77777777" w:rsidR="00FF01A1" w:rsidRDefault="00000000">
      <w:pPr>
        <w:rPr>
          <w:color w:val="222222"/>
          <w:highlight w:val="white"/>
        </w:rPr>
      </w:pPr>
      <w:r>
        <w:rPr>
          <w:color w:val="222222"/>
          <w:highlight w:val="white"/>
        </w:rPr>
        <w:t xml:space="preserve">Possibly the most useful piece of technology help would be the ability for workplace laptops to both listen to what the user is saying, and write it out, or for the laptop to use text-to-speech for the user to proof-read their own work. </w:t>
      </w:r>
    </w:p>
    <w:p w14:paraId="0000001A" w14:textId="77777777" w:rsidR="00FF01A1" w:rsidRDefault="00FF01A1">
      <w:pPr>
        <w:rPr>
          <w:color w:val="222222"/>
          <w:highlight w:val="white"/>
        </w:rPr>
      </w:pPr>
    </w:p>
    <w:p w14:paraId="0000001B" w14:textId="77777777" w:rsidR="00FF01A1" w:rsidRDefault="00FF01A1">
      <w:pPr>
        <w:rPr>
          <w:color w:val="222222"/>
          <w:highlight w:val="white"/>
        </w:rPr>
      </w:pPr>
    </w:p>
    <w:p w14:paraId="0000001C" w14:textId="77777777" w:rsidR="00FF01A1" w:rsidRDefault="00000000">
      <w:pPr>
        <w:rPr>
          <w:color w:val="222222"/>
          <w:highlight w:val="white"/>
        </w:rPr>
      </w:pPr>
      <w:r>
        <w:rPr>
          <w:color w:val="222222"/>
          <w:highlight w:val="white"/>
        </w:rPr>
        <w:t xml:space="preserve">Organisations such as GWENT police offer dyslexia screening, therefore allowing new recruits to test if they have dyslexia. They also offer types of assistive technology to those who are diagnosed with dyslexia, helping considerably with officers' work. </w:t>
      </w:r>
    </w:p>
    <w:p w14:paraId="0000001D" w14:textId="77777777" w:rsidR="00FF01A1" w:rsidRDefault="00000000">
      <w:pPr>
        <w:rPr>
          <w:color w:val="222222"/>
          <w:highlight w:val="white"/>
        </w:rPr>
      </w:pPr>
      <w:r>
        <w:rPr>
          <w:color w:val="222222"/>
          <w:highlight w:val="white"/>
        </w:rPr>
        <w:t xml:space="preserve">Lastly it is a cultural change which is needed within GWENT police, to allow people with disabilities such as dyslexia to talk about it openly and honestly with colleagues and the organisation in order for them to get help. </w:t>
      </w:r>
    </w:p>
    <w:p w14:paraId="0000001E" w14:textId="77777777" w:rsidR="00FF01A1" w:rsidRDefault="00FF01A1">
      <w:pPr>
        <w:rPr>
          <w:color w:val="222222"/>
          <w:highlight w:val="white"/>
        </w:rPr>
      </w:pPr>
    </w:p>
    <w:p w14:paraId="0000001F" w14:textId="77777777" w:rsidR="00FF01A1" w:rsidRDefault="00FF01A1">
      <w:pPr>
        <w:rPr>
          <w:color w:val="222222"/>
          <w:highlight w:val="white"/>
        </w:rPr>
      </w:pPr>
    </w:p>
    <w:p w14:paraId="00000020" w14:textId="77777777" w:rsidR="00FF01A1" w:rsidRDefault="00FF01A1">
      <w:pPr>
        <w:rPr>
          <w:color w:val="222222"/>
          <w:highlight w:val="white"/>
        </w:rPr>
      </w:pPr>
    </w:p>
    <w:p w14:paraId="00000021" w14:textId="77777777" w:rsidR="00FF01A1" w:rsidRDefault="00FF01A1">
      <w:pPr>
        <w:rPr>
          <w:color w:val="222222"/>
          <w:highlight w:val="white"/>
        </w:rPr>
      </w:pPr>
    </w:p>
    <w:p w14:paraId="00000022" w14:textId="77777777" w:rsidR="00FF01A1" w:rsidRDefault="00FF01A1">
      <w:pPr>
        <w:rPr>
          <w:color w:val="222222"/>
          <w:highlight w:val="white"/>
        </w:rPr>
      </w:pPr>
    </w:p>
    <w:p w14:paraId="00000023" w14:textId="77777777" w:rsidR="00FF01A1" w:rsidRDefault="00FF01A1">
      <w:pPr>
        <w:rPr>
          <w:color w:val="222222"/>
          <w:highlight w:val="white"/>
        </w:rPr>
      </w:pPr>
    </w:p>
    <w:p w14:paraId="00000024" w14:textId="77777777" w:rsidR="00FF01A1" w:rsidRDefault="00FF01A1">
      <w:pPr>
        <w:rPr>
          <w:color w:val="222222"/>
          <w:highlight w:val="white"/>
        </w:rPr>
      </w:pPr>
    </w:p>
    <w:p w14:paraId="7188C2E4" w14:textId="77777777" w:rsidR="00925308" w:rsidRDefault="00925308">
      <w:pPr>
        <w:rPr>
          <w:color w:val="222222"/>
          <w:highlight w:val="white"/>
        </w:rPr>
      </w:pPr>
    </w:p>
    <w:p w14:paraId="00000027" w14:textId="6F3F7C19" w:rsidR="00FF01A1" w:rsidRDefault="00000000">
      <w:pPr>
        <w:rPr>
          <w:color w:val="222222"/>
          <w:highlight w:val="white"/>
        </w:rPr>
      </w:pPr>
      <w:r>
        <w:rPr>
          <w:color w:val="222222"/>
          <w:highlight w:val="white"/>
        </w:rPr>
        <w:lastRenderedPageBreak/>
        <w:t xml:space="preserve">Essay two: </w:t>
      </w:r>
    </w:p>
    <w:p w14:paraId="00000028" w14:textId="77777777" w:rsidR="00FF01A1" w:rsidRDefault="00000000">
      <w:pPr>
        <w:rPr>
          <w:color w:val="222222"/>
          <w:highlight w:val="white"/>
        </w:rPr>
      </w:pPr>
      <w:r>
        <w:rPr>
          <w:color w:val="222222"/>
          <w:highlight w:val="white"/>
        </w:rPr>
        <w:t>Response policing – critically evaluate the role of response officers in dealing with critical/major incidents.</w:t>
      </w:r>
    </w:p>
    <w:p w14:paraId="00000029" w14:textId="77777777" w:rsidR="00FF01A1" w:rsidRDefault="00FF01A1">
      <w:pPr>
        <w:rPr>
          <w:color w:val="222222"/>
          <w:highlight w:val="white"/>
        </w:rPr>
      </w:pPr>
    </w:p>
    <w:p w14:paraId="0000002A" w14:textId="77777777" w:rsidR="00FF01A1" w:rsidRDefault="00000000">
      <w:pPr>
        <w:rPr>
          <w:color w:val="222222"/>
          <w:highlight w:val="white"/>
        </w:rPr>
      </w:pPr>
      <w:r>
        <w:rPr>
          <w:color w:val="222222"/>
          <w:highlight w:val="white"/>
        </w:rPr>
        <w:t xml:space="preserve">This essay will focus on the decision making of response officers, how they are trained to make decisions and what guides them in their decision making, and specifically how dealing with critical/major incidents affects the decisions made. </w:t>
      </w:r>
    </w:p>
    <w:p w14:paraId="0000002B" w14:textId="77777777" w:rsidR="00FF01A1" w:rsidRDefault="00000000">
      <w:pPr>
        <w:rPr>
          <w:color w:val="222222"/>
          <w:highlight w:val="white"/>
        </w:rPr>
      </w:pPr>
      <w:r>
        <w:rPr>
          <w:color w:val="222222"/>
          <w:highlight w:val="white"/>
        </w:rPr>
        <w:t xml:space="preserve">This essay will also make reference to academic </w:t>
      </w:r>
      <w:proofErr w:type="gramStart"/>
      <w:r>
        <w:rPr>
          <w:color w:val="222222"/>
          <w:highlight w:val="white"/>
        </w:rPr>
        <w:t>research,</w:t>
      </w:r>
      <w:proofErr w:type="gramEnd"/>
      <w:r>
        <w:rPr>
          <w:color w:val="222222"/>
          <w:highlight w:val="white"/>
        </w:rPr>
        <w:t xml:space="preserve"> however it will also include specific guidance made by the College of Policing and legislation that guides the College and officers. </w:t>
      </w:r>
    </w:p>
    <w:p w14:paraId="0000002C" w14:textId="77777777" w:rsidR="00FF01A1" w:rsidRDefault="00000000">
      <w:pPr>
        <w:rPr>
          <w:color w:val="222222"/>
          <w:highlight w:val="white"/>
        </w:rPr>
      </w:pPr>
      <w:r>
        <w:rPr>
          <w:color w:val="222222"/>
          <w:highlight w:val="white"/>
        </w:rPr>
        <w:t xml:space="preserve">Before exploring how officers are trained and guided to make decisions, this essay will explore what a decision is. Research from Kahneman (Kahneman, 2011) says that decision making can be split up into two different types. Type one he refers to as “System one thinking” or “intuition” this type of thinking he states is automatic and instant, and “System two thinking” or “Rational” thinking. This second system of thinking is what police training attempts to instil into recruits, guided by the Nation Decision making Model or NDM written by the above-mentioned College of Policing. To quote Kahneman’s ideas of system one and two: </w:t>
      </w:r>
    </w:p>
    <w:p w14:paraId="0000002D" w14:textId="77777777" w:rsidR="00FF01A1" w:rsidRDefault="00FF01A1">
      <w:pPr>
        <w:rPr>
          <w:color w:val="222222"/>
          <w:highlight w:val="white"/>
        </w:rPr>
      </w:pPr>
    </w:p>
    <w:p w14:paraId="0000002E" w14:textId="77777777" w:rsidR="00FF01A1" w:rsidRDefault="00000000">
      <w:pPr>
        <w:rPr>
          <w:i/>
          <w:highlight w:val="white"/>
        </w:rPr>
      </w:pPr>
      <w:r>
        <w:rPr>
          <w:i/>
          <w:highlight w:val="white"/>
        </w:rPr>
        <w:t xml:space="preserve">“The automatic operations of System 1 generate surprisingly complex patterns of ideas, but only the slower System 2 can construct thoughts in an orderly series of steps.” </w:t>
      </w:r>
    </w:p>
    <w:p w14:paraId="0000002F" w14:textId="77777777" w:rsidR="00FF01A1" w:rsidRDefault="00000000">
      <w:pPr>
        <w:rPr>
          <w:highlight w:val="white"/>
        </w:rPr>
      </w:pPr>
      <w:r>
        <w:rPr>
          <w:i/>
          <w:highlight w:val="white"/>
        </w:rPr>
        <w:t>(</w:t>
      </w:r>
      <w:r>
        <w:rPr>
          <w:highlight w:val="white"/>
        </w:rPr>
        <w:t>Kahneman 2011)</w:t>
      </w:r>
    </w:p>
    <w:p w14:paraId="00000030" w14:textId="77777777" w:rsidR="00FF01A1" w:rsidRDefault="00FF01A1">
      <w:pPr>
        <w:rPr>
          <w:color w:val="222222"/>
          <w:highlight w:val="white"/>
        </w:rPr>
      </w:pPr>
    </w:p>
    <w:p w14:paraId="00000031" w14:textId="77777777" w:rsidR="00FF01A1" w:rsidRDefault="00000000">
      <w:pPr>
        <w:rPr>
          <w:color w:val="222222"/>
          <w:highlight w:val="white"/>
        </w:rPr>
      </w:pPr>
      <w:r>
        <w:rPr>
          <w:color w:val="222222"/>
          <w:highlight w:val="white"/>
        </w:rPr>
        <w:t xml:space="preserve">An orderly series of steps takes us onto the main guidance given to response officers when dealing with all types of incidents. Mark </w:t>
      </w:r>
      <w:proofErr w:type="spellStart"/>
      <w:r>
        <w:rPr>
          <w:color w:val="222222"/>
          <w:highlight w:val="white"/>
        </w:rPr>
        <w:t>Roycroft</w:t>
      </w:r>
      <w:proofErr w:type="spellEnd"/>
      <w:r>
        <w:rPr>
          <w:color w:val="222222"/>
          <w:highlight w:val="white"/>
        </w:rPr>
        <w:t xml:space="preserve"> describes the role of a police officer in his book </w:t>
      </w:r>
      <w:r>
        <w:rPr>
          <w:i/>
          <w:color w:val="222222"/>
          <w:highlight w:val="white"/>
        </w:rPr>
        <w:t xml:space="preserve">Decision making in police enquiries and critical incidents </w:t>
      </w:r>
      <w:r>
        <w:rPr>
          <w:color w:val="222222"/>
          <w:highlight w:val="white"/>
        </w:rPr>
        <w:t>as “Unpredictable” (</w:t>
      </w:r>
      <w:proofErr w:type="spellStart"/>
      <w:r>
        <w:rPr>
          <w:color w:val="222222"/>
          <w:highlight w:val="white"/>
        </w:rPr>
        <w:t>Roycroft</w:t>
      </w:r>
      <w:proofErr w:type="spellEnd"/>
      <w:r>
        <w:rPr>
          <w:color w:val="222222"/>
          <w:highlight w:val="white"/>
        </w:rPr>
        <w:t xml:space="preserve"> and Roach, 2019) and questions whether police officers are or need to be different in their decision making to other professions like doctors, fire fighters, and soldiers. </w:t>
      </w:r>
    </w:p>
    <w:p w14:paraId="00000032" w14:textId="77777777" w:rsidR="00FF01A1" w:rsidRDefault="00000000">
      <w:pPr>
        <w:rPr>
          <w:color w:val="222222"/>
          <w:highlight w:val="white"/>
        </w:rPr>
      </w:pPr>
      <w:r>
        <w:rPr>
          <w:color w:val="222222"/>
          <w:highlight w:val="white"/>
        </w:rPr>
        <w:t xml:space="preserve">The guidance given to officers and repeatedly </w:t>
      </w:r>
      <w:proofErr w:type="spellStart"/>
      <w:r>
        <w:rPr>
          <w:color w:val="222222"/>
          <w:highlight w:val="white"/>
        </w:rPr>
        <w:t>mantra’d</w:t>
      </w:r>
      <w:proofErr w:type="spellEnd"/>
      <w:r>
        <w:rPr>
          <w:color w:val="222222"/>
          <w:highlight w:val="white"/>
        </w:rPr>
        <w:t xml:space="preserve"> within training school is the National </w:t>
      </w:r>
      <w:proofErr w:type="gramStart"/>
      <w:r>
        <w:rPr>
          <w:color w:val="222222"/>
          <w:highlight w:val="white"/>
        </w:rPr>
        <w:t>decision making</w:t>
      </w:r>
      <w:proofErr w:type="gramEnd"/>
      <w:r>
        <w:rPr>
          <w:color w:val="222222"/>
          <w:highlight w:val="white"/>
        </w:rPr>
        <w:t xml:space="preserve"> model (College Of Policing, 2014). The National decision model is based on five components for the user to think about, and then complete. Around these five components is the overarching “Code of Ethics”, which include such morals as Fairness, honesty, and respect, which all users of the model MUST include in all aspects of the decision that they make (College </w:t>
      </w:r>
      <w:proofErr w:type="gramStart"/>
      <w:r>
        <w:rPr>
          <w:color w:val="222222"/>
          <w:highlight w:val="white"/>
        </w:rPr>
        <w:t>Of</w:t>
      </w:r>
      <w:proofErr w:type="gramEnd"/>
      <w:r>
        <w:rPr>
          <w:color w:val="222222"/>
          <w:highlight w:val="white"/>
        </w:rPr>
        <w:t xml:space="preserve"> Policing, 2014).</w:t>
      </w:r>
    </w:p>
    <w:p w14:paraId="00000033" w14:textId="77777777" w:rsidR="00FF01A1" w:rsidRDefault="00FF01A1">
      <w:pPr>
        <w:rPr>
          <w:color w:val="222222"/>
          <w:highlight w:val="white"/>
        </w:rPr>
      </w:pPr>
    </w:p>
    <w:p w14:paraId="00000034" w14:textId="77777777" w:rsidR="00FF01A1" w:rsidRDefault="00000000">
      <w:pPr>
        <w:rPr>
          <w:color w:val="222222"/>
          <w:highlight w:val="white"/>
        </w:rPr>
      </w:pPr>
      <w:r>
        <w:rPr>
          <w:color w:val="222222"/>
          <w:highlight w:val="white"/>
        </w:rPr>
        <w:t xml:space="preserve">In order the National Decision Model is: Gather information and intelligence, </w:t>
      </w:r>
      <w:proofErr w:type="gramStart"/>
      <w:r>
        <w:rPr>
          <w:color w:val="222222"/>
          <w:highlight w:val="white"/>
        </w:rPr>
        <w:t>Assess</w:t>
      </w:r>
      <w:proofErr w:type="gramEnd"/>
      <w:r>
        <w:rPr>
          <w:color w:val="222222"/>
          <w:highlight w:val="white"/>
        </w:rPr>
        <w:t xml:space="preserve"> threat and risk and develop a working strategy, consider powers and policy, identify options and contingencies, take action and review what happened. (College Of Policing, 2014).</w:t>
      </w:r>
    </w:p>
    <w:p w14:paraId="00000035" w14:textId="77777777" w:rsidR="00FF01A1" w:rsidRDefault="00000000">
      <w:pPr>
        <w:rPr>
          <w:color w:val="222222"/>
          <w:highlight w:val="white"/>
        </w:rPr>
      </w:pPr>
      <w:r>
        <w:rPr>
          <w:color w:val="222222"/>
          <w:highlight w:val="white"/>
        </w:rPr>
        <w:t xml:space="preserve">When making a decision a response officer is to work from element to </w:t>
      </w:r>
      <w:proofErr w:type="gramStart"/>
      <w:r>
        <w:rPr>
          <w:color w:val="222222"/>
          <w:highlight w:val="white"/>
        </w:rPr>
        <w:t>element, and</w:t>
      </w:r>
      <w:proofErr w:type="gramEnd"/>
      <w:r>
        <w:rPr>
          <w:color w:val="222222"/>
          <w:highlight w:val="white"/>
        </w:rPr>
        <w:t xml:space="preserve"> make a decision. Once a decision has been </w:t>
      </w:r>
      <w:proofErr w:type="gramStart"/>
      <w:r>
        <w:rPr>
          <w:color w:val="222222"/>
          <w:highlight w:val="white"/>
        </w:rPr>
        <w:t>made</w:t>
      </w:r>
      <w:proofErr w:type="gramEnd"/>
      <w:r>
        <w:rPr>
          <w:color w:val="222222"/>
          <w:highlight w:val="white"/>
        </w:rPr>
        <w:t xml:space="preserve"> they are to follow the final element and take action on this decision, then review how it is playing out in real time. At ALL times the officer should be going through all elements of this Model, constantly reviewing their decision and understanding that if something changes, as constantly happens in dynamic </w:t>
      </w:r>
      <w:r>
        <w:rPr>
          <w:i/>
          <w:color w:val="222222"/>
          <w:highlight w:val="white"/>
        </w:rPr>
        <w:t xml:space="preserve">critical </w:t>
      </w:r>
      <w:r>
        <w:rPr>
          <w:color w:val="222222"/>
          <w:highlight w:val="white"/>
        </w:rPr>
        <w:t xml:space="preserve">incidents then they are to review their </w:t>
      </w:r>
      <w:proofErr w:type="gramStart"/>
      <w:r>
        <w:rPr>
          <w:color w:val="222222"/>
          <w:highlight w:val="white"/>
        </w:rPr>
        <w:t>decision, and</w:t>
      </w:r>
      <w:proofErr w:type="gramEnd"/>
      <w:r>
        <w:rPr>
          <w:color w:val="222222"/>
          <w:highlight w:val="white"/>
        </w:rPr>
        <w:t xml:space="preserve"> change the decision if necessary. </w:t>
      </w:r>
    </w:p>
    <w:p w14:paraId="00000036" w14:textId="77777777" w:rsidR="00FF01A1" w:rsidRDefault="00FF01A1">
      <w:pPr>
        <w:rPr>
          <w:color w:val="222222"/>
          <w:highlight w:val="white"/>
        </w:rPr>
      </w:pPr>
    </w:p>
    <w:p w14:paraId="00000037" w14:textId="77777777" w:rsidR="00FF01A1" w:rsidRDefault="00000000">
      <w:pPr>
        <w:rPr>
          <w:color w:val="222222"/>
          <w:highlight w:val="white"/>
        </w:rPr>
      </w:pPr>
      <w:r>
        <w:rPr>
          <w:color w:val="222222"/>
          <w:highlight w:val="white"/>
        </w:rPr>
        <w:t>Critical incidents are defined by the College of Policing as “</w:t>
      </w:r>
      <w:r>
        <w:rPr>
          <w:i/>
          <w:color w:val="222222"/>
          <w:highlight w:val="white"/>
        </w:rPr>
        <w:t xml:space="preserve">any incident where the effectiveness of the police response is likely to have a significant impact on the confidence of the victim, their family and/or the community”. </w:t>
      </w:r>
      <w:r>
        <w:rPr>
          <w:color w:val="222222"/>
          <w:highlight w:val="white"/>
        </w:rPr>
        <w:t xml:space="preserve">This is objectively quite a large category of </w:t>
      </w:r>
      <w:r>
        <w:rPr>
          <w:color w:val="222222"/>
          <w:highlight w:val="white"/>
        </w:rPr>
        <w:lastRenderedPageBreak/>
        <w:t xml:space="preserve">incident, whereby the wording used is quite open to interpretation. Use of the words “Likely, significant, victim/family/community" makes this definition broad as they are all subjective </w:t>
      </w:r>
      <w:proofErr w:type="gramStart"/>
      <w:r>
        <w:rPr>
          <w:color w:val="222222"/>
          <w:highlight w:val="white"/>
        </w:rPr>
        <w:t>terms, and</w:t>
      </w:r>
      <w:proofErr w:type="gramEnd"/>
      <w:r>
        <w:rPr>
          <w:color w:val="222222"/>
          <w:highlight w:val="white"/>
        </w:rPr>
        <w:t xml:space="preserve"> can mean different things to different people. (College of Policing, 2023)</w:t>
      </w:r>
    </w:p>
    <w:p w14:paraId="00000038" w14:textId="77777777" w:rsidR="00FF01A1" w:rsidRDefault="00FF01A1">
      <w:pPr>
        <w:rPr>
          <w:color w:val="222222"/>
          <w:highlight w:val="white"/>
        </w:rPr>
      </w:pPr>
    </w:p>
    <w:p w14:paraId="00000039" w14:textId="77777777" w:rsidR="00FF01A1" w:rsidRDefault="00000000">
      <w:pPr>
        <w:rPr>
          <w:color w:val="222222"/>
          <w:highlight w:val="white"/>
        </w:rPr>
      </w:pPr>
      <w:r>
        <w:rPr>
          <w:color w:val="222222"/>
          <w:highlight w:val="white"/>
        </w:rPr>
        <w:br/>
        <w:t xml:space="preserve">When looking at decision making at “Critical Incidents” there are two alternative </w:t>
      </w:r>
      <w:proofErr w:type="gramStart"/>
      <w:r>
        <w:rPr>
          <w:color w:val="222222"/>
          <w:highlight w:val="white"/>
        </w:rPr>
        <w:t>decision making</w:t>
      </w:r>
      <w:proofErr w:type="gramEnd"/>
      <w:r>
        <w:rPr>
          <w:color w:val="222222"/>
          <w:highlight w:val="white"/>
        </w:rPr>
        <w:t xml:space="preserve"> guidelines. </w:t>
      </w:r>
      <w:proofErr w:type="gramStart"/>
      <w:r>
        <w:rPr>
          <w:color w:val="222222"/>
          <w:highlight w:val="white"/>
        </w:rPr>
        <w:t>Firstly</w:t>
      </w:r>
      <w:proofErr w:type="gramEnd"/>
      <w:r>
        <w:rPr>
          <w:color w:val="222222"/>
          <w:highlight w:val="white"/>
        </w:rPr>
        <w:t xml:space="preserve"> there is The NPCC Murder Manual which has five stages, namely: Fast track actions, theoretical processes or investigative process, planned method of investigation, suspect enquiries, and disposal. </w:t>
      </w:r>
    </w:p>
    <w:p w14:paraId="0000003A" w14:textId="77777777" w:rsidR="00FF01A1" w:rsidRDefault="00000000">
      <w:pPr>
        <w:rPr>
          <w:color w:val="222222"/>
          <w:highlight w:val="white"/>
        </w:rPr>
      </w:pPr>
      <w:r>
        <w:rPr>
          <w:color w:val="222222"/>
          <w:highlight w:val="white"/>
        </w:rPr>
        <w:t xml:space="preserve">Secondly there is The NPCC Core Investigative Doctrine, which also has five main stages: Understanding the source of material, planning and preparation, examination, recording and collation, and evaluation. </w:t>
      </w:r>
    </w:p>
    <w:p w14:paraId="0000003B" w14:textId="77777777" w:rsidR="00FF01A1" w:rsidRDefault="00000000">
      <w:pPr>
        <w:rPr>
          <w:color w:val="222222"/>
          <w:highlight w:val="white"/>
        </w:rPr>
      </w:pPr>
      <w:r>
        <w:rPr>
          <w:color w:val="222222"/>
          <w:highlight w:val="white"/>
        </w:rPr>
        <w:t xml:space="preserve">For the purpose of this </w:t>
      </w:r>
      <w:proofErr w:type="gramStart"/>
      <w:r>
        <w:rPr>
          <w:color w:val="222222"/>
          <w:highlight w:val="white"/>
        </w:rPr>
        <w:t>essay</w:t>
      </w:r>
      <w:proofErr w:type="gramEnd"/>
      <w:r>
        <w:rPr>
          <w:color w:val="222222"/>
          <w:highlight w:val="white"/>
        </w:rPr>
        <w:t xml:space="preserve"> I am not going to explore these two alternative decision making models as they are directed more towards complex investigations and “Detective” roles, the standard “Response officer” would not use these models day to day when responding to critical incidents. They are however extremely useful when used in their specific role, with the Doctrine being particularly useful for tackling organised crime groups (Newburn and </w:t>
      </w:r>
      <w:proofErr w:type="spellStart"/>
      <w:r>
        <w:rPr>
          <w:color w:val="222222"/>
          <w:highlight w:val="white"/>
        </w:rPr>
        <w:t>Neyroud</w:t>
      </w:r>
      <w:proofErr w:type="spellEnd"/>
      <w:r>
        <w:rPr>
          <w:color w:val="222222"/>
          <w:highlight w:val="white"/>
        </w:rPr>
        <w:t>, 2008).</w:t>
      </w:r>
    </w:p>
    <w:p w14:paraId="0000003C" w14:textId="77777777" w:rsidR="00FF01A1" w:rsidRDefault="00FF01A1">
      <w:pPr>
        <w:rPr>
          <w:color w:val="222222"/>
          <w:highlight w:val="white"/>
        </w:rPr>
      </w:pPr>
    </w:p>
    <w:p w14:paraId="0000003D" w14:textId="77777777" w:rsidR="00FF01A1" w:rsidRDefault="00FF01A1">
      <w:pPr>
        <w:rPr>
          <w:color w:val="222222"/>
          <w:highlight w:val="white"/>
        </w:rPr>
      </w:pPr>
    </w:p>
    <w:p w14:paraId="0000003E" w14:textId="77777777" w:rsidR="00FF01A1" w:rsidRDefault="00000000">
      <w:pPr>
        <w:rPr>
          <w:color w:val="222222"/>
          <w:highlight w:val="white"/>
        </w:rPr>
      </w:pPr>
      <w:r>
        <w:rPr>
          <w:color w:val="222222"/>
          <w:highlight w:val="white"/>
        </w:rPr>
        <w:t xml:space="preserve">When talking about the National Decision Model specifically Mark </w:t>
      </w:r>
      <w:proofErr w:type="spellStart"/>
      <w:r>
        <w:rPr>
          <w:color w:val="222222"/>
          <w:highlight w:val="white"/>
        </w:rPr>
        <w:t>Roycroft</w:t>
      </w:r>
      <w:proofErr w:type="spellEnd"/>
      <w:r>
        <w:rPr>
          <w:color w:val="222222"/>
          <w:highlight w:val="white"/>
        </w:rPr>
        <w:t xml:space="preserve"> also introduces the idea of “The Golden Hour” (</w:t>
      </w:r>
      <w:proofErr w:type="spellStart"/>
      <w:r>
        <w:rPr>
          <w:color w:val="222222"/>
          <w:highlight w:val="white"/>
        </w:rPr>
        <w:t>Roycroft</w:t>
      </w:r>
      <w:proofErr w:type="spellEnd"/>
      <w:r>
        <w:rPr>
          <w:color w:val="222222"/>
          <w:highlight w:val="white"/>
        </w:rPr>
        <w:t xml:space="preserve"> and Roach, 2019), this idea of a golden hour in the early stages of an investigation is part of forming the decision making for a response officer, as there are several things that are time sensitive as soon as you arrive at any incident. He continues to state that there are four main key decision areas, derived from </w:t>
      </w:r>
      <w:proofErr w:type="spellStart"/>
      <w:r>
        <w:rPr>
          <w:color w:val="222222"/>
          <w:highlight w:val="white"/>
        </w:rPr>
        <w:t>Stelfox</w:t>
      </w:r>
      <w:proofErr w:type="spellEnd"/>
      <w:r>
        <w:rPr>
          <w:color w:val="222222"/>
          <w:highlight w:val="white"/>
        </w:rPr>
        <w:t xml:space="preserve">: Is the behaviour a criminal offence? Who might be a suspect? What further material needs to be gathered? And, </w:t>
      </w:r>
      <w:proofErr w:type="gramStart"/>
      <w:r>
        <w:rPr>
          <w:color w:val="222222"/>
          <w:highlight w:val="white"/>
        </w:rPr>
        <w:t>How</w:t>
      </w:r>
      <w:proofErr w:type="gramEnd"/>
      <w:r>
        <w:rPr>
          <w:color w:val="222222"/>
          <w:highlight w:val="white"/>
        </w:rPr>
        <w:t xml:space="preserve"> will the public be informed of up to date elements of the investigation and concerns?</w:t>
      </w:r>
    </w:p>
    <w:p w14:paraId="0000003F" w14:textId="77777777" w:rsidR="00FF01A1" w:rsidRDefault="00FF01A1">
      <w:pPr>
        <w:rPr>
          <w:color w:val="222222"/>
          <w:highlight w:val="white"/>
        </w:rPr>
      </w:pPr>
    </w:p>
    <w:p w14:paraId="00000040" w14:textId="77777777" w:rsidR="00FF01A1" w:rsidRDefault="00000000">
      <w:pPr>
        <w:rPr>
          <w:color w:val="222222"/>
          <w:highlight w:val="white"/>
        </w:rPr>
      </w:pPr>
      <w:proofErr w:type="gramStart"/>
      <w:r>
        <w:rPr>
          <w:color w:val="222222"/>
          <w:highlight w:val="white"/>
        </w:rPr>
        <w:t>Lastly</w:t>
      </w:r>
      <w:proofErr w:type="gramEnd"/>
      <w:r>
        <w:rPr>
          <w:color w:val="222222"/>
          <w:highlight w:val="white"/>
        </w:rPr>
        <w:t xml:space="preserve"> I will talk not only about critical incidents that the police attend, but of Major incidents that require more than one emergency response. This could be police and the fire service, police with the ambulance service, or a joint response from all three. </w:t>
      </w:r>
    </w:p>
    <w:p w14:paraId="00000041" w14:textId="77777777" w:rsidR="00FF01A1" w:rsidRDefault="00000000">
      <w:pPr>
        <w:rPr>
          <w:color w:val="222222"/>
          <w:highlight w:val="white"/>
        </w:rPr>
      </w:pPr>
      <w:r>
        <w:rPr>
          <w:color w:val="222222"/>
          <w:highlight w:val="white"/>
        </w:rPr>
        <w:t xml:space="preserve">In this situation a </w:t>
      </w:r>
      <w:proofErr w:type="gramStart"/>
      <w:r>
        <w:rPr>
          <w:color w:val="222222"/>
          <w:highlight w:val="white"/>
        </w:rPr>
        <w:t>decision making</w:t>
      </w:r>
      <w:proofErr w:type="gramEnd"/>
      <w:r>
        <w:rPr>
          <w:color w:val="222222"/>
          <w:highlight w:val="white"/>
        </w:rPr>
        <w:t xml:space="preserve"> response officer will not only use the decision making model, but they will refer to the Joint Emergency Service Interoperability Programme (JESIP) decision making model, which is only different due to the replacement of the police “Code of Ethics” with “</w:t>
      </w:r>
      <w:r>
        <w:rPr>
          <w:i/>
          <w:color w:val="222222"/>
          <w:highlight w:val="white"/>
        </w:rPr>
        <w:t>Working together Saving lives, Reduce harm</w:t>
      </w:r>
      <w:r>
        <w:rPr>
          <w:color w:val="222222"/>
          <w:highlight w:val="white"/>
        </w:rPr>
        <w:t>”. Which reminds all joint decision makers dealing with the incident of the primary aim of all responding emergency workers to save lives and reduce harm. (JESIP, 2022)</w:t>
      </w:r>
    </w:p>
    <w:p w14:paraId="00000042" w14:textId="77777777" w:rsidR="00FF01A1" w:rsidRDefault="00FF01A1">
      <w:pPr>
        <w:rPr>
          <w:color w:val="222222"/>
          <w:highlight w:val="white"/>
        </w:rPr>
      </w:pPr>
    </w:p>
    <w:p w14:paraId="00000043" w14:textId="77777777" w:rsidR="00FF01A1" w:rsidRDefault="00FF01A1">
      <w:pPr>
        <w:rPr>
          <w:color w:val="222222"/>
          <w:highlight w:val="white"/>
        </w:rPr>
      </w:pPr>
    </w:p>
    <w:p w14:paraId="00000044" w14:textId="77777777" w:rsidR="00FF01A1" w:rsidRDefault="00FF01A1">
      <w:pPr>
        <w:rPr>
          <w:color w:val="222222"/>
          <w:highlight w:val="white"/>
        </w:rPr>
      </w:pPr>
    </w:p>
    <w:p w14:paraId="00000045" w14:textId="77777777" w:rsidR="00FF01A1" w:rsidRDefault="00FF01A1">
      <w:pPr>
        <w:rPr>
          <w:color w:val="222222"/>
          <w:highlight w:val="white"/>
        </w:rPr>
      </w:pPr>
    </w:p>
    <w:p w14:paraId="00000046" w14:textId="77777777" w:rsidR="00FF01A1" w:rsidRDefault="00FF01A1">
      <w:pPr>
        <w:rPr>
          <w:color w:val="222222"/>
          <w:highlight w:val="white"/>
        </w:rPr>
      </w:pPr>
    </w:p>
    <w:p w14:paraId="00000047" w14:textId="77777777" w:rsidR="00FF01A1" w:rsidRDefault="00FF01A1">
      <w:pPr>
        <w:rPr>
          <w:color w:val="222222"/>
          <w:highlight w:val="white"/>
        </w:rPr>
      </w:pPr>
    </w:p>
    <w:p w14:paraId="00000048" w14:textId="77777777" w:rsidR="00FF01A1" w:rsidRDefault="00FF01A1">
      <w:pPr>
        <w:rPr>
          <w:color w:val="222222"/>
          <w:highlight w:val="white"/>
        </w:rPr>
      </w:pPr>
    </w:p>
    <w:p w14:paraId="00000049" w14:textId="77777777" w:rsidR="00FF01A1" w:rsidRDefault="00FF01A1">
      <w:pPr>
        <w:rPr>
          <w:color w:val="222222"/>
          <w:highlight w:val="white"/>
        </w:rPr>
      </w:pPr>
    </w:p>
    <w:p w14:paraId="0000004A" w14:textId="77777777" w:rsidR="00FF01A1" w:rsidRDefault="00FF01A1">
      <w:pPr>
        <w:rPr>
          <w:color w:val="222222"/>
          <w:highlight w:val="white"/>
        </w:rPr>
      </w:pPr>
    </w:p>
    <w:p w14:paraId="0000004B" w14:textId="77777777" w:rsidR="00FF01A1" w:rsidRDefault="00000000">
      <w:pPr>
        <w:rPr>
          <w:color w:val="222222"/>
          <w:highlight w:val="white"/>
        </w:rPr>
      </w:pPr>
      <w:r>
        <w:rPr>
          <w:color w:val="222222"/>
          <w:highlight w:val="white"/>
        </w:rPr>
        <w:lastRenderedPageBreak/>
        <w:t xml:space="preserve">Essay three: “Covert Human Intelligence Sources (CHIS) are crucial in preventing and safeguarding victims from many serious crimes” (Home Office, 2021). Critically evaluate the use of CHIS in the investigation of serious and organised crime. Your answer must be based on academic research, but you may refer to relevant, recent examples. </w:t>
      </w:r>
    </w:p>
    <w:p w14:paraId="0000004C" w14:textId="77777777" w:rsidR="00FF01A1" w:rsidRDefault="00000000">
      <w:pPr>
        <w:rPr>
          <w:color w:val="222222"/>
          <w:highlight w:val="white"/>
        </w:rPr>
      </w:pPr>
      <w:r>
        <w:rPr>
          <w:color w:val="222222"/>
          <w:highlight w:val="white"/>
        </w:rPr>
        <w:t xml:space="preserve">Word limit: 1000 words. </w:t>
      </w:r>
    </w:p>
    <w:p w14:paraId="0000004D" w14:textId="77777777" w:rsidR="00FF01A1" w:rsidRDefault="00FF01A1">
      <w:pPr>
        <w:rPr>
          <w:color w:val="222222"/>
          <w:highlight w:val="white"/>
        </w:rPr>
      </w:pPr>
    </w:p>
    <w:p w14:paraId="0000004E" w14:textId="77777777" w:rsidR="00FF01A1" w:rsidRDefault="00FF01A1">
      <w:pPr>
        <w:rPr>
          <w:color w:val="222222"/>
          <w:highlight w:val="white"/>
        </w:rPr>
      </w:pPr>
    </w:p>
    <w:p w14:paraId="0000004F" w14:textId="77777777" w:rsidR="00FF01A1" w:rsidRDefault="00000000">
      <w:pPr>
        <w:rPr>
          <w:color w:val="222222"/>
          <w:highlight w:val="white"/>
        </w:rPr>
      </w:pPr>
      <w:r>
        <w:rPr>
          <w:color w:val="222222"/>
          <w:highlight w:val="white"/>
        </w:rPr>
        <w:t>This essay will set out what a Covert Human Intelligence Source (CHIS) is, what their role is within the police force and how they are used to gather intelligence, what serious and organised crime is, and finally, it will critically evaluate the use of a CHIS within the investigation of serious and organised crime.</w:t>
      </w:r>
    </w:p>
    <w:p w14:paraId="00000050" w14:textId="77777777" w:rsidR="00FF01A1" w:rsidRDefault="00FF01A1">
      <w:pPr>
        <w:rPr>
          <w:color w:val="222222"/>
          <w:highlight w:val="white"/>
        </w:rPr>
      </w:pPr>
    </w:p>
    <w:p w14:paraId="00000051" w14:textId="77777777" w:rsidR="00FF01A1" w:rsidRDefault="00000000">
      <w:pPr>
        <w:rPr>
          <w:color w:val="222222"/>
          <w:highlight w:val="white"/>
        </w:rPr>
      </w:pPr>
      <w:r>
        <w:rPr>
          <w:color w:val="222222"/>
          <w:highlight w:val="white"/>
        </w:rPr>
        <w:t xml:space="preserve">Intelligence in this context refers to what modern-day policing calls “Intelligence Led Policing” (Ratcliffe, 2016). This style of policing compliments the more traditional “Reactive” policing, whereby a crime is committed and then an investigation is started by the police, to a “Proactive” style, whereby through the use of intelligence and legislation officers have the power to prosecute offenders before they commit an offence. Lee Moffett et al (Ref inside the shows) state that this is exemplified best with the legislation brought in after the attacks on the world trade centre in 2001. </w:t>
      </w:r>
      <w:proofErr w:type="gramStart"/>
      <w:r>
        <w:rPr>
          <w:color w:val="222222"/>
          <w:highlight w:val="white"/>
        </w:rPr>
        <w:t>However</w:t>
      </w:r>
      <w:proofErr w:type="gramEnd"/>
      <w:r>
        <w:rPr>
          <w:color w:val="222222"/>
          <w:highlight w:val="white"/>
        </w:rPr>
        <w:t xml:space="preserve"> it is the use of accurate and timely intelligence that allows proactive policing to be effective (Ratcliffe, 2016).</w:t>
      </w:r>
    </w:p>
    <w:p w14:paraId="00000052" w14:textId="77777777" w:rsidR="00FF01A1" w:rsidRDefault="00FF01A1">
      <w:pPr>
        <w:rPr>
          <w:color w:val="222222"/>
          <w:highlight w:val="white"/>
        </w:rPr>
      </w:pPr>
    </w:p>
    <w:p w14:paraId="00000053" w14:textId="77777777" w:rsidR="00FF01A1" w:rsidRDefault="00000000">
      <w:pPr>
        <w:rPr>
          <w:color w:val="0B0C0C"/>
          <w:highlight w:val="white"/>
        </w:rPr>
      </w:pPr>
      <w:r>
        <w:rPr>
          <w:color w:val="222222"/>
          <w:highlight w:val="white"/>
        </w:rPr>
        <w:t xml:space="preserve">In the UK a primary source of intelligence used as a proactive means of investigation and prevention of serious and organised crime are CHIS. The home office state that </w:t>
      </w:r>
      <w:r>
        <w:rPr>
          <w:color w:val="0B0C0C"/>
          <w:highlight w:val="white"/>
        </w:rPr>
        <w:t>under the 2000 Act, a person is a CHIS if: they establish or maintain a personal or other relationship with a person for the covert purpose of facilitating the doing of anything falling within Section 26(8)(b) or (c); they covertly use such a relationship to obtain information or to provide access to any information to another person; or they covertly disclose information obtained by the use of such a relationship or as a consequence of the existence of such a relationship (Home Office, 2014). A CHIS is used within the police force in order to establish and maintain a relationship with a group or individual in order to pass intelligence about that group or individual back to the police when the police suspect that group or individual to be involved in crime (Home Office, 2014). A CHIS can only be used to gather intelligence for three reasons: in the interests of national security; for the purposes of preventing or detecting crime or of preventing disorder; and in the interests of the economic well-being of the UK. (Covert Human Intelligence Sources (Criminal Conduct) Bill, n.d.)</w:t>
      </w:r>
    </w:p>
    <w:p w14:paraId="00000054" w14:textId="77777777" w:rsidR="00FF01A1" w:rsidRDefault="00FF01A1">
      <w:pPr>
        <w:rPr>
          <w:color w:val="0B0C0C"/>
          <w:highlight w:val="white"/>
        </w:rPr>
      </w:pPr>
    </w:p>
    <w:p w14:paraId="00000055" w14:textId="77777777" w:rsidR="00FF01A1" w:rsidRDefault="00000000">
      <w:pPr>
        <w:rPr>
          <w:color w:val="0B0C0C"/>
          <w:highlight w:val="white"/>
        </w:rPr>
      </w:pPr>
      <w:r>
        <w:rPr>
          <w:color w:val="0B0C0C"/>
          <w:highlight w:val="white"/>
        </w:rPr>
        <w:t xml:space="preserve">The job of a CHIS is to develop a relationship with someone deemed appropriate to covertly monitor by the police or other government agency, then pass information and intelligence to the police or government agency. There are lots of requirements set out when the involvement of a CHIS is requested, including CHIS authorisation, and the implementation of a “CHIS Handler” and a “CHIS Controller”. </w:t>
      </w:r>
    </w:p>
    <w:p w14:paraId="00000056" w14:textId="77777777" w:rsidR="00FF01A1" w:rsidRDefault="00FF01A1">
      <w:pPr>
        <w:rPr>
          <w:color w:val="0B0C0C"/>
          <w:highlight w:val="white"/>
        </w:rPr>
      </w:pPr>
    </w:p>
    <w:p w14:paraId="00000057" w14:textId="77777777" w:rsidR="00FF01A1" w:rsidRDefault="00000000">
      <w:pPr>
        <w:rPr>
          <w:color w:val="0B0C0C"/>
          <w:highlight w:val="white"/>
        </w:rPr>
      </w:pPr>
      <w:r>
        <w:rPr>
          <w:color w:val="0B0C0C"/>
          <w:highlight w:val="white"/>
        </w:rPr>
        <w:t xml:space="preserve">When a CHIS has been given CHIS authorisation by a “CHIS Authorising Officer” it is part of the “Handlers” job to look after the CHIS’ daily welfare and protection (College of Policing, n.d.). </w:t>
      </w:r>
    </w:p>
    <w:p w14:paraId="00000058" w14:textId="77777777" w:rsidR="00FF01A1" w:rsidRDefault="00000000">
      <w:pPr>
        <w:rPr>
          <w:highlight w:val="white"/>
        </w:rPr>
      </w:pPr>
      <w:r>
        <w:rPr>
          <w:color w:val="0B0C0C"/>
          <w:highlight w:val="white"/>
        </w:rPr>
        <w:t xml:space="preserve">The Handler will recruit, develop, and handle </w:t>
      </w:r>
      <w:proofErr w:type="gramStart"/>
      <w:r>
        <w:rPr>
          <w:color w:val="0B0C0C"/>
          <w:highlight w:val="white"/>
        </w:rPr>
        <w:t>CHIS’</w:t>
      </w:r>
      <w:proofErr w:type="gramEnd"/>
      <w:r>
        <w:rPr>
          <w:color w:val="0B0C0C"/>
          <w:highlight w:val="white"/>
        </w:rPr>
        <w:t xml:space="preserve"> in order to ensure compliance with legislation and policy. They will complete risk assessments, while maintaining operational security. Implement cover stories and ensure all meetings and contact are correctly </w:t>
      </w:r>
      <w:r>
        <w:rPr>
          <w:color w:val="0B0C0C"/>
          <w:highlight w:val="white"/>
        </w:rPr>
        <w:lastRenderedPageBreak/>
        <w:t xml:space="preserve">authorised under the Codes of Practice and </w:t>
      </w:r>
      <w:hyperlink r:id="rId4">
        <w:r>
          <w:rPr>
            <w:highlight w:val="white"/>
          </w:rPr>
          <w:t>Regulation of Investigatory Powers Act 2000</w:t>
        </w:r>
      </w:hyperlink>
      <w:r>
        <w:rPr>
          <w:highlight w:val="white"/>
        </w:rPr>
        <w:t xml:space="preserve"> (RIPA). Collate, evaluate, and sanitise information supplied by the CHIS in a timely manner (College of Policing, n.d.)</w:t>
      </w:r>
    </w:p>
    <w:p w14:paraId="00000059" w14:textId="77777777" w:rsidR="00FF01A1" w:rsidRDefault="00FF01A1">
      <w:pPr>
        <w:rPr>
          <w:highlight w:val="white"/>
        </w:rPr>
      </w:pPr>
    </w:p>
    <w:p w14:paraId="0000005A" w14:textId="77777777" w:rsidR="00FF01A1" w:rsidRDefault="00000000">
      <w:pPr>
        <w:rPr>
          <w:color w:val="0B0C0C"/>
          <w:highlight w:val="white"/>
        </w:rPr>
      </w:pPr>
      <w:r>
        <w:rPr>
          <w:color w:val="0B0C0C"/>
          <w:highlight w:val="white"/>
        </w:rPr>
        <w:t>The Handler and the CHIS are then overseen by the Controller. It is the job of the controller to Manage the use and conduct of a CHIS, along with their handler, ensuring the CHIS is legally compliant. Supervise risks associated with the use of a CHIS. Control the recruitment of all CHIS. Manage the security and welfare of handlers, CHIS, and the relation between them. Keep source records. Sanitise and disseminate information as intelligence (College of Policing, n.d.).</w:t>
      </w:r>
    </w:p>
    <w:p w14:paraId="0000005B" w14:textId="77777777" w:rsidR="00FF01A1" w:rsidRDefault="00FF01A1">
      <w:pPr>
        <w:rPr>
          <w:color w:val="0B0C0C"/>
          <w:highlight w:val="white"/>
        </w:rPr>
      </w:pPr>
    </w:p>
    <w:p w14:paraId="0000005C" w14:textId="77777777" w:rsidR="00FF01A1" w:rsidRDefault="00000000">
      <w:pPr>
        <w:rPr>
          <w:color w:val="0B0C0C"/>
          <w:highlight w:val="white"/>
        </w:rPr>
      </w:pPr>
      <w:r>
        <w:rPr>
          <w:color w:val="0B0C0C"/>
          <w:highlight w:val="white"/>
        </w:rPr>
        <w:t xml:space="preserve">The UK government has developed a working strategy to combat serious and organised crime (Gov ref). In this strategy plan the Government states that the following types of crime fall under the remit of “Serious”: child sexual exploitation and abuse, illegal drugs, illegal firearms, fraud, money laundering and other economic crime, bribery and corruption, organised immigration crime, modern slavery and human trafficking, </w:t>
      </w:r>
      <w:proofErr w:type="spellStart"/>
      <w:r>
        <w:rPr>
          <w:color w:val="0B0C0C"/>
          <w:highlight w:val="white"/>
        </w:rPr>
        <w:t>cyber crime</w:t>
      </w:r>
      <w:proofErr w:type="spellEnd"/>
      <w:r>
        <w:rPr>
          <w:color w:val="0B0C0C"/>
          <w:highlight w:val="white"/>
        </w:rPr>
        <w:t xml:space="preserve"> (GOV.UK, n.d.).</w:t>
      </w:r>
    </w:p>
    <w:p w14:paraId="0000005D" w14:textId="77777777" w:rsidR="00FF01A1" w:rsidRDefault="00000000">
      <w:pPr>
        <w:rPr>
          <w:color w:val="0B0C0C"/>
          <w:highlight w:val="white"/>
        </w:rPr>
      </w:pPr>
      <w:r>
        <w:rPr>
          <w:color w:val="0B0C0C"/>
          <w:highlight w:val="white"/>
        </w:rPr>
        <w:t xml:space="preserve">The use of a CHIS in serious and organised crime is an extremely important role when trying to proactively gather intelligence and prevent serious crime from occurring. Going back to 2002 HMIC reported that HMIC argued that the implementation of intelligence led policing was a </w:t>
      </w:r>
      <w:proofErr w:type="gramStart"/>
      <w:r>
        <w:rPr>
          <w:color w:val="0B0C0C"/>
          <w:highlight w:val="white"/>
        </w:rPr>
        <w:t>cost effective</w:t>
      </w:r>
      <w:proofErr w:type="gramEnd"/>
      <w:r>
        <w:rPr>
          <w:color w:val="0B0C0C"/>
          <w:highlight w:val="white"/>
        </w:rPr>
        <w:t xml:space="preserve"> means of preventing and reducing crime (Ratcliffe, 2016). This means that reflecting on and analysing the current Government stance on serious and organised crime gathering intelligence should be the foremost objective when trying to target action against serious and organised </w:t>
      </w:r>
      <w:proofErr w:type="gramStart"/>
      <w:r>
        <w:rPr>
          <w:color w:val="0B0C0C"/>
          <w:highlight w:val="white"/>
        </w:rPr>
        <w:t>criminals, and</w:t>
      </w:r>
      <w:proofErr w:type="gramEnd"/>
      <w:r>
        <w:rPr>
          <w:color w:val="0B0C0C"/>
          <w:highlight w:val="white"/>
        </w:rPr>
        <w:t xml:space="preserve"> stopping the problem at the source (Ref gov crime strategy). This is due to the cost-effectiveness of proactively stopping crime before it </w:t>
      </w:r>
      <w:proofErr w:type="gramStart"/>
      <w:r>
        <w:rPr>
          <w:color w:val="0B0C0C"/>
          <w:highlight w:val="white"/>
        </w:rPr>
        <w:t>occurs, and</w:t>
      </w:r>
      <w:proofErr w:type="gramEnd"/>
      <w:r>
        <w:rPr>
          <w:color w:val="0B0C0C"/>
          <w:highlight w:val="white"/>
        </w:rPr>
        <w:t xml:space="preserve"> having the intelligence available to the relevant agencies.</w:t>
      </w:r>
    </w:p>
    <w:p w14:paraId="0000005E" w14:textId="77777777" w:rsidR="00FF01A1" w:rsidRDefault="00FF01A1">
      <w:pPr>
        <w:rPr>
          <w:color w:val="0B0C0C"/>
          <w:highlight w:val="white"/>
        </w:rPr>
      </w:pPr>
    </w:p>
    <w:p w14:paraId="0000005F" w14:textId="77777777" w:rsidR="00FF01A1" w:rsidRDefault="00000000">
      <w:pPr>
        <w:rPr>
          <w:color w:val="0B0C0C"/>
          <w:highlight w:val="white"/>
        </w:rPr>
      </w:pPr>
      <w:r>
        <w:rPr>
          <w:color w:val="0B0C0C"/>
          <w:highlight w:val="white"/>
        </w:rPr>
        <w:t xml:space="preserve">In conclusion it is clear to see the value that CHIS have in the detection and prevention of serious and organised crime, both as an effective means of proactive intelligence gathering, and as a </w:t>
      </w:r>
      <w:proofErr w:type="gramStart"/>
      <w:r>
        <w:rPr>
          <w:color w:val="0B0C0C"/>
          <w:highlight w:val="white"/>
        </w:rPr>
        <w:t>cost effective</w:t>
      </w:r>
      <w:proofErr w:type="gramEnd"/>
      <w:r>
        <w:rPr>
          <w:color w:val="0B0C0C"/>
          <w:highlight w:val="white"/>
        </w:rPr>
        <w:t xml:space="preserve"> measure that has helped shape modern policing decision making. </w:t>
      </w:r>
      <w:proofErr w:type="gramStart"/>
      <w:r>
        <w:rPr>
          <w:color w:val="0B0C0C"/>
          <w:highlight w:val="white"/>
        </w:rPr>
        <w:t>However</w:t>
      </w:r>
      <w:proofErr w:type="gramEnd"/>
      <w:r>
        <w:rPr>
          <w:color w:val="0B0C0C"/>
          <w:highlight w:val="white"/>
        </w:rPr>
        <w:t xml:space="preserve"> it also comes with extreme risk, both to the individual CHIS, and to the investigation as a whole. This risk is managed by particular individuals and regulated by Government policy and Acts (RIPA and SOC) in order to balance the risk and rewards with using such covert intelligence tactics. </w:t>
      </w:r>
    </w:p>
    <w:p w14:paraId="00000060" w14:textId="77777777" w:rsidR="00FF01A1" w:rsidRDefault="00FF01A1">
      <w:pPr>
        <w:rPr>
          <w:color w:val="0B0C0C"/>
          <w:highlight w:val="white"/>
        </w:rPr>
      </w:pPr>
    </w:p>
    <w:p w14:paraId="00000061" w14:textId="77777777" w:rsidR="00FF01A1" w:rsidRDefault="00FF01A1">
      <w:pPr>
        <w:rPr>
          <w:color w:val="222222"/>
          <w:highlight w:val="white"/>
        </w:rPr>
      </w:pPr>
    </w:p>
    <w:p w14:paraId="00000062" w14:textId="77777777" w:rsidR="00FF01A1" w:rsidRDefault="00FF01A1">
      <w:pPr>
        <w:rPr>
          <w:color w:val="222222"/>
          <w:highlight w:val="white"/>
        </w:rPr>
      </w:pPr>
    </w:p>
    <w:p w14:paraId="00000063" w14:textId="77777777" w:rsidR="00FF01A1" w:rsidRDefault="00FF01A1">
      <w:pPr>
        <w:rPr>
          <w:color w:val="222222"/>
          <w:highlight w:val="white"/>
        </w:rPr>
      </w:pPr>
    </w:p>
    <w:p w14:paraId="00000064" w14:textId="77777777" w:rsidR="00FF01A1" w:rsidRDefault="00FF01A1">
      <w:pPr>
        <w:rPr>
          <w:color w:val="222222"/>
          <w:highlight w:val="white"/>
        </w:rPr>
      </w:pPr>
    </w:p>
    <w:p w14:paraId="00000065" w14:textId="77777777" w:rsidR="00FF01A1" w:rsidRDefault="00FF01A1">
      <w:pPr>
        <w:rPr>
          <w:color w:val="222222"/>
          <w:highlight w:val="white"/>
        </w:rPr>
      </w:pPr>
    </w:p>
    <w:p w14:paraId="00000066" w14:textId="77777777" w:rsidR="00FF01A1" w:rsidRDefault="00FF01A1">
      <w:pPr>
        <w:rPr>
          <w:color w:val="222222"/>
          <w:highlight w:val="white"/>
        </w:rPr>
      </w:pPr>
    </w:p>
    <w:p w14:paraId="00000067" w14:textId="77777777" w:rsidR="00FF01A1" w:rsidRDefault="00FF01A1">
      <w:pPr>
        <w:rPr>
          <w:color w:val="222222"/>
          <w:highlight w:val="white"/>
        </w:rPr>
      </w:pPr>
    </w:p>
    <w:p w14:paraId="00000068" w14:textId="77777777" w:rsidR="00FF01A1" w:rsidRDefault="00FF01A1">
      <w:pPr>
        <w:rPr>
          <w:color w:val="222222"/>
          <w:highlight w:val="white"/>
        </w:rPr>
      </w:pPr>
    </w:p>
    <w:p w14:paraId="00000069" w14:textId="77777777" w:rsidR="00FF01A1" w:rsidRDefault="00FF01A1">
      <w:pPr>
        <w:rPr>
          <w:color w:val="222222"/>
          <w:highlight w:val="white"/>
        </w:rPr>
      </w:pPr>
    </w:p>
    <w:p w14:paraId="0000006A" w14:textId="77777777" w:rsidR="00FF01A1" w:rsidRDefault="00FF01A1">
      <w:pPr>
        <w:rPr>
          <w:color w:val="222222"/>
          <w:highlight w:val="white"/>
        </w:rPr>
      </w:pPr>
    </w:p>
    <w:p w14:paraId="0000006B" w14:textId="77777777" w:rsidR="00FF01A1" w:rsidRDefault="00FF01A1">
      <w:pPr>
        <w:rPr>
          <w:color w:val="222222"/>
          <w:highlight w:val="white"/>
        </w:rPr>
      </w:pPr>
    </w:p>
    <w:p w14:paraId="0000006C" w14:textId="77777777" w:rsidR="00FF01A1" w:rsidRDefault="00FF01A1">
      <w:pPr>
        <w:rPr>
          <w:color w:val="222222"/>
          <w:highlight w:val="white"/>
        </w:rPr>
      </w:pPr>
    </w:p>
    <w:p w14:paraId="0000006D" w14:textId="77777777" w:rsidR="00FF01A1" w:rsidRDefault="00000000">
      <w:pPr>
        <w:rPr>
          <w:color w:val="222222"/>
          <w:highlight w:val="white"/>
        </w:rPr>
      </w:pPr>
      <w:r>
        <w:rPr>
          <w:color w:val="222222"/>
          <w:highlight w:val="white"/>
        </w:rPr>
        <w:lastRenderedPageBreak/>
        <w:t xml:space="preserve">Essay five: Evaluate the effectiveness of crime prevention theories and strategies as a means of combating either anti-social behaviour or domestic violence. Your answer must be based on academic research, but you may </w:t>
      </w:r>
      <w:proofErr w:type="gramStart"/>
      <w:r>
        <w:rPr>
          <w:color w:val="222222"/>
          <w:highlight w:val="white"/>
        </w:rPr>
        <w:t>make reference</w:t>
      </w:r>
      <w:proofErr w:type="gramEnd"/>
      <w:r>
        <w:rPr>
          <w:color w:val="222222"/>
          <w:highlight w:val="white"/>
        </w:rPr>
        <w:t xml:space="preserve"> to relevant case studies. </w:t>
      </w:r>
    </w:p>
    <w:p w14:paraId="0000006E" w14:textId="77777777" w:rsidR="00FF01A1" w:rsidRDefault="00000000">
      <w:pPr>
        <w:rPr>
          <w:color w:val="222222"/>
          <w:highlight w:val="white"/>
        </w:rPr>
      </w:pPr>
      <w:r>
        <w:rPr>
          <w:color w:val="222222"/>
          <w:highlight w:val="white"/>
        </w:rPr>
        <w:t>Word limit: 1000 words.</w:t>
      </w:r>
    </w:p>
    <w:p w14:paraId="0000006F" w14:textId="77777777" w:rsidR="00FF01A1" w:rsidRDefault="00FF01A1">
      <w:pPr>
        <w:rPr>
          <w:color w:val="222222"/>
          <w:highlight w:val="white"/>
        </w:rPr>
      </w:pPr>
    </w:p>
    <w:p w14:paraId="00000070" w14:textId="77777777" w:rsidR="00FF01A1" w:rsidRDefault="00000000">
      <w:pPr>
        <w:rPr>
          <w:color w:val="222222"/>
          <w:highlight w:val="white"/>
        </w:rPr>
      </w:pPr>
      <w:r>
        <w:rPr>
          <w:color w:val="222222"/>
          <w:highlight w:val="white"/>
        </w:rPr>
        <w:t xml:space="preserve">This essay will introduce what domestic violence is and what forms domestic violence can take. This essay will then present the different crime prevention theories and </w:t>
      </w:r>
      <w:proofErr w:type="gramStart"/>
      <w:r>
        <w:rPr>
          <w:color w:val="222222"/>
          <w:highlight w:val="white"/>
        </w:rPr>
        <w:t>methods, and</w:t>
      </w:r>
      <w:proofErr w:type="gramEnd"/>
      <w:r>
        <w:rPr>
          <w:color w:val="222222"/>
          <w:highlight w:val="white"/>
        </w:rPr>
        <w:t xml:space="preserve"> evaluate the effectiveness of them. </w:t>
      </w:r>
    </w:p>
    <w:p w14:paraId="00000071" w14:textId="77777777" w:rsidR="00FF01A1" w:rsidRDefault="00FF01A1">
      <w:pPr>
        <w:rPr>
          <w:color w:val="222222"/>
          <w:highlight w:val="white"/>
        </w:rPr>
      </w:pPr>
    </w:p>
    <w:p w14:paraId="00000072" w14:textId="77777777" w:rsidR="00FF01A1" w:rsidRDefault="00000000">
      <w:pPr>
        <w:rPr>
          <w:color w:val="222222"/>
          <w:highlight w:val="white"/>
        </w:rPr>
      </w:pPr>
      <w:r>
        <w:rPr>
          <w:color w:val="222222"/>
          <w:highlight w:val="white"/>
        </w:rPr>
        <w:t xml:space="preserve">Domestic violence is defined by the UK government under the Domestic Abuse Act 2021 as: Behaviour of a person (A) towards another person (B) is “Domestic Abuse” if - </w:t>
      </w:r>
    </w:p>
    <w:p w14:paraId="00000073" w14:textId="77777777" w:rsidR="00FF01A1" w:rsidRDefault="00FF01A1">
      <w:pPr>
        <w:rPr>
          <w:color w:val="222222"/>
          <w:highlight w:val="white"/>
        </w:rPr>
      </w:pPr>
    </w:p>
    <w:p w14:paraId="00000074" w14:textId="77777777" w:rsidR="00FF01A1" w:rsidRDefault="00000000">
      <w:pPr>
        <w:rPr>
          <w:color w:val="222222"/>
          <w:highlight w:val="white"/>
        </w:rPr>
      </w:pPr>
      <w:r>
        <w:rPr>
          <w:color w:val="222222"/>
          <w:highlight w:val="white"/>
        </w:rPr>
        <w:t>A and B are both aged 16 or over and are personally connected to each other, and the behaviour is abusive.</w:t>
      </w:r>
    </w:p>
    <w:p w14:paraId="00000075" w14:textId="77777777" w:rsidR="00FF01A1" w:rsidRDefault="00000000">
      <w:pPr>
        <w:rPr>
          <w:color w:val="222222"/>
          <w:highlight w:val="white"/>
        </w:rPr>
      </w:pPr>
      <w:r>
        <w:rPr>
          <w:color w:val="222222"/>
          <w:highlight w:val="white"/>
        </w:rPr>
        <w:t>It continues to state that the behaviour is defined as abusive if it consists of, physical or sexual abuse, violent or threatening behaviour, controlling or coercive behaviour, economic abuse, psychological, emotional, or other abuse.</w:t>
      </w:r>
    </w:p>
    <w:p w14:paraId="00000076" w14:textId="77777777" w:rsidR="00FF01A1" w:rsidRDefault="00000000">
      <w:pPr>
        <w:rPr>
          <w:color w:val="222222"/>
          <w:highlight w:val="white"/>
        </w:rPr>
      </w:pPr>
      <w:r>
        <w:rPr>
          <w:color w:val="222222"/>
          <w:highlight w:val="white"/>
        </w:rPr>
        <w:t>Adding that it does not matter if this behaviour consists of a single incident or a course of conduct. (Legislation.gov.uk, 2021b)</w:t>
      </w:r>
    </w:p>
    <w:p w14:paraId="00000077" w14:textId="77777777" w:rsidR="00FF01A1" w:rsidRDefault="00000000">
      <w:pPr>
        <w:rPr>
          <w:color w:val="222222"/>
          <w:highlight w:val="white"/>
        </w:rPr>
      </w:pPr>
      <w:r>
        <w:rPr>
          <w:color w:val="222222"/>
          <w:highlight w:val="white"/>
        </w:rPr>
        <w:t>The Act continues to define such terms as “Personally connected”, whereby the two parties are married, in a civil partnership, or in an intimate relationship. This also includes if the two people are related.</w:t>
      </w:r>
    </w:p>
    <w:p w14:paraId="00000078" w14:textId="77777777" w:rsidR="00FF01A1" w:rsidRDefault="00000000">
      <w:pPr>
        <w:rPr>
          <w:color w:val="222222"/>
          <w:highlight w:val="white"/>
        </w:rPr>
      </w:pPr>
      <w:r>
        <w:rPr>
          <w:color w:val="222222"/>
          <w:highlight w:val="white"/>
        </w:rPr>
        <w:t>An update to the Domestic Abuse Act in 2021 included children if they see, hear, or experience the effects of domestic abuse. The child in this case needs to be related to either party. (Legislation.gov.uk, 2021b)</w:t>
      </w:r>
    </w:p>
    <w:p w14:paraId="00000079" w14:textId="77777777" w:rsidR="00FF01A1" w:rsidRDefault="00FF01A1">
      <w:pPr>
        <w:rPr>
          <w:color w:val="222222"/>
          <w:highlight w:val="white"/>
        </w:rPr>
      </w:pPr>
    </w:p>
    <w:p w14:paraId="0000007A" w14:textId="77777777" w:rsidR="00FF01A1" w:rsidRDefault="00000000">
      <w:pPr>
        <w:rPr>
          <w:color w:val="222222"/>
          <w:highlight w:val="white"/>
        </w:rPr>
      </w:pPr>
      <w:r>
        <w:rPr>
          <w:color w:val="222222"/>
          <w:highlight w:val="white"/>
        </w:rPr>
        <w:t xml:space="preserve">Forms of domestic abuse are written out in the </w:t>
      </w:r>
      <w:proofErr w:type="gramStart"/>
      <w:r>
        <w:rPr>
          <w:color w:val="222222"/>
          <w:highlight w:val="white"/>
        </w:rPr>
        <w:t>above mentioned</w:t>
      </w:r>
      <w:proofErr w:type="gramEnd"/>
      <w:r>
        <w:rPr>
          <w:color w:val="222222"/>
          <w:highlight w:val="white"/>
        </w:rPr>
        <w:t xml:space="preserve"> Act, and include different levels of assault, verbal abuse, controlling and coercive behaviour, harassment, threats, and damage to property. (Hester, 2013)</w:t>
      </w:r>
    </w:p>
    <w:p w14:paraId="0000007B" w14:textId="77777777" w:rsidR="00FF01A1" w:rsidRDefault="00000000">
      <w:pPr>
        <w:rPr>
          <w:color w:val="222222"/>
          <w:highlight w:val="white"/>
        </w:rPr>
      </w:pPr>
      <w:r>
        <w:rPr>
          <w:color w:val="222222"/>
          <w:highlight w:val="white"/>
        </w:rPr>
        <w:t xml:space="preserve">When looking at the relationship between victim/perpetrator and gender, a 2006 study by Hester et al shows that 92% of domestic violence perpetrators are male, and 91% of domestic violence victims are female (Hester, 2013). </w:t>
      </w:r>
    </w:p>
    <w:p w14:paraId="0000007C" w14:textId="77777777" w:rsidR="00FF01A1" w:rsidRDefault="00FF01A1">
      <w:pPr>
        <w:rPr>
          <w:color w:val="222222"/>
          <w:highlight w:val="white"/>
        </w:rPr>
      </w:pPr>
    </w:p>
    <w:p w14:paraId="0000007D" w14:textId="77777777" w:rsidR="00FF01A1" w:rsidRDefault="00FF01A1">
      <w:pPr>
        <w:rPr>
          <w:color w:val="222222"/>
          <w:highlight w:val="white"/>
        </w:rPr>
      </w:pPr>
    </w:p>
    <w:p w14:paraId="0000007E" w14:textId="77777777" w:rsidR="00FF01A1" w:rsidRDefault="00000000">
      <w:pPr>
        <w:rPr>
          <w:color w:val="222222"/>
          <w:highlight w:val="white"/>
        </w:rPr>
      </w:pPr>
      <w:r>
        <w:rPr>
          <w:color w:val="222222"/>
          <w:highlight w:val="white"/>
        </w:rPr>
        <w:t xml:space="preserve">When exploring different crime prevention strategies to combat domestic violence one in particular this essay will evaluate is “Positive action”. The College of Policing is designed to give direction and guidance to police officers in England and Wales and discusses Positive action thoroughly (College of Policing, 2018). When writing about positive action it states that it is never appropriate for a response officer to do nothing at an incident where it is domestic in nature, and that where arrest is necessary and proportionate it is the officer's duty to consider and implement proportionate measures to protect the victim and their children. This does not always have to be through arrest however, where the Code G (Home Office, 2022) necessity does not apply then the officer will still be required to justify why arrest has not been done, and what other positive approach has been completed. </w:t>
      </w:r>
    </w:p>
    <w:p w14:paraId="0000007F" w14:textId="77777777" w:rsidR="00FF01A1" w:rsidRDefault="00000000">
      <w:pPr>
        <w:rPr>
          <w:color w:val="222222"/>
          <w:highlight w:val="white"/>
        </w:rPr>
      </w:pPr>
      <w:r>
        <w:rPr>
          <w:color w:val="222222"/>
          <w:highlight w:val="white"/>
        </w:rPr>
        <w:t xml:space="preserve">Other such positive approaches could be removal to prevent a breach of the peace. This would be implemented in a situation whereby there is no Code G necessity (Home Office, 2022) but the victim wants the perpetrator to leave the premises temporarily (College of Policing, 2018). The College of Policing states that in this situation officers should remove </w:t>
      </w:r>
      <w:r>
        <w:rPr>
          <w:color w:val="222222"/>
          <w:highlight w:val="white"/>
        </w:rPr>
        <w:lastRenderedPageBreak/>
        <w:t xml:space="preserve">the perpetrator to a separate location, some distance away from the victim, and advise them to stay away for a period of time. </w:t>
      </w:r>
    </w:p>
    <w:p w14:paraId="00000080" w14:textId="77777777" w:rsidR="00FF01A1" w:rsidRDefault="00FF01A1">
      <w:pPr>
        <w:rPr>
          <w:color w:val="222222"/>
          <w:highlight w:val="white"/>
        </w:rPr>
      </w:pPr>
    </w:p>
    <w:p w14:paraId="00000081" w14:textId="77777777" w:rsidR="00FF01A1" w:rsidRDefault="00000000">
      <w:pPr>
        <w:rPr>
          <w:color w:val="222222"/>
          <w:highlight w:val="white"/>
        </w:rPr>
      </w:pPr>
      <w:r>
        <w:rPr>
          <w:color w:val="222222"/>
          <w:highlight w:val="white"/>
        </w:rPr>
        <w:t xml:space="preserve">Applying this information to statistics supplied by Professor Marianne Hester she states that in 2007 the number of arrests for Breach of the Peace were the highest for which both men and women were arrested for (Hester, 2013). This could be due to a combination of lack of evidence supplied by the victims of domestic abuse, and the positive action introduced as a requirement for attending officers. In a further example Hester gives an example of “Mr and Mrs Violet” which sets out a relationship between the two, whereby police record a total of </w:t>
      </w:r>
      <w:proofErr w:type="gramStart"/>
      <w:r>
        <w:rPr>
          <w:color w:val="222222"/>
          <w:highlight w:val="white"/>
        </w:rPr>
        <w:t>fifty two</w:t>
      </w:r>
      <w:proofErr w:type="gramEnd"/>
      <w:r>
        <w:rPr>
          <w:color w:val="222222"/>
          <w:highlight w:val="white"/>
        </w:rPr>
        <w:t xml:space="preserve"> incidents involving Mr Violet as the perpetrator, and two incidents where Mrs Violet was the perpetrator. This example reinforces the above idea that due to a lack of evidence from the victim, police are unable to arrest and charge for serious offences such as the ones previously mentioned (Hester, 2013). A logical conclusion to this is that attending officers know that once the victim has refused to provide any details of the </w:t>
      </w:r>
      <w:proofErr w:type="gramStart"/>
      <w:r>
        <w:rPr>
          <w:color w:val="222222"/>
          <w:highlight w:val="white"/>
        </w:rPr>
        <w:t>incident, or</w:t>
      </w:r>
      <w:proofErr w:type="gramEnd"/>
      <w:r>
        <w:rPr>
          <w:color w:val="222222"/>
          <w:highlight w:val="white"/>
        </w:rPr>
        <w:t xml:space="preserve"> are willing to make a formal complaint against the perpetrator they only have the option to arrest for Breach of the peace, or to request the perpetrator leave of their own accord. </w:t>
      </w:r>
    </w:p>
    <w:p w14:paraId="00000082" w14:textId="77777777" w:rsidR="00FF01A1" w:rsidRDefault="00FF01A1">
      <w:pPr>
        <w:rPr>
          <w:color w:val="222222"/>
          <w:highlight w:val="white"/>
        </w:rPr>
      </w:pPr>
    </w:p>
    <w:p w14:paraId="00000083" w14:textId="77777777" w:rsidR="00FF01A1" w:rsidRDefault="00000000">
      <w:pPr>
        <w:rPr>
          <w:color w:val="222222"/>
          <w:highlight w:val="white"/>
        </w:rPr>
      </w:pPr>
      <w:r>
        <w:rPr>
          <w:color w:val="222222"/>
          <w:highlight w:val="white"/>
        </w:rPr>
        <w:t xml:space="preserve">A second crime prevention strategy implemented by the UK government is implementation and updates to civil proceedings in court, whereby victims of domestic violence can apply for non-molestation orders (Legislation.gov.uk, 2021a). Mary </w:t>
      </w:r>
      <w:proofErr w:type="spellStart"/>
      <w:r>
        <w:rPr>
          <w:color w:val="222222"/>
          <w:highlight w:val="white"/>
        </w:rPr>
        <w:t>Welstead</w:t>
      </w:r>
      <w:proofErr w:type="spellEnd"/>
      <w:r>
        <w:rPr>
          <w:color w:val="222222"/>
          <w:highlight w:val="white"/>
        </w:rPr>
        <w:t xml:space="preserve"> states that these non-molestation orders are aimed to protect victims of domestic violence from future violence, and not to punish offenders for past violence (</w:t>
      </w:r>
      <w:proofErr w:type="spellStart"/>
      <w:r>
        <w:rPr>
          <w:color w:val="222222"/>
          <w:highlight w:val="white"/>
        </w:rPr>
        <w:t>Welstead</w:t>
      </w:r>
      <w:proofErr w:type="spellEnd"/>
      <w:r>
        <w:rPr>
          <w:color w:val="222222"/>
          <w:highlight w:val="white"/>
        </w:rPr>
        <w:t xml:space="preserve"> and Edwards, 2008). This has several positive effects for the </w:t>
      </w:r>
      <w:proofErr w:type="gramStart"/>
      <w:r>
        <w:rPr>
          <w:color w:val="222222"/>
          <w:highlight w:val="white"/>
        </w:rPr>
        <w:t>victim, and</w:t>
      </w:r>
      <w:proofErr w:type="gramEnd"/>
      <w:r>
        <w:rPr>
          <w:color w:val="222222"/>
          <w:highlight w:val="white"/>
        </w:rPr>
        <w:t xml:space="preserve"> does not require the victim to make formal complaints about the perpetrator. It does this due to the non-molestation order being granted by the courts, and if broken, the breach becomes a criminal matter, whereby S42a of the Family Law Act is complete (Legislation.gov.uk, 2021a). This breach can be evidenced by the victim or any other third party, including police officers, and requires that the perpetrator have knowledge that the non-molestation order is in place, this is usually completed by the perpetrators solicitor, or in the case that the perpetrator did not attend court at the time when the non-molestation orders was granted, a court process server or bailiff usually document when and where they have served non-molestation orders on people (Legislation.gov.uk, 2021a). </w:t>
      </w:r>
    </w:p>
    <w:p w14:paraId="00000084" w14:textId="77777777" w:rsidR="00FF01A1" w:rsidRDefault="00FF01A1">
      <w:pPr>
        <w:rPr>
          <w:color w:val="222222"/>
          <w:highlight w:val="white"/>
        </w:rPr>
      </w:pPr>
    </w:p>
    <w:p w14:paraId="00000085" w14:textId="77777777" w:rsidR="00FF01A1" w:rsidRDefault="00000000">
      <w:pPr>
        <w:rPr>
          <w:color w:val="222222"/>
          <w:highlight w:val="white"/>
        </w:rPr>
      </w:pPr>
      <w:r>
        <w:rPr>
          <w:color w:val="222222"/>
          <w:highlight w:val="white"/>
        </w:rPr>
        <w:t xml:space="preserve">In conclusion, government agencies, courts, and police forces have many different ways to tackle Domestic Violence, and of the two that I have explored they are both effective in their own way, </w:t>
      </w:r>
      <w:proofErr w:type="gramStart"/>
      <w:r>
        <w:rPr>
          <w:color w:val="222222"/>
          <w:highlight w:val="white"/>
        </w:rPr>
        <w:t>however</w:t>
      </w:r>
      <w:proofErr w:type="gramEnd"/>
      <w:r>
        <w:rPr>
          <w:color w:val="222222"/>
          <w:highlight w:val="white"/>
        </w:rPr>
        <w:t xml:space="preserve"> do have much room for improvement. In the case for positive action the emphasis is on short-term protection of victims and children, whereby the perpetrator is removed, however long-term this is not always effective as shown in the example above. On the other hand, court orders such as non-molestation orders are reliable for long-term protection for victims and children, however they do not punish perpetrators for past deeds. </w:t>
      </w:r>
    </w:p>
    <w:p w14:paraId="00000086" w14:textId="77777777" w:rsidR="00FF01A1" w:rsidRDefault="00FF01A1">
      <w:pPr>
        <w:rPr>
          <w:color w:val="222222"/>
          <w:highlight w:val="white"/>
        </w:rPr>
      </w:pPr>
    </w:p>
    <w:p w14:paraId="00000087" w14:textId="77777777" w:rsidR="00FF01A1" w:rsidRDefault="00FF01A1">
      <w:pPr>
        <w:rPr>
          <w:color w:val="222222"/>
          <w:highlight w:val="white"/>
        </w:rPr>
      </w:pPr>
    </w:p>
    <w:p w14:paraId="00000088" w14:textId="77777777" w:rsidR="00FF01A1" w:rsidRDefault="00FF01A1">
      <w:pPr>
        <w:rPr>
          <w:color w:val="222222"/>
          <w:highlight w:val="white"/>
        </w:rPr>
      </w:pPr>
    </w:p>
    <w:p w14:paraId="00000089" w14:textId="77777777" w:rsidR="00FF01A1" w:rsidRDefault="00FF01A1">
      <w:pPr>
        <w:rPr>
          <w:color w:val="222222"/>
          <w:highlight w:val="white"/>
        </w:rPr>
      </w:pPr>
    </w:p>
    <w:p w14:paraId="0000008A" w14:textId="77777777" w:rsidR="00FF01A1" w:rsidRDefault="00FF01A1">
      <w:pPr>
        <w:rPr>
          <w:color w:val="222222"/>
          <w:highlight w:val="white"/>
        </w:rPr>
      </w:pPr>
    </w:p>
    <w:p w14:paraId="0000008B" w14:textId="77777777" w:rsidR="00FF01A1" w:rsidRDefault="00FF01A1">
      <w:pPr>
        <w:rPr>
          <w:color w:val="222222"/>
          <w:highlight w:val="white"/>
        </w:rPr>
      </w:pPr>
    </w:p>
    <w:p w14:paraId="0000008C" w14:textId="77777777" w:rsidR="00FF01A1" w:rsidRDefault="00FF01A1">
      <w:pPr>
        <w:rPr>
          <w:color w:val="222222"/>
          <w:highlight w:val="white"/>
        </w:rPr>
      </w:pPr>
    </w:p>
    <w:p w14:paraId="0000008D" w14:textId="77777777" w:rsidR="00FF01A1" w:rsidRDefault="00FF01A1">
      <w:pPr>
        <w:rPr>
          <w:color w:val="222222"/>
          <w:highlight w:val="white"/>
        </w:rPr>
      </w:pPr>
    </w:p>
    <w:p w14:paraId="0000008E" w14:textId="77777777" w:rsidR="00FF01A1" w:rsidRDefault="00000000">
      <w:pPr>
        <w:rPr>
          <w:color w:val="222222"/>
          <w:highlight w:val="white"/>
        </w:rPr>
      </w:pPr>
      <w:r>
        <w:rPr>
          <w:color w:val="222222"/>
          <w:highlight w:val="white"/>
        </w:rPr>
        <w:lastRenderedPageBreak/>
        <w:t>Bibliography:</w:t>
      </w:r>
    </w:p>
    <w:p w14:paraId="0000008F" w14:textId="77777777" w:rsidR="00FF01A1" w:rsidRDefault="00FF01A1">
      <w:pPr>
        <w:rPr>
          <w:color w:val="222222"/>
          <w:highlight w:val="white"/>
        </w:rPr>
      </w:pPr>
    </w:p>
    <w:p w14:paraId="00000090" w14:textId="77777777" w:rsidR="00FF01A1" w:rsidRDefault="00000000">
      <w:pPr>
        <w:spacing w:after="240" w:line="360" w:lineRule="auto"/>
        <w:rPr>
          <w:color w:val="222222"/>
          <w:highlight w:val="white"/>
        </w:rPr>
      </w:pPr>
      <w:r>
        <w:rPr>
          <w:color w:val="222222"/>
          <w:highlight w:val="white"/>
        </w:rPr>
        <w:t xml:space="preserve">Bartlett, D., Moody, S. and Kindersley, K. (2010). </w:t>
      </w:r>
      <w:r>
        <w:rPr>
          <w:i/>
          <w:color w:val="222222"/>
          <w:highlight w:val="white"/>
        </w:rPr>
        <w:t>Dyslexia in the Workplace</w:t>
      </w:r>
      <w:r>
        <w:rPr>
          <w:color w:val="222222"/>
          <w:highlight w:val="white"/>
        </w:rPr>
        <w:t>. John Wiley &amp; Sons.</w:t>
      </w:r>
    </w:p>
    <w:p w14:paraId="00000091" w14:textId="77777777" w:rsidR="00FF01A1" w:rsidRDefault="00000000">
      <w:pPr>
        <w:spacing w:after="240" w:line="360" w:lineRule="auto"/>
        <w:rPr>
          <w:color w:val="222222"/>
          <w:highlight w:val="white"/>
        </w:rPr>
      </w:pPr>
      <w:r>
        <w:rPr>
          <w:color w:val="222222"/>
          <w:highlight w:val="white"/>
        </w:rPr>
        <w:t xml:space="preserve">Brown, J.M. (2013). </w:t>
      </w:r>
      <w:r>
        <w:rPr>
          <w:i/>
          <w:color w:val="222222"/>
          <w:highlight w:val="white"/>
        </w:rPr>
        <w:t>The Future of Policing</w:t>
      </w:r>
      <w:r>
        <w:rPr>
          <w:color w:val="222222"/>
          <w:highlight w:val="white"/>
        </w:rPr>
        <w:t>. Hoboken: Taylor and Francis.</w:t>
      </w:r>
    </w:p>
    <w:p w14:paraId="00000092" w14:textId="77777777" w:rsidR="00FF01A1" w:rsidRDefault="00000000">
      <w:pPr>
        <w:spacing w:after="240" w:line="360" w:lineRule="auto"/>
        <w:rPr>
          <w:color w:val="222222"/>
          <w:highlight w:val="white"/>
        </w:rPr>
      </w:pPr>
      <w:r>
        <w:rPr>
          <w:color w:val="222222"/>
          <w:highlight w:val="white"/>
        </w:rPr>
        <w:t xml:space="preserve">College Of Policing (2014). </w:t>
      </w:r>
      <w:r>
        <w:rPr>
          <w:i/>
          <w:color w:val="222222"/>
          <w:highlight w:val="white"/>
        </w:rPr>
        <w:t>National Decision Model</w:t>
      </w:r>
      <w:r>
        <w:rPr>
          <w:color w:val="222222"/>
          <w:highlight w:val="white"/>
        </w:rPr>
        <w:t>. [online] College of Policing. Available at: https://www.college.police.uk/app/national-decision-model/national-decision-model [Accessed 25 Nov. 2023].</w:t>
      </w:r>
    </w:p>
    <w:p w14:paraId="00000093" w14:textId="77777777" w:rsidR="00FF01A1" w:rsidRDefault="00000000">
      <w:pPr>
        <w:spacing w:after="240" w:line="360" w:lineRule="auto"/>
        <w:rPr>
          <w:color w:val="222222"/>
          <w:highlight w:val="white"/>
        </w:rPr>
      </w:pPr>
      <w:r>
        <w:rPr>
          <w:color w:val="222222"/>
          <w:highlight w:val="white"/>
        </w:rPr>
        <w:t xml:space="preserve">College of Policing (2018). </w:t>
      </w:r>
      <w:r>
        <w:rPr>
          <w:i/>
          <w:color w:val="222222"/>
          <w:highlight w:val="white"/>
        </w:rPr>
        <w:t>Arrest and other positive approaches</w:t>
      </w:r>
      <w:r>
        <w:rPr>
          <w:color w:val="222222"/>
          <w:highlight w:val="white"/>
        </w:rPr>
        <w:t>. [online] College of Policing. Available at: https://www.college.police.uk/app/major-investigation-and-public-protection/domestic-abuse/arrest-and-other-positive-approaches [Accessed 25 Nov. 2023].</w:t>
      </w:r>
    </w:p>
    <w:p w14:paraId="00000094" w14:textId="77777777" w:rsidR="00FF01A1" w:rsidRDefault="00000000">
      <w:pPr>
        <w:spacing w:after="240" w:line="360" w:lineRule="auto"/>
        <w:rPr>
          <w:color w:val="222222"/>
          <w:highlight w:val="white"/>
        </w:rPr>
      </w:pPr>
      <w:r>
        <w:rPr>
          <w:color w:val="222222"/>
          <w:highlight w:val="white"/>
        </w:rPr>
        <w:t xml:space="preserve">College of Policing (2023). </w:t>
      </w:r>
      <w:r>
        <w:rPr>
          <w:i/>
          <w:color w:val="222222"/>
          <w:highlight w:val="white"/>
        </w:rPr>
        <w:t>Critical incident management</w:t>
      </w:r>
      <w:r>
        <w:rPr>
          <w:color w:val="222222"/>
          <w:highlight w:val="white"/>
        </w:rPr>
        <w:t>. [online] College of Policing. Available at: https://www.college.police.uk/app/critical-incident-management [Accessed 25 Nov. 2023].</w:t>
      </w:r>
    </w:p>
    <w:p w14:paraId="00000095" w14:textId="77777777" w:rsidR="00FF01A1" w:rsidRDefault="00000000">
      <w:pPr>
        <w:spacing w:after="240" w:line="360" w:lineRule="auto"/>
        <w:rPr>
          <w:color w:val="222222"/>
          <w:highlight w:val="white"/>
        </w:rPr>
      </w:pPr>
      <w:r>
        <w:rPr>
          <w:color w:val="222222"/>
          <w:highlight w:val="white"/>
        </w:rPr>
        <w:t xml:space="preserve">College of Policing. (n.d.). </w:t>
      </w:r>
      <w:r>
        <w:rPr>
          <w:i/>
          <w:color w:val="222222"/>
          <w:highlight w:val="white"/>
        </w:rPr>
        <w:t>CHIS Controller</w:t>
      </w:r>
      <w:r>
        <w:rPr>
          <w:color w:val="222222"/>
          <w:highlight w:val="white"/>
        </w:rPr>
        <w:t>. [online] Available at: https://profdev.college.police.uk/professional-profile/chis-controller/ [Accessed 25 Nov. 2023].</w:t>
      </w:r>
    </w:p>
    <w:p w14:paraId="00000096" w14:textId="77777777" w:rsidR="00FF01A1" w:rsidRDefault="00000000">
      <w:pPr>
        <w:spacing w:after="240" w:line="360" w:lineRule="auto"/>
        <w:rPr>
          <w:color w:val="222222"/>
          <w:highlight w:val="white"/>
        </w:rPr>
      </w:pPr>
      <w:r>
        <w:rPr>
          <w:color w:val="222222"/>
          <w:highlight w:val="white"/>
        </w:rPr>
        <w:t xml:space="preserve">College of Policing. (n.d.). </w:t>
      </w:r>
      <w:r>
        <w:rPr>
          <w:i/>
          <w:color w:val="222222"/>
          <w:highlight w:val="white"/>
        </w:rPr>
        <w:t>CHIS Handler</w:t>
      </w:r>
      <w:r>
        <w:rPr>
          <w:color w:val="222222"/>
          <w:highlight w:val="white"/>
        </w:rPr>
        <w:t>. [online] Available at: https://profdev.college.police.uk/professional-profile/chis-handler/ [Accessed 25 Nov. 2023].</w:t>
      </w:r>
    </w:p>
    <w:p w14:paraId="00000097" w14:textId="77777777" w:rsidR="00FF01A1" w:rsidRDefault="00000000">
      <w:pPr>
        <w:spacing w:after="240" w:line="360" w:lineRule="auto"/>
        <w:rPr>
          <w:color w:val="222222"/>
          <w:highlight w:val="white"/>
        </w:rPr>
      </w:pPr>
      <w:r>
        <w:rPr>
          <w:color w:val="222222"/>
          <w:highlight w:val="white"/>
        </w:rPr>
        <w:t>Covert Human Intelligence Sources (Criminal Conduct) Bill. (n.d.). Available at: https://assets.publishing.service.gov.uk/media/5f6b468bd3bf7f7238f2311f/CHIS_Factsheet.pdf [Accessed 25 Nov. 2023].</w:t>
      </w:r>
    </w:p>
    <w:p w14:paraId="00000098" w14:textId="77777777" w:rsidR="00FF01A1" w:rsidRDefault="00000000">
      <w:pPr>
        <w:spacing w:after="240" w:line="360" w:lineRule="auto"/>
        <w:rPr>
          <w:color w:val="222222"/>
          <w:highlight w:val="white"/>
        </w:rPr>
      </w:pPr>
      <w:r>
        <w:rPr>
          <w:color w:val="222222"/>
          <w:highlight w:val="white"/>
        </w:rPr>
        <w:t xml:space="preserve">Equality And Human Rights Commission (2011). </w:t>
      </w:r>
      <w:proofErr w:type="gramStart"/>
      <w:r>
        <w:rPr>
          <w:i/>
          <w:color w:val="222222"/>
          <w:highlight w:val="white"/>
        </w:rPr>
        <w:t>Employment :</w:t>
      </w:r>
      <w:proofErr w:type="gramEnd"/>
      <w:r>
        <w:rPr>
          <w:i/>
          <w:color w:val="222222"/>
          <w:highlight w:val="white"/>
        </w:rPr>
        <w:t xml:space="preserve"> statutory code of practice.</w:t>
      </w:r>
      <w:r>
        <w:rPr>
          <w:color w:val="222222"/>
          <w:highlight w:val="white"/>
        </w:rPr>
        <w:t xml:space="preserve"> Manchester: Equality </w:t>
      </w:r>
      <w:proofErr w:type="gramStart"/>
      <w:r>
        <w:rPr>
          <w:color w:val="222222"/>
          <w:highlight w:val="white"/>
        </w:rPr>
        <w:t>And</w:t>
      </w:r>
      <w:proofErr w:type="gramEnd"/>
      <w:r>
        <w:rPr>
          <w:color w:val="222222"/>
          <w:highlight w:val="white"/>
        </w:rPr>
        <w:t xml:space="preserve"> Human Rights Commission.</w:t>
      </w:r>
    </w:p>
    <w:p w14:paraId="00000099" w14:textId="77777777" w:rsidR="00FF01A1" w:rsidRDefault="00000000">
      <w:pPr>
        <w:spacing w:after="240" w:line="360" w:lineRule="auto"/>
        <w:rPr>
          <w:color w:val="222222"/>
          <w:highlight w:val="white"/>
        </w:rPr>
      </w:pPr>
      <w:r>
        <w:rPr>
          <w:color w:val="222222"/>
          <w:highlight w:val="white"/>
        </w:rPr>
        <w:t xml:space="preserve">GOV.UK. (n.d.). </w:t>
      </w:r>
      <w:r>
        <w:rPr>
          <w:i/>
          <w:color w:val="222222"/>
          <w:highlight w:val="white"/>
        </w:rPr>
        <w:t>Covert Human Intelligence Sources revised code of practice (accessible)</w:t>
      </w:r>
      <w:r>
        <w:rPr>
          <w:color w:val="222222"/>
          <w:highlight w:val="white"/>
        </w:rPr>
        <w:t>. [online] Available at: https://www.gov.uk/government/publications/covert-human-intelligence-sources-code-of-practice-2022/covert-human-intelligence-sources-revised-code-of-practice-accessible#covert-human-intelligence-sources-definitions-and-examples [Accessed 27 Nov. 2023].</w:t>
      </w:r>
    </w:p>
    <w:p w14:paraId="0000009A" w14:textId="77777777" w:rsidR="00FF01A1" w:rsidRDefault="00000000">
      <w:pPr>
        <w:spacing w:after="240" w:line="360" w:lineRule="auto"/>
        <w:rPr>
          <w:color w:val="222222"/>
          <w:highlight w:val="white"/>
        </w:rPr>
      </w:pPr>
      <w:r>
        <w:rPr>
          <w:color w:val="222222"/>
          <w:highlight w:val="white"/>
        </w:rPr>
        <w:lastRenderedPageBreak/>
        <w:t xml:space="preserve">GOV.UK. (n.d.). </w:t>
      </w:r>
      <w:r>
        <w:rPr>
          <w:i/>
          <w:color w:val="222222"/>
          <w:highlight w:val="white"/>
        </w:rPr>
        <w:t>Get an injunction if you’ve been the victim of domestic abuse</w:t>
      </w:r>
      <w:r>
        <w:rPr>
          <w:color w:val="222222"/>
          <w:highlight w:val="white"/>
        </w:rPr>
        <w:t>. [online] Available at: https://www.gov.uk/injunction-domestic-violence/after-you-submit-your-application [Accessed 25 Nov. 2023].</w:t>
      </w:r>
    </w:p>
    <w:p w14:paraId="0000009B" w14:textId="77777777" w:rsidR="00FF01A1" w:rsidRDefault="00000000">
      <w:pPr>
        <w:spacing w:after="240" w:line="360" w:lineRule="auto"/>
        <w:rPr>
          <w:color w:val="222222"/>
          <w:highlight w:val="white"/>
        </w:rPr>
      </w:pPr>
      <w:r>
        <w:rPr>
          <w:color w:val="222222"/>
          <w:highlight w:val="white"/>
        </w:rPr>
        <w:t xml:space="preserve">GOV.UK. (n.d.). </w:t>
      </w:r>
      <w:r>
        <w:rPr>
          <w:i/>
          <w:color w:val="222222"/>
          <w:highlight w:val="white"/>
        </w:rPr>
        <w:t>Serious and Organised Crime Strategy (accessible version)</w:t>
      </w:r>
      <w:r>
        <w:rPr>
          <w:color w:val="222222"/>
          <w:highlight w:val="white"/>
        </w:rPr>
        <w:t>. [online] Available at: https://www.gov.uk/government/publications/serious-and-organised-crime-strategy-2018/serious-and-organised-crime-strategy-accessible-version [Accessed 25 Nov. 2023].</w:t>
      </w:r>
    </w:p>
    <w:p w14:paraId="0000009C" w14:textId="77777777" w:rsidR="00FF01A1" w:rsidRDefault="00000000">
      <w:pPr>
        <w:spacing w:after="240" w:line="360" w:lineRule="auto"/>
        <w:rPr>
          <w:color w:val="222222"/>
          <w:highlight w:val="white"/>
        </w:rPr>
      </w:pPr>
      <w:r>
        <w:rPr>
          <w:color w:val="222222"/>
          <w:highlight w:val="white"/>
        </w:rPr>
        <w:t xml:space="preserve">Hester, M. (2013). Who does what to whom? Gender and domestic violence perpetrators in English police records. </w:t>
      </w:r>
      <w:r>
        <w:rPr>
          <w:i/>
          <w:color w:val="222222"/>
          <w:highlight w:val="white"/>
        </w:rPr>
        <w:t>European Journal of Criminology</w:t>
      </w:r>
      <w:r>
        <w:rPr>
          <w:color w:val="222222"/>
          <w:highlight w:val="white"/>
        </w:rPr>
        <w:t xml:space="preserve">, 10(5), pp.623–637. </w:t>
      </w:r>
      <w:proofErr w:type="spellStart"/>
      <w:proofErr w:type="gramStart"/>
      <w:r>
        <w:rPr>
          <w:color w:val="222222"/>
          <w:highlight w:val="white"/>
        </w:rPr>
        <w:t>doi:https</w:t>
      </w:r>
      <w:proofErr w:type="spellEnd"/>
      <w:r>
        <w:rPr>
          <w:color w:val="222222"/>
          <w:highlight w:val="white"/>
        </w:rPr>
        <w:t>://doi.org/10.1177/1477370813479078</w:t>
      </w:r>
      <w:proofErr w:type="gramEnd"/>
      <w:r>
        <w:rPr>
          <w:color w:val="222222"/>
          <w:highlight w:val="white"/>
        </w:rPr>
        <w:t>.</w:t>
      </w:r>
    </w:p>
    <w:p w14:paraId="0000009D" w14:textId="77777777" w:rsidR="00FF01A1" w:rsidRDefault="00000000">
      <w:pPr>
        <w:spacing w:after="240" w:line="360" w:lineRule="auto"/>
        <w:rPr>
          <w:color w:val="222222"/>
          <w:highlight w:val="white"/>
        </w:rPr>
      </w:pPr>
      <w:r>
        <w:rPr>
          <w:color w:val="222222"/>
          <w:highlight w:val="white"/>
        </w:rPr>
        <w:t xml:space="preserve">Hill, A. (2013). </w:t>
      </w:r>
      <w:r>
        <w:rPr>
          <w:i/>
          <w:color w:val="222222"/>
          <w:highlight w:val="white"/>
        </w:rPr>
        <w:t>Policing Dyslexia</w:t>
      </w:r>
      <w:r>
        <w:rPr>
          <w:color w:val="222222"/>
          <w:highlight w:val="white"/>
        </w:rPr>
        <w:t>.</w:t>
      </w:r>
    </w:p>
    <w:p w14:paraId="0000009E" w14:textId="77777777" w:rsidR="00FF01A1" w:rsidRDefault="00000000">
      <w:pPr>
        <w:spacing w:after="240" w:line="360" w:lineRule="auto"/>
        <w:rPr>
          <w:color w:val="222222"/>
          <w:highlight w:val="white"/>
        </w:rPr>
      </w:pPr>
      <w:r>
        <w:rPr>
          <w:color w:val="222222"/>
          <w:highlight w:val="white"/>
        </w:rPr>
        <w:t xml:space="preserve">Home Office (2014). </w:t>
      </w:r>
      <w:r>
        <w:rPr>
          <w:i/>
          <w:color w:val="222222"/>
          <w:highlight w:val="white"/>
        </w:rPr>
        <w:t>Serious and Organised Crime Strategy</w:t>
      </w:r>
      <w:r>
        <w:rPr>
          <w:color w:val="222222"/>
          <w:highlight w:val="white"/>
        </w:rPr>
        <w:t>. [online] GOV.UK. Available at: https://www.gov.uk/government/collections/serious-and-organised-crime-strategy [Accessed 25 Nov. 2023].</w:t>
      </w:r>
    </w:p>
    <w:p w14:paraId="0000009F" w14:textId="77777777" w:rsidR="00FF01A1" w:rsidRDefault="00000000">
      <w:pPr>
        <w:spacing w:after="240" w:line="360" w:lineRule="auto"/>
        <w:rPr>
          <w:color w:val="222222"/>
          <w:highlight w:val="white"/>
        </w:rPr>
      </w:pPr>
      <w:r>
        <w:rPr>
          <w:color w:val="222222"/>
          <w:highlight w:val="white"/>
        </w:rPr>
        <w:t xml:space="preserve">Home Office (2022). </w:t>
      </w:r>
      <w:r>
        <w:rPr>
          <w:i/>
          <w:color w:val="222222"/>
          <w:highlight w:val="white"/>
        </w:rPr>
        <w:t>PACE Code G 2012 (accessible)</w:t>
      </w:r>
      <w:r>
        <w:rPr>
          <w:color w:val="222222"/>
          <w:highlight w:val="white"/>
        </w:rPr>
        <w:t>. [online] GOV.UK. Available at: https://www.gov.uk/government/publications/pace-code-g-2012/pace-code-g-2012-accessible [Accessed 25 Nov. 2023].</w:t>
      </w:r>
    </w:p>
    <w:p w14:paraId="000000A0" w14:textId="77777777" w:rsidR="00FF01A1" w:rsidRDefault="00000000">
      <w:pPr>
        <w:spacing w:after="240" w:line="360" w:lineRule="auto"/>
        <w:rPr>
          <w:color w:val="222222"/>
          <w:highlight w:val="white"/>
        </w:rPr>
      </w:pPr>
      <w:r>
        <w:rPr>
          <w:color w:val="222222"/>
          <w:highlight w:val="white"/>
        </w:rPr>
        <w:t xml:space="preserve">JESIP (2022). </w:t>
      </w:r>
      <w:r>
        <w:rPr>
          <w:i/>
          <w:color w:val="222222"/>
          <w:highlight w:val="white"/>
        </w:rPr>
        <w:t>The Joint Decision Model (JDM)</w:t>
      </w:r>
      <w:r>
        <w:rPr>
          <w:color w:val="222222"/>
          <w:highlight w:val="white"/>
        </w:rPr>
        <w:t>. [online] JESIP Website. Available at: https://www.jesip.org.uk/joint-doctrine/the-joint-decision-model-jdm/ [Accessed 25 Nov. 2023].</w:t>
      </w:r>
    </w:p>
    <w:p w14:paraId="000000A1" w14:textId="77777777" w:rsidR="00FF01A1" w:rsidRDefault="00000000">
      <w:pPr>
        <w:spacing w:after="240" w:line="360" w:lineRule="auto"/>
        <w:rPr>
          <w:color w:val="222222"/>
          <w:highlight w:val="white"/>
        </w:rPr>
      </w:pPr>
      <w:r>
        <w:rPr>
          <w:color w:val="222222"/>
          <w:highlight w:val="white"/>
        </w:rPr>
        <w:t xml:space="preserve">Kahneman, D. (2011). </w:t>
      </w:r>
      <w:r>
        <w:rPr>
          <w:i/>
          <w:color w:val="222222"/>
          <w:highlight w:val="white"/>
        </w:rPr>
        <w:t>Thinking, Fast and Slow</w:t>
      </w:r>
      <w:r>
        <w:rPr>
          <w:color w:val="222222"/>
          <w:highlight w:val="white"/>
        </w:rPr>
        <w:t xml:space="preserve">. [online] New York: Farrar, </w:t>
      </w:r>
      <w:proofErr w:type="gramStart"/>
      <w:r>
        <w:rPr>
          <w:color w:val="222222"/>
          <w:highlight w:val="white"/>
        </w:rPr>
        <w:t>Straus</w:t>
      </w:r>
      <w:proofErr w:type="gramEnd"/>
      <w:r>
        <w:rPr>
          <w:color w:val="222222"/>
          <w:highlight w:val="white"/>
        </w:rPr>
        <w:t xml:space="preserve"> and Giroux. Available at: http://dspace.vnbrims.org:13000/jspui/bitstream/123456789/2224/1/Daniel-Kahneman-Thinking-Fast-and-Slow-.pdf.</w:t>
      </w:r>
    </w:p>
    <w:p w14:paraId="000000A2" w14:textId="77777777" w:rsidR="00FF01A1" w:rsidRDefault="00000000">
      <w:pPr>
        <w:spacing w:after="240" w:line="360" w:lineRule="auto"/>
        <w:rPr>
          <w:color w:val="222222"/>
          <w:highlight w:val="white"/>
        </w:rPr>
      </w:pPr>
      <w:r>
        <w:rPr>
          <w:color w:val="222222"/>
          <w:highlight w:val="white"/>
        </w:rPr>
        <w:t xml:space="preserve">Kirby, A. and Welch, D. (2016). The Equality Act 2010, specific learning difficulties and the police. </w:t>
      </w:r>
      <w:r>
        <w:rPr>
          <w:i/>
          <w:color w:val="222222"/>
          <w:highlight w:val="white"/>
        </w:rPr>
        <w:t>The Police Journal: Theory, Practice and Principles</w:t>
      </w:r>
      <w:r>
        <w:rPr>
          <w:color w:val="222222"/>
          <w:highlight w:val="white"/>
        </w:rPr>
        <w:t xml:space="preserve">, 89(3), pp.227–240. </w:t>
      </w:r>
      <w:proofErr w:type="spellStart"/>
      <w:proofErr w:type="gramStart"/>
      <w:r>
        <w:rPr>
          <w:color w:val="222222"/>
          <w:highlight w:val="white"/>
        </w:rPr>
        <w:t>doi:https</w:t>
      </w:r>
      <w:proofErr w:type="spellEnd"/>
      <w:r>
        <w:rPr>
          <w:color w:val="222222"/>
          <w:highlight w:val="white"/>
        </w:rPr>
        <w:t>://doi.org/10.1177/0032258x16657132</w:t>
      </w:r>
      <w:proofErr w:type="gramEnd"/>
      <w:r>
        <w:rPr>
          <w:color w:val="222222"/>
          <w:highlight w:val="white"/>
        </w:rPr>
        <w:t>.</w:t>
      </w:r>
    </w:p>
    <w:p w14:paraId="000000A3" w14:textId="77777777" w:rsidR="00FF01A1" w:rsidRDefault="00000000">
      <w:pPr>
        <w:spacing w:after="240" w:line="360" w:lineRule="auto"/>
        <w:rPr>
          <w:color w:val="222222"/>
          <w:highlight w:val="white"/>
        </w:rPr>
      </w:pPr>
      <w:r>
        <w:rPr>
          <w:color w:val="222222"/>
          <w:highlight w:val="white"/>
        </w:rPr>
        <w:t xml:space="preserve">Legislation.gov.uk (2021a). </w:t>
      </w:r>
      <w:r>
        <w:rPr>
          <w:i/>
          <w:color w:val="222222"/>
          <w:highlight w:val="white"/>
        </w:rPr>
        <w:t>Family Law Act 1996</w:t>
      </w:r>
      <w:r>
        <w:rPr>
          <w:color w:val="222222"/>
          <w:highlight w:val="white"/>
        </w:rPr>
        <w:t>. [online] Legislation.gov.uk. Available at: https://www.legislation.gov.uk/ukpga/1996/27/part/IV/crossheading/nonmolestation-orders [Accessed 25 Nov. 2023].</w:t>
      </w:r>
    </w:p>
    <w:p w14:paraId="000000A4" w14:textId="77777777" w:rsidR="00FF01A1" w:rsidRDefault="00000000">
      <w:pPr>
        <w:spacing w:after="240" w:line="360" w:lineRule="auto"/>
        <w:rPr>
          <w:color w:val="222222"/>
          <w:highlight w:val="white"/>
        </w:rPr>
      </w:pPr>
      <w:r>
        <w:rPr>
          <w:color w:val="222222"/>
          <w:highlight w:val="white"/>
        </w:rPr>
        <w:lastRenderedPageBreak/>
        <w:t xml:space="preserve">Legislation.gov.uk. (2021b). </w:t>
      </w:r>
      <w:r>
        <w:rPr>
          <w:i/>
          <w:color w:val="222222"/>
          <w:highlight w:val="white"/>
        </w:rPr>
        <w:t>Domestic Abuse Act 2021</w:t>
      </w:r>
      <w:r>
        <w:rPr>
          <w:color w:val="222222"/>
          <w:highlight w:val="white"/>
        </w:rPr>
        <w:t>. [online] Available at: https://www.legislation.gov.uk/ukpga/2021/17/part/1/enacted#:~:text=1Definition%20of%20%E2%80%9Cdomestic%20abuse%E2%80%9D [Accessed 25 Nov. 2023].</w:t>
      </w:r>
    </w:p>
    <w:p w14:paraId="000000A5" w14:textId="77777777" w:rsidR="00FF01A1" w:rsidRDefault="00000000">
      <w:pPr>
        <w:spacing w:after="240" w:line="360" w:lineRule="auto"/>
        <w:rPr>
          <w:color w:val="222222"/>
          <w:highlight w:val="white"/>
        </w:rPr>
      </w:pPr>
      <w:r>
        <w:rPr>
          <w:color w:val="222222"/>
          <w:highlight w:val="white"/>
        </w:rPr>
        <w:t xml:space="preserve">Manning, P.K. (1997). </w:t>
      </w:r>
      <w:r>
        <w:rPr>
          <w:i/>
          <w:color w:val="222222"/>
          <w:highlight w:val="white"/>
        </w:rPr>
        <w:t xml:space="preserve">Police </w:t>
      </w:r>
      <w:proofErr w:type="gramStart"/>
      <w:r>
        <w:rPr>
          <w:i/>
          <w:color w:val="222222"/>
          <w:highlight w:val="white"/>
        </w:rPr>
        <w:t>work :</w:t>
      </w:r>
      <w:proofErr w:type="gramEnd"/>
      <w:r>
        <w:rPr>
          <w:i/>
          <w:color w:val="222222"/>
          <w:highlight w:val="white"/>
        </w:rPr>
        <w:t xml:space="preserve"> the social organization of policing</w:t>
      </w:r>
      <w:r>
        <w:rPr>
          <w:color w:val="222222"/>
          <w:highlight w:val="white"/>
        </w:rPr>
        <w:t>. Prospect Heights, Ill.: Waveland Press.</w:t>
      </w:r>
    </w:p>
    <w:p w14:paraId="000000A6" w14:textId="77777777" w:rsidR="00FF01A1" w:rsidRDefault="00000000">
      <w:pPr>
        <w:spacing w:after="240" w:line="360" w:lineRule="auto"/>
        <w:rPr>
          <w:color w:val="222222"/>
          <w:highlight w:val="white"/>
        </w:rPr>
      </w:pPr>
      <w:r>
        <w:rPr>
          <w:color w:val="222222"/>
          <w:highlight w:val="white"/>
        </w:rPr>
        <w:t xml:space="preserve">Moffett, L., </w:t>
      </w:r>
      <w:proofErr w:type="spellStart"/>
      <w:proofErr w:type="gramStart"/>
      <w:r>
        <w:rPr>
          <w:color w:val="222222"/>
          <w:highlight w:val="white"/>
        </w:rPr>
        <w:t>E.Oxburgh</w:t>
      </w:r>
      <w:proofErr w:type="spellEnd"/>
      <w:proofErr w:type="gramEnd"/>
      <w:r>
        <w:rPr>
          <w:color w:val="222222"/>
          <w:highlight w:val="white"/>
        </w:rPr>
        <w:t xml:space="preserve">, G., Dresser, P., </w:t>
      </w:r>
      <w:proofErr w:type="spellStart"/>
      <w:r>
        <w:rPr>
          <w:color w:val="222222"/>
          <w:highlight w:val="white"/>
        </w:rPr>
        <w:t>J.Watson</w:t>
      </w:r>
      <w:proofErr w:type="spellEnd"/>
      <w:r>
        <w:rPr>
          <w:color w:val="222222"/>
          <w:highlight w:val="white"/>
        </w:rPr>
        <w:t xml:space="preserve">, S. and Fiona Gabbert (2021). </w:t>
      </w:r>
      <w:r>
        <w:rPr>
          <w:i/>
          <w:color w:val="222222"/>
          <w:highlight w:val="white"/>
        </w:rPr>
        <w:t>Inside the shadows: a survey of UK human source intelligence (HUMINT) practitioners, examining their considerations when handling a covert human intelligence source (CHIS)</w:t>
      </w:r>
      <w:r>
        <w:rPr>
          <w:color w:val="222222"/>
          <w:highlight w:val="white"/>
        </w:rPr>
        <w:t>. [online] Routledge. Available at: https://www.tandfonline.com/doi/full/10.1080/13218719.2021.1926367 [Accessed 25 Nov. 2023].</w:t>
      </w:r>
    </w:p>
    <w:p w14:paraId="000000A7" w14:textId="77777777" w:rsidR="00FF01A1" w:rsidRDefault="00000000">
      <w:pPr>
        <w:spacing w:after="240" w:line="360" w:lineRule="auto"/>
        <w:rPr>
          <w:color w:val="222222"/>
          <w:highlight w:val="white"/>
        </w:rPr>
      </w:pPr>
      <w:r>
        <w:rPr>
          <w:color w:val="222222"/>
          <w:highlight w:val="white"/>
        </w:rPr>
        <w:t xml:space="preserve">Newburn, T. and </w:t>
      </w:r>
      <w:proofErr w:type="spellStart"/>
      <w:r>
        <w:rPr>
          <w:color w:val="222222"/>
          <w:highlight w:val="white"/>
        </w:rPr>
        <w:t>Neyroud</w:t>
      </w:r>
      <w:proofErr w:type="spellEnd"/>
      <w:r>
        <w:rPr>
          <w:color w:val="222222"/>
          <w:highlight w:val="white"/>
        </w:rPr>
        <w:t xml:space="preserve">, P. (2008). </w:t>
      </w:r>
      <w:r>
        <w:rPr>
          <w:i/>
          <w:color w:val="222222"/>
          <w:highlight w:val="white"/>
        </w:rPr>
        <w:t>Dictionary of policing</w:t>
      </w:r>
      <w:r>
        <w:rPr>
          <w:color w:val="222222"/>
          <w:highlight w:val="white"/>
        </w:rPr>
        <w:t>. Cullompton, Devon: Willan Publishing.</w:t>
      </w:r>
    </w:p>
    <w:p w14:paraId="000000A8" w14:textId="77777777" w:rsidR="00FF01A1" w:rsidRDefault="00000000">
      <w:pPr>
        <w:spacing w:after="240" w:line="360" w:lineRule="auto"/>
        <w:rPr>
          <w:color w:val="222222"/>
          <w:highlight w:val="white"/>
        </w:rPr>
      </w:pPr>
      <w:r>
        <w:rPr>
          <w:color w:val="222222"/>
          <w:highlight w:val="white"/>
        </w:rPr>
        <w:t xml:space="preserve">NHS (2022). </w:t>
      </w:r>
      <w:r>
        <w:rPr>
          <w:i/>
          <w:color w:val="222222"/>
          <w:highlight w:val="white"/>
        </w:rPr>
        <w:t>Dyslexia</w:t>
      </w:r>
      <w:r>
        <w:rPr>
          <w:color w:val="222222"/>
          <w:highlight w:val="white"/>
        </w:rPr>
        <w:t>. [online] NHS. Available at: https://www.nhs.uk/conditions/Dyslexia [Accessed 25 Nov. 2023].</w:t>
      </w:r>
    </w:p>
    <w:p w14:paraId="000000A9" w14:textId="77777777" w:rsidR="00FF01A1" w:rsidRDefault="00000000">
      <w:pPr>
        <w:spacing w:after="240" w:line="360" w:lineRule="auto"/>
        <w:rPr>
          <w:color w:val="222222"/>
          <w:highlight w:val="white"/>
        </w:rPr>
      </w:pPr>
      <w:r>
        <w:rPr>
          <w:color w:val="222222"/>
          <w:highlight w:val="white"/>
        </w:rPr>
        <w:t xml:space="preserve">Peterson, R.L. and Pennington, B.F. (2012). Developmental dyslexia. </w:t>
      </w:r>
      <w:r>
        <w:rPr>
          <w:i/>
          <w:color w:val="222222"/>
          <w:highlight w:val="white"/>
        </w:rPr>
        <w:t>The Lancet</w:t>
      </w:r>
      <w:r>
        <w:rPr>
          <w:color w:val="222222"/>
          <w:highlight w:val="white"/>
        </w:rPr>
        <w:t xml:space="preserve">, [online] 379(9830), pp.1997–2007. </w:t>
      </w:r>
      <w:proofErr w:type="spellStart"/>
      <w:proofErr w:type="gramStart"/>
      <w:r>
        <w:rPr>
          <w:color w:val="222222"/>
          <w:highlight w:val="white"/>
        </w:rPr>
        <w:t>doi:https</w:t>
      </w:r>
      <w:proofErr w:type="spellEnd"/>
      <w:r>
        <w:rPr>
          <w:color w:val="222222"/>
          <w:highlight w:val="white"/>
        </w:rPr>
        <w:t>://doi.org/10.1016/s0140-6736(12)60198-6</w:t>
      </w:r>
      <w:proofErr w:type="gramEnd"/>
      <w:r>
        <w:rPr>
          <w:color w:val="222222"/>
          <w:highlight w:val="white"/>
        </w:rPr>
        <w:t>.</w:t>
      </w:r>
    </w:p>
    <w:p w14:paraId="000000AA" w14:textId="77777777" w:rsidR="00FF01A1" w:rsidRDefault="00000000">
      <w:pPr>
        <w:spacing w:after="240" w:line="360" w:lineRule="auto"/>
        <w:rPr>
          <w:color w:val="222222"/>
          <w:highlight w:val="white"/>
        </w:rPr>
      </w:pPr>
      <w:r>
        <w:rPr>
          <w:color w:val="222222"/>
          <w:highlight w:val="white"/>
        </w:rPr>
        <w:t xml:space="preserve">Ratcliffe, J. (2016). </w:t>
      </w:r>
      <w:r>
        <w:rPr>
          <w:i/>
          <w:color w:val="222222"/>
          <w:highlight w:val="white"/>
        </w:rPr>
        <w:t>Intelligence-led policing</w:t>
      </w:r>
      <w:r>
        <w:rPr>
          <w:color w:val="222222"/>
          <w:highlight w:val="white"/>
        </w:rPr>
        <w:t>. 2nd ed. London: Routledge.</w:t>
      </w:r>
    </w:p>
    <w:p w14:paraId="000000AB" w14:textId="77777777" w:rsidR="00FF01A1" w:rsidRDefault="00000000">
      <w:pPr>
        <w:spacing w:after="240" w:line="360" w:lineRule="auto"/>
        <w:rPr>
          <w:color w:val="222222"/>
          <w:highlight w:val="white"/>
        </w:rPr>
      </w:pPr>
      <w:proofErr w:type="spellStart"/>
      <w:r>
        <w:rPr>
          <w:color w:val="222222"/>
          <w:highlight w:val="white"/>
        </w:rPr>
        <w:t>Roycroft</w:t>
      </w:r>
      <w:proofErr w:type="spellEnd"/>
      <w:r>
        <w:rPr>
          <w:color w:val="222222"/>
          <w:highlight w:val="white"/>
        </w:rPr>
        <w:t xml:space="preserve">, M. and Roach, J. (2019). </w:t>
      </w:r>
      <w:r>
        <w:rPr>
          <w:i/>
          <w:color w:val="222222"/>
          <w:highlight w:val="white"/>
        </w:rPr>
        <w:t xml:space="preserve">Decision Making in Police Enquiries and Critical </w:t>
      </w:r>
      <w:proofErr w:type="gramStart"/>
      <w:r>
        <w:rPr>
          <w:i/>
          <w:color w:val="222222"/>
          <w:highlight w:val="white"/>
        </w:rPr>
        <w:t>Incidents :</w:t>
      </w:r>
      <w:proofErr w:type="gramEnd"/>
      <w:r>
        <w:rPr>
          <w:i/>
          <w:color w:val="222222"/>
          <w:highlight w:val="white"/>
        </w:rPr>
        <w:t xml:space="preserve"> What Really Works?</w:t>
      </w:r>
      <w:r>
        <w:rPr>
          <w:color w:val="222222"/>
          <w:highlight w:val="white"/>
        </w:rPr>
        <w:t xml:space="preserve"> London: Palgrave Macmillan </w:t>
      </w:r>
      <w:proofErr w:type="spellStart"/>
      <w:r>
        <w:rPr>
          <w:color w:val="222222"/>
          <w:highlight w:val="white"/>
        </w:rPr>
        <w:t>Uk</w:t>
      </w:r>
      <w:proofErr w:type="spellEnd"/>
      <w:r>
        <w:rPr>
          <w:color w:val="222222"/>
          <w:highlight w:val="white"/>
        </w:rPr>
        <w:t>.</w:t>
      </w:r>
    </w:p>
    <w:p w14:paraId="000000AC" w14:textId="77777777" w:rsidR="00FF01A1" w:rsidRDefault="00000000">
      <w:pPr>
        <w:spacing w:after="240" w:line="360" w:lineRule="auto"/>
        <w:rPr>
          <w:color w:val="222222"/>
          <w:highlight w:val="white"/>
        </w:rPr>
      </w:pPr>
      <w:r>
        <w:rPr>
          <w:color w:val="222222"/>
          <w:highlight w:val="white"/>
        </w:rPr>
        <w:t xml:space="preserve">Semple, D. and Smyth, R. (2019). </w:t>
      </w:r>
      <w:r>
        <w:rPr>
          <w:i/>
          <w:color w:val="222222"/>
          <w:highlight w:val="white"/>
        </w:rPr>
        <w:t>Oxford handbook of psychiatry</w:t>
      </w:r>
      <w:r>
        <w:rPr>
          <w:color w:val="222222"/>
          <w:highlight w:val="white"/>
        </w:rPr>
        <w:t xml:space="preserve">. </w:t>
      </w:r>
      <w:proofErr w:type="gramStart"/>
      <w:r>
        <w:rPr>
          <w:color w:val="222222"/>
          <w:highlight w:val="white"/>
        </w:rPr>
        <w:t>Oxford ;</w:t>
      </w:r>
      <w:proofErr w:type="gramEnd"/>
      <w:r>
        <w:rPr>
          <w:color w:val="222222"/>
          <w:highlight w:val="white"/>
        </w:rPr>
        <w:t xml:space="preserve"> New York, Ny: Oxford University Press.</w:t>
      </w:r>
    </w:p>
    <w:p w14:paraId="000000AD" w14:textId="77777777" w:rsidR="00FF01A1" w:rsidRDefault="00000000">
      <w:pPr>
        <w:spacing w:after="240" w:line="360" w:lineRule="auto"/>
        <w:rPr>
          <w:color w:val="222222"/>
          <w:highlight w:val="white"/>
        </w:rPr>
      </w:pPr>
      <w:proofErr w:type="spellStart"/>
      <w:r>
        <w:rPr>
          <w:color w:val="222222"/>
          <w:highlight w:val="white"/>
        </w:rPr>
        <w:t>Snowling</w:t>
      </w:r>
      <w:proofErr w:type="spellEnd"/>
      <w:r>
        <w:rPr>
          <w:color w:val="222222"/>
          <w:highlight w:val="white"/>
        </w:rPr>
        <w:t xml:space="preserve">, M.J. (2019). </w:t>
      </w:r>
      <w:r>
        <w:rPr>
          <w:i/>
          <w:color w:val="222222"/>
          <w:highlight w:val="white"/>
        </w:rPr>
        <w:t>Dyslexia.</w:t>
      </w:r>
      <w:r>
        <w:rPr>
          <w:color w:val="222222"/>
          <w:highlight w:val="white"/>
        </w:rPr>
        <w:t xml:space="preserve"> Oxford University Press.</w:t>
      </w:r>
    </w:p>
    <w:p w14:paraId="000000AE" w14:textId="77777777" w:rsidR="00FF01A1" w:rsidRDefault="00000000">
      <w:pPr>
        <w:spacing w:after="240" w:line="360" w:lineRule="auto"/>
        <w:rPr>
          <w:color w:val="222222"/>
          <w:highlight w:val="white"/>
        </w:rPr>
      </w:pPr>
      <w:proofErr w:type="spellStart"/>
      <w:r>
        <w:rPr>
          <w:color w:val="222222"/>
          <w:highlight w:val="white"/>
        </w:rPr>
        <w:t>Snowling</w:t>
      </w:r>
      <w:proofErr w:type="spellEnd"/>
      <w:r>
        <w:rPr>
          <w:color w:val="222222"/>
          <w:highlight w:val="white"/>
        </w:rPr>
        <w:t xml:space="preserve">, M.J. and Stackhouse, J. (2013). </w:t>
      </w:r>
      <w:r>
        <w:rPr>
          <w:i/>
          <w:color w:val="222222"/>
          <w:highlight w:val="white"/>
        </w:rPr>
        <w:t xml:space="preserve">Dyslexia, Speech and </w:t>
      </w:r>
      <w:proofErr w:type="gramStart"/>
      <w:r>
        <w:rPr>
          <w:i/>
          <w:color w:val="222222"/>
          <w:highlight w:val="white"/>
        </w:rPr>
        <w:t>Language :</w:t>
      </w:r>
      <w:proofErr w:type="gramEnd"/>
      <w:r>
        <w:rPr>
          <w:i/>
          <w:color w:val="222222"/>
          <w:highlight w:val="white"/>
        </w:rPr>
        <w:t xml:space="preserve"> a Practitioner’s Handbook</w:t>
      </w:r>
      <w:r>
        <w:rPr>
          <w:color w:val="222222"/>
          <w:highlight w:val="white"/>
        </w:rPr>
        <w:t>. Somerset: Wiley.</w:t>
      </w:r>
    </w:p>
    <w:p w14:paraId="000000AF" w14:textId="77777777" w:rsidR="00FF01A1" w:rsidRDefault="00000000">
      <w:pPr>
        <w:spacing w:after="240" w:line="360" w:lineRule="auto"/>
        <w:rPr>
          <w:color w:val="222222"/>
          <w:highlight w:val="white"/>
        </w:rPr>
      </w:pPr>
      <w:r>
        <w:rPr>
          <w:color w:val="222222"/>
          <w:highlight w:val="white"/>
        </w:rPr>
        <w:t xml:space="preserve">University of Sunderland (2019a). </w:t>
      </w:r>
      <w:r>
        <w:rPr>
          <w:i/>
          <w:color w:val="222222"/>
          <w:highlight w:val="white"/>
        </w:rPr>
        <w:t>Dyslexia and Policing: Understanding the impact that Dyslexia has in the Police Service in England and Wales.</w:t>
      </w:r>
      <w:r>
        <w:rPr>
          <w:color w:val="222222"/>
          <w:highlight w:val="white"/>
        </w:rPr>
        <w:t xml:space="preserve"> [online] Sunderland.ac.uk. Available at: https://sure.sunderland.ac.uk/id/eprint/10593/3/Dyslexia%20in%20the%20police%20force%20reviewed%20AAM%20%281%29.pdf [Accessed 25 Nov. 2023].</w:t>
      </w:r>
    </w:p>
    <w:p w14:paraId="000000B0" w14:textId="77777777" w:rsidR="00FF01A1" w:rsidRDefault="00000000">
      <w:pPr>
        <w:spacing w:after="240" w:line="360" w:lineRule="auto"/>
        <w:rPr>
          <w:color w:val="222222"/>
          <w:highlight w:val="white"/>
        </w:rPr>
      </w:pPr>
      <w:r>
        <w:rPr>
          <w:color w:val="222222"/>
          <w:highlight w:val="white"/>
        </w:rPr>
        <w:lastRenderedPageBreak/>
        <w:t xml:space="preserve">University of Sunderland (2019b). Re moving </w:t>
      </w:r>
      <w:proofErr w:type="spellStart"/>
      <w:r>
        <w:rPr>
          <w:color w:val="222222"/>
          <w:highlight w:val="white"/>
        </w:rPr>
        <w:t>Disa</w:t>
      </w:r>
      <w:proofErr w:type="spellEnd"/>
      <w:r>
        <w:rPr>
          <w:color w:val="222222"/>
          <w:highlight w:val="white"/>
        </w:rPr>
        <w:t xml:space="preserve"> bling Ba </w:t>
      </w:r>
      <w:proofErr w:type="spellStart"/>
      <w:r>
        <w:rPr>
          <w:color w:val="222222"/>
          <w:highlight w:val="white"/>
        </w:rPr>
        <w:t>rrie</w:t>
      </w:r>
      <w:proofErr w:type="spellEnd"/>
      <w:r>
        <w:rPr>
          <w:color w:val="222222"/>
          <w:highlight w:val="white"/>
        </w:rPr>
        <w:t xml:space="preserve"> </w:t>
      </w:r>
      <w:proofErr w:type="spellStart"/>
      <w:r>
        <w:rPr>
          <w:color w:val="222222"/>
          <w:highlight w:val="white"/>
        </w:rPr>
        <w:t>rs</w:t>
      </w:r>
      <w:proofErr w:type="spellEnd"/>
      <w:r>
        <w:rPr>
          <w:color w:val="222222"/>
          <w:highlight w:val="white"/>
        </w:rPr>
        <w:t xml:space="preserve"> in Policing: Dyslexia a n d Literacy Difficulties in t h e Police Service. [online] Available at: https://sure.sunderland.ac.uk/id/eprint/10716/3/Literacy%20Problems%20and%20Policing%20-%20MD%204%20%281%29.pdf [Accessed 25 Nov. 2023].</w:t>
      </w:r>
    </w:p>
    <w:p w14:paraId="000000B1" w14:textId="77777777" w:rsidR="00FF01A1" w:rsidRDefault="00000000">
      <w:pPr>
        <w:spacing w:after="240" w:line="360" w:lineRule="auto"/>
        <w:rPr>
          <w:color w:val="222222"/>
          <w:highlight w:val="white"/>
        </w:rPr>
      </w:pPr>
      <w:proofErr w:type="spellStart"/>
      <w:r>
        <w:rPr>
          <w:color w:val="222222"/>
          <w:highlight w:val="white"/>
        </w:rPr>
        <w:t>Welstead</w:t>
      </w:r>
      <w:proofErr w:type="spellEnd"/>
      <w:r>
        <w:rPr>
          <w:color w:val="222222"/>
          <w:highlight w:val="white"/>
        </w:rPr>
        <w:t xml:space="preserve">, </w:t>
      </w:r>
      <w:proofErr w:type="gramStart"/>
      <w:r>
        <w:rPr>
          <w:color w:val="222222"/>
          <w:highlight w:val="white"/>
        </w:rPr>
        <w:t>M.</w:t>
      </w:r>
      <w:proofErr w:type="gramEnd"/>
      <w:r>
        <w:rPr>
          <w:color w:val="222222"/>
          <w:highlight w:val="white"/>
        </w:rPr>
        <w:t xml:space="preserve"> and Edwards, S.S.M. (2008). </w:t>
      </w:r>
      <w:r>
        <w:rPr>
          <w:i/>
          <w:color w:val="222222"/>
          <w:highlight w:val="white"/>
        </w:rPr>
        <w:t>Family law</w:t>
      </w:r>
      <w:r>
        <w:rPr>
          <w:color w:val="222222"/>
          <w:highlight w:val="white"/>
        </w:rPr>
        <w:t xml:space="preserve">. </w:t>
      </w:r>
      <w:proofErr w:type="gramStart"/>
      <w:r>
        <w:rPr>
          <w:color w:val="222222"/>
          <w:highlight w:val="white"/>
        </w:rPr>
        <w:t>Oxford ;</w:t>
      </w:r>
      <w:proofErr w:type="gramEnd"/>
      <w:r>
        <w:rPr>
          <w:color w:val="222222"/>
          <w:highlight w:val="white"/>
        </w:rPr>
        <w:t xml:space="preserve"> New York: Oxford University Press.</w:t>
      </w:r>
    </w:p>
    <w:p w14:paraId="000000B2" w14:textId="77777777" w:rsidR="00FF01A1" w:rsidRDefault="00FF01A1">
      <w:pPr>
        <w:rPr>
          <w:color w:val="222222"/>
          <w:highlight w:val="white"/>
        </w:rPr>
      </w:pPr>
    </w:p>
    <w:sectPr w:rsidR="00FF01A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1A1"/>
    <w:rsid w:val="00925308"/>
    <w:rsid w:val="00FF0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AA722"/>
  <w15:docId w15:val="{022F1E82-A4AE-4D32-91BF-96C7CFD4E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legislation.gov.uk/ukpga/2000/23/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4638</Words>
  <Characters>26441</Characters>
  <Application>Microsoft Office Word</Application>
  <DocSecurity>0</DocSecurity>
  <Lines>220</Lines>
  <Paragraphs>62</Paragraphs>
  <ScaleCrop>false</ScaleCrop>
  <Company/>
  <LinksUpToDate>false</LinksUpToDate>
  <CharactersWithSpaces>31017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Langton, Owain</cp:lastModifiedBy>
  <cp:revision>2</cp:revision>
  <dcterms:created xsi:type="dcterms:W3CDTF">2023-11-27T12:40:00Z</dcterms:created>
  <dcterms:modified xsi:type="dcterms:W3CDTF">2023-11-27T12:40:00Z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2023-11-27T12:40:36Z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4feba918-b839-4c97-99dc-0f812dd40e2f</vt:lpwstr>
  </property>
  <property fmtid="{D5CDD505-2E9C-101B-9397-08002B2CF9AE}" pid="8" name="MSIP_Label_f2acd28b-79a3-4a0f-b0ff-4b75658b1549_ContentBits">
    <vt:lpwstr>0</vt:lpwstr>
  </property>
</Properties>
</file>