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pPr>
        <w:spacing w:after="160" w:line="259" w:lineRule="auto"/>
      </w:pPr>
      <w:bookmarkStart w:id="0" w:name="_GoBack"/>
      <w:bookmarkEnd w:id="0"/>
      <w:r>
        <w:rPr>
          <w:noProof/>
          <w:lang w:val="en-GB"/>
        </w:rPr>
        <w:drawing>
          <wp:anchor distT="114300" distB="114300" distL="114300" distR="114300" simplePos="0" relativeHeight="251658240" behindDoc="0" locked="0" layoutInCell="1" hidden="0" allowOverlap="1">
            <wp:simplePos x="0" y="0"/>
            <wp:positionH relativeFrom="column">
              <wp:posOffset>1314450</wp:posOffset>
            </wp:positionH>
            <wp:positionV relativeFrom="paragraph">
              <wp:posOffset>114300</wp:posOffset>
            </wp:positionV>
            <wp:extent cx="3209925" cy="1428750"/>
            <wp:effectExtent l="0" t="0" r="0" b="0"/>
            <wp:wrapNone/>
            <wp:docPr id="1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209925" cy="1428750"/>
                    </a:xfrm>
                    <a:prstGeom prst="rect">
                      <a:avLst/>
                    </a:prstGeom>
                    <a:ln/>
                  </pic:spPr>
                </pic:pic>
              </a:graphicData>
            </a:graphic>
          </wp:anchor>
        </w:drawing>
      </w:r>
    </w:p>
    <w:p>
      <w:pPr>
        <w:spacing w:after="160" w:line="259" w:lineRule="auto"/>
      </w:pPr>
    </w:p>
    <w:p>
      <w:pPr>
        <w:spacing w:after="160" w:line="259" w:lineRule="auto"/>
      </w:pPr>
    </w:p>
    <w:p>
      <w:pPr>
        <w:spacing w:after="160" w:line="259" w:lineRule="auto"/>
      </w:pPr>
    </w:p>
    <w:p>
      <w:pPr>
        <w:spacing w:after="160" w:line="259" w:lineRule="auto"/>
      </w:pPr>
    </w:p>
    <w:p>
      <w:pPr>
        <w:spacing w:after="160" w:line="259" w:lineRule="auto"/>
      </w:pPr>
    </w:p>
    <w:p>
      <w:pPr>
        <w:spacing w:after="160" w:line="259" w:lineRule="auto"/>
      </w:pPr>
    </w:p>
    <w:p>
      <w:pPr>
        <w:spacing w:after="160" w:line="259" w:lineRule="auto"/>
      </w:pPr>
    </w:p>
    <w:p>
      <w:pPr>
        <w:spacing w:after="160" w:line="259" w:lineRule="auto"/>
        <w:jc w:val="center"/>
        <w:rPr>
          <w:sz w:val="38"/>
          <w:szCs w:val="38"/>
        </w:rPr>
      </w:pPr>
    </w:p>
    <w:p>
      <w:pPr>
        <w:spacing w:after="160" w:line="259" w:lineRule="auto"/>
        <w:jc w:val="center"/>
        <w:rPr>
          <w:sz w:val="38"/>
          <w:szCs w:val="38"/>
        </w:rPr>
      </w:pPr>
      <w:r>
        <w:rPr>
          <w:sz w:val="38"/>
          <w:szCs w:val="38"/>
        </w:rPr>
        <w:t>What are the factors that influence whether or not pupils choose science A Levels?</w:t>
      </w:r>
    </w:p>
    <w:p>
      <w:pPr>
        <w:spacing w:after="160" w:line="259" w:lineRule="auto"/>
        <w:jc w:val="center"/>
        <w:rPr>
          <w:sz w:val="32"/>
          <w:szCs w:val="32"/>
        </w:rPr>
      </w:pPr>
    </w:p>
    <w:p>
      <w:pPr>
        <w:spacing w:after="160" w:line="259" w:lineRule="auto"/>
        <w:jc w:val="center"/>
        <w:rPr>
          <w:sz w:val="32"/>
          <w:szCs w:val="32"/>
        </w:rPr>
      </w:pPr>
    </w:p>
    <w:p>
      <w:pPr>
        <w:spacing w:after="160" w:line="259" w:lineRule="auto"/>
        <w:jc w:val="center"/>
        <w:rPr>
          <w:sz w:val="32"/>
          <w:szCs w:val="32"/>
        </w:rPr>
      </w:pPr>
    </w:p>
    <w:p>
      <w:pPr>
        <w:spacing w:after="160" w:line="259" w:lineRule="auto"/>
        <w:jc w:val="center"/>
        <w:rPr>
          <w:sz w:val="32"/>
          <w:szCs w:val="32"/>
        </w:rPr>
      </w:pPr>
      <w:r>
        <w:rPr>
          <w:sz w:val="32"/>
          <w:szCs w:val="32"/>
        </w:rPr>
        <w:t>Aimee Jayne Stratton Williams</w:t>
      </w:r>
    </w:p>
    <w:p>
      <w:pPr>
        <w:spacing w:after="160" w:line="259" w:lineRule="auto"/>
        <w:jc w:val="center"/>
        <w:rPr>
          <w:sz w:val="32"/>
          <w:szCs w:val="32"/>
        </w:rPr>
      </w:pPr>
    </w:p>
    <w:p>
      <w:pPr>
        <w:spacing w:after="160" w:line="259" w:lineRule="auto"/>
        <w:jc w:val="center"/>
        <w:rPr>
          <w:sz w:val="32"/>
          <w:szCs w:val="32"/>
        </w:rPr>
      </w:pPr>
    </w:p>
    <w:p>
      <w:pPr>
        <w:spacing w:after="160" w:line="259" w:lineRule="auto"/>
        <w:jc w:val="center"/>
        <w:rPr>
          <w:sz w:val="32"/>
          <w:szCs w:val="32"/>
        </w:rPr>
      </w:pPr>
      <w:r>
        <w:rPr>
          <w:sz w:val="32"/>
          <w:szCs w:val="32"/>
        </w:rPr>
        <w:t>A dissertation submitted for the degree of</w:t>
      </w:r>
    </w:p>
    <w:p>
      <w:pPr>
        <w:spacing w:after="160" w:line="259" w:lineRule="auto"/>
        <w:jc w:val="center"/>
        <w:rPr>
          <w:i/>
          <w:sz w:val="32"/>
          <w:szCs w:val="32"/>
        </w:rPr>
      </w:pPr>
      <w:r>
        <w:rPr>
          <w:i/>
          <w:sz w:val="32"/>
          <w:szCs w:val="32"/>
        </w:rPr>
        <w:t>MA Education</w:t>
      </w:r>
    </w:p>
    <w:p/>
    <w:p/>
    <w:p/>
    <w:p/>
    <w:p/>
    <w:p/>
    <w:p/>
    <w:p/>
    <w:p/>
    <w:p/>
    <w:p/>
    <w:p>
      <w:pPr>
        <w:rPr>
          <w:b/>
          <w:u w:val="single"/>
        </w:rPr>
      </w:pPr>
      <w:r>
        <w:rPr>
          <w:b/>
          <w:u w:val="single"/>
        </w:rPr>
        <w:lastRenderedPageBreak/>
        <w:t>Contents</w:t>
      </w:r>
    </w:p>
    <w:p/>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50"/>
        <w:gridCol w:w="4590"/>
        <w:gridCol w:w="3120"/>
      </w:tblGrid>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rPr>
                <w:b/>
              </w:rPr>
            </w:pPr>
            <w:r>
              <w:rPr>
                <w:b/>
              </w:rPr>
              <w:t>Chapter</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rPr>
                <w:b/>
              </w:rPr>
            </w:pPr>
            <w:r>
              <w:rPr>
                <w:b/>
              </w:rPr>
              <w:t>Page number</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Declaration form</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3</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Acknowledgements</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4</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 xml:space="preserve">Acronyms </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4</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Abstract</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5</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1</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Introduction</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6</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2</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Literature review</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9</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3</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Methodology</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17</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4</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Presentation of data</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25</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5</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Discussion and interpretation of the data</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47</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6</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Conclusions and recommendations</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51</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7</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References</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53</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8</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Appendices</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59</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Appendix 1</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Ethics form</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60</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Appendix 2</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Declaration form</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79</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Appendix 3</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Supervision record</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80</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Appendix 4</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Key Stage 4 Questionnaire</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83</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Appendix 5</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Key Stage 5 Questionnaire</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96</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Appendix 6</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Key Stage 4 Focus Group questions</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104</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Appendix 7</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Key Stage 5 Focus Group questions</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104</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Appendix 8</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Questionnaire consent forms</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105</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 xml:space="preserve">Appendix 9 </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Focus Group questions</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106</w:t>
            </w:r>
          </w:p>
        </w:tc>
      </w:tr>
    </w:tbl>
    <w:p/>
    <w:p/>
    <w:p/>
    <w:p/>
    <w:p/>
    <w:p>
      <w:pPr>
        <w:pStyle w:val="Heading1"/>
        <w:keepLines w:val="0"/>
        <w:spacing w:before="240" w:after="60" w:line="240" w:lineRule="auto"/>
        <w:rPr>
          <w:b/>
          <w:sz w:val="32"/>
          <w:szCs w:val="32"/>
        </w:rPr>
      </w:pPr>
      <w:bookmarkStart w:id="1" w:name="_9y0me1ah7lse" w:colFirst="0" w:colLast="0"/>
      <w:bookmarkEnd w:id="1"/>
      <w:r>
        <w:rPr>
          <w:b/>
          <w:sz w:val="32"/>
          <w:szCs w:val="32"/>
        </w:rPr>
        <w:t xml:space="preserve"> Declaration Form </w:t>
      </w:r>
    </w:p>
    <w:p>
      <w:pPr>
        <w:spacing w:line="240" w:lineRule="auto"/>
        <w:rPr>
          <w:sz w:val="24"/>
          <w:szCs w:val="24"/>
        </w:rPr>
      </w:pPr>
      <w:r>
        <w:rPr>
          <w:noProof/>
          <w:sz w:val="24"/>
          <w:szCs w:val="24"/>
          <w:lang w:val="en-GB"/>
        </w:rPr>
        <w:drawing>
          <wp:inline distT="0" distB="0" distL="114300" distR="114300">
            <wp:extent cx="2079625" cy="997585"/>
            <wp:effectExtent l="0" t="0" r="0" b="0"/>
            <wp:docPr id="15" name="image7.jpg" descr="LogoNewydd"/>
            <wp:cNvGraphicFramePr/>
            <a:graphic xmlns:a="http://schemas.openxmlformats.org/drawingml/2006/main">
              <a:graphicData uri="http://schemas.openxmlformats.org/drawingml/2006/picture">
                <pic:pic xmlns:pic="http://schemas.openxmlformats.org/drawingml/2006/picture">
                  <pic:nvPicPr>
                    <pic:cNvPr id="0" name="image7.jpg" descr="LogoNewydd"/>
                    <pic:cNvPicPr preferRelativeResize="0"/>
                  </pic:nvPicPr>
                  <pic:blipFill>
                    <a:blip r:embed="rId8"/>
                    <a:srcRect/>
                    <a:stretch>
                      <a:fillRect/>
                    </a:stretch>
                  </pic:blipFill>
                  <pic:spPr>
                    <a:xfrm>
                      <a:off x="0" y="0"/>
                      <a:ext cx="2079625" cy="997585"/>
                    </a:xfrm>
                    <a:prstGeom prst="rect">
                      <a:avLst/>
                    </a:prstGeom>
                    <a:ln/>
                  </pic:spPr>
                </pic:pic>
              </a:graphicData>
            </a:graphic>
          </wp:inline>
        </w:drawing>
      </w:r>
    </w:p>
    <w:p>
      <w:pPr>
        <w:spacing w:line="240" w:lineRule="auto"/>
        <w:rPr>
          <w:sz w:val="24"/>
          <w:szCs w:val="24"/>
        </w:rPr>
      </w:pPr>
      <w:r>
        <w:rPr>
          <w:sz w:val="24"/>
          <w:szCs w:val="24"/>
        </w:rPr>
        <w:t>Master’s Degrees by Examination and Dissertation</w:t>
      </w:r>
    </w:p>
    <w:p>
      <w:pPr>
        <w:spacing w:line="240" w:lineRule="auto"/>
        <w:rPr>
          <w:sz w:val="24"/>
          <w:szCs w:val="24"/>
        </w:rPr>
      </w:pPr>
      <w:r>
        <w:rPr>
          <w:sz w:val="24"/>
          <w:szCs w:val="24"/>
        </w:rPr>
        <w:t>Declaration Form.</w:t>
      </w:r>
    </w:p>
    <w:p>
      <w:pPr>
        <w:spacing w:line="240" w:lineRule="auto"/>
        <w:rPr>
          <w:sz w:val="24"/>
          <w:szCs w:val="24"/>
        </w:rPr>
      </w:pPr>
    </w:p>
    <w:p>
      <w:pPr>
        <w:spacing w:line="240" w:lineRule="auto"/>
        <w:rPr>
          <w:sz w:val="24"/>
          <w:szCs w:val="24"/>
        </w:rPr>
      </w:pPr>
      <w:r>
        <w:rPr>
          <w:sz w:val="24"/>
          <w:szCs w:val="24"/>
        </w:rPr>
        <w:t>1. This work has not previously been accepted in substance for any degree and is not being concurrently submitted in candidature for any degree.</w:t>
      </w:r>
      <w:r>
        <w:rPr>
          <w:noProof/>
          <w:lang w:val="en-GB"/>
        </w:rPr>
        <mc:AlternateContent>
          <mc:Choice Requires="wpg">
            <w:drawing>
              <wp:anchor distT="114300" distB="114300" distL="114300" distR="114300" simplePos="0" relativeHeight="251659264" behindDoc="0" locked="0" layoutInCell="1" hidden="0" allowOverlap="1">
                <wp:simplePos x="0" y="0"/>
                <wp:positionH relativeFrom="column">
                  <wp:posOffset>1352550</wp:posOffset>
                </wp:positionH>
                <wp:positionV relativeFrom="paragraph">
                  <wp:posOffset>360015</wp:posOffset>
                </wp:positionV>
                <wp:extent cx="881063" cy="445839"/>
                <wp:effectExtent l="0" t="0" r="0" b="0"/>
                <wp:wrapNone/>
                <wp:docPr id="6" name=""/>
                <wp:cNvGraphicFramePr/>
                <a:graphic xmlns:a="http://schemas.openxmlformats.org/drawingml/2006/main">
                  <a:graphicData uri="http://schemas.microsoft.com/office/word/2010/wordprocessingShape">
                    <wps:wsp>
                      <wps:cNvSpPr/>
                      <wps:spPr>
                        <a:xfrm>
                          <a:off x="1558927" y="858725"/>
                          <a:ext cx="3138550" cy="1578225"/>
                        </a:xfrm>
                        <a:custGeom>
                          <a:avLst/>
                          <a:gdLst/>
                          <a:ahLst/>
                          <a:cxnLst/>
                          <a:rect l="l" t="t" r="r" b="b"/>
                          <a:pathLst>
                            <a:path w="125542" h="63129" extrusionOk="0">
                              <a:moveTo>
                                <a:pt x="1635" y="63129"/>
                              </a:moveTo>
                              <a:cubicBezTo>
                                <a:pt x="9878" y="53242"/>
                                <a:pt x="14198" y="40328"/>
                                <a:pt x="17320" y="27840"/>
                              </a:cubicBezTo>
                              <a:cubicBezTo>
                                <a:pt x="18744" y="22145"/>
                                <a:pt x="19426" y="16282"/>
                                <a:pt x="20849" y="10587"/>
                              </a:cubicBezTo>
                              <a:cubicBezTo>
                                <a:pt x="21219" y="9108"/>
                                <a:pt x="21838" y="5984"/>
                                <a:pt x="23201" y="6666"/>
                              </a:cubicBezTo>
                              <a:cubicBezTo>
                                <a:pt x="27131" y="8631"/>
                                <a:pt x="27233" y="14559"/>
                                <a:pt x="28299" y="18821"/>
                              </a:cubicBezTo>
                              <a:cubicBezTo>
                                <a:pt x="30046" y="25809"/>
                                <a:pt x="31594" y="32864"/>
                                <a:pt x="32612" y="39995"/>
                              </a:cubicBezTo>
                              <a:cubicBezTo>
                                <a:pt x="33119" y="43548"/>
                                <a:pt x="33437" y="47178"/>
                                <a:pt x="34573" y="50582"/>
                              </a:cubicBezTo>
                              <a:cubicBezTo>
                                <a:pt x="35071" y="52075"/>
                                <a:pt x="35669" y="56695"/>
                                <a:pt x="34965" y="55287"/>
                              </a:cubicBezTo>
                              <a:cubicBezTo>
                                <a:pt x="30976" y="47309"/>
                                <a:pt x="26712" y="38805"/>
                                <a:pt x="19672" y="33329"/>
                              </a:cubicBezTo>
                              <a:cubicBezTo>
                                <a:pt x="16146" y="30587"/>
                                <a:pt x="11120" y="30622"/>
                                <a:pt x="7125" y="28624"/>
                              </a:cubicBezTo>
                              <a:cubicBezTo>
                                <a:pt x="4718" y="27420"/>
                                <a:pt x="-201" y="29867"/>
                                <a:pt x="67" y="32545"/>
                              </a:cubicBezTo>
                              <a:cubicBezTo>
                                <a:pt x="709" y="38969"/>
                                <a:pt x="10197" y="41513"/>
                                <a:pt x="16535" y="42740"/>
                              </a:cubicBezTo>
                              <a:cubicBezTo>
                                <a:pt x="24764" y="44333"/>
                                <a:pt x="33532" y="46467"/>
                                <a:pt x="41631" y="44308"/>
                              </a:cubicBezTo>
                              <a:cubicBezTo>
                                <a:pt x="55281" y="40669"/>
                                <a:pt x="66179" y="16401"/>
                                <a:pt x="57707" y="5097"/>
                              </a:cubicBezTo>
                              <a:cubicBezTo>
                                <a:pt x="56015" y="2839"/>
                                <a:pt x="58893" y="10619"/>
                                <a:pt x="59668" y="13332"/>
                              </a:cubicBezTo>
                              <a:cubicBezTo>
                                <a:pt x="61184" y="18635"/>
                                <a:pt x="62251" y="24057"/>
                                <a:pt x="63589" y="29408"/>
                              </a:cubicBezTo>
                              <a:cubicBezTo>
                                <a:pt x="65144" y="35626"/>
                                <a:pt x="66977" y="42764"/>
                                <a:pt x="64373" y="48621"/>
                              </a:cubicBezTo>
                              <a:cubicBezTo>
                                <a:pt x="61965" y="54038"/>
                                <a:pt x="50675" y="57679"/>
                                <a:pt x="47120" y="52935"/>
                              </a:cubicBezTo>
                              <a:cubicBezTo>
                                <a:pt x="44238" y="49089"/>
                                <a:pt x="48488" y="42075"/>
                                <a:pt x="52610" y="39603"/>
                              </a:cubicBezTo>
                              <a:cubicBezTo>
                                <a:pt x="59734" y="35330"/>
                                <a:pt x="70538" y="39432"/>
                                <a:pt x="76920" y="34113"/>
                              </a:cubicBezTo>
                              <a:cubicBezTo>
                                <a:pt x="84274" y="27984"/>
                                <a:pt x="88561" y="7811"/>
                                <a:pt x="79273" y="5489"/>
                              </a:cubicBezTo>
                              <a:cubicBezTo>
                                <a:pt x="75576" y="4565"/>
                                <a:pt x="74960" y="12265"/>
                                <a:pt x="74960" y="16076"/>
                              </a:cubicBezTo>
                              <a:cubicBezTo>
                                <a:pt x="74960" y="29592"/>
                                <a:pt x="95399" y="43260"/>
                                <a:pt x="87899" y="54503"/>
                              </a:cubicBezTo>
                              <a:cubicBezTo>
                                <a:pt x="85445" y="58182"/>
                                <a:pt x="78301" y="47390"/>
                                <a:pt x="80449" y="43524"/>
                              </a:cubicBezTo>
                              <a:cubicBezTo>
                                <a:pt x="84271" y="36645"/>
                                <a:pt x="96134" y="33749"/>
                                <a:pt x="96134" y="25879"/>
                              </a:cubicBezTo>
                              <a:cubicBezTo>
                                <a:pt x="96134" y="22217"/>
                                <a:pt x="96901" y="18374"/>
                                <a:pt x="95742" y="14900"/>
                              </a:cubicBezTo>
                              <a:cubicBezTo>
                                <a:pt x="95150" y="13125"/>
                                <a:pt x="93795" y="7976"/>
                                <a:pt x="93389" y="9803"/>
                              </a:cubicBezTo>
                              <a:cubicBezTo>
                                <a:pt x="90935" y="20850"/>
                                <a:pt x="95815" y="32307"/>
                                <a:pt x="97310" y="43524"/>
                              </a:cubicBezTo>
                              <a:cubicBezTo>
                                <a:pt x="97730" y="46676"/>
                                <a:pt x="95699" y="52935"/>
                                <a:pt x="98879" y="52935"/>
                              </a:cubicBezTo>
                              <a:cubicBezTo>
                                <a:pt x="103515" y="52935"/>
                                <a:pt x="104893" y="43154"/>
                                <a:pt x="109466" y="43916"/>
                              </a:cubicBezTo>
                              <a:cubicBezTo>
                                <a:pt x="111747" y="44296"/>
                                <a:pt x="113529" y="46553"/>
                                <a:pt x="114563" y="48621"/>
                              </a:cubicBezTo>
                              <a:cubicBezTo>
                                <a:pt x="114892" y="49280"/>
                                <a:pt x="116064" y="51242"/>
                                <a:pt x="116131" y="50974"/>
                              </a:cubicBezTo>
                              <a:cubicBezTo>
                                <a:pt x="118444" y="41717"/>
                                <a:pt x="115267" y="31852"/>
                                <a:pt x="116131" y="22350"/>
                              </a:cubicBezTo>
                              <a:cubicBezTo>
                                <a:pt x="116863" y="14300"/>
                                <a:pt x="120843" y="6578"/>
                                <a:pt x="125542" y="0"/>
                              </a:cubicBezTo>
                            </a:path>
                          </a:pathLst>
                        </a:custGeom>
                        <a:noFill/>
                        <a:ln w="9525" cap="flat" cmpd="sng">
                          <a:solidFill>
                            <a:srgbClr val="000000"/>
                          </a:solidFill>
                          <a:prstDash val="solid"/>
                          <a:round/>
                          <a:headEnd type="none" w="med" len="med"/>
                          <a:tailEnd type="none" w="med" len="med"/>
                        </a:ln>
                      </wps:spPr>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1352550</wp:posOffset>
                </wp:positionH>
                <wp:positionV relativeFrom="paragraph">
                  <wp:posOffset>360015</wp:posOffset>
                </wp:positionV>
                <wp:extent cx="881063" cy="445839"/>
                <wp:effectExtent b="0" l="0" r="0" t="0"/>
                <wp:wrapNone/>
                <wp:docPr id="6" name="image30.png"/>
                <a:graphic>
                  <a:graphicData uri="http://schemas.openxmlformats.org/drawingml/2006/picture">
                    <pic:pic>
                      <pic:nvPicPr>
                        <pic:cNvPr id="0" name="image30.png"/>
                        <pic:cNvPicPr preferRelativeResize="0"/>
                      </pic:nvPicPr>
                      <pic:blipFill>
                        <a:blip r:embed="rId9"/>
                        <a:srcRect/>
                        <a:stretch>
                          <a:fillRect/>
                        </a:stretch>
                      </pic:blipFill>
                      <pic:spPr>
                        <a:xfrm>
                          <a:off x="0" y="0"/>
                          <a:ext cx="881063" cy="445839"/>
                        </a:xfrm>
                        <a:prstGeom prst="rect"/>
                        <a:ln/>
                      </pic:spPr>
                    </pic:pic>
                  </a:graphicData>
                </a:graphic>
              </wp:anchor>
            </w:drawing>
          </mc:Fallback>
        </mc:AlternateContent>
      </w:r>
    </w:p>
    <w:p>
      <w:pPr>
        <w:spacing w:line="240" w:lineRule="auto"/>
        <w:rPr>
          <w:sz w:val="24"/>
          <w:szCs w:val="24"/>
        </w:rPr>
      </w:pPr>
      <w:r>
        <w:rPr>
          <w:sz w:val="24"/>
          <w:szCs w:val="24"/>
        </w:rPr>
        <w:t>Signed…….………</w:t>
      </w:r>
    </w:p>
    <w:p>
      <w:pPr>
        <w:spacing w:line="240" w:lineRule="auto"/>
        <w:rPr>
          <w:sz w:val="24"/>
          <w:szCs w:val="24"/>
        </w:rPr>
      </w:pPr>
    </w:p>
    <w:p>
      <w:pPr>
        <w:spacing w:line="240" w:lineRule="auto"/>
        <w:rPr>
          <w:sz w:val="24"/>
          <w:szCs w:val="24"/>
        </w:rPr>
      </w:pPr>
    </w:p>
    <w:p>
      <w:pPr>
        <w:spacing w:line="240" w:lineRule="auto"/>
        <w:rPr>
          <w:sz w:val="24"/>
          <w:szCs w:val="24"/>
        </w:rPr>
      </w:pPr>
      <w:r>
        <w:rPr>
          <w:sz w:val="24"/>
          <w:szCs w:val="24"/>
        </w:rPr>
        <w:t>Date …………………08/03/23</w:t>
      </w:r>
    </w:p>
    <w:p>
      <w:pPr>
        <w:spacing w:line="240" w:lineRule="auto"/>
        <w:rPr>
          <w:sz w:val="24"/>
          <w:szCs w:val="24"/>
        </w:rPr>
      </w:pPr>
    </w:p>
    <w:p>
      <w:pPr>
        <w:spacing w:line="240" w:lineRule="auto"/>
        <w:rPr>
          <w:sz w:val="24"/>
          <w:szCs w:val="24"/>
        </w:rPr>
      </w:pPr>
      <w:r>
        <w:rPr>
          <w:sz w:val="24"/>
          <w:szCs w:val="24"/>
        </w:rPr>
        <w:t>2. This dissertation is being submitted in partial fulfilment of the requirements for the degree of MA Education</w:t>
      </w:r>
      <w:r>
        <w:rPr>
          <w:noProof/>
          <w:lang w:val="en-GB"/>
        </w:rPr>
        <mc:AlternateContent>
          <mc:Choice Requires="wpg">
            <w:drawing>
              <wp:anchor distT="114300" distB="114300" distL="114300" distR="114300" simplePos="0" relativeHeight="251660288" behindDoc="0" locked="0" layoutInCell="1" hidden="0" allowOverlap="1">
                <wp:simplePos x="0" y="0"/>
                <wp:positionH relativeFrom="column">
                  <wp:posOffset>1571625</wp:posOffset>
                </wp:positionH>
                <wp:positionV relativeFrom="paragraph">
                  <wp:posOffset>306660</wp:posOffset>
                </wp:positionV>
                <wp:extent cx="881063" cy="445839"/>
                <wp:effectExtent l="0" t="0" r="0" b="0"/>
                <wp:wrapNone/>
                <wp:docPr id="3" name=""/>
                <wp:cNvGraphicFramePr/>
                <a:graphic xmlns:a="http://schemas.openxmlformats.org/drawingml/2006/main">
                  <a:graphicData uri="http://schemas.microsoft.com/office/word/2010/wordprocessingShape">
                    <wps:wsp>
                      <wps:cNvSpPr/>
                      <wps:spPr>
                        <a:xfrm>
                          <a:off x="1558927" y="858725"/>
                          <a:ext cx="3138550" cy="1578225"/>
                        </a:xfrm>
                        <a:custGeom>
                          <a:avLst/>
                          <a:gdLst/>
                          <a:ahLst/>
                          <a:cxnLst/>
                          <a:rect l="l" t="t" r="r" b="b"/>
                          <a:pathLst>
                            <a:path w="125542" h="63129" extrusionOk="0">
                              <a:moveTo>
                                <a:pt x="1635" y="63129"/>
                              </a:moveTo>
                              <a:cubicBezTo>
                                <a:pt x="9878" y="53242"/>
                                <a:pt x="14198" y="40328"/>
                                <a:pt x="17320" y="27840"/>
                              </a:cubicBezTo>
                              <a:cubicBezTo>
                                <a:pt x="18744" y="22145"/>
                                <a:pt x="19426" y="16282"/>
                                <a:pt x="20849" y="10587"/>
                              </a:cubicBezTo>
                              <a:cubicBezTo>
                                <a:pt x="21219" y="9108"/>
                                <a:pt x="21838" y="5984"/>
                                <a:pt x="23201" y="6666"/>
                              </a:cubicBezTo>
                              <a:cubicBezTo>
                                <a:pt x="27131" y="8631"/>
                                <a:pt x="27233" y="14559"/>
                                <a:pt x="28299" y="18821"/>
                              </a:cubicBezTo>
                              <a:cubicBezTo>
                                <a:pt x="30046" y="25809"/>
                                <a:pt x="31594" y="32864"/>
                                <a:pt x="32612" y="39995"/>
                              </a:cubicBezTo>
                              <a:cubicBezTo>
                                <a:pt x="33119" y="43548"/>
                                <a:pt x="33437" y="47178"/>
                                <a:pt x="34573" y="50582"/>
                              </a:cubicBezTo>
                              <a:cubicBezTo>
                                <a:pt x="35071" y="52075"/>
                                <a:pt x="35669" y="56695"/>
                                <a:pt x="34965" y="55287"/>
                              </a:cubicBezTo>
                              <a:cubicBezTo>
                                <a:pt x="30976" y="47309"/>
                                <a:pt x="26712" y="38805"/>
                                <a:pt x="19672" y="33329"/>
                              </a:cubicBezTo>
                              <a:cubicBezTo>
                                <a:pt x="16146" y="30587"/>
                                <a:pt x="11120" y="30622"/>
                                <a:pt x="7125" y="28624"/>
                              </a:cubicBezTo>
                              <a:cubicBezTo>
                                <a:pt x="4718" y="27420"/>
                                <a:pt x="-201" y="29867"/>
                                <a:pt x="67" y="32545"/>
                              </a:cubicBezTo>
                              <a:cubicBezTo>
                                <a:pt x="709" y="38969"/>
                                <a:pt x="10197" y="41513"/>
                                <a:pt x="16535" y="42740"/>
                              </a:cubicBezTo>
                              <a:cubicBezTo>
                                <a:pt x="24764" y="44333"/>
                                <a:pt x="33532" y="46467"/>
                                <a:pt x="41631" y="44308"/>
                              </a:cubicBezTo>
                              <a:cubicBezTo>
                                <a:pt x="55281" y="40669"/>
                                <a:pt x="66179" y="16401"/>
                                <a:pt x="57707" y="5097"/>
                              </a:cubicBezTo>
                              <a:cubicBezTo>
                                <a:pt x="56015" y="2839"/>
                                <a:pt x="58893" y="10619"/>
                                <a:pt x="59668" y="13332"/>
                              </a:cubicBezTo>
                              <a:cubicBezTo>
                                <a:pt x="61184" y="18635"/>
                                <a:pt x="62251" y="24057"/>
                                <a:pt x="63589" y="29408"/>
                              </a:cubicBezTo>
                              <a:cubicBezTo>
                                <a:pt x="65144" y="35626"/>
                                <a:pt x="66977" y="42764"/>
                                <a:pt x="64373" y="48621"/>
                              </a:cubicBezTo>
                              <a:cubicBezTo>
                                <a:pt x="61965" y="54038"/>
                                <a:pt x="50675" y="57679"/>
                                <a:pt x="47120" y="52935"/>
                              </a:cubicBezTo>
                              <a:cubicBezTo>
                                <a:pt x="44238" y="49089"/>
                                <a:pt x="48488" y="42075"/>
                                <a:pt x="52610" y="39603"/>
                              </a:cubicBezTo>
                              <a:cubicBezTo>
                                <a:pt x="59734" y="35330"/>
                                <a:pt x="70538" y="39432"/>
                                <a:pt x="76920" y="34113"/>
                              </a:cubicBezTo>
                              <a:cubicBezTo>
                                <a:pt x="84274" y="27984"/>
                                <a:pt x="88561" y="7811"/>
                                <a:pt x="79273" y="5489"/>
                              </a:cubicBezTo>
                              <a:cubicBezTo>
                                <a:pt x="75576" y="4565"/>
                                <a:pt x="74960" y="12265"/>
                                <a:pt x="74960" y="16076"/>
                              </a:cubicBezTo>
                              <a:cubicBezTo>
                                <a:pt x="74960" y="29592"/>
                                <a:pt x="95399" y="43260"/>
                                <a:pt x="87899" y="54503"/>
                              </a:cubicBezTo>
                              <a:cubicBezTo>
                                <a:pt x="85445" y="58182"/>
                                <a:pt x="78301" y="47390"/>
                                <a:pt x="80449" y="43524"/>
                              </a:cubicBezTo>
                              <a:cubicBezTo>
                                <a:pt x="84271" y="36645"/>
                                <a:pt x="96134" y="33749"/>
                                <a:pt x="96134" y="25879"/>
                              </a:cubicBezTo>
                              <a:cubicBezTo>
                                <a:pt x="96134" y="22217"/>
                                <a:pt x="96901" y="18374"/>
                                <a:pt x="95742" y="14900"/>
                              </a:cubicBezTo>
                              <a:cubicBezTo>
                                <a:pt x="95150" y="13125"/>
                                <a:pt x="93795" y="7976"/>
                                <a:pt x="93389" y="9803"/>
                              </a:cubicBezTo>
                              <a:cubicBezTo>
                                <a:pt x="90935" y="20850"/>
                                <a:pt x="95815" y="32307"/>
                                <a:pt x="97310" y="43524"/>
                              </a:cubicBezTo>
                              <a:cubicBezTo>
                                <a:pt x="97730" y="46676"/>
                                <a:pt x="95699" y="52935"/>
                                <a:pt x="98879" y="52935"/>
                              </a:cubicBezTo>
                              <a:cubicBezTo>
                                <a:pt x="103515" y="52935"/>
                                <a:pt x="104893" y="43154"/>
                                <a:pt x="109466" y="43916"/>
                              </a:cubicBezTo>
                              <a:cubicBezTo>
                                <a:pt x="111747" y="44296"/>
                                <a:pt x="113529" y="46553"/>
                                <a:pt x="114563" y="48621"/>
                              </a:cubicBezTo>
                              <a:cubicBezTo>
                                <a:pt x="114892" y="49280"/>
                                <a:pt x="116064" y="51242"/>
                                <a:pt x="116131" y="50974"/>
                              </a:cubicBezTo>
                              <a:cubicBezTo>
                                <a:pt x="118444" y="41717"/>
                                <a:pt x="115267" y="31852"/>
                                <a:pt x="116131" y="22350"/>
                              </a:cubicBezTo>
                              <a:cubicBezTo>
                                <a:pt x="116863" y="14300"/>
                                <a:pt x="120843" y="6578"/>
                                <a:pt x="125542" y="0"/>
                              </a:cubicBezTo>
                            </a:path>
                          </a:pathLst>
                        </a:custGeom>
                        <a:noFill/>
                        <a:ln w="9525" cap="flat" cmpd="sng">
                          <a:solidFill>
                            <a:srgbClr val="000000"/>
                          </a:solidFill>
                          <a:prstDash val="solid"/>
                          <a:round/>
                          <a:headEnd type="none" w="med" len="med"/>
                          <a:tailEnd type="none" w="med" len="med"/>
                        </a:ln>
                      </wps:spPr>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1571625</wp:posOffset>
                </wp:positionH>
                <wp:positionV relativeFrom="paragraph">
                  <wp:posOffset>306660</wp:posOffset>
                </wp:positionV>
                <wp:extent cx="881063" cy="445839"/>
                <wp:effectExtent b="0" l="0" r="0" t="0"/>
                <wp:wrapNone/>
                <wp:docPr id="3" name="image27.png"/>
                <a:graphic>
                  <a:graphicData uri="http://schemas.openxmlformats.org/drawingml/2006/picture">
                    <pic:pic>
                      <pic:nvPicPr>
                        <pic:cNvPr id="0" name="image27.png"/>
                        <pic:cNvPicPr preferRelativeResize="0"/>
                      </pic:nvPicPr>
                      <pic:blipFill>
                        <a:blip r:embed="rId10"/>
                        <a:srcRect/>
                        <a:stretch>
                          <a:fillRect/>
                        </a:stretch>
                      </pic:blipFill>
                      <pic:spPr>
                        <a:xfrm>
                          <a:off x="0" y="0"/>
                          <a:ext cx="881063" cy="445839"/>
                        </a:xfrm>
                        <a:prstGeom prst="rect"/>
                        <a:ln/>
                      </pic:spPr>
                    </pic:pic>
                  </a:graphicData>
                </a:graphic>
              </wp:anchor>
            </w:drawing>
          </mc:Fallback>
        </mc:AlternateContent>
      </w:r>
    </w:p>
    <w:p>
      <w:pPr>
        <w:spacing w:line="240" w:lineRule="auto"/>
        <w:rPr>
          <w:sz w:val="24"/>
          <w:szCs w:val="24"/>
        </w:rPr>
      </w:pPr>
      <w:r>
        <w:rPr>
          <w:sz w:val="24"/>
          <w:szCs w:val="24"/>
        </w:rPr>
        <w:t>Signed ………………</w:t>
      </w:r>
    </w:p>
    <w:p>
      <w:pPr>
        <w:spacing w:line="240" w:lineRule="auto"/>
        <w:rPr>
          <w:sz w:val="24"/>
          <w:szCs w:val="24"/>
        </w:rPr>
      </w:pPr>
    </w:p>
    <w:p>
      <w:pPr>
        <w:spacing w:line="240" w:lineRule="auto"/>
        <w:rPr>
          <w:sz w:val="24"/>
          <w:szCs w:val="24"/>
        </w:rPr>
      </w:pPr>
      <w:r>
        <w:rPr>
          <w:sz w:val="24"/>
          <w:szCs w:val="24"/>
        </w:rPr>
        <w:t>Date …………08/03/23</w:t>
      </w:r>
    </w:p>
    <w:p>
      <w:pPr>
        <w:spacing w:line="240" w:lineRule="auto"/>
        <w:rPr>
          <w:sz w:val="24"/>
          <w:szCs w:val="24"/>
        </w:rPr>
      </w:pPr>
    </w:p>
    <w:p>
      <w:pPr>
        <w:spacing w:line="240" w:lineRule="auto"/>
        <w:rPr>
          <w:sz w:val="24"/>
          <w:szCs w:val="24"/>
        </w:rPr>
      </w:pPr>
      <w:r>
        <w:rPr>
          <w:sz w:val="24"/>
          <w:szCs w:val="24"/>
        </w:rPr>
        <w:t>3. This dissertation is the result of my own independent work/investigation, except where otherwise stated.</w:t>
      </w:r>
    </w:p>
    <w:p>
      <w:pPr>
        <w:spacing w:line="240" w:lineRule="auto"/>
        <w:rPr>
          <w:sz w:val="24"/>
          <w:szCs w:val="24"/>
        </w:rPr>
      </w:pPr>
      <w:r>
        <w:rPr>
          <w:sz w:val="24"/>
          <w:szCs w:val="24"/>
        </w:rPr>
        <w:t xml:space="preserve">Other sources are acknowledged by footnotes giving explicit references. </w:t>
      </w:r>
    </w:p>
    <w:p>
      <w:pPr>
        <w:spacing w:line="240" w:lineRule="auto"/>
        <w:rPr>
          <w:sz w:val="24"/>
          <w:szCs w:val="24"/>
        </w:rPr>
      </w:pPr>
      <w:r>
        <w:rPr>
          <w:sz w:val="24"/>
          <w:szCs w:val="24"/>
        </w:rPr>
        <w:t>A reference list is appended.</w:t>
      </w:r>
      <w:r>
        <w:rPr>
          <w:noProof/>
          <w:lang w:val="en-GB"/>
        </w:rPr>
        <mc:AlternateContent>
          <mc:Choice Requires="wpg">
            <w:drawing>
              <wp:anchor distT="114300" distB="114300" distL="114300" distR="114300" simplePos="0" relativeHeight="251661312" behindDoc="0" locked="0" layoutInCell="1" hidden="0" allowOverlap="1">
                <wp:simplePos x="0" y="0"/>
                <wp:positionH relativeFrom="column">
                  <wp:posOffset>1295400</wp:posOffset>
                </wp:positionH>
                <wp:positionV relativeFrom="paragraph">
                  <wp:posOffset>152400</wp:posOffset>
                </wp:positionV>
                <wp:extent cx="881063" cy="445839"/>
                <wp:effectExtent l="0" t="0" r="0" b="0"/>
                <wp:wrapNone/>
                <wp:docPr id="5" name=""/>
                <wp:cNvGraphicFramePr/>
                <a:graphic xmlns:a="http://schemas.openxmlformats.org/drawingml/2006/main">
                  <a:graphicData uri="http://schemas.microsoft.com/office/word/2010/wordprocessingShape">
                    <wps:wsp>
                      <wps:cNvSpPr/>
                      <wps:spPr>
                        <a:xfrm>
                          <a:off x="1558927" y="858725"/>
                          <a:ext cx="3138550" cy="1578225"/>
                        </a:xfrm>
                        <a:custGeom>
                          <a:avLst/>
                          <a:gdLst/>
                          <a:ahLst/>
                          <a:cxnLst/>
                          <a:rect l="l" t="t" r="r" b="b"/>
                          <a:pathLst>
                            <a:path w="125542" h="63129" extrusionOk="0">
                              <a:moveTo>
                                <a:pt x="1635" y="63129"/>
                              </a:moveTo>
                              <a:cubicBezTo>
                                <a:pt x="9878" y="53242"/>
                                <a:pt x="14198" y="40328"/>
                                <a:pt x="17320" y="27840"/>
                              </a:cubicBezTo>
                              <a:cubicBezTo>
                                <a:pt x="18744" y="22145"/>
                                <a:pt x="19426" y="16282"/>
                                <a:pt x="20849" y="10587"/>
                              </a:cubicBezTo>
                              <a:cubicBezTo>
                                <a:pt x="21219" y="9108"/>
                                <a:pt x="21838" y="5984"/>
                                <a:pt x="23201" y="6666"/>
                              </a:cubicBezTo>
                              <a:cubicBezTo>
                                <a:pt x="27131" y="8631"/>
                                <a:pt x="27233" y="14559"/>
                                <a:pt x="28299" y="18821"/>
                              </a:cubicBezTo>
                              <a:cubicBezTo>
                                <a:pt x="30046" y="25809"/>
                                <a:pt x="31594" y="32864"/>
                                <a:pt x="32612" y="39995"/>
                              </a:cubicBezTo>
                              <a:cubicBezTo>
                                <a:pt x="33119" y="43548"/>
                                <a:pt x="33437" y="47178"/>
                                <a:pt x="34573" y="50582"/>
                              </a:cubicBezTo>
                              <a:cubicBezTo>
                                <a:pt x="35071" y="52075"/>
                                <a:pt x="35669" y="56695"/>
                                <a:pt x="34965" y="55287"/>
                              </a:cubicBezTo>
                              <a:cubicBezTo>
                                <a:pt x="30976" y="47309"/>
                                <a:pt x="26712" y="38805"/>
                                <a:pt x="19672" y="33329"/>
                              </a:cubicBezTo>
                              <a:cubicBezTo>
                                <a:pt x="16146" y="30587"/>
                                <a:pt x="11120" y="30622"/>
                                <a:pt x="7125" y="28624"/>
                              </a:cubicBezTo>
                              <a:cubicBezTo>
                                <a:pt x="4718" y="27420"/>
                                <a:pt x="-201" y="29867"/>
                                <a:pt x="67" y="32545"/>
                              </a:cubicBezTo>
                              <a:cubicBezTo>
                                <a:pt x="709" y="38969"/>
                                <a:pt x="10197" y="41513"/>
                                <a:pt x="16535" y="42740"/>
                              </a:cubicBezTo>
                              <a:cubicBezTo>
                                <a:pt x="24764" y="44333"/>
                                <a:pt x="33532" y="46467"/>
                                <a:pt x="41631" y="44308"/>
                              </a:cubicBezTo>
                              <a:cubicBezTo>
                                <a:pt x="55281" y="40669"/>
                                <a:pt x="66179" y="16401"/>
                                <a:pt x="57707" y="5097"/>
                              </a:cubicBezTo>
                              <a:cubicBezTo>
                                <a:pt x="56015" y="2839"/>
                                <a:pt x="58893" y="10619"/>
                                <a:pt x="59668" y="13332"/>
                              </a:cubicBezTo>
                              <a:cubicBezTo>
                                <a:pt x="61184" y="18635"/>
                                <a:pt x="62251" y="24057"/>
                                <a:pt x="63589" y="29408"/>
                              </a:cubicBezTo>
                              <a:cubicBezTo>
                                <a:pt x="65144" y="35626"/>
                                <a:pt x="66977" y="42764"/>
                                <a:pt x="64373" y="48621"/>
                              </a:cubicBezTo>
                              <a:cubicBezTo>
                                <a:pt x="61965" y="54038"/>
                                <a:pt x="50675" y="57679"/>
                                <a:pt x="47120" y="52935"/>
                              </a:cubicBezTo>
                              <a:cubicBezTo>
                                <a:pt x="44238" y="49089"/>
                                <a:pt x="48488" y="42075"/>
                                <a:pt x="52610" y="39603"/>
                              </a:cubicBezTo>
                              <a:cubicBezTo>
                                <a:pt x="59734" y="35330"/>
                                <a:pt x="70538" y="39432"/>
                                <a:pt x="76920" y="34113"/>
                              </a:cubicBezTo>
                              <a:cubicBezTo>
                                <a:pt x="84274" y="27984"/>
                                <a:pt x="88561" y="7811"/>
                                <a:pt x="79273" y="5489"/>
                              </a:cubicBezTo>
                              <a:cubicBezTo>
                                <a:pt x="75576" y="4565"/>
                                <a:pt x="74960" y="12265"/>
                                <a:pt x="74960" y="16076"/>
                              </a:cubicBezTo>
                              <a:cubicBezTo>
                                <a:pt x="74960" y="29592"/>
                                <a:pt x="95399" y="43260"/>
                                <a:pt x="87899" y="54503"/>
                              </a:cubicBezTo>
                              <a:cubicBezTo>
                                <a:pt x="85445" y="58182"/>
                                <a:pt x="78301" y="47390"/>
                                <a:pt x="80449" y="43524"/>
                              </a:cubicBezTo>
                              <a:cubicBezTo>
                                <a:pt x="84271" y="36645"/>
                                <a:pt x="96134" y="33749"/>
                                <a:pt x="96134" y="25879"/>
                              </a:cubicBezTo>
                              <a:cubicBezTo>
                                <a:pt x="96134" y="22217"/>
                                <a:pt x="96901" y="18374"/>
                                <a:pt x="95742" y="14900"/>
                              </a:cubicBezTo>
                              <a:cubicBezTo>
                                <a:pt x="95150" y="13125"/>
                                <a:pt x="93795" y="7976"/>
                                <a:pt x="93389" y="9803"/>
                              </a:cubicBezTo>
                              <a:cubicBezTo>
                                <a:pt x="90935" y="20850"/>
                                <a:pt x="95815" y="32307"/>
                                <a:pt x="97310" y="43524"/>
                              </a:cubicBezTo>
                              <a:cubicBezTo>
                                <a:pt x="97730" y="46676"/>
                                <a:pt x="95699" y="52935"/>
                                <a:pt x="98879" y="52935"/>
                              </a:cubicBezTo>
                              <a:cubicBezTo>
                                <a:pt x="103515" y="52935"/>
                                <a:pt x="104893" y="43154"/>
                                <a:pt x="109466" y="43916"/>
                              </a:cubicBezTo>
                              <a:cubicBezTo>
                                <a:pt x="111747" y="44296"/>
                                <a:pt x="113529" y="46553"/>
                                <a:pt x="114563" y="48621"/>
                              </a:cubicBezTo>
                              <a:cubicBezTo>
                                <a:pt x="114892" y="49280"/>
                                <a:pt x="116064" y="51242"/>
                                <a:pt x="116131" y="50974"/>
                              </a:cubicBezTo>
                              <a:cubicBezTo>
                                <a:pt x="118444" y="41717"/>
                                <a:pt x="115267" y="31852"/>
                                <a:pt x="116131" y="22350"/>
                              </a:cubicBezTo>
                              <a:cubicBezTo>
                                <a:pt x="116863" y="14300"/>
                                <a:pt x="120843" y="6578"/>
                                <a:pt x="125542" y="0"/>
                              </a:cubicBezTo>
                            </a:path>
                          </a:pathLst>
                        </a:custGeom>
                        <a:noFill/>
                        <a:ln w="9525" cap="flat" cmpd="sng">
                          <a:solidFill>
                            <a:srgbClr val="000000"/>
                          </a:solidFill>
                          <a:prstDash val="solid"/>
                          <a:round/>
                          <a:headEnd type="none" w="med" len="med"/>
                          <a:tailEnd type="none" w="med" len="med"/>
                        </a:ln>
                      </wps:spPr>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1295400</wp:posOffset>
                </wp:positionH>
                <wp:positionV relativeFrom="paragraph">
                  <wp:posOffset>152400</wp:posOffset>
                </wp:positionV>
                <wp:extent cx="881063" cy="445839"/>
                <wp:effectExtent b="0" l="0" r="0" t="0"/>
                <wp:wrapNone/>
                <wp:docPr id="5" name="image29.png"/>
                <a:graphic>
                  <a:graphicData uri="http://schemas.openxmlformats.org/drawingml/2006/picture">
                    <pic:pic>
                      <pic:nvPicPr>
                        <pic:cNvPr id="0" name="image29.png"/>
                        <pic:cNvPicPr preferRelativeResize="0"/>
                      </pic:nvPicPr>
                      <pic:blipFill>
                        <a:blip r:embed="rId11"/>
                        <a:srcRect/>
                        <a:stretch>
                          <a:fillRect/>
                        </a:stretch>
                      </pic:blipFill>
                      <pic:spPr>
                        <a:xfrm>
                          <a:off x="0" y="0"/>
                          <a:ext cx="881063" cy="445839"/>
                        </a:xfrm>
                        <a:prstGeom prst="rect"/>
                        <a:ln/>
                      </pic:spPr>
                    </pic:pic>
                  </a:graphicData>
                </a:graphic>
              </wp:anchor>
            </w:drawing>
          </mc:Fallback>
        </mc:AlternateContent>
      </w:r>
    </w:p>
    <w:p>
      <w:pPr>
        <w:spacing w:line="240" w:lineRule="auto"/>
        <w:rPr>
          <w:sz w:val="24"/>
          <w:szCs w:val="24"/>
        </w:rPr>
      </w:pPr>
      <w:r>
        <w:rPr>
          <w:sz w:val="24"/>
          <w:szCs w:val="24"/>
        </w:rPr>
        <w:t>Signed candidate:</w:t>
      </w:r>
    </w:p>
    <w:p>
      <w:pPr>
        <w:spacing w:line="240" w:lineRule="auto"/>
        <w:rPr>
          <w:sz w:val="24"/>
          <w:szCs w:val="24"/>
        </w:rPr>
      </w:pPr>
      <w:r>
        <w:rPr>
          <w:sz w:val="24"/>
          <w:szCs w:val="24"/>
        </w:rPr>
        <w:t>Date: 08/03/23</w:t>
      </w:r>
    </w:p>
    <w:p>
      <w:pPr>
        <w:spacing w:line="240" w:lineRule="auto"/>
        <w:rPr>
          <w:sz w:val="24"/>
          <w:szCs w:val="24"/>
        </w:rPr>
      </w:pPr>
    </w:p>
    <w:p>
      <w:pPr>
        <w:spacing w:line="240" w:lineRule="auto"/>
        <w:rPr>
          <w:sz w:val="24"/>
          <w:szCs w:val="24"/>
        </w:rPr>
      </w:pPr>
      <w:r>
        <w:rPr>
          <w:sz w:val="24"/>
          <w:szCs w:val="24"/>
        </w:rPr>
        <w:t xml:space="preserve">4. I hereby give consent for my dissertation, if accepted, to be available for photocopying, inter- library loan, and for deposit in the University’s digital repository </w:t>
      </w:r>
      <w:r>
        <w:rPr>
          <w:noProof/>
          <w:lang w:val="en-GB"/>
        </w:rPr>
        <mc:AlternateContent>
          <mc:Choice Requires="wpg">
            <w:drawing>
              <wp:anchor distT="114300" distB="114300" distL="114300" distR="114300" simplePos="0" relativeHeight="251662336" behindDoc="0" locked="0" layoutInCell="1" hidden="0" allowOverlap="1">
                <wp:simplePos x="0" y="0"/>
                <wp:positionH relativeFrom="column">
                  <wp:posOffset>1571625</wp:posOffset>
                </wp:positionH>
                <wp:positionV relativeFrom="paragraph">
                  <wp:posOffset>316185</wp:posOffset>
                </wp:positionV>
                <wp:extent cx="881063" cy="445839"/>
                <wp:effectExtent l="0" t="0" r="0" b="0"/>
                <wp:wrapNone/>
                <wp:docPr id="7" name=""/>
                <wp:cNvGraphicFramePr/>
                <a:graphic xmlns:a="http://schemas.openxmlformats.org/drawingml/2006/main">
                  <a:graphicData uri="http://schemas.microsoft.com/office/word/2010/wordprocessingShape">
                    <wps:wsp>
                      <wps:cNvSpPr/>
                      <wps:spPr>
                        <a:xfrm>
                          <a:off x="1558927" y="858725"/>
                          <a:ext cx="3138550" cy="1578225"/>
                        </a:xfrm>
                        <a:custGeom>
                          <a:avLst/>
                          <a:gdLst/>
                          <a:ahLst/>
                          <a:cxnLst/>
                          <a:rect l="l" t="t" r="r" b="b"/>
                          <a:pathLst>
                            <a:path w="125542" h="63129" extrusionOk="0">
                              <a:moveTo>
                                <a:pt x="1635" y="63129"/>
                              </a:moveTo>
                              <a:cubicBezTo>
                                <a:pt x="9878" y="53242"/>
                                <a:pt x="14198" y="40328"/>
                                <a:pt x="17320" y="27840"/>
                              </a:cubicBezTo>
                              <a:cubicBezTo>
                                <a:pt x="18744" y="22145"/>
                                <a:pt x="19426" y="16282"/>
                                <a:pt x="20849" y="10587"/>
                              </a:cubicBezTo>
                              <a:cubicBezTo>
                                <a:pt x="21219" y="9108"/>
                                <a:pt x="21838" y="5984"/>
                                <a:pt x="23201" y="6666"/>
                              </a:cubicBezTo>
                              <a:cubicBezTo>
                                <a:pt x="27131" y="8631"/>
                                <a:pt x="27233" y="14559"/>
                                <a:pt x="28299" y="18821"/>
                              </a:cubicBezTo>
                              <a:cubicBezTo>
                                <a:pt x="30046" y="25809"/>
                                <a:pt x="31594" y="32864"/>
                                <a:pt x="32612" y="39995"/>
                              </a:cubicBezTo>
                              <a:cubicBezTo>
                                <a:pt x="33119" y="43548"/>
                                <a:pt x="33437" y="47178"/>
                                <a:pt x="34573" y="50582"/>
                              </a:cubicBezTo>
                              <a:cubicBezTo>
                                <a:pt x="35071" y="52075"/>
                                <a:pt x="35669" y="56695"/>
                                <a:pt x="34965" y="55287"/>
                              </a:cubicBezTo>
                              <a:cubicBezTo>
                                <a:pt x="30976" y="47309"/>
                                <a:pt x="26712" y="38805"/>
                                <a:pt x="19672" y="33329"/>
                              </a:cubicBezTo>
                              <a:cubicBezTo>
                                <a:pt x="16146" y="30587"/>
                                <a:pt x="11120" y="30622"/>
                                <a:pt x="7125" y="28624"/>
                              </a:cubicBezTo>
                              <a:cubicBezTo>
                                <a:pt x="4718" y="27420"/>
                                <a:pt x="-201" y="29867"/>
                                <a:pt x="67" y="32545"/>
                              </a:cubicBezTo>
                              <a:cubicBezTo>
                                <a:pt x="709" y="38969"/>
                                <a:pt x="10197" y="41513"/>
                                <a:pt x="16535" y="42740"/>
                              </a:cubicBezTo>
                              <a:cubicBezTo>
                                <a:pt x="24764" y="44333"/>
                                <a:pt x="33532" y="46467"/>
                                <a:pt x="41631" y="44308"/>
                              </a:cubicBezTo>
                              <a:cubicBezTo>
                                <a:pt x="55281" y="40669"/>
                                <a:pt x="66179" y="16401"/>
                                <a:pt x="57707" y="5097"/>
                              </a:cubicBezTo>
                              <a:cubicBezTo>
                                <a:pt x="56015" y="2839"/>
                                <a:pt x="58893" y="10619"/>
                                <a:pt x="59668" y="13332"/>
                              </a:cubicBezTo>
                              <a:cubicBezTo>
                                <a:pt x="61184" y="18635"/>
                                <a:pt x="62251" y="24057"/>
                                <a:pt x="63589" y="29408"/>
                              </a:cubicBezTo>
                              <a:cubicBezTo>
                                <a:pt x="65144" y="35626"/>
                                <a:pt x="66977" y="42764"/>
                                <a:pt x="64373" y="48621"/>
                              </a:cubicBezTo>
                              <a:cubicBezTo>
                                <a:pt x="61965" y="54038"/>
                                <a:pt x="50675" y="57679"/>
                                <a:pt x="47120" y="52935"/>
                              </a:cubicBezTo>
                              <a:cubicBezTo>
                                <a:pt x="44238" y="49089"/>
                                <a:pt x="48488" y="42075"/>
                                <a:pt x="52610" y="39603"/>
                              </a:cubicBezTo>
                              <a:cubicBezTo>
                                <a:pt x="59734" y="35330"/>
                                <a:pt x="70538" y="39432"/>
                                <a:pt x="76920" y="34113"/>
                              </a:cubicBezTo>
                              <a:cubicBezTo>
                                <a:pt x="84274" y="27984"/>
                                <a:pt x="88561" y="7811"/>
                                <a:pt x="79273" y="5489"/>
                              </a:cubicBezTo>
                              <a:cubicBezTo>
                                <a:pt x="75576" y="4565"/>
                                <a:pt x="74960" y="12265"/>
                                <a:pt x="74960" y="16076"/>
                              </a:cubicBezTo>
                              <a:cubicBezTo>
                                <a:pt x="74960" y="29592"/>
                                <a:pt x="95399" y="43260"/>
                                <a:pt x="87899" y="54503"/>
                              </a:cubicBezTo>
                              <a:cubicBezTo>
                                <a:pt x="85445" y="58182"/>
                                <a:pt x="78301" y="47390"/>
                                <a:pt x="80449" y="43524"/>
                              </a:cubicBezTo>
                              <a:cubicBezTo>
                                <a:pt x="84271" y="36645"/>
                                <a:pt x="96134" y="33749"/>
                                <a:pt x="96134" y="25879"/>
                              </a:cubicBezTo>
                              <a:cubicBezTo>
                                <a:pt x="96134" y="22217"/>
                                <a:pt x="96901" y="18374"/>
                                <a:pt x="95742" y="14900"/>
                              </a:cubicBezTo>
                              <a:cubicBezTo>
                                <a:pt x="95150" y="13125"/>
                                <a:pt x="93795" y="7976"/>
                                <a:pt x="93389" y="9803"/>
                              </a:cubicBezTo>
                              <a:cubicBezTo>
                                <a:pt x="90935" y="20850"/>
                                <a:pt x="95815" y="32307"/>
                                <a:pt x="97310" y="43524"/>
                              </a:cubicBezTo>
                              <a:cubicBezTo>
                                <a:pt x="97730" y="46676"/>
                                <a:pt x="95699" y="52935"/>
                                <a:pt x="98879" y="52935"/>
                              </a:cubicBezTo>
                              <a:cubicBezTo>
                                <a:pt x="103515" y="52935"/>
                                <a:pt x="104893" y="43154"/>
                                <a:pt x="109466" y="43916"/>
                              </a:cubicBezTo>
                              <a:cubicBezTo>
                                <a:pt x="111747" y="44296"/>
                                <a:pt x="113529" y="46553"/>
                                <a:pt x="114563" y="48621"/>
                              </a:cubicBezTo>
                              <a:cubicBezTo>
                                <a:pt x="114892" y="49280"/>
                                <a:pt x="116064" y="51242"/>
                                <a:pt x="116131" y="50974"/>
                              </a:cubicBezTo>
                              <a:cubicBezTo>
                                <a:pt x="118444" y="41717"/>
                                <a:pt x="115267" y="31852"/>
                                <a:pt x="116131" y="22350"/>
                              </a:cubicBezTo>
                              <a:cubicBezTo>
                                <a:pt x="116863" y="14300"/>
                                <a:pt x="120843" y="6578"/>
                                <a:pt x="125542" y="0"/>
                              </a:cubicBezTo>
                            </a:path>
                          </a:pathLst>
                        </a:custGeom>
                        <a:noFill/>
                        <a:ln w="9525" cap="flat" cmpd="sng">
                          <a:solidFill>
                            <a:srgbClr val="000000"/>
                          </a:solidFill>
                          <a:prstDash val="solid"/>
                          <a:round/>
                          <a:headEnd type="none" w="med" len="med"/>
                          <a:tailEnd type="none" w="med" len="med"/>
                        </a:ln>
                      </wps:spPr>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1571625</wp:posOffset>
                </wp:positionH>
                <wp:positionV relativeFrom="paragraph">
                  <wp:posOffset>316185</wp:posOffset>
                </wp:positionV>
                <wp:extent cx="881063" cy="445839"/>
                <wp:effectExtent b="0" l="0" r="0" t="0"/>
                <wp:wrapNone/>
                <wp:docPr id="7" name="image31.png"/>
                <a:graphic>
                  <a:graphicData uri="http://schemas.openxmlformats.org/drawingml/2006/picture">
                    <pic:pic>
                      <pic:nvPicPr>
                        <pic:cNvPr id="0" name="image31.png"/>
                        <pic:cNvPicPr preferRelativeResize="0"/>
                      </pic:nvPicPr>
                      <pic:blipFill>
                        <a:blip r:embed="rId12"/>
                        <a:srcRect/>
                        <a:stretch>
                          <a:fillRect/>
                        </a:stretch>
                      </pic:blipFill>
                      <pic:spPr>
                        <a:xfrm>
                          <a:off x="0" y="0"/>
                          <a:ext cx="881063" cy="445839"/>
                        </a:xfrm>
                        <a:prstGeom prst="rect"/>
                        <a:ln/>
                      </pic:spPr>
                    </pic:pic>
                  </a:graphicData>
                </a:graphic>
              </wp:anchor>
            </w:drawing>
          </mc:Fallback>
        </mc:AlternateContent>
      </w:r>
    </w:p>
    <w:p>
      <w:pPr>
        <w:spacing w:line="240" w:lineRule="auto"/>
        <w:rPr>
          <w:sz w:val="24"/>
          <w:szCs w:val="24"/>
        </w:rPr>
      </w:pPr>
      <w:r>
        <w:rPr>
          <w:sz w:val="24"/>
          <w:szCs w:val="24"/>
        </w:rPr>
        <w:t>Signed (candidate)</w:t>
      </w:r>
    </w:p>
    <w:p>
      <w:pPr>
        <w:spacing w:line="240" w:lineRule="auto"/>
        <w:rPr>
          <w:sz w:val="24"/>
          <w:szCs w:val="24"/>
        </w:rPr>
      </w:pPr>
    </w:p>
    <w:p>
      <w:pPr>
        <w:spacing w:line="240" w:lineRule="auto"/>
        <w:rPr>
          <w:sz w:val="24"/>
          <w:szCs w:val="24"/>
        </w:rPr>
      </w:pPr>
      <w:r>
        <w:rPr>
          <w:sz w:val="24"/>
          <w:szCs w:val="24"/>
        </w:rPr>
        <w:t>Date………………08/03/23.</w:t>
      </w:r>
    </w:p>
    <w:p>
      <w:pPr>
        <w:spacing w:line="240" w:lineRule="auto"/>
        <w:rPr>
          <w:sz w:val="24"/>
          <w:szCs w:val="24"/>
        </w:rPr>
      </w:pPr>
    </w:p>
    <w:p>
      <w:pPr>
        <w:spacing w:line="240" w:lineRule="auto"/>
        <w:rPr>
          <w:sz w:val="24"/>
          <w:szCs w:val="24"/>
        </w:rPr>
      </w:pPr>
      <w:r>
        <w:rPr>
          <w:sz w:val="24"/>
          <w:szCs w:val="24"/>
        </w:rPr>
        <w:t>Supervisor’s Declaration.</w:t>
      </w:r>
    </w:p>
    <w:p>
      <w:pPr>
        <w:spacing w:line="240" w:lineRule="auto"/>
        <w:rPr>
          <w:sz w:val="24"/>
          <w:szCs w:val="24"/>
        </w:rPr>
      </w:pPr>
      <w:r>
        <w:rPr>
          <w:sz w:val="24"/>
          <w:szCs w:val="24"/>
        </w:rPr>
        <w:t>I am satisfied that this work is the result of the student’s own efforts.</w:t>
      </w:r>
    </w:p>
    <w:p>
      <w:pPr>
        <w:spacing w:line="240" w:lineRule="auto"/>
        <w:rPr>
          <w:sz w:val="24"/>
          <w:szCs w:val="24"/>
        </w:rPr>
      </w:pPr>
      <w:r>
        <w:rPr>
          <w:sz w:val="24"/>
          <w:szCs w:val="24"/>
        </w:rPr>
        <w:t>Signed: Kjones</w:t>
      </w:r>
    </w:p>
    <w:p>
      <w:pPr>
        <w:spacing w:line="240" w:lineRule="auto"/>
        <w:rPr>
          <w:sz w:val="24"/>
          <w:szCs w:val="24"/>
        </w:rPr>
      </w:pPr>
      <w:r>
        <w:rPr>
          <w:sz w:val="24"/>
          <w:szCs w:val="24"/>
        </w:rPr>
        <w:t>Date:14/03/2023</w:t>
      </w:r>
    </w:p>
    <w:p/>
    <w:p/>
    <w:p/>
    <w:p/>
    <w:p/>
    <w:p>
      <w:pPr>
        <w:rPr>
          <w:sz w:val="24"/>
          <w:szCs w:val="24"/>
        </w:rPr>
      </w:pPr>
    </w:p>
    <w:p>
      <w:pPr>
        <w:rPr>
          <w:b/>
          <w:sz w:val="24"/>
          <w:szCs w:val="24"/>
        </w:rPr>
      </w:pPr>
      <w:r>
        <w:rPr>
          <w:b/>
          <w:sz w:val="24"/>
          <w:szCs w:val="24"/>
        </w:rPr>
        <w:t>Acknowledgements</w:t>
      </w:r>
    </w:p>
    <w:p>
      <w:pPr>
        <w:rPr>
          <w:b/>
          <w:sz w:val="24"/>
          <w:szCs w:val="24"/>
        </w:rPr>
      </w:pPr>
    </w:p>
    <w:p>
      <w:pPr>
        <w:rPr>
          <w:sz w:val="24"/>
          <w:szCs w:val="24"/>
        </w:rPr>
      </w:pPr>
      <w:r>
        <w:rPr>
          <w:i/>
          <w:sz w:val="24"/>
          <w:szCs w:val="24"/>
        </w:rPr>
        <w:t>Thank you to my supervisor, Karl Jones, for providing guidance and feedback throughout the completion of my dissertation. Thanks also to my fiance, Rob, parents and friends for their support and for being sounding boards when needed.</w:t>
      </w:r>
    </w:p>
    <w:p>
      <w:pPr>
        <w:rPr>
          <w:b/>
          <w:sz w:val="24"/>
          <w:szCs w:val="24"/>
        </w:rPr>
      </w:pPr>
    </w:p>
    <w:p>
      <w:pPr>
        <w:rPr>
          <w:b/>
          <w:sz w:val="24"/>
          <w:szCs w:val="24"/>
        </w:rPr>
      </w:pPr>
    </w:p>
    <w:p>
      <w:pPr>
        <w:rPr>
          <w:b/>
          <w:sz w:val="24"/>
          <w:szCs w:val="24"/>
        </w:rPr>
      </w:pPr>
      <w:r>
        <w:rPr>
          <w:b/>
          <w:sz w:val="24"/>
          <w:szCs w:val="24"/>
        </w:rPr>
        <w:t>Acronyms</w:t>
      </w:r>
    </w:p>
    <w:p>
      <w:pPr>
        <w:rPr>
          <w:sz w:val="24"/>
          <w:szCs w:val="24"/>
        </w:rPr>
      </w:pPr>
    </w:p>
    <w:p>
      <w:pPr>
        <w:rPr>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85"/>
        <w:gridCol w:w="7875"/>
      </w:tblGrid>
      <w:tr>
        <w:tc>
          <w:tcPr>
            <w:tcW w:w="1485"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rPr>
                <w:sz w:val="24"/>
                <w:szCs w:val="24"/>
              </w:rPr>
            </w:pPr>
            <w:r>
              <w:rPr>
                <w:sz w:val="24"/>
                <w:szCs w:val="24"/>
              </w:rPr>
              <w:t>KS4</w:t>
            </w:r>
          </w:p>
        </w:tc>
        <w:tc>
          <w:tcPr>
            <w:tcW w:w="7875"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rPr>
                <w:sz w:val="24"/>
                <w:szCs w:val="24"/>
              </w:rPr>
            </w:pPr>
            <w:r>
              <w:rPr>
                <w:sz w:val="24"/>
                <w:szCs w:val="24"/>
              </w:rPr>
              <w:t>Key Stage 4</w:t>
            </w:r>
          </w:p>
        </w:tc>
      </w:tr>
      <w:tr>
        <w:tc>
          <w:tcPr>
            <w:tcW w:w="1485"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rPr>
                <w:sz w:val="24"/>
                <w:szCs w:val="24"/>
              </w:rPr>
            </w:pPr>
            <w:r>
              <w:rPr>
                <w:sz w:val="24"/>
                <w:szCs w:val="24"/>
              </w:rPr>
              <w:t>KS5</w:t>
            </w:r>
          </w:p>
        </w:tc>
        <w:tc>
          <w:tcPr>
            <w:tcW w:w="7875"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rPr>
                <w:sz w:val="24"/>
                <w:szCs w:val="24"/>
              </w:rPr>
            </w:pPr>
            <w:r>
              <w:rPr>
                <w:sz w:val="24"/>
                <w:szCs w:val="24"/>
              </w:rPr>
              <w:t>Key Stage 5</w:t>
            </w:r>
          </w:p>
        </w:tc>
      </w:tr>
      <w:tr>
        <w:tc>
          <w:tcPr>
            <w:tcW w:w="1485"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rPr>
                <w:sz w:val="24"/>
                <w:szCs w:val="24"/>
              </w:rPr>
            </w:pPr>
            <w:r>
              <w:rPr>
                <w:sz w:val="24"/>
                <w:szCs w:val="24"/>
              </w:rPr>
              <w:t>WJEC</w:t>
            </w:r>
          </w:p>
        </w:tc>
        <w:tc>
          <w:tcPr>
            <w:tcW w:w="7875"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rPr>
                <w:sz w:val="24"/>
                <w:szCs w:val="24"/>
              </w:rPr>
            </w:pPr>
            <w:r>
              <w:rPr>
                <w:sz w:val="24"/>
                <w:szCs w:val="24"/>
              </w:rPr>
              <w:t xml:space="preserve">Welsh Joint Education Committee </w:t>
            </w:r>
          </w:p>
        </w:tc>
      </w:tr>
      <w:tr>
        <w:tc>
          <w:tcPr>
            <w:tcW w:w="1485"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rPr>
                <w:sz w:val="24"/>
                <w:szCs w:val="24"/>
              </w:rPr>
            </w:pPr>
            <w:r>
              <w:rPr>
                <w:sz w:val="24"/>
                <w:szCs w:val="24"/>
              </w:rPr>
              <w:t>STEM</w:t>
            </w:r>
          </w:p>
        </w:tc>
        <w:tc>
          <w:tcPr>
            <w:tcW w:w="7875"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rPr>
                <w:sz w:val="24"/>
                <w:szCs w:val="24"/>
              </w:rPr>
            </w:pPr>
            <w:r>
              <w:rPr>
                <w:sz w:val="24"/>
                <w:szCs w:val="24"/>
              </w:rPr>
              <w:t>Science Technology Engineering and Mathematics</w:t>
            </w:r>
          </w:p>
        </w:tc>
      </w:tr>
    </w:tbl>
    <w:p/>
    <w:p/>
    <w:p/>
    <w:p/>
    <w:p/>
    <w:p/>
    <w:p/>
    <w:p/>
    <w:p/>
    <w:p/>
    <w:p/>
    <w:p/>
    <w:p/>
    <w:p/>
    <w:p/>
    <w:p/>
    <w:p/>
    <w:p/>
    <w:p/>
    <w:p/>
    <w:p/>
    <w:p/>
    <w:p/>
    <w:p/>
    <w:p/>
    <w:p/>
    <w:p>
      <w:r>
        <w:rPr>
          <w:b/>
        </w:rPr>
        <w:t>Abstract</w:t>
      </w:r>
    </w:p>
    <w:p/>
    <w:p/>
    <w:p>
      <w:pPr>
        <w:rPr>
          <w:sz w:val="24"/>
          <w:szCs w:val="24"/>
        </w:rPr>
      </w:pPr>
      <w:r>
        <w:rPr>
          <w:sz w:val="24"/>
          <w:szCs w:val="24"/>
        </w:rPr>
        <w:t>This research has investigated the gender gap in the uptake of A Level sciences, specifically the difference in the proportions of male and female students that study Physics A Level. Recent data from the UK highlights consistent gaps in the proportion of Physics A Levels being awarded to male and female candidates, with female candidates making up just 22.6% of all entries in 2019 (Wise, 2019) and 23.1% of all entries in 2021 (Joint Council for Qualifications, 2021). Four research questions were developed and addressed via questionnaires and focus groups conducted with students aged 14-18. The study found that most students believe that society values a career in science, and that students who study one science A Level are highly likely to study at least one other and are also highly likely to be considering a career in science</w:t>
      </w:r>
      <w:r>
        <w:rPr>
          <w:color w:val="674EA7"/>
          <w:sz w:val="24"/>
          <w:szCs w:val="24"/>
        </w:rPr>
        <w:t xml:space="preserve">. </w:t>
      </w:r>
      <w:r>
        <w:rPr>
          <w:sz w:val="24"/>
          <w:szCs w:val="24"/>
        </w:rPr>
        <w:t>For the large majority of students, their experience and relationship with previous science teachers, both positive and negative, is a significant factor in their decision to study science A Levels. Both males and females perceive biology to be more recall focussed than chemistry and physics, and therefore easier, and give this as a reason for choosing to study Biology A Level.</w:t>
      </w:r>
      <w:r>
        <w:rPr>
          <w:i/>
          <w:sz w:val="24"/>
          <w:szCs w:val="24"/>
        </w:rPr>
        <w:t xml:space="preserve"> </w:t>
      </w:r>
      <w:r>
        <w:rPr>
          <w:sz w:val="24"/>
          <w:szCs w:val="24"/>
        </w:rPr>
        <w:t xml:space="preserve">Workload and/or perceived difficulty is the biggest factor that discourages all students from taking science A Levels although males are more likely than females to be put off studying science due to workload or perceived difficulty. Males are more likely to be discouraged from taking science A Levels based on their GCSE results and/or perceived ability. All students are impacted by their previous experience with science teachers. If they have not enjoyed science with a particular teacher and/or dislike the teacher that they would have for their A Level, they are strongly deterred from choosing that A Level. Not enjoying GCSE science with a particular teacher was often attributed to the students being aware that their teacher was teaching outside of their specialism. Females are more likely than males to study Biology A Level and Chemistry A Level. Females are also more likely than males to study more than one science A Level. The degree to which participants felt they had been encouraged by parents and teachers to choose science A Levels, varied between genders and year groups and thus appeared to be dependent on an individual’s specific circumstances. Similarly, the degree to which participants’ perceived themselves to be good at science varied on an individual basis. Females are more likely to consider their ability when choosing their A Levels and are more likely to consider their career aspirations. Females consider more factors than males when choosing which A Levels to take and are more likely, than males, to consider their enjoyment when choosing their A Levels. Some females are concerned about science being a “male subject” and about misogyny in further education. Males in this study were more likely than females to study Physics A Level. Males are also more likely than females to enjoy physics, while females are more likely to find physics difficult and/or boring. </w:t>
      </w:r>
    </w:p>
    <w:p>
      <w:pPr>
        <w:spacing w:line="240" w:lineRule="auto"/>
      </w:pPr>
    </w:p>
    <w:p>
      <w:pPr>
        <w:spacing w:line="240" w:lineRule="auto"/>
        <w:rPr>
          <w:sz w:val="24"/>
          <w:szCs w:val="24"/>
        </w:rPr>
      </w:pPr>
      <w:r>
        <w:rPr>
          <w:b/>
          <w:sz w:val="24"/>
          <w:szCs w:val="24"/>
        </w:rPr>
        <w:t>Chapter 1.</w:t>
      </w:r>
    </w:p>
    <w:p>
      <w:pPr>
        <w:tabs>
          <w:tab w:val="left" w:pos="4644"/>
        </w:tabs>
        <w:spacing w:line="240" w:lineRule="auto"/>
        <w:rPr>
          <w:sz w:val="24"/>
          <w:szCs w:val="24"/>
        </w:rPr>
      </w:pPr>
      <w:r>
        <w:rPr>
          <w:b/>
          <w:sz w:val="24"/>
          <w:szCs w:val="24"/>
        </w:rPr>
        <w:t xml:space="preserve">INTRODUCTION </w:t>
      </w:r>
      <w:r>
        <w:rPr>
          <w:b/>
          <w:sz w:val="24"/>
          <w:szCs w:val="24"/>
        </w:rPr>
        <w:tab/>
      </w:r>
    </w:p>
    <w:p>
      <w:pPr>
        <w:spacing w:line="240" w:lineRule="auto"/>
        <w:rPr>
          <w:sz w:val="24"/>
          <w:szCs w:val="24"/>
        </w:rPr>
      </w:pPr>
    </w:p>
    <w:p>
      <w:pPr>
        <w:spacing w:line="240" w:lineRule="auto"/>
        <w:rPr>
          <w:sz w:val="24"/>
          <w:szCs w:val="24"/>
        </w:rPr>
      </w:pPr>
    </w:p>
    <w:p>
      <w:pPr>
        <w:spacing w:line="240" w:lineRule="auto"/>
        <w:rPr>
          <w:b/>
          <w:i/>
          <w:sz w:val="24"/>
          <w:szCs w:val="24"/>
        </w:rPr>
      </w:pPr>
      <w:r>
        <w:rPr>
          <w:b/>
          <w:i/>
          <w:sz w:val="24"/>
          <w:szCs w:val="24"/>
        </w:rPr>
        <w:t>What is the issue being considered?</w:t>
      </w:r>
    </w:p>
    <w:p>
      <w:pPr>
        <w:spacing w:line="240" w:lineRule="auto"/>
        <w:rPr>
          <w:sz w:val="24"/>
          <w:szCs w:val="24"/>
        </w:rPr>
      </w:pPr>
    </w:p>
    <w:p>
      <w:pPr>
        <w:rPr>
          <w:sz w:val="24"/>
          <w:szCs w:val="24"/>
        </w:rPr>
      </w:pPr>
      <w:r>
        <w:rPr>
          <w:sz w:val="24"/>
          <w:szCs w:val="24"/>
        </w:rPr>
        <w:t xml:space="preserve">This research is concerned with the gender gap in the uptake of A Level sciences, specifically the difference in the proportions of male and female students that study Physics A Level. Recent UK data, that will be further scrutinised in Chapter 2, reveals consistent gaps in the proportion of Physics A Levels being awarded to male and female candidates, with female candidates making up just 22.6% of all entries in 2019 (Wise, 2019). In 2021, the picture was largely unchanged with girls accounting for 23.1% of all Physics A Level entrants. These patterns are replicated at a national level with results from Wales only showing that for both AS and A Levels, there were significantly more male candidates for Physics, with males making up 73.9% of all AS Physics entries and 76.3% of all A Level Physics entries (Joint Council for Qualifications, 2021). These findings are not novel. The 2016 Cambridge Assessment, conducted by Carroll and Gill (2017), analysed A Level uptake by males and females. The authors drew on data from nine different types of schools and found that more males progress to STEM (Science, Technology, Engineering and Mathematics) A Levels than females, with Biology A Level being the only exception to this finding.  Carroll and Gill (2017) reported that while Mathematics and Physics are the most popular post-16 subjects for males, female students were more likely to select Psychology and English Literature. These findings are  supported by the Joint Council for Qualifications (2014) who have previously reported that 57% of entries to post-16 STEM subjects are from male candidates. The term STEM can be used to describe a range of subjects (Gonzalez and Kuenzi, 2012) but for this study will refer to biology, chemistry and physics, and in some instances, mathematics. Where the author refers to “science subjects”, this will include solely biology, chemistry and physics. The technology and engineering aspects of STEM are omitted from this research as the study centers on the uptake of STEM A Levels available to the students in this study, which do not include technology and engineering A Levels. </w:t>
      </w:r>
    </w:p>
    <w:p>
      <w:pPr>
        <w:spacing w:line="240" w:lineRule="auto"/>
        <w:rPr>
          <w:sz w:val="24"/>
          <w:szCs w:val="24"/>
        </w:rPr>
      </w:pPr>
    </w:p>
    <w:p>
      <w:pPr>
        <w:spacing w:line="240" w:lineRule="auto"/>
        <w:rPr>
          <w:b/>
          <w:i/>
          <w:sz w:val="24"/>
          <w:szCs w:val="24"/>
        </w:rPr>
      </w:pPr>
      <w:r>
        <w:rPr>
          <w:b/>
          <w:i/>
          <w:sz w:val="24"/>
          <w:szCs w:val="24"/>
        </w:rPr>
        <w:t xml:space="preserve">Why does it need to be solved? </w:t>
      </w:r>
    </w:p>
    <w:p>
      <w:pPr>
        <w:spacing w:line="240" w:lineRule="auto"/>
        <w:rPr>
          <w:sz w:val="24"/>
          <w:szCs w:val="24"/>
        </w:rPr>
      </w:pPr>
    </w:p>
    <w:p>
      <w:pPr>
        <w:spacing w:after="160" w:line="259" w:lineRule="auto"/>
        <w:rPr>
          <w:sz w:val="24"/>
          <w:szCs w:val="24"/>
        </w:rPr>
      </w:pPr>
      <w:r>
        <w:rPr>
          <w:sz w:val="24"/>
          <w:szCs w:val="24"/>
        </w:rPr>
        <w:t>The government’s industrial strategy aims to maintain a competitive UK economy (Department for Business, Innovation and Skills, 2009) and this is dependent upon the recruitment of thousands more STEM graduates each year (Institute of Physics, 2018) Moreover, the Institute of Physics argues for the removal of any barriers for potential female recruits in an effort to allow the development of a scientific community centered on fairness, equality and diversity. STEM degrees, such as Physics, Mechanical Engineering and Civil Engineering, and subsequent careers require individuals to attain Physics (and Mathematics) A Levels (UCAS, 2023). Identifying a gender disparity in the present uptake of Physics A Levels may therefore be indicative of future problems recruiting females to STEM professions. Furthermore, understanding the gender disparity in Physics offers the potential advantage of addressing the issues that cause this disparity, at the very least, within the secondary school that is the focus of this research.</w:t>
      </w:r>
    </w:p>
    <w:p>
      <w:pPr>
        <w:spacing w:line="240" w:lineRule="auto"/>
        <w:rPr>
          <w:b/>
          <w:sz w:val="24"/>
          <w:szCs w:val="24"/>
        </w:rPr>
      </w:pPr>
    </w:p>
    <w:p>
      <w:pPr>
        <w:spacing w:line="240" w:lineRule="auto"/>
        <w:rPr>
          <w:b/>
          <w:i/>
          <w:sz w:val="24"/>
          <w:szCs w:val="24"/>
        </w:rPr>
      </w:pPr>
      <w:r>
        <w:rPr>
          <w:b/>
          <w:i/>
          <w:sz w:val="24"/>
          <w:szCs w:val="24"/>
        </w:rPr>
        <w:t xml:space="preserve">What is the research issue? </w:t>
      </w:r>
    </w:p>
    <w:p>
      <w:pPr>
        <w:spacing w:line="240" w:lineRule="auto"/>
        <w:rPr>
          <w:i/>
          <w:sz w:val="24"/>
          <w:szCs w:val="24"/>
        </w:rPr>
      </w:pPr>
    </w:p>
    <w:p>
      <w:pPr>
        <w:spacing w:line="240" w:lineRule="auto"/>
        <w:rPr>
          <w:sz w:val="24"/>
          <w:szCs w:val="24"/>
        </w:rPr>
      </w:pPr>
      <w:r>
        <w:rPr>
          <w:sz w:val="24"/>
          <w:szCs w:val="24"/>
        </w:rPr>
        <w:t xml:space="preserve">This research focuses on the uptake of A Level sciences by students in a co-educational secondary school in South Wales. The research aims to identify what motivates students to take any or all of the three sciences, what discourages students from taking any or all of the three sciences and whether these motivating and discouraging factors differ between male and female students. </w:t>
      </w:r>
    </w:p>
    <w:p>
      <w:pPr>
        <w:spacing w:line="240" w:lineRule="auto"/>
        <w:rPr>
          <w:sz w:val="24"/>
          <w:szCs w:val="24"/>
        </w:rPr>
      </w:pPr>
    </w:p>
    <w:p>
      <w:pPr>
        <w:spacing w:line="240" w:lineRule="auto"/>
        <w:rPr>
          <w:sz w:val="24"/>
          <w:szCs w:val="24"/>
        </w:rPr>
      </w:pPr>
    </w:p>
    <w:p>
      <w:pPr>
        <w:spacing w:line="240" w:lineRule="auto"/>
        <w:rPr>
          <w:b/>
          <w:i/>
          <w:sz w:val="24"/>
          <w:szCs w:val="24"/>
        </w:rPr>
      </w:pPr>
      <w:r>
        <w:rPr>
          <w:b/>
          <w:i/>
          <w:sz w:val="24"/>
          <w:szCs w:val="24"/>
        </w:rPr>
        <w:t>Who may benefit from this investigation and how?</w:t>
      </w:r>
    </w:p>
    <w:p>
      <w:pPr>
        <w:spacing w:line="240" w:lineRule="auto"/>
        <w:rPr>
          <w:i/>
          <w:sz w:val="24"/>
          <w:szCs w:val="24"/>
        </w:rPr>
      </w:pPr>
    </w:p>
    <w:p>
      <w:pPr>
        <w:spacing w:line="240" w:lineRule="auto"/>
        <w:rPr>
          <w:sz w:val="24"/>
          <w:szCs w:val="24"/>
        </w:rPr>
      </w:pPr>
      <w:r>
        <w:rPr>
          <w:sz w:val="24"/>
          <w:szCs w:val="24"/>
        </w:rPr>
        <w:t xml:space="preserve">There are several perceived benefactors of this research. Primarily, the research may offer the author an insight into why males are more likely to study Physics A Level than females. The author is a science teacher at the secondary school at the focus of this research. Empirical evidence available to the author, through their role as a science teacher with access to departmental data, for example AS and A Level entry numbers and assessment data, means that the research is not concerned with whether or not there is a gender gap in the uptake of A Level Physics, rather why the gap exists. If practitioners benefit from further understanding of the issue then it may result in those issues being challenged and addressed, ultimately benefiting students if males and females are equally likely to be supported and encouraged to continue to study each of the sciences. Furthermore, the process offers students an opportunity to express their viewpoint in a way that they may not have before. </w:t>
      </w:r>
    </w:p>
    <w:p>
      <w:pPr>
        <w:spacing w:line="240" w:lineRule="auto"/>
        <w:rPr>
          <w:sz w:val="24"/>
          <w:szCs w:val="24"/>
        </w:rPr>
      </w:pPr>
    </w:p>
    <w:p>
      <w:pPr>
        <w:spacing w:line="240" w:lineRule="auto"/>
        <w:rPr>
          <w:sz w:val="24"/>
          <w:szCs w:val="24"/>
        </w:rPr>
      </w:pPr>
    </w:p>
    <w:p>
      <w:pPr>
        <w:spacing w:line="240" w:lineRule="auto"/>
        <w:rPr>
          <w:b/>
          <w:i/>
          <w:sz w:val="24"/>
          <w:szCs w:val="24"/>
        </w:rPr>
      </w:pPr>
      <w:r>
        <w:rPr>
          <w:b/>
          <w:i/>
          <w:sz w:val="24"/>
          <w:szCs w:val="24"/>
        </w:rPr>
        <w:t>How may this research add to our current understanding?</w:t>
      </w:r>
    </w:p>
    <w:p>
      <w:pPr>
        <w:spacing w:line="240" w:lineRule="auto"/>
        <w:rPr>
          <w:i/>
          <w:sz w:val="24"/>
          <w:szCs w:val="24"/>
        </w:rPr>
      </w:pPr>
    </w:p>
    <w:p>
      <w:pPr>
        <w:spacing w:line="240" w:lineRule="auto"/>
        <w:rPr>
          <w:sz w:val="24"/>
          <w:szCs w:val="24"/>
        </w:rPr>
      </w:pPr>
      <w:r>
        <w:rPr>
          <w:sz w:val="24"/>
          <w:szCs w:val="24"/>
        </w:rPr>
        <w:t xml:space="preserve">There is much research already available into the differences in A Level uptake between male and female students and many researchers offer reasons for these differences. There are three main contributions the present research may offer to what is already known. Firstly, this is a small scale research project that aims to understand the problem within the microcosm of a single secondary school, with the possibility of addressing the issues that affect the specific students involved. Secondly, all of the research to date (to the best of knowledge to the author) explores the gender disparities between male and female students in science, with no researchers including non-binary individuals in their work. While the present research does not aim to study the uptake of A Level sciences by non-binary individuals specifically, there are individuals within the cohort being sampled that identify as non-binary, gender fluid or as a gender that is different to the gender assigned to them at birth. Thirdly, the large majority of research into gender disparities in science education was conducted prior to the Covid19 pandemic. As such, this research offers data in the light of the pandemic and the national lockdowns that subsequently impacted education. </w:t>
      </w:r>
    </w:p>
    <w:p>
      <w:pPr>
        <w:spacing w:line="240" w:lineRule="auto"/>
        <w:rPr>
          <w:sz w:val="24"/>
          <w:szCs w:val="24"/>
        </w:rPr>
      </w:pPr>
    </w:p>
    <w:p>
      <w:pPr>
        <w:spacing w:line="240" w:lineRule="auto"/>
        <w:rPr>
          <w:b/>
          <w:i/>
          <w:sz w:val="24"/>
          <w:szCs w:val="24"/>
        </w:rPr>
      </w:pPr>
      <w:r>
        <w:rPr>
          <w:b/>
          <w:i/>
          <w:sz w:val="24"/>
          <w:szCs w:val="24"/>
        </w:rPr>
        <w:t>How has the research issue been addressed?</w:t>
      </w:r>
    </w:p>
    <w:p>
      <w:pPr>
        <w:spacing w:line="240" w:lineRule="auto"/>
        <w:rPr>
          <w:sz w:val="24"/>
          <w:szCs w:val="24"/>
        </w:rPr>
      </w:pPr>
    </w:p>
    <w:p>
      <w:pPr>
        <w:spacing w:line="240" w:lineRule="auto"/>
        <w:rPr>
          <w:sz w:val="24"/>
          <w:szCs w:val="24"/>
        </w:rPr>
      </w:pPr>
      <w:r>
        <w:rPr>
          <w:sz w:val="24"/>
          <w:szCs w:val="24"/>
        </w:rPr>
        <w:t>The aims and objectives of this research were operationalised through data collection and analysis. Data was collected via an online questionnaire, in the first instance, followed by focus groups. The finer details of the methodologies will be covered in Chapter 3 but, essentially, the questionnaire was offered to Key Stage 4 students studying Triple Science GCSEs or Science Double Award (Higher Tier) GCSE, and Key Stage 5 students studying any one or more from Biology, Chemistry and Physics A Levels. The focus groups comprised a smaller sample from the above mentioned groups. The responses to the questionnaire items generated data that were both quantitative and qualitative in nature. Quantitative data was subject to simplistic analysis involving frequencies and percentages.</w:t>
      </w:r>
    </w:p>
    <w:p>
      <w:pPr>
        <w:spacing w:line="240" w:lineRule="auto"/>
        <w:rPr>
          <w:sz w:val="24"/>
          <w:szCs w:val="24"/>
        </w:rPr>
      </w:pPr>
      <w:r>
        <w:rPr>
          <w:sz w:val="24"/>
          <w:szCs w:val="24"/>
        </w:rPr>
        <w:t xml:space="preserve">Qualitative data generated from the questionnaire and focus groups were coded to allow for comparable quantitative analysis and evaluated in their raw form to provide richer, more authentic analysis. </w:t>
      </w:r>
    </w:p>
    <w:p>
      <w:pPr>
        <w:spacing w:line="240" w:lineRule="auto"/>
        <w:rPr>
          <w:sz w:val="24"/>
          <w:szCs w:val="24"/>
        </w:rPr>
      </w:pPr>
    </w:p>
    <w:p>
      <w:pPr>
        <w:spacing w:line="240" w:lineRule="auto"/>
        <w:rPr>
          <w:b/>
          <w:i/>
          <w:sz w:val="24"/>
          <w:szCs w:val="24"/>
        </w:rPr>
      </w:pPr>
      <w:r>
        <w:rPr>
          <w:b/>
          <w:i/>
          <w:sz w:val="24"/>
          <w:szCs w:val="24"/>
        </w:rPr>
        <w:t xml:space="preserve">What are the limitations of the research? </w:t>
      </w:r>
    </w:p>
    <w:p>
      <w:pPr>
        <w:spacing w:line="240" w:lineRule="auto"/>
        <w:rPr>
          <w:i/>
          <w:sz w:val="24"/>
          <w:szCs w:val="24"/>
        </w:rPr>
      </w:pPr>
    </w:p>
    <w:p>
      <w:pPr>
        <w:spacing w:line="240" w:lineRule="auto"/>
        <w:rPr>
          <w:sz w:val="24"/>
          <w:szCs w:val="24"/>
        </w:rPr>
      </w:pPr>
      <w:r>
        <w:rPr>
          <w:sz w:val="24"/>
          <w:szCs w:val="24"/>
        </w:rPr>
        <w:t xml:space="preserve">The limitations of this research will be discussed in greater detail in Chapter 6 but, from the outset, it is acknowledged that this is a small scale study pertaining to a relatively small number of students from one school. Broadly speaking it should be acknowledged that while the setting of this research allows for a comparatively in-depth understanding of the students’ educational and socioeconomic backgrounds, along with a detailed knowledge of the curricula studied, the data obtained may not be transferable to other settings.  </w:t>
      </w:r>
    </w:p>
    <w:p>
      <w:pPr>
        <w:spacing w:line="240" w:lineRule="auto"/>
        <w:rPr>
          <w:sz w:val="24"/>
          <w:szCs w:val="24"/>
        </w:rPr>
      </w:pPr>
    </w:p>
    <w:p>
      <w:pPr>
        <w:spacing w:line="240" w:lineRule="auto"/>
        <w:rPr>
          <w:sz w:val="24"/>
          <w:szCs w:val="24"/>
        </w:rPr>
      </w:pPr>
    </w:p>
    <w:p>
      <w:pPr>
        <w:spacing w:line="240" w:lineRule="auto"/>
        <w:rPr>
          <w:b/>
          <w:i/>
          <w:sz w:val="24"/>
          <w:szCs w:val="24"/>
        </w:rPr>
      </w:pPr>
      <w:r>
        <w:rPr>
          <w:b/>
          <w:i/>
          <w:sz w:val="24"/>
          <w:szCs w:val="24"/>
        </w:rPr>
        <w:t>The author’s motivations for carrying out the research</w:t>
      </w:r>
    </w:p>
    <w:p>
      <w:pPr>
        <w:spacing w:line="240" w:lineRule="auto"/>
        <w:rPr>
          <w:sz w:val="24"/>
          <w:szCs w:val="24"/>
        </w:rPr>
      </w:pPr>
    </w:p>
    <w:p>
      <w:pPr>
        <w:spacing w:line="240" w:lineRule="auto"/>
        <w:rPr>
          <w:sz w:val="24"/>
          <w:szCs w:val="24"/>
        </w:rPr>
      </w:pPr>
      <w:r>
        <w:rPr>
          <w:sz w:val="24"/>
          <w:szCs w:val="24"/>
        </w:rPr>
        <w:t xml:space="preserve">In addition to the previously mentioned perceived benefits to the researcher, science teachers in the research school and participants, the author’s rationale for undertaking this research project stems, in part, from experience in teaching Key Stage 4 and 5 science. In truth, it has sometimes been disappointing to see so many high-attaining, capable female physicists not continue their studies beyond their GCSEs. It is hoped that the findings of this research will lead to a better understanding of the reasons for the gender gap in science A Level uptake and that the gap may then be better addressed. </w:t>
      </w:r>
    </w:p>
    <w:p>
      <w:pPr>
        <w:spacing w:line="240" w:lineRule="auto"/>
        <w:rPr>
          <w:sz w:val="24"/>
          <w:szCs w:val="24"/>
        </w:rPr>
      </w:pPr>
    </w:p>
    <w:p>
      <w:pPr>
        <w:spacing w:line="240" w:lineRule="auto"/>
        <w:rPr>
          <w:b/>
          <w:i/>
          <w:sz w:val="24"/>
          <w:szCs w:val="24"/>
        </w:rPr>
      </w:pPr>
      <w:r>
        <w:rPr>
          <w:b/>
          <w:i/>
          <w:sz w:val="24"/>
          <w:szCs w:val="24"/>
        </w:rPr>
        <w:t>Aims and objectives</w:t>
      </w:r>
    </w:p>
    <w:p>
      <w:pPr>
        <w:spacing w:line="240" w:lineRule="auto"/>
        <w:rPr>
          <w:i/>
          <w:sz w:val="24"/>
          <w:szCs w:val="24"/>
        </w:rPr>
      </w:pPr>
    </w:p>
    <w:p>
      <w:pPr>
        <w:spacing w:line="240" w:lineRule="auto"/>
        <w:rPr>
          <w:sz w:val="24"/>
          <w:szCs w:val="24"/>
        </w:rPr>
      </w:pPr>
      <w:r>
        <w:rPr>
          <w:sz w:val="24"/>
          <w:szCs w:val="24"/>
        </w:rPr>
        <w:t>The overarching aim of this research is to understand why fewer female students study A Level Physics then their male counterparts. The objectives of this research can be defined as follows:</w:t>
      </w:r>
    </w:p>
    <w:p>
      <w:pPr>
        <w:numPr>
          <w:ilvl w:val="0"/>
          <w:numId w:val="1"/>
        </w:numPr>
        <w:spacing w:line="240" w:lineRule="auto"/>
        <w:rPr>
          <w:sz w:val="24"/>
          <w:szCs w:val="24"/>
        </w:rPr>
      </w:pPr>
      <w:r>
        <w:rPr>
          <w:sz w:val="24"/>
          <w:szCs w:val="24"/>
        </w:rPr>
        <w:t>To identify factors that encourage students to study A Level science.</w:t>
      </w:r>
    </w:p>
    <w:p>
      <w:pPr>
        <w:numPr>
          <w:ilvl w:val="0"/>
          <w:numId w:val="1"/>
        </w:numPr>
        <w:spacing w:line="240" w:lineRule="auto"/>
        <w:rPr>
          <w:sz w:val="24"/>
          <w:szCs w:val="24"/>
        </w:rPr>
      </w:pPr>
      <w:r>
        <w:rPr>
          <w:sz w:val="24"/>
          <w:szCs w:val="24"/>
        </w:rPr>
        <w:t>To identify factors that discourage students from studying A Level science.</w:t>
      </w:r>
    </w:p>
    <w:p>
      <w:pPr>
        <w:numPr>
          <w:ilvl w:val="0"/>
          <w:numId w:val="1"/>
        </w:numPr>
        <w:spacing w:line="240" w:lineRule="auto"/>
        <w:rPr>
          <w:sz w:val="24"/>
          <w:szCs w:val="24"/>
        </w:rPr>
      </w:pPr>
      <w:r>
        <w:rPr>
          <w:sz w:val="24"/>
          <w:szCs w:val="24"/>
        </w:rPr>
        <w:t xml:space="preserve">To identify, where appropriate, differences between male and female students’ attitudes towards studying science. </w:t>
      </w:r>
    </w:p>
    <w:p>
      <w:pPr>
        <w:numPr>
          <w:ilvl w:val="0"/>
          <w:numId w:val="1"/>
        </w:numPr>
        <w:spacing w:line="240" w:lineRule="auto"/>
        <w:rPr>
          <w:sz w:val="24"/>
          <w:szCs w:val="24"/>
        </w:rPr>
      </w:pPr>
      <w:r>
        <w:rPr>
          <w:sz w:val="24"/>
          <w:szCs w:val="24"/>
        </w:rPr>
        <w:t>To identify, where appropriate, differences in attitudes towards Physics, between those who have chosen to, or are considering studying Physics A Level and those who have/are not.</w:t>
      </w:r>
    </w:p>
    <w:p>
      <w:pPr>
        <w:spacing w:line="240" w:lineRule="auto"/>
        <w:ind w:left="720"/>
        <w:rPr>
          <w:sz w:val="24"/>
          <w:szCs w:val="24"/>
        </w:rPr>
      </w:pPr>
    </w:p>
    <w:p>
      <w:pPr>
        <w:spacing w:line="240" w:lineRule="auto"/>
        <w:rPr>
          <w:sz w:val="24"/>
          <w:szCs w:val="24"/>
        </w:rPr>
      </w:pPr>
      <w:r>
        <w:rPr>
          <w:sz w:val="24"/>
          <w:szCs w:val="24"/>
        </w:rPr>
        <w:t xml:space="preserve">Although the aim of this research focuses on Physics A Levels, the objectives broadly refer to science A Levels. This decision has been made in an effort to avoid being reductive in terms of the research questions posed and students included in the sample. Questions such as “why have you chosen to study physics?” obviously generate one type of response. It is hoped that exploring why students have chosen to study biology and chemistry, but not physics, will offer further insights. </w:t>
      </w:r>
    </w:p>
    <w:p>
      <w:pPr>
        <w:spacing w:line="240" w:lineRule="auto"/>
        <w:rPr>
          <w:sz w:val="24"/>
          <w:szCs w:val="24"/>
        </w:rPr>
      </w:pPr>
    </w:p>
    <w:p>
      <w:pPr>
        <w:spacing w:line="240" w:lineRule="auto"/>
        <w:rPr>
          <w:sz w:val="24"/>
          <w:szCs w:val="24"/>
        </w:rPr>
      </w:pPr>
    </w:p>
    <w:p>
      <w:pPr>
        <w:spacing w:line="240" w:lineRule="auto"/>
        <w:rPr>
          <w:sz w:val="24"/>
          <w:szCs w:val="24"/>
        </w:rPr>
      </w:pPr>
      <w:r>
        <w:rPr>
          <w:b/>
          <w:sz w:val="24"/>
          <w:szCs w:val="24"/>
        </w:rPr>
        <w:t>Chapter 2.</w:t>
      </w:r>
    </w:p>
    <w:p>
      <w:pPr>
        <w:tabs>
          <w:tab w:val="left" w:pos="4644"/>
        </w:tabs>
        <w:spacing w:line="240" w:lineRule="auto"/>
        <w:rPr>
          <w:sz w:val="24"/>
          <w:szCs w:val="24"/>
          <w:u w:val="single"/>
        </w:rPr>
      </w:pPr>
      <w:r>
        <w:rPr>
          <w:b/>
          <w:sz w:val="24"/>
          <w:szCs w:val="24"/>
        </w:rPr>
        <w:t>LITERATURE REVIEW</w:t>
      </w:r>
    </w:p>
    <w:p>
      <w:pPr>
        <w:rPr>
          <w:sz w:val="24"/>
          <w:szCs w:val="24"/>
        </w:rPr>
      </w:pPr>
    </w:p>
    <w:p>
      <w:pPr>
        <w:rPr>
          <w:sz w:val="24"/>
          <w:szCs w:val="24"/>
        </w:rPr>
      </w:pPr>
      <w:r>
        <w:rPr>
          <w:sz w:val="24"/>
          <w:szCs w:val="24"/>
        </w:rPr>
        <w:t xml:space="preserve">This section will begin with an overview of recent GCSE results in the UK and, more specifically, in Wales. The results of Biology, Chemistry and Physics GCSEs, AS and A Levels will be scrutinised for differences in gender outcomes. Following this, there will be an exploration of the current theories, put forward in the literature as to reasons for gender disparities in the uptake of science subjects. </w:t>
      </w:r>
    </w:p>
    <w:p>
      <w:pPr>
        <w:spacing w:after="160" w:line="259" w:lineRule="auto"/>
        <w:rPr>
          <w:sz w:val="24"/>
          <w:szCs w:val="24"/>
        </w:rPr>
      </w:pPr>
    </w:p>
    <w:p>
      <w:pPr>
        <w:spacing w:after="160" w:line="259" w:lineRule="auto"/>
        <w:rPr>
          <w:b/>
          <w:i/>
          <w:sz w:val="24"/>
          <w:szCs w:val="24"/>
        </w:rPr>
      </w:pPr>
      <w:r>
        <w:rPr>
          <w:b/>
          <w:i/>
          <w:sz w:val="24"/>
          <w:szCs w:val="24"/>
        </w:rPr>
        <w:t>GCSE, AS and A Level results 2019-2022</w:t>
      </w:r>
    </w:p>
    <w:p>
      <w:pPr>
        <w:rPr>
          <w:sz w:val="24"/>
          <w:szCs w:val="24"/>
        </w:rPr>
      </w:pPr>
      <w:r>
        <w:rPr>
          <w:sz w:val="24"/>
          <w:szCs w:val="24"/>
        </w:rPr>
        <w:t xml:space="preserve">An analysis of the 2019-2022 A Level and GCSE results in the UK must be conducted alongside a discussion of the impact that the Coronavirus pandemic had on education. Most notably, during this time frame, the methods of assessment changed. The results generated in 2019 were examination results, while the results obtained in 2020 and 2021 were derived from teacher assessment. The science GCSE results, in Wales, from 2020 were partly generated from the marking of practical examinations sat in January 2020 and partly from teacher assessment, while the results from 2021 were generated wholly from teacher assessment. The data from 2020 will not be included in the present analysis. This decision was taken as it was based neither on national examinations nor on teacher assessments that had been carried out, knowingly, over a full academic year. The author has therefore deemed this data to be insufficiently reliable or valid, based on the findings of Bhopal and Myers (2020) who cite significant inaccuracies in predicted grades and teacher assessed grades. The data from 2021, however, will be included as it was based on teacher assessments carried out over a full academic year and the nature and delivery of these assessments were directed by the examination boards. Thus, the 2021 data may be considered more valid than the 2020 data. </w:t>
      </w:r>
    </w:p>
    <w:p>
      <w:pPr>
        <w:rPr>
          <w:sz w:val="24"/>
          <w:szCs w:val="24"/>
        </w:rPr>
      </w:pPr>
    </w:p>
    <w:p>
      <w:pPr>
        <w:rPr>
          <w:sz w:val="24"/>
          <w:szCs w:val="24"/>
        </w:rPr>
      </w:pPr>
      <w:r>
        <w:rPr>
          <w:sz w:val="24"/>
          <w:szCs w:val="24"/>
        </w:rPr>
        <w:t xml:space="preserve">We will begin our review of the data with the results from 2019. Wise (2019) provides us with an analysis of A Level results in the UK, from the viewpoint of an organisation concerned with addressing gender inequality in STEM subjects. Wise (2019) will be used frequently in this section as a source of data analysis although the reader is reminded that the figures are based on data provided by the British Government Attainments Statistics Team (explore-education-statistics.service.gov.uk, n.d.). Wise (2019) reports that of the Physics A Levels awarded in 2019, only 22.6% were awarded to female candidates. Despite this, for the first time, more science A Levels were awarded to female candidates than male candidates. In 2019, 50.3% of all science A Levels awarded (“science A Levels” here refer to Biology, Chemistry and Physics A Levels”) were to girls. Wise notes that this feat was predominantly the result of an increase in the numbers of girls achieving Biology and Chemistry A Levels. Wise (2019) reports that 2019 saw a decrease in the numbers of Maths A Levels awarded to both male and female candidates. While the present research is not primarily concerned with Maths A Level uptake, it is noteworthy as Maths and Physics A Levels are both entry requirements for many STEM degrees (UCAS, 2023). It should also be noted that there are gender disparities across subjects other than the sciences, but as the objective of Wise (2019) is to highlight and address the issues in science, the data on the gender gap in science is presented with befitting emphasis. </w:t>
      </w:r>
    </w:p>
    <w:p>
      <w:pPr>
        <w:rPr>
          <w:sz w:val="24"/>
          <w:szCs w:val="24"/>
        </w:rPr>
      </w:pPr>
    </w:p>
    <w:p>
      <w:pPr>
        <w:rPr>
          <w:sz w:val="24"/>
          <w:szCs w:val="24"/>
        </w:rPr>
      </w:pPr>
      <w:r>
        <w:rPr>
          <w:sz w:val="24"/>
          <w:szCs w:val="24"/>
        </w:rPr>
        <w:t xml:space="preserve">The Teacher Assessed Grades (commonly referred to as TAG) awarded in 2021 saw the A Level performance gap between boys and girls widen. The percentage of female STEM candidates achieving A or A* grades increased from 45.2% in 2020 to 52.2% in 2021, compared with the percentage of male STEM candidates achieving A and A* grades increasing from 44.2% to 49.3% across the same time period (Wise, 2021).  In 2021, girls made up 23.1% of all Physics A Level entrants, increasingly slightly from the previous years. Female candidates also accounted for a smaller proportion of total Maths A Level candidates (38.9%) than male candidates although more girls took Chemistry (54.3%) than boys. Wise (2021) notes that there were far bigger gender disparities in other subjects, with girls accounting for 93% of all Health and Social Care entrants, and boys accounting for 85% of all Computing entrants. </w:t>
      </w:r>
    </w:p>
    <w:p>
      <w:pPr>
        <w:rPr>
          <w:sz w:val="24"/>
          <w:szCs w:val="24"/>
        </w:rPr>
      </w:pPr>
      <w:r>
        <w:rPr>
          <w:sz w:val="24"/>
          <w:szCs w:val="24"/>
        </w:rPr>
        <w:t xml:space="preserve">An interesting feature of the 2021 GCSE results is the decrease in the numbers of girls studying non-compulsory GCSEs. Between 2020 and 2021 the proportion of girls making up the total entrants for Statistics fell by 27%, by 11.4% for Engineering, 2.2% for Computing and by 7.5% for Design and Technology. Again, though this research is not focused on these other STEM subjects, it is important to note that girls are seemingly less likely to study these subjects. </w:t>
      </w:r>
    </w:p>
    <w:p>
      <w:pPr>
        <w:rPr>
          <w:sz w:val="24"/>
          <w:szCs w:val="24"/>
        </w:rPr>
      </w:pPr>
    </w:p>
    <w:p>
      <w:pPr>
        <w:rPr>
          <w:sz w:val="24"/>
          <w:szCs w:val="24"/>
        </w:rPr>
      </w:pPr>
      <w:r>
        <w:rPr>
          <w:sz w:val="24"/>
          <w:szCs w:val="24"/>
        </w:rPr>
        <w:t xml:space="preserve">The aforementioned analysis included data from all UK GCSE and A Level candidates. The analysis that follows is concerned solely with results obtained by Welsh candidates. Table 1 has been adapted from the GCSE Summer 2021 report, published by the Joint Council for Qualifications (2021).  The Joint Council for Qualifications is a not for profit membership organisation, comprising the eight largest qualifications awarding bodies in the UK, including the Welsh Joint Education Committee (WJEC). Although other awarding bodies are available to Welsh schools, the WJEC awards more qualifications to Welsh learners than any other awarding body (WJEC, 2023.). Table 1 provides us with the cumulative percentages by grade for Biology, Chemistry, Physics and Science Double Award GCSEs, awarded in Wales in 2021. Biology, Chemistry and Physics are all worth one GCSE qualification to the learners. Science Double Award GCSE is worth two GCSE qualifications to learners. Pupils studying “Triple Science” usually gain three GCSE qualifications: one each from Biology, Chemistry and Physics. The duality of the grades represent the grading systems used by different exam boards, with Welsh exam boards issuing letter grades and English exam boards issuing numbered grades. It is notable that a higher percentage of all girls, compared with the percentage of all boys, achieved the top grades in Biology, Chemistry and Science Double Award, while a slightly higher percentage of boys achieved the top grades in Physics. </w:t>
      </w:r>
    </w:p>
    <w:p>
      <w:pPr>
        <w:rPr>
          <w:sz w:val="24"/>
          <w:szCs w:val="24"/>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trPr>
          <w:trHeight w:val="440"/>
        </w:trPr>
        <w:tc>
          <w:tcPr>
            <w:tcW w:w="156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Subject</w:t>
            </w:r>
          </w:p>
        </w:tc>
        <w:tc>
          <w:tcPr>
            <w:tcW w:w="156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Gender</w:t>
            </w:r>
          </w:p>
        </w:tc>
        <w:tc>
          <w:tcPr>
            <w:tcW w:w="6240" w:type="dxa"/>
            <w:gridSpan w:val="4"/>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Cumulative Percentages by Grade</w:t>
            </w:r>
          </w:p>
        </w:tc>
      </w:tr>
      <w:tr>
        <w:trPr>
          <w:trHeight w:val="440"/>
        </w:trPr>
        <w:tc>
          <w:tcPr>
            <w:tcW w:w="156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56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7/A</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4/C</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1/G</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U</w:t>
            </w:r>
          </w:p>
        </w:tc>
      </w:tr>
      <w:tr>
        <w:trPr>
          <w:trHeight w:val="440"/>
        </w:trPr>
        <w:tc>
          <w:tcPr>
            <w:tcW w:w="156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Biology</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Male</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55.5</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94.2</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99.6</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56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65.4</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96.1</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99.8</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56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Chemistry</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Male</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55.3</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93.9</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99.5</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56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59.3</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94.5</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99.5</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56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Physics</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Male</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59.2</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94.8</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99.8</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56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58.2</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94.5</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99.8</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56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Science Double Award</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Male</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11.1</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58.6</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98.4</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56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16.2</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63.6</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98.7</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bl>
    <w:p>
      <w:pPr>
        <w:rPr>
          <w:i/>
          <w:sz w:val="24"/>
          <w:szCs w:val="24"/>
        </w:rPr>
      </w:pPr>
      <w:r>
        <w:rPr>
          <w:i/>
          <w:sz w:val="24"/>
          <w:szCs w:val="24"/>
        </w:rPr>
        <w:t>Table 1: GCSE results in Wales 2021</w:t>
      </w:r>
    </w:p>
    <w:p>
      <w:pPr>
        <w:rPr>
          <w:sz w:val="24"/>
          <w:szCs w:val="24"/>
        </w:rPr>
      </w:pPr>
    </w:p>
    <w:p>
      <w:pPr>
        <w:rPr>
          <w:sz w:val="24"/>
          <w:szCs w:val="24"/>
        </w:rPr>
      </w:pPr>
      <w:r>
        <w:rPr>
          <w:sz w:val="24"/>
          <w:szCs w:val="24"/>
        </w:rPr>
        <w:t xml:space="preserve">Tables 2 and 3 have been adapted from the A Level and AS Level Summer 2021 report, published by the Joint Council for Qualifications (2021), and provide data for Wales only. For both AS and A Levels, there were more female candidates than male candidates for Biology and Chemistry, but significantly more male candidates for Physics, with males making up 73.9% of all AS Physics entries and 76.3% of all A Level Physics entries. </w:t>
      </w:r>
    </w:p>
    <w:p>
      <w:pPr>
        <w:rPr>
          <w:sz w:val="24"/>
          <w:szCs w:val="24"/>
        </w:rPr>
      </w:pPr>
    </w:p>
    <w:tbl>
      <w:tblPr>
        <w:tblStyle w:val="a2"/>
        <w:tblW w:w="85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1020"/>
        <w:gridCol w:w="1365"/>
        <w:gridCol w:w="765"/>
        <w:gridCol w:w="840"/>
        <w:gridCol w:w="825"/>
        <w:gridCol w:w="825"/>
        <w:gridCol w:w="825"/>
        <w:gridCol w:w="795"/>
      </w:tblGrid>
      <w:tr>
        <w:trPr>
          <w:trHeight w:val="440"/>
        </w:trPr>
        <w:tc>
          <w:tcPr>
            <w:tcW w:w="132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Subject</w:t>
            </w:r>
          </w:p>
        </w:tc>
        <w:tc>
          <w:tcPr>
            <w:tcW w:w="102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Gender</w:t>
            </w:r>
          </w:p>
        </w:tc>
        <w:tc>
          <w:tcPr>
            <w:tcW w:w="1365"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Number sat</w:t>
            </w:r>
          </w:p>
        </w:tc>
        <w:tc>
          <w:tcPr>
            <w:tcW w:w="4875" w:type="dxa"/>
            <w:gridSpan w:val="6"/>
          </w:tcPr>
          <w:p>
            <w:pPr>
              <w:widowControl w:val="0"/>
              <w:spacing w:line="240" w:lineRule="auto"/>
              <w:rPr>
                <w:sz w:val="24"/>
                <w:szCs w:val="24"/>
              </w:rPr>
            </w:pPr>
            <w:r>
              <w:rPr>
                <w:sz w:val="24"/>
                <w:szCs w:val="24"/>
              </w:rPr>
              <w:t>Cumulative Percentage by Grade</w:t>
            </w:r>
          </w:p>
        </w:tc>
      </w:tr>
      <w:tr>
        <w:trPr>
          <w:trHeight w:val="440"/>
        </w:trPr>
        <w:tc>
          <w:tcPr>
            <w:tcW w:w="132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02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365"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A</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B</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C</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D</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E</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U</w:t>
            </w:r>
          </w:p>
        </w:tc>
      </w:tr>
      <w:tr>
        <w:trPr>
          <w:trHeight w:val="440"/>
        </w:trPr>
        <w:tc>
          <w:tcPr>
            <w:tcW w:w="132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Biology</w:t>
            </w: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4316</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33.3</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54.1</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73.2</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86.7</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95.0</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32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7715</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39.1</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61.4</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77.7</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88.7</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96.2</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32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Chemistry</w:t>
            </w: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4142</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37.0</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56.3</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72.5</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85.5</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94.9</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32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5194</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40.6</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62.0</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77.6</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88.3</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95.9</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32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Physics</w:t>
            </w: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5002</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37.0</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57.0</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73.0</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85.8</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95.1</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32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1770</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48.5</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67.8</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82.4</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91.0</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97.6</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bl>
    <w:p>
      <w:pPr>
        <w:rPr>
          <w:sz w:val="24"/>
          <w:szCs w:val="24"/>
        </w:rPr>
      </w:pPr>
      <w:r>
        <w:rPr>
          <w:i/>
          <w:sz w:val="24"/>
          <w:szCs w:val="24"/>
        </w:rPr>
        <w:t>Table 2: AS Level results in Wales 2021</w:t>
      </w:r>
    </w:p>
    <w:p>
      <w:pPr>
        <w:rPr>
          <w:sz w:val="24"/>
          <w:szCs w:val="24"/>
        </w:rPr>
      </w:pPr>
    </w:p>
    <w:p>
      <w:pPr>
        <w:rPr>
          <w:sz w:val="24"/>
          <w:szCs w:val="24"/>
        </w:rPr>
      </w:pP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1020"/>
        <w:gridCol w:w="1365"/>
        <w:gridCol w:w="780"/>
        <w:gridCol w:w="765"/>
        <w:gridCol w:w="840"/>
        <w:gridCol w:w="825"/>
        <w:gridCol w:w="825"/>
        <w:gridCol w:w="825"/>
        <w:gridCol w:w="795"/>
      </w:tblGrid>
      <w:tr>
        <w:trPr>
          <w:trHeight w:val="440"/>
        </w:trPr>
        <w:tc>
          <w:tcPr>
            <w:tcW w:w="132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Subject</w:t>
            </w:r>
          </w:p>
        </w:tc>
        <w:tc>
          <w:tcPr>
            <w:tcW w:w="102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Gender</w:t>
            </w:r>
          </w:p>
        </w:tc>
        <w:tc>
          <w:tcPr>
            <w:tcW w:w="1365"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Number sat</w:t>
            </w:r>
          </w:p>
        </w:tc>
        <w:tc>
          <w:tcPr>
            <w:tcW w:w="5655" w:type="dxa"/>
            <w:gridSpan w:val="7"/>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Cumulative Percentage by Grade</w:t>
            </w:r>
          </w:p>
        </w:tc>
      </w:tr>
      <w:tr>
        <w:trPr>
          <w:trHeight w:val="440"/>
        </w:trPr>
        <w:tc>
          <w:tcPr>
            <w:tcW w:w="132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02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365"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78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A*</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A</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B</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C</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D</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E</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U</w:t>
            </w:r>
          </w:p>
        </w:tc>
      </w:tr>
      <w:tr>
        <w:trPr>
          <w:trHeight w:val="440"/>
        </w:trPr>
        <w:tc>
          <w:tcPr>
            <w:tcW w:w="132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Biology</w:t>
            </w: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1284</w:t>
            </w:r>
          </w:p>
        </w:tc>
        <w:tc>
          <w:tcPr>
            <w:tcW w:w="78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22.5</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49.8</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72.7</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89.1</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95.6</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99.3</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32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2259</w:t>
            </w:r>
          </w:p>
        </w:tc>
        <w:tc>
          <w:tcPr>
            <w:tcW w:w="78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24.9</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56.4</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76.8</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90.0</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96.1</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99.3</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32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Chemistry</w:t>
            </w: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1278</w:t>
            </w:r>
          </w:p>
        </w:tc>
        <w:tc>
          <w:tcPr>
            <w:tcW w:w="78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26.8</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54.9</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73.2</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86.8</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94.3</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98.7</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32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1508</w:t>
            </w:r>
          </w:p>
        </w:tc>
        <w:tc>
          <w:tcPr>
            <w:tcW w:w="78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29.1</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61.7</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81.9</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92.2</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96.7</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99.3</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32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Physics</w:t>
            </w: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1545</w:t>
            </w:r>
          </w:p>
        </w:tc>
        <w:tc>
          <w:tcPr>
            <w:tcW w:w="78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26.3</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52.1</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72.4</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85.8</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93.3</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98.4</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32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480</w:t>
            </w:r>
          </w:p>
        </w:tc>
        <w:tc>
          <w:tcPr>
            <w:tcW w:w="78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35.2</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64.8</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82.1</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91.3</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95.4</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99.8</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bl>
    <w:p>
      <w:pPr>
        <w:rPr>
          <w:sz w:val="24"/>
          <w:szCs w:val="24"/>
        </w:rPr>
      </w:pPr>
      <w:r>
        <w:rPr>
          <w:i/>
          <w:sz w:val="24"/>
          <w:szCs w:val="24"/>
        </w:rPr>
        <w:t>Table 3: A Level results in Wales 2021</w:t>
      </w:r>
    </w:p>
    <w:p>
      <w:pPr>
        <w:rPr>
          <w:sz w:val="24"/>
          <w:szCs w:val="24"/>
        </w:rPr>
      </w:pPr>
    </w:p>
    <w:p>
      <w:pPr>
        <w:rPr>
          <w:sz w:val="24"/>
          <w:szCs w:val="24"/>
        </w:rPr>
      </w:pPr>
    </w:p>
    <w:p>
      <w:pPr>
        <w:rPr>
          <w:sz w:val="24"/>
          <w:szCs w:val="24"/>
        </w:rPr>
      </w:pPr>
      <w:r>
        <w:rPr>
          <w:sz w:val="24"/>
          <w:szCs w:val="24"/>
        </w:rPr>
        <w:t xml:space="preserve">The data analysis presented here highlights a few key features. Firstly, that more boys take Physics A Levels than girls but that the highest attaining girls outperform the highest attaining boys at Physics. Secondly, more girls take Chemistry and Biology A Levels than boys and, thirdly, there has been a small increase in the percentage of girls taking up STEM A Levels overall. The uptake of core science subjects at GCSE has not been discussed as those subjects are compulsory in the UK. The sections that follow will discuss the current theories, presented in the literature, as to why such gender disparities persist. </w:t>
      </w:r>
    </w:p>
    <w:p>
      <w:pPr>
        <w:rPr>
          <w:sz w:val="24"/>
          <w:szCs w:val="24"/>
          <w:u w:val="single"/>
        </w:rPr>
      </w:pPr>
    </w:p>
    <w:p>
      <w:pPr>
        <w:rPr>
          <w:sz w:val="24"/>
          <w:szCs w:val="24"/>
        </w:rPr>
      </w:pPr>
    </w:p>
    <w:p>
      <w:pPr>
        <w:rPr>
          <w:b/>
          <w:i/>
          <w:sz w:val="24"/>
          <w:szCs w:val="24"/>
        </w:rPr>
      </w:pPr>
      <w:r>
        <w:rPr>
          <w:b/>
          <w:i/>
          <w:sz w:val="24"/>
          <w:szCs w:val="24"/>
        </w:rPr>
        <w:t>Science as a masculine subject</w:t>
      </w:r>
    </w:p>
    <w:p>
      <w:pPr>
        <w:rPr>
          <w:sz w:val="24"/>
          <w:szCs w:val="24"/>
        </w:rPr>
      </w:pPr>
    </w:p>
    <w:p>
      <w:pPr>
        <w:spacing w:after="160" w:line="259" w:lineRule="auto"/>
        <w:rPr>
          <w:sz w:val="24"/>
          <w:szCs w:val="24"/>
        </w:rPr>
      </w:pPr>
      <w:r>
        <w:rPr>
          <w:sz w:val="24"/>
          <w:szCs w:val="24"/>
        </w:rPr>
        <w:t xml:space="preserve">A report from the Institute of Physics (2018, p.3) offers that the perception that science subjects, and more specifically physics, should not be pursued by girls may be, in some part, the result of “generations of throwaway comments and quips that depict physics as a masculine subject”. As previously discussed, male and female students demonstrate equal attainment in science GCSEs, but, of those students who perform well in the science GCSEs, far fewer female students progress to science AS/A Levels than males (Joint Council for Qualifications, 2014). Archer </w:t>
      </w:r>
      <w:r>
        <w:rPr>
          <w:i/>
          <w:sz w:val="24"/>
          <w:szCs w:val="24"/>
        </w:rPr>
        <w:t>et al</w:t>
      </w:r>
      <w:r>
        <w:rPr>
          <w:sz w:val="24"/>
          <w:szCs w:val="24"/>
        </w:rPr>
        <w:t xml:space="preserve">. (2013) conducted a study, funded by the UK Economic and Social Research Council (ESRC), in which they used a quantitative online survey to evaluate students’ and parents’ attitudes to science. The study included male and female students from a variety of school types and of various races and ethnic backgrounds. Archer and colleagues found that over 70% of girls aged 10-11 years enjoyed science lessons and partook in science activities outside of school hours. These girls also thought that their parents valued science. Despite this, just 17% of the female students surveyed said that they wanted a career in science. The subsequent interviews revealed that the female students viewed science as a “brainy” or “geeky” subject and many of the girls felt that it was a masculine subject. In one instance, female students at a particular school discouraged each other from attending the after-school science club as it was “all boys”. When asked about their preferred career choice, girls tended to select careers deemed “glamorous”, “nurturing” and “feminine” by the authors. It should be noted that this study comprised students far younger than those included in the present study, however the impacts of perceptions of science developed from primary school age may leave a lasting effect and as such were taken into consideration when designing this study. Indeed, there are further studies conducted with younger students who have reported that both male and female students harbour stereotypical views about biological sciences being “for girls” and physical sciences being “for boys” (Andre, 1999; Greenfield, 1996; Jones, Howe </w:t>
      </w:r>
      <w:r>
        <w:rPr>
          <w:i/>
          <w:sz w:val="24"/>
          <w:szCs w:val="24"/>
        </w:rPr>
        <w:t>et al</w:t>
      </w:r>
      <w:r>
        <w:rPr>
          <w:sz w:val="24"/>
          <w:szCs w:val="24"/>
        </w:rPr>
        <w:t xml:space="preserve">., 2000). More broadly, research conducted by Matthews (1996) and Newton and Newton (1998) found that children harbour masculine ideas about science from a young age, when they asked male and female students to draw scientists. Kleinman (1998) posits that this notion of science as a masculine subject is the result of the historical predominance of male scientists that has been subsequently reinforced through cultural messages. </w:t>
      </w:r>
    </w:p>
    <w:p>
      <w:pPr>
        <w:spacing w:after="160" w:line="259" w:lineRule="auto"/>
        <w:rPr>
          <w:sz w:val="24"/>
          <w:szCs w:val="24"/>
        </w:rPr>
      </w:pPr>
      <w:r>
        <w:rPr>
          <w:sz w:val="24"/>
          <w:szCs w:val="24"/>
        </w:rPr>
        <w:t xml:space="preserve">The notion that science is a masculine subject may be being reinforced in the classroom. The studies that follow illustrate some of the factors that have been documented as influencing the gender gap in science and were all cited in Brotman and Moore’s (2008) systematic review of the literature pertaining to “Girls in Science”. Elgar (2004) and Whitley (1996), report the presence of male-bias (Brunei) and gender-stereotyping (Jamaica) in science textbooks. Male-bias in textbooks is not restricted to Brunei, with a study conducted in an affluent school in south-western USA, involving physics students, finding that girls were very aware of textbook bias and the wider gender imbalance. With respect to the practical aspects of the science curriculum, studies have shown female students to engage with laboratory equipment less often that male students, even if their class teacher is experienced and conscious of gender imbalances (She, 1999; Guzzetti and Williams, 1996; Jovanovic and Steinbach King, 1998). The large majority of the research cited above was conducted prior to 2014 and so the present study aims to assess the degree to which male and female students, as suggested above, view science as a broadly masculine subject, today. Furthermore, none of the research discussed, above, was conducted with school students in Wales, and so this research aims to address this additional gap in our understanding. </w:t>
      </w:r>
    </w:p>
    <w:p>
      <w:pPr>
        <w:rPr>
          <w:sz w:val="24"/>
          <w:szCs w:val="24"/>
        </w:rPr>
      </w:pPr>
    </w:p>
    <w:p>
      <w:pPr>
        <w:rPr>
          <w:b/>
          <w:i/>
          <w:sz w:val="24"/>
          <w:szCs w:val="24"/>
        </w:rPr>
      </w:pPr>
      <w:r>
        <w:rPr>
          <w:b/>
          <w:i/>
          <w:sz w:val="24"/>
          <w:szCs w:val="24"/>
        </w:rPr>
        <w:t>Encouragement from teachers</w:t>
      </w:r>
    </w:p>
    <w:p>
      <w:pPr>
        <w:rPr>
          <w:sz w:val="24"/>
          <w:szCs w:val="24"/>
        </w:rPr>
      </w:pPr>
    </w:p>
    <w:p>
      <w:pPr>
        <w:spacing w:after="160" w:line="259" w:lineRule="auto"/>
        <w:rPr>
          <w:sz w:val="24"/>
          <w:szCs w:val="24"/>
        </w:rPr>
      </w:pPr>
      <w:r>
        <w:rPr>
          <w:sz w:val="24"/>
          <w:szCs w:val="24"/>
        </w:rPr>
        <w:t xml:space="preserve">A study conducted by Mujtaba and Reiss (2016) involved 10,000 students in England, and researched attitudes towards maths and physics education. The students took part in a survey when they were in year 8 and then again when they were in year 10. The authors reported that girls felt there was inequality in the maths and physics education and that their class teacher had a significant impact on their feelings about the subject. The surveys also indicated that “high-aspiring girls” were less likely to receive parental and teacher encouragement to progress to post-16 maths and physics than “high-aspiring boys”. While this is a large study, it is not without its limitations in relation to the present research in that it does not consider “science” as a whole, and nor does it consider the socio-economic, ethnic or other impacts.The findings of Mujtaba and Reiss contradict the findings of Archer </w:t>
      </w:r>
      <w:r>
        <w:rPr>
          <w:i/>
          <w:sz w:val="24"/>
          <w:szCs w:val="24"/>
        </w:rPr>
        <w:t>et al</w:t>
      </w:r>
      <w:r>
        <w:rPr>
          <w:sz w:val="24"/>
          <w:szCs w:val="24"/>
        </w:rPr>
        <w:t xml:space="preserve">. (2013) who found that female students felt that their parents valued a science education. This being said, the study by Archer </w:t>
      </w:r>
      <w:r>
        <w:rPr>
          <w:i/>
          <w:sz w:val="24"/>
          <w:szCs w:val="24"/>
        </w:rPr>
        <w:t>et al.</w:t>
      </w:r>
      <w:r>
        <w:rPr>
          <w:sz w:val="24"/>
          <w:szCs w:val="24"/>
        </w:rPr>
        <w:t xml:space="preserve"> involved much younger students and so the attitudes of parents towards science in compulsory education may differ to those attitudes about post-16 science education. It is hoped that this gap in knowledge may be addressed through the present research. </w:t>
      </w:r>
    </w:p>
    <w:p>
      <w:pPr>
        <w:spacing w:after="160" w:line="259" w:lineRule="auto"/>
        <w:rPr>
          <w:sz w:val="24"/>
          <w:szCs w:val="24"/>
        </w:rPr>
      </w:pPr>
      <w:r>
        <w:rPr>
          <w:sz w:val="24"/>
          <w:szCs w:val="24"/>
        </w:rPr>
        <w:t xml:space="preserve">The role of the science teacher in influencing the gender imbalances in the classroom has been considered by several authors. Plucker (1996) and Zohar and Bronshtein (2005) found that teachers generally have only a limited understanding of the research into gender issues and a similarly limited knowledge of and experience with gender-inclusive practices. Weinburgh (1995) earlier argued that teachers must reflect upon their own views on gender imbalances in science in order to better implement gender-inclusive practices. A key role of the teacher may be in challenging preconceived ideas about what a scientist looks like and making alternative scientist identities accessible to their students (Hatchell, 1998). The current picture in Wales aligns with the views of these authors as teachers are required to be research-informed practitioners who are highly reflective and constantly develop their professional learning (Welsh Government, 2017). Although the present research is not concerned with the views of the teacher in so much that no teacher interviews are included, the influence of the teachers’ beliefs in terms of the level of encouragement students deem them to give, may play a role. </w:t>
      </w:r>
    </w:p>
    <w:p>
      <w:pPr>
        <w:spacing w:after="160" w:line="259" w:lineRule="auto"/>
        <w:rPr>
          <w:sz w:val="24"/>
          <w:szCs w:val="24"/>
        </w:rPr>
      </w:pPr>
    </w:p>
    <w:p>
      <w:pPr>
        <w:rPr>
          <w:b/>
          <w:i/>
          <w:sz w:val="24"/>
          <w:szCs w:val="24"/>
        </w:rPr>
      </w:pPr>
      <w:r>
        <w:rPr>
          <w:b/>
          <w:i/>
          <w:sz w:val="24"/>
          <w:szCs w:val="24"/>
        </w:rPr>
        <w:t>Encouragement from parents</w:t>
      </w:r>
    </w:p>
    <w:p>
      <w:pPr>
        <w:rPr>
          <w:sz w:val="24"/>
          <w:szCs w:val="24"/>
        </w:rPr>
      </w:pPr>
    </w:p>
    <w:p>
      <w:pPr>
        <w:rPr>
          <w:sz w:val="24"/>
          <w:szCs w:val="24"/>
        </w:rPr>
      </w:pPr>
      <w:r>
        <w:rPr>
          <w:sz w:val="24"/>
          <w:szCs w:val="24"/>
        </w:rPr>
        <w:t xml:space="preserve">It has already been noted that Archer </w:t>
      </w:r>
      <w:r>
        <w:rPr>
          <w:i/>
          <w:sz w:val="24"/>
          <w:szCs w:val="24"/>
        </w:rPr>
        <w:t>et al</w:t>
      </w:r>
      <w:r>
        <w:rPr>
          <w:sz w:val="24"/>
          <w:szCs w:val="24"/>
        </w:rPr>
        <w:t xml:space="preserve">, (2013) found that in a primary school where over 70% of girls aged 10-11 years enjoyed science lessons and extracurricular science activities, the girls in question felt that their parents valued science. By contrast, Mujtaba and Reiss (2016), as cited above, reported that “high-aspiring girls'' were less likely to receive parental and teacher encouragement to progress to post-16 maths and physics than “high-aspiring boys”. This is echoed by Andre </w:t>
      </w:r>
      <w:r>
        <w:rPr>
          <w:i/>
          <w:sz w:val="24"/>
          <w:szCs w:val="24"/>
        </w:rPr>
        <w:t>et al</w:t>
      </w:r>
      <w:r>
        <w:rPr>
          <w:sz w:val="24"/>
          <w:szCs w:val="24"/>
        </w:rPr>
        <w:t xml:space="preserve">. (2000) who posited that parents have higher expectations of boys than girls in their science education and that succeeding in science is of greater importance for boys. These findings, when taken together, are mixed and raise the question of how much value parents place on a post-16 education in biology and chemistry. Furthermore it is unclear why female primary school students may feel that their parents value a career in science but that this changes by the time they reach secondary school. The present research, in part, deals with the three sciences separately in an effort to close these gaps in our understanding. </w:t>
      </w:r>
    </w:p>
    <w:p>
      <w:pPr>
        <w:rPr>
          <w:sz w:val="24"/>
          <w:szCs w:val="24"/>
        </w:rPr>
      </w:pPr>
    </w:p>
    <w:p>
      <w:pPr>
        <w:rPr>
          <w:b/>
          <w:i/>
          <w:sz w:val="24"/>
          <w:szCs w:val="24"/>
        </w:rPr>
      </w:pPr>
      <w:r>
        <w:rPr>
          <w:b/>
          <w:i/>
          <w:sz w:val="24"/>
          <w:szCs w:val="24"/>
        </w:rPr>
        <w:t>Whole school environment</w:t>
      </w:r>
    </w:p>
    <w:p>
      <w:pPr>
        <w:rPr>
          <w:sz w:val="24"/>
          <w:szCs w:val="24"/>
        </w:rPr>
      </w:pPr>
    </w:p>
    <w:p>
      <w:pPr>
        <w:rPr>
          <w:sz w:val="24"/>
          <w:szCs w:val="24"/>
        </w:rPr>
      </w:pPr>
      <w:r>
        <w:rPr>
          <w:sz w:val="24"/>
          <w:szCs w:val="24"/>
        </w:rPr>
        <w:t xml:space="preserve">Studies conducted by the Institute of Physics have concluded that gender disparities in Physics A Level uptake are significantly impacted by and can be addressed through the “whole school environment” (Institute of Physics, 2017; Institute of Physics, 2013). The whole school environment involves the input and the attitudes of class teachers, governors, school leaders, parents and students. The Drayson Girls in Physics Pilot Project, aimed at addressing the gender imbalance in A Level Physics, involved educating all of the aforementioned groups in the gender imbalance, providing training and utilising data, and found that the number of girls taking A Level Physics rose from 16 to 52 over a period of two years (Institute of Physics, 2017). The Institute of Physics (2013) had previously discussed the relevance of the whole school environment and noted that where gender imbalances in Physics were echoed by gender imbalances in other subjects, within a school, it suggested an issue with the whole school environment. Furthermore, they report that a limited number of schools have demonstrated that it is possible to tackle and improve gender imbalances in A Level uptake. Although an interesting finding, the inclusion of this theme in the present research would have required a large scale collection and analysis of data across all subjects. As such, these findings are presented here as a reminder that there may be numerous other factors at play and that themes, such as the whole school environment, may need to be considered in light of the data collected, but not investigated directly.  </w:t>
      </w:r>
    </w:p>
    <w:p>
      <w:pPr>
        <w:rPr>
          <w:i/>
          <w:sz w:val="24"/>
          <w:szCs w:val="24"/>
        </w:rPr>
      </w:pPr>
    </w:p>
    <w:p>
      <w:pPr>
        <w:rPr>
          <w:b/>
          <w:i/>
          <w:sz w:val="24"/>
          <w:szCs w:val="24"/>
        </w:rPr>
      </w:pPr>
      <w:r>
        <w:rPr>
          <w:b/>
          <w:i/>
          <w:sz w:val="24"/>
          <w:szCs w:val="24"/>
        </w:rPr>
        <w:t>Ability</w:t>
      </w:r>
    </w:p>
    <w:p>
      <w:pPr>
        <w:rPr>
          <w:sz w:val="24"/>
          <w:szCs w:val="24"/>
        </w:rPr>
      </w:pPr>
    </w:p>
    <w:p>
      <w:pPr>
        <w:spacing w:after="160" w:line="259" w:lineRule="auto"/>
        <w:rPr>
          <w:sz w:val="24"/>
          <w:szCs w:val="24"/>
        </w:rPr>
      </w:pPr>
      <w:r>
        <w:rPr>
          <w:sz w:val="24"/>
          <w:szCs w:val="24"/>
        </w:rPr>
        <w:t xml:space="preserve">The gender gap in Physics A Level uptake is perhaps most interesting when one considers that male and female students have historically performed equally well at science GCSEs (Joint Council for Qualifications, 2014). The data presented in Table 1 shows that in the most recent set of GCSE results (based on teacher assessment) boys only narrowly outperformed girls, in Wales, and a larger percentage of female Physics A Level Candidates achieved the top grade than male Physics A Level candidates. </w:t>
      </w:r>
    </w:p>
    <w:p>
      <w:pPr>
        <w:spacing w:after="160" w:line="259" w:lineRule="auto"/>
        <w:rPr>
          <w:sz w:val="24"/>
          <w:szCs w:val="24"/>
        </w:rPr>
      </w:pPr>
      <w:r>
        <w:rPr>
          <w:sz w:val="24"/>
          <w:szCs w:val="24"/>
        </w:rPr>
        <w:t xml:space="preserve">Studies conducted in several different countries have found sex differences in ability to answer questions, with males being more likely to correctly answer physics questions (Bell, 2001; Burkan, Lee and Smerdon, 1997) although this is a contradiction of the above findings and may be the result of the value different societies place on physics education for males and females. </w:t>
      </w:r>
    </w:p>
    <w:p>
      <w:pPr>
        <w:spacing w:after="160" w:line="259" w:lineRule="auto"/>
        <w:rPr>
          <w:i/>
          <w:sz w:val="24"/>
          <w:szCs w:val="24"/>
        </w:rPr>
      </w:pPr>
      <w:r>
        <w:rPr>
          <w:sz w:val="24"/>
          <w:szCs w:val="24"/>
        </w:rPr>
        <w:t xml:space="preserve">Other studies have focused not on students’ ability in science, rather their perceived ability in science. Research conducted with students ranging in age, from several different countries, came to the common conclusion that girls display an attitude towards science that is either less positive than their male counterparts or is more likely to decline significantly with age (Catsambis, 1995; Greenfield 1997; Jones, Porter and Young, 1996; Jones and Young, 1995; Lee and Burkham, 1996; Reid, 2003; Weinburgh, 1995). Furthermore, girls have been reported as perceiving science to be a difficult and/or uninteresting subject that leads to an “unattractive lifestyle” (Huffman </w:t>
      </w:r>
      <w:r>
        <w:rPr>
          <w:i/>
          <w:sz w:val="24"/>
          <w:szCs w:val="24"/>
        </w:rPr>
        <w:t>et al</w:t>
      </w:r>
      <w:r>
        <w:rPr>
          <w:sz w:val="24"/>
          <w:szCs w:val="24"/>
        </w:rPr>
        <w:t xml:space="preserve">., 1997; Jones, Howe and Rua, 2000; Miller, Blessing and Schwartz, 2006).  This is an echo of the previously discussed study by Archer </w:t>
      </w:r>
      <w:r>
        <w:rPr>
          <w:i/>
          <w:sz w:val="24"/>
          <w:szCs w:val="24"/>
        </w:rPr>
        <w:t>et al</w:t>
      </w:r>
      <w:r>
        <w:rPr>
          <w:sz w:val="24"/>
          <w:szCs w:val="24"/>
        </w:rPr>
        <w:t xml:space="preserve">. (2013). Interestingly, some authors have reported that a student’s enjoyment of science is not necessarily linked to their perceived competence, and that girls’ perceptions of their ability in science is lower than the perceptions of boys, even if those girls enjoy science (Andre </w:t>
      </w:r>
      <w:r>
        <w:rPr>
          <w:i/>
          <w:sz w:val="24"/>
          <w:szCs w:val="24"/>
        </w:rPr>
        <w:t>et al.</w:t>
      </w:r>
      <w:r>
        <w:rPr>
          <w:sz w:val="24"/>
          <w:szCs w:val="24"/>
        </w:rPr>
        <w:t xml:space="preserve">, 1999; Jovanovic and Steinbach King, 1988). It should be noted that both male and female students may perceive science to be “too difficult” with Carlone (2004) reporting that both sexes expressed the view that only innately “smart people” would be able to excel in science. </w:t>
      </w:r>
    </w:p>
    <w:p>
      <w:pPr>
        <w:rPr>
          <w:i/>
          <w:sz w:val="24"/>
          <w:szCs w:val="24"/>
        </w:rPr>
      </w:pPr>
    </w:p>
    <w:p>
      <w:pPr>
        <w:rPr>
          <w:b/>
          <w:i/>
          <w:sz w:val="24"/>
          <w:szCs w:val="24"/>
        </w:rPr>
      </w:pPr>
      <w:r>
        <w:rPr>
          <w:b/>
          <w:i/>
          <w:sz w:val="24"/>
          <w:szCs w:val="24"/>
        </w:rPr>
        <w:t>Is there a link to Free School Meals (FSM)?</w:t>
      </w:r>
    </w:p>
    <w:p>
      <w:pPr>
        <w:rPr>
          <w:i/>
          <w:sz w:val="24"/>
          <w:szCs w:val="24"/>
        </w:rPr>
      </w:pPr>
    </w:p>
    <w:p>
      <w:pPr>
        <w:rPr>
          <w:sz w:val="24"/>
          <w:szCs w:val="24"/>
        </w:rPr>
      </w:pPr>
      <w:r>
        <w:rPr>
          <w:sz w:val="24"/>
          <w:szCs w:val="24"/>
        </w:rPr>
        <w:t xml:space="preserve">The Institute of Physics (2013) has previously reported that there is no significant relationship between a school’s gender imbalance in STEM subjects and its number of students receiving Free School Meals. This claim is not easily verifiable as GCSE and A Level results analyses do not typically address the relationship between the two, although they do routinely cite that girls outperform boys and non-FSM students outperform FSM students (Department of Education, 2018). It is worth noting here that the aforementioned attainment gap between FSM and non-FSM students extends beyond just science subjects. There is, however, evidence in the literature that boys are more adversely affected by socioeconomic disadvantage than girls (Friedman-Soluker and Justman, 2016; Justman and Mendez, 2018). As with the impact of the whole school environment, the potential link to free school meals has not been directly investigated in the present research but may be considered as an additional factor influencing the results. </w:t>
      </w:r>
    </w:p>
    <w:p>
      <w:pPr>
        <w:rPr>
          <w:sz w:val="24"/>
          <w:szCs w:val="24"/>
        </w:rPr>
      </w:pPr>
    </w:p>
    <w:p>
      <w:pPr>
        <w:rPr>
          <w:i/>
          <w:sz w:val="24"/>
          <w:szCs w:val="24"/>
        </w:rPr>
      </w:pPr>
    </w:p>
    <w:p>
      <w:pPr>
        <w:rPr>
          <w:b/>
          <w:i/>
          <w:sz w:val="24"/>
          <w:szCs w:val="24"/>
        </w:rPr>
      </w:pPr>
      <w:r>
        <w:rPr>
          <w:b/>
          <w:i/>
          <w:sz w:val="24"/>
          <w:szCs w:val="24"/>
        </w:rPr>
        <w:t>Factors affecting males and females/type of school</w:t>
      </w:r>
    </w:p>
    <w:p>
      <w:pPr>
        <w:rPr>
          <w:sz w:val="24"/>
          <w:szCs w:val="24"/>
        </w:rPr>
      </w:pPr>
    </w:p>
    <w:p>
      <w:pPr>
        <w:spacing w:after="160" w:line="259" w:lineRule="auto"/>
        <w:rPr>
          <w:sz w:val="24"/>
          <w:szCs w:val="24"/>
        </w:rPr>
      </w:pPr>
      <w:r>
        <w:rPr>
          <w:sz w:val="24"/>
          <w:szCs w:val="24"/>
        </w:rPr>
        <w:t xml:space="preserve">A student’s decision to pursue a post-16 science education, or not, may be influenced by the type of school they attend (Institute of Physics, 2018). The Institute of Physics (2018, p14) reports that there is a gulf between co-educational maintained schools and single-sex maintained schools: “the proportion of schools sending no girls to A Level Physics is almost four times higher in co-educational maintained schools than single-sex maintained schools”. The Institute of Physics (2013) has previously found that there are significant differences in the degree of gender imbalance in schools between regions and local authorities. The present study will involve students in a co-educational maintained school in Swansea.   </w:t>
      </w:r>
    </w:p>
    <w:p>
      <w:pPr>
        <w:spacing w:after="160" w:line="259" w:lineRule="auto"/>
        <w:rPr>
          <w:sz w:val="24"/>
          <w:szCs w:val="24"/>
        </w:rPr>
      </w:pPr>
    </w:p>
    <w:p>
      <w:pPr>
        <w:spacing w:after="160" w:line="259" w:lineRule="auto"/>
        <w:rPr>
          <w:b/>
          <w:i/>
          <w:sz w:val="24"/>
          <w:szCs w:val="24"/>
        </w:rPr>
      </w:pPr>
      <w:r>
        <w:rPr>
          <w:b/>
          <w:i/>
          <w:sz w:val="24"/>
          <w:szCs w:val="24"/>
        </w:rPr>
        <w:t>Acknowledgement of how gender interacts with other factors eg. ethnicity and wealth</w:t>
      </w:r>
    </w:p>
    <w:p>
      <w:pPr>
        <w:spacing w:after="160" w:line="259" w:lineRule="auto"/>
        <w:rPr>
          <w:sz w:val="24"/>
          <w:szCs w:val="24"/>
        </w:rPr>
      </w:pPr>
      <w:r>
        <w:rPr>
          <w:sz w:val="24"/>
          <w:szCs w:val="24"/>
        </w:rPr>
        <w:t xml:space="preserve">At this stage it is important to acknowledge that while gender is a key part to a young person’s identity, it is not the only relevant factor when considering their science education and that gender interactions with ethnicity, religion, socio-economic background and language should all be considered (Brotman and Moore, 2008). Brotman and Moore cite previous criticism that “gender issues in science” are concerned predominantly with white females and ignore other, aforementioned, aspects of a young person’s identity. This tendency to group all female students, with the same perceived feminine characteristics, was noted by Brickhouse, Lowery and Schultz (2000) who argued that if we are to make progress in understanding the gender gap in science then we need to “know more than they are girls'' and consider “what kind of girls they are”. </w:t>
      </w:r>
      <w:r>
        <w:rPr>
          <w:i/>
          <w:sz w:val="24"/>
          <w:szCs w:val="24"/>
        </w:rPr>
        <w:t xml:space="preserve"> </w:t>
      </w:r>
      <w:r>
        <w:rPr>
          <w:sz w:val="24"/>
          <w:szCs w:val="24"/>
        </w:rPr>
        <w:t xml:space="preserve">An anticipated feature of this research is that data will be provided, in some instances, from young people who identify with a gender that is different from the one assigned at birth, or as non-binary. With very little research available as to the academic performance of such individuals, especially in their science education, no theories or hypotheses will be postulated here. </w:t>
      </w:r>
    </w:p>
    <w:p>
      <w:pPr>
        <w:spacing w:line="240" w:lineRule="auto"/>
        <w:rPr>
          <w:b/>
          <w:sz w:val="24"/>
          <w:szCs w:val="24"/>
        </w:rPr>
      </w:pPr>
      <w:r>
        <w:rPr>
          <w:b/>
          <w:sz w:val="24"/>
          <w:szCs w:val="24"/>
        </w:rPr>
        <w:t>Chapter 3</w:t>
      </w:r>
    </w:p>
    <w:p>
      <w:pPr>
        <w:spacing w:line="240" w:lineRule="auto"/>
        <w:rPr>
          <w:sz w:val="24"/>
          <w:szCs w:val="24"/>
        </w:rPr>
      </w:pPr>
      <w:r>
        <w:rPr>
          <w:b/>
          <w:sz w:val="24"/>
          <w:szCs w:val="24"/>
        </w:rPr>
        <w:t xml:space="preserve">METHODOLOGY </w:t>
      </w:r>
    </w:p>
    <w:p>
      <w:pPr>
        <w:spacing w:after="160" w:line="259" w:lineRule="auto"/>
        <w:rPr>
          <w:b/>
          <w:sz w:val="24"/>
          <w:szCs w:val="24"/>
          <w:u w:val="single"/>
        </w:rPr>
      </w:pPr>
    </w:p>
    <w:p>
      <w:pPr>
        <w:spacing w:after="160" w:line="259" w:lineRule="auto"/>
        <w:rPr>
          <w:b/>
          <w:i/>
          <w:sz w:val="24"/>
          <w:szCs w:val="24"/>
        </w:rPr>
      </w:pPr>
      <w:r>
        <w:rPr>
          <w:b/>
          <w:i/>
          <w:sz w:val="24"/>
          <w:szCs w:val="24"/>
        </w:rPr>
        <w:t>Introduction</w:t>
      </w:r>
    </w:p>
    <w:p>
      <w:pPr>
        <w:spacing w:after="160" w:line="259" w:lineRule="auto"/>
        <w:rPr>
          <w:sz w:val="24"/>
          <w:szCs w:val="24"/>
        </w:rPr>
      </w:pPr>
      <w:r>
        <w:rPr>
          <w:sz w:val="24"/>
          <w:szCs w:val="24"/>
        </w:rPr>
        <w:t>The four research objectives identified in Chapter 1 were adapted into the following research questions:</w:t>
      </w:r>
    </w:p>
    <w:p>
      <w:pPr>
        <w:numPr>
          <w:ilvl w:val="0"/>
          <w:numId w:val="28"/>
        </w:numPr>
        <w:spacing w:line="259" w:lineRule="auto"/>
        <w:rPr>
          <w:sz w:val="24"/>
          <w:szCs w:val="24"/>
        </w:rPr>
      </w:pPr>
      <w:r>
        <w:rPr>
          <w:sz w:val="24"/>
          <w:szCs w:val="24"/>
        </w:rPr>
        <w:t>What factors encourage students to study science A Levels?</w:t>
      </w:r>
    </w:p>
    <w:p>
      <w:pPr>
        <w:numPr>
          <w:ilvl w:val="0"/>
          <w:numId w:val="28"/>
        </w:numPr>
        <w:spacing w:line="259" w:lineRule="auto"/>
        <w:rPr>
          <w:sz w:val="24"/>
          <w:szCs w:val="24"/>
        </w:rPr>
      </w:pPr>
      <w:r>
        <w:rPr>
          <w:sz w:val="24"/>
          <w:szCs w:val="24"/>
        </w:rPr>
        <w:t>What factors discourage students from studying science A Levels?</w:t>
      </w:r>
    </w:p>
    <w:p>
      <w:pPr>
        <w:numPr>
          <w:ilvl w:val="0"/>
          <w:numId w:val="28"/>
        </w:numPr>
        <w:spacing w:line="259" w:lineRule="auto"/>
        <w:rPr>
          <w:sz w:val="24"/>
          <w:szCs w:val="24"/>
        </w:rPr>
      </w:pPr>
      <w:r>
        <w:rPr>
          <w:sz w:val="24"/>
          <w:szCs w:val="24"/>
        </w:rPr>
        <w:t>Are there differences between male and female attitudes towards studying science and, if so, what are they?</w:t>
      </w:r>
    </w:p>
    <w:p>
      <w:pPr>
        <w:numPr>
          <w:ilvl w:val="0"/>
          <w:numId w:val="28"/>
        </w:numPr>
        <w:spacing w:after="160" w:line="259" w:lineRule="auto"/>
        <w:rPr>
          <w:sz w:val="24"/>
          <w:szCs w:val="24"/>
        </w:rPr>
      </w:pPr>
      <w:r>
        <w:rPr>
          <w:sz w:val="24"/>
          <w:szCs w:val="24"/>
        </w:rPr>
        <w:t>Are there differences between male and female attitudes towards studying physics and, if so, what are they?</w:t>
      </w:r>
    </w:p>
    <w:p>
      <w:pPr>
        <w:spacing w:after="160" w:line="259" w:lineRule="auto"/>
        <w:rPr>
          <w:sz w:val="24"/>
          <w:szCs w:val="24"/>
        </w:rPr>
      </w:pPr>
      <w:r>
        <w:rPr>
          <w:sz w:val="24"/>
          <w:szCs w:val="24"/>
        </w:rPr>
        <w:t>The research questions posed were addressed through a combination of open and closed questions asked of students via a questionnaire, followed up with a focus group involving a smaller sample of students.</w:t>
      </w:r>
      <w:r>
        <w:rPr>
          <w:color w:val="9900FF"/>
          <w:sz w:val="24"/>
          <w:szCs w:val="24"/>
        </w:rPr>
        <w:t xml:space="preserve"> </w:t>
      </w:r>
      <w:r>
        <w:rPr>
          <w:sz w:val="24"/>
          <w:szCs w:val="24"/>
        </w:rPr>
        <w:t xml:space="preserve">A questionnaire was chosen as an instrument for data collection as both quantitative and qualitative data could be collected and the participants could be offered anonymity (Kumar, 2019; Cohen </w:t>
      </w:r>
      <w:r>
        <w:rPr>
          <w:i/>
          <w:sz w:val="24"/>
          <w:szCs w:val="24"/>
        </w:rPr>
        <w:t>et al</w:t>
      </w:r>
      <w:r>
        <w:rPr>
          <w:sz w:val="24"/>
          <w:szCs w:val="24"/>
        </w:rPr>
        <w:t xml:space="preserve">., 2018). Any limitations imposed on the participants’ ability to express themselves fully and authentically within the constraints of a questionnaire (Cohen </w:t>
      </w:r>
      <w:r>
        <w:rPr>
          <w:i/>
          <w:sz w:val="24"/>
          <w:szCs w:val="24"/>
        </w:rPr>
        <w:t>et al</w:t>
      </w:r>
      <w:r>
        <w:rPr>
          <w:sz w:val="24"/>
          <w:szCs w:val="24"/>
        </w:rPr>
        <w:t xml:space="preserve">., 2018) were addressed via the offer of participation in a focus group. </w:t>
      </w:r>
      <w:r>
        <w:rPr>
          <w:color w:val="9900FF"/>
          <w:sz w:val="24"/>
          <w:szCs w:val="24"/>
        </w:rPr>
        <w:t xml:space="preserve"> </w:t>
      </w:r>
      <w:r>
        <w:rPr>
          <w:sz w:val="24"/>
          <w:szCs w:val="24"/>
        </w:rPr>
        <w:t>The research was conducted in a maintained coeducational school in South Wales and comprised students studying science in Key Stage 4 and Key Stage 5.</w:t>
      </w:r>
      <w:r>
        <w:rPr>
          <w:color w:val="9900FF"/>
          <w:sz w:val="24"/>
          <w:szCs w:val="24"/>
        </w:rPr>
        <w:t xml:space="preserve"> </w:t>
      </w:r>
      <w:r>
        <w:rPr>
          <w:sz w:val="24"/>
          <w:szCs w:val="24"/>
        </w:rPr>
        <w:t xml:space="preserve">The remainder of this chapter will deal with the questionnaire and focus groups separately. </w:t>
      </w:r>
    </w:p>
    <w:p>
      <w:pPr>
        <w:spacing w:after="160" w:line="259" w:lineRule="auto"/>
        <w:rPr>
          <w:b/>
          <w:i/>
          <w:sz w:val="24"/>
          <w:szCs w:val="24"/>
        </w:rPr>
      </w:pPr>
      <w:r>
        <w:rPr>
          <w:b/>
          <w:i/>
          <w:sz w:val="24"/>
          <w:szCs w:val="24"/>
        </w:rPr>
        <w:t>Questionnaire sample</w:t>
      </w:r>
    </w:p>
    <w:p>
      <w:pPr>
        <w:spacing w:after="160" w:line="259" w:lineRule="auto"/>
        <w:rPr>
          <w:sz w:val="24"/>
          <w:szCs w:val="24"/>
        </w:rPr>
      </w:pPr>
      <w:r>
        <w:rPr>
          <w:sz w:val="24"/>
          <w:szCs w:val="24"/>
        </w:rPr>
        <w:t>The Key Stage 4 sample comprised 36 15-16-year-old students, including a sample of 3 students who completed the pilot questionnaire, who, at the time of the research, were studying Triple Science or Science Double Award (Higher Tier) GCSEs. Only students studying these qualifications were selected to take part in this research as those students studying at foundation level typically do not meet the entry requirements for science A Levels. The Key Stage 5 sample comprised 13 16-18 year old students, including 2 students who completed the pilot questionnaire, who, at the time of completing the research, were studying at least one from Biology, Chemistry and Physics at AS or A Level.</w:t>
      </w:r>
      <w:r>
        <w:rPr>
          <w:color w:val="9900FF"/>
          <w:sz w:val="24"/>
          <w:szCs w:val="24"/>
        </w:rPr>
        <w:t xml:space="preserve"> </w:t>
      </w:r>
      <w:r>
        <w:rPr>
          <w:sz w:val="24"/>
          <w:szCs w:val="24"/>
        </w:rPr>
        <w:t xml:space="preserve">The participants were made aware of the research during their science lesson. The researcher spoke to them and the methods and purpose of the research explained. Following the gaining of informed consent (see Appendix 1 for Ethical Approval Form), the questionnaires were completed either during a morning tutorial or, where the researcher taught the student, during part of a science lesson.  The researcher was present in each case for the Key Stage 4 sample, in an effort to minimise the number of questions left blank or misunderstood. Although it is acknowledged that having the researcher present may have added undue pressure to the participants to answer in a certain way, thus potentially making the results less valid (Strange </w:t>
      </w:r>
      <w:r>
        <w:rPr>
          <w:i/>
          <w:sz w:val="24"/>
          <w:szCs w:val="24"/>
        </w:rPr>
        <w:t>et al</w:t>
      </w:r>
      <w:r>
        <w:rPr>
          <w:sz w:val="24"/>
          <w:szCs w:val="24"/>
        </w:rPr>
        <w:t xml:space="preserve">, 2003), the benefit of having the researcher present to clarify any misunderstanding was deemed to outweigh this risk (Krosnick and Presser, 2010). Furthermore, participants were assured of their freedom to express honest opinions, without judgment from the researcher (see Appendix 1 for Ethical Approval Form). Some Key Stage 5 students completed the questionnaire in their own time, in the absence of the researcher, as this was more appropriate for their schedules. </w:t>
      </w:r>
    </w:p>
    <w:p>
      <w:pPr>
        <w:spacing w:after="160" w:line="259" w:lineRule="auto"/>
        <w:rPr>
          <w:b/>
          <w:i/>
          <w:sz w:val="24"/>
          <w:szCs w:val="24"/>
        </w:rPr>
      </w:pPr>
      <w:r>
        <w:rPr>
          <w:b/>
          <w:i/>
          <w:sz w:val="24"/>
          <w:szCs w:val="24"/>
        </w:rPr>
        <w:t>Operationalising the questionnaire</w:t>
      </w:r>
    </w:p>
    <w:p>
      <w:pPr>
        <w:spacing w:after="160" w:line="259" w:lineRule="auto"/>
        <w:rPr>
          <w:sz w:val="24"/>
          <w:szCs w:val="24"/>
        </w:rPr>
      </w:pPr>
      <w:r>
        <w:rPr>
          <w:sz w:val="24"/>
          <w:szCs w:val="24"/>
        </w:rPr>
        <w:t xml:space="preserve">In this section, the Key Stage 4 and 5 questionnaires will be discussed together, owing to their similarities (Appendices 4 &amp; 5). The Key Stage 4 questionnaire comprised 19 questions and the Key Stage 5 questionnaire comprised 12 questions. Questions 1-3 are the same in both questionnaires. Questions 4-10 are unique to the Key Stage 4 questionnaire as they discuss the respondent’s likelihood of selecting science A Levels in the future. Questions 11-19 are the same in both questionnaires. </w:t>
      </w:r>
    </w:p>
    <w:p>
      <w:pPr>
        <w:spacing w:after="160" w:line="259" w:lineRule="auto"/>
        <w:rPr>
          <w:sz w:val="24"/>
          <w:szCs w:val="24"/>
        </w:rPr>
      </w:pPr>
      <w:r>
        <w:rPr>
          <w:sz w:val="24"/>
          <w:szCs w:val="24"/>
        </w:rPr>
        <w:t xml:space="preserve">A pilot was conducted of both the Key Stage 4 and Key Stage 5 questionnaire, in an effort to reduce any ambiguity and increase the validity and reliability of students’ responses by ensuring that questions were clear and accessible (Cohen </w:t>
      </w:r>
      <w:r>
        <w:rPr>
          <w:i/>
          <w:sz w:val="24"/>
          <w:szCs w:val="24"/>
        </w:rPr>
        <w:t>et al</w:t>
      </w:r>
      <w:r>
        <w:rPr>
          <w:sz w:val="24"/>
          <w:szCs w:val="24"/>
        </w:rPr>
        <w:t xml:space="preserve">., 2018). As a result of the pilot questionnaire, the following issues were identified and amended, prior to disseminating the questionnaire to the research sample. </w:t>
      </w:r>
    </w:p>
    <w:p>
      <w:pPr>
        <w:spacing w:after="160" w:line="259" w:lineRule="auto"/>
        <w:rPr>
          <w:sz w:val="24"/>
          <w:szCs w:val="24"/>
        </w:rPr>
      </w:pP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0"/>
        <w:gridCol w:w="1320"/>
        <w:gridCol w:w="3615"/>
        <w:gridCol w:w="2925"/>
      </w:tblGrid>
      <w:tr>
        <w:tc>
          <w:tcPr>
            <w:tcW w:w="15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Key Stage</w:t>
            </w:r>
          </w:p>
        </w:tc>
        <w:tc>
          <w:tcPr>
            <w:tcW w:w="13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w:t>
            </w:r>
          </w:p>
        </w:tc>
        <w:tc>
          <w:tcPr>
            <w:tcW w:w="361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Issue</w:t>
            </w:r>
          </w:p>
        </w:tc>
        <w:tc>
          <w:tcPr>
            <w:tcW w:w="29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Amendment</w:t>
            </w:r>
          </w:p>
        </w:tc>
      </w:tr>
      <w:tr>
        <w:tc>
          <w:tcPr>
            <w:tcW w:w="15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w:t>
            </w:r>
          </w:p>
        </w:tc>
        <w:tc>
          <w:tcPr>
            <w:tcW w:w="13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3</w:t>
            </w:r>
          </w:p>
        </w:tc>
        <w:tc>
          <w:tcPr>
            <w:tcW w:w="361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Science Double Award missing from subject list *</w:t>
            </w:r>
          </w:p>
        </w:tc>
        <w:tc>
          <w:tcPr>
            <w:tcW w:w="29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Science Double Award added</w:t>
            </w:r>
          </w:p>
        </w:tc>
      </w:tr>
      <w:tr>
        <w:tc>
          <w:tcPr>
            <w:tcW w:w="15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w:t>
            </w:r>
          </w:p>
        </w:tc>
        <w:tc>
          <w:tcPr>
            <w:tcW w:w="13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3</w:t>
            </w:r>
          </w:p>
        </w:tc>
        <w:tc>
          <w:tcPr>
            <w:tcW w:w="361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Additional Maths missing from subject list</w:t>
            </w:r>
          </w:p>
        </w:tc>
        <w:tc>
          <w:tcPr>
            <w:tcW w:w="29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 xml:space="preserve">Additional Maths added </w:t>
            </w:r>
          </w:p>
        </w:tc>
      </w:tr>
      <w:tr>
        <w:tc>
          <w:tcPr>
            <w:tcW w:w="15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w:t>
            </w:r>
          </w:p>
        </w:tc>
        <w:tc>
          <w:tcPr>
            <w:tcW w:w="13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16</w:t>
            </w:r>
          </w:p>
        </w:tc>
        <w:tc>
          <w:tcPr>
            <w:tcW w:w="361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A student was considering a career in psychology and wasn’t sure whether this applied to the question</w:t>
            </w:r>
          </w:p>
        </w:tc>
        <w:tc>
          <w:tcPr>
            <w:tcW w:w="29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 xml:space="preserve">Clarification added that “Science” in this question, referred only to biology, chemistry and physics. </w:t>
            </w:r>
          </w:p>
        </w:tc>
      </w:tr>
      <w:tr>
        <w:tc>
          <w:tcPr>
            <w:tcW w:w="15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w:t>
            </w:r>
          </w:p>
        </w:tc>
        <w:tc>
          <w:tcPr>
            <w:tcW w:w="13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3</w:t>
            </w:r>
          </w:p>
        </w:tc>
        <w:tc>
          <w:tcPr>
            <w:tcW w:w="361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Modern Foreign Languages missing from subject list</w:t>
            </w:r>
          </w:p>
        </w:tc>
        <w:tc>
          <w:tcPr>
            <w:tcW w:w="29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Modern Foreign Languages added</w:t>
            </w:r>
          </w:p>
        </w:tc>
      </w:tr>
    </w:tbl>
    <w:p>
      <w:pPr>
        <w:spacing w:after="160" w:line="259" w:lineRule="auto"/>
        <w:rPr>
          <w:i/>
          <w:sz w:val="24"/>
          <w:szCs w:val="24"/>
        </w:rPr>
      </w:pPr>
      <w:r>
        <w:rPr>
          <w:i/>
          <w:sz w:val="24"/>
          <w:szCs w:val="24"/>
        </w:rPr>
        <w:t xml:space="preserve">Table 4: Pilot questionnaire issues and solutions </w:t>
      </w:r>
    </w:p>
    <w:p>
      <w:pPr>
        <w:spacing w:after="160" w:line="259" w:lineRule="auto"/>
        <w:rPr>
          <w:i/>
          <w:sz w:val="24"/>
          <w:szCs w:val="24"/>
        </w:rPr>
      </w:pPr>
      <w:r>
        <w:rPr>
          <w:sz w:val="24"/>
          <w:szCs w:val="24"/>
        </w:rPr>
        <w:t>*</w:t>
      </w:r>
      <w:r>
        <w:rPr>
          <w:i/>
          <w:sz w:val="24"/>
          <w:szCs w:val="24"/>
        </w:rPr>
        <w:t xml:space="preserve">At the time of producing the pilot questionnaire, the sample was planned to include Triple Science candidates only but this was altered after a Science Double Award candidate was inadvertently included in the pilot questionnaire and was deemed by the researcher to have offered valuable insights. </w:t>
      </w:r>
    </w:p>
    <w:p>
      <w:pPr>
        <w:spacing w:after="160" w:line="259" w:lineRule="auto"/>
        <w:rPr>
          <w:sz w:val="24"/>
          <w:szCs w:val="24"/>
        </w:rPr>
      </w:pPr>
    </w:p>
    <w:p>
      <w:pPr>
        <w:spacing w:after="160" w:line="259" w:lineRule="auto"/>
        <w:rPr>
          <w:sz w:val="24"/>
          <w:szCs w:val="24"/>
        </w:rPr>
      </w:pPr>
      <w:r>
        <w:rPr>
          <w:sz w:val="24"/>
          <w:szCs w:val="24"/>
        </w:rPr>
        <w:t xml:space="preserve">Questions 1-3 pertain to the students’ gender, year group and current studies and were addressed through simple multiple choice questions. The first question asks students to select their gender. As noted in Chapter 2, an anticipated feature of this research is the involvement of students who identify as a gender that differs to the one assigned to them at birth. As such the optional responses included “male, female, other, prefer not to say”. This research is not focussed on comparing the responses of males and females with those of students who select “other” or “prefer not to say”. During the research, a discussion with a student who does not identify as their birth gender indicated that they would select the gender that they now identify as, as opposed to “other” or “prefer not to say” and so their responses would be indistinguishable in any case. This being said, there is an argument for avoiding the use of “other” as it may imply that insufficient effort has been made on the part of the researcher to present all of the available options (Champagne, 2014). This viewpoint was considered earnestly but it was decided that “other” should be included in place of an exhaustive list. This decision was taken as the reader is reminded that the questionnaires were answered predominantly during science lessons and the researcher wished to avoid generating a conversation that would detract from, and was not the point of, the research and may have been potentially uncomfortable for some students. </w:t>
      </w:r>
    </w:p>
    <w:p>
      <w:pPr>
        <w:spacing w:after="160" w:line="259" w:lineRule="auto"/>
        <w:rPr>
          <w:sz w:val="24"/>
          <w:szCs w:val="24"/>
        </w:rPr>
      </w:pPr>
      <w:r>
        <w:rPr>
          <w:sz w:val="24"/>
          <w:szCs w:val="24"/>
        </w:rPr>
        <w:t xml:space="preserve">Question 3 asked students to select all of the subjects that they are currently studying. A review of the literature had not led to any proposed links between the study of certain subjects and a student’s likelihood to continue studying science and so this question was included to build a picture of the students included in the sample. </w:t>
      </w:r>
    </w:p>
    <w:p>
      <w:pPr>
        <w:spacing w:after="160" w:line="259" w:lineRule="auto"/>
        <w:rPr>
          <w:sz w:val="24"/>
          <w:szCs w:val="24"/>
        </w:rPr>
      </w:pPr>
      <w:r>
        <w:rPr>
          <w:sz w:val="24"/>
          <w:szCs w:val="24"/>
        </w:rPr>
        <w:t>Questions 4-10 in the Key Stage 4 questionnaire include Likert scale questions (Likert, 1932) that aim to answer, in part, research questions 3 and 4: “</w:t>
      </w:r>
      <w:r>
        <w:rPr>
          <w:i/>
          <w:sz w:val="24"/>
          <w:szCs w:val="24"/>
        </w:rPr>
        <w:t xml:space="preserve">Are there differences between male and female attitudes towards studying science and, if so, what are they?” </w:t>
      </w:r>
      <w:r>
        <w:rPr>
          <w:sz w:val="24"/>
          <w:szCs w:val="24"/>
        </w:rPr>
        <w:t>and “</w:t>
      </w:r>
      <w:r>
        <w:rPr>
          <w:i/>
          <w:sz w:val="24"/>
          <w:szCs w:val="24"/>
        </w:rPr>
        <w:t>Are there differences between male and female attitudes towards studying physics and, if so, what are they?”</w:t>
      </w:r>
      <w:r>
        <w:rPr>
          <w:sz w:val="24"/>
          <w:szCs w:val="24"/>
        </w:rPr>
        <w:t>. For example, question 6 reads as follows:</w:t>
      </w:r>
    </w:p>
    <w:p>
      <w:pPr>
        <w:spacing w:after="160" w:line="259" w:lineRule="auto"/>
        <w:rPr>
          <w:sz w:val="24"/>
          <w:szCs w:val="24"/>
        </w:rPr>
      </w:pPr>
      <w:r>
        <w:rPr>
          <w:sz w:val="24"/>
          <w:szCs w:val="24"/>
        </w:rPr>
        <w:t>How likely are you to choose to study Biology A Level?</w:t>
      </w:r>
    </w:p>
    <w:p>
      <w:pPr>
        <w:numPr>
          <w:ilvl w:val="0"/>
          <w:numId w:val="11"/>
        </w:numPr>
        <w:spacing w:line="259" w:lineRule="auto"/>
        <w:rPr>
          <w:sz w:val="24"/>
          <w:szCs w:val="24"/>
        </w:rPr>
      </w:pPr>
      <w:r>
        <w:rPr>
          <w:sz w:val="24"/>
          <w:szCs w:val="24"/>
        </w:rPr>
        <w:t>Very likely</w:t>
      </w:r>
    </w:p>
    <w:p>
      <w:pPr>
        <w:numPr>
          <w:ilvl w:val="0"/>
          <w:numId w:val="11"/>
        </w:numPr>
        <w:spacing w:line="259" w:lineRule="auto"/>
        <w:rPr>
          <w:sz w:val="24"/>
          <w:szCs w:val="24"/>
        </w:rPr>
      </w:pPr>
      <w:r>
        <w:rPr>
          <w:sz w:val="24"/>
          <w:szCs w:val="24"/>
        </w:rPr>
        <w:t>Likely</w:t>
      </w:r>
    </w:p>
    <w:p>
      <w:pPr>
        <w:numPr>
          <w:ilvl w:val="0"/>
          <w:numId w:val="11"/>
        </w:numPr>
        <w:spacing w:line="259" w:lineRule="auto"/>
        <w:rPr>
          <w:sz w:val="24"/>
          <w:szCs w:val="24"/>
        </w:rPr>
      </w:pPr>
      <w:r>
        <w:rPr>
          <w:sz w:val="24"/>
          <w:szCs w:val="24"/>
        </w:rPr>
        <w:t>Unsure</w:t>
      </w:r>
    </w:p>
    <w:p>
      <w:pPr>
        <w:numPr>
          <w:ilvl w:val="0"/>
          <w:numId w:val="11"/>
        </w:numPr>
        <w:spacing w:line="259" w:lineRule="auto"/>
        <w:rPr>
          <w:sz w:val="24"/>
          <w:szCs w:val="24"/>
        </w:rPr>
      </w:pPr>
      <w:r>
        <w:rPr>
          <w:sz w:val="24"/>
          <w:szCs w:val="24"/>
        </w:rPr>
        <w:t>Unlikely</w:t>
      </w:r>
    </w:p>
    <w:p>
      <w:pPr>
        <w:numPr>
          <w:ilvl w:val="0"/>
          <w:numId w:val="11"/>
        </w:numPr>
        <w:spacing w:after="160" w:line="259" w:lineRule="auto"/>
        <w:rPr>
          <w:sz w:val="24"/>
          <w:szCs w:val="24"/>
        </w:rPr>
      </w:pPr>
      <w:r>
        <w:rPr>
          <w:sz w:val="24"/>
          <w:szCs w:val="24"/>
        </w:rPr>
        <w:t>Very unlikely</w:t>
      </w:r>
    </w:p>
    <w:p>
      <w:pPr>
        <w:spacing w:after="160" w:line="259" w:lineRule="auto"/>
        <w:rPr>
          <w:color w:val="9900FF"/>
          <w:sz w:val="24"/>
          <w:szCs w:val="24"/>
        </w:rPr>
      </w:pPr>
    </w:p>
    <w:p>
      <w:pPr>
        <w:spacing w:after="160" w:line="259" w:lineRule="auto"/>
        <w:rPr>
          <w:sz w:val="24"/>
          <w:szCs w:val="24"/>
        </w:rPr>
      </w:pPr>
      <w:r>
        <w:rPr>
          <w:sz w:val="24"/>
          <w:szCs w:val="24"/>
        </w:rPr>
        <w:t xml:space="preserve">The responses provided by students, to Likert scale questions, should generate response frequencies that may readily lend themselves to analysis (Cohen </w:t>
      </w:r>
      <w:r>
        <w:rPr>
          <w:i/>
          <w:sz w:val="24"/>
          <w:szCs w:val="24"/>
        </w:rPr>
        <w:t>et al</w:t>
      </w:r>
      <w:r>
        <w:rPr>
          <w:sz w:val="24"/>
          <w:szCs w:val="24"/>
        </w:rPr>
        <w:t>., 2018). This particular style of closed questioning should also produce responses which are highly comparable (Oppenheim, 1992) and therefore effectively address research questions 3 and 4, where it is necessary to compare the responses of the two groups of participants. The questions regarding likelihood of selecting A Level science subjects were deliberately not dichotomous in nature, giving students the option to answer “unsure”. While some authors advocate for using dichotomous questions (Sudman and Bradburn, 1982) as they reduce the effects of participants “guessing answers” and force participants to pick a standpoint, they may increase the levels of bias in the responses as participants may not necessarily agree with the viewpoint that they have been “forced” into choosing (Youngman, 1984). This being said, some students may have taken advantage of the “unsure” option if they</w:t>
      </w:r>
      <w:r>
        <w:rPr>
          <w:color w:val="9900FF"/>
          <w:sz w:val="24"/>
          <w:szCs w:val="24"/>
        </w:rPr>
        <w:t xml:space="preserve"> </w:t>
      </w:r>
      <w:r>
        <w:rPr>
          <w:sz w:val="24"/>
          <w:szCs w:val="24"/>
        </w:rPr>
        <w:t>wished to avoid making judgements, disclosing information or opinions, or if they did not understand the question (Krosnick and Presser, 2010).</w:t>
      </w:r>
      <w:r>
        <w:rPr>
          <w:color w:val="9900FF"/>
          <w:sz w:val="24"/>
          <w:szCs w:val="24"/>
        </w:rPr>
        <w:t xml:space="preserve"> </w:t>
      </w:r>
      <w:r>
        <w:rPr>
          <w:sz w:val="24"/>
          <w:szCs w:val="24"/>
        </w:rPr>
        <w:t>Champagne (2014) agrees and conjectures that potentially less valid data may be produced as a result.</w:t>
      </w:r>
      <w:r>
        <w:rPr>
          <w:color w:val="9900FF"/>
          <w:sz w:val="24"/>
          <w:szCs w:val="24"/>
        </w:rPr>
        <w:t xml:space="preserve"> </w:t>
      </w:r>
      <w:r>
        <w:rPr>
          <w:sz w:val="24"/>
          <w:szCs w:val="24"/>
        </w:rPr>
        <w:t xml:space="preserve">Here, the researcher deemed it reasonable to assume that some of the year 10 and 11 students in this sample would still be unsure as to which A Levels they are likely to select and so in the interest of fairness and the pursuit of potentially more valid data, “unsure” was included as an option. </w:t>
      </w:r>
    </w:p>
    <w:p>
      <w:pPr>
        <w:spacing w:after="160" w:line="259" w:lineRule="auto"/>
        <w:rPr>
          <w:sz w:val="24"/>
          <w:szCs w:val="24"/>
        </w:rPr>
      </w:pPr>
      <w:r>
        <w:rPr>
          <w:sz w:val="24"/>
          <w:szCs w:val="24"/>
        </w:rPr>
        <w:t>Questions 11-16 further aimed to address research questions 3 and 4 through a Likert scale and had the potential to offer insights into research questions 1 and 2: “</w:t>
      </w:r>
      <w:r>
        <w:rPr>
          <w:i/>
          <w:sz w:val="24"/>
          <w:szCs w:val="24"/>
        </w:rPr>
        <w:t xml:space="preserve">What factors encourage </w:t>
      </w:r>
      <w:r>
        <w:rPr>
          <w:sz w:val="24"/>
          <w:szCs w:val="24"/>
        </w:rPr>
        <w:t>students</w:t>
      </w:r>
      <w:r>
        <w:rPr>
          <w:i/>
          <w:sz w:val="24"/>
          <w:szCs w:val="24"/>
        </w:rPr>
        <w:t xml:space="preserve"> to study science A Levels?”</w:t>
      </w:r>
      <w:r>
        <w:rPr>
          <w:sz w:val="24"/>
          <w:szCs w:val="24"/>
        </w:rPr>
        <w:t xml:space="preserve"> and “</w:t>
      </w:r>
      <w:r>
        <w:rPr>
          <w:i/>
          <w:sz w:val="24"/>
          <w:szCs w:val="24"/>
        </w:rPr>
        <w:t xml:space="preserve">What factors discourage </w:t>
      </w:r>
      <w:r>
        <w:rPr>
          <w:sz w:val="24"/>
          <w:szCs w:val="24"/>
        </w:rPr>
        <w:t>students</w:t>
      </w:r>
      <w:r>
        <w:rPr>
          <w:i/>
          <w:sz w:val="24"/>
          <w:szCs w:val="24"/>
        </w:rPr>
        <w:t xml:space="preserve"> from studying science A Levels?”</w:t>
      </w:r>
      <w:r>
        <w:rPr>
          <w:sz w:val="24"/>
          <w:szCs w:val="24"/>
        </w:rPr>
        <w:t xml:space="preserve"> For example, question 11 reads:</w:t>
      </w:r>
    </w:p>
    <w:p>
      <w:pPr>
        <w:spacing w:after="160" w:line="259" w:lineRule="auto"/>
        <w:rPr>
          <w:sz w:val="24"/>
          <w:szCs w:val="24"/>
        </w:rPr>
      </w:pPr>
      <w:r>
        <w:rPr>
          <w:sz w:val="24"/>
          <w:szCs w:val="24"/>
        </w:rPr>
        <w:t>Society values a career in science.</w:t>
      </w:r>
    </w:p>
    <w:p>
      <w:pPr>
        <w:numPr>
          <w:ilvl w:val="0"/>
          <w:numId w:val="7"/>
        </w:numPr>
        <w:spacing w:line="259" w:lineRule="auto"/>
        <w:rPr>
          <w:sz w:val="24"/>
          <w:szCs w:val="24"/>
        </w:rPr>
      </w:pPr>
      <w:r>
        <w:rPr>
          <w:sz w:val="24"/>
          <w:szCs w:val="24"/>
        </w:rPr>
        <w:t>Strongly agree</w:t>
      </w:r>
    </w:p>
    <w:p>
      <w:pPr>
        <w:numPr>
          <w:ilvl w:val="0"/>
          <w:numId w:val="7"/>
        </w:numPr>
        <w:spacing w:line="259" w:lineRule="auto"/>
        <w:rPr>
          <w:sz w:val="24"/>
          <w:szCs w:val="24"/>
        </w:rPr>
      </w:pPr>
      <w:r>
        <w:rPr>
          <w:sz w:val="24"/>
          <w:szCs w:val="24"/>
        </w:rPr>
        <w:t xml:space="preserve">Agree </w:t>
      </w:r>
    </w:p>
    <w:p>
      <w:pPr>
        <w:numPr>
          <w:ilvl w:val="0"/>
          <w:numId w:val="7"/>
        </w:numPr>
        <w:spacing w:line="259" w:lineRule="auto"/>
        <w:rPr>
          <w:sz w:val="24"/>
          <w:szCs w:val="24"/>
        </w:rPr>
      </w:pPr>
      <w:r>
        <w:rPr>
          <w:sz w:val="24"/>
          <w:szCs w:val="24"/>
        </w:rPr>
        <w:t>Unsure</w:t>
      </w:r>
    </w:p>
    <w:p>
      <w:pPr>
        <w:numPr>
          <w:ilvl w:val="0"/>
          <w:numId w:val="7"/>
        </w:numPr>
        <w:spacing w:line="259" w:lineRule="auto"/>
        <w:rPr>
          <w:sz w:val="24"/>
          <w:szCs w:val="24"/>
        </w:rPr>
      </w:pPr>
      <w:r>
        <w:rPr>
          <w:sz w:val="24"/>
          <w:szCs w:val="24"/>
        </w:rPr>
        <w:t>Disagree</w:t>
      </w:r>
    </w:p>
    <w:p>
      <w:pPr>
        <w:numPr>
          <w:ilvl w:val="0"/>
          <w:numId w:val="7"/>
        </w:numPr>
        <w:spacing w:after="160" w:line="259" w:lineRule="auto"/>
        <w:rPr>
          <w:sz w:val="24"/>
          <w:szCs w:val="24"/>
        </w:rPr>
      </w:pPr>
      <w:r>
        <w:rPr>
          <w:sz w:val="24"/>
          <w:szCs w:val="24"/>
        </w:rPr>
        <w:t xml:space="preserve">Strongly disagree </w:t>
      </w:r>
    </w:p>
    <w:p>
      <w:pPr>
        <w:spacing w:after="160" w:line="259" w:lineRule="auto"/>
        <w:rPr>
          <w:color w:val="9900FF"/>
          <w:sz w:val="24"/>
          <w:szCs w:val="24"/>
        </w:rPr>
      </w:pPr>
      <w:r>
        <w:rPr>
          <w:sz w:val="24"/>
          <w:szCs w:val="24"/>
        </w:rPr>
        <w:t xml:space="preserve">Again, these questions should be highly comparable when responses are sorted by gender during analysis, though it is acknowledged that this style of question is not without limitation. Previous research has indicated that participants are more likely to agree than disagree with statements (Youngman, 1984). Furthermore, participants may be more likely to disagree with a positive statement than agree with a negative statement (Weems </w:t>
      </w:r>
      <w:r>
        <w:rPr>
          <w:i/>
          <w:sz w:val="24"/>
          <w:szCs w:val="24"/>
        </w:rPr>
        <w:t>et al</w:t>
      </w:r>
      <w:r>
        <w:rPr>
          <w:sz w:val="24"/>
          <w:szCs w:val="24"/>
        </w:rPr>
        <w:t>., 2003).</w:t>
      </w:r>
      <w:r>
        <w:rPr>
          <w:color w:val="9900FF"/>
          <w:sz w:val="24"/>
          <w:szCs w:val="24"/>
        </w:rPr>
        <w:t xml:space="preserve"> </w:t>
      </w:r>
      <w:r>
        <w:rPr>
          <w:sz w:val="24"/>
          <w:szCs w:val="24"/>
        </w:rPr>
        <w:t xml:space="preserve">This may be relevant here as the statements in questions 11-16 are framed in a positive light i.e. “My science teachers encourage me to continue with science after science GCSEs” as opposed to “my science teachers do not encourage me to continue with science”.  </w:t>
      </w:r>
    </w:p>
    <w:p>
      <w:pPr>
        <w:spacing w:after="160" w:line="259" w:lineRule="auto"/>
        <w:rPr>
          <w:sz w:val="24"/>
          <w:szCs w:val="24"/>
          <w:highlight w:val="yellow"/>
        </w:rPr>
      </w:pPr>
      <w:r>
        <w:rPr>
          <w:sz w:val="24"/>
          <w:szCs w:val="24"/>
        </w:rPr>
        <w:t>The Likert scale questions used in questions 4-16 offer five possible responses, ranging from a strongly positive response (“very likely” or “strongly agree”) to a strongly negative response (“very unlikely” or “strongly disagree”) with a neutral response (“unsure”) in the middle.</w:t>
      </w:r>
      <w:r>
        <w:rPr>
          <w:color w:val="9900FF"/>
          <w:sz w:val="24"/>
          <w:szCs w:val="24"/>
        </w:rPr>
        <w:t xml:space="preserve"> </w:t>
      </w:r>
      <w:r>
        <w:rPr>
          <w:sz w:val="24"/>
          <w:szCs w:val="24"/>
        </w:rPr>
        <w:t xml:space="preserve">Although some authors recommend offering between five and eleven points on a scale (Friedman and Amoo, 1999), others conclude that a seven-point scale is optimal as respondents find it easier to discriminate between points (Schwartz </w:t>
      </w:r>
      <w:r>
        <w:rPr>
          <w:i/>
          <w:sz w:val="24"/>
          <w:szCs w:val="24"/>
        </w:rPr>
        <w:t>et al</w:t>
      </w:r>
      <w:r>
        <w:rPr>
          <w:sz w:val="24"/>
          <w:szCs w:val="24"/>
        </w:rPr>
        <w:t>., 1991) (Krosnick and Presser, 2010) and so the responses generated may be more reliable. Wilson and McLean (1994)  agree and argue that if the list of possible answers is too long, the participants will have difficulty distinguishing between the options, thus making it a more challenging and arduous process for them. These latter mentioned authors advocate for offering no more than five optional responses.  A further feature of Likert scales is that participants may tend to avoid the first and last values/labels if they are perceived to be too extreme</w:t>
      </w:r>
      <w:r>
        <w:rPr>
          <w:color w:val="9900FF"/>
          <w:sz w:val="24"/>
          <w:szCs w:val="24"/>
        </w:rPr>
        <w:t xml:space="preserve"> </w:t>
      </w:r>
      <w:r>
        <w:rPr>
          <w:sz w:val="24"/>
          <w:szCs w:val="24"/>
        </w:rPr>
        <w:t>(Friedman and Amoo, 1999). With this in mind, the possible responses in the questionnaire avoid extreme and definitive phrasing such as “definitely” and “definitely not”.</w:t>
      </w:r>
      <w:r>
        <w:rPr>
          <w:color w:val="9900FF"/>
          <w:sz w:val="24"/>
          <w:szCs w:val="24"/>
        </w:rPr>
        <w:t xml:space="preserve"> </w:t>
      </w:r>
      <w:r>
        <w:rPr>
          <w:sz w:val="24"/>
          <w:szCs w:val="24"/>
        </w:rPr>
        <w:t>This, however, means that students who chose "very unlikely” to the question “How likely are you to choose to study Physics A Level?” may have completely ruled it out or may still be considering it as an option, and there is no way to discern between the two without further questioning.</w:t>
      </w:r>
      <w:r>
        <w:rPr>
          <w:color w:val="9900FF"/>
          <w:sz w:val="24"/>
          <w:szCs w:val="24"/>
        </w:rPr>
        <w:t xml:space="preserve"> </w:t>
      </w:r>
      <w:r>
        <w:rPr>
          <w:sz w:val="24"/>
          <w:szCs w:val="24"/>
        </w:rPr>
        <w:t>As students were given further opportunities to share their thoughts later in the questionnaire, this was accepted as a limitation of the research and definitive values were avoided.</w:t>
      </w:r>
    </w:p>
    <w:p>
      <w:pPr>
        <w:spacing w:after="160" w:line="259" w:lineRule="auto"/>
      </w:pPr>
      <w:r>
        <w:rPr>
          <w:sz w:val="24"/>
          <w:szCs w:val="24"/>
        </w:rPr>
        <w:t xml:space="preserve">Questions 17-19 on both questionnaires aimed to answer research questions 1 and 2: </w:t>
      </w:r>
      <w:r>
        <w:rPr>
          <w:i/>
          <w:sz w:val="24"/>
          <w:szCs w:val="24"/>
        </w:rPr>
        <w:t>“What factors encourage students to study science A Levels?”</w:t>
      </w:r>
      <w:r>
        <w:rPr>
          <w:sz w:val="24"/>
          <w:szCs w:val="24"/>
        </w:rPr>
        <w:t xml:space="preserve"> and </w:t>
      </w:r>
      <w:r>
        <w:rPr>
          <w:i/>
          <w:sz w:val="24"/>
          <w:szCs w:val="24"/>
        </w:rPr>
        <w:t>“What factors discourage students from studying science A Levels?”</w:t>
      </w:r>
      <w:r>
        <w:rPr>
          <w:sz w:val="24"/>
          <w:szCs w:val="24"/>
        </w:rPr>
        <w:t xml:space="preserve">. They were open-ended in nature with a view to generating more detailed, authentic individual responses that offer a deeper insight into the students’ views and beliefs (Cohen </w:t>
      </w:r>
      <w:r>
        <w:rPr>
          <w:i/>
          <w:sz w:val="24"/>
          <w:szCs w:val="24"/>
        </w:rPr>
        <w:t>et al</w:t>
      </w:r>
      <w:r>
        <w:rPr>
          <w:sz w:val="24"/>
          <w:szCs w:val="24"/>
        </w:rPr>
        <w:t xml:space="preserve">., 2018). A limitation of these questions may be that students vary in their ability to convey their response, making comparisons between responses more challenging (Cohen </w:t>
      </w:r>
      <w:r>
        <w:rPr>
          <w:i/>
          <w:sz w:val="24"/>
          <w:szCs w:val="24"/>
        </w:rPr>
        <w:t>et al</w:t>
      </w:r>
      <w:r>
        <w:rPr>
          <w:sz w:val="24"/>
          <w:szCs w:val="24"/>
        </w:rPr>
        <w:t xml:space="preserve">., 2018). Open-ended questions were chosen here, in place of multiple choice questions so as not to limit students to selecting responses from what may not be a fully exhaustive list. It is accepted that the result may be that participants misinterpreted the questions and offered largely irrelevant responses (Redline </w:t>
      </w:r>
      <w:r>
        <w:rPr>
          <w:i/>
          <w:sz w:val="24"/>
          <w:szCs w:val="24"/>
        </w:rPr>
        <w:t>et al</w:t>
      </w:r>
      <w:r>
        <w:rPr>
          <w:sz w:val="24"/>
          <w:szCs w:val="24"/>
        </w:rPr>
        <w:t>., 2002) or may have been put off the idea of having to write an extended response and so left it out altogether (Krosnick and Presser, 2010). In the context of this research, it is expected that students may differ widely in their ability to articulate their opinions, despite them broadly studying the same qualifications. In an effort to minimise the effects of this, the researcher was present, during the completion of the questionnaire, to clarify any confusion over the questions.</w:t>
      </w:r>
    </w:p>
    <w:p>
      <w:pPr>
        <w:spacing w:after="160" w:line="259" w:lineRule="auto"/>
        <w:rPr>
          <w:b/>
          <w:i/>
          <w:sz w:val="24"/>
          <w:szCs w:val="24"/>
        </w:rPr>
      </w:pPr>
      <w:r>
        <w:rPr>
          <w:b/>
          <w:i/>
          <w:sz w:val="24"/>
          <w:szCs w:val="24"/>
        </w:rPr>
        <w:t>Focus group sample</w:t>
      </w:r>
    </w:p>
    <w:p>
      <w:pPr>
        <w:spacing w:after="160" w:line="259" w:lineRule="auto"/>
        <w:rPr>
          <w:color w:val="9900FF"/>
          <w:sz w:val="24"/>
          <w:szCs w:val="24"/>
        </w:rPr>
      </w:pPr>
      <w:r>
        <w:rPr>
          <w:sz w:val="24"/>
          <w:szCs w:val="24"/>
        </w:rPr>
        <w:t>The Key Stage 4 sample comprised 6 15-16-year-old students, who, at the time of the research, were all studying Triple Science GCSEs. The Key Stage 5 sample comprised 9 16-17 year old students, who were studying at least one from Biology, Chemistry and Physics at AS Level. Both focus groups took place during a lunch break.</w:t>
      </w:r>
    </w:p>
    <w:p>
      <w:pPr>
        <w:spacing w:after="160" w:line="259" w:lineRule="auto"/>
        <w:rPr>
          <w:sz w:val="24"/>
          <w:szCs w:val="24"/>
        </w:rPr>
      </w:pPr>
      <w:r>
        <w:rPr>
          <w:sz w:val="24"/>
          <w:szCs w:val="24"/>
        </w:rPr>
        <w:t xml:space="preserve">A focus group was employed as a research tool in order to allow participants an opportunity to express their viewpoints fully, without the potential constraints of a questionnaire. Owing to the nature of the research, and contrary to other focus groups where participants do not know each other (Hyden and Bulow, 2003), the participants were all known to each other and so it is acknowledged that group dynamics may have played a significant role (Denscombe, 2014). Some authors caution that group dynamics can play a larger role if the focus group is too small (Morgan, 1988; Gibbs, 2012) and so it is hoped that groups of 6 and 9 are sufficiently large to overcome this but not so large that participants feel unable to make their viewpoints heard. </w:t>
      </w:r>
    </w:p>
    <w:p>
      <w:pPr>
        <w:spacing w:after="160" w:line="259" w:lineRule="auto"/>
        <w:rPr>
          <w:b/>
          <w:i/>
          <w:sz w:val="24"/>
          <w:szCs w:val="24"/>
        </w:rPr>
      </w:pPr>
      <w:r>
        <w:rPr>
          <w:b/>
          <w:i/>
          <w:sz w:val="24"/>
          <w:szCs w:val="24"/>
        </w:rPr>
        <w:t>Operationalising the focus group</w:t>
      </w:r>
    </w:p>
    <w:p>
      <w:pPr>
        <w:spacing w:after="160" w:line="259" w:lineRule="auto"/>
        <w:rPr>
          <w:sz w:val="24"/>
          <w:szCs w:val="24"/>
        </w:rPr>
      </w:pPr>
      <w:r>
        <w:rPr>
          <w:sz w:val="24"/>
          <w:szCs w:val="24"/>
        </w:rPr>
        <w:t xml:space="preserve">Both the Key Stage 4 and 5 focus groups comprised 7 questions. All but one of these questions addressed each of the four research questions, while one question specifically addressed research question 4: Are there differences between male and female attitudes towards studying physics and, if so, what are they?. The questions posed and research questions addressed are summarised in table 5. </w:t>
      </w:r>
    </w:p>
    <w:p>
      <w:pPr>
        <w:spacing w:after="160" w:line="259" w:lineRule="auto"/>
        <w:rPr>
          <w:sz w:val="24"/>
          <w:szCs w:val="24"/>
        </w:rPr>
      </w:pPr>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10"/>
        <w:gridCol w:w="2955"/>
        <w:gridCol w:w="3000"/>
        <w:gridCol w:w="1995"/>
      </w:tblGrid>
      <w:tr>
        <w:tc>
          <w:tcPr>
            <w:tcW w:w="1410" w:type="dxa"/>
            <w:shd w:val="clear" w:color="auto" w:fill="auto"/>
            <w:tcMar>
              <w:top w:w="100" w:type="dxa"/>
              <w:left w:w="100" w:type="dxa"/>
              <w:bottom w:w="100" w:type="dxa"/>
              <w:right w:w="100" w:type="dxa"/>
            </w:tcMar>
          </w:tcPr>
          <w:p>
            <w:pPr>
              <w:widowControl w:val="0"/>
              <w:spacing w:line="240" w:lineRule="auto"/>
              <w:rPr>
                <w:sz w:val="24"/>
                <w:szCs w:val="24"/>
                <w:u w:val="single"/>
              </w:rPr>
            </w:pPr>
            <w:r>
              <w:rPr>
                <w:sz w:val="24"/>
                <w:szCs w:val="24"/>
                <w:u w:val="single"/>
              </w:rPr>
              <w:t>Question</w:t>
            </w:r>
          </w:p>
        </w:tc>
        <w:tc>
          <w:tcPr>
            <w:tcW w:w="2955" w:type="dxa"/>
            <w:shd w:val="clear" w:color="auto" w:fill="auto"/>
            <w:tcMar>
              <w:top w:w="100" w:type="dxa"/>
              <w:left w:w="100" w:type="dxa"/>
              <w:bottom w:w="100" w:type="dxa"/>
              <w:right w:w="100" w:type="dxa"/>
            </w:tcMar>
          </w:tcPr>
          <w:p>
            <w:pPr>
              <w:widowControl w:val="0"/>
              <w:spacing w:line="240" w:lineRule="auto"/>
              <w:rPr>
                <w:sz w:val="24"/>
                <w:szCs w:val="24"/>
                <w:u w:val="single"/>
              </w:rPr>
            </w:pPr>
            <w:r>
              <w:rPr>
                <w:sz w:val="24"/>
                <w:szCs w:val="24"/>
                <w:u w:val="single"/>
              </w:rPr>
              <w:t>Key Stage 4 Question</w:t>
            </w:r>
          </w:p>
        </w:tc>
        <w:tc>
          <w:tcPr>
            <w:tcW w:w="3000" w:type="dxa"/>
            <w:shd w:val="clear" w:color="auto" w:fill="auto"/>
            <w:tcMar>
              <w:top w:w="100" w:type="dxa"/>
              <w:left w:w="100" w:type="dxa"/>
              <w:bottom w:w="100" w:type="dxa"/>
              <w:right w:w="100" w:type="dxa"/>
            </w:tcMar>
          </w:tcPr>
          <w:p>
            <w:pPr>
              <w:widowControl w:val="0"/>
              <w:spacing w:line="240" w:lineRule="auto"/>
              <w:rPr>
                <w:sz w:val="24"/>
                <w:szCs w:val="24"/>
                <w:u w:val="single"/>
              </w:rPr>
            </w:pPr>
            <w:r>
              <w:rPr>
                <w:sz w:val="24"/>
                <w:szCs w:val="24"/>
                <w:u w:val="single"/>
              </w:rPr>
              <w:t>Key Stage 5 Question</w:t>
            </w:r>
          </w:p>
        </w:tc>
        <w:tc>
          <w:tcPr>
            <w:tcW w:w="1995" w:type="dxa"/>
            <w:shd w:val="clear" w:color="auto" w:fill="auto"/>
            <w:tcMar>
              <w:top w:w="100" w:type="dxa"/>
              <w:left w:w="100" w:type="dxa"/>
              <w:bottom w:w="100" w:type="dxa"/>
              <w:right w:w="100" w:type="dxa"/>
            </w:tcMar>
          </w:tcPr>
          <w:p>
            <w:pPr>
              <w:widowControl w:val="0"/>
              <w:spacing w:line="240" w:lineRule="auto"/>
              <w:rPr>
                <w:sz w:val="24"/>
                <w:szCs w:val="24"/>
                <w:u w:val="single"/>
              </w:rPr>
            </w:pPr>
            <w:r>
              <w:rPr>
                <w:sz w:val="24"/>
                <w:szCs w:val="24"/>
                <w:u w:val="single"/>
              </w:rPr>
              <w:t>Research question addressed</w:t>
            </w:r>
          </w:p>
        </w:tc>
      </w:tr>
      <w:tr>
        <w:tc>
          <w:tcPr>
            <w:tcW w:w="141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w:t>
            </w:r>
          </w:p>
        </w:tc>
        <w:tc>
          <w:tcPr>
            <w:tcW w:w="29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What factors (positive and negative) would you consider when choosing whether or not to study Biology A Level?</w:t>
            </w:r>
          </w:p>
        </w:tc>
        <w:tc>
          <w:tcPr>
            <w:tcW w:w="30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What factors (positive and negative) did you consider when choosing whether or not to study Biology A Level?</w:t>
            </w:r>
          </w:p>
        </w:tc>
        <w:tc>
          <w:tcPr>
            <w:tcW w:w="19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1,2,3,4</w:t>
            </w:r>
          </w:p>
        </w:tc>
      </w:tr>
      <w:tr>
        <w:tc>
          <w:tcPr>
            <w:tcW w:w="141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2</w:t>
            </w:r>
          </w:p>
        </w:tc>
        <w:tc>
          <w:tcPr>
            <w:tcW w:w="29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What factors (positive and negative) would you consider when choosing whether or not to study Chemistry A Level?</w:t>
            </w:r>
          </w:p>
        </w:tc>
        <w:tc>
          <w:tcPr>
            <w:tcW w:w="30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What factors (positive and negative) did you consider when choosing whether or not to study Chemistry A Level?</w:t>
            </w:r>
          </w:p>
        </w:tc>
        <w:tc>
          <w:tcPr>
            <w:tcW w:w="19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1,2,3,4</w:t>
            </w:r>
          </w:p>
        </w:tc>
      </w:tr>
      <w:tr>
        <w:tc>
          <w:tcPr>
            <w:tcW w:w="141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3</w:t>
            </w:r>
          </w:p>
        </w:tc>
        <w:tc>
          <w:tcPr>
            <w:tcW w:w="29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What factors (positive and negative) would you consider when choosing whether or not to study Physics A Level?</w:t>
            </w:r>
          </w:p>
        </w:tc>
        <w:tc>
          <w:tcPr>
            <w:tcW w:w="30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What factors (positive and negative) did you consider when choosing whether or not to study Physics A Level?</w:t>
            </w:r>
          </w:p>
        </w:tc>
        <w:tc>
          <w:tcPr>
            <w:tcW w:w="19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w:t>
            </w:r>
          </w:p>
        </w:tc>
      </w:tr>
      <w:tr>
        <w:tc>
          <w:tcPr>
            <w:tcW w:w="141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w:t>
            </w:r>
          </w:p>
        </w:tc>
        <w:tc>
          <w:tcPr>
            <w:tcW w:w="29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In what way, if at all, would your parents influence which A Levels you may choose?</w:t>
            </w:r>
          </w:p>
        </w:tc>
        <w:tc>
          <w:tcPr>
            <w:tcW w:w="30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In what way, if at all, did your parents influence which A Levels you have chosen?</w:t>
            </w:r>
          </w:p>
        </w:tc>
        <w:tc>
          <w:tcPr>
            <w:tcW w:w="19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1,2,3,4</w:t>
            </w:r>
          </w:p>
        </w:tc>
      </w:tr>
      <w:tr>
        <w:tc>
          <w:tcPr>
            <w:tcW w:w="141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w:t>
            </w:r>
          </w:p>
        </w:tc>
        <w:tc>
          <w:tcPr>
            <w:tcW w:w="29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In what way, if at all, would your teachers influence which A Levels you may choose?</w:t>
            </w:r>
          </w:p>
        </w:tc>
        <w:tc>
          <w:tcPr>
            <w:tcW w:w="30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In what way, if at all, did your teachers influence which A Levels you have chosen?</w:t>
            </w:r>
          </w:p>
        </w:tc>
        <w:tc>
          <w:tcPr>
            <w:tcW w:w="19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1,2,3,4</w:t>
            </w:r>
          </w:p>
        </w:tc>
      </w:tr>
      <w:tr>
        <w:tc>
          <w:tcPr>
            <w:tcW w:w="141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6</w:t>
            </w:r>
          </w:p>
        </w:tc>
        <w:tc>
          <w:tcPr>
            <w:tcW w:w="29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How would you rate your ability in each of the three sciences?</w:t>
            </w:r>
          </w:p>
        </w:tc>
        <w:tc>
          <w:tcPr>
            <w:tcW w:w="30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How would you rate your ability in each of the three sciences?</w:t>
            </w:r>
          </w:p>
        </w:tc>
        <w:tc>
          <w:tcPr>
            <w:tcW w:w="19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1,2,3,4</w:t>
            </w:r>
          </w:p>
        </w:tc>
      </w:tr>
      <w:tr>
        <w:tc>
          <w:tcPr>
            <w:tcW w:w="141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w:t>
            </w:r>
          </w:p>
        </w:tc>
        <w:tc>
          <w:tcPr>
            <w:tcW w:w="29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Is there anything else you would like to add to this discussion?</w:t>
            </w:r>
          </w:p>
        </w:tc>
        <w:tc>
          <w:tcPr>
            <w:tcW w:w="30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Is there anything else you would like to add to this discussion?</w:t>
            </w:r>
          </w:p>
        </w:tc>
        <w:tc>
          <w:tcPr>
            <w:tcW w:w="19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1,2,3,4</w:t>
            </w:r>
          </w:p>
        </w:tc>
      </w:tr>
    </w:tbl>
    <w:p>
      <w:pPr>
        <w:spacing w:after="160" w:line="259" w:lineRule="auto"/>
        <w:rPr>
          <w:i/>
          <w:sz w:val="24"/>
          <w:szCs w:val="24"/>
        </w:rPr>
      </w:pPr>
      <w:r>
        <w:rPr>
          <w:i/>
          <w:sz w:val="24"/>
          <w:szCs w:val="24"/>
        </w:rPr>
        <w:t xml:space="preserve">Table 5: The questions posed in the Key Stage 4 and Key Stage 5 focus groups and the research questions they were designed to address. </w:t>
      </w:r>
    </w:p>
    <w:p>
      <w:pPr>
        <w:spacing w:after="160" w:line="259" w:lineRule="auto"/>
        <w:rPr>
          <w:sz w:val="24"/>
          <w:szCs w:val="24"/>
        </w:rPr>
      </w:pPr>
    </w:p>
    <w:p>
      <w:pPr>
        <w:spacing w:after="160" w:line="259" w:lineRule="auto"/>
        <w:rPr>
          <w:sz w:val="24"/>
          <w:szCs w:val="24"/>
        </w:rPr>
      </w:pPr>
      <w:r>
        <w:rPr>
          <w:sz w:val="24"/>
          <w:szCs w:val="24"/>
        </w:rPr>
        <w:t xml:space="preserve">The focus group questions were designed after the initial questionnaire analysis had taken place. The results of the questionnaire will be presented and discussed in more detail in Chapters 4 and 5 respectively but, in the interest of justifying the focus group questions used, they will be outlined here (table 6). </w:t>
      </w:r>
    </w:p>
    <w:p>
      <w:pPr>
        <w:spacing w:after="160" w:line="259" w:lineRule="auto"/>
        <w:rPr>
          <w:sz w:val="24"/>
          <w:szCs w:val="24"/>
        </w:rPr>
      </w:pPr>
    </w:p>
    <w:tbl>
      <w:tblPr>
        <w:tblStyle w:val="a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tc>
          <w:tcPr>
            <w:tcW w:w="3120" w:type="dxa"/>
            <w:shd w:val="clear" w:color="auto" w:fill="auto"/>
            <w:tcMar>
              <w:top w:w="100" w:type="dxa"/>
              <w:left w:w="100" w:type="dxa"/>
              <w:bottom w:w="100" w:type="dxa"/>
              <w:right w:w="100" w:type="dxa"/>
            </w:tcMar>
          </w:tcPr>
          <w:p>
            <w:pPr>
              <w:widowControl w:val="0"/>
              <w:spacing w:line="240" w:lineRule="auto"/>
              <w:rPr>
                <w:sz w:val="24"/>
                <w:szCs w:val="24"/>
                <w:u w:val="single"/>
              </w:rPr>
            </w:pPr>
            <w:r>
              <w:rPr>
                <w:sz w:val="24"/>
                <w:szCs w:val="24"/>
                <w:u w:val="single"/>
              </w:rPr>
              <w:t>Key Finding</w:t>
            </w:r>
          </w:p>
        </w:tc>
        <w:tc>
          <w:tcPr>
            <w:tcW w:w="3120" w:type="dxa"/>
            <w:shd w:val="clear" w:color="auto" w:fill="auto"/>
            <w:tcMar>
              <w:top w:w="100" w:type="dxa"/>
              <w:left w:w="100" w:type="dxa"/>
              <w:bottom w:w="100" w:type="dxa"/>
              <w:right w:w="100" w:type="dxa"/>
            </w:tcMar>
          </w:tcPr>
          <w:p>
            <w:pPr>
              <w:widowControl w:val="0"/>
              <w:spacing w:line="240" w:lineRule="auto"/>
              <w:rPr>
                <w:sz w:val="24"/>
                <w:szCs w:val="24"/>
                <w:u w:val="single"/>
              </w:rPr>
            </w:pPr>
            <w:r>
              <w:rPr>
                <w:sz w:val="24"/>
                <w:szCs w:val="24"/>
                <w:u w:val="single"/>
              </w:rPr>
              <w:t>Implication</w:t>
            </w:r>
          </w:p>
        </w:tc>
        <w:tc>
          <w:tcPr>
            <w:tcW w:w="3120" w:type="dxa"/>
            <w:shd w:val="clear" w:color="auto" w:fill="auto"/>
            <w:tcMar>
              <w:top w:w="100" w:type="dxa"/>
              <w:left w:w="100" w:type="dxa"/>
              <w:bottom w:w="100" w:type="dxa"/>
              <w:right w:w="100" w:type="dxa"/>
            </w:tcMar>
          </w:tcPr>
          <w:p>
            <w:pPr>
              <w:widowControl w:val="0"/>
              <w:spacing w:line="240" w:lineRule="auto"/>
              <w:rPr>
                <w:sz w:val="24"/>
                <w:szCs w:val="24"/>
                <w:u w:val="single"/>
              </w:rPr>
            </w:pPr>
            <w:r>
              <w:rPr>
                <w:sz w:val="24"/>
                <w:szCs w:val="24"/>
                <w:u w:val="single"/>
              </w:rPr>
              <w:t>Where was this finding addressed?</w:t>
            </w:r>
          </w:p>
        </w:tc>
      </w:tr>
      <w:tr>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More females choose to study biology and chemistry but more males choose to study physics.</w:t>
            </w:r>
          </w:p>
        </w:tc>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The difference between genders was apparent but the reasons for this difference wasn’t.</w:t>
            </w:r>
          </w:p>
        </w:tc>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Questions 1, 2 and 3</w:t>
            </w:r>
          </w:p>
        </w:tc>
      </w:tr>
      <w:tr>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The effect of parental encouragement was unclear and responses were mixed between genders and key stages.</w:t>
            </w:r>
          </w:p>
        </w:tc>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This area required further exploration.</w:t>
            </w:r>
          </w:p>
        </w:tc>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4</w:t>
            </w:r>
          </w:p>
        </w:tc>
      </w:tr>
      <w:tr>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The responses to whether or not students considered themselves “good at science” were very mixed.</w:t>
            </w:r>
          </w:p>
        </w:tc>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 xml:space="preserve">“Good at science” needed to be broken down so that participants considered each science separately. </w:t>
            </w:r>
          </w:p>
        </w:tc>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6</w:t>
            </w:r>
          </w:p>
        </w:tc>
      </w:tr>
      <w:tr>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Females are more likely to consider their future when choosing A Levels.</w:t>
            </w:r>
          </w:p>
        </w:tc>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This finding was fairly unambiguous. Confirmation was sought but without the use of leading questions.</w:t>
            </w:r>
          </w:p>
        </w:tc>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Questions 1, 2 and 3</w:t>
            </w:r>
          </w:p>
        </w:tc>
      </w:tr>
      <w:tr>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 xml:space="preserve">Difficulty/workload is a concern for everyone. </w:t>
            </w:r>
          </w:p>
        </w:tc>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 xml:space="preserve">Again, the focus group may have offered confirmation of this but without the use of leading questions. </w:t>
            </w:r>
          </w:p>
        </w:tc>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Questions 1, 2 and 3</w:t>
            </w:r>
          </w:p>
        </w:tc>
      </w:tr>
    </w:tbl>
    <w:p>
      <w:pPr>
        <w:spacing w:after="160" w:line="259" w:lineRule="auto"/>
        <w:rPr>
          <w:sz w:val="24"/>
          <w:szCs w:val="24"/>
        </w:rPr>
      </w:pPr>
      <w:r>
        <w:rPr>
          <w:i/>
          <w:sz w:val="24"/>
          <w:szCs w:val="24"/>
        </w:rPr>
        <w:t xml:space="preserve">Table 6: The key findings of the Key Stage 4 and Key Stage 5 questionnaires and how they were addressed in the focus groups. </w:t>
      </w:r>
    </w:p>
    <w:p>
      <w:pPr>
        <w:spacing w:after="160" w:line="259" w:lineRule="auto"/>
        <w:rPr>
          <w:sz w:val="24"/>
          <w:szCs w:val="24"/>
        </w:rPr>
      </w:pPr>
    </w:p>
    <w:p>
      <w:pPr>
        <w:spacing w:after="160" w:line="259" w:lineRule="auto"/>
        <w:rPr>
          <w:b/>
          <w:i/>
          <w:sz w:val="24"/>
          <w:szCs w:val="24"/>
        </w:rPr>
      </w:pPr>
      <w:r>
        <w:rPr>
          <w:b/>
          <w:i/>
          <w:sz w:val="24"/>
          <w:szCs w:val="24"/>
        </w:rPr>
        <w:t xml:space="preserve"> Dissemination</w:t>
      </w:r>
    </w:p>
    <w:p>
      <w:pPr>
        <w:spacing w:after="160" w:line="259" w:lineRule="auto"/>
        <w:rPr>
          <w:sz w:val="24"/>
          <w:szCs w:val="24"/>
        </w:rPr>
      </w:pPr>
      <w:r>
        <w:rPr>
          <w:sz w:val="24"/>
          <w:szCs w:val="24"/>
        </w:rPr>
        <w:t xml:space="preserve">This report is available to the University of Wales Trinity Saint David, the participant and the parents and guardians of the participants, upon request. </w:t>
      </w:r>
    </w:p>
    <w:p>
      <w:pPr>
        <w:spacing w:after="160" w:line="259" w:lineRule="auto"/>
        <w:rPr>
          <w:color w:val="9900FF"/>
          <w:sz w:val="24"/>
          <w:szCs w:val="24"/>
        </w:rPr>
      </w:pPr>
    </w:p>
    <w:p>
      <w:pPr>
        <w:spacing w:after="160" w:line="259" w:lineRule="auto"/>
        <w:rPr>
          <w:b/>
          <w:i/>
          <w:sz w:val="24"/>
          <w:szCs w:val="24"/>
        </w:rPr>
      </w:pPr>
      <w:r>
        <w:rPr>
          <w:b/>
          <w:i/>
          <w:sz w:val="24"/>
          <w:szCs w:val="24"/>
        </w:rPr>
        <w:t>Ethical considerations</w:t>
      </w:r>
    </w:p>
    <w:p>
      <w:pPr>
        <w:spacing w:after="160" w:line="259" w:lineRule="auto"/>
        <w:rPr>
          <w:sz w:val="24"/>
          <w:szCs w:val="24"/>
        </w:rPr>
      </w:pPr>
      <w:r>
        <w:rPr>
          <w:sz w:val="24"/>
          <w:szCs w:val="24"/>
        </w:rPr>
        <w:t>The ethical considerations in this study involve potential harm to the participant, the researcher and the University of Wales Trinity Saint David, who approved the research. Details of the ethical considerations, and the steps taken to mitigate any potential risks, can be found in the Ethics Form attached (Appendix 1). Prior to the commencement of the research, informed consent and assent was obtained (British Education Research Association, 2018; UWTSD Research Ethics and Integrity Code of Practice,2017). Students and parents were also made aware of their right to withdraw consent, any time prior to or during the completion of the questionnaire and focus group.</w:t>
      </w:r>
    </w:p>
    <w:p>
      <w:pPr>
        <w:spacing w:after="160" w:line="259" w:lineRule="auto"/>
        <w:rPr>
          <w:sz w:val="24"/>
          <w:szCs w:val="24"/>
        </w:rPr>
      </w:pPr>
    </w:p>
    <w:p>
      <w:pPr>
        <w:spacing w:after="160" w:line="259" w:lineRule="auto"/>
        <w:rPr>
          <w:sz w:val="24"/>
          <w:szCs w:val="24"/>
        </w:rPr>
      </w:pPr>
    </w:p>
    <w:p>
      <w:pPr>
        <w:spacing w:line="240" w:lineRule="auto"/>
        <w:rPr>
          <w:sz w:val="24"/>
          <w:szCs w:val="24"/>
        </w:rPr>
      </w:pPr>
      <w:r>
        <w:rPr>
          <w:b/>
          <w:sz w:val="24"/>
          <w:szCs w:val="24"/>
        </w:rPr>
        <w:t>Chapter 4.</w:t>
      </w:r>
    </w:p>
    <w:p>
      <w:pPr>
        <w:spacing w:line="240" w:lineRule="auto"/>
        <w:rPr>
          <w:sz w:val="24"/>
          <w:szCs w:val="24"/>
        </w:rPr>
      </w:pPr>
      <w:r>
        <w:rPr>
          <w:b/>
          <w:sz w:val="24"/>
          <w:szCs w:val="24"/>
        </w:rPr>
        <w:t xml:space="preserve">PRESENTATION OF THE DATA </w:t>
      </w:r>
    </w:p>
    <w:p>
      <w:pPr>
        <w:spacing w:line="240" w:lineRule="auto"/>
        <w:rPr>
          <w:sz w:val="24"/>
          <w:szCs w:val="24"/>
        </w:rPr>
      </w:pPr>
    </w:p>
    <w:p>
      <w:pPr>
        <w:spacing w:line="240" w:lineRule="auto"/>
        <w:rPr>
          <w:sz w:val="24"/>
          <w:szCs w:val="24"/>
        </w:rPr>
      </w:pPr>
    </w:p>
    <w:p>
      <w:pPr>
        <w:spacing w:line="240" w:lineRule="auto"/>
        <w:rPr>
          <w:b/>
          <w:i/>
          <w:sz w:val="24"/>
          <w:szCs w:val="24"/>
        </w:rPr>
      </w:pPr>
      <w:r>
        <w:rPr>
          <w:b/>
          <w:i/>
          <w:sz w:val="24"/>
          <w:szCs w:val="24"/>
        </w:rPr>
        <w:t>Questionnaire analysis</w:t>
      </w:r>
    </w:p>
    <w:p>
      <w:pPr>
        <w:spacing w:line="240" w:lineRule="auto"/>
        <w:rPr>
          <w:b/>
          <w:sz w:val="24"/>
          <w:szCs w:val="24"/>
        </w:rPr>
      </w:pPr>
    </w:p>
    <w:p>
      <w:pPr>
        <w:spacing w:line="240" w:lineRule="auto"/>
        <w:rPr>
          <w:sz w:val="24"/>
          <w:szCs w:val="24"/>
        </w:rPr>
      </w:pPr>
      <w:r>
        <w:rPr>
          <w:sz w:val="24"/>
          <w:szCs w:val="24"/>
        </w:rPr>
        <w:t xml:space="preserve">The responses to the questionnaire were exported to Google Sheets for analysis. The responses to the pilot questionnaire were added to the larger sample at this stage. The responses were sorted by gender and pivot tables were used to perform the analysis. Questions 17 and 18, in both questionnaires, were open questions that generated individualised responses. The responses were considered, and key themes identified. Themes were not generated from the literature, in advance of reading the responses, as advocated by some authors (Gläser and Laudel, 2013), in an effort to give the truest reflection of the qualitative data generated (Glaser and Strauss, 1967). Coding was carried out in an effort to generate frequencies and allow for the observation of patterns (Cohen </w:t>
      </w:r>
      <w:r>
        <w:rPr>
          <w:i/>
          <w:sz w:val="24"/>
          <w:szCs w:val="24"/>
        </w:rPr>
        <w:t>et al</w:t>
      </w:r>
      <w:r>
        <w:rPr>
          <w:sz w:val="24"/>
          <w:szCs w:val="24"/>
        </w:rPr>
        <w:t xml:space="preserve">., 2018). </w:t>
      </w:r>
    </w:p>
    <w:p>
      <w:pPr>
        <w:spacing w:line="240" w:lineRule="auto"/>
        <w:rPr>
          <w:sz w:val="24"/>
          <w:szCs w:val="24"/>
        </w:rPr>
      </w:pPr>
    </w:p>
    <w:p>
      <w:pPr>
        <w:spacing w:line="240" w:lineRule="auto"/>
        <w:rPr>
          <w:sz w:val="24"/>
          <w:szCs w:val="24"/>
        </w:rPr>
      </w:pPr>
      <w:r>
        <w:rPr>
          <w:sz w:val="24"/>
          <w:szCs w:val="24"/>
        </w:rPr>
        <w:t xml:space="preserve">During the coding process, it was judged that many responses contained multiple themes. As such the number of themes identified per responses was also recorded, in order to evaluate whether there was a difference in the number of reasons provided by males and females. </w:t>
      </w:r>
    </w:p>
    <w:p>
      <w:pPr>
        <w:spacing w:line="240" w:lineRule="auto"/>
        <w:rPr>
          <w:i/>
          <w:sz w:val="24"/>
          <w:szCs w:val="24"/>
        </w:rPr>
      </w:pPr>
    </w:p>
    <w:p>
      <w:pPr>
        <w:spacing w:line="240" w:lineRule="auto"/>
        <w:rPr>
          <w:b/>
          <w:i/>
          <w:sz w:val="24"/>
          <w:szCs w:val="24"/>
        </w:rPr>
      </w:pPr>
      <w:r>
        <w:rPr>
          <w:b/>
          <w:i/>
          <w:sz w:val="24"/>
          <w:szCs w:val="24"/>
        </w:rPr>
        <w:t>Focus group analysis</w:t>
      </w:r>
    </w:p>
    <w:p>
      <w:pPr>
        <w:spacing w:line="240" w:lineRule="auto"/>
        <w:rPr>
          <w:b/>
          <w:i/>
          <w:sz w:val="24"/>
          <w:szCs w:val="24"/>
        </w:rPr>
      </w:pPr>
    </w:p>
    <w:p>
      <w:pPr>
        <w:spacing w:line="240" w:lineRule="auto"/>
        <w:rPr>
          <w:sz w:val="24"/>
          <w:szCs w:val="24"/>
        </w:rPr>
      </w:pPr>
      <w:r>
        <w:rPr>
          <w:sz w:val="24"/>
          <w:szCs w:val="24"/>
        </w:rPr>
        <w:t xml:space="preserve">The initial stage of data analysis was the transcription of the focus group responses. The responses were then summarised and are presented in table form, below. Each participant was given a code. Participants F1-F4 are female and participants M1-M4 are male. A brief commentary of the key findings is provided after each table. </w:t>
      </w:r>
    </w:p>
    <w:p>
      <w:pPr>
        <w:spacing w:line="240" w:lineRule="auto"/>
        <w:rPr>
          <w:sz w:val="24"/>
          <w:szCs w:val="24"/>
        </w:rPr>
      </w:pPr>
    </w:p>
    <w:p>
      <w:pPr>
        <w:spacing w:line="240" w:lineRule="auto"/>
        <w:rPr>
          <w:b/>
          <w:i/>
          <w:sz w:val="24"/>
          <w:szCs w:val="24"/>
        </w:rPr>
      </w:pPr>
      <w:r>
        <w:rPr>
          <w:b/>
          <w:i/>
          <w:sz w:val="24"/>
          <w:szCs w:val="24"/>
        </w:rPr>
        <w:t>Key Stage 5 data</w:t>
      </w:r>
    </w:p>
    <w:p>
      <w:pPr>
        <w:spacing w:line="240" w:lineRule="auto"/>
        <w:rPr>
          <w:b/>
          <w:i/>
          <w:sz w:val="24"/>
          <w:szCs w:val="24"/>
        </w:rPr>
      </w:pPr>
    </w:p>
    <w:p>
      <w:pPr>
        <w:numPr>
          <w:ilvl w:val="0"/>
          <w:numId w:val="10"/>
        </w:numPr>
        <w:spacing w:line="240" w:lineRule="auto"/>
        <w:rPr>
          <w:b/>
          <w:i/>
          <w:sz w:val="24"/>
          <w:szCs w:val="24"/>
        </w:rPr>
      </w:pPr>
      <w:r>
        <w:rPr>
          <w:b/>
          <w:i/>
          <w:sz w:val="24"/>
          <w:szCs w:val="24"/>
        </w:rPr>
        <w:t>Key Stage 5 questionnaire</w:t>
      </w:r>
    </w:p>
    <w:p>
      <w:pPr>
        <w:spacing w:line="240" w:lineRule="auto"/>
        <w:rPr>
          <w:sz w:val="24"/>
          <w:szCs w:val="24"/>
        </w:rPr>
      </w:pPr>
    </w:p>
    <w:p>
      <w:pPr>
        <w:spacing w:line="240" w:lineRule="auto"/>
        <w:rPr>
          <w:sz w:val="24"/>
          <w:szCs w:val="24"/>
        </w:rPr>
      </w:pPr>
      <w:r>
        <w:rPr>
          <w:sz w:val="24"/>
          <w:szCs w:val="24"/>
        </w:rPr>
        <w:t>The Key Stage 5 questionnaire was completed by a total of thirteen students. These thirteen students comprised six males, six females and one student who selected “other” for their gender. Of the thirteen students, four were in Year 12 and nine were in Year 13 at the time of completing the questionnaire. The data generated from the questionnaire responses will be presented as follows: question 3; questions 11-16; questions 17-19.</w:t>
      </w:r>
    </w:p>
    <w:p>
      <w:pPr>
        <w:spacing w:line="240" w:lineRule="auto"/>
        <w:rPr>
          <w:sz w:val="24"/>
          <w:szCs w:val="24"/>
        </w:rPr>
      </w:pPr>
    </w:p>
    <w:p>
      <w:pPr>
        <w:spacing w:line="240" w:lineRule="auto"/>
        <w:rPr>
          <w:i/>
          <w:sz w:val="24"/>
          <w:szCs w:val="24"/>
        </w:rPr>
      </w:pPr>
      <w:r>
        <w:rPr>
          <w:i/>
          <w:sz w:val="24"/>
          <w:szCs w:val="24"/>
        </w:rPr>
        <w:t>Question 3</w:t>
      </w:r>
    </w:p>
    <w:p>
      <w:pPr>
        <w:spacing w:line="240" w:lineRule="auto"/>
        <w:rPr>
          <w:sz w:val="24"/>
          <w:szCs w:val="24"/>
        </w:rPr>
      </w:pPr>
      <w:r>
        <w:rPr>
          <w:sz w:val="24"/>
          <w:szCs w:val="24"/>
        </w:rPr>
        <w:t xml:space="preserve">Question three asked students to select all of the subjects they were studying at the time of the research. Following their selection, the number of science subjects studied by each student was recorded. A reminder here, that “science subjects” refers solely to Biology, Chemistry and Physics. The responses to the question were largely uniform, with 100% of females and other students indicating that they studied a combination of two science subjects, along with 83.33% of males. 16.67% of males studied one science subject only.  </w:t>
      </w:r>
    </w:p>
    <w:p>
      <w:pPr>
        <w:spacing w:line="240" w:lineRule="auto"/>
        <w:rPr>
          <w:i/>
          <w:sz w:val="24"/>
          <w:szCs w:val="24"/>
        </w:rPr>
      </w:pPr>
    </w:p>
    <w:p>
      <w:pPr>
        <w:spacing w:line="240" w:lineRule="auto"/>
        <w:rPr>
          <w:i/>
          <w:sz w:val="24"/>
          <w:szCs w:val="24"/>
        </w:rPr>
      </w:pPr>
      <w:r>
        <w:rPr>
          <w:i/>
          <w:sz w:val="24"/>
          <w:szCs w:val="24"/>
        </w:rPr>
        <w:t>Questions 11-16</w:t>
      </w:r>
    </w:p>
    <w:p>
      <w:pPr>
        <w:spacing w:line="240" w:lineRule="auto"/>
        <w:rPr>
          <w:sz w:val="24"/>
          <w:szCs w:val="24"/>
        </w:rPr>
      </w:pPr>
      <w:r>
        <w:rPr>
          <w:sz w:val="24"/>
          <w:szCs w:val="24"/>
        </w:rPr>
        <w:t xml:space="preserve">Questions 11-16 were Likert scale questions that sought a degree of agreement. Here, the data generated by each question will be presented individually. Question 11 posed “society values a career in science”. All students agreed with this statement, with 100% of females and other students saying that they strongly agree. 33.33% of males strongly agreed and 66.67% agreed. Question 12 posed “my science teachers encouraged me to continue studying one or more science at A Level”. Here, there was some disparity: all females and other students agreed with this statement (16.67% of females strongly agreed and 83.33% of females agreed); however 16.67% of males disagreed with this statement. Question 13 asked students how much they agreed with the statement “my parents/family value a career in science”. All females and other students agreed with this statement, with 66.67% of females saying they strongly agree and 33.33% of females and 100% of other students agreeing. Again there was more variation in the male responses with 33.33% strongly agreeing, 50% agreeing and 16.67% saying they were unsure. Question 14 asked “my parents/family encouraged me to continue studying one or more science at A Level” and generated more mixed responses than the previous questions. 66.67% of females said they agreed with the statement, while 33.33% said they were unsure. 33.33% of males strongly agreed with the statement, while 50% agreed and 16.67% said they disagreed. Question 15 asked students to evaluate the statement “I consider myself to be good at science”. All females and other students agreed with this statement: 16.67% of females strongly agreed; and 83.33% of females and 100% of other students agreed. Half of all males said they were unsure about this statement, while the other 50% of responses were split between strongly agree (33.33%) and agree (16.67%). The final question in this section, question 16, posed “I am considering a career in science”. All students answered positively here, although a larger proportion of females (83.33%) strongly agreed compared with males (16.67%). The breakdown of responses to these questions can be found in tables 7-12, below. </w:t>
      </w:r>
    </w:p>
    <w:p>
      <w:pPr>
        <w:spacing w:line="240" w:lineRule="auto"/>
        <w:rPr>
          <w:sz w:val="24"/>
          <w:szCs w:val="24"/>
          <w:highlight w:val="yellow"/>
        </w:rPr>
      </w:pPr>
    </w:p>
    <w:tbl>
      <w:tblPr>
        <w:tblStyle w:val="a7"/>
        <w:tblW w:w="9300" w:type="dxa"/>
        <w:tblBorders>
          <w:top w:val="nil"/>
          <w:left w:val="nil"/>
          <w:bottom w:val="nil"/>
          <w:right w:val="nil"/>
          <w:insideH w:val="nil"/>
          <w:insideV w:val="nil"/>
        </w:tblBorders>
        <w:tblLayout w:type="fixed"/>
        <w:tblLook w:val="0600" w:firstRow="0" w:lastRow="0" w:firstColumn="0" w:lastColumn="0" w:noHBand="1" w:noVBand="1"/>
      </w:tblPr>
      <w:tblGrid>
        <w:gridCol w:w="4245"/>
        <w:gridCol w:w="1980"/>
        <w:gridCol w:w="2040"/>
        <w:gridCol w:w="1035"/>
      </w:tblGrid>
      <w:tr>
        <w:trPr>
          <w:trHeight w:val="645"/>
        </w:trPr>
        <w:tc>
          <w:tcPr>
            <w:tcW w:w="424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11. “Society values a career in Science.”</w:t>
            </w:r>
          </w:p>
        </w:tc>
        <w:tc>
          <w:tcPr>
            <w:tcW w:w="1980"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11. “Society values a career in Science.”</w:t>
            </w:r>
          </w:p>
        </w:tc>
        <w:tc>
          <w:tcPr>
            <w:tcW w:w="204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03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4245"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198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204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103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4245"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1980"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204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03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4245"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198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66.67%</w:t>
            </w:r>
          </w:p>
        </w:tc>
        <w:tc>
          <w:tcPr>
            <w:tcW w:w="204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33.33%</w:t>
            </w:r>
          </w:p>
        </w:tc>
        <w:tc>
          <w:tcPr>
            <w:tcW w:w="103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30"/>
        </w:trPr>
        <w:tc>
          <w:tcPr>
            <w:tcW w:w="4245"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Other</w:t>
            </w:r>
          </w:p>
        </w:tc>
        <w:tc>
          <w:tcPr>
            <w:tcW w:w="198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204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03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424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198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30.77%</w:t>
            </w:r>
          </w:p>
        </w:tc>
        <w:tc>
          <w:tcPr>
            <w:tcW w:w="204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69.23%</w:t>
            </w:r>
          </w:p>
        </w:tc>
        <w:tc>
          <w:tcPr>
            <w:tcW w:w="103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Table 7: Responses to “Society values a career in science”</w:t>
      </w:r>
    </w:p>
    <w:p>
      <w:pPr>
        <w:spacing w:line="240" w:lineRule="auto"/>
        <w:rPr>
          <w:i/>
          <w:sz w:val="24"/>
          <w:szCs w:val="24"/>
        </w:rPr>
      </w:pPr>
    </w:p>
    <w:p>
      <w:pPr>
        <w:spacing w:line="240" w:lineRule="auto"/>
        <w:rPr>
          <w:i/>
          <w:sz w:val="24"/>
          <w:szCs w:val="24"/>
        </w:rPr>
      </w:pPr>
    </w:p>
    <w:tbl>
      <w:tblPr>
        <w:tblStyle w:val="a8"/>
        <w:tblW w:w="9300" w:type="dxa"/>
        <w:tblBorders>
          <w:top w:val="nil"/>
          <w:left w:val="nil"/>
          <w:bottom w:val="nil"/>
          <w:right w:val="nil"/>
          <w:insideH w:val="nil"/>
          <w:insideV w:val="nil"/>
        </w:tblBorders>
        <w:tblLayout w:type="fixed"/>
        <w:tblLook w:val="0600" w:firstRow="0" w:lastRow="0" w:firstColumn="0" w:lastColumn="0" w:noHBand="1" w:noVBand="1"/>
      </w:tblPr>
      <w:tblGrid>
        <w:gridCol w:w="3180"/>
        <w:gridCol w:w="2685"/>
        <w:gridCol w:w="1140"/>
        <w:gridCol w:w="1200"/>
        <w:gridCol w:w="1095"/>
      </w:tblGrid>
      <w:tr>
        <w:trPr>
          <w:trHeight w:val="1275"/>
        </w:trPr>
        <w:tc>
          <w:tcPr>
            <w:tcW w:w="318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12. “My Science teachers encouraged me to continue studying one or more Science at A Level”</w:t>
            </w:r>
          </w:p>
        </w:tc>
        <w:tc>
          <w:tcPr>
            <w:tcW w:w="2685"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12. “My Science teachers encouraged me to continue studying one or more Science at A Level”</w:t>
            </w:r>
          </w:p>
        </w:tc>
        <w:tc>
          <w:tcPr>
            <w:tcW w:w="114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20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095"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3180"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268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114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Disagree</w:t>
            </w:r>
          </w:p>
        </w:tc>
        <w:tc>
          <w:tcPr>
            <w:tcW w:w="12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109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318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268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83.33%</w:t>
            </w:r>
          </w:p>
        </w:tc>
        <w:tc>
          <w:tcPr>
            <w:tcW w:w="1140"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12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16.67%</w:t>
            </w:r>
          </w:p>
        </w:tc>
        <w:tc>
          <w:tcPr>
            <w:tcW w:w="109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318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268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66.67%</w:t>
            </w:r>
          </w:p>
        </w:tc>
        <w:tc>
          <w:tcPr>
            <w:tcW w:w="114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16.67%</w:t>
            </w:r>
          </w:p>
        </w:tc>
        <w:tc>
          <w:tcPr>
            <w:tcW w:w="12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16.67%</w:t>
            </w:r>
          </w:p>
        </w:tc>
        <w:tc>
          <w:tcPr>
            <w:tcW w:w="109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30"/>
        </w:trPr>
        <w:tc>
          <w:tcPr>
            <w:tcW w:w="3180"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Other</w:t>
            </w:r>
          </w:p>
        </w:tc>
        <w:tc>
          <w:tcPr>
            <w:tcW w:w="268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14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2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09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318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268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76.92%</w:t>
            </w:r>
          </w:p>
        </w:tc>
        <w:tc>
          <w:tcPr>
            <w:tcW w:w="114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7.69%</w:t>
            </w:r>
          </w:p>
        </w:tc>
        <w:tc>
          <w:tcPr>
            <w:tcW w:w="12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15.38%</w:t>
            </w:r>
          </w:p>
        </w:tc>
        <w:tc>
          <w:tcPr>
            <w:tcW w:w="109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Table 8: Responses to “My science teachers encouraged me to continue studying one or more science at A Level”.</w:t>
      </w:r>
    </w:p>
    <w:p>
      <w:pPr>
        <w:spacing w:line="240" w:lineRule="auto"/>
        <w:rPr>
          <w:i/>
          <w:sz w:val="24"/>
          <w:szCs w:val="24"/>
        </w:rPr>
      </w:pPr>
    </w:p>
    <w:p>
      <w:pPr>
        <w:spacing w:line="240" w:lineRule="auto"/>
        <w:rPr>
          <w:i/>
          <w:sz w:val="24"/>
          <w:szCs w:val="24"/>
        </w:rPr>
      </w:pPr>
    </w:p>
    <w:tbl>
      <w:tblPr>
        <w:tblStyle w:val="a9"/>
        <w:tblW w:w="9180" w:type="dxa"/>
        <w:tblBorders>
          <w:top w:val="nil"/>
          <w:left w:val="nil"/>
          <w:bottom w:val="nil"/>
          <w:right w:val="nil"/>
          <w:insideH w:val="nil"/>
          <w:insideV w:val="nil"/>
        </w:tblBorders>
        <w:tblLayout w:type="fixed"/>
        <w:tblLook w:val="0600" w:firstRow="0" w:lastRow="0" w:firstColumn="0" w:lastColumn="0" w:noHBand="1" w:noVBand="1"/>
      </w:tblPr>
      <w:tblGrid>
        <w:gridCol w:w="3630"/>
        <w:gridCol w:w="2790"/>
        <w:gridCol w:w="855"/>
        <w:gridCol w:w="975"/>
        <w:gridCol w:w="930"/>
      </w:tblGrid>
      <w:tr>
        <w:trPr>
          <w:trHeight w:val="705"/>
        </w:trPr>
        <w:tc>
          <w:tcPr>
            <w:tcW w:w="363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13. “My parents/family value a career in Science.”</w:t>
            </w:r>
          </w:p>
        </w:tc>
        <w:tc>
          <w:tcPr>
            <w:tcW w:w="2790"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13. “My parents/family value a career in Science.”</w:t>
            </w:r>
          </w:p>
        </w:tc>
        <w:tc>
          <w:tcPr>
            <w:tcW w:w="855"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97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93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3630"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279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85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97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93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363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279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33.33%</w:t>
            </w:r>
          </w:p>
        </w:tc>
        <w:tc>
          <w:tcPr>
            <w:tcW w:w="85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66.67%</w:t>
            </w:r>
          </w:p>
        </w:tc>
        <w:tc>
          <w:tcPr>
            <w:tcW w:w="975"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93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363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279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50.00%</w:t>
            </w:r>
          </w:p>
        </w:tc>
        <w:tc>
          <w:tcPr>
            <w:tcW w:w="85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33.33%</w:t>
            </w:r>
          </w:p>
        </w:tc>
        <w:tc>
          <w:tcPr>
            <w:tcW w:w="97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16.67%</w:t>
            </w:r>
          </w:p>
        </w:tc>
        <w:tc>
          <w:tcPr>
            <w:tcW w:w="93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30"/>
        </w:trPr>
        <w:tc>
          <w:tcPr>
            <w:tcW w:w="3630"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Other</w:t>
            </w:r>
          </w:p>
        </w:tc>
        <w:tc>
          <w:tcPr>
            <w:tcW w:w="279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85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7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3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363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279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46.15%</w:t>
            </w:r>
          </w:p>
        </w:tc>
        <w:tc>
          <w:tcPr>
            <w:tcW w:w="85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46.15%</w:t>
            </w:r>
          </w:p>
        </w:tc>
        <w:tc>
          <w:tcPr>
            <w:tcW w:w="97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7.69%</w:t>
            </w:r>
          </w:p>
        </w:tc>
        <w:tc>
          <w:tcPr>
            <w:tcW w:w="93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9: Responses to “My parents/family value a career in science”. </w:t>
      </w:r>
    </w:p>
    <w:p>
      <w:pPr>
        <w:spacing w:line="240" w:lineRule="auto"/>
        <w:rPr>
          <w:i/>
          <w:sz w:val="24"/>
          <w:szCs w:val="24"/>
        </w:rPr>
      </w:pPr>
    </w:p>
    <w:p>
      <w:pPr>
        <w:spacing w:line="240" w:lineRule="auto"/>
        <w:rPr>
          <w:i/>
          <w:sz w:val="24"/>
          <w:szCs w:val="24"/>
        </w:rPr>
      </w:pPr>
    </w:p>
    <w:tbl>
      <w:tblPr>
        <w:tblStyle w:val="aa"/>
        <w:tblW w:w="9000" w:type="dxa"/>
        <w:tblBorders>
          <w:top w:val="nil"/>
          <w:left w:val="nil"/>
          <w:bottom w:val="nil"/>
          <w:right w:val="nil"/>
          <w:insideH w:val="nil"/>
          <w:insideV w:val="nil"/>
        </w:tblBorders>
        <w:tblLayout w:type="fixed"/>
        <w:tblLook w:val="0600" w:firstRow="0" w:lastRow="0" w:firstColumn="0" w:lastColumn="0" w:noHBand="1" w:noVBand="1"/>
      </w:tblPr>
      <w:tblGrid>
        <w:gridCol w:w="3075"/>
        <w:gridCol w:w="2250"/>
        <w:gridCol w:w="915"/>
        <w:gridCol w:w="900"/>
        <w:gridCol w:w="900"/>
        <w:gridCol w:w="960"/>
      </w:tblGrid>
      <w:tr>
        <w:trPr>
          <w:trHeight w:val="1245"/>
        </w:trPr>
        <w:tc>
          <w:tcPr>
            <w:tcW w:w="307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14. “My parents/ family encouraged me to continue studying one or more Science at A Level”</w:t>
            </w:r>
          </w:p>
        </w:tc>
        <w:tc>
          <w:tcPr>
            <w:tcW w:w="2250"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14. “My parents/ family encouraged me to continue studying one or more Science at A Level”</w:t>
            </w:r>
          </w:p>
        </w:tc>
        <w:tc>
          <w:tcPr>
            <w:tcW w:w="915"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90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90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96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3075"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225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91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Disagree</w:t>
            </w:r>
          </w:p>
        </w:tc>
        <w:tc>
          <w:tcPr>
            <w:tcW w:w="9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9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96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3075"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225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66.67%</w:t>
            </w:r>
          </w:p>
        </w:tc>
        <w:tc>
          <w:tcPr>
            <w:tcW w:w="915"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9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9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33.33%</w:t>
            </w:r>
          </w:p>
        </w:tc>
        <w:tc>
          <w:tcPr>
            <w:tcW w:w="96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3075"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225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50.00%</w:t>
            </w:r>
          </w:p>
        </w:tc>
        <w:tc>
          <w:tcPr>
            <w:tcW w:w="91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16.67%</w:t>
            </w:r>
          </w:p>
        </w:tc>
        <w:tc>
          <w:tcPr>
            <w:tcW w:w="9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33.33%</w:t>
            </w:r>
          </w:p>
        </w:tc>
        <w:tc>
          <w:tcPr>
            <w:tcW w:w="9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96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30"/>
        </w:trPr>
        <w:tc>
          <w:tcPr>
            <w:tcW w:w="3075"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Other</w:t>
            </w:r>
          </w:p>
        </w:tc>
        <w:tc>
          <w:tcPr>
            <w:tcW w:w="225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91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6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307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225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61.54%</w:t>
            </w:r>
          </w:p>
        </w:tc>
        <w:tc>
          <w:tcPr>
            <w:tcW w:w="91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7.69%</w:t>
            </w:r>
          </w:p>
        </w:tc>
        <w:tc>
          <w:tcPr>
            <w:tcW w:w="9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15.38%</w:t>
            </w:r>
          </w:p>
        </w:tc>
        <w:tc>
          <w:tcPr>
            <w:tcW w:w="9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15.38%</w:t>
            </w:r>
          </w:p>
        </w:tc>
        <w:tc>
          <w:tcPr>
            <w:tcW w:w="96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Table 10: Responses to “My parents/family encouraged me to continue studying one or more science at A Level”.</w:t>
      </w:r>
    </w:p>
    <w:p>
      <w:pPr>
        <w:spacing w:line="240" w:lineRule="auto"/>
        <w:rPr>
          <w:i/>
          <w:sz w:val="24"/>
          <w:szCs w:val="24"/>
        </w:rPr>
      </w:pPr>
    </w:p>
    <w:p>
      <w:pPr>
        <w:spacing w:line="240" w:lineRule="auto"/>
        <w:rPr>
          <w:i/>
          <w:sz w:val="24"/>
          <w:szCs w:val="24"/>
        </w:rPr>
      </w:pPr>
    </w:p>
    <w:tbl>
      <w:tblPr>
        <w:tblStyle w:val="ab"/>
        <w:tblW w:w="8985" w:type="dxa"/>
        <w:tblBorders>
          <w:top w:val="nil"/>
          <w:left w:val="nil"/>
          <w:bottom w:val="nil"/>
          <w:right w:val="nil"/>
          <w:insideH w:val="nil"/>
          <w:insideV w:val="nil"/>
        </w:tblBorders>
        <w:tblLayout w:type="fixed"/>
        <w:tblLook w:val="0600" w:firstRow="0" w:lastRow="0" w:firstColumn="0" w:lastColumn="0" w:noHBand="1" w:noVBand="1"/>
      </w:tblPr>
      <w:tblGrid>
        <w:gridCol w:w="4200"/>
        <w:gridCol w:w="2100"/>
        <w:gridCol w:w="885"/>
        <w:gridCol w:w="810"/>
        <w:gridCol w:w="990"/>
      </w:tblGrid>
      <w:tr>
        <w:trPr>
          <w:trHeight w:val="690"/>
        </w:trPr>
        <w:tc>
          <w:tcPr>
            <w:tcW w:w="42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15. I consider myself to be good at Science.”</w:t>
            </w:r>
          </w:p>
        </w:tc>
        <w:tc>
          <w:tcPr>
            <w:tcW w:w="2100"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15. I consider myself to be good at Science.”</w:t>
            </w:r>
          </w:p>
        </w:tc>
        <w:tc>
          <w:tcPr>
            <w:tcW w:w="885"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81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99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4200"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21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88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81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99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420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21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83.33%</w:t>
            </w:r>
          </w:p>
        </w:tc>
        <w:tc>
          <w:tcPr>
            <w:tcW w:w="88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16.67%</w:t>
            </w:r>
          </w:p>
        </w:tc>
        <w:tc>
          <w:tcPr>
            <w:tcW w:w="810"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99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420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21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16.67%</w:t>
            </w:r>
          </w:p>
        </w:tc>
        <w:tc>
          <w:tcPr>
            <w:tcW w:w="88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33.33%</w:t>
            </w:r>
          </w:p>
        </w:tc>
        <w:tc>
          <w:tcPr>
            <w:tcW w:w="81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50.00%</w:t>
            </w:r>
          </w:p>
        </w:tc>
        <w:tc>
          <w:tcPr>
            <w:tcW w:w="99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30"/>
        </w:trPr>
        <w:tc>
          <w:tcPr>
            <w:tcW w:w="4200"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Other</w:t>
            </w:r>
          </w:p>
        </w:tc>
        <w:tc>
          <w:tcPr>
            <w:tcW w:w="21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88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81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9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42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21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53.85%</w:t>
            </w:r>
          </w:p>
        </w:tc>
        <w:tc>
          <w:tcPr>
            <w:tcW w:w="88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23.08%</w:t>
            </w:r>
          </w:p>
        </w:tc>
        <w:tc>
          <w:tcPr>
            <w:tcW w:w="81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23.08%</w:t>
            </w:r>
          </w:p>
        </w:tc>
        <w:tc>
          <w:tcPr>
            <w:tcW w:w="99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11: Responses to “I consider myself to be good at science”. </w:t>
      </w:r>
    </w:p>
    <w:p>
      <w:pPr>
        <w:spacing w:line="240" w:lineRule="auto"/>
        <w:rPr>
          <w:i/>
          <w:sz w:val="24"/>
          <w:szCs w:val="24"/>
        </w:rPr>
      </w:pPr>
    </w:p>
    <w:p>
      <w:pPr>
        <w:spacing w:line="240" w:lineRule="auto"/>
        <w:rPr>
          <w:i/>
          <w:sz w:val="24"/>
          <w:szCs w:val="24"/>
        </w:rPr>
      </w:pPr>
    </w:p>
    <w:tbl>
      <w:tblPr>
        <w:tblStyle w:val="ac"/>
        <w:tblW w:w="9000" w:type="dxa"/>
        <w:tblBorders>
          <w:top w:val="nil"/>
          <w:left w:val="nil"/>
          <w:bottom w:val="nil"/>
          <w:right w:val="nil"/>
          <w:insideH w:val="nil"/>
          <w:insideV w:val="nil"/>
        </w:tblBorders>
        <w:tblLayout w:type="fixed"/>
        <w:tblLook w:val="0600" w:firstRow="0" w:lastRow="0" w:firstColumn="0" w:lastColumn="0" w:noHBand="1" w:noVBand="1"/>
      </w:tblPr>
      <w:tblGrid>
        <w:gridCol w:w="4845"/>
        <w:gridCol w:w="2175"/>
        <w:gridCol w:w="885"/>
        <w:gridCol w:w="1095"/>
      </w:tblGrid>
      <w:tr>
        <w:trPr>
          <w:trHeight w:val="690"/>
        </w:trPr>
        <w:tc>
          <w:tcPr>
            <w:tcW w:w="484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16. “I am considering a career in Science.”</w:t>
            </w:r>
          </w:p>
        </w:tc>
        <w:tc>
          <w:tcPr>
            <w:tcW w:w="2175"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16. “I am considering a career in Science.”</w:t>
            </w:r>
          </w:p>
        </w:tc>
        <w:tc>
          <w:tcPr>
            <w:tcW w:w="885"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09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4845"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217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88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109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4845"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217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16.67%</w:t>
            </w:r>
          </w:p>
        </w:tc>
        <w:tc>
          <w:tcPr>
            <w:tcW w:w="88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83.33%</w:t>
            </w:r>
          </w:p>
        </w:tc>
        <w:tc>
          <w:tcPr>
            <w:tcW w:w="109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4845"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217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83.33%</w:t>
            </w:r>
          </w:p>
        </w:tc>
        <w:tc>
          <w:tcPr>
            <w:tcW w:w="88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16.67%</w:t>
            </w:r>
          </w:p>
        </w:tc>
        <w:tc>
          <w:tcPr>
            <w:tcW w:w="109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30"/>
        </w:trPr>
        <w:tc>
          <w:tcPr>
            <w:tcW w:w="4845"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Other</w:t>
            </w:r>
          </w:p>
        </w:tc>
        <w:tc>
          <w:tcPr>
            <w:tcW w:w="217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88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09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484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217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46.15%</w:t>
            </w:r>
          </w:p>
        </w:tc>
        <w:tc>
          <w:tcPr>
            <w:tcW w:w="88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53.85%</w:t>
            </w:r>
          </w:p>
        </w:tc>
        <w:tc>
          <w:tcPr>
            <w:tcW w:w="109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12: Responses to “ I am considering a career in science”. </w:t>
      </w:r>
    </w:p>
    <w:p>
      <w:pPr>
        <w:spacing w:line="240" w:lineRule="auto"/>
        <w:rPr>
          <w:i/>
          <w:sz w:val="24"/>
          <w:szCs w:val="24"/>
        </w:rPr>
      </w:pPr>
    </w:p>
    <w:p>
      <w:pPr>
        <w:spacing w:line="240" w:lineRule="auto"/>
        <w:rPr>
          <w:sz w:val="24"/>
          <w:szCs w:val="24"/>
        </w:rPr>
      </w:pPr>
    </w:p>
    <w:p>
      <w:pPr>
        <w:spacing w:line="240" w:lineRule="auto"/>
        <w:rPr>
          <w:i/>
          <w:sz w:val="24"/>
          <w:szCs w:val="24"/>
        </w:rPr>
      </w:pPr>
      <w:r>
        <w:rPr>
          <w:i/>
          <w:sz w:val="24"/>
          <w:szCs w:val="24"/>
        </w:rPr>
        <w:t>Questions 17-19</w:t>
      </w:r>
    </w:p>
    <w:p>
      <w:pPr>
        <w:spacing w:line="240" w:lineRule="auto"/>
        <w:rPr>
          <w:sz w:val="24"/>
          <w:szCs w:val="24"/>
        </w:rPr>
      </w:pPr>
    </w:p>
    <w:p>
      <w:pPr>
        <w:spacing w:line="240" w:lineRule="auto"/>
        <w:rPr>
          <w:sz w:val="24"/>
          <w:szCs w:val="24"/>
        </w:rPr>
      </w:pPr>
      <w:r>
        <w:rPr>
          <w:sz w:val="24"/>
          <w:szCs w:val="24"/>
        </w:rPr>
        <w:t>Questions 17 and 18 asked open ended questions. As detailed above, the questions were coded and recurring themes were identified. In response to question 17, “Why did you choose to study Science at A Level?” three themes were identified: university requirements/career aspirations; perceived ability in the subject (both positive and negative); enjoyment of the subject. The numbers of each type of response are summarised in table 13.</w:t>
      </w:r>
    </w:p>
    <w:p>
      <w:pPr>
        <w:spacing w:line="240" w:lineRule="auto"/>
        <w:rPr>
          <w:sz w:val="24"/>
          <w:szCs w:val="24"/>
        </w:rPr>
      </w:pPr>
    </w:p>
    <w:tbl>
      <w:tblPr>
        <w:tblStyle w:val="ad"/>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Theme</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 xml:space="preserve">Number of females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Number of males</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Number of other</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females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other (%)</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University requirement/career aspiration</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6</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4</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100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67</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100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Perceived ability</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3</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50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Enjoyment</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5</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2</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83</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33</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100</w:t>
            </w:r>
          </w:p>
        </w:tc>
      </w:tr>
    </w:tbl>
    <w:p>
      <w:pPr>
        <w:spacing w:line="240" w:lineRule="auto"/>
        <w:rPr>
          <w:i/>
          <w:sz w:val="24"/>
          <w:szCs w:val="24"/>
        </w:rPr>
      </w:pPr>
      <w:r>
        <w:rPr>
          <w:i/>
          <w:sz w:val="24"/>
          <w:szCs w:val="24"/>
        </w:rPr>
        <w:t>Table 13: The number of each theme appearing in male, female and other responses to Question 17.</w:t>
      </w:r>
    </w:p>
    <w:p>
      <w:pPr>
        <w:spacing w:line="240" w:lineRule="auto"/>
        <w:rPr>
          <w:i/>
          <w:sz w:val="24"/>
          <w:szCs w:val="24"/>
        </w:rPr>
      </w:pPr>
    </w:p>
    <w:p>
      <w:pPr>
        <w:spacing w:line="240" w:lineRule="auto"/>
        <w:rPr>
          <w:sz w:val="24"/>
          <w:szCs w:val="24"/>
        </w:rPr>
      </w:pPr>
      <w:r>
        <w:rPr>
          <w:sz w:val="24"/>
          <w:szCs w:val="24"/>
        </w:rPr>
        <w:t xml:space="preserve">There were two responses that were not deemed to align with any of these themes. One of these responses was from a female student who expressed concern that she “may be a bit uncomfortable with being with only guys in the class (due to past experience)”. The other response was from a male student who said “there wasn’t really anything else that I could see myself doing”. </w:t>
      </w:r>
    </w:p>
    <w:p>
      <w:pPr>
        <w:spacing w:line="240" w:lineRule="auto"/>
        <w:rPr>
          <w:sz w:val="24"/>
          <w:szCs w:val="24"/>
        </w:rPr>
      </w:pPr>
    </w:p>
    <w:p>
      <w:pPr>
        <w:spacing w:line="240" w:lineRule="auto"/>
        <w:rPr>
          <w:sz w:val="24"/>
          <w:szCs w:val="24"/>
        </w:rPr>
      </w:pPr>
      <w:r>
        <w:rPr>
          <w:sz w:val="24"/>
          <w:szCs w:val="24"/>
        </w:rPr>
        <w:t>In response to question 17, female responses consisted of an average of 2.5 themes, males responses consisted of an average of 1.17 themes and the other response consisted of 3 themes.</w:t>
      </w:r>
    </w:p>
    <w:p>
      <w:pPr>
        <w:spacing w:line="240" w:lineRule="auto"/>
        <w:rPr>
          <w:sz w:val="24"/>
          <w:szCs w:val="24"/>
        </w:rPr>
      </w:pPr>
    </w:p>
    <w:p>
      <w:pPr>
        <w:spacing w:line="240" w:lineRule="auto"/>
        <w:rPr>
          <w:sz w:val="24"/>
          <w:szCs w:val="24"/>
        </w:rPr>
      </w:pPr>
      <w:r>
        <w:rPr>
          <w:sz w:val="24"/>
          <w:szCs w:val="24"/>
        </w:rPr>
        <w:t>Question 18 asked “What factors discouraged you from studying one or more science at A Level?”. In the responses, two themes were identified: workload/perceived difficulty (these two factors were indistinguishable in most responses); and lack of enjoyment.</w:t>
      </w:r>
    </w:p>
    <w:p>
      <w:pPr>
        <w:spacing w:line="240" w:lineRule="auto"/>
        <w:rPr>
          <w:sz w:val="24"/>
          <w:szCs w:val="24"/>
        </w:rPr>
      </w:pPr>
      <w:r>
        <w:rPr>
          <w:sz w:val="24"/>
          <w:szCs w:val="24"/>
        </w:rPr>
        <w:t>The numbers of each type of response are summarised in table 14.</w:t>
      </w:r>
    </w:p>
    <w:p>
      <w:pPr>
        <w:spacing w:line="240" w:lineRule="auto"/>
        <w:rPr>
          <w:sz w:val="24"/>
          <w:szCs w:val="24"/>
        </w:rPr>
      </w:pPr>
    </w:p>
    <w:p>
      <w:pPr>
        <w:spacing w:line="240" w:lineRule="auto"/>
        <w:rPr>
          <w:sz w:val="24"/>
          <w:szCs w:val="24"/>
        </w:rPr>
      </w:pPr>
    </w:p>
    <w:tbl>
      <w:tblPr>
        <w:tblStyle w:val="ae"/>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Theme</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 xml:space="preserve">Number of females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Number of males</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Number of other</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females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other (%)</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Workload/ perceived difficulty</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5</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6</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83</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100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100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Lack of enjoyment</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2</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2</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33</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33</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r>
    </w:tbl>
    <w:p>
      <w:pPr>
        <w:spacing w:line="240" w:lineRule="auto"/>
        <w:rPr>
          <w:i/>
          <w:sz w:val="24"/>
          <w:szCs w:val="24"/>
        </w:rPr>
      </w:pPr>
      <w:r>
        <w:rPr>
          <w:i/>
          <w:sz w:val="24"/>
          <w:szCs w:val="24"/>
        </w:rPr>
        <w:t>Table 14: The number of each theme appearing in male, female and other responses to Question 18.</w:t>
      </w:r>
    </w:p>
    <w:p>
      <w:pPr>
        <w:spacing w:line="240" w:lineRule="auto"/>
        <w:rPr>
          <w:i/>
          <w:sz w:val="24"/>
          <w:szCs w:val="24"/>
        </w:rPr>
      </w:pPr>
    </w:p>
    <w:p>
      <w:pPr>
        <w:spacing w:line="240" w:lineRule="auto"/>
        <w:rPr>
          <w:sz w:val="24"/>
          <w:szCs w:val="24"/>
        </w:rPr>
      </w:pPr>
      <w:r>
        <w:rPr>
          <w:sz w:val="24"/>
          <w:szCs w:val="24"/>
        </w:rPr>
        <w:t xml:space="preserve">It may be worth noting that of the responses that fitted the theme “lack of enjoyment” both females specified physics while one male specified chemistry and the other male more generically referenced science. There were 4 responses that did not fit either of the above themes. Due to its pertinence to the research questions at hand, the first female response will be quoted in its entirety: “I was also discouraged from taking it because of the reputation of the subject, especially that the number of women taking it in further education is very low and misogyny is relatively common.” The second female response cited discouragement from the year above. The two male responses cited “physics, not relevant to favoured career pathway” and “big classes-lack of help”. </w:t>
      </w:r>
    </w:p>
    <w:p>
      <w:pPr>
        <w:spacing w:line="240" w:lineRule="auto"/>
        <w:rPr>
          <w:sz w:val="24"/>
          <w:szCs w:val="24"/>
        </w:rPr>
      </w:pPr>
    </w:p>
    <w:p>
      <w:pPr>
        <w:spacing w:line="240" w:lineRule="auto"/>
        <w:rPr>
          <w:sz w:val="24"/>
          <w:szCs w:val="24"/>
        </w:rPr>
      </w:pPr>
      <w:r>
        <w:rPr>
          <w:sz w:val="24"/>
          <w:szCs w:val="24"/>
        </w:rPr>
        <w:t>In response to question 18, female responses consisted of an average of 1.5 themes, males responses consisted of an average of 1.67 themes and the other response consisted of 1 theme.</w:t>
      </w:r>
    </w:p>
    <w:p>
      <w:pPr>
        <w:spacing w:line="240" w:lineRule="auto"/>
        <w:rPr>
          <w:sz w:val="24"/>
          <w:szCs w:val="24"/>
        </w:rPr>
      </w:pPr>
    </w:p>
    <w:p>
      <w:pPr>
        <w:spacing w:line="240" w:lineRule="auto"/>
        <w:rPr>
          <w:sz w:val="24"/>
          <w:szCs w:val="24"/>
        </w:rPr>
      </w:pPr>
      <w:r>
        <w:rPr>
          <w:sz w:val="24"/>
          <w:szCs w:val="24"/>
        </w:rPr>
        <w:t xml:space="preserve">Question 19 asked students for any further comments about studying science at A Level. There were six responses to this question: four from females and two from males. The responses were largely positive and provided student reflections on their experience. A common theme was that Biology A Level is very content heavy and that science A Levels, in general, require a lot of work, but that students were happy with their decision to study them. No specific comments about Physics were provided in these responses and the responses were not deemed to add any further, new information when compared with the responses to questions 17 and 18, and so they will not be analysed further. </w:t>
      </w:r>
    </w:p>
    <w:p>
      <w:pPr>
        <w:spacing w:line="240" w:lineRule="auto"/>
        <w:rPr>
          <w:sz w:val="24"/>
          <w:szCs w:val="24"/>
        </w:rPr>
      </w:pPr>
    </w:p>
    <w:p>
      <w:pPr>
        <w:numPr>
          <w:ilvl w:val="0"/>
          <w:numId w:val="10"/>
        </w:numPr>
        <w:spacing w:line="240" w:lineRule="auto"/>
        <w:rPr>
          <w:b/>
          <w:i/>
          <w:sz w:val="24"/>
          <w:szCs w:val="24"/>
        </w:rPr>
      </w:pPr>
      <w:r>
        <w:rPr>
          <w:b/>
          <w:i/>
          <w:sz w:val="24"/>
          <w:szCs w:val="24"/>
        </w:rPr>
        <w:t>Key Stage 5 Focus Group</w:t>
      </w:r>
    </w:p>
    <w:p>
      <w:pPr>
        <w:spacing w:line="240" w:lineRule="auto"/>
        <w:rPr>
          <w:b/>
          <w:sz w:val="24"/>
          <w:szCs w:val="24"/>
          <w:highlight w:val="yellow"/>
        </w:rPr>
      </w:pPr>
    </w:p>
    <w:p>
      <w:pPr>
        <w:spacing w:line="240" w:lineRule="auto"/>
        <w:rPr>
          <w:sz w:val="24"/>
          <w:szCs w:val="24"/>
        </w:rPr>
      </w:pPr>
      <w:r>
        <w:rPr>
          <w:sz w:val="24"/>
          <w:szCs w:val="24"/>
        </w:rPr>
        <w:t xml:space="preserve">The Key Stage 5 focus group involved nine Year 12 students (one of whom, M3, was resitting Year 12 and so was a year older). Four of the nine participants were male and five were female. One female, F5, did not provide any responses during the focus group. Each of the questions and their responses are summarised below. </w:t>
      </w:r>
    </w:p>
    <w:p>
      <w:pPr>
        <w:spacing w:line="240" w:lineRule="auto"/>
        <w:rPr>
          <w:sz w:val="24"/>
          <w:szCs w:val="24"/>
        </w:rPr>
      </w:pPr>
    </w:p>
    <w:tbl>
      <w:tblPr>
        <w:tblStyle w:val="af"/>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1: Factors affecting the decision to study Biology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6"/>
              </w:numPr>
              <w:spacing w:line="240" w:lineRule="auto"/>
              <w:rPr>
                <w:sz w:val="24"/>
                <w:szCs w:val="24"/>
              </w:rPr>
            </w:pPr>
            <w:r>
              <w:rPr>
                <w:sz w:val="24"/>
                <w:szCs w:val="24"/>
              </w:rPr>
              <w:t xml:space="preserve">Future plans to study Medicine at university and so Biology A Level is highly desirable.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F2</w:t>
            </w:r>
          </w:p>
        </w:tc>
        <w:tc>
          <w:tcPr>
            <w:tcW w:w="8205" w:type="dxa"/>
            <w:shd w:val="clear" w:color="auto" w:fill="auto"/>
            <w:tcMar>
              <w:top w:w="100" w:type="dxa"/>
              <w:left w:w="100" w:type="dxa"/>
              <w:bottom w:w="100" w:type="dxa"/>
              <w:right w:w="100" w:type="dxa"/>
            </w:tcMar>
          </w:tcPr>
          <w:p>
            <w:pPr>
              <w:widowControl w:val="0"/>
              <w:numPr>
                <w:ilvl w:val="0"/>
                <w:numId w:val="36"/>
              </w:numPr>
              <w:spacing w:line="240" w:lineRule="auto"/>
              <w:rPr>
                <w:sz w:val="24"/>
                <w:szCs w:val="24"/>
              </w:rPr>
            </w:pPr>
            <w:r>
              <w:rPr>
                <w:sz w:val="24"/>
                <w:szCs w:val="24"/>
              </w:rPr>
              <w:t>It was boring at GCSE but not difficult.</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26"/>
              </w:numPr>
              <w:spacing w:line="240" w:lineRule="auto"/>
              <w:rPr>
                <w:sz w:val="24"/>
                <w:szCs w:val="24"/>
              </w:rPr>
            </w:pPr>
            <w:r>
              <w:rPr>
                <w:sz w:val="24"/>
                <w:szCs w:val="24"/>
              </w:rPr>
              <w:t>Desired university course requires a Biology A Level.</w:t>
            </w:r>
          </w:p>
          <w:p>
            <w:pPr>
              <w:widowControl w:val="0"/>
              <w:numPr>
                <w:ilvl w:val="0"/>
                <w:numId w:val="26"/>
              </w:numPr>
              <w:spacing w:line="240" w:lineRule="auto"/>
              <w:rPr>
                <w:sz w:val="24"/>
                <w:szCs w:val="24"/>
              </w:rPr>
            </w:pPr>
            <w:r>
              <w:rPr>
                <w:sz w:val="24"/>
                <w:szCs w:val="24"/>
              </w:rPr>
              <w:t>It was the easiest science at GCSE.</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 xml:space="preserve">It was their best science at GCSE and they typically got better marks in biology, than chemistry and physics.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M1</w:t>
            </w:r>
          </w:p>
        </w:tc>
        <w:tc>
          <w:tcPr>
            <w:tcW w:w="8205" w:type="dxa"/>
            <w:shd w:val="clear" w:color="auto" w:fill="auto"/>
            <w:tcMar>
              <w:top w:w="100" w:type="dxa"/>
              <w:left w:w="100" w:type="dxa"/>
              <w:bottom w:w="100" w:type="dxa"/>
              <w:right w:w="100" w:type="dxa"/>
            </w:tcMar>
          </w:tcPr>
          <w:p>
            <w:pPr>
              <w:widowControl w:val="0"/>
              <w:numPr>
                <w:ilvl w:val="0"/>
                <w:numId w:val="32"/>
              </w:numPr>
              <w:spacing w:line="240" w:lineRule="auto"/>
              <w:rPr>
                <w:sz w:val="24"/>
                <w:szCs w:val="24"/>
              </w:rPr>
            </w:pPr>
            <w:r>
              <w:rPr>
                <w:sz w:val="24"/>
                <w:szCs w:val="24"/>
              </w:rPr>
              <w:t>It would be useful for university options.</w:t>
            </w:r>
          </w:p>
          <w:p>
            <w:pPr>
              <w:widowControl w:val="0"/>
              <w:numPr>
                <w:ilvl w:val="0"/>
                <w:numId w:val="32"/>
              </w:numPr>
              <w:spacing w:line="240" w:lineRule="auto"/>
              <w:rPr>
                <w:sz w:val="24"/>
                <w:szCs w:val="24"/>
              </w:rPr>
            </w:pPr>
            <w:r>
              <w:rPr>
                <w:sz w:val="24"/>
                <w:szCs w:val="24"/>
              </w:rPr>
              <w:t>It was one of their strongest GCSEs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M2</w:t>
            </w:r>
          </w:p>
        </w:tc>
        <w:tc>
          <w:tcPr>
            <w:tcW w:w="8205" w:type="dxa"/>
            <w:shd w:val="clear" w:color="auto" w:fill="auto"/>
            <w:tcMar>
              <w:top w:w="100" w:type="dxa"/>
              <w:left w:w="100" w:type="dxa"/>
              <w:bottom w:w="100" w:type="dxa"/>
              <w:right w:w="100" w:type="dxa"/>
            </w:tcMar>
          </w:tcPr>
          <w:p>
            <w:pPr>
              <w:widowControl w:val="0"/>
              <w:numPr>
                <w:ilvl w:val="0"/>
                <w:numId w:val="33"/>
              </w:numPr>
              <w:spacing w:line="240" w:lineRule="auto"/>
              <w:rPr>
                <w:sz w:val="24"/>
                <w:szCs w:val="24"/>
              </w:rPr>
            </w:pPr>
            <w:r>
              <w:rPr>
                <w:sz w:val="24"/>
                <w:szCs w:val="24"/>
              </w:rPr>
              <w:t xml:space="preserve">They researched the course and particularly liked the biochemistry content. </w:t>
            </w:r>
          </w:p>
          <w:p>
            <w:pPr>
              <w:widowControl w:val="0"/>
              <w:numPr>
                <w:ilvl w:val="0"/>
                <w:numId w:val="33"/>
              </w:numPr>
              <w:spacing w:line="240" w:lineRule="auto"/>
              <w:rPr>
                <w:sz w:val="24"/>
                <w:szCs w:val="24"/>
              </w:rPr>
            </w:pPr>
            <w:r>
              <w:rPr>
                <w:sz w:val="24"/>
                <w:szCs w:val="24"/>
              </w:rPr>
              <w:t>The prospect of lots of content was a negative factor that they considered.</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M4</w:t>
            </w:r>
          </w:p>
        </w:tc>
        <w:tc>
          <w:tcPr>
            <w:tcW w:w="8205" w:type="dxa"/>
            <w:shd w:val="clear" w:color="auto" w:fill="auto"/>
            <w:tcMar>
              <w:top w:w="100" w:type="dxa"/>
              <w:left w:w="100" w:type="dxa"/>
              <w:bottom w:w="100" w:type="dxa"/>
              <w:right w:w="100" w:type="dxa"/>
            </w:tcMar>
          </w:tcPr>
          <w:p>
            <w:pPr>
              <w:widowControl w:val="0"/>
              <w:numPr>
                <w:ilvl w:val="0"/>
                <w:numId w:val="30"/>
              </w:numPr>
              <w:spacing w:line="240" w:lineRule="auto"/>
              <w:rPr>
                <w:sz w:val="24"/>
                <w:szCs w:val="24"/>
              </w:rPr>
            </w:pPr>
            <w:r>
              <w:rPr>
                <w:sz w:val="24"/>
                <w:szCs w:val="24"/>
              </w:rPr>
              <w:t>Interested in studying mental health and/or a medical subject and so Biology would be useful.</w:t>
            </w:r>
          </w:p>
        </w:tc>
      </w:tr>
    </w:tbl>
    <w:p>
      <w:pPr>
        <w:spacing w:line="240" w:lineRule="auto"/>
        <w:rPr>
          <w:sz w:val="24"/>
          <w:szCs w:val="24"/>
        </w:rPr>
      </w:pPr>
    </w:p>
    <w:p>
      <w:pPr>
        <w:spacing w:line="240" w:lineRule="auto"/>
        <w:rPr>
          <w:sz w:val="24"/>
          <w:szCs w:val="24"/>
        </w:rPr>
      </w:pPr>
      <w:r>
        <w:rPr>
          <w:sz w:val="24"/>
          <w:szCs w:val="24"/>
        </w:rPr>
        <w:t xml:space="preserve">Question 1 comment: Half of the  participants discussed their future career aspirations and/or their desired university course. One participant said that they may have been put off studying Biology by the volume of content but they chose it anyway. Half of the participants discussed Biology as being the easiest, or their best, science. </w:t>
      </w:r>
    </w:p>
    <w:p>
      <w:pPr>
        <w:spacing w:line="240" w:lineRule="auto"/>
        <w:rPr>
          <w:sz w:val="24"/>
          <w:szCs w:val="24"/>
        </w:rPr>
      </w:pPr>
    </w:p>
    <w:tbl>
      <w:tblPr>
        <w:tblStyle w:val="af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2: Factors affecting the decision to study Chemistry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 xml:space="preserve">They knew which teacher they’d have and really liked them, having been taught by them before.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6"/>
              </w:numPr>
              <w:spacing w:line="240" w:lineRule="auto"/>
              <w:rPr>
                <w:sz w:val="24"/>
                <w:szCs w:val="24"/>
              </w:rPr>
            </w:pPr>
            <w:r>
              <w:rPr>
                <w:sz w:val="24"/>
                <w:szCs w:val="24"/>
              </w:rPr>
              <w:t xml:space="preserve">It’s needed for a desired university course. </w:t>
            </w:r>
          </w:p>
          <w:p>
            <w:pPr>
              <w:widowControl w:val="0"/>
              <w:numPr>
                <w:ilvl w:val="0"/>
                <w:numId w:val="6"/>
              </w:numPr>
              <w:spacing w:line="240" w:lineRule="auto"/>
              <w:rPr>
                <w:sz w:val="24"/>
                <w:szCs w:val="24"/>
              </w:rPr>
            </w:pPr>
            <w:r>
              <w:rPr>
                <w:sz w:val="24"/>
                <w:szCs w:val="24"/>
              </w:rPr>
              <w:t>It’s fun and enjoyable.</w:t>
            </w:r>
          </w:p>
          <w:p>
            <w:pPr>
              <w:widowControl w:val="0"/>
              <w:numPr>
                <w:ilvl w:val="0"/>
                <w:numId w:val="6"/>
              </w:numPr>
              <w:spacing w:line="240" w:lineRule="auto"/>
              <w:rPr>
                <w:sz w:val="24"/>
                <w:szCs w:val="24"/>
              </w:rPr>
            </w:pPr>
            <w:r>
              <w:rPr>
                <w:sz w:val="24"/>
                <w:szCs w:val="24"/>
              </w:rPr>
              <w:t>It’s quite hard</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32"/>
              </w:numPr>
              <w:spacing w:line="240" w:lineRule="auto"/>
              <w:rPr>
                <w:sz w:val="24"/>
                <w:szCs w:val="24"/>
              </w:rPr>
            </w:pPr>
            <w:r>
              <w:rPr>
                <w:sz w:val="24"/>
                <w:szCs w:val="24"/>
              </w:rPr>
              <w:t xml:space="preserve">Considering studying Medicine at university, it’s a requirement. </w:t>
            </w:r>
          </w:p>
          <w:p>
            <w:pPr>
              <w:widowControl w:val="0"/>
              <w:numPr>
                <w:ilvl w:val="0"/>
                <w:numId w:val="32"/>
              </w:numPr>
              <w:spacing w:line="240" w:lineRule="auto"/>
              <w:rPr>
                <w:sz w:val="24"/>
                <w:szCs w:val="24"/>
              </w:rPr>
            </w:pPr>
            <w:r>
              <w:rPr>
                <w:sz w:val="24"/>
                <w:szCs w:val="24"/>
              </w:rPr>
              <w:t>They achieved a good grade at GCSE Chemistry.</w:t>
            </w:r>
          </w:p>
          <w:p>
            <w:pPr>
              <w:widowControl w:val="0"/>
              <w:numPr>
                <w:ilvl w:val="0"/>
                <w:numId w:val="32"/>
              </w:numPr>
              <w:spacing w:line="240" w:lineRule="auto"/>
              <w:rPr>
                <w:sz w:val="24"/>
                <w:szCs w:val="24"/>
              </w:rPr>
            </w:pPr>
            <w:r>
              <w:rPr>
                <w:sz w:val="24"/>
                <w:szCs w:val="24"/>
              </w:rPr>
              <w:t>They felt it was probably their least favourite science and the least useful.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M1</w:t>
            </w:r>
          </w:p>
        </w:tc>
        <w:tc>
          <w:tcPr>
            <w:tcW w:w="8205" w:type="dxa"/>
            <w:shd w:val="clear" w:color="auto" w:fill="auto"/>
            <w:tcMar>
              <w:top w:w="100" w:type="dxa"/>
              <w:left w:w="100" w:type="dxa"/>
              <w:bottom w:w="100" w:type="dxa"/>
              <w:right w:w="100" w:type="dxa"/>
            </w:tcMar>
          </w:tcPr>
          <w:p>
            <w:pPr>
              <w:widowControl w:val="0"/>
              <w:numPr>
                <w:ilvl w:val="0"/>
                <w:numId w:val="33"/>
              </w:numPr>
              <w:spacing w:line="240" w:lineRule="auto"/>
              <w:rPr>
                <w:sz w:val="24"/>
                <w:szCs w:val="24"/>
              </w:rPr>
            </w:pPr>
            <w:r>
              <w:rPr>
                <w:sz w:val="24"/>
                <w:szCs w:val="24"/>
              </w:rPr>
              <w:t xml:space="preserve">They found it boring at GCSE and generally didn’t enjoy it.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M2</w:t>
            </w:r>
          </w:p>
        </w:tc>
        <w:tc>
          <w:tcPr>
            <w:tcW w:w="8205" w:type="dxa"/>
            <w:shd w:val="clear" w:color="auto" w:fill="auto"/>
            <w:tcMar>
              <w:top w:w="100" w:type="dxa"/>
              <w:left w:w="100" w:type="dxa"/>
              <w:bottom w:w="100" w:type="dxa"/>
              <w:right w:w="100" w:type="dxa"/>
            </w:tcMar>
          </w:tcPr>
          <w:p>
            <w:pPr>
              <w:widowControl w:val="0"/>
              <w:numPr>
                <w:ilvl w:val="0"/>
                <w:numId w:val="36"/>
              </w:numPr>
              <w:spacing w:line="240" w:lineRule="auto"/>
              <w:rPr>
                <w:sz w:val="24"/>
                <w:szCs w:val="24"/>
              </w:rPr>
            </w:pPr>
            <w:r>
              <w:rPr>
                <w:sz w:val="24"/>
                <w:szCs w:val="24"/>
              </w:rPr>
              <w:t>Practicals are fun.</w:t>
            </w:r>
          </w:p>
          <w:p>
            <w:pPr>
              <w:widowControl w:val="0"/>
              <w:numPr>
                <w:ilvl w:val="0"/>
                <w:numId w:val="36"/>
              </w:numPr>
              <w:spacing w:line="240" w:lineRule="auto"/>
              <w:rPr>
                <w:sz w:val="24"/>
                <w:szCs w:val="24"/>
              </w:rPr>
            </w:pPr>
            <w:r>
              <w:rPr>
                <w:sz w:val="24"/>
                <w:szCs w:val="24"/>
              </w:rPr>
              <w:t>It’s a requirement for Medicine</w:t>
            </w:r>
          </w:p>
          <w:p>
            <w:pPr>
              <w:widowControl w:val="0"/>
              <w:numPr>
                <w:ilvl w:val="0"/>
                <w:numId w:val="36"/>
              </w:numPr>
              <w:spacing w:line="240" w:lineRule="auto"/>
              <w:rPr>
                <w:sz w:val="24"/>
                <w:szCs w:val="24"/>
              </w:rPr>
            </w:pPr>
            <w:r>
              <w:rPr>
                <w:sz w:val="24"/>
                <w:szCs w:val="24"/>
              </w:rPr>
              <w:t>They had heard from other students that the teacher was really good</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M3</w:t>
            </w:r>
          </w:p>
        </w:tc>
        <w:tc>
          <w:tcPr>
            <w:tcW w:w="8205" w:type="dxa"/>
            <w:shd w:val="clear" w:color="auto" w:fill="auto"/>
            <w:tcMar>
              <w:top w:w="100" w:type="dxa"/>
              <w:left w:w="100" w:type="dxa"/>
              <w:bottom w:w="100" w:type="dxa"/>
              <w:right w:w="100" w:type="dxa"/>
            </w:tcMar>
          </w:tcPr>
          <w:p>
            <w:pPr>
              <w:widowControl w:val="0"/>
              <w:numPr>
                <w:ilvl w:val="0"/>
                <w:numId w:val="26"/>
              </w:numPr>
              <w:spacing w:line="240" w:lineRule="auto"/>
              <w:rPr>
                <w:sz w:val="24"/>
                <w:szCs w:val="24"/>
              </w:rPr>
            </w:pPr>
            <w:r>
              <w:rPr>
                <w:sz w:val="24"/>
                <w:szCs w:val="24"/>
              </w:rPr>
              <w:t>The content links well with Biology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M4</w:t>
            </w:r>
          </w:p>
        </w:tc>
        <w:tc>
          <w:tcPr>
            <w:tcW w:w="8205" w:type="dxa"/>
            <w:shd w:val="clear" w:color="auto" w:fill="auto"/>
            <w:tcMar>
              <w:top w:w="100" w:type="dxa"/>
              <w:left w:w="100" w:type="dxa"/>
              <w:bottom w:w="100" w:type="dxa"/>
              <w:right w:w="100" w:type="dxa"/>
            </w:tcMar>
          </w:tcPr>
          <w:p>
            <w:pPr>
              <w:widowControl w:val="0"/>
              <w:numPr>
                <w:ilvl w:val="0"/>
                <w:numId w:val="30"/>
              </w:numPr>
              <w:spacing w:line="240" w:lineRule="auto"/>
              <w:rPr>
                <w:sz w:val="24"/>
                <w:szCs w:val="24"/>
              </w:rPr>
            </w:pPr>
            <w:r>
              <w:rPr>
                <w:sz w:val="24"/>
                <w:szCs w:val="24"/>
              </w:rPr>
              <w:t>Interested in studying mental health and/or a medical subject and so Biology would be useful.</w:t>
            </w:r>
          </w:p>
        </w:tc>
      </w:tr>
    </w:tbl>
    <w:p>
      <w:pPr>
        <w:spacing w:line="240" w:lineRule="auto"/>
        <w:rPr>
          <w:sz w:val="24"/>
          <w:szCs w:val="24"/>
        </w:rPr>
      </w:pPr>
    </w:p>
    <w:p>
      <w:pPr>
        <w:spacing w:line="240" w:lineRule="auto"/>
        <w:rPr>
          <w:sz w:val="24"/>
          <w:szCs w:val="24"/>
        </w:rPr>
      </w:pPr>
      <w:r>
        <w:rPr>
          <w:sz w:val="24"/>
          <w:szCs w:val="24"/>
        </w:rPr>
        <w:t xml:space="preserve">Question 2 comment: Again, over half of participants who responded to this question, discussed its usefulness for the future. Two participants described it as fun, while one participant described it as boring. Two participants discussed being influenced by the teacher they’d have if they chose Chemistry. </w:t>
      </w:r>
    </w:p>
    <w:p>
      <w:pPr>
        <w:spacing w:line="240" w:lineRule="auto"/>
        <w:rPr>
          <w:sz w:val="24"/>
          <w:szCs w:val="24"/>
        </w:rPr>
      </w:pPr>
    </w:p>
    <w:tbl>
      <w:tblPr>
        <w:tblStyle w:val="af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3: Factors affecting the decision to study Physics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6"/>
              </w:numPr>
              <w:spacing w:line="240" w:lineRule="auto"/>
              <w:rPr>
                <w:sz w:val="24"/>
                <w:szCs w:val="24"/>
              </w:rPr>
            </w:pPr>
            <w:r>
              <w:rPr>
                <w:sz w:val="24"/>
                <w:szCs w:val="24"/>
              </w:rPr>
              <w:t xml:space="preserve">They hated it at GCSE, despite doing well in it. They felt it would be even harder at A Level. </w:t>
            </w:r>
          </w:p>
          <w:p>
            <w:pPr>
              <w:widowControl w:val="0"/>
              <w:numPr>
                <w:ilvl w:val="0"/>
                <w:numId w:val="6"/>
              </w:numPr>
              <w:spacing w:line="240" w:lineRule="auto"/>
              <w:rPr>
                <w:sz w:val="24"/>
                <w:szCs w:val="24"/>
              </w:rPr>
            </w:pPr>
            <w:r>
              <w:rPr>
                <w:sz w:val="24"/>
                <w:szCs w:val="24"/>
              </w:rPr>
              <w:t xml:space="preserve">Physics is the “boy’s science”. They felt you could see a gender difference in most lessons- girls enjoy biology lessons and boys enjoy physics lessons.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F2</w:t>
            </w:r>
          </w:p>
        </w:tc>
        <w:tc>
          <w:tcPr>
            <w:tcW w:w="8205" w:type="dxa"/>
            <w:shd w:val="clear" w:color="auto" w:fill="auto"/>
            <w:tcMar>
              <w:top w:w="100" w:type="dxa"/>
              <w:left w:w="100" w:type="dxa"/>
              <w:bottom w:w="100" w:type="dxa"/>
              <w:right w:w="100" w:type="dxa"/>
            </w:tcMar>
          </w:tcPr>
          <w:p>
            <w:pPr>
              <w:widowControl w:val="0"/>
              <w:numPr>
                <w:ilvl w:val="0"/>
                <w:numId w:val="36"/>
              </w:numPr>
              <w:spacing w:line="240" w:lineRule="auto"/>
              <w:rPr>
                <w:sz w:val="24"/>
                <w:szCs w:val="24"/>
              </w:rPr>
            </w:pPr>
            <w:r>
              <w:rPr>
                <w:sz w:val="24"/>
                <w:szCs w:val="24"/>
              </w:rPr>
              <w:t>Took A Level Physics as it’s a requirement for Engineering in university.</w:t>
            </w:r>
          </w:p>
          <w:p>
            <w:pPr>
              <w:widowControl w:val="0"/>
              <w:numPr>
                <w:ilvl w:val="0"/>
                <w:numId w:val="36"/>
              </w:numPr>
              <w:spacing w:line="240" w:lineRule="auto"/>
              <w:rPr>
                <w:sz w:val="24"/>
                <w:szCs w:val="24"/>
              </w:rPr>
            </w:pPr>
            <w:r>
              <w:rPr>
                <w:sz w:val="24"/>
                <w:szCs w:val="24"/>
              </w:rPr>
              <w:t xml:space="preserve">Had a specialist physics teacher at GCSE and he was very passionate. </w:t>
            </w:r>
          </w:p>
          <w:p>
            <w:pPr>
              <w:widowControl w:val="0"/>
              <w:numPr>
                <w:ilvl w:val="0"/>
                <w:numId w:val="36"/>
              </w:numPr>
              <w:spacing w:line="240" w:lineRule="auto"/>
              <w:rPr>
                <w:sz w:val="24"/>
                <w:szCs w:val="24"/>
              </w:rPr>
            </w:pPr>
            <w:r>
              <w:rPr>
                <w:sz w:val="24"/>
                <w:szCs w:val="24"/>
              </w:rPr>
              <w:t xml:space="preserve">Solving difficult problems is fulfilling.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26"/>
              </w:numPr>
              <w:spacing w:line="240" w:lineRule="auto"/>
              <w:rPr>
                <w:sz w:val="24"/>
                <w:szCs w:val="24"/>
              </w:rPr>
            </w:pPr>
            <w:r>
              <w:rPr>
                <w:sz w:val="24"/>
                <w:szCs w:val="24"/>
              </w:rPr>
              <w:t>They didn’t understand it and were surprised when they had a good grade at GCSE.</w:t>
            </w:r>
          </w:p>
          <w:p>
            <w:pPr>
              <w:widowControl w:val="0"/>
              <w:numPr>
                <w:ilvl w:val="0"/>
                <w:numId w:val="26"/>
              </w:numPr>
              <w:spacing w:line="240" w:lineRule="auto"/>
              <w:rPr>
                <w:sz w:val="24"/>
                <w:szCs w:val="24"/>
              </w:rPr>
            </w:pPr>
            <w:r>
              <w:rPr>
                <w:sz w:val="24"/>
                <w:szCs w:val="24"/>
              </w:rPr>
              <w:t xml:space="preserve">The only interesting topic was space.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 xml:space="preserve">They had no interest in it at GCSE and so didn’t bother trying to understand it. </w:t>
            </w:r>
          </w:p>
          <w:p>
            <w:pPr>
              <w:widowControl w:val="0"/>
              <w:numPr>
                <w:ilvl w:val="0"/>
                <w:numId w:val="29"/>
              </w:numPr>
              <w:spacing w:line="240" w:lineRule="auto"/>
              <w:rPr>
                <w:sz w:val="24"/>
                <w:szCs w:val="24"/>
              </w:rPr>
            </w:pPr>
            <w:r>
              <w:rPr>
                <w:sz w:val="24"/>
                <w:szCs w:val="24"/>
              </w:rPr>
              <w:t>Agreed with F1 that “physics is the boy’s science”.</w:t>
            </w:r>
          </w:p>
          <w:p>
            <w:pPr>
              <w:widowControl w:val="0"/>
              <w:numPr>
                <w:ilvl w:val="0"/>
                <w:numId w:val="29"/>
              </w:numPr>
              <w:spacing w:line="240" w:lineRule="auto"/>
              <w:rPr>
                <w:sz w:val="24"/>
                <w:szCs w:val="24"/>
              </w:rPr>
            </w:pPr>
            <w:r>
              <w:rPr>
                <w:sz w:val="24"/>
                <w:szCs w:val="24"/>
              </w:rPr>
              <w:t xml:space="preserve">The best part about GCSE Physics was the maths content. They now study Mechanics (Mathematics) at A Level and feel it gives them “all the Physics they want).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M1</w:t>
            </w:r>
          </w:p>
        </w:tc>
        <w:tc>
          <w:tcPr>
            <w:tcW w:w="8205" w:type="dxa"/>
            <w:shd w:val="clear" w:color="auto" w:fill="auto"/>
            <w:tcMar>
              <w:top w:w="100" w:type="dxa"/>
              <w:left w:w="100" w:type="dxa"/>
              <w:bottom w:w="100" w:type="dxa"/>
              <w:right w:w="100" w:type="dxa"/>
            </w:tcMar>
          </w:tcPr>
          <w:p>
            <w:pPr>
              <w:widowControl w:val="0"/>
              <w:numPr>
                <w:ilvl w:val="0"/>
                <w:numId w:val="32"/>
              </w:numPr>
              <w:spacing w:line="240" w:lineRule="auto"/>
              <w:rPr>
                <w:sz w:val="24"/>
                <w:szCs w:val="24"/>
              </w:rPr>
            </w:pPr>
            <w:r>
              <w:rPr>
                <w:sz w:val="24"/>
                <w:szCs w:val="24"/>
              </w:rPr>
              <w:t>Loved the GCSE content.</w:t>
            </w:r>
          </w:p>
          <w:p>
            <w:pPr>
              <w:widowControl w:val="0"/>
              <w:numPr>
                <w:ilvl w:val="0"/>
                <w:numId w:val="32"/>
              </w:numPr>
              <w:spacing w:line="240" w:lineRule="auto"/>
              <w:rPr>
                <w:sz w:val="24"/>
                <w:szCs w:val="24"/>
              </w:rPr>
            </w:pPr>
            <w:r>
              <w:rPr>
                <w:sz w:val="24"/>
                <w:szCs w:val="24"/>
              </w:rPr>
              <w:t xml:space="preserve">Researched  A Level content and saw that there was a lot of nuclear physics, which they really enjoyed.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M2</w:t>
            </w:r>
          </w:p>
        </w:tc>
        <w:tc>
          <w:tcPr>
            <w:tcW w:w="8205" w:type="dxa"/>
            <w:shd w:val="clear" w:color="auto" w:fill="auto"/>
            <w:tcMar>
              <w:top w:w="100" w:type="dxa"/>
              <w:left w:w="100" w:type="dxa"/>
              <w:bottom w:w="100" w:type="dxa"/>
              <w:right w:w="100" w:type="dxa"/>
            </w:tcMar>
          </w:tcPr>
          <w:p>
            <w:pPr>
              <w:widowControl w:val="0"/>
              <w:numPr>
                <w:ilvl w:val="0"/>
                <w:numId w:val="33"/>
              </w:numPr>
              <w:spacing w:line="240" w:lineRule="auto"/>
              <w:rPr>
                <w:sz w:val="24"/>
                <w:szCs w:val="24"/>
              </w:rPr>
            </w:pPr>
            <w:r>
              <w:rPr>
                <w:sz w:val="24"/>
                <w:szCs w:val="24"/>
              </w:rPr>
              <w:t xml:space="preserve">They had a specialist physics teacher* at GCSE who encouraged him to read around the topic and was knowledgeable about the A Level content. </w:t>
            </w:r>
          </w:p>
          <w:p>
            <w:pPr>
              <w:widowControl w:val="0"/>
              <w:numPr>
                <w:ilvl w:val="0"/>
                <w:numId w:val="33"/>
              </w:numPr>
              <w:spacing w:line="240" w:lineRule="auto"/>
              <w:rPr>
                <w:sz w:val="24"/>
                <w:szCs w:val="24"/>
              </w:rPr>
            </w:pPr>
            <w:r>
              <w:rPr>
                <w:sz w:val="24"/>
                <w:szCs w:val="24"/>
              </w:rPr>
              <w:t xml:space="preserve">It was their best science GCSE grade.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M3</w:t>
            </w:r>
          </w:p>
        </w:tc>
        <w:tc>
          <w:tcPr>
            <w:tcW w:w="8205" w:type="dxa"/>
            <w:shd w:val="clear" w:color="auto" w:fill="auto"/>
            <w:tcMar>
              <w:top w:w="100" w:type="dxa"/>
              <w:left w:w="100" w:type="dxa"/>
              <w:bottom w:w="100" w:type="dxa"/>
              <w:right w:w="100" w:type="dxa"/>
            </w:tcMar>
          </w:tcPr>
          <w:p>
            <w:pPr>
              <w:widowControl w:val="0"/>
              <w:numPr>
                <w:ilvl w:val="0"/>
                <w:numId w:val="4"/>
              </w:numPr>
              <w:spacing w:line="240" w:lineRule="auto"/>
              <w:rPr>
                <w:sz w:val="24"/>
                <w:szCs w:val="24"/>
              </w:rPr>
            </w:pPr>
            <w:r>
              <w:rPr>
                <w:sz w:val="24"/>
                <w:szCs w:val="24"/>
              </w:rPr>
              <w:t xml:space="preserve">They completed the Year 11 physics content in “about a month” as they completed their GCSEs during the Covid 19 pandemic. (This participant was resitting Year 12 and so is a year older than the other participants). </w:t>
            </w:r>
          </w:p>
          <w:p>
            <w:pPr>
              <w:widowControl w:val="0"/>
              <w:numPr>
                <w:ilvl w:val="0"/>
                <w:numId w:val="4"/>
              </w:numPr>
              <w:spacing w:line="240" w:lineRule="auto"/>
              <w:rPr>
                <w:sz w:val="24"/>
                <w:szCs w:val="24"/>
              </w:rPr>
            </w:pPr>
            <w:r>
              <w:rPr>
                <w:sz w:val="24"/>
                <w:szCs w:val="24"/>
              </w:rPr>
              <w:t xml:space="preserve">It’s definitely the hardest of the three sciences at A Level. </w:t>
            </w:r>
          </w:p>
        </w:tc>
      </w:tr>
    </w:tbl>
    <w:p>
      <w:pPr>
        <w:spacing w:line="240" w:lineRule="auto"/>
        <w:rPr>
          <w:sz w:val="24"/>
          <w:szCs w:val="24"/>
        </w:rPr>
      </w:pPr>
    </w:p>
    <w:p>
      <w:pPr>
        <w:spacing w:line="240" w:lineRule="auto"/>
        <w:rPr>
          <w:sz w:val="24"/>
          <w:szCs w:val="24"/>
        </w:rPr>
      </w:pPr>
      <w:r>
        <w:rPr>
          <w:sz w:val="24"/>
          <w:szCs w:val="24"/>
        </w:rPr>
        <w:t xml:space="preserve">Question 3 comment: Three of the four female participants had not chosen to study Physics A Level and spoke of their dislike for the subject. The fourth female participant spoke positively of Physics A Level and cited her GCSE teacher as an influential factor. Two female participants spoke about their perception that physics is a “boy’s science”. Two out of three male participants spoke positively about physics, with one of them also citing the positive influence of their GCSE teacher. </w:t>
      </w:r>
    </w:p>
    <w:p>
      <w:pPr>
        <w:spacing w:line="240" w:lineRule="auto"/>
        <w:rPr>
          <w:sz w:val="24"/>
          <w:szCs w:val="24"/>
        </w:rPr>
      </w:pPr>
    </w:p>
    <w:tbl>
      <w:tblPr>
        <w:tblStyle w:val="af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4: Influence of parents/guardians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6"/>
              </w:numPr>
              <w:spacing w:line="240" w:lineRule="auto"/>
              <w:rPr>
                <w:sz w:val="24"/>
                <w:szCs w:val="24"/>
              </w:rPr>
            </w:pPr>
            <w:r>
              <w:rPr>
                <w:sz w:val="24"/>
                <w:szCs w:val="24"/>
              </w:rPr>
              <w:t xml:space="preserve">Neither parent went to university and most of their family are “not into science”. One brother studied engineering. </w:t>
            </w:r>
          </w:p>
          <w:p>
            <w:pPr>
              <w:widowControl w:val="0"/>
              <w:numPr>
                <w:ilvl w:val="0"/>
                <w:numId w:val="6"/>
              </w:numPr>
              <w:spacing w:line="240" w:lineRule="auto"/>
              <w:rPr>
                <w:sz w:val="24"/>
                <w:szCs w:val="24"/>
              </w:rPr>
            </w:pPr>
            <w:r>
              <w:rPr>
                <w:sz w:val="24"/>
                <w:szCs w:val="24"/>
              </w:rPr>
              <w:t xml:space="preserve">Parents were in favour of Biology and Chemistry based on past achievement. </w:t>
            </w:r>
          </w:p>
          <w:p>
            <w:pPr>
              <w:widowControl w:val="0"/>
              <w:numPr>
                <w:ilvl w:val="0"/>
                <w:numId w:val="6"/>
              </w:numPr>
              <w:spacing w:line="240" w:lineRule="auto"/>
              <w:rPr>
                <w:sz w:val="24"/>
                <w:szCs w:val="24"/>
              </w:rPr>
            </w:pPr>
            <w:r>
              <w:rPr>
                <w:sz w:val="24"/>
                <w:szCs w:val="24"/>
              </w:rPr>
              <w:t>Religion was an influence- the participant doesn’t believe in the big bang theory and so found aspects of physics difficult</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Parents are not into science but would have been happy with any subjects, as long as the participant works hard in them.</w:t>
            </w:r>
          </w:p>
          <w:p>
            <w:pPr>
              <w:widowControl w:val="0"/>
              <w:numPr>
                <w:ilvl w:val="0"/>
                <w:numId w:val="29"/>
              </w:numPr>
              <w:spacing w:line="240" w:lineRule="auto"/>
              <w:rPr>
                <w:sz w:val="24"/>
                <w:szCs w:val="24"/>
              </w:rPr>
            </w:pPr>
            <w:r>
              <w:rPr>
                <w:sz w:val="24"/>
                <w:szCs w:val="24"/>
              </w:rPr>
              <w:t>Parents spoke to them about career prospects and suggested that science subjects were more useful than others (namely Religious Studies).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M3</w:t>
            </w:r>
          </w:p>
        </w:tc>
        <w:tc>
          <w:tcPr>
            <w:tcW w:w="8205" w:type="dxa"/>
            <w:shd w:val="clear" w:color="auto" w:fill="auto"/>
            <w:tcMar>
              <w:top w:w="100" w:type="dxa"/>
              <w:left w:w="100" w:type="dxa"/>
              <w:bottom w:w="100" w:type="dxa"/>
              <w:right w:w="100" w:type="dxa"/>
            </w:tcMar>
          </w:tcPr>
          <w:p>
            <w:pPr>
              <w:widowControl w:val="0"/>
              <w:numPr>
                <w:ilvl w:val="0"/>
                <w:numId w:val="19"/>
              </w:numPr>
              <w:spacing w:line="240" w:lineRule="auto"/>
              <w:rPr>
                <w:sz w:val="24"/>
                <w:szCs w:val="24"/>
              </w:rPr>
            </w:pPr>
            <w:r>
              <w:rPr>
                <w:sz w:val="24"/>
                <w:szCs w:val="24"/>
              </w:rPr>
              <w:t>Parents let them choose what he enjoyed.</w:t>
            </w:r>
          </w:p>
          <w:p>
            <w:pPr>
              <w:widowControl w:val="0"/>
              <w:numPr>
                <w:ilvl w:val="0"/>
                <w:numId w:val="19"/>
              </w:numPr>
              <w:spacing w:line="240" w:lineRule="auto"/>
              <w:rPr>
                <w:sz w:val="24"/>
                <w:szCs w:val="24"/>
              </w:rPr>
            </w:pPr>
            <w:r>
              <w:rPr>
                <w:sz w:val="24"/>
                <w:szCs w:val="24"/>
              </w:rPr>
              <w:t xml:space="preserve">Discussed career prospects and encouraged the participant to consider the potential earnings of jobs as they themselves had not had “high paying jobs”. </w:t>
            </w:r>
          </w:p>
          <w:p>
            <w:pPr>
              <w:widowControl w:val="0"/>
              <w:numPr>
                <w:ilvl w:val="0"/>
                <w:numId w:val="19"/>
              </w:numPr>
              <w:spacing w:line="240" w:lineRule="auto"/>
              <w:rPr>
                <w:sz w:val="24"/>
                <w:szCs w:val="24"/>
              </w:rPr>
            </w:pPr>
            <w:r>
              <w:rPr>
                <w:sz w:val="24"/>
                <w:szCs w:val="24"/>
              </w:rPr>
              <w:t>The sciences are an area where you can earn money.</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M4</w:t>
            </w:r>
          </w:p>
        </w:tc>
        <w:tc>
          <w:tcPr>
            <w:tcW w:w="8205" w:type="dxa"/>
            <w:shd w:val="clear" w:color="auto" w:fill="auto"/>
            <w:tcMar>
              <w:top w:w="100" w:type="dxa"/>
              <w:left w:w="100" w:type="dxa"/>
              <w:bottom w:w="100" w:type="dxa"/>
              <w:right w:w="100" w:type="dxa"/>
            </w:tcMar>
          </w:tcPr>
          <w:p>
            <w:pPr>
              <w:widowControl w:val="0"/>
              <w:numPr>
                <w:ilvl w:val="0"/>
                <w:numId w:val="2"/>
              </w:numPr>
              <w:spacing w:line="240" w:lineRule="auto"/>
              <w:rPr>
                <w:sz w:val="24"/>
                <w:szCs w:val="24"/>
              </w:rPr>
            </w:pPr>
            <w:r>
              <w:rPr>
                <w:sz w:val="24"/>
                <w:szCs w:val="24"/>
              </w:rPr>
              <w:t>Family are mostly teachers.</w:t>
            </w:r>
          </w:p>
          <w:p>
            <w:pPr>
              <w:widowControl w:val="0"/>
              <w:numPr>
                <w:ilvl w:val="0"/>
                <w:numId w:val="2"/>
              </w:numPr>
              <w:spacing w:line="240" w:lineRule="auto"/>
              <w:rPr>
                <w:sz w:val="24"/>
                <w:szCs w:val="24"/>
              </w:rPr>
            </w:pPr>
            <w:r>
              <w:rPr>
                <w:sz w:val="24"/>
                <w:szCs w:val="24"/>
              </w:rPr>
              <w:t xml:space="preserve">Grandmother was a doctor which may have been an influence but parents were not an influence. </w:t>
            </w:r>
          </w:p>
        </w:tc>
      </w:tr>
    </w:tbl>
    <w:p>
      <w:pPr>
        <w:spacing w:line="240" w:lineRule="auto"/>
        <w:rPr>
          <w:sz w:val="24"/>
          <w:szCs w:val="24"/>
        </w:rPr>
      </w:pPr>
    </w:p>
    <w:p>
      <w:pPr>
        <w:spacing w:line="240" w:lineRule="auto"/>
        <w:rPr>
          <w:b/>
          <w:sz w:val="24"/>
          <w:szCs w:val="24"/>
        </w:rPr>
      </w:pPr>
    </w:p>
    <w:p>
      <w:pPr>
        <w:spacing w:line="240" w:lineRule="auto"/>
        <w:rPr>
          <w:sz w:val="24"/>
          <w:szCs w:val="24"/>
        </w:rPr>
      </w:pPr>
      <w:r>
        <w:rPr>
          <w:sz w:val="24"/>
          <w:szCs w:val="24"/>
        </w:rPr>
        <w:t xml:space="preserve">Question 4 comment: All participants felt that their parents hadn’t significantly influenced their decision in the sense that they hadn’t been pressured into studying any subjects in particular. Two of the four participants said that their parents had discussed career prospects with them. One female participant spoke about aspects of the Physics GCSE course being at odds with their religious beliefs. </w:t>
      </w:r>
    </w:p>
    <w:p>
      <w:pPr>
        <w:spacing w:line="240" w:lineRule="auto"/>
        <w:rPr>
          <w:sz w:val="24"/>
          <w:szCs w:val="24"/>
        </w:rPr>
      </w:pPr>
    </w:p>
    <w:tbl>
      <w:tblPr>
        <w:tblStyle w:val="af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5: Influence of teachers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6"/>
              </w:numPr>
              <w:spacing w:line="240" w:lineRule="auto"/>
              <w:rPr>
                <w:sz w:val="24"/>
                <w:szCs w:val="24"/>
              </w:rPr>
            </w:pPr>
            <w:r>
              <w:rPr>
                <w:sz w:val="24"/>
                <w:szCs w:val="24"/>
              </w:rPr>
              <w:t>Didn’t like the style of biology teaching at GCSE but still picked it at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F2</w:t>
            </w:r>
          </w:p>
        </w:tc>
        <w:tc>
          <w:tcPr>
            <w:tcW w:w="8205" w:type="dxa"/>
            <w:shd w:val="clear" w:color="auto" w:fill="auto"/>
            <w:tcMar>
              <w:top w:w="100" w:type="dxa"/>
              <w:left w:w="100" w:type="dxa"/>
              <w:bottom w:w="100" w:type="dxa"/>
              <w:right w:w="100" w:type="dxa"/>
            </w:tcMar>
          </w:tcPr>
          <w:p>
            <w:pPr>
              <w:widowControl w:val="0"/>
              <w:numPr>
                <w:ilvl w:val="0"/>
                <w:numId w:val="36"/>
              </w:numPr>
              <w:spacing w:line="240" w:lineRule="auto"/>
              <w:rPr>
                <w:sz w:val="24"/>
                <w:szCs w:val="24"/>
              </w:rPr>
            </w:pPr>
            <w:r>
              <w:rPr>
                <w:sz w:val="24"/>
                <w:szCs w:val="24"/>
              </w:rPr>
              <w:t xml:space="preserve">The subject is more interesting when a teacher is passionate about it. When a teacher doesn’t like the subject or doesn’t know it as well, it isn’t interesting. It’s obvious if a teacher is teaching their specialism or not.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26"/>
              </w:numPr>
              <w:spacing w:line="240" w:lineRule="auto"/>
              <w:rPr>
                <w:sz w:val="24"/>
                <w:szCs w:val="24"/>
              </w:rPr>
            </w:pPr>
            <w:r>
              <w:rPr>
                <w:sz w:val="24"/>
                <w:szCs w:val="24"/>
              </w:rPr>
              <w:t>Really liked their GCSE Chemistry teacher (subject specialist).</w:t>
            </w:r>
          </w:p>
          <w:p>
            <w:pPr>
              <w:widowControl w:val="0"/>
              <w:numPr>
                <w:ilvl w:val="0"/>
                <w:numId w:val="26"/>
              </w:numPr>
              <w:spacing w:line="240" w:lineRule="auto"/>
              <w:rPr>
                <w:sz w:val="24"/>
                <w:szCs w:val="24"/>
              </w:rPr>
            </w:pPr>
            <w:r>
              <w:rPr>
                <w:sz w:val="24"/>
                <w:szCs w:val="24"/>
              </w:rPr>
              <w:t>Agreed with F2 about the impact of teachers teaching within and outside of their specialism.</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Agreed with F2 about the impact of teachers teaching within and outside of their specialism.</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M1</w:t>
            </w:r>
          </w:p>
        </w:tc>
        <w:tc>
          <w:tcPr>
            <w:tcW w:w="8205" w:type="dxa"/>
            <w:shd w:val="clear" w:color="auto" w:fill="auto"/>
            <w:tcMar>
              <w:top w:w="100" w:type="dxa"/>
              <w:left w:w="100" w:type="dxa"/>
              <w:bottom w:w="100" w:type="dxa"/>
              <w:right w:w="100" w:type="dxa"/>
            </w:tcMar>
          </w:tcPr>
          <w:p>
            <w:pPr>
              <w:widowControl w:val="0"/>
              <w:numPr>
                <w:ilvl w:val="0"/>
                <w:numId w:val="32"/>
              </w:numPr>
              <w:spacing w:line="240" w:lineRule="auto"/>
              <w:rPr>
                <w:sz w:val="24"/>
                <w:szCs w:val="24"/>
              </w:rPr>
            </w:pPr>
            <w:r>
              <w:rPr>
                <w:sz w:val="24"/>
                <w:szCs w:val="24"/>
              </w:rPr>
              <w:t xml:space="preserve">GCSE teacher was very passionate (subject specialist) and able to expand and explain beyond the course content.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M2</w:t>
            </w:r>
          </w:p>
        </w:tc>
        <w:tc>
          <w:tcPr>
            <w:tcW w:w="8205" w:type="dxa"/>
            <w:shd w:val="clear" w:color="auto" w:fill="auto"/>
            <w:tcMar>
              <w:top w:w="100" w:type="dxa"/>
              <w:left w:w="100" w:type="dxa"/>
              <w:bottom w:w="100" w:type="dxa"/>
              <w:right w:w="100" w:type="dxa"/>
            </w:tcMar>
          </w:tcPr>
          <w:p>
            <w:pPr>
              <w:widowControl w:val="0"/>
              <w:numPr>
                <w:ilvl w:val="0"/>
                <w:numId w:val="33"/>
              </w:numPr>
              <w:spacing w:line="240" w:lineRule="auto"/>
              <w:rPr>
                <w:sz w:val="24"/>
                <w:szCs w:val="24"/>
              </w:rPr>
            </w:pPr>
            <w:r>
              <w:rPr>
                <w:sz w:val="24"/>
                <w:szCs w:val="24"/>
              </w:rPr>
              <w:t>Agreed with F2 about the impact of teachers teaching within and outside of their specialism.</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M3</w:t>
            </w:r>
          </w:p>
        </w:tc>
        <w:tc>
          <w:tcPr>
            <w:tcW w:w="8205" w:type="dxa"/>
            <w:shd w:val="clear" w:color="auto" w:fill="auto"/>
            <w:tcMar>
              <w:top w:w="100" w:type="dxa"/>
              <w:left w:w="100" w:type="dxa"/>
              <w:bottom w:w="100" w:type="dxa"/>
              <w:right w:w="100" w:type="dxa"/>
            </w:tcMar>
          </w:tcPr>
          <w:p>
            <w:pPr>
              <w:widowControl w:val="0"/>
              <w:numPr>
                <w:ilvl w:val="0"/>
                <w:numId w:val="22"/>
              </w:numPr>
              <w:spacing w:line="240" w:lineRule="auto"/>
              <w:rPr>
                <w:sz w:val="24"/>
                <w:szCs w:val="24"/>
              </w:rPr>
            </w:pPr>
            <w:r>
              <w:rPr>
                <w:sz w:val="24"/>
                <w:szCs w:val="24"/>
              </w:rPr>
              <w:t>GCSE teachers spoke to him about A Level content.</w:t>
            </w:r>
          </w:p>
          <w:p>
            <w:pPr>
              <w:widowControl w:val="0"/>
              <w:numPr>
                <w:ilvl w:val="0"/>
                <w:numId w:val="22"/>
              </w:numPr>
              <w:spacing w:line="240" w:lineRule="auto"/>
              <w:rPr>
                <w:sz w:val="24"/>
                <w:szCs w:val="24"/>
              </w:rPr>
            </w:pPr>
            <w:r>
              <w:rPr>
                <w:sz w:val="24"/>
                <w:szCs w:val="24"/>
              </w:rPr>
              <w:t>Liked GCSE teachers and so chose to stay in sixth form rather than go to college.</w:t>
            </w:r>
          </w:p>
          <w:p>
            <w:pPr>
              <w:widowControl w:val="0"/>
              <w:numPr>
                <w:ilvl w:val="0"/>
                <w:numId w:val="22"/>
              </w:numPr>
              <w:spacing w:line="240" w:lineRule="auto"/>
              <w:rPr>
                <w:sz w:val="24"/>
                <w:szCs w:val="24"/>
              </w:rPr>
            </w:pPr>
            <w:r>
              <w:rPr>
                <w:sz w:val="24"/>
                <w:szCs w:val="24"/>
              </w:rPr>
              <w:t>Agreed with F2 about the impact of teachers teaching within and outside of their specialism.</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M4</w:t>
            </w:r>
          </w:p>
        </w:tc>
        <w:tc>
          <w:tcPr>
            <w:tcW w:w="8205" w:type="dxa"/>
            <w:shd w:val="clear" w:color="auto" w:fill="auto"/>
            <w:tcMar>
              <w:top w:w="100" w:type="dxa"/>
              <w:left w:w="100" w:type="dxa"/>
              <w:bottom w:w="100" w:type="dxa"/>
              <w:right w:w="100" w:type="dxa"/>
            </w:tcMar>
          </w:tcPr>
          <w:p>
            <w:pPr>
              <w:widowControl w:val="0"/>
              <w:numPr>
                <w:ilvl w:val="0"/>
                <w:numId w:val="20"/>
              </w:numPr>
              <w:spacing w:line="240" w:lineRule="auto"/>
              <w:rPr>
                <w:sz w:val="24"/>
                <w:szCs w:val="24"/>
              </w:rPr>
            </w:pPr>
            <w:r>
              <w:rPr>
                <w:sz w:val="24"/>
                <w:szCs w:val="24"/>
              </w:rPr>
              <w:t xml:space="preserve">Really liked their GCSE science teacher. </w:t>
            </w:r>
          </w:p>
        </w:tc>
      </w:tr>
    </w:tbl>
    <w:p>
      <w:pPr>
        <w:spacing w:line="240" w:lineRule="auto"/>
        <w:rPr>
          <w:b/>
          <w:sz w:val="24"/>
          <w:szCs w:val="24"/>
        </w:rPr>
      </w:pPr>
    </w:p>
    <w:p>
      <w:pPr>
        <w:spacing w:line="240" w:lineRule="auto"/>
        <w:rPr>
          <w:sz w:val="24"/>
          <w:szCs w:val="24"/>
        </w:rPr>
      </w:pPr>
      <w:r>
        <w:rPr>
          <w:sz w:val="24"/>
          <w:szCs w:val="24"/>
        </w:rPr>
        <w:t xml:space="preserve">Question 5 comment: A key finding here was that participants felt that they knew if a teacher was teaching within their specialism and enjoyed the lesson more when being taught by a subject specialist. </w:t>
      </w:r>
    </w:p>
    <w:p>
      <w:pPr>
        <w:spacing w:line="240" w:lineRule="auto"/>
        <w:rPr>
          <w:sz w:val="24"/>
          <w:szCs w:val="24"/>
        </w:rPr>
      </w:pPr>
    </w:p>
    <w:tbl>
      <w:tblPr>
        <w:tblStyle w:val="af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6: Perceived ability in each of the sciences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 xml:space="preserve">The biochemistry aspect of Biology is the hardest to understand. Predict they’ll get a better grade in Biology than Chemistry.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M2</w:t>
            </w:r>
          </w:p>
        </w:tc>
        <w:tc>
          <w:tcPr>
            <w:tcW w:w="8205" w:type="dxa"/>
            <w:shd w:val="clear" w:color="auto" w:fill="auto"/>
            <w:tcMar>
              <w:top w:w="100" w:type="dxa"/>
              <w:left w:w="100" w:type="dxa"/>
              <w:bottom w:w="100" w:type="dxa"/>
              <w:right w:w="100" w:type="dxa"/>
            </w:tcMar>
          </w:tcPr>
          <w:p>
            <w:pPr>
              <w:widowControl w:val="0"/>
              <w:numPr>
                <w:ilvl w:val="0"/>
                <w:numId w:val="33"/>
              </w:numPr>
              <w:spacing w:line="240" w:lineRule="auto"/>
              <w:rPr>
                <w:sz w:val="24"/>
                <w:szCs w:val="24"/>
              </w:rPr>
            </w:pPr>
            <w:r>
              <w:rPr>
                <w:sz w:val="24"/>
                <w:szCs w:val="24"/>
              </w:rPr>
              <w:t>Biology is mainly recall and so less time is needed for revision compared with Chemistry and Physics.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M3</w:t>
            </w:r>
          </w:p>
        </w:tc>
        <w:tc>
          <w:tcPr>
            <w:tcW w:w="8205" w:type="dxa"/>
            <w:shd w:val="clear" w:color="auto" w:fill="auto"/>
            <w:tcMar>
              <w:top w:w="100" w:type="dxa"/>
              <w:left w:w="100" w:type="dxa"/>
              <w:bottom w:w="100" w:type="dxa"/>
              <w:right w:w="100" w:type="dxa"/>
            </w:tcMar>
          </w:tcPr>
          <w:p>
            <w:pPr>
              <w:widowControl w:val="0"/>
              <w:numPr>
                <w:ilvl w:val="0"/>
                <w:numId w:val="22"/>
              </w:numPr>
              <w:spacing w:line="240" w:lineRule="auto"/>
              <w:rPr>
                <w:sz w:val="24"/>
                <w:szCs w:val="24"/>
              </w:rPr>
            </w:pPr>
            <w:r>
              <w:rPr>
                <w:sz w:val="24"/>
                <w:szCs w:val="24"/>
              </w:rPr>
              <w:t xml:space="preserve">Physics is their weakest science because there are most marks available for recall in Biology and Chemistry, but you have to apply more knowledge in Physics.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M4</w:t>
            </w:r>
          </w:p>
        </w:tc>
        <w:tc>
          <w:tcPr>
            <w:tcW w:w="8205" w:type="dxa"/>
            <w:shd w:val="clear" w:color="auto" w:fill="auto"/>
            <w:tcMar>
              <w:top w:w="100" w:type="dxa"/>
              <w:left w:w="100" w:type="dxa"/>
              <w:bottom w:w="100" w:type="dxa"/>
              <w:right w:w="100" w:type="dxa"/>
            </w:tcMar>
          </w:tcPr>
          <w:p>
            <w:pPr>
              <w:widowControl w:val="0"/>
              <w:numPr>
                <w:ilvl w:val="0"/>
                <w:numId w:val="20"/>
              </w:numPr>
              <w:spacing w:line="240" w:lineRule="auto"/>
              <w:rPr>
                <w:sz w:val="24"/>
                <w:szCs w:val="24"/>
              </w:rPr>
            </w:pPr>
            <w:r>
              <w:rPr>
                <w:sz w:val="24"/>
                <w:szCs w:val="24"/>
              </w:rPr>
              <w:t>More inconsistent in maths-based topics e.g. in chemistry.</w:t>
            </w:r>
          </w:p>
          <w:p>
            <w:pPr>
              <w:widowControl w:val="0"/>
              <w:numPr>
                <w:ilvl w:val="0"/>
                <w:numId w:val="20"/>
              </w:numPr>
              <w:spacing w:line="240" w:lineRule="auto"/>
              <w:rPr>
                <w:sz w:val="24"/>
                <w:szCs w:val="24"/>
              </w:rPr>
            </w:pPr>
            <w:r>
              <w:rPr>
                <w:sz w:val="24"/>
                <w:szCs w:val="24"/>
              </w:rPr>
              <w:t xml:space="preserve">Biology is more recall focused which makes it easier. </w:t>
            </w:r>
          </w:p>
        </w:tc>
      </w:tr>
    </w:tbl>
    <w:p>
      <w:pPr>
        <w:spacing w:line="240" w:lineRule="auto"/>
        <w:rPr>
          <w:b/>
          <w:sz w:val="24"/>
          <w:szCs w:val="24"/>
        </w:rPr>
      </w:pPr>
    </w:p>
    <w:p>
      <w:pPr>
        <w:spacing w:line="240" w:lineRule="auto"/>
        <w:rPr>
          <w:sz w:val="24"/>
          <w:szCs w:val="24"/>
        </w:rPr>
      </w:pPr>
      <w:r>
        <w:rPr>
          <w:sz w:val="24"/>
          <w:szCs w:val="24"/>
        </w:rPr>
        <w:t xml:space="preserve">Question 6 comment: All participants felt that biology is the easiest science and the main reason cited was that the exam questions rely more on information recall than understanding and application of knowledge, in comparison to chemistry and physics. </w:t>
      </w:r>
    </w:p>
    <w:p>
      <w:pPr>
        <w:spacing w:line="240" w:lineRule="auto"/>
        <w:rPr>
          <w:b/>
          <w:sz w:val="24"/>
          <w:szCs w:val="24"/>
        </w:rPr>
      </w:pPr>
    </w:p>
    <w:p>
      <w:pPr>
        <w:numPr>
          <w:ilvl w:val="0"/>
          <w:numId w:val="10"/>
        </w:numPr>
        <w:spacing w:line="240" w:lineRule="auto"/>
        <w:rPr>
          <w:b/>
          <w:i/>
          <w:sz w:val="24"/>
          <w:szCs w:val="24"/>
        </w:rPr>
      </w:pPr>
      <w:r>
        <w:rPr>
          <w:b/>
          <w:i/>
          <w:sz w:val="24"/>
          <w:szCs w:val="24"/>
        </w:rPr>
        <w:t>Key Stage 4 Questionnaire</w:t>
      </w:r>
    </w:p>
    <w:p>
      <w:pPr>
        <w:spacing w:line="240" w:lineRule="auto"/>
        <w:rPr>
          <w:b/>
          <w:sz w:val="24"/>
          <w:szCs w:val="24"/>
        </w:rPr>
      </w:pPr>
    </w:p>
    <w:p>
      <w:pPr>
        <w:spacing w:line="240" w:lineRule="auto"/>
        <w:rPr>
          <w:sz w:val="24"/>
          <w:szCs w:val="24"/>
        </w:rPr>
      </w:pPr>
      <w:r>
        <w:rPr>
          <w:sz w:val="24"/>
          <w:szCs w:val="24"/>
        </w:rPr>
        <w:t>The Key Stage 4 questionnaire was completed by a total of thirty-five students. These thirty-five students comprised thirteen males, twenty-one females, and one student who selected “prefer not to say”. There was one other respondent who did not answer the gender question nor any questions after question 5 and so their responses have been excluded from the analysis. The student who selected “prefer not to say” will be referred to as “undefined” from this point on. Of the thirty-five students, twenty were in Year 10 and fifteen were in Year 11 at the time of completing the questionnaire. The data generated from the questionnaire responses will be presented as follows: question 3-5; questions 6-10; questions 11-16; questions 17-19.</w:t>
      </w:r>
    </w:p>
    <w:p>
      <w:pPr>
        <w:spacing w:line="240" w:lineRule="auto"/>
        <w:rPr>
          <w:sz w:val="24"/>
          <w:szCs w:val="24"/>
        </w:rPr>
      </w:pPr>
    </w:p>
    <w:p>
      <w:pPr>
        <w:spacing w:line="240" w:lineRule="auto"/>
        <w:rPr>
          <w:i/>
          <w:sz w:val="24"/>
          <w:szCs w:val="24"/>
        </w:rPr>
      </w:pPr>
      <w:r>
        <w:rPr>
          <w:i/>
          <w:sz w:val="24"/>
          <w:szCs w:val="24"/>
        </w:rPr>
        <w:t>Questions 3-5</w:t>
      </w:r>
    </w:p>
    <w:p>
      <w:pPr>
        <w:spacing w:line="240" w:lineRule="auto"/>
        <w:rPr>
          <w:i/>
          <w:sz w:val="24"/>
          <w:szCs w:val="24"/>
        </w:rPr>
      </w:pPr>
    </w:p>
    <w:p>
      <w:pPr>
        <w:spacing w:line="240" w:lineRule="auto"/>
        <w:rPr>
          <w:sz w:val="24"/>
          <w:szCs w:val="24"/>
        </w:rPr>
      </w:pPr>
      <w:r>
        <w:rPr>
          <w:sz w:val="24"/>
          <w:szCs w:val="24"/>
        </w:rPr>
        <w:t xml:space="preserve">Question 3 asked students to select all of the subjects that they were studying at the time of the research. Of all students that completed the questionnaire, 94.29% studied Triple Science and 5.71% studied Science Double Award at higher tier. Question 4 asked students if they were intending to study science A Levels, either in Sixth Form or at college, after completing their GCSEs. 97.14% of students answered “yes” and continued with the rest of the questionnaire. One male student answered “no” and went on to explain in Question 5 (as instructed in the question) “because I’m not good at it, or interested”. </w:t>
      </w:r>
    </w:p>
    <w:p>
      <w:pPr>
        <w:spacing w:line="240" w:lineRule="auto"/>
        <w:rPr>
          <w:i/>
          <w:sz w:val="24"/>
          <w:szCs w:val="24"/>
        </w:rPr>
      </w:pPr>
    </w:p>
    <w:p>
      <w:pPr>
        <w:spacing w:line="240" w:lineRule="auto"/>
        <w:rPr>
          <w:i/>
          <w:sz w:val="24"/>
          <w:szCs w:val="24"/>
        </w:rPr>
      </w:pPr>
      <w:r>
        <w:rPr>
          <w:i/>
          <w:sz w:val="24"/>
          <w:szCs w:val="24"/>
        </w:rPr>
        <w:t>Questions 6-10</w:t>
      </w:r>
    </w:p>
    <w:p>
      <w:pPr>
        <w:spacing w:line="240" w:lineRule="auto"/>
        <w:rPr>
          <w:i/>
          <w:sz w:val="24"/>
          <w:szCs w:val="24"/>
        </w:rPr>
      </w:pPr>
    </w:p>
    <w:p>
      <w:pPr>
        <w:spacing w:line="240" w:lineRule="auto"/>
        <w:rPr>
          <w:sz w:val="24"/>
          <w:szCs w:val="24"/>
        </w:rPr>
      </w:pPr>
      <w:r>
        <w:rPr>
          <w:sz w:val="24"/>
          <w:szCs w:val="24"/>
        </w:rPr>
        <w:t xml:space="preserve">Questions 6-10 were Likert scale questions that consisted of statements regarding the likelihood of students selecting science A Levels. Question 6 asked “How likely are you to choose to study Biology A Level?”. A significantly higher proportion of females (61.9%) than males (23.08%) answered “very likely” or “likely” to this question, with a correspondingly higher proportion of males selecting “unlikely” or “very unlikely”. More males (15.38%) than females (4.76%) were unsure. The undefined student was unsure. </w:t>
      </w:r>
    </w:p>
    <w:p>
      <w:pPr>
        <w:spacing w:line="240" w:lineRule="auto"/>
        <w:rPr>
          <w:sz w:val="24"/>
          <w:szCs w:val="24"/>
        </w:rPr>
      </w:pPr>
      <w:r>
        <w:rPr>
          <w:sz w:val="24"/>
          <w:szCs w:val="24"/>
        </w:rPr>
        <w:t xml:space="preserve">Question 7 asked “How likely are you to choose to study Chemistry A Level?”. Again, more females (61.91%) than males (38.46%) selected “very likely” or “likely” and a higher proportion of males than females were unsure. The undefined student answered “likely”. Question 8 asked “How likely are you to choose to study Physics A Level?”. In contrast to the previous two questions, a higher proportion of males (46.15%) than females (19.05%) responded with “very likely” or “likely”. Males and females displayed a similar likelihood of selecting “unsure” and the undefined student answer “very unlikely”. Question 9 asked “How likely are you to study more than one of the sciences at A Level?”. More females (60%) than males (46.16%) answered “very likely” or “likely”. In fact, all 60% of the positive female response was “very likely”. Males and females were similarly likely to select “very unlikely” to choose to study more than one science at A Level. The final question in this section, question 10, asked “How likely are you to choose to study all three sciences at A Level?”. The majority of responses to this question were negative, with “unlikely” and “very unlikely” making up 77.14% of the total responses. Males (23.08%) were more likely than females (9.52%) to answer “unsure” to this question. The breakdown to questions 6-10 can be found in tables 15-19 below. </w:t>
      </w:r>
    </w:p>
    <w:p>
      <w:pPr>
        <w:spacing w:line="240" w:lineRule="auto"/>
        <w:rPr>
          <w:sz w:val="24"/>
          <w:szCs w:val="24"/>
        </w:rPr>
      </w:pPr>
    </w:p>
    <w:p>
      <w:pPr>
        <w:spacing w:line="240" w:lineRule="auto"/>
        <w:rPr>
          <w:sz w:val="24"/>
          <w:szCs w:val="24"/>
          <w:highlight w:val="yellow"/>
        </w:rPr>
      </w:pPr>
    </w:p>
    <w:tbl>
      <w:tblPr>
        <w:tblStyle w:val="af5"/>
        <w:tblW w:w="9345" w:type="dxa"/>
        <w:tblBorders>
          <w:top w:val="nil"/>
          <w:left w:val="nil"/>
          <w:bottom w:val="nil"/>
          <w:right w:val="nil"/>
          <w:insideH w:val="nil"/>
          <w:insideV w:val="nil"/>
        </w:tblBorders>
        <w:tblLayout w:type="fixed"/>
        <w:tblLook w:val="0600" w:firstRow="0" w:lastRow="0" w:firstColumn="0" w:lastColumn="0" w:noHBand="1" w:noVBand="1"/>
      </w:tblPr>
      <w:tblGrid>
        <w:gridCol w:w="2940"/>
        <w:gridCol w:w="1860"/>
        <w:gridCol w:w="855"/>
        <w:gridCol w:w="930"/>
        <w:gridCol w:w="900"/>
        <w:gridCol w:w="870"/>
        <w:gridCol w:w="990"/>
      </w:tblGrid>
      <w:tr>
        <w:trPr>
          <w:trHeight w:val="900"/>
        </w:trPr>
        <w:tc>
          <w:tcPr>
            <w:tcW w:w="294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6. How likely are you to choose to study Biology A Level?</w:t>
            </w:r>
          </w:p>
        </w:tc>
        <w:tc>
          <w:tcPr>
            <w:tcW w:w="1860"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6. How likely are you to choose to study Biology A Level?</w:t>
            </w:r>
          </w:p>
        </w:tc>
        <w:tc>
          <w:tcPr>
            <w:tcW w:w="855"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93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9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87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99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2940"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186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Likely</w:t>
            </w:r>
          </w:p>
        </w:tc>
        <w:tc>
          <w:tcPr>
            <w:tcW w:w="85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Unlikely</w:t>
            </w:r>
          </w:p>
        </w:tc>
        <w:tc>
          <w:tcPr>
            <w:tcW w:w="93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9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Very likely</w:t>
            </w:r>
          </w:p>
        </w:tc>
        <w:tc>
          <w:tcPr>
            <w:tcW w:w="87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Very unlikely</w:t>
            </w:r>
          </w:p>
        </w:tc>
        <w:tc>
          <w:tcPr>
            <w:tcW w:w="99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294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186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9.52%</w:t>
            </w:r>
          </w:p>
        </w:tc>
        <w:tc>
          <w:tcPr>
            <w:tcW w:w="85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23.81%</w:t>
            </w:r>
          </w:p>
        </w:tc>
        <w:tc>
          <w:tcPr>
            <w:tcW w:w="93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4.76%</w:t>
            </w:r>
          </w:p>
        </w:tc>
        <w:tc>
          <w:tcPr>
            <w:tcW w:w="9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52.38%</w:t>
            </w:r>
          </w:p>
        </w:tc>
        <w:tc>
          <w:tcPr>
            <w:tcW w:w="87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9.52%</w:t>
            </w:r>
          </w:p>
        </w:tc>
        <w:tc>
          <w:tcPr>
            <w:tcW w:w="99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294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1860"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85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38.46%</w:t>
            </w:r>
          </w:p>
        </w:tc>
        <w:tc>
          <w:tcPr>
            <w:tcW w:w="93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9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87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99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2940"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186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85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3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9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87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9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294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186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5.71%</w:t>
            </w:r>
          </w:p>
        </w:tc>
        <w:tc>
          <w:tcPr>
            <w:tcW w:w="85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28.57%</w:t>
            </w:r>
          </w:p>
        </w:tc>
        <w:tc>
          <w:tcPr>
            <w:tcW w:w="93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11.43%</w:t>
            </w:r>
          </w:p>
        </w:tc>
        <w:tc>
          <w:tcPr>
            <w:tcW w:w="9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40.00%</w:t>
            </w:r>
          </w:p>
        </w:tc>
        <w:tc>
          <w:tcPr>
            <w:tcW w:w="87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14.29%</w:t>
            </w:r>
          </w:p>
        </w:tc>
        <w:tc>
          <w:tcPr>
            <w:tcW w:w="99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15: Responses to “ How likely are you to choose to study Biology A Level?”. </w:t>
      </w:r>
    </w:p>
    <w:p>
      <w:pPr>
        <w:spacing w:line="240" w:lineRule="auto"/>
        <w:rPr>
          <w:i/>
          <w:sz w:val="24"/>
          <w:szCs w:val="24"/>
        </w:rPr>
      </w:pPr>
    </w:p>
    <w:p>
      <w:pPr>
        <w:spacing w:line="240" w:lineRule="auto"/>
        <w:rPr>
          <w:i/>
          <w:sz w:val="24"/>
          <w:szCs w:val="24"/>
        </w:rPr>
      </w:pPr>
    </w:p>
    <w:tbl>
      <w:tblPr>
        <w:tblStyle w:val="af6"/>
        <w:tblW w:w="9345" w:type="dxa"/>
        <w:tblBorders>
          <w:top w:val="nil"/>
          <w:left w:val="nil"/>
          <w:bottom w:val="nil"/>
          <w:right w:val="nil"/>
          <w:insideH w:val="nil"/>
          <w:insideV w:val="nil"/>
        </w:tblBorders>
        <w:tblLayout w:type="fixed"/>
        <w:tblLook w:val="0600" w:firstRow="0" w:lastRow="0" w:firstColumn="0" w:lastColumn="0" w:noHBand="1" w:noVBand="1"/>
      </w:tblPr>
      <w:tblGrid>
        <w:gridCol w:w="2985"/>
        <w:gridCol w:w="1860"/>
        <w:gridCol w:w="990"/>
        <w:gridCol w:w="825"/>
        <w:gridCol w:w="900"/>
        <w:gridCol w:w="870"/>
        <w:gridCol w:w="915"/>
      </w:tblGrid>
      <w:tr>
        <w:trPr>
          <w:trHeight w:val="885"/>
        </w:trPr>
        <w:tc>
          <w:tcPr>
            <w:tcW w:w="298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7. How likely are you to choose to study Chemistry A Level?</w:t>
            </w:r>
          </w:p>
        </w:tc>
        <w:tc>
          <w:tcPr>
            <w:tcW w:w="1860"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7. How likely are you to choose to study Chemistry A Level?</w:t>
            </w:r>
          </w:p>
        </w:tc>
        <w:tc>
          <w:tcPr>
            <w:tcW w:w="99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825"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9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87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91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2985"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186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Likely</w:t>
            </w:r>
          </w:p>
        </w:tc>
        <w:tc>
          <w:tcPr>
            <w:tcW w:w="99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Unlikely</w:t>
            </w:r>
          </w:p>
        </w:tc>
        <w:tc>
          <w:tcPr>
            <w:tcW w:w="82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9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Very likely</w:t>
            </w:r>
          </w:p>
        </w:tc>
        <w:tc>
          <w:tcPr>
            <w:tcW w:w="87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Very unlikely</w:t>
            </w:r>
          </w:p>
        </w:tc>
        <w:tc>
          <w:tcPr>
            <w:tcW w:w="91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2985"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186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19.05%</w:t>
            </w:r>
          </w:p>
        </w:tc>
        <w:tc>
          <w:tcPr>
            <w:tcW w:w="99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9.52%</w:t>
            </w:r>
          </w:p>
        </w:tc>
        <w:tc>
          <w:tcPr>
            <w:tcW w:w="82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14.29%</w:t>
            </w:r>
          </w:p>
        </w:tc>
        <w:tc>
          <w:tcPr>
            <w:tcW w:w="9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42.86%</w:t>
            </w:r>
          </w:p>
        </w:tc>
        <w:tc>
          <w:tcPr>
            <w:tcW w:w="87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14.29%</w:t>
            </w:r>
          </w:p>
        </w:tc>
        <w:tc>
          <w:tcPr>
            <w:tcW w:w="91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2985"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186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99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82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38.46%</w:t>
            </w:r>
          </w:p>
        </w:tc>
        <w:tc>
          <w:tcPr>
            <w:tcW w:w="9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87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7.69%</w:t>
            </w:r>
          </w:p>
        </w:tc>
        <w:tc>
          <w:tcPr>
            <w:tcW w:w="91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2985"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186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99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82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87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1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298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186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22.86%</w:t>
            </w:r>
          </w:p>
        </w:tc>
        <w:tc>
          <w:tcPr>
            <w:tcW w:w="99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11.43%</w:t>
            </w:r>
          </w:p>
        </w:tc>
        <w:tc>
          <w:tcPr>
            <w:tcW w:w="82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22.86%</w:t>
            </w:r>
          </w:p>
        </w:tc>
        <w:tc>
          <w:tcPr>
            <w:tcW w:w="9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31.43%</w:t>
            </w:r>
          </w:p>
        </w:tc>
        <w:tc>
          <w:tcPr>
            <w:tcW w:w="87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11.43%</w:t>
            </w:r>
          </w:p>
        </w:tc>
        <w:tc>
          <w:tcPr>
            <w:tcW w:w="91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16: Responses to “ How likely are you to choose to study Chemistry A Level?”. </w:t>
      </w:r>
    </w:p>
    <w:p>
      <w:pPr>
        <w:spacing w:line="240" w:lineRule="auto"/>
        <w:rPr>
          <w:i/>
          <w:sz w:val="24"/>
          <w:szCs w:val="24"/>
        </w:rPr>
      </w:pPr>
    </w:p>
    <w:p>
      <w:pPr>
        <w:spacing w:line="240" w:lineRule="auto"/>
        <w:rPr>
          <w:i/>
          <w:sz w:val="24"/>
          <w:szCs w:val="24"/>
        </w:rPr>
      </w:pPr>
    </w:p>
    <w:tbl>
      <w:tblPr>
        <w:tblStyle w:val="af7"/>
        <w:tblW w:w="9345" w:type="dxa"/>
        <w:tblBorders>
          <w:top w:val="nil"/>
          <w:left w:val="nil"/>
          <w:bottom w:val="nil"/>
          <w:right w:val="nil"/>
          <w:insideH w:val="nil"/>
          <w:insideV w:val="nil"/>
        </w:tblBorders>
        <w:tblLayout w:type="fixed"/>
        <w:tblLook w:val="0600" w:firstRow="0" w:lastRow="0" w:firstColumn="0" w:lastColumn="0" w:noHBand="1" w:noVBand="1"/>
      </w:tblPr>
      <w:tblGrid>
        <w:gridCol w:w="2385"/>
        <w:gridCol w:w="2565"/>
        <w:gridCol w:w="825"/>
        <w:gridCol w:w="870"/>
        <w:gridCol w:w="855"/>
        <w:gridCol w:w="900"/>
        <w:gridCol w:w="945"/>
      </w:tblGrid>
      <w:tr>
        <w:trPr>
          <w:trHeight w:val="945"/>
        </w:trPr>
        <w:tc>
          <w:tcPr>
            <w:tcW w:w="238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8. How likely are you to choose to study Physics A Level?</w:t>
            </w:r>
          </w:p>
        </w:tc>
        <w:tc>
          <w:tcPr>
            <w:tcW w:w="2565"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8. How likely are you to choose to study Physics A Level?</w:t>
            </w:r>
          </w:p>
        </w:tc>
        <w:tc>
          <w:tcPr>
            <w:tcW w:w="825"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87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85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9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94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2385"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256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Likely</w:t>
            </w:r>
          </w:p>
        </w:tc>
        <w:tc>
          <w:tcPr>
            <w:tcW w:w="82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Unlikely</w:t>
            </w:r>
          </w:p>
        </w:tc>
        <w:tc>
          <w:tcPr>
            <w:tcW w:w="87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85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Very likely</w:t>
            </w:r>
          </w:p>
        </w:tc>
        <w:tc>
          <w:tcPr>
            <w:tcW w:w="9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Very unlikely</w:t>
            </w:r>
          </w:p>
        </w:tc>
        <w:tc>
          <w:tcPr>
            <w:tcW w:w="94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2385"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256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4.76%</w:t>
            </w:r>
          </w:p>
        </w:tc>
        <w:tc>
          <w:tcPr>
            <w:tcW w:w="82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38.10%</w:t>
            </w:r>
          </w:p>
        </w:tc>
        <w:tc>
          <w:tcPr>
            <w:tcW w:w="87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14.29%</w:t>
            </w:r>
          </w:p>
        </w:tc>
        <w:tc>
          <w:tcPr>
            <w:tcW w:w="85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14.29%</w:t>
            </w:r>
          </w:p>
        </w:tc>
        <w:tc>
          <w:tcPr>
            <w:tcW w:w="9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28.57%</w:t>
            </w:r>
          </w:p>
        </w:tc>
        <w:tc>
          <w:tcPr>
            <w:tcW w:w="94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2385"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2565"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82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7.69%</w:t>
            </w:r>
          </w:p>
        </w:tc>
        <w:tc>
          <w:tcPr>
            <w:tcW w:w="87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85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46.15%</w:t>
            </w:r>
          </w:p>
        </w:tc>
        <w:tc>
          <w:tcPr>
            <w:tcW w:w="9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30.77%</w:t>
            </w:r>
          </w:p>
        </w:tc>
        <w:tc>
          <w:tcPr>
            <w:tcW w:w="94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2385"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256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82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87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85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94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238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256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2.86%</w:t>
            </w:r>
          </w:p>
        </w:tc>
        <w:tc>
          <w:tcPr>
            <w:tcW w:w="82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25.71%</w:t>
            </w:r>
          </w:p>
        </w:tc>
        <w:tc>
          <w:tcPr>
            <w:tcW w:w="87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14.29%</w:t>
            </w:r>
          </w:p>
        </w:tc>
        <w:tc>
          <w:tcPr>
            <w:tcW w:w="85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25.71%</w:t>
            </w:r>
          </w:p>
        </w:tc>
        <w:tc>
          <w:tcPr>
            <w:tcW w:w="9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31.43%</w:t>
            </w:r>
          </w:p>
        </w:tc>
        <w:tc>
          <w:tcPr>
            <w:tcW w:w="94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17: Responses to “ How likely are you to choose to study Physics A Level?”. </w:t>
      </w:r>
    </w:p>
    <w:p>
      <w:pPr>
        <w:spacing w:line="240" w:lineRule="auto"/>
        <w:rPr>
          <w:i/>
          <w:sz w:val="24"/>
          <w:szCs w:val="24"/>
        </w:rPr>
      </w:pPr>
    </w:p>
    <w:p>
      <w:pPr>
        <w:spacing w:line="240" w:lineRule="auto"/>
        <w:rPr>
          <w:i/>
          <w:sz w:val="24"/>
          <w:szCs w:val="24"/>
        </w:rPr>
      </w:pPr>
    </w:p>
    <w:tbl>
      <w:tblPr>
        <w:tblStyle w:val="af8"/>
        <w:tblW w:w="9345" w:type="dxa"/>
        <w:tblBorders>
          <w:top w:val="nil"/>
          <w:left w:val="nil"/>
          <w:bottom w:val="nil"/>
          <w:right w:val="nil"/>
          <w:insideH w:val="nil"/>
          <w:insideV w:val="nil"/>
        </w:tblBorders>
        <w:tblLayout w:type="fixed"/>
        <w:tblLook w:val="0600" w:firstRow="0" w:lastRow="0" w:firstColumn="0" w:lastColumn="0" w:noHBand="1" w:noVBand="1"/>
      </w:tblPr>
      <w:tblGrid>
        <w:gridCol w:w="2670"/>
        <w:gridCol w:w="2370"/>
        <w:gridCol w:w="885"/>
        <w:gridCol w:w="825"/>
        <w:gridCol w:w="840"/>
        <w:gridCol w:w="780"/>
        <w:gridCol w:w="975"/>
      </w:tblGrid>
      <w:tr>
        <w:trPr>
          <w:trHeight w:val="1710"/>
        </w:trPr>
        <w:tc>
          <w:tcPr>
            <w:tcW w:w="267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9. How likely are you to study more than one of the sciences at A Level i.e. Biology and Chemistry, Biology and Physics, Chemistry and Physics?</w:t>
            </w:r>
          </w:p>
        </w:tc>
        <w:tc>
          <w:tcPr>
            <w:tcW w:w="2370"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9. How likely are you to study more than one of the sciences at A Level i.e. Biology and Chemistry, Biology and Physics, Chemistry and Physics?</w:t>
            </w:r>
          </w:p>
        </w:tc>
        <w:tc>
          <w:tcPr>
            <w:tcW w:w="885"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825"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84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78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975"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r>
      <w:tr>
        <w:trPr>
          <w:trHeight w:val="330"/>
        </w:trPr>
        <w:tc>
          <w:tcPr>
            <w:tcW w:w="2670" w:type="dxa"/>
            <w:tcBorders>
              <w:top w:val="nil"/>
              <w:left w:val="nil"/>
              <w:bottom w:val="single" w:sz="18" w:space="0" w:color="8093B3"/>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 Please select your gender.</w:t>
            </w:r>
          </w:p>
        </w:tc>
        <w:tc>
          <w:tcPr>
            <w:tcW w:w="237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p>
        </w:tc>
        <w:tc>
          <w:tcPr>
            <w:tcW w:w="88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Likely</w:t>
            </w:r>
          </w:p>
        </w:tc>
        <w:tc>
          <w:tcPr>
            <w:tcW w:w="82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Unlikely</w:t>
            </w:r>
          </w:p>
        </w:tc>
        <w:tc>
          <w:tcPr>
            <w:tcW w:w="84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Very likely</w:t>
            </w:r>
          </w:p>
        </w:tc>
        <w:tc>
          <w:tcPr>
            <w:tcW w:w="78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Very unlikely</w:t>
            </w:r>
          </w:p>
        </w:tc>
        <w:tc>
          <w:tcPr>
            <w:tcW w:w="97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267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237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0.00%</w:t>
            </w:r>
          </w:p>
        </w:tc>
        <w:tc>
          <w:tcPr>
            <w:tcW w:w="88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20.00%</w:t>
            </w:r>
          </w:p>
        </w:tc>
        <w:tc>
          <w:tcPr>
            <w:tcW w:w="82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5.00%</w:t>
            </w:r>
          </w:p>
        </w:tc>
        <w:tc>
          <w:tcPr>
            <w:tcW w:w="84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40.00%</w:t>
            </w:r>
          </w:p>
        </w:tc>
        <w:tc>
          <w:tcPr>
            <w:tcW w:w="78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35.00%</w:t>
            </w:r>
          </w:p>
        </w:tc>
        <w:tc>
          <w:tcPr>
            <w:tcW w:w="97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267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2370"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88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82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84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78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38.46%</w:t>
            </w:r>
          </w:p>
        </w:tc>
        <w:tc>
          <w:tcPr>
            <w:tcW w:w="97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2670"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237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center"/>
              <w:rPr>
                <w:sz w:val="20"/>
                <w:szCs w:val="20"/>
              </w:rPr>
            </w:pPr>
            <w:r>
              <w:rPr>
                <w:sz w:val="20"/>
                <w:szCs w:val="20"/>
              </w:rPr>
              <w:t>#NUM!</w:t>
            </w:r>
          </w:p>
        </w:tc>
        <w:tc>
          <w:tcPr>
            <w:tcW w:w="88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82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84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78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7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center"/>
              <w:rPr>
                <w:sz w:val="20"/>
                <w:szCs w:val="20"/>
              </w:rPr>
            </w:pPr>
            <w:r>
              <w:rPr>
                <w:sz w:val="20"/>
                <w:szCs w:val="20"/>
              </w:rPr>
              <w:t>#NUM!</w:t>
            </w:r>
          </w:p>
        </w:tc>
      </w:tr>
      <w:tr>
        <w:trPr>
          <w:trHeight w:val="315"/>
        </w:trPr>
        <w:tc>
          <w:tcPr>
            <w:tcW w:w="267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237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0.00%</w:t>
            </w:r>
          </w:p>
        </w:tc>
        <w:tc>
          <w:tcPr>
            <w:tcW w:w="88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21.21%</w:t>
            </w:r>
          </w:p>
        </w:tc>
        <w:tc>
          <w:tcPr>
            <w:tcW w:w="82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9.09%</w:t>
            </w:r>
          </w:p>
        </w:tc>
        <w:tc>
          <w:tcPr>
            <w:tcW w:w="84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33.33%</w:t>
            </w:r>
          </w:p>
        </w:tc>
        <w:tc>
          <w:tcPr>
            <w:tcW w:w="78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36.36%</w:t>
            </w:r>
          </w:p>
        </w:tc>
        <w:tc>
          <w:tcPr>
            <w:tcW w:w="97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18: Responses to “ How likely are you to choose to study more than one of the sciences at A Level?”. </w:t>
      </w:r>
    </w:p>
    <w:p>
      <w:pPr>
        <w:spacing w:line="240" w:lineRule="auto"/>
        <w:rPr>
          <w:i/>
          <w:sz w:val="24"/>
          <w:szCs w:val="24"/>
        </w:rPr>
      </w:pPr>
    </w:p>
    <w:p>
      <w:pPr>
        <w:spacing w:line="240" w:lineRule="auto"/>
        <w:rPr>
          <w:i/>
          <w:sz w:val="24"/>
          <w:szCs w:val="24"/>
        </w:rPr>
      </w:pPr>
    </w:p>
    <w:tbl>
      <w:tblPr>
        <w:tblStyle w:val="af9"/>
        <w:tblW w:w="9345" w:type="dxa"/>
        <w:tblBorders>
          <w:top w:val="nil"/>
          <w:left w:val="nil"/>
          <w:bottom w:val="nil"/>
          <w:right w:val="nil"/>
          <w:insideH w:val="nil"/>
          <w:insideV w:val="nil"/>
        </w:tblBorders>
        <w:tblLayout w:type="fixed"/>
        <w:tblLook w:val="0600" w:firstRow="0" w:lastRow="0" w:firstColumn="0" w:lastColumn="0" w:noHBand="1" w:noVBand="1"/>
      </w:tblPr>
      <w:tblGrid>
        <w:gridCol w:w="2925"/>
        <w:gridCol w:w="2145"/>
        <w:gridCol w:w="945"/>
        <w:gridCol w:w="825"/>
        <w:gridCol w:w="660"/>
        <w:gridCol w:w="840"/>
        <w:gridCol w:w="1005"/>
      </w:tblGrid>
      <w:tr>
        <w:trPr>
          <w:trHeight w:val="1155"/>
        </w:trPr>
        <w:tc>
          <w:tcPr>
            <w:tcW w:w="292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10.How likely are you to study all three sciences at A Level i.e. Biology, Chemistry and Physics?</w:t>
            </w:r>
          </w:p>
        </w:tc>
        <w:tc>
          <w:tcPr>
            <w:tcW w:w="2145"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10.How likely are you to study all three sciences at A Level i.e. Biology, Chemistry and Physics?</w:t>
            </w:r>
          </w:p>
        </w:tc>
        <w:tc>
          <w:tcPr>
            <w:tcW w:w="945"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825"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66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84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00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2925"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214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Likely</w:t>
            </w:r>
          </w:p>
        </w:tc>
        <w:tc>
          <w:tcPr>
            <w:tcW w:w="94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Unlikely</w:t>
            </w:r>
          </w:p>
        </w:tc>
        <w:tc>
          <w:tcPr>
            <w:tcW w:w="82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66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Very likely</w:t>
            </w:r>
          </w:p>
        </w:tc>
        <w:tc>
          <w:tcPr>
            <w:tcW w:w="84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Very unlikely</w:t>
            </w:r>
          </w:p>
        </w:tc>
        <w:tc>
          <w:tcPr>
            <w:tcW w:w="100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2925"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214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4.76%</w:t>
            </w:r>
          </w:p>
        </w:tc>
        <w:tc>
          <w:tcPr>
            <w:tcW w:w="94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28.57%</w:t>
            </w:r>
          </w:p>
        </w:tc>
        <w:tc>
          <w:tcPr>
            <w:tcW w:w="82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9.52%</w:t>
            </w:r>
          </w:p>
        </w:tc>
        <w:tc>
          <w:tcPr>
            <w:tcW w:w="66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4.76%</w:t>
            </w:r>
          </w:p>
        </w:tc>
        <w:tc>
          <w:tcPr>
            <w:tcW w:w="84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52.38%</w:t>
            </w:r>
          </w:p>
        </w:tc>
        <w:tc>
          <w:tcPr>
            <w:tcW w:w="100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2925"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2145"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945"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82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66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7.69%</w:t>
            </w:r>
          </w:p>
        </w:tc>
        <w:tc>
          <w:tcPr>
            <w:tcW w:w="84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69.23%</w:t>
            </w:r>
          </w:p>
        </w:tc>
        <w:tc>
          <w:tcPr>
            <w:tcW w:w="100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2925"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214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4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82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66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84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00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292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214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2.86%</w:t>
            </w:r>
          </w:p>
        </w:tc>
        <w:tc>
          <w:tcPr>
            <w:tcW w:w="94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20.00%</w:t>
            </w:r>
          </w:p>
        </w:tc>
        <w:tc>
          <w:tcPr>
            <w:tcW w:w="82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14.29%</w:t>
            </w:r>
          </w:p>
        </w:tc>
        <w:tc>
          <w:tcPr>
            <w:tcW w:w="66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5.71%</w:t>
            </w:r>
          </w:p>
        </w:tc>
        <w:tc>
          <w:tcPr>
            <w:tcW w:w="84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57.14%</w:t>
            </w:r>
          </w:p>
        </w:tc>
        <w:tc>
          <w:tcPr>
            <w:tcW w:w="100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19: Responses to “ How likely are you to choose to study all three sciences at A Level?”. </w:t>
      </w:r>
    </w:p>
    <w:p>
      <w:pPr>
        <w:spacing w:line="240" w:lineRule="auto"/>
        <w:rPr>
          <w:i/>
          <w:sz w:val="24"/>
          <w:szCs w:val="24"/>
        </w:rPr>
      </w:pPr>
    </w:p>
    <w:p>
      <w:pPr>
        <w:spacing w:line="240" w:lineRule="auto"/>
        <w:rPr>
          <w:i/>
          <w:sz w:val="24"/>
          <w:szCs w:val="24"/>
        </w:rPr>
      </w:pPr>
    </w:p>
    <w:p>
      <w:pPr>
        <w:spacing w:line="240" w:lineRule="auto"/>
        <w:rPr>
          <w:i/>
          <w:sz w:val="24"/>
          <w:szCs w:val="24"/>
        </w:rPr>
      </w:pPr>
      <w:r>
        <w:rPr>
          <w:i/>
          <w:sz w:val="24"/>
          <w:szCs w:val="24"/>
        </w:rPr>
        <w:t>Questions 11-16</w:t>
      </w:r>
    </w:p>
    <w:p>
      <w:pPr>
        <w:spacing w:line="240" w:lineRule="auto"/>
        <w:rPr>
          <w:i/>
          <w:sz w:val="24"/>
          <w:szCs w:val="24"/>
        </w:rPr>
      </w:pPr>
    </w:p>
    <w:p>
      <w:pPr>
        <w:spacing w:line="240" w:lineRule="auto"/>
        <w:rPr>
          <w:sz w:val="24"/>
          <w:szCs w:val="24"/>
        </w:rPr>
      </w:pPr>
      <w:r>
        <w:rPr>
          <w:sz w:val="24"/>
          <w:szCs w:val="24"/>
        </w:rPr>
        <w:t>Questions 11-16, as with the Key Stage 5 questionnaire, comprises questions that ask students to agree or disagree with statements. Question 11 stated “society values a career in science”. Slightly more females (90%) than males (84.61%) answered “strongly agree” or “agree” with the remainder of males saying they were unsure and the remaining female responses split evenly between “unsure” and “disagree”. The undefined student agreed with the statement. Question 12 stated “my science teachers encourage me to continue with science after my GCSEs”. More males (76.93%) than females (52.36%) said that they “agree” or “strongly agree” with this statement, although a similar proportion of males and females disagreed (15.38% and 14.29% respectively). 33.33% of females, 7.69% of males and 100% of undefined students said that they were “unsure”. Question 13 posed “my parents/family value a career in science”. The majority of females agreed with this statement (80.95%) while the remainder said that they were “unsure”. A large, although comparatively smaller, proportion of males also agreed (69.23%) with this statement, with the remaining male responses split evenly between “disagree” and “unsure”. The undefined student disagreed with the statement. Question 14 stated “my parents/family encourage me to continue with science after GCSEs”. More females (71.43%) than males (53.85%) and undefined (0%) agreed with this statement. However, a larger proportion of females (14.29%) disagreed with the statement, compared with males(7.69%). 30.77% of males responded with “unsure”, as did the undefined student. Question 15 posited “I consider myself to be good at science”. Fewer males (61.54%) than females (71.42%) said that they “agree” or “strongly agree” with this statement, although similar proportions of males and females said that they “disagree” and were “unsure”. The undefined student responded “disagree” and males were the only group (7.69%) to “strongly disagree”. The final question in this section, question 16, stated “I am considering a career in science”. 66.67% of females, 53.85% of males and 100% of undefined students agreed with this statement. More males (38.46%) than females (19.05%) said that they were “unsure”, and more females (14.28%) than males (7.69%) responded “disagree” or “strongly disagree”. The breakdown of responses to questions 11-16 can be found in tables 20-25 below.</w:t>
      </w:r>
    </w:p>
    <w:p>
      <w:pPr>
        <w:spacing w:line="240" w:lineRule="auto"/>
        <w:rPr>
          <w:sz w:val="24"/>
          <w:szCs w:val="24"/>
        </w:rPr>
      </w:pPr>
    </w:p>
    <w:p>
      <w:pPr>
        <w:spacing w:line="240" w:lineRule="auto"/>
        <w:rPr>
          <w:sz w:val="24"/>
          <w:szCs w:val="24"/>
        </w:rPr>
      </w:pPr>
    </w:p>
    <w:tbl>
      <w:tblPr>
        <w:tblStyle w:val="afa"/>
        <w:tblW w:w="9345" w:type="dxa"/>
        <w:tblBorders>
          <w:top w:val="nil"/>
          <w:left w:val="nil"/>
          <w:bottom w:val="nil"/>
          <w:right w:val="nil"/>
          <w:insideH w:val="nil"/>
          <w:insideV w:val="nil"/>
        </w:tblBorders>
        <w:tblLayout w:type="fixed"/>
        <w:tblLook w:val="0600" w:firstRow="0" w:lastRow="0" w:firstColumn="0" w:lastColumn="0" w:noHBand="1" w:noVBand="1"/>
      </w:tblPr>
      <w:tblGrid>
        <w:gridCol w:w="2610"/>
        <w:gridCol w:w="2055"/>
        <w:gridCol w:w="1035"/>
        <w:gridCol w:w="900"/>
        <w:gridCol w:w="915"/>
        <w:gridCol w:w="885"/>
        <w:gridCol w:w="945"/>
      </w:tblGrid>
      <w:tr>
        <w:trPr>
          <w:trHeight w:val="645"/>
        </w:trPr>
        <w:tc>
          <w:tcPr>
            <w:tcW w:w="261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11. “Society values a career in Science.”</w:t>
            </w:r>
          </w:p>
        </w:tc>
        <w:tc>
          <w:tcPr>
            <w:tcW w:w="2055"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11. “Society values a career in Science.”</w:t>
            </w:r>
          </w:p>
        </w:tc>
        <w:tc>
          <w:tcPr>
            <w:tcW w:w="1035"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9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91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88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94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330"/>
        </w:trPr>
        <w:tc>
          <w:tcPr>
            <w:tcW w:w="2610" w:type="dxa"/>
            <w:tcBorders>
              <w:top w:val="nil"/>
              <w:left w:val="nil"/>
              <w:bottom w:val="single" w:sz="18" w:space="0" w:color="8093B3"/>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 Please select your gender.</w:t>
            </w:r>
          </w:p>
        </w:tc>
        <w:tc>
          <w:tcPr>
            <w:tcW w:w="205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p>
        </w:tc>
        <w:tc>
          <w:tcPr>
            <w:tcW w:w="103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9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Disagree</w:t>
            </w:r>
          </w:p>
        </w:tc>
        <w:tc>
          <w:tcPr>
            <w:tcW w:w="91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88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94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261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205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0.00%</w:t>
            </w:r>
          </w:p>
        </w:tc>
        <w:tc>
          <w:tcPr>
            <w:tcW w:w="103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60.00%</w:t>
            </w:r>
          </w:p>
        </w:tc>
        <w:tc>
          <w:tcPr>
            <w:tcW w:w="9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5.00%</w:t>
            </w:r>
          </w:p>
        </w:tc>
        <w:tc>
          <w:tcPr>
            <w:tcW w:w="91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30.00%</w:t>
            </w:r>
          </w:p>
        </w:tc>
        <w:tc>
          <w:tcPr>
            <w:tcW w:w="88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5.00%</w:t>
            </w:r>
          </w:p>
        </w:tc>
        <w:tc>
          <w:tcPr>
            <w:tcW w:w="94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261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2055"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103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46.15%</w:t>
            </w:r>
          </w:p>
        </w:tc>
        <w:tc>
          <w:tcPr>
            <w:tcW w:w="9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91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38.46%</w:t>
            </w:r>
          </w:p>
        </w:tc>
        <w:tc>
          <w:tcPr>
            <w:tcW w:w="88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94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2610"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205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03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9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1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88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4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261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205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0.00%</w:t>
            </w:r>
          </w:p>
        </w:tc>
        <w:tc>
          <w:tcPr>
            <w:tcW w:w="103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55.88%</w:t>
            </w:r>
          </w:p>
        </w:tc>
        <w:tc>
          <w:tcPr>
            <w:tcW w:w="9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2.94%</w:t>
            </w:r>
          </w:p>
        </w:tc>
        <w:tc>
          <w:tcPr>
            <w:tcW w:w="91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32.35%</w:t>
            </w:r>
          </w:p>
        </w:tc>
        <w:tc>
          <w:tcPr>
            <w:tcW w:w="88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8.82%</w:t>
            </w:r>
          </w:p>
        </w:tc>
        <w:tc>
          <w:tcPr>
            <w:tcW w:w="94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20: Responses to “ Society values a career in science”. </w:t>
      </w:r>
    </w:p>
    <w:p>
      <w:pPr>
        <w:spacing w:line="240" w:lineRule="auto"/>
        <w:rPr>
          <w:i/>
          <w:sz w:val="24"/>
          <w:szCs w:val="24"/>
        </w:rPr>
      </w:pPr>
    </w:p>
    <w:p>
      <w:pPr>
        <w:spacing w:line="240" w:lineRule="auto"/>
        <w:rPr>
          <w:i/>
          <w:sz w:val="24"/>
          <w:szCs w:val="24"/>
        </w:rPr>
      </w:pPr>
    </w:p>
    <w:tbl>
      <w:tblPr>
        <w:tblStyle w:val="afb"/>
        <w:tblW w:w="9000" w:type="dxa"/>
        <w:tblBorders>
          <w:top w:val="nil"/>
          <w:left w:val="nil"/>
          <w:bottom w:val="nil"/>
          <w:right w:val="nil"/>
          <w:insideH w:val="nil"/>
          <w:insideV w:val="nil"/>
        </w:tblBorders>
        <w:tblLayout w:type="fixed"/>
        <w:tblLook w:val="0600" w:firstRow="0" w:lastRow="0" w:firstColumn="0" w:lastColumn="0" w:noHBand="1" w:noVBand="1"/>
      </w:tblPr>
      <w:tblGrid>
        <w:gridCol w:w="3150"/>
        <w:gridCol w:w="2235"/>
        <w:gridCol w:w="915"/>
        <w:gridCol w:w="855"/>
        <w:gridCol w:w="915"/>
        <w:gridCol w:w="930"/>
      </w:tblGrid>
      <w:tr>
        <w:trPr>
          <w:trHeight w:val="1215"/>
        </w:trPr>
        <w:tc>
          <w:tcPr>
            <w:tcW w:w="315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12. “My Science teachers encourage me to continue with Science after GCSEs.”</w:t>
            </w:r>
          </w:p>
        </w:tc>
        <w:tc>
          <w:tcPr>
            <w:tcW w:w="2235"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12. “My Science teachers encourage me to continue with Science after GCSEs.”</w:t>
            </w:r>
          </w:p>
        </w:tc>
        <w:tc>
          <w:tcPr>
            <w:tcW w:w="915"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855"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915"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93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3150"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223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91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Disagree</w:t>
            </w:r>
          </w:p>
        </w:tc>
        <w:tc>
          <w:tcPr>
            <w:tcW w:w="85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91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93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315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223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47.62%</w:t>
            </w:r>
          </w:p>
        </w:tc>
        <w:tc>
          <w:tcPr>
            <w:tcW w:w="91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14.29%</w:t>
            </w:r>
          </w:p>
        </w:tc>
        <w:tc>
          <w:tcPr>
            <w:tcW w:w="85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4.76%</w:t>
            </w:r>
          </w:p>
        </w:tc>
        <w:tc>
          <w:tcPr>
            <w:tcW w:w="91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33.33%</w:t>
            </w:r>
          </w:p>
        </w:tc>
        <w:tc>
          <w:tcPr>
            <w:tcW w:w="93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315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223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53.85%</w:t>
            </w:r>
          </w:p>
        </w:tc>
        <w:tc>
          <w:tcPr>
            <w:tcW w:w="91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85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91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7.69%</w:t>
            </w:r>
          </w:p>
        </w:tc>
        <w:tc>
          <w:tcPr>
            <w:tcW w:w="93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3150"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223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1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85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1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93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315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223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48.57%</w:t>
            </w:r>
          </w:p>
        </w:tc>
        <w:tc>
          <w:tcPr>
            <w:tcW w:w="91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14.29%</w:t>
            </w:r>
          </w:p>
        </w:tc>
        <w:tc>
          <w:tcPr>
            <w:tcW w:w="85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11.43%</w:t>
            </w:r>
          </w:p>
        </w:tc>
        <w:tc>
          <w:tcPr>
            <w:tcW w:w="91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25.71%</w:t>
            </w:r>
          </w:p>
        </w:tc>
        <w:tc>
          <w:tcPr>
            <w:tcW w:w="93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21: Responses to “ My science teachers encourage me to continue with science after GCSEs”. </w:t>
      </w:r>
    </w:p>
    <w:p>
      <w:pPr>
        <w:spacing w:line="240" w:lineRule="auto"/>
        <w:rPr>
          <w:sz w:val="24"/>
          <w:szCs w:val="24"/>
        </w:rPr>
      </w:pPr>
    </w:p>
    <w:p>
      <w:pPr>
        <w:spacing w:line="240" w:lineRule="auto"/>
        <w:rPr>
          <w:sz w:val="24"/>
          <w:szCs w:val="24"/>
        </w:rPr>
      </w:pPr>
    </w:p>
    <w:tbl>
      <w:tblPr>
        <w:tblStyle w:val="afc"/>
        <w:tblW w:w="9000" w:type="dxa"/>
        <w:tblBorders>
          <w:top w:val="nil"/>
          <w:left w:val="nil"/>
          <w:bottom w:val="nil"/>
          <w:right w:val="nil"/>
          <w:insideH w:val="nil"/>
          <w:insideV w:val="nil"/>
        </w:tblBorders>
        <w:tblLayout w:type="fixed"/>
        <w:tblLook w:val="0600" w:firstRow="0" w:lastRow="0" w:firstColumn="0" w:lastColumn="0" w:noHBand="1" w:noVBand="1"/>
      </w:tblPr>
      <w:tblGrid>
        <w:gridCol w:w="3150"/>
        <w:gridCol w:w="2325"/>
        <w:gridCol w:w="900"/>
        <w:gridCol w:w="885"/>
        <w:gridCol w:w="825"/>
        <w:gridCol w:w="915"/>
      </w:tblGrid>
      <w:tr>
        <w:trPr>
          <w:trHeight w:val="930"/>
        </w:trPr>
        <w:tc>
          <w:tcPr>
            <w:tcW w:w="315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13. “My parents/family value a career in Science.”</w:t>
            </w:r>
          </w:p>
        </w:tc>
        <w:tc>
          <w:tcPr>
            <w:tcW w:w="2325"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13. “My parents/family value a career in Science.”</w:t>
            </w:r>
          </w:p>
        </w:tc>
        <w:tc>
          <w:tcPr>
            <w:tcW w:w="90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88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82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91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3150"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232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9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Disagree</w:t>
            </w:r>
          </w:p>
        </w:tc>
        <w:tc>
          <w:tcPr>
            <w:tcW w:w="88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82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91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315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232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33.33%</w:t>
            </w:r>
          </w:p>
        </w:tc>
        <w:tc>
          <w:tcPr>
            <w:tcW w:w="9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88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47.62%</w:t>
            </w:r>
          </w:p>
        </w:tc>
        <w:tc>
          <w:tcPr>
            <w:tcW w:w="82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19.05%</w:t>
            </w:r>
          </w:p>
        </w:tc>
        <w:tc>
          <w:tcPr>
            <w:tcW w:w="91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315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232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46.15%</w:t>
            </w:r>
          </w:p>
        </w:tc>
        <w:tc>
          <w:tcPr>
            <w:tcW w:w="9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88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82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91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3150"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232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88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82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1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315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232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37.14%</w:t>
            </w:r>
          </w:p>
        </w:tc>
        <w:tc>
          <w:tcPr>
            <w:tcW w:w="9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8.57%</w:t>
            </w:r>
          </w:p>
        </w:tc>
        <w:tc>
          <w:tcPr>
            <w:tcW w:w="88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37.14%</w:t>
            </w:r>
          </w:p>
        </w:tc>
        <w:tc>
          <w:tcPr>
            <w:tcW w:w="82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17.14%</w:t>
            </w:r>
          </w:p>
        </w:tc>
        <w:tc>
          <w:tcPr>
            <w:tcW w:w="91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sz w:val="24"/>
          <w:szCs w:val="24"/>
        </w:rPr>
      </w:pPr>
      <w:r>
        <w:rPr>
          <w:i/>
          <w:sz w:val="24"/>
          <w:szCs w:val="24"/>
        </w:rPr>
        <w:t xml:space="preserve">Table 22: Responses to “ My parents/family value a career in science”. </w:t>
      </w:r>
    </w:p>
    <w:p>
      <w:pPr>
        <w:spacing w:line="240" w:lineRule="auto"/>
        <w:rPr>
          <w:sz w:val="24"/>
          <w:szCs w:val="24"/>
        </w:rPr>
      </w:pPr>
    </w:p>
    <w:p>
      <w:pPr>
        <w:spacing w:line="240" w:lineRule="auto"/>
        <w:rPr>
          <w:sz w:val="24"/>
          <w:szCs w:val="24"/>
        </w:rPr>
      </w:pPr>
    </w:p>
    <w:tbl>
      <w:tblPr>
        <w:tblStyle w:val="afd"/>
        <w:tblW w:w="9345" w:type="dxa"/>
        <w:tblBorders>
          <w:top w:val="nil"/>
          <w:left w:val="nil"/>
          <w:bottom w:val="nil"/>
          <w:right w:val="nil"/>
          <w:insideH w:val="nil"/>
          <w:insideV w:val="nil"/>
        </w:tblBorders>
        <w:tblLayout w:type="fixed"/>
        <w:tblLook w:val="0600" w:firstRow="0" w:lastRow="0" w:firstColumn="0" w:lastColumn="0" w:noHBand="1" w:noVBand="1"/>
      </w:tblPr>
      <w:tblGrid>
        <w:gridCol w:w="2415"/>
        <w:gridCol w:w="2025"/>
        <w:gridCol w:w="1020"/>
        <w:gridCol w:w="930"/>
        <w:gridCol w:w="960"/>
        <w:gridCol w:w="990"/>
        <w:gridCol w:w="1005"/>
      </w:tblGrid>
      <w:tr>
        <w:trPr>
          <w:trHeight w:val="1155"/>
        </w:trPr>
        <w:tc>
          <w:tcPr>
            <w:tcW w:w="241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14. “My parents/ family encourage me to continue with Science after GCSEs.”</w:t>
            </w:r>
          </w:p>
        </w:tc>
        <w:tc>
          <w:tcPr>
            <w:tcW w:w="2025"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14. “My parents/ family encourage me to continue with Science after GCSEs.”</w:t>
            </w:r>
          </w:p>
        </w:tc>
        <w:tc>
          <w:tcPr>
            <w:tcW w:w="102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93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96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99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100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2415"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202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102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Disagree</w:t>
            </w:r>
          </w:p>
        </w:tc>
        <w:tc>
          <w:tcPr>
            <w:tcW w:w="93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96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disagree</w:t>
            </w:r>
          </w:p>
        </w:tc>
        <w:tc>
          <w:tcPr>
            <w:tcW w:w="99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100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2415"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202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19.05%</w:t>
            </w:r>
          </w:p>
        </w:tc>
        <w:tc>
          <w:tcPr>
            <w:tcW w:w="102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14.29%</w:t>
            </w:r>
          </w:p>
        </w:tc>
        <w:tc>
          <w:tcPr>
            <w:tcW w:w="93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52.38%</w:t>
            </w:r>
          </w:p>
        </w:tc>
        <w:tc>
          <w:tcPr>
            <w:tcW w:w="960"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99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14.29%</w:t>
            </w:r>
          </w:p>
        </w:tc>
        <w:tc>
          <w:tcPr>
            <w:tcW w:w="100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2415"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202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30.77%</w:t>
            </w:r>
          </w:p>
        </w:tc>
        <w:tc>
          <w:tcPr>
            <w:tcW w:w="102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7.69%</w:t>
            </w:r>
          </w:p>
        </w:tc>
        <w:tc>
          <w:tcPr>
            <w:tcW w:w="93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96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7.69%</w:t>
            </w:r>
          </w:p>
        </w:tc>
        <w:tc>
          <w:tcPr>
            <w:tcW w:w="99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30.77%</w:t>
            </w:r>
          </w:p>
        </w:tc>
        <w:tc>
          <w:tcPr>
            <w:tcW w:w="100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2415"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202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02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3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6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9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00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241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202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22.86%</w:t>
            </w:r>
          </w:p>
        </w:tc>
        <w:tc>
          <w:tcPr>
            <w:tcW w:w="102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11.43%</w:t>
            </w:r>
          </w:p>
        </w:tc>
        <w:tc>
          <w:tcPr>
            <w:tcW w:w="93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40.00%</w:t>
            </w:r>
          </w:p>
        </w:tc>
        <w:tc>
          <w:tcPr>
            <w:tcW w:w="96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2.86%</w:t>
            </w:r>
          </w:p>
        </w:tc>
        <w:tc>
          <w:tcPr>
            <w:tcW w:w="99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22.86%</w:t>
            </w:r>
          </w:p>
        </w:tc>
        <w:tc>
          <w:tcPr>
            <w:tcW w:w="100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23: Responses to “ My parents/family encourage me to continue with science after GCSEs”. </w:t>
      </w:r>
    </w:p>
    <w:p>
      <w:pPr>
        <w:spacing w:line="240" w:lineRule="auto"/>
        <w:rPr>
          <w:i/>
          <w:sz w:val="24"/>
          <w:szCs w:val="24"/>
        </w:rPr>
      </w:pPr>
    </w:p>
    <w:p>
      <w:pPr>
        <w:spacing w:line="240" w:lineRule="auto"/>
        <w:rPr>
          <w:i/>
          <w:sz w:val="24"/>
          <w:szCs w:val="24"/>
        </w:rPr>
      </w:pPr>
    </w:p>
    <w:tbl>
      <w:tblPr>
        <w:tblStyle w:val="afe"/>
        <w:tblW w:w="9345" w:type="dxa"/>
        <w:tblBorders>
          <w:top w:val="nil"/>
          <w:left w:val="nil"/>
          <w:bottom w:val="nil"/>
          <w:right w:val="nil"/>
          <w:insideH w:val="nil"/>
          <w:insideV w:val="nil"/>
        </w:tblBorders>
        <w:tblLayout w:type="fixed"/>
        <w:tblLook w:val="0600" w:firstRow="0" w:lastRow="0" w:firstColumn="0" w:lastColumn="0" w:noHBand="1" w:noVBand="1"/>
      </w:tblPr>
      <w:tblGrid>
        <w:gridCol w:w="2775"/>
        <w:gridCol w:w="1950"/>
        <w:gridCol w:w="945"/>
        <w:gridCol w:w="1005"/>
        <w:gridCol w:w="885"/>
        <w:gridCol w:w="870"/>
        <w:gridCol w:w="915"/>
      </w:tblGrid>
      <w:tr>
        <w:trPr>
          <w:trHeight w:val="885"/>
        </w:trPr>
        <w:tc>
          <w:tcPr>
            <w:tcW w:w="277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15. I consider myself to be good at Science.”</w:t>
            </w:r>
          </w:p>
        </w:tc>
        <w:tc>
          <w:tcPr>
            <w:tcW w:w="1950"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15. I consider myself to be good at Science.”</w:t>
            </w:r>
          </w:p>
        </w:tc>
        <w:tc>
          <w:tcPr>
            <w:tcW w:w="945"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00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88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87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91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2775"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195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94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Disagree</w:t>
            </w:r>
          </w:p>
        </w:tc>
        <w:tc>
          <w:tcPr>
            <w:tcW w:w="100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88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disagree</w:t>
            </w:r>
          </w:p>
        </w:tc>
        <w:tc>
          <w:tcPr>
            <w:tcW w:w="87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91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2775"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195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61.90%</w:t>
            </w:r>
          </w:p>
        </w:tc>
        <w:tc>
          <w:tcPr>
            <w:tcW w:w="94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14.29%</w:t>
            </w:r>
          </w:p>
        </w:tc>
        <w:tc>
          <w:tcPr>
            <w:tcW w:w="100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9.52%</w:t>
            </w:r>
          </w:p>
        </w:tc>
        <w:tc>
          <w:tcPr>
            <w:tcW w:w="885"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87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14.29%</w:t>
            </w:r>
          </w:p>
        </w:tc>
        <w:tc>
          <w:tcPr>
            <w:tcW w:w="91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2775"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195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38.46%</w:t>
            </w:r>
          </w:p>
        </w:tc>
        <w:tc>
          <w:tcPr>
            <w:tcW w:w="94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100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88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7.69%</w:t>
            </w:r>
          </w:p>
        </w:tc>
        <w:tc>
          <w:tcPr>
            <w:tcW w:w="87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91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2775"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195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4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00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88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87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1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2775"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195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51.43%</w:t>
            </w:r>
          </w:p>
        </w:tc>
        <w:tc>
          <w:tcPr>
            <w:tcW w:w="94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17.14%</w:t>
            </w:r>
          </w:p>
        </w:tc>
        <w:tc>
          <w:tcPr>
            <w:tcW w:w="100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14.29%</w:t>
            </w:r>
          </w:p>
        </w:tc>
        <w:tc>
          <w:tcPr>
            <w:tcW w:w="88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2.86%</w:t>
            </w:r>
          </w:p>
        </w:tc>
        <w:tc>
          <w:tcPr>
            <w:tcW w:w="87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14.29%</w:t>
            </w:r>
          </w:p>
        </w:tc>
        <w:tc>
          <w:tcPr>
            <w:tcW w:w="91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24: Responses to “ I consider myself to be good at science”. </w:t>
      </w:r>
    </w:p>
    <w:p>
      <w:pPr>
        <w:spacing w:line="240" w:lineRule="auto"/>
        <w:rPr>
          <w:i/>
          <w:sz w:val="24"/>
          <w:szCs w:val="24"/>
        </w:rPr>
      </w:pPr>
    </w:p>
    <w:p>
      <w:pPr>
        <w:spacing w:line="240" w:lineRule="auto"/>
        <w:rPr>
          <w:i/>
          <w:sz w:val="24"/>
          <w:szCs w:val="24"/>
        </w:rPr>
      </w:pPr>
    </w:p>
    <w:tbl>
      <w:tblPr>
        <w:tblStyle w:val="aff"/>
        <w:tblW w:w="9345" w:type="dxa"/>
        <w:tblBorders>
          <w:top w:val="nil"/>
          <w:left w:val="nil"/>
          <w:bottom w:val="nil"/>
          <w:right w:val="nil"/>
          <w:insideH w:val="nil"/>
          <w:insideV w:val="nil"/>
        </w:tblBorders>
        <w:tblLayout w:type="fixed"/>
        <w:tblLook w:val="0600" w:firstRow="0" w:lastRow="0" w:firstColumn="0" w:lastColumn="0" w:noHBand="1" w:noVBand="1"/>
      </w:tblPr>
      <w:tblGrid>
        <w:gridCol w:w="2670"/>
        <w:gridCol w:w="2100"/>
        <w:gridCol w:w="915"/>
        <w:gridCol w:w="945"/>
        <w:gridCol w:w="930"/>
        <w:gridCol w:w="855"/>
        <w:gridCol w:w="930"/>
      </w:tblGrid>
      <w:tr>
        <w:trPr>
          <w:trHeight w:val="1395"/>
        </w:trPr>
        <w:tc>
          <w:tcPr>
            <w:tcW w:w="267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16. “I am considering a career in Science.” In this question, Science refers to Biology, Chemistry and Physics.</w:t>
            </w:r>
          </w:p>
        </w:tc>
        <w:tc>
          <w:tcPr>
            <w:tcW w:w="2100"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16. “I am considering a career in Science.” In this question, Science refers to Biology, Chemistry and Physics.</w:t>
            </w:r>
          </w:p>
        </w:tc>
        <w:tc>
          <w:tcPr>
            <w:tcW w:w="915"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945"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93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855"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93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2670"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21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91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Disagree</w:t>
            </w:r>
          </w:p>
        </w:tc>
        <w:tc>
          <w:tcPr>
            <w:tcW w:w="94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93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disagree</w:t>
            </w:r>
          </w:p>
        </w:tc>
        <w:tc>
          <w:tcPr>
            <w:tcW w:w="855"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93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267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21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28.57%</w:t>
            </w:r>
          </w:p>
        </w:tc>
        <w:tc>
          <w:tcPr>
            <w:tcW w:w="91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9.52%</w:t>
            </w:r>
          </w:p>
        </w:tc>
        <w:tc>
          <w:tcPr>
            <w:tcW w:w="94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38.10%</w:t>
            </w:r>
          </w:p>
        </w:tc>
        <w:tc>
          <w:tcPr>
            <w:tcW w:w="93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4.76%</w:t>
            </w:r>
          </w:p>
        </w:tc>
        <w:tc>
          <w:tcPr>
            <w:tcW w:w="85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19.05%</w:t>
            </w:r>
          </w:p>
        </w:tc>
        <w:tc>
          <w:tcPr>
            <w:tcW w:w="93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267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21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915"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94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30.77%</w:t>
            </w:r>
          </w:p>
        </w:tc>
        <w:tc>
          <w:tcPr>
            <w:tcW w:w="93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7.69%</w:t>
            </w:r>
          </w:p>
        </w:tc>
        <w:tc>
          <w:tcPr>
            <w:tcW w:w="855"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38.46%</w:t>
            </w:r>
          </w:p>
        </w:tc>
        <w:tc>
          <w:tcPr>
            <w:tcW w:w="93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2670"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21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91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4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3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855"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93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267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21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28.57%</w:t>
            </w:r>
          </w:p>
        </w:tc>
        <w:tc>
          <w:tcPr>
            <w:tcW w:w="91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5.71%</w:t>
            </w:r>
          </w:p>
        </w:tc>
        <w:tc>
          <w:tcPr>
            <w:tcW w:w="94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34.29%</w:t>
            </w:r>
          </w:p>
        </w:tc>
        <w:tc>
          <w:tcPr>
            <w:tcW w:w="93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5.71%</w:t>
            </w:r>
          </w:p>
        </w:tc>
        <w:tc>
          <w:tcPr>
            <w:tcW w:w="855"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25.71%</w:t>
            </w:r>
          </w:p>
        </w:tc>
        <w:tc>
          <w:tcPr>
            <w:tcW w:w="93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Table 25: Responses to “ I am considering a career in science”.</w:t>
      </w:r>
    </w:p>
    <w:p>
      <w:pPr>
        <w:spacing w:line="240" w:lineRule="auto"/>
        <w:rPr>
          <w:i/>
          <w:sz w:val="24"/>
          <w:szCs w:val="24"/>
        </w:rPr>
      </w:pPr>
      <w:r>
        <w:rPr>
          <w:i/>
          <w:sz w:val="24"/>
          <w:szCs w:val="24"/>
        </w:rPr>
        <w:t xml:space="preserve"> </w:t>
      </w:r>
    </w:p>
    <w:p>
      <w:pPr>
        <w:spacing w:line="240" w:lineRule="auto"/>
        <w:rPr>
          <w:sz w:val="24"/>
          <w:szCs w:val="24"/>
        </w:rPr>
      </w:pPr>
    </w:p>
    <w:p>
      <w:pPr>
        <w:spacing w:line="240" w:lineRule="auto"/>
        <w:rPr>
          <w:i/>
          <w:sz w:val="24"/>
          <w:szCs w:val="24"/>
        </w:rPr>
      </w:pPr>
      <w:r>
        <w:rPr>
          <w:i/>
          <w:sz w:val="24"/>
          <w:szCs w:val="24"/>
        </w:rPr>
        <w:t>Questions 17-19</w:t>
      </w:r>
    </w:p>
    <w:p>
      <w:pPr>
        <w:spacing w:line="240" w:lineRule="auto"/>
        <w:rPr>
          <w:sz w:val="24"/>
          <w:szCs w:val="24"/>
        </w:rPr>
      </w:pPr>
    </w:p>
    <w:p>
      <w:pPr>
        <w:spacing w:line="240" w:lineRule="auto"/>
        <w:rPr>
          <w:sz w:val="24"/>
          <w:szCs w:val="24"/>
        </w:rPr>
      </w:pPr>
      <w:r>
        <w:rPr>
          <w:sz w:val="24"/>
          <w:szCs w:val="24"/>
        </w:rPr>
        <w:t>As with the Key Stage 5 questionnaire, questions 17 and 18 asked open ended questions, the responses to which were coded. The responses to question 17, “why would you choose to study science at A Level?”, generated five themes: university requirements/career prospects; enjoyment of the subject; possible financial benefits through future careers; influence of teachers; general life prospects. The numbers of each type of response are summarised in table 15.</w:t>
      </w:r>
    </w:p>
    <w:p>
      <w:pPr>
        <w:spacing w:line="240" w:lineRule="auto"/>
        <w:rPr>
          <w:sz w:val="24"/>
          <w:szCs w:val="24"/>
        </w:rPr>
      </w:pPr>
    </w:p>
    <w:p>
      <w:pPr>
        <w:spacing w:line="240" w:lineRule="auto"/>
        <w:rPr>
          <w:sz w:val="24"/>
          <w:szCs w:val="24"/>
        </w:rPr>
      </w:pPr>
    </w:p>
    <w:tbl>
      <w:tblPr>
        <w:tblStyle w:val="aff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Theme</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 xml:space="preserve">Number of females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Number of males</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Number of undefined</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females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undefined (%)</w:t>
            </w:r>
          </w:p>
        </w:tc>
      </w:tr>
      <w:tr>
        <w:trPr>
          <w:trHeight w:val="884"/>
        </w:trP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University requirements/ career prospects</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14</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5</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67</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38</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100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Enjoyment</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7</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4</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33</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31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Financial benefits</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2</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9.5</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7.7</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Teacher influence</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2</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9.5</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100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General life prospects</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4</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19</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r>
    </w:tbl>
    <w:p>
      <w:pPr>
        <w:spacing w:line="240" w:lineRule="auto"/>
        <w:rPr>
          <w:i/>
          <w:sz w:val="24"/>
          <w:szCs w:val="24"/>
        </w:rPr>
      </w:pPr>
      <w:r>
        <w:rPr>
          <w:i/>
          <w:sz w:val="24"/>
          <w:szCs w:val="24"/>
        </w:rPr>
        <w:t>Table 15: The number of each theme appearing in male, female and undefined responses to Question 17.</w:t>
      </w:r>
    </w:p>
    <w:p>
      <w:pPr>
        <w:spacing w:line="240" w:lineRule="auto"/>
        <w:rPr>
          <w:i/>
          <w:sz w:val="24"/>
          <w:szCs w:val="24"/>
        </w:rPr>
      </w:pPr>
    </w:p>
    <w:p>
      <w:pPr>
        <w:spacing w:line="240" w:lineRule="auto"/>
        <w:rPr>
          <w:sz w:val="24"/>
          <w:szCs w:val="24"/>
        </w:rPr>
      </w:pPr>
      <w:r>
        <w:rPr>
          <w:sz w:val="24"/>
          <w:szCs w:val="24"/>
        </w:rPr>
        <w:t xml:space="preserve">There were four responses that did not align with any of the themes. One female response spoke of the benefit of potentially more women taking up a career in science, another said that she found science easy to understand and the other described encouragement from her parents. The remaining male response said “because my other options aren’t open”. </w:t>
      </w:r>
    </w:p>
    <w:p>
      <w:pPr>
        <w:spacing w:line="240" w:lineRule="auto"/>
        <w:rPr>
          <w:sz w:val="24"/>
          <w:szCs w:val="24"/>
        </w:rPr>
      </w:pPr>
      <w:r>
        <w:rPr>
          <w:sz w:val="24"/>
          <w:szCs w:val="24"/>
        </w:rPr>
        <w:t xml:space="preserve"> </w:t>
      </w:r>
    </w:p>
    <w:p>
      <w:pPr>
        <w:spacing w:line="240" w:lineRule="auto"/>
        <w:rPr>
          <w:sz w:val="24"/>
          <w:szCs w:val="24"/>
        </w:rPr>
      </w:pPr>
      <w:r>
        <w:rPr>
          <w:sz w:val="24"/>
          <w:szCs w:val="24"/>
        </w:rPr>
        <w:t>In response to question 17, female responses consisted of an average of 1.24 themes, males responses consisted of an average of 1.08 themes and the undefined response consisted of 2 themes.</w:t>
      </w:r>
    </w:p>
    <w:p>
      <w:pPr>
        <w:spacing w:line="240" w:lineRule="auto"/>
        <w:rPr>
          <w:sz w:val="24"/>
          <w:szCs w:val="24"/>
        </w:rPr>
      </w:pPr>
    </w:p>
    <w:p>
      <w:pPr>
        <w:spacing w:line="240" w:lineRule="auto"/>
        <w:rPr>
          <w:sz w:val="24"/>
          <w:szCs w:val="24"/>
        </w:rPr>
      </w:pPr>
      <w:r>
        <w:rPr>
          <w:sz w:val="24"/>
          <w:szCs w:val="24"/>
        </w:rPr>
        <w:t>The responses to question 18, “What factors may discourage/prevent you from studying science at A Level?”, generated five themes: workload/perceived difficulty; lack of enjoyment; perceived ability/GCSE results; teacher influence; options/course availability. The numbers of each type of response are summarised in table 16.</w:t>
      </w:r>
    </w:p>
    <w:p>
      <w:pPr>
        <w:spacing w:line="240" w:lineRule="auto"/>
        <w:rPr>
          <w:sz w:val="24"/>
          <w:szCs w:val="24"/>
        </w:rPr>
      </w:pPr>
    </w:p>
    <w:p>
      <w:pPr>
        <w:spacing w:line="240" w:lineRule="auto"/>
        <w:rPr>
          <w:sz w:val="24"/>
          <w:szCs w:val="24"/>
        </w:rPr>
      </w:pPr>
    </w:p>
    <w:tbl>
      <w:tblPr>
        <w:tblStyle w:val="aff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Theme</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 xml:space="preserve">Number of females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Number of males</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Number of undefined</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females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undefined (%)</w:t>
            </w:r>
          </w:p>
        </w:tc>
      </w:tr>
      <w:tr>
        <w:trPr>
          <w:trHeight w:val="884"/>
        </w:trP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Workload/ perceived difficulty</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12</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6</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57</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46</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100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Lack of enjoyment</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5</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2</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24</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15</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Perceived ability/ GCSE results</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2</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3</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9.5</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23</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Teacher influence</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2</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9.5</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7.7</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100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 xml:space="preserve">Options/ course availability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3</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14</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7.7</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r>
    </w:tbl>
    <w:p>
      <w:pPr>
        <w:spacing w:line="240" w:lineRule="auto"/>
        <w:rPr>
          <w:i/>
          <w:sz w:val="24"/>
          <w:szCs w:val="24"/>
        </w:rPr>
      </w:pPr>
      <w:r>
        <w:rPr>
          <w:i/>
          <w:sz w:val="24"/>
          <w:szCs w:val="24"/>
        </w:rPr>
        <w:t>Table 16: The number of each theme appearing in male, female and undefined responses to Question 18.</w:t>
      </w:r>
    </w:p>
    <w:p>
      <w:pPr>
        <w:spacing w:line="240" w:lineRule="auto"/>
        <w:rPr>
          <w:i/>
          <w:sz w:val="24"/>
          <w:szCs w:val="24"/>
        </w:rPr>
      </w:pPr>
    </w:p>
    <w:p>
      <w:pPr>
        <w:spacing w:line="240" w:lineRule="auto"/>
        <w:rPr>
          <w:sz w:val="24"/>
          <w:szCs w:val="24"/>
        </w:rPr>
      </w:pPr>
      <w:r>
        <w:rPr>
          <w:sz w:val="24"/>
          <w:szCs w:val="24"/>
        </w:rPr>
        <w:t xml:space="preserve">Of the responses that included “workload/perceived difficulty” only one student named specific sciences: the student was female and she said that she found chemistry and physics “very difficult”. Of the responses that included “perceived difficulty/GCSE results” no students named specific sciences. Of the responses that included “lack of enjoyment” there were two female students who specified physics (one student described her “hatred for physics”). No male responses specified a science. The responses that included “teacher influence” all cited disliking their teacher or not having confidence in their teacher. There were three responses that were not included in any of the themes. Two of the responses simply stated that there were no factors. The other responses, which came from a female student, described her difficulty with information not being “contextualised” and her perception that she just had to learn facts for an exam. </w:t>
      </w:r>
    </w:p>
    <w:p>
      <w:pPr>
        <w:spacing w:line="240" w:lineRule="auto"/>
        <w:rPr>
          <w:sz w:val="24"/>
          <w:szCs w:val="24"/>
        </w:rPr>
      </w:pPr>
    </w:p>
    <w:p>
      <w:pPr>
        <w:spacing w:line="240" w:lineRule="auto"/>
        <w:rPr>
          <w:sz w:val="24"/>
          <w:szCs w:val="24"/>
        </w:rPr>
      </w:pPr>
      <w:r>
        <w:rPr>
          <w:sz w:val="24"/>
          <w:szCs w:val="24"/>
        </w:rPr>
        <w:t>In response to question 18, female responses consisted of an average of 1.24 themes, males responses consisted of an average of 1.08 themes and the undefined response consisted of 2 themes.</w:t>
      </w:r>
    </w:p>
    <w:p>
      <w:pPr>
        <w:spacing w:line="240" w:lineRule="auto"/>
        <w:rPr>
          <w:sz w:val="24"/>
          <w:szCs w:val="24"/>
        </w:rPr>
      </w:pPr>
    </w:p>
    <w:p>
      <w:pPr>
        <w:spacing w:line="240" w:lineRule="auto"/>
        <w:rPr>
          <w:sz w:val="24"/>
          <w:szCs w:val="24"/>
        </w:rPr>
      </w:pPr>
      <w:r>
        <w:rPr>
          <w:sz w:val="24"/>
          <w:szCs w:val="24"/>
        </w:rPr>
        <w:t xml:space="preserve">Question 19 asked students for any further comments about studying science A Levels. There were seven responses from this question, including four from females, two from males and one from the undefined student. All four female responses speculated about the large amount of work that would be required of them and the undefined student explained that their choices at A Level were likely to be influenced by others’ opinions (although they did not state who these other people were). Both male responses were humorous in nature and did not pertain to the question. </w:t>
      </w:r>
    </w:p>
    <w:p>
      <w:pPr>
        <w:spacing w:line="240" w:lineRule="auto"/>
        <w:rPr>
          <w:sz w:val="24"/>
          <w:szCs w:val="24"/>
        </w:rPr>
      </w:pPr>
    </w:p>
    <w:p>
      <w:pPr>
        <w:numPr>
          <w:ilvl w:val="0"/>
          <w:numId w:val="10"/>
        </w:numPr>
        <w:spacing w:line="240" w:lineRule="auto"/>
        <w:rPr>
          <w:b/>
          <w:i/>
          <w:sz w:val="24"/>
          <w:szCs w:val="24"/>
        </w:rPr>
      </w:pPr>
      <w:r>
        <w:rPr>
          <w:b/>
          <w:i/>
          <w:sz w:val="24"/>
          <w:szCs w:val="24"/>
        </w:rPr>
        <w:t>Key Stage 4 Focus group</w:t>
      </w:r>
    </w:p>
    <w:p>
      <w:pPr>
        <w:spacing w:line="240" w:lineRule="auto"/>
        <w:rPr>
          <w:b/>
          <w:sz w:val="24"/>
          <w:szCs w:val="24"/>
          <w:highlight w:val="yellow"/>
        </w:rPr>
      </w:pPr>
    </w:p>
    <w:p>
      <w:pPr>
        <w:spacing w:line="240" w:lineRule="auto"/>
        <w:rPr>
          <w:sz w:val="24"/>
          <w:szCs w:val="24"/>
        </w:rPr>
      </w:pPr>
      <w:r>
        <w:rPr>
          <w:sz w:val="24"/>
          <w:szCs w:val="24"/>
        </w:rPr>
        <w:t>The Key Stage 4 focus group involved six Year 11 students. Four of these participants were female and two were male. Each of the questions and their responses are summarised below.</w:t>
      </w:r>
    </w:p>
    <w:p>
      <w:pPr>
        <w:spacing w:line="240" w:lineRule="auto"/>
        <w:rPr>
          <w:sz w:val="24"/>
          <w:szCs w:val="24"/>
        </w:rPr>
      </w:pPr>
    </w:p>
    <w:p>
      <w:pPr>
        <w:spacing w:line="240" w:lineRule="auto"/>
        <w:rPr>
          <w:sz w:val="24"/>
          <w:szCs w:val="24"/>
        </w:rPr>
      </w:pPr>
    </w:p>
    <w:tbl>
      <w:tblPr>
        <w:tblStyle w:val="aff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1: Factors affecting the decision to study Biology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6"/>
              </w:numPr>
              <w:spacing w:line="240" w:lineRule="auto"/>
              <w:rPr>
                <w:sz w:val="24"/>
                <w:szCs w:val="24"/>
              </w:rPr>
            </w:pPr>
            <w:r>
              <w:rPr>
                <w:sz w:val="24"/>
                <w:szCs w:val="24"/>
              </w:rPr>
              <w:t>More enjoyable than the other sciences.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F2</w:t>
            </w:r>
          </w:p>
        </w:tc>
        <w:tc>
          <w:tcPr>
            <w:tcW w:w="8205" w:type="dxa"/>
            <w:shd w:val="clear" w:color="auto" w:fill="auto"/>
            <w:tcMar>
              <w:top w:w="100" w:type="dxa"/>
              <w:left w:w="100" w:type="dxa"/>
              <w:bottom w:w="100" w:type="dxa"/>
              <w:right w:w="100" w:type="dxa"/>
            </w:tcMar>
          </w:tcPr>
          <w:p>
            <w:pPr>
              <w:widowControl w:val="0"/>
              <w:numPr>
                <w:ilvl w:val="0"/>
                <w:numId w:val="36"/>
              </w:numPr>
              <w:spacing w:line="240" w:lineRule="auto"/>
              <w:rPr>
                <w:sz w:val="24"/>
                <w:szCs w:val="24"/>
              </w:rPr>
            </w:pPr>
            <w:r>
              <w:rPr>
                <w:sz w:val="24"/>
                <w:szCs w:val="24"/>
              </w:rPr>
              <w:t xml:space="preserve">Considering taking Biology as it’s a requirement for future career aspirations.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26"/>
              </w:numPr>
              <w:spacing w:line="240" w:lineRule="auto"/>
              <w:rPr>
                <w:sz w:val="24"/>
                <w:szCs w:val="24"/>
              </w:rPr>
            </w:pPr>
            <w:r>
              <w:rPr>
                <w:sz w:val="24"/>
                <w:szCs w:val="24"/>
              </w:rPr>
              <w:t xml:space="preserve">Not considering taking it as they hate it and feel there’s too much content.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Human biology is more interesting than other aspects of biology.</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M1</w:t>
            </w:r>
          </w:p>
        </w:tc>
        <w:tc>
          <w:tcPr>
            <w:tcW w:w="8205" w:type="dxa"/>
            <w:shd w:val="clear" w:color="auto" w:fill="auto"/>
            <w:tcMar>
              <w:top w:w="100" w:type="dxa"/>
              <w:left w:w="100" w:type="dxa"/>
              <w:bottom w:w="100" w:type="dxa"/>
              <w:right w:w="100" w:type="dxa"/>
            </w:tcMar>
          </w:tcPr>
          <w:p>
            <w:pPr>
              <w:widowControl w:val="0"/>
              <w:numPr>
                <w:ilvl w:val="0"/>
                <w:numId w:val="32"/>
              </w:numPr>
              <w:spacing w:line="240" w:lineRule="auto"/>
              <w:rPr>
                <w:sz w:val="24"/>
                <w:szCs w:val="24"/>
              </w:rPr>
            </w:pPr>
            <w:r>
              <w:rPr>
                <w:sz w:val="24"/>
                <w:szCs w:val="24"/>
              </w:rPr>
              <w:t xml:space="preserve">Undecided as they’re not particularly interesting but it “links well” with other subjects. </w:t>
            </w:r>
          </w:p>
        </w:tc>
      </w:tr>
    </w:tbl>
    <w:p>
      <w:pPr>
        <w:spacing w:line="240" w:lineRule="auto"/>
        <w:rPr>
          <w:sz w:val="24"/>
          <w:szCs w:val="24"/>
        </w:rPr>
      </w:pPr>
      <w:r>
        <w:rPr>
          <w:sz w:val="24"/>
          <w:szCs w:val="24"/>
        </w:rPr>
        <w:t xml:space="preserve"> </w:t>
      </w:r>
    </w:p>
    <w:p>
      <w:pPr>
        <w:spacing w:line="240" w:lineRule="auto"/>
        <w:rPr>
          <w:sz w:val="24"/>
          <w:szCs w:val="24"/>
        </w:rPr>
      </w:pPr>
      <w:r>
        <w:rPr>
          <w:sz w:val="24"/>
          <w:szCs w:val="24"/>
        </w:rPr>
        <w:t xml:space="preserve">Question 1 comment: Three out of four females were considering choosing Biology A Level. The male who responded was undecided. </w:t>
      </w:r>
    </w:p>
    <w:p>
      <w:pPr>
        <w:spacing w:line="240" w:lineRule="auto"/>
        <w:rPr>
          <w:sz w:val="24"/>
          <w:szCs w:val="24"/>
        </w:rPr>
      </w:pPr>
    </w:p>
    <w:tbl>
      <w:tblPr>
        <w:tblStyle w:val="aff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2: Factors affecting the decision to study Chemistry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 xml:space="preserve">Would choose it because it’s interesting and “makes sense”.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F2</w:t>
            </w:r>
          </w:p>
        </w:tc>
        <w:tc>
          <w:tcPr>
            <w:tcW w:w="8205" w:type="dxa"/>
            <w:shd w:val="clear" w:color="auto" w:fill="auto"/>
            <w:tcMar>
              <w:top w:w="100" w:type="dxa"/>
              <w:left w:w="100" w:type="dxa"/>
              <w:bottom w:w="100" w:type="dxa"/>
              <w:right w:w="100" w:type="dxa"/>
            </w:tcMar>
          </w:tcPr>
          <w:p>
            <w:pPr>
              <w:widowControl w:val="0"/>
              <w:numPr>
                <w:ilvl w:val="0"/>
                <w:numId w:val="3"/>
              </w:numPr>
              <w:spacing w:line="240" w:lineRule="auto"/>
              <w:rPr>
                <w:sz w:val="24"/>
                <w:szCs w:val="24"/>
              </w:rPr>
            </w:pPr>
            <w:r>
              <w:rPr>
                <w:sz w:val="24"/>
                <w:szCs w:val="24"/>
              </w:rPr>
              <w:t>There’s lots of maths content which makes it harder.</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6"/>
              </w:numPr>
              <w:spacing w:line="240" w:lineRule="auto"/>
              <w:rPr>
                <w:sz w:val="24"/>
                <w:szCs w:val="24"/>
              </w:rPr>
            </w:pPr>
            <w:r>
              <w:rPr>
                <w:sz w:val="24"/>
                <w:szCs w:val="24"/>
              </w:rPr>
              <w:t>Requirement for future career aspirations.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32"/>
              </w:numPr>
              <w:spacing w:line="240" w:lineRule="auto"/>
              <w:rPr>
                <w:sz w:val="24"/>
                <w:szCs w:val="24"/>
              </w:rPr>
            </w:pPr>
            <w:r>
              <w:rPr>
                <w:sz w:val="24"/>
                <w:szCs w:val="24"/>
              </w:rPr>
              <w:t>They don’t like it and think it’s the hardest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M1</w:t>
            </w:r>
          </w:p>
        </w:tc>
        <w:tc>
          <w:tcPr>
            <w:tcW w:w="8205" w:type="dxa"/>
            <w:shd w:val="clear" w:color="auto" w:fill="auto"/>
            <w:tcMar>
              <w:top w:w="100" w:type="dxa"/>
              <w:left w:w="100" w:type="dxa"/>
              <w:bottom w:w="100" w:type="dxa"/>
              <w:right w:w="100" w:type="dxa"/>
            </w:tcMar>
          </w:tcPr>
          <w:p>
            <w:pPr>
              <w:widowControl w:val="0"/>
              <w:numPr>
                <w:ilvl w:val="0"/>
                <w:numId w:val="33"/>
              </w:numPr>
              <w:spacing w:line="240" w:lineRule="auto"/>
              <w:rPr>
                <w:sz w:val="24"/>
                <w:szCs w:val="24"/>
              </w:rPr>
            </w:pPr>
            <w:r>
              <w:rPr>
                <w:sz w:val="24"/>
                <w:szCs w:val="24"/>
              </w:rPr>
              <w:t>More likely to choose Chemistry A Level than Biology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M2</w:t>
            </w:r>
          </w:p>
        </w:tc>
        <w:tc>
          <w:tcPr>
            <w:tcW w:w="8205" w:type="dxa"/>
            <w:shd w:val="clear" w:color="auto" w:fill="auto"/>
            <w:tcMar>
              <w:top w:w="100" w:type="dxa"/>
              <w:left w:w="100" w:type="dxa"/>
              <w:bottom w:w="100" w:type="dxa"/>
              <w:right w:w="100" w:type="dxa"/>
            </w:tcMar>
          </w:tcPr>
          <w:p>
            <w:pPr>
              <w:widowControl w:val="0"/>
              <w:numPr>
                <w:ilvl w:val="0"/>
                <w:numId w:val="36"/>
              </w:numPr>
              <w:spacing w:line="240" w:lineRule="auto"/>
              <w:rPr>
                <w:sz w:val="24"/>
                <w:szCs w:val="24"/>
              </w:rPr>
            </w:pPr>
            <w:r>
              <w:rPr>
                <w:sz w:val="24"/>
                <w:szCs w:val="24"/>
              </w:rPr>
              <w:t xml:space="preserve">It’s more interesting than the other sciences. </w:t>
            </w:r>
          </w:p>
        </w:tc>
      </w:tr>
    </w:tbl>
    <w:p>
      <w:pPr>
        <w:spacing w:line="240" w:lineRule="auto"/>
        <w:rPr>
          <w:sz w:val="24"/>
          <w:szCs w:val="24"/>
        </w:rPr>
      </w:pPr>
    </w:p>
    <w:p>
      <w:pPr>
        <w:spacing w:line="240" w:lineRule="auto"/>
        <w:rPr>
          <w:sz w:val="24"/>
          <w:szCs w:val="24"/>
        </w:rPr>
      </w:pPr>
      <w:r>
        <w:rPr>
          <w:sz w:val="24"/>
          <w:szCs w:val="24"/>
        </w:rPr>
        <w:t xml:space="preserve">Question 2 comment: Both males responded positively and said they were likely to study Chemistry A Level, as did two of the females. The other two females said they found chemistry comparatively difficult. </w:t>
      </w:r>
    </w:p>
    <w:p>
      <w:pPr>
        <w:spacing w:line="240" w:lineRule="auto"/>
        <w:rPr>
          <w:sz w:val="24"/>
          <w:szCs w:val="24"/>
        </w:rPr>
      </w:pPr>
    </w:p>
    <w:p>
      <w:pPr>
        <w:spacing w:line="240" w:lineRule="auto"/>
        <w:rPr>
          <w:sz w:val="24"/>
          <w:szCs w:val="24"/>
        </w:rPr>
      </w:pPr>
    </w:p>
    <w:tbl>
      <w:tblPr>
        <w:tblStyle w:val="aff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3: Factors affecting the decision to study Physics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6"/>
              </w:numPr>
              <w:spacing w:line="240" w:lineRule="auto"/>
              <w:rPr>
                <w:sz w:val="24"/>
                <w:szCs w:val="24"/>
              </w:rPr>
            </w:pPr>
            <w:r>
              <w:rPr>
                <w:sz w:val="24"/>
                <w:szCs w:val="24"/>
              </w:rPr>
              <w:t xml:space="preserve">Definitely not considering it.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F2</w:t>
            </w:r>
          </w:p>
        </w:tc>
        <w:tc>
          <w:tcPr>
            <w:tcW w:w="8205" w:type="dxa"/>
            <w:shd w:val="clear" w:color="auto" w:fill="auto"/>
            <w:tcMar>
              <w:top w:w="100" w:type="dxa"/>
              <w:left w:w="100" w:type="dxa"/>
              <w:bottom w:w="100" w:type="dxa"/>
              <w:right w:w="100" w:type="dxa"/>
            </w:tcMar>
          </w:tcPr>
          <w:p>
            <w:pPr>
              <w:widowControl w:val="0"/>
              <w:numPr>
                <w:ilvl w:val="0"/>
                <w:numId w:val="36"/>
              </w:numPr>
              <w:spacing w:line="240" w:lineRule="auto"/>
              <w:rPr>
                <w:sz w:val="24"/>
                <w:szCs w:val="24"/>
              </w:rPr>
            </w:pPr>
            <w:r>
              <w:rPr>
                <w:sz w:val="24"/>
                <w:szCs w:val="24"/>
              </w:rPr>
              <w:t xml:space="preserve">It would be useful as it ties in with maths but they hate it. </w:t>
            </w:r>
          </w:p>
          <w:p>
            <w:pPr>
              <w:widowControl w:val="0"/>
              <w:numPr>
                <w:ilvl w:val="0"/>
                <w:numId w:val="36"/>
              </w:numPr>
              <w:spacing w:line="240" w:lineRule="auto"/>
              <w:rPr>
                <w:sz w:val="24"/>
                <w:szCs w:val="24"/>
              </w:rPr>
            </w:pPr>
            <w:r>
              <w:rPr>
                <w:sz w:val="24"/>
                <w:szCs w:val="24"/>
              </w:rPr>
              <w:t>There’s too much content to remember.</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26"/>
              </w:numPr>
              <w:spacing w:line="240" w:lineRule="auto"/>
              <w:rPr>
                <w:sz w:val="24"/>
                <w:szCs w:val="24"/>
              </w:rPr>
            </w:pPr>
            <w:r>
              <w:rPr>
                <w:sz w:val="24"/>
                <w:szCs w:val="24"/>
              </w:rPr>
              <w:t xml:space="preserve">They enjoy learning about space and renewable energy, but no other topics.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 xml:space="preserve">All of the topics are very similar and there’s not much variety.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M1</w:t>
            </w:r>
          </w:p>
        </w:tc>
        <w:tc>
          <w:tcPr>
            <w:tcW w:w="8205" w:type="dxa"/>
            <w:shd w:val="clear" w:color="auto" w:fill="auto"/>
            <w:tcMar>
              <w:top w:w="100" w:type="dxa"/>
              <w:left w:w="100" w:type="dxa"/>
              <w:bottom w:w="100" w:type="dxa"/>
              <w:right w:w="100" w:type="dxa"/>
            </w:tcMar>
          </w:tcPr>
          <w:p>
            <w:pPr>
              <w:widowControl w:val="0"/>
              <w:numPr>
                <w:ilvl w:val="0"/>
                <w:numId w:val="32"/>
              </w:numPr>
              <w:spacing w:line="240" w:lineRule="auto"/>
              <w:rPr>
                <w:sz w:val="24"/>
                <w:szCs w:val="24"/>
              </w:rPr>
            </w:pPr>
            <w:r>
              <w:rPr>
                <w:sz w:val="24"/>
                <w:szCs w:val="24"/>
              </w:rPr>
              <w:t>They hate physics.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M2</w:t>
            </w:r>
          </w:p>
        </w:tc>
        <w:tc>
          <w:tcPr>
            <w:tcW w:w="8205" w:type="dxa"/>
            <w:shd w:val="clear" w:color="auto" w:fill="auto"/>
            <w:tcMar>
              <w:top w:w="100" w:type="dxa"/>
              <w:left w:w="100" w:type="dxa"/>
              <w:bottom w:w="100" w:type="dxa"/>
              <w:right w:w="100" w:type="dxa"/>
            </w:tcMar>
          </w:tcPr>
          <w:p>
            <w:pPr>
              <w:widowControl w:val="0"/>
              <w:numPr>
                <w:ilvl w:val="0"/>
                <w:numId w:val="33"/>
              </w:numPr>
              <w:spacing w:line="240" w:lineRule="auto"/>
              <w:rPr>
                <w:sz w:val="24"/>
                <w:szCs w:val="24"/>
              </w:rPr>
            </w:pPr>
            <w:r>
              <w:rPr>
                <w:sz w:val="24"/>
                <w:szCs w:val="24"/>
              </w:rPr>
              <w:t xml:space="preserve">It’s the “worst of the three sciences”. </w:t>
            </w:r>
          </w:p>
        </w:tc>
      </w:tr>
    </w:tbl>
    <w:p>
      <w:pPr>
        <w:spacing w:line="240" w:lineRule="auto"/>
        <w:rPr>
          <w:sz w:val="24"/>
          <w:szCs w:val="24"/>
        </w:rPr>
      </w:pPr>
    </w:p>
    <w:p>
      <w:pPr>
        <w:spacing w:line="240" w:lineRule="auto"/>
        <w:rPr>
          <w:sz w:val="24"/>
          <w:szCs w:val="24"/>
        </w:rPr>
      </w:pPr>
      <w:r>
        <w:rPr>
          <w:sz w:val="24"/>
          <w:szCs w:val="24"/>
        </w:rPr>
        <w:t>Question 3 comment: All participants responded negatively and said that they weren’t seriously considering taking Physics A Level.</w:t>
      </w:r>
    </w:p>
    <w:p>
      <w:pPr>
        <w:spacing w:line="240" w:lineRule="auto"/>
        <w:rPr>
          <w:sz w:val="24"/>
          <w:szCs w:val="24"/>
        </w:rPr>
      </w:pPr>
    </w:p>
    <w:tbl>
      <w:tblPr>
        <w:tblStyle w:val="aff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4: Influence of parents/guardians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6"/>
              </w:numPr>
              <w:spacing w:line="240" w:lineRule="auto"/>
              <w:rPr>
                <w:sz w:val="24"/>
                <w:szCs w:val="24"/>
              </w:rPr>
            </w:pPr>
            <w:r>
              <w:rPr>
                <w:sz w:val="24"/>
                <w:szCs w:val="24"/>
              </w:rPr>
              <w:t xml:space="preserve">Parents spoke to them a lot about their GCSE choices and have already spoken to them about A Levels.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Parents encouraged her to take Triple Science GCSE.</w:t>
            </w:r>
          </w:p>
          <w:p>
            <w:pPr>
              <w:widowControl w:val="0"/>
              <w:numPr>
                <w:ilvl w:val="0"/>
                <w:numId w:val="29"/>
              </w:numPr>
              <w:spacing w:line="240" w:lineRule="auto"/>
              <w:rPr>
                <w:sz w:val="24"/>
                <w:szCs w:val="24"/>
              </w:rPr>
            </w:pPr>
            <w:r>
              <w:rPr>
                <w:sz w:val="24"/>
                <w:szCs w:val="24"/>
              </w:rPr>
              <w:t>Parents want her to take at least one science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M2</w:t>
            </w:r>
          </w:p>
        </w:tc>
        <w:tc>
          <w:tcPr>
            <w:tcW w:w="8205" w:type="dxa"/>
            <w:shd w:val="clear" w:color="auto" w:fill="auto"/>
            <w:tcMar>
              <w:top w:w="100" w:type="dxa"/>
              <w:left w:w="100" w:type="dxa"/>
              <w:bottom w:w="100" w:type="dxa"/>
              <w:right w:w="100" w:type="dxa"/>
            </w:tcMar>
          </w:tcPr>
          <w:p>
            <w:pPr>
              <w:widowControl w:val="0"/>
              <w:numPr>
                <w:ilvl w:val="0"/>
                <w:numId w:val="2"/>
              </w:numPr>
              <w:spacing w:line="240" w:lineRule="auto"/>
              <w:rPr>
                <w:sz w:val="24"/>
                <w:szCs w:val="24"/>
              </w:rPr>
            </w:pPr>
            <w:r>
              <w:rPr>
                <w:sz w:val="24"/>
                <w:szCs w:val="24"/>
              </w:rPr>
              <w:t xml:space="preserve">Felt their parents “swayed” them into taking Triple Science. </w:t>
            </w:r>
          </w:p>
        </w:tc>
      </w:tr>
    </w:tbl>
    <w:p>
      <w:pPr>
        <w:spacing w:line="240" w:lineRule="auto"/>
        <w:rPr>
          <w:sz w:val="24"/>
          <w:szCs w:val="24"/>
        </w:rPr>
      </w:pPr>
    </w:p>
    <w:p>
      <w:pPr>
        <w:spacing w:line="240" w:lineRule="auto"/>
        <w:rPr>
          <w:sz w:val="24"/>
          <w:szCs w:val="24"/>
        </w:rPr>
      </w:pPr>
      <w:r>
        <w:rPr>
          <w:sz w:val="24"/>
          <w:szCs w:val="24"/>
        </w:rPr>
        <w:t xml:space="preserve">Question 4 comment: All three participants who responded felt that they had been influenced by their parents in terms of their GCSE choices and would be influenced by them, again, when it came to choosing their A Levels. </w:t>
      </w:r>
    </w:p>
    <w:p>
      <w:pPr>
        <w:spacing w:line="240" w:lineRule="auto"/>
        <w:rPr>
          <w:sz w:val="24"/>
          <w:szCs w:val="24"/>
        </w:rPr>
      </w:pPr>
    </w:p>
    <w:tbl>
      <w:tblPr>
        <w:tblStyle w:val="aff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5: Influence of teachers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6"/>
              </w:numPr>
              <w:spacing w:line="240" w:lineRule="auto"/>
              <w:rPr>
                <w:sz w:val="24"/>
                <w:szCs w:val="24"/>
              </w:rPr>
            </w:pPr>
            <w:r>
              <w:rPr>
                <w:sz w:val="24"/>
                <w:szCs w:val="24"/>
              </w:rPr>
              <w:t xml:space="preserve">Don’t feel that they’ve been influenced by their teachers. </w:t>
            </w:r>
          </w:p>
          <w:p>
            <w:pPr>
              <w:widowControl w:val="0"/>
              <w:numPr>
                <w:ilvl w:val="0"/>
                <w:numId w:val="6"/>
              </w:numPr>
              <w:spacing w:line="240" w:lineRule="auto"/>
              <w:rPr>
                <w:sz w:val="24"/>
                <w:szCs w:val="24"/>
              </w:rPr>
            </w:pPr>
            <w:r>
              <w:rPr>
                <w:sz w:val="24"/>
                <w:szCs w:val="24"/>
              </w:rPr>
              <w:t xml:space="preserve">They wish they’d had A Level “taster sessions”.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F2</w:t>
            </w:r>
          </w:p>
        </w:tc>
        <w:tc>
          <w:tcPr>
            <w:tcW w:w="8205" w:type="dxa"/>
            <w:shd w:val="clear" w:color="auto" w:fill="auto"/>
            <w:tcMar>
              <w:top w:w="100" w:type="dxa"/>
              <w:left w:w="100" w:type="dxa"/>
              <w:bottom w:w="100" w:type="dxa"/>
              <w:right w:w="100" w:type="dxa"/>
            </w:tcMar>
          </w:tcPr>
          <w:p>
            <w:pPr>
              <w:widowControl w:val="0"/>
              <w:numPr>
                <w:ilvl w:val="0"/>
                <w:numId w:val="24"/>
              </w:numPr>
              <w:spacing w:line="240" w:lineRule="auto"/>
              <w:rPr>
                <w:sz w:val="24"/>
                <w:szCs w:val="24"/>
              </w:rPr>
            </w:pPr>
            <w:r>
              <w:rPr>
                <w:sz w:val="24"/>
                <w:szCs w:val="24"/>
              </w:rPr>
              <w:t>Their relationship with their teacher makes them like Biology and more likely to choose it for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26"/>
              </w:numPr>
              <w:spacing w:line="240" w:lineRule="auto"/>
              <w:rPr>
                <w:sz w:val="24"/>
                <w:szCs w:val="24"/>
              </w:rPr>
            </w:pPr>
            <w:r>
              <w:rPr>
                <w:sz w:val="24"/>
                <w:szCs w:val="24"/>
              </w:rPr>
              <w:t xml:space="preserve">If they don’t like the A Level teacher they’d be less likely to choose the subject.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 xml:space="preserve">The teacher influences how much they like the subject.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M1</w:t>
            </w:r>
          </w:p>
        </w:tc>
        <w:tc>
          <w:tcPr>
            <w:tcW w:w="8205" w:type="dxa"/>
            <w:shd w:val="clear" w:color="auto" w:fill="auto"/>
            <w:tcMar>
              <w:top w:w="100" w:type="dxa"/>
              <w:left w:w="100" w:type="dxa"/>
              <w:bottom w:w="100" w:type="dxa"/>
              <w:right w:w="100" w:type="dxa"/>
            </w:tcMar>
          </w:tcPr>
          <w:p>
            <w:pPr>
              <w:widowControl w:val="0"/>
              <w:numPr>
                <w:ilvl w:val="0"/>
                <w:numId w:val="32"/>
              </w:numPr>
              <w:spacing w:line="240" w:lineRule="auto"/>
              <w:rPr>
                <w:sz w:val="24"/>
                <w:szCs w:val="24"/>
              </w:rPr>
            </w:pPr>
            <w:r>
              <w:rPr>
                <w:sz w:val="24"/>
                <w:szCs w:val="24"/>
              </w:rPr>
              <w:t xml:space="preserve">Teachers haven’t directly spoken to him about what subjects to take but they would be influenced by knowing which teacher they’d have for A Level.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M2</w:t>
            </w:r>
          </w:p>
        </w:tc>
        <w:tc>
          <w:tcPr>
            <w:tcW w:w="8205" w:type="dxa"/>
            <w:shd w:val="clear" w:color="auto" w:fill="auto"/>
            <w:tcMar>
              <w:top w:w="100" w:type="dxa"/>
              <w:left w:w="100" w:type="dxa"/>
              <w:bottom w:w="100" w:type="dxa"/>
              <w:right w:w="100" w:type="dxa"/>
            </w:tcMar>
          </w:tcPr>
          <w:p>
            <w:pPr>
              <w:widowControl w:val="0"/>
              <w:numPr>
                <w:ilvl w:val="0"/>
                <w:numId w:val="33"/>
              </w:numPr>
              <w:spacing w:line="240" w:lineRule="auto"/>
              <w:rPr>
                <w:sz w:val="24"/>
                <w:szCs w:val="24"/>
              </w:rPr>
            </w:pPr>
            <w:r>
              <w:rPr>
                <w:sz w:val="24"/>
                <w:szCs w:val="24"/>
              </w:rPr>
              <w:t xml:space="preserve">Don’t feel that they’ve been influenced by their teachers. </w:t>
            </w:r>
          </w:p>
        </w:tc>
      </w:tr>
    </w:tbl>
    <w:p>
      <w:pPr>
        <w:spacing w:line="240" w:lineRule="auto"/>
        <w:rPr>
          <w:sz w:val="24"/>
          <w:szCs w:val="24"/>
        </w:rPr>
      </w:pPr>
    </w:p>
    <w:p>
      <w:pPr>
        <w:spacing w:line="240" w:lineRule="auto"/>
        <w:rPr>
          <w:sz w:val="24"/>
          <w:szCs w:val="24"/>
        </w:rPr>
      </w:pPr>
      <w:r>
        <w:rPr>
          <w:sz w:val="24"/>
          <w:szCs w:val="24"/>
        </w:rPr>
        <w:t xml:space="preserve">Question 5 comment: The general consensus here was that teachers hadn’t spoken to the participants about their choices, to influence them directly, but participants were strongly influenced by their previous experience with teachers and the knowledge of which teachers they’d have for their A Level studies. </w:t>
      </w:r>
    </w:p>
    <w:p>
      <w:pPr>
        <w:spacing w:line="240" w:lineRule="auto"/>
        <w:rPr>
          <w:sz w:val="24"/>
          <w:szCs w:val="24"/>
        </w:rPr>
      </w:pPr>
    </w:p>
    <w:tbl>
      <w:tblPr>
        <w:tblStyle w:val="aff7"/>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6: Perceived ability in each of the sciences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Feels confident in biology, “better than average” in physics, but has “no clue” in chemistry.</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F2</w:t>
            </w:r>
          </w:p>
        </w:tc>
        <w:tc>
          <w:tcPr>
            <w:tcW w:w="8205" w:type="dxa"/>
            <w:shd w:val="clear" w:color="auto" w:fill="auto"/>
            <w:tcMar>
              <w:top w:w="100" w:type="dxa"/>
              <w:left w:w="100" w:type="dxa"/>
              <w:bottom w:w="100" w:type="dxa"/>
              <w:right w:w="100" w:type="dxa"/>
            </w:tcMar>
          </w:tcPr>
          <w:p>
            <w:pPr>
              <w:widowControl w:val="0"/>
              <w:numPr>
                <w:ilvl w:val="0"/>
                <w:numId w:val="33"/>
              </w:numPr>
              <w:spacing w:line="240" w:lineRule="auto"/>
              <w:rPr>
                <w:sz w:val="24"/>
                <w:szCs w:val="24"/>
              </w:rPr>
            </w:pPr>
            <w:r>
              <w:rPr>
                <w:sz w:val="24"/>
                <w:szCs w:val="24"/>
              </w:rPr>
              <w:t xml:space="preserve">Judges herself to be equal at all three sciences.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22"/>
              </w:numPr>
              <w:spacing w:line="240" w:lineRule="auto"/>
              <w:rPr>
                <w:sz w:val="24"/>
                <w:szCs w:val="24"/>
              </w:rPr>
            </w:pPr>
            <w:r>
              <w:rPr>
                <w:sz w:val="24"/>
                <w:szCs w:val="24"/>
              </w:rPr>
              <w:t xml:space="preserve">Performs well in biology but doesn’t enjoy it.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20"/>
              </w:numPr>
              <w:spacing w:line="240" w:lineRule="auto"/>
              <w:rPr>
                <w:sz w:val="24"/>
                <w:szCs w:val="24"/>
              </w:rPr>
            </w:pPr>
            <w:r>
              <w:rPr>
                <w:sz w:val="24"/>
                <w:szCs w:val="24"/>
              </w:rPr>
              <w:t xml:space="preserve">Judges herself to be equal in biology and chemistry but finds physics harder.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M1</w:t>
            </w:r>
          </w:p>
        </w:tc>
        <w:tc>
          <w:tcPr>
            <w:tcW w:w="8205" w:type="dxa"/>
            <w:shd w:val="clear" w:color="auto" w:fill="auto"/>
            <w:tcMar>
              <w:top w:w="100" w:type="dxa"/>
              <w:left w:w="100" w:type="dxa"/>
              <w:bottom w:w="100" w:type="dxa"/>
              <w:right w:w="100" w:type="dxa"/>
            </w:tcMar>
          </w:tcPr>
          <w:p>
            <w:pPr>
              <w:widowControl w:val="0"/>
              <w:numPr>
                <w:ilvl w:val="0"/>
                <w:numId w:val="16"/>
              </w:numPr>
              <w:spacing w:line="240" w:lineRule="auto"/>
              <w:rPr>
                <w:sz w:val="24"/>
                <w:szCs w:val="24"/>
              </w:rPr>
            </w:pPr>
            <w:r>
              <w:rPr>
                <w:sz w:val="24"/>
                <w:szCs w:val="24"/>
              </w:rPr>
              <w:t xml:space="preserve">Thought he was “bad at” Biology and Chemistry but did well in his Year 10 exams.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M2</w:t>
            </w:r>
          </w:p>
        </w:tc>
        <w:tc>
          <w:tcPr>
            <w:tcW w:w="8205" w:type="dxa"/>
            <w:shd w:val="clear" w:color="auto" w:fill="auto"/>
            <w:tcMar>
              <w:top w:w="100" w:type="dxa"/>
              <w:left w:w="100" w:type="dxa"/>
              <w:bottom w:w="100" w:type="dxa"/>
              <w:right w:w="100" w:type="dxa"/>
            </w:tcMar>
          </w:tcPr>
          <w:p>
            <w:pPr>
              <w:widowControl w:val="0"/>
              <w:numPr>
                <w:ilvl w:val="0"/>
                <w:numId w:val="14"/>
              </w:numPr>
              <w:spacing w:line="240" w:lineRule="auto"/>
              <w:rPr>
                <w:sz w:val="24"/>
                <w:szCs w:val="24"/>
              </w:rPr>
            </w:pPr>
            <w:r>
              <w:rPr>
                <w:sz w:val="24"/>
                <w:szCs w:val="24"/>
              </w:rPr>
              <w:t>Judges himself to be equal at all three sciences although it depends on the topic.</w:t>
            </w:r>
          </w:p>
          <w:p>
            <w:pPr>
              <w:widowControl w:val="0"/>
              <w:numPr>
                <w:ilvl w:val="0"/>
                <w:numId w:val="14"/>
              </w:numPr>
              <w:spacing w:line="240" w:lineRule="auto"/>
              <w:rPr>
                <w:sz w:val="24"/>
                <w:szCs w:val="24"/>
              </w:rPr>
            </w:pPr>
            <w:r>
              <w:rPr>
                <w:sz w:val="24"/>
                <w:szCs w:val="24"/>
              </w:rPr>
              <w:t xml:space="preserve">Biology is the easiest. </w:t>
            </w:r>
          </w:p>
        </w:tc>
      </w:tr>
    </w:tbl>
    <w:p>
      <w:pPr>
        <w:spacing w:line="240" w:lineRule="auto"/>
        <w:rPr>
          <w:sz w:val="24"/>
          <w:szCs w:val="24"/>
        </w:rPr>
      </w:pPr>
    </w:p>
    <w:p>
      <w:pPr>
        <w:spacing w:line="240" w:lineRule="auto"/>
        <w:rPr>
          <w:sz w:val="24"/>
          <w:szCs w:val="24"/>
        </w:rPr>
      </w:pPr>
      <w:r>
        <w:rPr>
          <w:sz w:val="24"/>
          <w:szCs w:val="24"/>
        </w:rPr>
        <w:t xml:space="preserve">Question 6 comment: All participants felt either that their ability in Biology was the same or better than the other sciences or that they performed well in their Year 10 Biology GCSE. One female participant said that they found physics the most difficult and one said that they found chemistry the hardest. </w:t>
      </w:r>
    </w:p>
    <w:p>
      <w:pPr>
        <w:spacing w:line="240" w:lineRule="auto"/>
        <w:rPr>
          <w:sz w:val="24"/>
          <w:szCs w:val="24"/>
        </w:rPr>
      </w:pPr>
    </w:p>
    <w:p>
      <w:pPr>
        <w:spacing w:line="240" w:lineRule="auto"/>
        <w:rPr>
          <w:sz w:val="24"/>
          <w:szCs w:val="24"/>
        </w:rPr>
      </w:pPr>
    </w:p>
    <w:tbl>
      <w:tblPr>
        <w:tblStyle w:val="aff8"/>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7: Any other comments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F2</w:t>
            </w:r>
          </w:p>
        </w:tc>
        <w:tc>
          <w:tcPr>
            <w:tcW w:w="8205" w:type="dxa"/>
            <w:shd w:val="clear" w:color="auto" w:fill="auto"/>
            <w:tcMar>
              <w:top w:w="100" w:type="dxa"/>
              <w:left w:w="100" w:type="dxa"/>
              <w:bottom w:w="100" w:type="dxa"/>
              <w:right w:w="100" w:type="dxa"/>
            </w:tcMar>
          </w:tcPr>
          <w:p>
            <w:pPr>
              <w:widowControl w:val="0"/>
              <w:numPr>
                <w:ilvl w:val="0"/>
                <w:numId w:val="33"/>
              </w:numPr>
              <w:spacing w:line="240" w:lineRule="auto"/>
              <w:rPr>
                <w:sz w:val="24"/>
                <w:szCs w:val="24"/>
              </w:rPr>
            </w:pPr>
            <w:r>
              <w:rPr>
                <w:sz w:val="24"/>
                <w:szCs w:val="24"/>
              </w:rPr>
              <w:t>The teacher has a big influence. Some teachers “talk at” students for too long and it makes the subject less interesting.</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22"/>
              </w:numPr>
              <w:spacing w:line="240" w:lineRule="auto"/>
              <w:rPr>
                <w:sz w:val="24"/>
                <w:szCs w:val="24"/>
              </w:rPr>
            </w:pPr>
            <w:r>
              <w:rPr>
                <w:sz w:val="24"/>
                <w:szCs w:val="24"/>
              </w:rPr>
              <w:t xml:space="preserve">The past paper questions are confusing. Sometimes they understand the explanations but then don’t understand the exam questions and don’t see how they link up.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20"/>
              </w:numPr>
              <w:spacing w:line="240" w:lineRule="auto"/>
              <w:rPr>
                <w:sz w:val="24"/>
                <w:szCs w:val="24"/>
              </w:rPr>
            </w:pPr>
            <w:r>
              <w:rPr>
                <w:sz w:val="24"/>
                <w:szCs w:val="24"/>
              </w:rPr>
              <w:t xml:space="preserve">Agreed with F2 that the teacher has a big influence as to whether or not they like the subject.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M1</w:t>
            </w:r>
          </w:p>
        </w:tc>
        <w:tc>
          <w:tcPr>
            <w:tcW w:w="8205" w:type="dxa"/>
            <w:shd w:val="clear" w:color="auto" w:fill="auto"/>
            <w:tcMar>
              <w:top w:w="100" w:type="dxa"/>
              <w:left w:w="100" w:type="dxa"/>
              <w:bottom w:w="100" w:type="dxa"/>
              <w:right w:w="100" w:type="dxa"/>
            </w:tcMar>
          </w:tcPr>
          <w:p>
            <w:pPr>
              <w:widowControl w:val="0"/>
              <w:numPr>
                <w:ilvl w:val="0"/>
                <w:numId w:val="16"/>
              </w:numPr>
              <w:spacing w:line="240" w:lineRule="auto"/>
              <w:rPr>
                <w:sz w:val="24"/>
                <w:szCs w:val="24"/>
              </w:rPr>
            </w:pPr>
            <w:r>
              <w:rPr>
                <w:sz w:val="24"/>
                <w:szCs w:val="24"/>
              </w:rPr>
              <w:t xml:space="preserve">Agree with F2 that if a teacher does a lot of talking, it puts them off the subject. </w:t>
            </w:r>
          </w:p>
        </w:tc>
      </w:tr>
    </w:tbl>
    <w:p>
      <w:pPr>
        <w:spacing w:line="240" w:lineRule="auto"/>
        <w:rPr>
          <w:sz w:val="24"/>
          <w:szCs w:val="24"/>
        </w:rPr>
      </w:pPr>
    </w:p>
    <w:p>
      <w:pPr>
        <w:spacing w:line="240" w:lineRule="auto"/>
        <w:rPr>
          <w:sz w:val="24"/>
          <w:szCs w:val="24"/>
        </w:rPr>
      </w:pPr>
      <w:r>
        <w:rPr>
          <w:sz w:val="24"/>
          <w:szCs w:val="24"/>
        </w:rPr>
        <w:t xml:space="preserve">Question 7 comment: Here, participants reiterated some of the sentiments expressed in response to question 5. The general consensus was that if a participant didn’t like their teacher, they were put off from studying their subject at A Level. Factors that made a participant not like their teacher included them spending too much time talking. </w:t>
      </w:r>
    </w:p>
    <w:p>
      <w:pPr>
        <w:spacing w:after="160" w:line="259" w:lineRule="auto"/>
        <w:rPr>
          <w:color w:val="9900FF"/>
          <w:sz w:val="24"/>
          <w:szCs w:val="24"/>
        </w:rPr>
      </w:pPr>
    </w:p>
    <w:p>
      <w:pPr>
        <w:spacing w:after="160" w:line="259" w:lineRule="auto"/>
        <w:rPr>
          <w:sz w:val="24"/>
          <w:szCs w:val="24"/>
        </w:rPr>
      </w:pPr>
    </w:p>
    <w:p>
      <w:pPr>
        <w:spacing w:line="240" w:lineRule="auto"/>
        <w:rPr>
          <w:sz w:val="24"/>
          <w:szCs w:val="24"/>
        </w:rPr>
      </w:pPr>
      <w:r>
        <w:rPr>
          <w:b/>
          <w:sz w:val="24"/>
          <w:szCs w:val="24"/>
        </w:rPr>
        <w:t>Chapter 5.</w:t>
      </w:r>
    </w:p>
    <w:p>
      <w:pPr>
        <w:spacing w:line="240" w:lineRule="auto"/>
        <w:rPr>
          <w:sz w:val="24"/>
          <w:szCs w:val="24"/>
        </w:rPr>
      </w:pPr>
      <w:r>
        <w:rPr>
          <w:b/>
          <w:sz w:val="24"/>
          <w:szCs w:val="24"/>
        </w:rPr>
        <w:t xml:space="preserve">DISCUSSION, &amp; INTERPRETATION OF THE DATA </w:t>
      </w:r>
    </w:p>
    <w:p>
      <w:pPr>
        <w:spacing w:line="240" w:lineRule="auto"/>
        <w:rPr>
          <w:sz w:val="24"/>
          <w:szCs w:val="24"/>
        </w:rPr>
      </w:pPr>
    </w:p>
    <w:p>
      <w:pPr>
        <w:spacing w:line="240" w:lineRule="auto"/>
        <w:rPr>
          <w:sz w:val="24"/>
          <w:szCs w:val="24"/>
        </w:rPr>
      </w:pPr>
    </w:p>
    <w:p>
      <w:pPr>
        <w:spacing w:line="240" w:lineRule="auto"/>
        <w:rPr>
          <w:i/>
          <w:sz w:val="24"/>
          <w:szCs w:val="24"/>
        </w:rPr>
      </w:pPr>
      <w:r>
        <w:rPr>
          <w:b/>
          <w:i/>
          <w:sz w:val="24"/>
          <w:szCs w:val="24"/>
        </w:rPr>
        <w:t>Key findings</w:t>
      </w:r>
    </w:p>
    <w:p>
      <w:pPr>
        <w:spacing w:line="240" w:lineRule="auto"/>
        <w:rPr>
          <w:sz w:val="24"/>
          <w:szCs w:val="24"/>
        </w:rPr>
      </w:pPr>
    </w:p>
    <w:p>
      <w:pPr>
        <w:spacing w:line="240" w:lineRule="auto"/>
        <w:rPr>
          <w:sz w:val="24"/>
          <w:szCs w:val="24"/>
        </w:rPr>
      </w:pPr>
      <w:r>
        <w:rPr>
          <w:sz w:val="24"/>
          <w:szCs w:val="24"/>
        </w:rPr>
        <w:t>The results presented in chapter 4 will now be considered in light of the four research questions. The results from both key stages will be considered together.</w:t>
      </w:r>
    </w:p>
    <w:p>
      <w:pPr>
        <w:spacing w:line="240" w:lineRule="auto"/>
        <w:rPr>
          <w:b/>
          <w:color w:val="674EA7"/>
          <w:sz w:val="24"/>
          <w:szCs w:val="24"/>
        </w:rPr>
      </w:pPr>
    </w:p>
    <w:p>
      <w:pPr>
        <w:spacing w:line="240" w:lineRule="auto"/>
        <w:rPr>
          <w:b/>
          <w:sz w:val="24"/>
          <w:szCs w:val="24"/>
        </w:rPr>
      </w:pPr>
    </w:p>
    <w:p>
      <w:pPr>
        <w:numPr>
          <w:ilvl w:val="0"/>
          <w:numId w:val="9"/>
        </w:numPr>
        <w:spacing w:after="160" w:line="259" w:lineRule="auto"/>
        <w:rPr>
          <w:sz w:val="24"/>
          <w:szCs w:val="24"/>
        </w:rPr>
      </w:pPr>
      <w:r>
        <w:rPr>
          <w:i/>
          <w:sz w:val="24"/>
          <w:szCs w:val="24"/>
        </w:rPr>
        <w:t>What factors encourage students</w:t>
      </w:r>
      <w:r>
        <w:rPr>
          <w:sz w:val="24"/>
          <w:szCs w:val="24"/>
        </w:rPr>
        <w:t xml:space="preserve"> </w:t>
      </w:r>
      <w:r>
        <w:rPr>
          <w:i/>
          <w:sz w:val="24"/>
          <w:szCs w:val="24"/>
        </w:rPr>
        <w:t>to study science A Levels?</w:t>
      </w:r>
    </w:p>
    <w:p>
      <w:pPr>
        <w:spacing w:line="240" w:lineRule="auto"/>
        <w:rPr>
          <w:sz w:val="24"/>
          <w:szCs w:val="24"/>
        </w:rPr>
      </w:pPr>
      <w:r>
        <w:rPr>
          <w:sz w:val="24"/>
          <w:szCs w:val="24"/>
        </w:rPr>
        <w:t>Most students believe that society values a career in science. Students who study one science A Level are highly likely to study at least one other and are also highly likely to be considering a career in science</w:t>
      </w:r>
      <w:r>
        <w:rPr>
          <w:color w:val="674EA7"/>
          <w:sz w:val="24"/>
          <w:szCs w:val="24"/>
        </w:rPr>
        <w:t xml:space="preserve">. </w:t>
      </w:r>
      <w:r>
        <w:rPr>
          <w:sz w:val="24"/>
          <w:szCs w:val="24"/>
        </w:rPr>
        <w:t>For the large majority of students, their experience and relationship with previous science teachers, both positive and negative, is a significant factor in their decision to study science A Levels. With regards to Biology A Level, both males and females perceive biology to be more recall focussed than chemistry and physics, and therefore easier, and give this as a reason for choosing to study Biology A Level.</w:t>
      </w:r>
    </w:p>
    <w:p>
      <w:pPr>
        <w:spacing w:line="240" w:lineRule="auto"/>
        <w:rPr>
          <w:color w:val="674EA7"/>
          <w:sz w:val="24"/>
          <w:szCs w:val="24"/>
        </w:rPr>
      </w:pPr>
    </w:p>
    <w:p>
      <w:pPr>
        <w:spacing w:line="240" w:lineRule="auto"/>
        <w:rPr>
          <w:sz w:val="24"/>
          <w:szCs w:val="24"/>
        </w:rPr>
      </w:pPr>
    </w:p>
    <w:p>
      <w:pPr>
        <w:numPr>
          <w:ilvl w:val="0"/>
          <w:numId w:val="9"/>
        </w:numPr>
        <w:spacing w:after="160" w:line="259" w:lineRule="auto"/>
        <w:rPr>
          <w:i/>
          <w:sz w:val="24"/>
          <w:szCs w:val="24"/>
        </w:rPr>
      </w:pPr>
      <w:r>
        <w:rPr>
          <w:i/>
          <w:sz w:val="24"/>
          <w:szCs w:val="24"/>
        </w:rPr>
        <w:t>What factors discourage students from studying science A Levels?</w:t>
      </w:r>
    </w:p>
    <w:p>
      <w:pPr>
        <w:spacing w:line="240" w:lineRule="auto"/>
        <w:rPr>
          <w:sz w:val="24"/>
          <w:szCs w:val="24"/>
        </w:rPr>
      </w:pPr>
      <w:r>
        <w:rPr>
          <w:sz w:val="24"/>
          <w:szCs w:val="24"/>
        </w:rPr>
        <w:t xml:space="preserve">Workload and/or perceived difficulty is the biggest factor that discourages all students from taking science A Levels although males are more likely than females to be put off studying science due to workload or perceived difficulty. Males are more likely to be discouraged from taking science A Levels based on their GCSE results and/or perceived ability. As noted above, all students are impacted by their previous experience with science teachers. If they have not enjoyed science with a particular teacher and/or dislike the teacher that they would have for their A Level, they are strongly deterred from choosing that A Level. Not enjoying GCSE science with a particular teacher was often attributed to the students being aware that their teacher was teaching outside of their specialism i.e. a chemistry specialist teaching physics. During the Key Stage 5 focus group, a student who was resitting Year 12 cited the disruption to their learning, as a result of the Coronavirus pandemic, as a reason for not choosing Physics A Level: their Physics GCSE teaching was significantly rushed in comparison to his Biology and Chemistry GCSEs. </w:t>
      </w:r>
    </w:p>
    <w:p>
      <w:pPr>
        <w:spacing w:line="240" w:lineRule="auto"/>
        <w:rPr>
          <w:color w:val="674EA7"/>
          <w:sz w:val="24"/>
          <w:szCs w:val="24"/>
        </w:rPr>
      </w:pPr>
    </w:p>
    <w:p>
      <w:pPr>
        <w:spacing w:line="240" w:lineRule="auto"/>
        <w:rPr>
          <w:color w:val="674EA7"/>
          <w:sz w:val="24"/>
          <w:szCs w:val="24"/>
        </w:rPr>
      </w:pPr>
    </w:p>
    <w:p>
      <w:pPr>
        <w:spacing w:line="240" w:lineRule="auto"/>
        <w:rPr>
          <w:color w:val="CC0000"/>
          <w:sz w:val="24"/>
          <w:szCs w:val="24"/>
        </w:rPr>
      </w:pPr>
    </w:p>
    <w:p>
      <w:pPr>
        <w:spacing w:line="240" w:lineRule="auto"/>
        <w:rPr>
          <w:sz w:val="24"/>
          <w:szCs w:val="24"/>
        </w:rPr>
      </w:pPr>
    </w:p>
    <w:p>
      <w:pPr>
        <w:numPr>
          <w:ilvl w:val="0"/>
          <w:numId w:val="9"/>
        </w:numPr>
        <w:spacing w:after="160" w:line="259" w:lineRule="auto"/>
        <w:rPr>
          <w:i/>
          <w:sz w:val="24"/>
          <w:szCs w:val="24"/>
        </w:rPr>
      </w:pPr>
      <w:r>
        <w:rPr>
          <w:i/>
          <w:sz w:val="24"/>
          <w:szCs w:val="24"/>
        </w:rPr>
        <w:t>Are there differences between male and female attitudes towards studying science and, if so, what are they?</w:t>
      </w:r>
    </w:p>
    <w:p>
      <w:pPr>
        <w:spacing w:line="240" w:lineRule="auto"/>
        <w:rPr>
          <w:sz w:val="24"/>
          <w:szCs w:val="24"/>
        </w:rPr>
      </w:pPr>
      <w:r>
        <w:rPr>
          <w:sz w:val="24"/>
          <w:szCs w:val="24"/>
        </w:rPr>
        <w:t>The results of both the questionnaires and focus groups suggest that females are more likely than males to study Biology A Level and Chemistry A Level. Females are also more likely than males to study more than one science A Level. The degree to which participants felt they had been encouraged by parents and teachers to choose science A Levels, varied between genders and year groups and thus appeared to be dependent on an individual’s specific circumstances. Similarly, the degree to which participants’ perceived themselves to be good at science varied on an individual basis. However, females are more likely to consider their ability when choosing their A Levels</w:t>
      </w:r>
      <w:r>
        <w:rPr>
          <w:color w:val="674EA7"/>
          <w:sz w:val="24"/>
          <w:szCs w:val="24"/>
        </w:rPr>
        <w:t xml:space="preserve">. </w:t>
      </w:r>
      <w:r>
        <w:rPr>
          <w:sz w:val="24"/>
          <w:szCs w:val="24"/>
        </w:rPr>
        <w:t xml:space="preserve">Overall, females are more likely to consider their future career aspirations when choosing their A Levels and also appear to have a stronger sense of their future career, with a higher proportion of them agreeing or disagreeing that they are considering a career in science and a higher proportion of males saying they are unsure. Females consider more factors than males when choosing which A Levels to take and are more likely, than males, to consider their enjoyment when choosing their A Levels. Some females are concerned about science being a “male subject” and being outnumbered in lessons, describing their perception of misogyny being an issue in further education and industry. </w:t>
      </w:r>
    </w:p>
    <w:p>
      <w:pPr>
        <w:spacing w:line="240" w:lineRule="auto"/>
        <w:rPr>
          <w:color w:val="CC0000"/>
          <w:sz w:val="24"/>
          <w:szCs w:val="24"/>
        </w:rPr>
      </w:pPr>
    </w:p>
    <w:p>
      <w:pPr>
        <w:spacing w:line="240" w:lineRule="auto"/>
        <w:rPr>
          <w:sz w:val="24"/>
          <w:szCs w:val="24"/>
        </w:rPr>
      </w:pPr>
    </w:p>
    <w:p>
      <w:pPr>
        <w:numPr>
          <w:ilvl w:val="0"/>
          <w:numId w:val="9"/>
        </w:numPr>
        <w:spacing w:after="160" w:line="259" w:lineRule="auto"/>
        <w:rPr>
          <w:i/>
          <w:sz w:val="24"/>
          <w:szCs w:val="24"/>
        </w:rPr>
      </w:pPr>
      <w:r>
        <w:rPr>
          <w:i/>
          <w:sz w:val="24"/>
          <w:szCs w:val="24"/>
        </w:rPr>
        <w:t>Are there differences between male and female attitudes towards studying physics and, if so, what are they?</w:t>
      </w:r>
    </w:p>
    <w:p>
      <w:pPr>
        <w:spacing w:line="240" w:lineRule="auto"/>
        <w:rPr>
          <w:sz w:val="24"/>
          <w:szCs w:val="24"/>
        </w:rPr>
      </w:pPr>
    </w:p>
    <w:p>
      <w:pPr>
        <w:spacing w:line="240" w:lineRule="auto"/>
        <w:rPr>
          <w:sz w:val="24"/>
          <w:szCs w:val="24"/>
        </w:rPr>
      </w:pPr>
      <w:r>
        <w:rPr>
          <w:sz w:val="24"/>
          <w:szCs w:val="24"/>
        </w:rPr>
        <w:t>Overall, the results suggest that males are more likely than females to study Physics A Level. Males are more likely than females to enjoy physics, while females are more likely to find physics difficult and/or boring. Where females chose to study physics, they usually had a specialist GCSE Physics teacher and/or needed it for a degree course. Males are also positively influenced by having a specialist GCSE Physics teacher. An additional finding was that physics may be at odds with a participant’s religious beliefs.</w:t>
      </w:r>
    </w:p>
    <w:p>
      <w:pPr>
        <w:spacing w:line="240" w:lineRule="auto"/>
        <w:rPr>
          <w:sz w:val="24"/>
          <w:szCs w:val="24"/>
        </w:rPr>
      </w:pPr>
    </w:p>
    <w:p>
      <w:pPr>
        <w:spacing w:line="240" w:lineRule="auto"/>
        <w:rPr>
          <w:sz w:val="24"/>
          <w:szCs w:val="24"/>
        </w:rPr>
      </w:pPr>
    </w:p>
    <w:p>
      <w:pPr>
        <w:spacing w:line="240" w:lineRule="auto"/>
        <w:rPr>
          <w:b/>
          <w:i/>
          <w:sz w:val="24"/>
          <w:szCs w:val="24"/>
        </w:rPr>
      </w:pPr>
      <w:r>
        <w:rPr>
          <w:b/>
          <w:i/>
          <w:sz w:val="24"/>
          <w:szCs w:val="24"/>
        </w:rPr>
        <w:t>How do the findings of this research compare with the findings of other authors?</w:t>
      </w:r>
    </w:p>
    <w:p>
      <w:pPr>
        <w:spacing w:line="240" w:lineRule="auto"/>
        <w:rPr>
          <w:sz w:val="24"/>
          <w:szCs w:val="24"/>
        </w:rPr>
      </w:pPr>
    </w:p>
    <w:p>
      <w:pPr>
        <w:spacing w:line="240" w:lineRule="auto"/>
        <w:rPr>
          <w:sz w:val="24"/>
          <w:szCs w:val="24"/>
        </w:rPr>
      </w:pPr>
      <w:r>
        <w:rPr>
          <w:sz w:val="24"/>
          <w:szCs w:val="24"/>
        </w:rPr>
        <w:t xml:space="preserve">The findings of this research will now be evaluated alongside the findings of previous authors. The key themes outlined in Chapter 2 will be considered. </w:t>
      </w:r>
    </w:p>
    <w:p>
      <w:pPr>
        <w:spacing w:line="240" w:lineRule="auto"/>
        <w:rPr>
          <w:sz w:val="24"/>
          <w:szCs w:val="24"/>
        </w:rPr>
      </w:pPr>
    </w:p>
    <w:p>
      <w:pPr>
        <w:rPr>
          <w:i/>
          <w:sz w:val="24"/>
          <w:szCs w:val="24"/>
        </w:rPr>
      </w:pPr>
      <w:r>
        <w:rPr>
          <w:i/>
          <w:sz w:val="24"/>
          <w:szCs w:val="24"/>
        </w:rPr>
        <w:t>Science as a masculine subject</w:t>
      </w:r>
    </w:p>
    <w:p>
      <w:pPr>
        <w:spacing w:line="240" w:lineRule="auto"/>
        <w:rPr>
          <w:color w:val="9900FF"/>
          <w:sz w:val="24"/>
          <w:szCs w:val="24"/>
        </w:rPr>
      </w:pPr>
      <w:r>
        <w:rPr>
          <w:sz w:val="24"/>
          <w:szCs w:val="24"/>
        </w:rPr>
        <w:t xml:space="preserve">In accordance with the findings of other authors (Institute of Physics, 2018; Archer </w:t>
      </w:r>
      <w:r>
        <w:rPr>
          <w:i/>
          <w:sz w:val="24"/>
          <w:szCs w:val="24"/>
        </w:rPr>
        <w:t>et al</w:t>
      </w:r>
      <w:r>
        <w:rPr>
          <w:sz w:val="24"/>
          <w:szCs w:val="24"/>
        </w:rPr>
        <w:t xml:space="preserve">., 2013), this research generated some findings that indicated that females view science as a masculine subject. Indeed, some females specifically spoke about their concerns that science is a “male subject” and, were they to choose science subjects at A Level, they would be “outnumbered”. A female respondent of the Key Stage 5 questionnaire detailed her concerns that misogyny may be common on science based university courses and in industry. The reader is reminded of studies conducted with younger students which found that students think the biological sciences are “for girls” and the physical sciences are “for boys” (Andre, 1999; Greenfield, 1996; Jones, Howe </w:t>
      </w:r>
      <w:r>
        <w:rPr>
          <w:i/>
          <w:sz w:val="24"/>
          <w:szCs w:val="24"/>
        </w:rPr>
        <w:t>et al</w:t>
      </w:r>
      <w:r>
        <w:rPr>
          <w:sz w:val="24"/>
          <w:szCs w:val="24"/>
        </w:rPr>
        <w:t xml:space="preserve">., 2000). This theory may be particularly pertinent here as the present research found that males are more likely than females to study Physics A Level and are also more likely than females to enjoy physics. The females in the present study were more likely to find physics difficult and/or boring. In addition to this, the females in this study were more likely than males to study Biology A Level and Chemistry A Level, echoing the findings of Andre (1999), Greenfield (1996), and Jones and Howe </w:t>
      </w:r>
      <w:r>
        <w:rPr>
          <w:i/>
          <w:sz w:val="24"/>
          <w:szCs w:val="24"/>
        </w:rPr>
        <w:t>et al</w:t>
      </w:r>
      <w:r>
        <w:rPr>
          <w:sz w:val="24"/>
          <w:szCs w:val="24"/>
        </w:rPr>
        <w:t>. (2000).</w:t>
      </w:r>
    </w:p>
    <w:p>
      <w:pPr>
        <w:spacing w:after="160" w:line="259" w:lineRule="auto"/>
        <w:rPr>
          <w:color w:val="9900FF"/>
          <w:sz w:val="24"/>
          <w:szCs w:val="24"/>
        </w:rPr>
      </w:pPr>
    </w:p>
    <w:p>
      <w:pPr>
        <w:rPr>
          <w:sz w:val="24"/>
          <w:szCs w:val="24"/>
        </w:rPr>
      </w:pPr>
    </w:p>
    <w:p>
      <w:pPr>
        <w:rPr>
          <w:i/>
          <w:sz w:val="24"/>
          <w:szCs w:val="24"/>
        </w:rPr>
      </w:pPr>
    </w:p>
    <w:p>
      <w:pPr>
        <w:rPr>
          <w:i/>
          <w:sz w:val="24"/>
          <w:szCs w:val="24"/>
        </w:rPr>
      </w:pPr>
      <w:r>
        <w:rPr>
          <w:i/>
          <w:sz w:val="24"/>
          <w:szCs w:val="24"/>
        </w:rPr>
        <w:t>Encouragement from teachers</w:t>
      </w:r>
    </w:p>
    <w:p>
      <w:pPr>
        <w:spacing w:line="240" w:lineRule="auto"/>
        <w:rPr>
          <w:sz w:val="24"/>
          <w:szCs w:val="24"/>
        </w:rPr>
      </w:pPr>
      <w:r>
        <w:rPr>
          <w:sz w:val="24"/>
          <w:szCs w:val="24"/>
        </w:rPr>
        <w:t xml:space="preserve">The effects of the influence of teachers, reported in this research, broadly apply to male and female students and don’t differ between the two genders. Specifically, students are influenced by their previous experience with a teacher; their relationship with them, how much they liked them and the anticipation of having them again at A Level and whether or not they were taught by a subject specialist. The degree of teacher encouragement participants felt they’d received varied from participant to participant, with no distinct pattern, contrary to the findings of Mujtaba and Reiss (2016) who found that males were more likely than females to be encouraged to study Physics. Additionally, while some females did describe viewing science as a masculine subject, as described above, they did not discuss teachers as being a source of this view, unlike the findings of other authors (Mujtaba and Reiss, 2016; Plucker, 1996; Zohar and Bronshtein, 2005). </w:t>
      </w:r>
    </w:p>
    <w:p>
      <w:pPr>
        <w:spacing w:after="160" w:line="259" w:lineRule="auto"/>
        <w:rPr>
          <w:sz w:val="24"/>
          <w:szCs w:val="24"/>
        </w:rPr>
      </w:pPr>
    </w:p>
    <w:p>
      <w:pPr>
        <w:rPr>
          <w:i/>
          <w:sz w:val="24"/>
          <w:szCs w:val="24"/>
        </w:rPr>
      </w:pPr>
    </w:p>
    <w:p>
      <w:pPr>
        <w:rPr>
          <w:i/>
          <w:sz w:val="24"/>
          <w:szCs w:val="24"/>
        </w:rPr>
      </w:pPr>
      <w:r>
        <w:rPr>
          <w:i/>
          <w:sz w:val="24"/>
          <w:szCs w:val="24"/>
        </w:rPr>
        <w:t>Encouragement from parents</w:t>
      </w:r>
    </w:p>
    <w:p>
      <w:pPr>
        <w:spacing w:line="240" w:lineRule="auto"/>
        <w:rPr>
          <w:sz w:val="24"/>
          <w:szCs w:val="24"/>
        </w:rPr>
      </w:pPr>
      <w:r>
        <w:rPr>
          <w:sz w:val="24"/>
          <w:szCs w:val="24"/>
        </w:rPr>
        <w:t xml:space="preserve">As with the level of encouragement from teachers, the level of encouragement participants felt they’d received from parents varied on an individual basis, with no clear pattern. This is in contrast to the findings of Andre </w:t>
      </w:r>
      <w:r>
        <w:rPr>
          <w:i/>
          <w:sz w:val="24"/>
          <w:szCs w:val="24"/>
        </w:rPr>
        <w:t>et al</w:t>
      </w:r>
      <w:r>
        <w:rPr>
          <w:sz w:val="24"/>
          <w:szCs w:val="24"/>
        </w:rPr>
        <w:t>. (2000) who reported that parents had higher expectations of boys than girls in their science education. The author is led to conclude that parental encouragement plays little to no part in the observed differences between males and females in the uptake of A Level sciences.</w:t>
      </w:r>
    </w:p>
    <w:p>
      <w:pPr>
        <w:rPr>
          <w:i/>
          <w:sz w:val="24"/>
          <w:szCs w:val="24"/>
        </w:rPr>
      </w:pPr>
    </w:p>
    <w:p>
      <w:pPr>
        <w:rPr>
          <w:i/>
          <w:sz w:val="24"/>
          <w:szCs w:val="24"/>
        </w:rPr>
      </w:pPr>
      <w:r>
        <w:rPr>
          <w:i/>
          <w:sz w:val="24"/>
          <w:szCs w:val="24"/>
        </w:rPr>
        <w:t>Ability</w:t>
      </w:r>
    </w:p>
    <w:p>
      <w:pPr>
        <w:spacing w:line="240" w:lineRule="auto"/>
        <w:rPr>
          <w:sz w:val="24"/>
          <w:szCs w:val="24"/>
        </w:rPr>
      </w:pPr>
      <w:r>
        <w:rPr>
          <w:sz w:val="24"/>
          <w:szCs w:val="24"/>
        </w:rPr>
        <w:t>This section is prefaced with a reminder that the present research considered participants’ perceived ability rather than GCSE or other test results. Workload and/or perceived difficulty was the biggest factor that discouraged male and female participants  from taking science A Levels although male participants were more likely to be discouraged. The degree to which participants’ perceived themselves to be good at science varied on an individual basis, although males were more likely to be discouraged from taking science A Levels based on their GCSE results and/or perceived ability. A potentially conflicting finding was that females were more likely to consider their ability when choosing their A Levels</w:t>
      </w:r>
      <w:r>
        <w:rPr>
          <w:color w:val="674EA7"/>
          <w:sz w:val="24"/>
          <w:szCs w:val="24"/>
        </w:rPr>
        <w:t xml:space="preserve">. </w:t>
      </w:r>
      <w:r>
        <w:rPr>
          <w:sz w:val="24"/>
          <w:szCs w:val="24"/>
        </w:rPr>
        <w:t xml:space="preserve">A summary of these findings may be that females are more likely than males to consider their ability in a subject before choosing it. However, when a given participant considers their ability, they are more likely to be discouraged by perceived lower ability if they are male. Chapter 2 detailed the findings of other authors who reported that girls perceive science to be difficult and/or uninteresting (Huffman </w:t>
      </w:r>
      <w:r>
        <w:rPr>
          <w:i/>
          <w:sz w:val="24"/>
          <w:szCs w:val="24"/>
        </w:rPr>
        <w:t>et al</w:t>
      </w:r>
      <w:r>
        <w:rPr>
          <w:sz w:val="24"/>
          <w:szCs w:val="24"/>
        </w:rPr>
        <w:t xml:space="preserve">., 1997; Jones, Howe and Rua, 2000; Miller, Blessing and Schwartz, 2006; Archer </w:t>
      </w:r>
      <w:r>
        <w:rPr>
          <w:i/>
          <w:sz w:val="24"/>
          <w:szCs w:val="24"/>
        </w:rPr>
        <w:t>et al</w:t>
      </w:r>
      <w:r>
        <w:rPr>
          <w:sz w:val="24"/>
          <w:szCs w:val="24"/>
        </w:rPr>
        <w:t xml:space="preserve">. 2013). Andre </w:t>
      </w:r>
      <w:r>
        <w:rPr>
          <w:i/>
          <w:sz w:val="24"/>
          <w:szCs w:val="24"/>
        </w:rPr>
        <w:t>et al</w:t>
      </w:r>
      <w:r>
        <w:rPr>
          <w:sz w:val="24"/>
          <w:szCs w:val="24"/>
        </w:rPr>
        <w:t xml:space="preserve">. (1999) and Jovanovic and Steinbach King 1988) further posited that girls’ perceptions of their ability in science is lower than the perceptions of boys, even if those girls enjoy science. However, the findings of the present study are more in line with the findings of Carlone (2004) who found that both males and females consider science to be “too difficult”. With specific regards to physics, as outlined in Chapter 2, studies conducted in several different countries found sex differences in ability to answer questions, with males being more likely to correctly answer physics questions (Bell, 2001; Burkan, Lee and Smerdon, 1997). The present research appears to echo these findings with males being more likely than females to enjoy physics, while females are more likely to find physics difficult and/or boring. </w:t>
      </w:r>
    </w:p>
    <w:p>
      <w:pPr>
        <w:rPr>
          <w:i/>
          <w:sz w:val="24"/>
          <w:szCs w:val="24"/>
        </w:rPr>
      </w:pPr>
    </w:p>
    <w:p>
      <w:pPr>
        <w:rPr>
          <w:i/>
          <w:sz w:val="24"/>
          <w:szCs w:val="24"/>
        </w:rPr>
      </w:pPr>
      <w:r>
        <w:rPr>
          <w:i/>
          <w:sz w:val="24"/>
          <w:szCs w:val="24"/>
        </w:rPr>
        <w:t>Factors affecting males and females/type of school</w:t>
      </w:r>
    </w:p>
    <w:p>
      <w:pPr>
        <w:rPr>
          <w:sz w:val="24"/>
          <w:szCs w:val="24"/>
        </w:rPr>
      </w:pPr>
      <w:r>
        <w:rPr>
          <w:sz w:val="24"/>
          <w:szCs w:val="24"/>
        </w:rPr>
        <w:t xml:space="preserve">The type of school was not investigated here so, instead, a summary of the factors that were found to influence both males and females will be presented. Males and females </w:t>
      </w:r>
    </w:p>
    <w:p>
      <w:pPr>
        <w:spacing w:line="240" w:lineRule="auto"/>
        <w:rPr>
          <w:sz w:val="24"/>
          <w:szCs w:val="24"/>
        </w:rPr>
      </w:pPr>
      <w:r>
        <w:rPr>
          <w:sz w:val="24"/>
          <w:szCs w:val="24"/>
        </w:rPr>
        <w:t>believe that society values a career in science. Additionally, male and female students who study one science A Level are highly likely to study at least one other and are also highly likely to be considering a career in science</w:t>
      </w:r>
      <w:r>
        <w:rPr>
          <w:color w:val="674EA7"/>
          <w:sz w:val="24"/>
          <w:szCs w:val="24"/>
        </w:rPr>
        <w:t xml:space="preserve">. </w:t>
      </w:r>
      <w:r>
        <w:rPr>
          <w:sz w:val="24"/>
          <w:szCs w:val="24"/>
        </w:rPr>
        <w:t xml:space="preserve">A significant theme was that, for male and female students, their experience and relationship with previous science teachers, both positive and negative, played a role in their decision to study science A Levels. Where students had a positive experience with their GCSE teacher, they felt more inclined to continue studying that subject at A Level. Conversely, if they had a negative experience with their GCSE teacher, they felt less inclined to continue studying that subject at A Level. These findings partially echo the work of previous authors (Mujtaba and Reiss, 2016) who found that girls’ attitudes towards maths and physics were impacted by their teachers. In the present study, both males and females’ attitudes towards science subjects were found to be impacted by their class teacher.  It is important to note here that this particular finding may be relevant only where students have access to a sixth form and the possibility of continued studies with their GCSE teacher. Students also discussed being aware of whether or not their GCSE teacher was teaching their specialism, and reporting that they were more likely to enjoy the subject when being taught by a subject specialist. </w:t>
      </w:r>
    </w:p>
    <w:p>
      <w:pPr>
        <w:spacing w:line="240" w:lineRule="auto"/>
        <w:rPr>
          <w:sz w:val="24"/>
          <w:szCs w:val="24"/>
        </w:rPr>
      </w:pPr>
      <w:r>
        <w:rPr>
          <w:sz w:val="24"/>
          <w:szCs w:val="24"/>
        </w:rPr>
        <w:t>The Key Stage 5 focus group responses brought to light the potential for a participant’s experience of learning during the Coronavirus pandemic to influence their A Level choices. This idea will be discussed further in Chapter 6.</w:t>
      </w:r>
    </w:p>
    <w:p>
      <w:pPr>
        <w:spacing w:line="240" w:lineRule="auto"/>
        <w:rPr>
          <w:sz w:val="24"/>
          <w:szCs w:val="24"/>
        </w:rPr>
      </w:pPr>
    </w:p>
    <w:p>
      <w:pPr>
        <w:spacing w:line="240" w:lineRule="auto"/>
        <w:rPr>
          <w:sz w:val="24"/>
          <w:szCs w:val="24"/>
        </w:rPr>
      </w:pPr>
      <w:r>
        <w:rPr>
          <w:sz w:val="24"/>
          <w:szCs w:val="24"/>
        </w:rPr>
        <w:t>There were three other themes, outlined in Chapter 2, that were not investigated in this study. These were: the whole school environment; the link to FSM; and the impact of other factors such as ethnicity and wealth. These will be discussed further in Chapter 6.</w:t>
      </w:r>
    </w:p>
    <w:p>
      <w:pPr>
        <w:rPr>
          <w:i/>
          <w:sz w:val="24"/>
          <w:szCs w:val="24"/>
        </w:rPr>
      </w:pPr>
    </w:p>
    <w:p>
      <w:pPr>
        <w:spacing w:line="240" w:lineRule="auto"/>
        <w:rPr>
          <w:b/>
          <w:sz w:val="24"/>
          <w:szCs w:val="24"/>
        </w:rPr>
      </w:pPr>
    </w:p>
    <w:p>
      <w:pPr>
        <w:spacing w:line="240" w:lineRule="auto"/>
        <w:rPr>
          <w:i/>
          <w:sz w:val="24"/>
          <w:szCs w:val="24"/>
        </w:rPr>
      </w:pPr>
      <w:r>
        <w:rPr>
          <w:b/>
          <w:i/>
          <w:sz w:val="24"/>
          <w:szCs w:val="24"/>
        </w:rPr>
        <w:t>How have the findings of this research changed the key themes</w:t>
      </w:r>
    </w:p>
    <w:p>
      <w:pPr>
        <w:spacing w:line="240" w:lineRule="auto"/>
        <w:rPr>
          <w:sz w:val="24"/>
          <w:szCs w:val="24"/>
        </w:rPr>
      </w:pPr>
    </w:p>
    <w:p>
      <w:pPr>
        <w:spacing w:line="240" w:lineRule="auto"/>
        <w:rPr>
          <w:sz w:val="24"/>
          <w:szCs w:val="24"/>
        </w:rPr>
      </w:pPr>
      <w:r>
        <w:rPr>
          <w:sz w:val="24"/>
          <w:szCs w:val="24"/>
        </w:rPr>
        <w:t>As a result of the research, and in the context of the school in question, science as a masculine subject, workload, perceived difficulty and perceived ability are still considered key factors that influence the uptake of science A Levels. In addition to these, participants’ experience with the GCSE teacher, as opposed to “teacher encouragement” is now considered a key theme. Teacher and parental encouragement are not considered to be influential factors in the given context.</w:t>
      </w:r>
    </w:p>
    <w:p>
      <w:pPr>
        <w:spacing w:line="240" w:lineRule="auto"/>
        <w:rPr>
          <w:sz w:val="24"/>
          <w:szCs w:val="24"/>
        </w:rPr>
      </w:pPr>
    </w:p>
    <w:p>
      <w:pPr>
        <w:spacing w:line="240" w:lineRule="auto"/>
        <w:rPr>
          <w:sz w:val="24"/>
          <w:szCs w:val="24"/>
        </w:rPr>
      </w:pPr>
    </w:p>
    <w:p>
      <w:pPr>
        <w:spacing w:line="240" w:lineRule="auto"/>
        <w:rPr>
          <w:sz w:val="24"/>
          <w:szCs w:val="24"/>
        </w:rPr>
      </w:pPr>
      <w:r>
        <w:rPr>
          <w:b/>
          <w:sz w:val="24"/>
          <w:szCs w:val="24"/>
        </w:rPr>
        <w:t>Chapter 6.</w:t>
      </w:r>
    </w:p>
    <w:p>
      <w:pPr>
        <w:spacing w:line="240" w:lineRule="auto"/>
        <w:rPr>
          <w:sz w:val="24"/>
          <w:szCs w:val="24"/>
        </w:rPr>
      </w:pPr>
      <w:r>
        <w:rPr>
          <w:b/>
          <w:sz w:val="24"/>
          <w:szCs w:val="24"/>
        </w:rPr>
        <w:t xml:space="preserve">CONCLUSIONS and RECOMMENDATIONS </w:t>
      </w:r>
    </w:p>
    <w:p>
      <w:pPr>
        <w:spacing w:line="240" w:lineRule="auto"/>
        <w:rPr>
          <w:sz w:val="24"/>
          <w:szCs w:val="24"/>
        </w:rPr>
      </w:pPr>
    </w:p>
    <w:p>
      <w:pPr>
        <w:spacing w:line="240" w:lineRule="auto"/>
        <w:rPr>
          <w:sz w:val="24"/>
          <w:szCs w:val="24"/>
        </w:rPr>
      </w:pPr>
    </w:p>
    <w:p>
      <w:pPr>
        <w:spacing w:line="240" w:lineRule="auto"/>
        <w:rPr>
          <w:b/>
          <w:i/>
          <w:sz w:val="24"/>
          <w:szCs w:val="24"/>
        </w:rPr>
      </w:pPr>
      <w:r>
        <w:rPr>
          <w:b/>
          <w:i/>
          <w:sz w:val="24"/>
          <w:szCs w:val="24"/>
        </w:rPr>
        <w:t>Summary of main findings and conclusions</w:t>
      </w:r>
    </w:p>
    <w:p>
      <w:pPr>
        <w:spacing w:line="240" w:lineRule="auto"/>
        <w:rPr>
          <w:b/>
          <w:sz w:val="24"/>
          <w:szCs w:val="24"/>
        </w:rPr>
      </w:pPr>
    </w:p>
    <w:p>
      <w:pPr>
        <w:numPr>
          <w:ilvl w:val="0"/>
          <w:numId w:val="18"/>
        </w:numPr>
        <w:spacing w:after="160" w:line="259" w:lineRule="auto"/>
        <w:rPr>
          <w:i/>
          <w:sz w:val="24"/>
          <w:szCs w:val="24"/>
        </w:rPr>
      </w:pPr>
      <w:r>
        <w:rPr>
          <w:i/>
          <w:sz w:val="24"/>
          <w:szCs w:val="24"/>
        </w:rPr>
        <w:t>What factors encourage students to study science A Levels?</w:t>
      </w:r>
    </w:p>
    <w:p>
      <w:pPr>
        <w:spacing w:after="160" w:line="259" w:lineRule="auto"/>
        <w:rPr>
          <w:sz w:val="24"/>
          <w:szCs w:val="24"/>
        </w:rPr>
      </w:pPr>
      <w:r>
        <w:rPr>
          <w:sz w:val="24"/>
          <w:szCs w:val="24"/>
        </w:rPr>
        <w:t xml:space="preserve">The participants in this study chose to study science A Levels if they were considering a career in science and/or required science A Levels for entry onto a degree course. Students were also encouraged to study science A Levels if they had a positive experience with their GCSE Science teacher. Students who choose to study Biology A Level are encouraged to do so as they see it as predominantly recall-based and typically easier than Chemistry and Physics A Level. Students felt that society values a career in science.  </w:t>
      </w:r>
    </w:p>
    <w:p>
      <w:pPr>
        <w:numPr>
          <w:ilvl w:val="0"/>
          <w:numId w:val="18"/>
        </w:numPr>
        <w:spacing w:after="160" w:line="259" w:lineRule="auto"/>
        <w:rPr>
          <w:i/>
          <w:sz w:val="24"/>
          <w:szCs w:val="24"/>
        </w:rPr>
      </w:pPr>
      <w:r>
        <w:rPr>
          <w:i/>
          <w:sz w:val="24"/>
          <w:szCs w:val="24"/>
        </w:rPr>
        <w:t>What factors discourage students from studying science A Levels?</w:t>
      </w:r>
    </w:p>
    <w:p>
      <w:pPr>
        <w:spacing w:after="160" w:line="259" w:lineRule="auto"/>
        <w:rPr>
          <w:sz w:val="24"/>
          <w:szCs w:val="24"/>
        </w:rPr>
      </w:pPr>
      <w:r>
        <w:rPr>
          <w:sz w:val="24"/>
          <w:szCs w:val="24"/>
        </w:rPr>
        <w:t xml:space="preserve">The participants in this study were or would be discouraged from studying science A Levels due to the anticipated workload and perceived difficulty. Some participants, mostly males, were discouraged from selecting A Level science subjects due to their own perceived ability in that subject. Male and female students were discouraged from selecting A Level science subjects if they’d had a negative experience with their GCSE Science teacher. </w:t>
      </w:r>
    </w:p>
    <w:p>
      <w:pPr>
        <w:numPr>
          <w:ilvl w:val="0"/>
          <w:numId w:val="18"/>
        </w:numPr>
        <w:spacing w:after="160" w:line="259" w:lineRule="auto"/>
        <w:rPr>
          <w:i/>
          <w:sz w:val="24"/>
          <w:szCs w:val="24"/>
        </w:rPr>
      </w:pPr>
      <w:r>
        <w:rPr>
          <w:i/>
          <w:sz w:val="24"/>
          <w:szCs w:val="24"/>
        </w:rPr>
        <w:t>Are there differences between male and female attitudes towards studying science and, if so, what are they?</w:t>
      </w:r>
    </w:p>
    <w:p>
      <w:pPr>
        <w:spacing w:after="160" w:line="259" w:lineRule="auto"/>
        <w:rPr>
          <w:sz w:val="24"/>
          <w:szCs w:val="24"/>
        </w:rPr>
      </w:pPr>
      <w:r>
        <w:rPr>
          <w:sz w:val="24"/>
          <w:szCs w:val="24"/>
        </w:rPr>
        <w:t xml:space="preserve">Females are more likely to study Biology and Chemistry A Level and males are more likely to study Physics A Level. Females are also more likely to study two of the three sciences at A Level. Females typically consider more factors than males when choosing their A Levels and are more likely to consider their enjoyment and their future career prospects. Some females are concerned about science being a “male subject”. The males in this study did not share any concerns about science being a gendered subject. </w:t>
      </w:r>
    </w:p>
    <w:p>
      <w:pPr>
        <w:numPr>
          <w:ilvl w:val="0"/>
          <w:numId w:val="18"/>
        </w:numPr>
        <w:spacing w:after="160" w:line="259" w:lineRule="auto"/>
        <w:rPr>
          <w:i/>
          <w:sz w:val="24"/>
          <w:szCs w:val="24"/>
        </w:rPr>
      </w:pPr>
      <w:r>
        <w:rPr>
          <w:i/>
          <w:sz w:val="24"/>
          <w:szCs w:val="24"/>
        </w:rPr>
        <w:t>Are there differences between male and female attitudes towards studying physics and, if so, what are they?</w:t>
      </w:r>
    </w:p>
    <w:p>
      <w:pPr>
        <w:spacing w:after="160" w:line="259" w:lineRule="auto"/>
        <w:rPr>
          <w:sz w:val="24"/>
          <w:szCs w:val="24"/>
        </w:rPr>
      </w:pPr>
      <w:r>
        <w:rPr>
          <w:sz w:val="24"/>
          <w:szCs w:val="24"/>
        </w:rPr>
        <w:t xml:space="preserve">Males are more likely than females to enjoy physics and to study Physics A Level.  Females are more likely than males to find physics difficult and/or boring. </w:t>
      </w:r>
    </w:p>
    <w:p>
      <w:pPr>
        <w:spacing w:line="240" w:lineRule="auto"/>
        <w:rPr>
          <w:sz w:val="24"/>
          <w:szCs w:val="24"/>
        </w:rPr>
      </w:pPr>
    </w:p>
    <w:p>
      <w:pPr>
        <w:spacing w:line="240" w:lineRule="auto"/>
        <w:rPr>
          <w:sz w:val="24"/>
          <w:szCs w:val="24"/>
        </w:rPr>
      </w:pPr>
    </w:p>
    <w:p>
      <w:pPr>
        <w:spacing w:line="240" w:lineRule="auto"/>
        <w:rPr>
          <w:b/>
          <w:i/>
          <w:sz w:val="24"/>
          <w:szCs w:val="24"/>
        </w:rPr>
      </w:pPr>
      <w:r>
        <w:rPr>
          <w:b/>
          <w:i/>
          <w:sz w:val="24"/>
          <w:szCs w:val="24"/>
        </w:rPr>
        <w:t>Limitations and directions for further research</w:t>
      </w:r>
    </w:p>
    <w:p>
      <w:pPr>
        <w:spacing w:line="240" w:lineRule="auto"/>
        <w:rPr>
          <w:sz w:val="24"/>
          <w:szCs w:val="24"/>
        </w:rPr>
      </w:pPr>
    </w:p>
    <w:p>
      <w:pPr>
        <w:spacing w:line="240" w:lineRule="auto"/>
        <w:rPr>
          <w:sz w:val="24"/>
          <w:szCs w:val="24"/>
        </w:rPr>
      </w:pPr>
      <w:r>
        <w:rPr>
          <w:sz w:val="24"/>
          <w:szCs w:val="24"/>
        </w:rPr>
        <w:t xml:space="preserve">This study was conducted in a single school with a relatively small sample of Key Stage 4 and 5 students. There was no scrutiny of GCSE and A Level results and nor was there analysis of the numbers of A Level science students in receipt of free school meals or from different ethnic backgrounds. As such, research into the effects of the whole school environment, the link to FSM and the impact of other factors such as ethnicity and socio-economic background was not included. These other factors have previously been highlighted by other authors (Friedman-Soluker and Justman, 2016; Justman and Mendez, 2018; Institute of Physics, 2018; Brotman and Moore, 2008; Brickhouse, Lowery and Schultz, 2000) and so may warrant further exploration, beyond the scope of the present research. </w:t>
      </w:r>
    </w:p>
    <w:p>
      <w:pPr>
        <w:spacing w:line="240" w:lineRule="auto"/>
        <w:rPr>
          <w:sz w:val="24"/>
          <w:szCs w:val="24"/>
        </w:rPr>
      </w:pPr>
    </w:p>
    <w:p>
      <w:pPr>
        <w:spacing w:line="240" w:lineRule="auto"/>
        <w:rPr>
          <w:sz w:val="24"/>
          <w:szCs w:val="24"/>
        </w:rPr>
      </w:pPr>
      <w:r>
        <w:rPr>
          <w:sz w:val="24"/>
          <w:szCs w:val="24"/>
        </w:rPr>
        <w:t xml:space="preserve">There are two findings that have presented themselves throughout the course of this research, that may be explored in further research: these are the effect of the coronavirus pandemic on science education and students’ prior experience with science teachers. At the time of completion of this study, the little research that has already been conducted into the impact of the pandemic on science education, focuses primarily on medical sciences and university students. Data scrutiny of GCSE and A Level results of students from 2020 onwards, along with data scrutiny of A Level science uptake from 2020 onwards, and insight from students across Key Stages 3, 4 and 5 may be a starting point for future research into the impacts of the coronavirus pandemic on secondary and further science education and subsequent A Level uptake. </w:t>
      </w:r>
    </w:p>
    <w:p>
      <w:pPr>
        <w:spacing w:line="240" w:lineRule="auto"/>
        <w:rPr>
          <w:sz w:val="24"/>
          <w:szCs w:val="24"/>
        </w:rPr>
      </w:pPr>
    </w:p>
    <w:p>
      <w:pPr>
        <w:spacing w:line="240" w:lineRule="auto"/>
        <w:rPr>
          <w:sz w:val="24"/>
          <w:szCs w:val="24"/>
        </w:rPr>
      </w:pPr>
      <w:r>
        <w:rPr>
          <w:sz w:val="24"/>
          <w:szCs w:val="24"/>
        </w:rPr>
        <w:t xml:space="preserve">In the school at the heart of this research, science teachers teach across all disciplines at Key Stages 3 and 4, and teach only within their specialism, i.e. biology, chemistry or physics, at Key Stage 5. Empirical evidence suggests that this is common practice in secondary schools. A key finding from this research was that students are often able to tell if a teacher is teaching within their specialism, typically enjoy those lessons more and so are more likely to study that subject at A Level. The opposite also appears to be true and students may be less likely to select a science A Level if their experience of that subject at GCSE was a negative one which they may attribute to their relationship with their GCSE teacher or whether or not their teacher was a subject specialist. Further exploration of this theme may involve interviews with students and teachers along with data analysis of A Level uptake in relation to subject specialist teachers at GCSE. </w:t>
      </w:r>
    </w:p>
    <w:p>
      <w:pPr>
        <w:spacing w:line="240" w:lineRule="auto"/>
        <w:rPr>
          <w:sz w:val="24"/>
          <w:szCs w:val="24"/>
        </w:rPr>
      </w:pPr>
    </w:p>
    <w:p>
      <w:pPr>
        <w:spacing w:line="240" w:lineRule="auto"/>
        <w:rPr>
          <w:sz w:val="24"/>
          <w:szCs w:val="24"/>
        </w:rPr>
      </w:pPr>
    </w:p>
    <w:p>
      <w:pPr>
        <w:spacing w:line="240" w:lineRule="auto"/>
        <w:rPr>
          <w:b/>
          <w:sz w:val="24"/>
          <w:szCs w:val="24"/>
        </w:rPr>
      </w:pPr>
    </w:p>
    <w:p>
      <w:pPr>
        <w:spacing w:line="240" w:lineRule="auto"/>
        <w:rPr>
          <w:b/>
          <w:i/>
          <w:sz w:val="24"/>
          <w:szCs w:val="24"/>
        </w:rPr>
      </w:pPr>
      <w:r>
        <w:rPr>
          <w:b/>
          <w:i/>
          <w:sz w:val="24"/>
          <w:szCs w:val="24"/>
        </w:rPr>
        <w:t>Recommendations</w:t>
      </w:r>
    </w:p>
    <w:p>
      <w:pPr>
        <w:spacing w:line="240" w:lineRule="auto"/>
        <w:rPr>
          <w:sz w:val="24"/>
          <w:szCs w:val="24"/>
        </w:rPr>
      </w:pPr>
    </w:p>
    <w:p>
      <w:pPr>
        <w:spacing w:line="240" w:lineRule="auto"/>
        <w:rPr>
          <w:sz w:val="24"/>
          <w:szCs w:val="24"/>
        </w:rPr>
      </w:pPr>
      <w:r>
        <w:rPr>
          <w:sz w:val="24"/>
          <w:szCs w:val="24"/>
        </w:rPr>
        <w:t>The following are recommendations for possible further research.</w:t>
      </w:r>
    </w:p>
    <w:p>
      <w:pPr>
        <w:spacing w:line="240" w:lineRule="auto"/>
        <w:rPr>
          <w:sz w:val="24"/>
          <w:szCs w:val="24"/>
        </w:rPr>
      </w:pPr>
    </w:p>
    <w:p>
      <w:pPr>
        <w:numPr>
          <w:ilvl w:val="0"/>
          <w:numId w:val="21"/>
        </w:numPr>
        <w:spacing w:line="240" w:lineRule="auto"/>
        <w:rPr>
          <w:sz w:val="24"/>
          <w:szCs w:val="24"/>
        </w:rPr>
      </w:pPr>
      <w:r>
        <w:rPr>
          <w:sz w:val="24"/>
          <w:szCs w:val="24"/>
        </w:rPr>
        <w:t>Data scrutiny of A Level uptake with a comparison of male and female data, FSM and non-FSM data, and of students of different ethnicities.</w:t>
      </w:r>
    </w:p>
    <w:p>
      <w:pPr>
        <w:numPr>
          <w:ilvl w:val="0"/>
          <w:numId w:val="21"/>
        </w:numPr>
        <w:spacing w:line="240" w:lineRule="auto"/>
        <w:rPr>
          <w:sz w:val="24"/>
          <w:szCs w:val="24"/>
        </w:rPr>
      </w:pPr>
      <w:r>
        <w:rPr>
          <w:sz w:val="24"/>
          <w:szCs w:val="24"/>
        </w:rPr>
        <w:t>Data scrutiny of GCSE and A Level results with a comparison of male and female data, FSM and non-FSM data, and of students of different ethnicities.</w:t>
      </w:r>
    </w:p>
    <w:p>
      <w:pPr>
        <w:numPr>
          <w:ilvl w:val="0"/>
          <w:numId w:val="21"/>
        </w:numPr>
        <w:spacing w:line="240" w:lineRule="auto"/>
        <w:rPr>
          <w:sz w:val="24"/>
          <w:szCs w:val="24"/>
        </w:rPr>
      </w:pPr>
      <w:r>
        <w:rPr>
          <w:sz w:val="24"/>
          <w:szCs w:val="24"/>
        </w:rPr>
        <w:t>Data scrutiny of GCSE and A Level results of students from 2020 onwards, along with data scrutiny of A Level science uptake from 2020 onwards. Exploration of the impact of the coronavirus pandemic on students from Key Stages 3-5.</w:t>
      </w:r>
    </w:p>
    <w:p>
      <w:pPr>
        <w:numPr>
          <w:ilvl w:val="0"/>
          <w:numId w:val="21"/>
        </w:numPr>
        <w:spacing w:line="240" w:lineRule="auto"/>
        <w:rPr>
          <w:sz w:val="24"/>
          <w:szCs w:val="24"/>
        </w:rPr>
      </w:pPr>
      <w:r>
        <w:rPr>
          <w:sz w:val="24"/>
          <w:szCs w:val="24"/>
        </w:rPr>
        <w:t xml:space="preserve">Data scrutiny of A Level uptake in relation to subject specialist teachers at GCSE along with interviews with students and teachers. </w:t>
      </w:r>
    </w:p>
    <w:p/>
    <w:p>
      <w:pPr>
        <w:rPr>
          <w:b/>
        </w:rPr>
      </w:pPr>
    </w:p>
    <w:p>
      <w:pPr>
        <w:rPr>
          <w:b/>
        </w:rPr>
      </w:pPr>
      <w:r>
        <w:rPr>
          <w:b/>
        </w:rPr>
        <w:t>Word count: 15775</w:t>
      </w:r>
    </w:p>
    <w:p/>
    <w:p/>
    <w:p/>
    <w:p>
      <w:pPr>
        <w:spacing w:line="240" w:lineRule="auto"/>
        <w:rPr>
          <w:sz w:val="24"/>
          <w:szCs w:val="24"/>
        </w:rPr>
      </w:pPr>
      <w:r>
        <w:rPr>
          <w:b/>
          <w:sz w:val="24"/>
          <w:szCs w:val="24"/>
        </w:rPr>
        <w:t>Chapter 7.</w:t>
      </w:r>
    </w:p>
    <w:p>
      <w:pPr>
        <w:spacing w:line="240" w:lineRule="auto"/>
        <w:rPr>
          <w:b/>
          <w:sz w:val="24"/>
          <w:szCs w:val="24"/>
        </w:rPr>
      </w:pPr>
      <w:r>
        <w:rPr>
          <w:b/>
          <w:sz w:val="24"/>
          <w:szCs w:val="24"/>
        </w:rPr>
        <w:t>REFERENCES</w:t>
      </w:r>
    </w:p>
    <w:p>
      <w:pPr>
        <w:spacing w:line="240" w:lineRule="auto"/>
        <w:rPr>
          <w:b/>
          <w:sz w:val="24"/>
          <w:szCs w:val="24"/>
        </w:rPr>
      </w:pPr>
    </w:p>
    <w:p>
      <w:pPr>
        <w:spacing w:line="360" w:lineRule="auto"/>
        <w:rPr>
          <w:sz w:val="24"/>
          <w:szCs w:val="24"/>
        </w:rPr>
      </w:pPr>
      <w:r>
        <w:rPr>
          <w:sz w:val="24"/>
          <w:szCs w:val="24"/>
        </w:rPr>
        <w:t xml:space="preserve">Andre, T., Whigham, M., Hendrickson, A. and Chambers, S. (1999). Competency beliefs, positive affect, and gender stereotypes of elementary students and their parents about science versus other school subjects. </w:t>
      </w:r>
      <w:r>
        <w:rPr>
          <w:i/>
          <w:sz w:val="24"/>
          <w:szCs w:val="24"/>
        </w:rPr>
        <w:t>Journal of Research in Science Teaching</w:t>
      </w:r>
      <w:r>
        <w:rPr>
          <w:sz w:val="24"/>
          <w:szCs w:val="24"/>
        </w:rPr>
        <w:t>, 36(6), pp.719–747. doi:3.0.co;2-r"&gt;10.1002/(sici)1098-2736(199908)36:6&lt;719::aid-tea8&gt;3.0.co;2-r.</w:t>
      </w:r>
    </w:p>
    <w:p>
      <w:pPr>
        <w:spacing w:after="160" w:line="259" w:lineRule="auto"/>
        <w:rPr>
          <w:sz w:val="24"/>
          <w:szCs w:val="24"/>
        </w:rPr>
      </w:pPr>
      <w:r>
        <w:rPr>
          <w:sz w:val="24"/>
          <w:szCs w:val="24"/>
        </w:rPr>
        <w:t xml:space="preserve">Archer L., DeWitt J., Osborne J., Dillon J., Willis B. and Wong B. (2013) ‘Not girly, not sexy, not glamorous’: primary school girls’ and parents’ constructions of science aspirations, Pedagogy, Culture &amp; Society, 21:1, 171-194, DOI: </w:t>
      </w:r>
      <w:hyperlink r:id="rId13">
        <w:r>
          <w:rPr>
            <w:color w:val="0563C1"/>
            <w:sz w:val="24"/>
            <w:szCs w:val="24"/>
            <w:u w:val="single"/>
          </w:rPr>
          <w:t>10.1080/14681366.2012.748676</w:t>
        </w:r>
      </w:hyperlink>
      <w:r>
        <w:rPr>
          <w:sz w:val="24"/>
          <w:szCs w:val="24"/>
        </w:rPr>
        <w:t xml:space="preserve"> </w:t>
      </w:r>
    </w:p>
    <w:p>
      <w:pPr>
        <w:spacing w:line="360" w:lineRule="auto"/>
        <w:rPr>
          <w:sz w:val="24"/>
          <w:szCs w:val="24"/>
        </w:rPr>
      </w:pPr>
      <w:r>
        <w:rPr>
          <w:sz w:val="24"/>
          <w:szCs w:val="24"/>
        </w:rPr>
        <w:t xml:space="preserve">Bell, J.F. (2001). Investigating gender differences in the science performance of 16-year-old pupils in the UK. </w:t>
      </w:r>
      <w:r>
        <w:rPr>
          <w:i/>
          <w:sz w:val="24"/>
          <w:szCs w:val="24"/>
        </w:rPr>
        <w:t>International Journal of Science Education</w:t>
      </w:r>
      <w:r>
        <w:rPr>
          <w:sz w:val="24"/>
          <w:szCs w:val="24"/>
        </w:rPr>
        <w:t>, 23(5), pp.469–486. doi:10.1080/09500690120123.</w:t>
      </w:r>
    </w:p>
    <w:p>
      <w:pPr>
        <w:spacing w:line="360" w:lineRule="auto"/>
        <w:rPr>
          <w:sz w:val="24"/>
          <w:szCs w:val="24"/>
        </w:rPr>
      </w:pPr>
      <w:r>
        <w:rPr>
          <w:sz w:val="24"/>
          <w:szCs w:val="24"/>
        </w:rPr>
        <w:t>Bhopal, K. and Myers, M. (2020) “The impact of covid-19 on A level students in England.” Available at: https://doi.org/10.31235/osf.io/j2nqb.</w:t>
      </w:r>
    </w:p>
    <w:p>
      <w:pPr>
        <w:spacing w:line="360" w:lineRule="auto"/>
        <w:rPr>
          <w:sz w:val="24"/>
          <w:szCs w:val="24"/>
        </w:rPr>
      </w:pPr>
      <w:r>
        <w:rPr>
          <w:sz w:val="24"/>
          <w:szCs w:val="24"/>
        </w:rPr>
        <w:t xml:space="preserve">Brickhouse, N.W., Lowery, P. and Schultz, K. (2000). What Kind of a Girl Does Science? The Construction of School Science Identities. </w:t>
      </w:r>
      <w:r>
        <w:rPr>
          <w:i/>
          <w:sz w:val="24"/>
          <w:szCs w:val="24"/>
        </w:rPr>
        <w:t>Journal of Research in Science Teaching</w:t>
      </w:r>
      <w:r>
        <w:rPr>
          <w:sz w:val="24"/>
          <w:szCs w:val="24"/>
        </w:rPr>
        <w:t>, 37(5), pp.441–458. doi:3.0.co;2-3"&gt;10.1002/(sici)1098-2736(200005)37:5&lt;441::aid-tea4&gt;3.0.co;2-3.</w:t>
      </w:r>
    </w:p>
    <w:p>
      <w:pPr>
        <w:spacing w:after="160" w:line="259" w:lineRule="auto"/>
        <w:rPr>
          <w:sz w:val="24"/>
          <w:szCs w:val="24"/>
        </w:rPr>
      </w:pPr>
      <w:r>
        <w:rPr>
          <w:sz w:val="24"/>
          <w:szCs w:val="24"/>
        </w:rPr>
        <w:t xml:space="preserve">British Educational Research Association [BERA] (2018) Ethical Guidelines for Educational Research, fourth edition, London. </w:t>
      </w:r>
      <w:hyperlink r:id="rId14">
        <w:r>
          <w:rPr>
            <w:color w:val="0563C1"/>
            <w:sz w:val="24"/>
            <w:szCs w:val="24"/>
            <w:u w:val="single"/>
          </w:rPr>
          <w:t>https://www.bera.ac.uk/researchers-resources/publications/ethicalguidelines-for-educational-research-2018</w:t>
        </w:r>
      </w:hyperlink>
    </w:p>
    <w:p>
      <w:pPr>
        <w:spacing w:after="160" w:line="259" w:lineRule="auto"/>
        <w:rPr>
          <w:sz w:val="24"/>
          <w:szCs w:val="24"/>
        </w:rPr>
      </w:pPr>
      <w:r>
        <w:rPr>
          <w:sz w:val="24"/>
          <w:szCs w:val="24"/>
        </w:rPr>
        <w:t xml:space="preserve">Brooks, R., te Reile, K. and Maguire, M. (2014) </w:t>
      </w:r>
      <w:r>
        <w:rPr>
          <w:i/>
          <w:sz w:val="24"/>
          <w:szCs w:val="24"/>
        </w:rPr>
        <w:t xml:space="preserve">Ethics and Education Research. </w:t>
      </w:r>
      <w:r>
        <w:rPr>
          <w:sz w:val="24"/>
          <w:szCs w:val="24"/>
        </w:rPr>
        <w:t xml:space="preserve">London: Sage. </w:t>
      </w:r>
    </w:p>
    <w:p>
      <w:pPr>
        <w:spacing w:line="360" w:lineRule="auto"/>
        <w:rPr>
          <w:sz w:val="24"/>
          <w:szCs w:val="24"/>
        </w:rPr>
      </w:pPr>
      <w:r>
        <w:rPr>
          <w:sz w:val="24"/>
          <w:szCs w:val="24"/>
        </w:rPr>
        <w:t xml:space="preserve">Brotman, J.S. and Moore, F.M. (2008). Girls and science: A review of four themes in the science education literature. </w:t>
      </w:r>
      <w:r>
        <w:rPr>
          <w:i/>
          <w:sz w:val="24"/>
          <w:szCs w:val="24"/>
        </w:rPr>
        <w:t>Journal of Research in Science Teaching</w:t>
      </w:r>
      <w:r>
        <w:rPr>
          <w:sz w:val="24"/>
          <w:szCs w:val="24"/>
        </w:rPr>
        <w:t>, 45(9), pp.971–1002. doi:10.1002/tea.20241.</w:t>
      </w:r>
    </w:p>
    <w:p>
      <w:pPr>
        <w:spacing w:line="360" w:lineRule="auto"/>
        <w:rPr>
          <w:sz w:val="24"/>
          <w:szCs w:val="24"/>
        </w:rPr>
      </w:pPr>
      <w:r>
        <w:rPr>
          <w:sz w:val="24"/>
          <w:szCs w:val="24"/>
        </w:rPr>
        <w:t xml:space="preserve">Burkam, D.T., Lee, V.E. and Smerdon, B.A. (1997). Gender and Science Learning Early in High School: Subject Matter and Laboratory Experiences. </w:t>
      </w:r>
      <w:r>
        <w:rPr>
          <w:i/>
          <w:sz w:val="24"/>
          <w:szCs w:val="24"/>
        </w:rPr>
        <w:t>American Educational Research Journal</w:t>
      </w:r>
      <w:r>
        <w:rPr>
          <w:sz w:val="24"/>
          <w:szCs w:val="24"/>
        </w:rPr>
        <w:t>, 34(2), pp.297–331. doi:10.3102/00028312034002297.</w:t>
      </w:r>
    </w:p>
    <w:p>
      <w:pPr>
        <w:spacing w:after="160" w:line="259" w:lineRule="auto"/>
        <w:rPr>
          <w:sz w:val="24"/>
          <w:szCs w:val="24"/>
        </w:rPr>
      </w:pPr>
      <w:r>
        <w:rPr>
          <w:sz w:val="24"/>
          <w:szCs w:val="24"/>
        </w:rPr>
        <w:t>Carroll, M &amp; Gill, T. 2017. Uptake of GCE A level subjects 2016. Statistics Report Series No. 116. Cambridge, UK: Cambridge Assessment.</w:t>
      </w:r>
    </w:p>
    <w:p>
      <w:pPr>
        <w:spacing w:after="160" w:line="259" w:lineRule="auto"/>
        <w:rPr>
          <w:sz w:val="24"/>
          <w:szCs w:val="24"/>
        </w:rPr>
      </w:pPr>
      <w:r>
        <w:rPr>
          <w:sz w:val="24"/>
          <w:szCs w:val="24"/>
        </w:rPr>
        <w:t>Catsambis, S. (1995). Gender, race, ethnicity, and science education in the middle grades. Journal ofResearch in Science Teaching, 32, 243 – 257.</w:t>
      </w:r>
    </w:p>
    <w:p>
      <w:pPr>
        <w:spacing w:after="160" w:line="259" w:lineRule="auto"/>
        <w:rPr>
          <w:sz w:val="24"/>
          <w:szCs w:val="24"/>
        </w:rPr>
      </w:pPr>
      <w:r>
        <w:rPr>
          <w:sz w:val="24"/>
          <w:szCs w:val="24"/>
        </w:rPr>
        <w:t xml:space="preserve">Champagne, M. V. (2014) </w:t>
      </w:r>
      <w:r>
        <w:rPr>
          <w:i/>
          <w:sz w:val="24"/>
          <w:szCs w:val="24"/>
        </w:rPr>
        <w:t xml:space="preserve">The Survey Playbook: How to create the perfect survey. </w:t>
      </w:r>
      <w:r>
        <w:rPr>
          <w:sz w:val="24"/>
          <w:szCs w:val="24"/>
        </w:rPr>
        <w:t xml:space="preserve"> CreateSpace Independent Publishing Platform. Available from: </w:t>
      </w:r>
      <w:hyperlink r:id="rId15">
        <w:r>
          <w:rPr>
            <w:color w:val="0563C1"/>
            <w:sz w:val="24"/>
            <w:szCs w:val="24"/>
            <w:u w:val="single"/>
          </w:rPr>
          <w:t>www.createspace.com</w:t>
        </w:r>
      </w:hyperlink>
      <w:r>
        <w:rPr>
          <w:sz w:val="24"/>
          <w:szCs w:val="24"/>
        </w:rPr>
        <w:t xml:space="preserve"> </w:t>
      </w:r>
    </w:p>
    <w:p>
      <w:pPr>
        <w:spacing w:after="160" w:line="259" w:lineRule="auto"/>
        <w:rPr>
          <w:sz w:val="24"/>
          <w:szCs w:val="24"/>
        </w:rPr>
      </w:pPr>
      <w:r>
        <w:rPr>
          <w:sz w:val="24"/>
          <w:szCs w:val="24"/>
        </w:rPr>
        <w:t xml:space="preserve">Cohen, L., Manion, L. and Morrison, K. (2018). </w:t>
      </w:r>
      <w:r>
        <w:rPr>
          <w:i/>
          <w:sz w:val="24"/>
          <w:szCs w:val="24"/>
        </w:rPr>
        <w:t>Research methods in education</w:t>
      </w:r>
      <w:r>
        <w:rPr>
          <w:sz w:val="24"/>
          <w:szCs w:val="24"/>
        </w:rPr>
        <w:t>. London: Routledge.</w:t>
      </w:r>
    </w:p>
    <w:p>
      <w:pPr>
        <w:spacing w:after="160" w:line="259" w:lineRule="auto"/>
        <w:rPr>
          <w:sz w:val="24"/>
          <w:szCs w:val="24"/>
        </w:rPr>
      </w:pPr>
      <w:r>
        <w:rPr>
          <w:sz w:val="24"/>
          <w:szCs w:val="24"/>
        </w:rPr>
        <w:t xml:space="preserve">Department for Business, Innovation and Skills. (2009). </w:t>
      </w:r>
      <w:r>
        <w:rPr>
          <w:i/>
          <w:sz w:val="24"/>
          <w:szCs w:val="24"/>
        </w:rPr>
        <w:t>Higher ambitions: The future of universities in a knowledge economy</w:t>
      </w:r>
      <w:r>
        <w:rPr>
          <w:sz w:val="24"/>
          <w:szCs w:val="24"/>
        </w:rPr>
        <w:t>. London, England.</w:t>
      </w:r>
    </w:p>
    <w:p>
      <w:pPr>
        <w:spacing w:line="360" w:lineRule="auto"/>
        <w:rPr>
          <w:sz w:val="24"/>
          <w:szCs w:val="24"/>
        </w:rPr>
      </w:pPr>
      <w:r>
        <w:rPr>
          <w:sz w:val="24"/>
          <w:szCs w:val="24"/>
        </w:rPr>
        <w:t xml:space="preserve">Department of Education (2018). </w:t>
      </w:r>
      <w:r>
        <w:rPr>
          <w:i/>
          <w:sz w:val="24"/>
          <w:szCs w:val="24"/>
        </w:rPr>
        <w:t>GCSE results (‘Attainment 8’) for children aged 14 to 16 (key stage 4)</w:t>
      </w:r>
      <w:r>
        <w:rPr>
          <w:sz w:val="24"/>
          <w:szCs w:val="24"/>
        </w:rPr>
        <w:t>. [online] Service.gov.uk. Available at: https://www.ethnicity-facts-figures.service.gov.uk/education-skills-and-training/11-to-16-years-old/gcse-results-attainment-8-for-children-aged-14-to-16-key-stage-4/latest.</w:t>
      </w:r>
    </w:p>
    <w:p>
      <w:pPr>
        <w:spacing w:line="360" w:lineRule="auto"/>
        <w:rPr>
          <w:sz w:val="24"/>
          <w:szCs w:val="24"/>
        </w:rPr>
      </w:pPr>
      <w:r>
        <w:rPr>
          <w:sz w:val="24"/>
          <w:szCs w:val="24"/>
        </w:rPr>
        <w:t xml:space="preserve">digital.ucas.com. (n.d.). </w:t>
      </w:r>
      <w:r>
        <w:rPr>
          <w:i/>
          <w:sz w:val="24"/>
          <w:szCs w:val="24"/>
        </w:rPr>
        <w:t>Search - UCAS</w:t>
      </w:r>
      <w:r>
        <w:rPr>
          <w:sz w:val="24"/>
          <w:szCs w:val="24"/>
        </w:rPr>
        <w:t>. [online] Available at: https://digital.ucas.com/coursedisplay/courses/663eb845-fdd5-75c4-ac72-e4e74c56af43?academicYearId=2023#entry-requirements [Accessed 4 Jan. 2023].</w:t>
      </w:r>
    </w:p>
    <w:p>
      <w:pPr>
        <w:spacing w:after="160" w:line="259" w:lineRule="auto"/>
        <w:rPr>
          <w:sz w:val="24"/>
          <w:szCs w:val="24"/>
        </w:rPr>
      </w:pPr>
      <w:r>
        <w:rPr>
          <w:sz w:val="24"/>
          <w:szCs w:val="24"/>
        </w:rPr>
        <w:t>Education Workforce Council (2018).</w:t>
      </w:r>
    </w:p>
    <w:p>
      <w:pPr>
        <w:spacing w:line="360" w:lineRule="auto"/>
        <w:rPr>
          <w:sz w:val="24"/>
          <w:szCs w:val="24"/>
        </w:rPr>
      </w:pPr>
      <w:r>
        <w:rPr>
          <w:sz w:val="24"/>
          <w:szCs w:val="24"/>
        </w:rPr>
        <w:t xml:space="preserve">Elgar, A.G. (2004). Science textbooks for lower secondary schools in Brunei: issues of gender equity. </w:t>
      </w:r>
      <w:r>
        <w:rPr>
          <w:i/>
          <w:sz w:val="24"/>
          <w:szCs w:val="24"/>
        </w:rPr>
        <w:t>International Journal of Science Education</w:t>
      </w:r>
      <w:r>
        <w:rPr>
          <w:sz w:val="24"/>
          <w:szCs w:val="24"/>
        </w:rPr>
        <w:t>, 26(7), pp.875–894. doi:10.1080/0950069032000138888.</w:t>
      </w:r>
    </w:p>
    <w:p>
      <w:pPr>
        <w:spacing w:line="360" w:lineRule="auto"/>
        <w:rPr>
          <w:sz w:val="24"/>
          <w:szCs w:val="24"/>
        </w:rPr>
      </w:pPr>
      <w:r>
        <w:rPr>
          <w:sz w:val="24"/>
          <w:szCs w:val="24"/>
        </w:rPr>
        <w:t>explore-education-statistics.service.gov.uk. (n.d.). A level and other 16 to 18 results, Academic Year 2019/20. [online] Available at: https://explore-education-statistics.service.gov.uk/find-statistics/a-level-and-other-16-to-18-results.</w:t>
      </w:r>
    </w:p>
    <w:p>
      <w:pPr>
        <w:spacing w:after="160" w:line="259" w:lineRule="auto"/>
        <w:rPr>
          <w:sz w:val="24"/>
          <w:szCs w:val="24"/>
        </w:rPr>
      </w:pPr>
      <w:r>
        <w:rPr>
          <w:sz w:val="24"/>
          <w:szCs w:val="24"/>
        </w:rPr>
        <w:t xml:space="preserve">Freidman, H. H. and Amoo, T. (1999) Rating the rating scales. </w:t>
      </w:r>
      <w:r>
        <w:rPr>
          <w:i/>
          <w:sz w:val="24"/>
          <w:szCs w:val="24"/>
        </w:rPr>
        <w:t>Journal of Marketing Management</w:t>
      </w:r>
      <w:r>
        <w:rPr>
          <w:sz w:val="24"/>
          <w:szCs w:val="24"/>
        </w:rPr>
        <w:t>, 9 (3), pp114-23.</w:t>
      </w:r>
    </w:p>
    <w:p>
      <w:pPr>
        <w:spacing w:line="360" w:lineRule="auto"/>
        <w:rPr>
          <w:sz w:val="24"/>
          <w:szCs w:val="24"/>
        </w:rPr>
      </w:pPr>
      <w:r>
        <w:rPr>
          <w:sz w:val="24"/>
          <w:szCs w:val="24"/>
        </w:rPr>
        <w:t xml:space="preserve">Friedman-Sokuler, N. and Justman, M. (2016). Gender streaming and prior achievement in high school science and mathematics. </w:t>
      </w:r>
      <w:r>
        <w:rPr>
          <w:i/>
          <w:sz w:val="24"/>
          <w:szCs w:val="24"/>
        </w:rPr>
        <w:t>Economics of Education Review</w:t>
      </w:r>
      <w:r>
        <w:rPr>
          <w:sz w:val="24"/>
          <w:szCs w:val="24"/>
        </w:rPr>
        <w:t>, 53, pp.230–253. doi:10.1016/j.econedurev.2016.04.004.</w:t>
      </w:r>
    </w:p>
    <w:p>
      <w:pPr>
        <w:spacing w:before="240" w:after="240" w:line="259" w:lineRule="auto"/>
        <w:rPr>
          <w:color w:val="2E414F"/>
          <w:sz w:val="24"/>
          <w:szCs w:val="24"/>
          <w:highlight w:val="white"/>
        </w:rPr>
      </w:pPr>
      <w:r>
        <w:rPr>
          <w:sz w:val="24"/>
          <w:szCs w:val="24"/>
        </w:rPr>
        <w:t>‌</w:t>
      </w:r>
      <w:r>
        <w:rPr>
          <w:color w:val="2E414F"/>
          <w:sz w:val="24"/>
          <w:szCs w:val="24"/>
          <w:highlight w:val="white"/>
        </w:rPr>
        <w:t>Gonzalez, H.B., &amp; Kuenzi, J.J. (2012). Science, Technology, Engineering, and Mathematics (STEM) Education: A Primer [August 1, 2012].</w:t>
      </w:r>
    </w:p>
    <w:p>
      <w:pPr>
        <w:spacing w:line="360" w:lineRule="auto"/>
        <w:rPr>
          <w:color w:val="2E414F"/>
          <w:sz w:val="24"/>
          <w:szCs w:val="24"/>
          <w:highlight w:val="white"/>
        </w:rPr>
      </w:pPr>
      <w:r>
        <w:rPr>
          <w:color w:val="2E414F"/>
          <w:sz w:val="24"/>
          <w:szCs w:val="24"/>
          <w:highlight w:val="white"/>
        </w:rPr>
        <w:t xml:space="preserve">Greenfield, T.A. (1996). Gender, ethnicity, science achievement, and attitudes. </w:t>
      </w:r>
      <w:r>
        <w:rPr>
          <w:i/>
          <w:color w:val="2E414F"/>
          <w:sz w:val="24"/>
          <w:szCs w:val="24"/>
          <w:highlight w:val="white"/>
        </w:rPr>
        <w:t>Journal of Research in Science Teaching</w:t>
      </w:r>
      <w:r>
        <w:rPr>
          <w:color w:val="2E414F"/>
          <w:sz w:val="24"/>
          <w:szCs w:val="24"/>
          <w:highlight w:val="white"/>
        </w:rPr>
        <w:t>, 33(8), pp.901–933. doi:3.0.co;2-#"&gt;10.1002/(sici)1098-2736(199610)33:8&lt;901::aid-tea5&gt;3.0.co;2-#.</w:t>
      </w:r>
    </w:p>
    <w:p>
      <w:pPr>
        <w:spacing w:line="360" w:lineRule="auto"/>
        <w:rPr>
          <w:color w:val="2E414F"/>
          <w:sz w:val="24"/>
          <w:szCs w:val="24"/>
          <w:highlight w:val="white"/>
        </w:rPr>
      </w:pPr>
      <w:r>
        <w:rPr>
          <w:color w:val="2E414F"/>
          <w:sz w:val="24"/>
          <w:szCs w:val="24"/>
          <w:highlight w:val="white"/>
        </w:rPr>
        <w:t xml:space="preserve">Greenfield, T.A. (1997). Gender- and grade-level differences in science interest and participation. </w:t>
      </w:r>
      <w:r>
        <w:rPr>
          <w:i/>
          <w:color w:val="2E414F"/>
          <w:sz w:val="24"/>
          <w:szCs w:val="24"/>
          <w:highlight w:val="white"/>
        </w:rPr>
        <w:t>Science Education</w:t>
      </w:r>
      <w:r>
        <w:rPr>
          <w:color w:val="2E414F"/>
          <w:sz w:val="24"/>
          <w:szCs w:val="24"/>
          <w:highlight w:val="white"/>
        </w:rPr>
        <w:t>, 81(3), pp.259–276. doi:3.0.co;2-c"&gt;10.1002/(sici)1098-237x(199706)81:3&lt;259::aid-sce1&gt;3.0.co;2-c.</w:t>
      </w:r>
    </w:p>
    <w:p>
      <w:pPr>
        <w:spacing w:line="360" w:lineRule="auto"/>
        <w:rPr>
          <w:color w:val="2E414F"/>
          <w:sz w:val="24"/>
          <w:szCs w:val="24"/>
          <w:highlight w:val="white"/>
        </w:rPr>
      </w:pPr>
      <w:r>
        <w:rPr>
          <w:color w:val="2E414F"/>
          <w:sz w:val="24"/>
          <w:szCs w:val="24"/>
          <w:highlight w:val="white"/>
        </w:rPr>
        <w:t xml:space="preserve">Guzzetti, B.J. and Williams, W.O. (1996). Gender, text, and discussion: Examining intellectual safety in the science classroom. </w:t>
      </w:r>
      <w:r>
        <w:rPr>
          <w:i/>
          <w:color w:val="2E414F"/>
          <w:sz w:val="24"/>
          <w:szCs w:val="24"/>
          <w:highlight w:val="white"/>
        </w:rPr>
        <w:t>Journal of Research in Science Teaching</w:t>
      </w:r>
      <w:r>
        <w:rPr>
          <w:color w:val="2E414F"/>
          <w:sz w:val="24"/>
          <w:szCs w:val="24"/>
          <w:highlight w:val="white"/>
        </w:rPr>
        <w:t>, 33(1), pp.5–20. doi:3.0.co;2-z"&gt;10.1002/(sici)1098-2736(199601)33:1&lt;5::aid-tea1&gt;3.0.co;2-z.</w:t>
      </w:r>
    </w:p>
    <w:p>
      <w:pPr>
        <w:spacing w:line="360" w:lineRule="auto"/>
        <w:rPr>
          <w:color w:val="2E414F"/>
          <w:sz w:val="24"/>
          <w:szCs w:val="24"/>
          <w:highlight w:val="white"/>
        </w:rPr>
      </w:pPr>
      <w:r>
        <w:rPr>
          <w:color w:val="2E414F"/>
          <w:sz w:val="24"/>
          <w:szCs w:val="24"/>
          <w:highlight w:val="white"/>
        </w:rPr>
        <w:t xml:space="preserve">Hatchell, H. (1998). Girls’ Entry into Higher Secondary Sciences. </w:t>
      </w:r>
      <w:r>
        <w:rPr>
          <w:i/>
          <w:color w:val="2E414F"/>
          <w:sz w:val="24"/>
          <w:szCs w:val="24"/>
          <w:highlight w:val="white"/>
        </w:rPr>
        <w:t>Gender and Education</w:t>
      </w:r>
      <w:r>
        <w:rPr>
          <w:color w:val="2E414F"/>
          <w:sz w:val="24"/>
          <w:szCs w:val="24"/>
          <w:highlight w:val="white"/>
        </w:rPr>
        <w:t>, 10(4), pp.375–386. doi:10.1080/09540259820817.</w:t>
      </w:r>
    </w:p>
    <w:p>
      <w:pPr>
        <w:spacing w:line="360" w:lineRule="auto"/>
        <w:rPr>
          <w:color w:val="2E414F"/>
          <w:sz w:val="24"/>
          <w:szCs w:val="24"/>
          <w:highlight w:val="white"/>
        </w:rPr>
      </w:pPr>
      <w:r>
        <w:rPr>
          <w:color w:val="2E414F"/>
          <w:sz w:val="24"/>
          <w:szCs w:val="24"/>
          <w:highlight w:val="white"/>
        </w:rPr>
        <w:t xml:space="preserve">Huffman, D., Lawrenz, F. and Minger, M. (1997). Within-class analysis of ninth-grade science students’ perceptions of the learning environment. </w:t>
      </w:r>
      <w:r>
        <w:rPr>
          <w:i/>
          <w:color w:val="2E414F"/>
          <w:sz w:val="24"/>
          <w:szCs w:val="24"/>
          <w:highlight w:val="white"/>
        </w:rPr>
        <w:t>Journal of Research in Science Teaching</w:t>
      </w:r>
      <w:r>
        <w:rPr>
          <w:color w:val="2E414F"/>
          <w:sz w:val="24"/>
          <w:szCs w:val="24"/>
          <w:highlight w:val="white"/>
        </w:rPr>
        <w:t>, 34(8), pp.791–804. doi:3.0.co;2-q"&gt;10.1002/(sici)1098-2736(199710)34:8&lt;791::aid-tea3&gt;3.0.co;2-q.</w:t>
      </w:r>
    </w:p>
    <w:p>
      <w:pPr>
        <w:spacing w:after="160" w:line="259" w:lineRule="auto"/>
        <w:rPr>
          <w:sz w:val="24"/>
          <w:szCs w:val="24"/>
        </w:rPr>
      </w:pPr>
      <w:r>
        <w:rPr>
          <w:sz w:val="24"/>
          <w:szCs w:val="24"/>
        </w:rPr>
        <w:t xml:space="preserve">Institute of Physics (2018). Why not Physics; A snapshot of girls’ uptake at A Level. Retrieved from </w:t>
      </w:r>
      <w:hyperlink r:id="rId16">
        <w:r>
          <w:rPr>
            <w:color w:val="1155CC"/>
            <w:sz w:val="24"/>
            <w:szCs w:val="24"/>
            <w:u w:val="single"/>
          </w:rPr>
          <w:t>https://www.iop.org/sites/default/files/2018-10/why-not-physics.pdf</w:t>
        </w:r>
      </w:hyperlink>
      <w:r>
        <w:rPr>
          <w:sz w:val="24"/>
          <w:szCs w:val="24"/>
        </w:rPr>
        <w:t xml:space="preserve">  </w:t>
      </w:r>
    </w:p>
    <w:p>
      <w:pPr>
        <w:spacing w:line="360" w:lineRule="auto"/>
        <w:rPr>
          <w:color w:val="2E414F"/>
          <w:sz w:val="24"/>
          <w:szCs w:val="24"/>
          <w:highlight w:val="white"/>
        </w:rPr>
      </w:pPr>
      <w:r>
        <w:rPr>
          <w:sz w:val="24"/>
          <w:szCs w:val="24"/>
        </w:rPr>
        <w:t>Institute of Physics (2019). Closing Doors Exploring gender and subject choice in schools. (2013). [online] Available at: https://www.iop.org/sites/default/files/2019-03/closing-doors.pdf.</w:t>
      </w:r>
    </w:p>
    <w:p>
      <w:pPr>
        <w:spacing w:line="360" w:lineRule="auto"/>
        <w:rPr>
          <w:sz w:val="24"/>
          <w:szCs w:val="24"/>
        </w:rPr>
      </w:pPr>
    </w:p>
    <w:p>
      <w:pPr>
        <w:spacing w:after="160" w:line="259" w:lineRule="auto"/>
        <w:rPr>
          <w:sz w:val="24"/>
          <w:szCs w:val="24"/>
        </w:rPr>
      </w:pPr>
      <w:r>
        <w:rPr>
          <w:sz w:val="24"/>
          <w:szCs w:val="24"/>
        </w:rPr>
        <w:t xml:space="preserve">Joint Council for Qualifications. (2014b). </w:t>
      </w:r>
      <w:r>
        <w:rPr>
          <w:i/>
          <w:sz w:val="24"/>
          <w:szCs w:val="24"/>
        </w:rPr>
        <w:t>Results: 2011</w:t>
      </w:r>
      <w:r>
        <w:rPr>
          <w:sz w:val="24"/>
          <w:szCs w:val="24"/>
        </w:rPr>
        <w:t xml:space="preserve">. Retrieved from </w:t>
      </w:r>
      <w:hyperlink r:id="rId17">
        <w:r>
          <w:rPr>
            <w:color w:val="0563C1"/>
            <w:sz w:val="24"/>
            <w:szCs w:val="24"/>
            <w:u w:val="single"/>
          </w:rPr>
          <w:t>http://www.jcq.org.uk/examination-results/gcses/2014/gcse-and-entry-level-certificate-results-summer-</w:t>
        </w:r>
      </w:hyperlink>
    </w:p>
    <w:p>
      <w:pPr>
        <w:spacing w:line="360" w:lineRule="auto"/>
        <w:rPr>
          <w:sz w:val="24"/>
          <w:szCs w:val="24"/>
        </w:rPr>
      </w:pPr>
      <w:r>
        <w:rPr>
          <w:sz w:val="24"/>
          <w:szCs w:val="24"/>
        </w:rPr>
        <w:t xml:space="preserve">Joint Council for Qualifications. (2021) GCE A Level. [online] Available at: </w:t>
      </w:r>
      <w:hyperlink r:id="rId18">
        <w:r>
          <w:rPr>
            <w:color w:val="1155CC"/>
            <w:sz w:val="24"/>
            <w:szCs w:val="24"/>
            <w:u w:val="single"/>
          </w:rPr>
          <w:t>https://www.jcq.org.uk/wp-content/uploads/2021/08/A-Level-and-AS-Results-Summer-2021-v3.pdf</w:t>
        </w:r>
      </w:hyperlink>
      <w:r>
        <w:rPr>
          <w:sz w:val="24"/>
          <w:szCs w:val="24"/>
        </w:rPr>
        <w:t>.</w:t>
      </w:r>
    </w:p>
    <w:p>
      <w:pPr>
        <w:spacing w:line="360" w:lineRule="auto"/>
        <w:rPr>
          <w:sz w:val="24"/>
          <w:szCs w:val="24"/>
        </w:rPr>
      </w:pPr>
      <w:r>
        <w:rPr>
          <w:sz w:val="24"/>
          <w:szCs w:val="24"/>
        </w:rPr>
        <w:t>Joint Council for Qualifications. (2021) GCSE (Full Course) outcomes by age All specifications at key grades. [online] Available at: https://www.jcq.org.uk/wp-content/uploads/2021/08/GCSE-England-Northern-Ireland-and-Wales-age-breakdowns-Summer-2021.pdf [Accessed 4 Jan. 2023].</w:t>
      </w:r>
    </w:p>
    <w:p>
      <w:pPr>
        <w:spacing w:line="360" w:lineRule="auto"/>
        <w:rPr>
          <w:sz w:val="24"/>
          <w:szCs w:val="24"/>
        </w:rPr>
      </w:pPr>
      <w:r>
        <w:rPr>
          <w:sz w:val="24"/>
          <w:szCs w:val="24"/>
        </w:rPr>
        <w:t>Joint Council for Qualifications. (2021) GCE A Level. [online] Available at: https://www.jcq.org.uk/wp-content/uploads/2021/08/A-Level-and-AS-Results-Summer-2021-v3.pdf.</w:t>
      </w:r>
    </w:p>
    <w:p>
      <w:pPr>
        <w:spacing w:before="240" w:after="240" w:line="259" w:lineRule="auto"/>
        <w:rPr>
          <w:sz w:val="24"/>
          <w:szCs w:val="24"/>
        </w:rPr>
      </w:pPr>
      <w:r>
        <w:rPr>
          <w:sz w:val="24"/>
          <w:szCs w:val="24"/>
        </w:rPr>
        <w:t>‌</w:t>
      </w:r>
    </w:p>
    <w:p>
      <w:pPr>
        <w:spacing w:line="360" w:lineRule="auto"/>
        <w:rPr>
          <w:sz w:val="24"/>
          <w:szCs w:val="24"/>
        </w:rPr>
      </w:pPr>
      <w:r>
        <w:rPr>
          <w:sz w:val="24"/>
          <w:szCs w:val="24"/>
        </w:rPr>
        <w:t xml:space="preserve">Jones, M.G., Howe, A. and Rua, M.J. (2000). Gender differences in students’ experiences, interests, and attitudes toward science and scientists. </w:t>
      </w:r>
      <w:r>
        <w:rPr>
          <w:i/>
          <w:sz w:val="24"/>
          <w:szCs w:val="24"/>
        </w:rPr>
        <w:t>Science Education</w:t>
      </w:r>
      <w:r>
        <w:rPr>
          <w:sz w:val="24"/>
          <w:szCs w:val="24"/>
        </w:rPr>
        <w:t>, 84(2), pp.180–192. doi:3.0.co;2-x"&gt;10.1002/(sici)1098-237x(200003)84:2&lt;180::aid-sce3&gt;3.0.co;2-x.</w:t>
      </w:r>
    </w:p>
    <w:p>
      <w:pPr>
        <w:spacing w:line="360" w:lineRule="auto"/>
        <w:rPr>
          <w:sz w:val="24"/>
          <w:szCs w:val="24"/>
        </w:rPr>
      </w:pPr>
      <w:r>
        <w:rPr>
          <w:sz w:val="24"/>
          <w:szCs w:val="24"/>
        </w:rPr>
        <w:t xml:space="preserve">Jones, J., Porter, A. and Young, D.J. (1996). Perceptions of the relevance of mathematics and science: Further analysis of an Australian longitudinal study. </w:t>
      </w:r>
      <w:r>
        <w:rPr>
          <w:i/>
          <w:sz w:val="24"/>
          <w:szCs w:val="24"/>
        </w:rPr>
        <w:t>Research in Science Education</w:t>
      </w:r>
      <w:r>
        <w:rPr>
          <w:sz w:val="24"/>
          <w:szCs w:val="24"/>
        </w:rPr>
        <w:t>, 26(4), pp.481–494. doi:10.1007/bf02357456.</w:t>
      </w:r>
    </w:p>
    <w:p>
      <w:pPr>
        <w:spacing w:line="360" w:lineRule="auto"/>
        <w:rPr>
          <w:sz w:val="24"/>
          <w:szCs w:val="24"/>
        </w:rPr>
      </w:pPr>
      <w:r>
        <w:rPr>
          <w:sz w:val="24"/>
          <w:szCs w:val="24"/>
        </w:rPr>
        <w:t xml:space="preserve">Jones, J. and Young, D.J. (1995). Perceptions of the relevance of mathematics and science: An Australian study. </w:t>
      </w:r>
      <w:r>
        <w:rPr>
          <w:i/>
          <w:sz w:val="24"/>
          <w:szCs w:val="24"/>
        </w:rPr>
        <w:t>Research in Science Education</w:t>
      </w:r>
      <w:r>
        <w:rPr>
          <w:sz w:val="24"/>
          <w:szCs w:val="24"/>
        </w:rPr>
        <w:t>, [online] 25(1), pp.3–18. doi:10.1007/bf02356456.</w:t>
      </w:r>
    </w:p>
    <w:p>
      <w:pPr>
        <w:spacing w:line="360" w:lineRule="auto"/>
        <w:rPr>
          <w:sz w:val="24"/>
          <w:szCs w:val="24"/>
        </w:rPr>
      </w:pPr>
      <w:r>
        <w:rPr>
          <w:sz w:val="24"/>
          <w:szCs w:val="24"/>
        </w:rPr>
        <w:t xml:space="preserve">Jovanovic, J. and King, S.S. (1998). Boys and Girls in the Performance-Based Science Classroom: Who’s Doing the Performing? </w:t>
      </w:r>
      <w:r>
        <w:rPr>
          <w:i/>
          <w:sz w:val="24"/>
          <w:szCs w:val="24"/>
        </w:rPr>
        <w:t>American Educational Research Journal</w:t>
      </w:r>
      <w:r>
        <w:rPr>
          <w:sz w:val="24"/>
          <w:szCs w:val="24"/>
        </w:rPr>
        <w:t>, 35(3), pp.477–496. doi:10.3102/00028312035003477.</w:t>
      </w:r>
    </w:p>
    <w:p>
      <w:pPr>
        <w:spacing w:line="360" w:lineRule="auto"/>
        <w:rPr>
          <w:sz w:val="24"/>
          <w:szCs w:val="24"/>
        </w:rPr>
      </w:pPr>
      <w:r>
        <w:rPr>
          <w:sz w:val="24"/>
          <w:szCs w:val="24"/>
        </w:rPr>
        <w:t xml:space="preserve">Justman, M. and Méndez, S.J. (2018). Gendered choices of STEM subjects for matriculation are not driven by prior differences in mathematical achievement. </w:t>
      </w:r>
      <w:r>
        <w:rPr>
          <w:i/>
          <w:sz w:val="24"/>
          <w:szCs w:val="24"/>
        </w:rPr>
        <w:t>Economics of Education Review</w:t>
      </w:r>
      <w:r>
        <w:rPr>
          <w:sz w:val="24"/>
          <w:szCs w:val="24"/>
        </w:rPr>
        <w:t>, 64, pp.282–297. doi:10.1016/j.econedurev.2018.02.002.</w:t>
      </w:r>
    </w:p>
    <w:p>
      <w:pPr>
        <w:spacing w:line="360" w:lineRule="auto"/>
        <w:rPr>
          <w:sz w:val="24"/>
          <w:szCs w:val="24"/>
        </w:rPr>
      </w:pPr>
      <w:r>
        <w:rPr>
          <w:sz w:val="24"/>
          <w:szCs w:val="24"/>
        </w:rPr>
        <w:t xml:space="preserve">Kleinman, S.S. (1998). Overview of feminist perspectives on the ideology of science. </w:t>
      </w:r>
      <w:r>
        <w:rPr>
          <w:i/>
          <w:sz w:val="24"/>
          <w:szCs w:val="24"/>
        </w:rPr>
        <w:t>Journal of Research in Science Teaching</w:t>
      </w:r>
      <w:r>
        <w:rPr>
          <w:sz w:val="24"/>
          <w:szCs w:val="24"/>
        </w:rPr>
        <w:t>, 35(8), pp.837–844. doi:3.0.co;2-v"&gt;10.1002/(sici)1098-2736(199810)35:8&lt;837::aid-tea2&gt;3.0.co;2-v.</w:t>
      </w:r>
    </w:p>
    <w:p>
      <w:pPr>
        <w:spacing w:line="360" w:lineRule="auto"/>
        <w:rPr>
          <w:sz w:val="24"/>
          <w:szCs w:val="24"/>
        </w:rPr>
      </w:pPr>
      <w:r>
        <w:rPr>
          <w:sz w:val="24"/>
          <w:szCs w:val="24"/>
        </w:rPr>
        <w:t xml:space="preserve">Krosnick, J.A. and Presser, S. (2010). Question and questionnaire design. In: </w:t>
      </w:r>
      <w:r>
        <w:rPr>
          <w:i/>
          <w:sz w:val="24"/>
          <w:szCs w:val="24"/>
        </w:rPr>
        <w:t>Handbook of Survey Research</w:t>
      </w:r>
      <w:r>
        <w:rPr>
          <w:sz w:val="24"/>
          <w:szCs w:val="24"/>
        </w:rPr>
        <w:t>. Bingley, UK: Emerald Group Publishing Ltd, pp.263–313.</w:t>
      </w:r>
    </w:p>
    <w:p>
      <w:pPr>
        <w:spacing w:line="360" w:lineRule="auto"/>
        <w:rPr>
          <w:sz w:val="24"/>
          <w:szCs w:val="24"/>
        </w:rPr>
      </w:pPr>
      <w:r>
        <w:rPr>
          <w:sz w:val="24"/>
          <w:szCs w:val="24"/>
        </w:rPr>
        <w:t xml:space="preserve">Kumar, R. (2019). </w:t>
      </w:r>
      <w:r>
        <w:rPr>
          <w:i/>
          <w:sz w:val="24"/>
          <w:szCs w:val="24"/>
        </w:rPr>
        <w:t>Research methodology : a step-by-step guide for beginners</w:t>
      </w:r>
      <w:r>
        <w:rPr>
          <w:sz w:val="24"/>
          <w:szCs w:val="24"/>
        </w:rPr>
        <w:t>. 5th ed. Sage.</w:t>
      </w:r>
    </w:p>
    <w:p>
      <w:pPr>
        <w:spacing w:line="360" w:lineRule="auto"/>
        <w:rPr>
          <w:sz w:val="24"/>
          <w:szCs w:val="24"/>
        </w:rPr>
      </w:pPr>
      <w:r>
        <w:rPr>
          <w:sz w:val="24"/>
          <w:szCs w:val="24"/>
        </w:rPr>
        <w:t xml:space="preserve">Lee, V.E. and Burkam, D.T. (1996). Gender differences in middle grade science achievement: Subject domain, ability level, and course emphasis. </w:t>
      </w:r>
      <w:r>
        <w:rPr>
          <w:i/>
          <w:sz w:val="24"/>
          <w:szCs w:val="24"/>
        </w:rPr>
        <w:t>Science Education</w:t>
      </w:r>
      <w:r>
        <w:rPr>
          <w:sz w:val="24"/>
          <w:szCs w:val="24"/>
        </w:rPr>
        <w:t>, 80(6), pp.613–650. doi:3.0.co;2-m"&gt;10.1002/(sici)1098-237x(199611)80:6&lt;613::aid-sce1&gt;3.0.co;2-m.</w:t>
      </w:r>
    </w:p>
    <w:p>
      <w:pPr>
        <w:spacing w:after="160" w:line="259" w:lineRule="auto"/>
        <w:rPr>
          <w:sz w:val="24"/>
          <w:szCs w:val="24"/>
        </w:rPr>
      </w:pPr>
      <w:r>
        <w:rPr>
          <w:sz w:val="24"/>
          <w:szCs w:val="24"/>
        </w:rPr>
        <w:t xml:space="preserve">Likert, R. (1932). </w:t>
      </w:r>
      <w:r>
        <w:rPr>
          <w:i/>
          <w:sz w:val="24"/>
          <w:szCs w:val="24"/>
        </w:rPr>
        <w:t>A technique for the measurement of attitudes, by Rensis Likert. Submitted in Columbia University .</w:t>
      </w:r>
      <w:r>
        <w:rPr>
          <w:sz w:val="24"/>
          <w:szCs w:val="24"/>
        </w:rPr>
        <w:t xml:space="preserve"> New York.</w:t>
      </w:r>
    </w:p>
    <w:p>
      <w:pPr>
        <w:spacing w:line="360" w:lineRule="auto"/>
        <w:rPr>
          <w:sz w:val="24"/>
          <w:szCs w:val="24"/>
        </w:rPr>
      </w:pPr>
      <w:r>
        <w:rPr>
          <w:sz w:val="24"/>
          <w:szCs w:val="24"/>
        </w:rPr>
        <w:t xml:space="preserve">MATTHEWS, B. (1996). Drawing Scientists. </w:t>
      </w:r>
      <w:r>
        <w:rPr>
          <w:i/>
          <w:sz w:val="24"/>
          <w:szCs w:val="24"/>
        </w:rPr>
        <w:t>Gender and Education</w:t>
      </w:r>
      <w:r>
        <w:rPr>
          <w:sz w:val="24"/>
          <w:szCs w:val="24"/>
        </w:rPr>
        <w:t>, 8(2), pp.231–244. doi:10.1080/09540259650038888.</w:t>
      </w:r>
    </w:p>
    <w:p>
      <w:pPr>
        <w:spacing w:line="360" w:lineRule="auto"/>
        <w:rPr>
          <w:sz w:val="24"/>
          <w:szCs w:val="24"/>
        </w:rPr>
      </w:pPr>
      <w:r>
        <w:rPr>
          <w:sz w:val="24"/>
          <w:szCs w:val="24"/>
        </w:rPr>
        <w:t>Miller, P.H., Blessing, J.S., &amp; Schwartz, S. (2006). Gender differences in high-school students’ views about science. International Journal of Science Education, 28, 363 – 381.</w:t>
      </w:r>
    </w:p>
    <w:p>
      <w:pPr>
        <w:spacing w:after="160" w:line="259" w:lineRule="auto"/>
        <w:rPr>
          <w:sz w:val="24"/>
          <w:szCs w:val="24"/>
        </w:rPr>
      </w:pPr>
      <w:r>
        <w:rPr>
          <w:sz w:val="24"/>
          <w:szCs w:val="24"/>
        </w:rPr>
        <w:t xml:space="preserve">Mujtaba T. and Reiss M.J. (2016) “I Fall Asleep in Class … But Physics Is Fascinating”: The Use of Large-Scale Longitudinal Data to Explore the Educational Experiences of Aspiring Girls in Mathematics and Physics, Canadian Journal of Science, Mathematics and Technology Education, 16:4, 313-330, DOI: </w:t>
      </w:r>
      <w:hyperlink r:id="rId19">
        <w:r>
          <w:rPr>
            <w:color w:val="0563C1"/>
            <w:sz w:val="24"/>
            <w:szCs w:val="24"/>
            <w:u w:val="single"/>
          </w:rPr>
          <w:t>10.1080/14926156.2016.1235743</w:t>
        </w:r>
      </w:hyperlink>
    </w:p>
    <w:p>
      <w:pPr>
        <w:spacing w:line="360" w:lineRule="auto"/>
        <w:rPr>
          <w:sz w:val="24"/>
          <w:szCs w:val="24"/>
        </w:rPr>
      </w:pPr>
      <w:r>
        <w:rPr>
          <w:sz w:val="24"/>
          <w:szCs w:val="24"/>
        </w:rPr>
        <w:t>Newton, L.D., &amp; Newton, D.P. (1998). Primary children’s conceptions of science and the scientist: Is the impact of a National Curriculum breaking down the stereotype? International Journal of Science Education,20, 1137 – 1149.</w:t>
      </w:r>
    </w:p>
    <w:p>
      <w:pPr>
        <w:spacing w:after="160" w:line="259" w:lineRule="auto"/>
        <w:rPr>
          <w:sz w:val="24"/>
          <w:szCs w:val="24"/>
        </w:rPr>
      </w:pPr>
      <w:r>
        <w:rPr>
          <w:sz w:val="24"/>
          <w:szCs w:val="24"/>
        </w:rPr>
        <w:t xml:space="preserve">Oppenheim, A. N. (1992) </w:t>
      </w:r>
      <w:r>
        <w:rPr>
          <w:i/>
          <w:sz w:val="24"/>
          <w:szCs w:val="24"/>
        </w:rPr>
        <w:t xml:space="preserve">Questionnaire design, Interviewing and Attitude Measurement. </w:t>
      </w:r>
      <w:r>
        <w:rPr>
          <w:sz w:val="24"/>
          <w:szCs w:val="24"/>
        </w:rPr>
        <w:t xml:space="preserve">London: Pinter Publishers Ltd. </w:t>
      </w:r>
    </w:p>
    <w:p>
      <w:pPr>
        <w:spacing w:line="360" w:lineRule="auto"/>
        <w:rPr>
          <w:sz w:val="24"/>
          <w:szCs w:val="24"/>
        </w:rPr>
      </w:pPr>
      <w:r>
        <w:rPr>
          <w:sz w:val="24"/>
          <w:szCs w:val="24"/>
        </w:rPr>
        <w:t xml:space="preserve">Plucker, J.A. (1996). Secondary science and mathematics teachers and gender equity: Attitudes and attempted interventions. </w:t>
      </w:r>
      <w:r>
        <w:rPr>
          <w:i/>
          <w:sz w:val="24"/>
          <w:szCs w:val="24"/>
        </w:rPr>
        <w:t>Journal of Research in Science Teaching</w:t>
      </w:r>
      <w:r>
        <w:rPr>
          <w:sz w:val="24"/>
          <w:szCs w:val="24"/>
        </w:rPr>
        <w:t>, 33(7), pp.737–751. doi:3.0.co;2-o"&gt;10.1002/(sici)1098-2736(199609)33:7&lt;737::aid-tea3&gt;3.0.co;2-o.</w:t>
      </w:r>
    </w:p>
    <w:p>
      <w:pPr>
        <w:spacing w:after="160" w:line="259" w:lineRule="auto"/>
        <w:rPr>
          <w:sz w:val="24"/>
          <w:szCs w:val="24"/>
        </w:rPr>
      </w:pPr>
      <w:r>
        <w:rPr>
          <w:sz w:val="24"/>
          <w:szCs w:val="24"/>
        </w:rPr>
        <w:t xml:space="preserve">Redline, C. D., Dillman, D. A., Carley-Baxter, L. and Creecy, R. (2002) Factors that influence reading and comprehension in self-administered questionnaires. Paper presented at the Workshop on Item-Nonresponse and Data Quality, Basel Switzerland, 10 October. </w:t>
      </w:r>
    </w:p>
    <w:p>
      <w:pPr>
        <w:spacing w:line="360" w:lineRule="auto"/>
        <w:rPr>
          <w:sz w:val="24"/>
          <w:szCs w:val="24"/>
        </w:rPr>
      </w:pPr>
      <w:r>
        <w:rPr>
          <w:sz w:val="24"/>
          <w:szCs w:val="24"/>
        </w:rPr>
        <w:t>Reid, N. (2003). Gender and physics. International Journal of Science Education, 25, 509 – 536</w:t>
      </w:r>
    </w:p>
    <w:p>
      <w:pPr>
        <w:spacing w:after="160" w:line="259" w:lineRule="auto"/>
        <w:rPr>
          <w:sz w:val="24"/>
          <w:szCs w:val="24"/>
        </w:rPr>
      </w:pPr>
      <w:r>
        <w:rPr>
          <w:sz w:val="24"/>
          <w:szCs w:val="24"/>
        </w:rPr>
        <w:t xml:space="preserve">Schwartz, N., Knauper, B., Rippler, H., Noelle-Neumann, E. and Clark, F. (1991) Rating Scales: numeric values may change the meaning of scale labels. </w:t>
      </w:r>
      <w:r>
        <w:rPr>
          <w:i/>
          <w:sz w:val="24"/>
          <w:szCs w:val="24"/>
        </w:rPr>
        <w:t>Public Opinion Quarterly, 55</w:t>
      </w:r>
      <w:r>
        <w:rPr>
          <w:sz w:val="24"/>
          <w:szCs w:val="24"/>
        </w:rPr>
        <w:t xml:space="preserve"> (4), pp. 570-82. </w:t>
      </w:r>
    </w:p>
    <w:p>
      <w:pPr>
        <w:spacing w:line="360" w:lineRule="auto"/>
        <w:rPr>
          <w:sz w:val="24"/>
          <w:szCs w:val="24"/>
        </w:rPr>
      </w:pPr>
      <w:r>
        <w:rPr>
          <w:sz w:val="24"/>
          <w:szCs w:val="24"/>
        </w:rPr>
        <w:t xml:space="preserve">She, H.-C. (1999). Students’ knowledge construction in small groups in the seventh grade biology laboratory: Verbal communication and physical engagement. </w:t>
      </w:r>
      <w:r>
        <w:rPr>
          <w:i/>
          <w:sz w:val="24"/>
          <w:szCs w:val="24"/>
        </w:rPr>
        <w:t>International Journal of Science Education</w:t>
      </w:r>
      <w:r>
        <w:rPr>
          <w:sz w:val="24"/>
          <w:szCs w:val="24"/>
        </w:rPr>
        <w:t>, 21(10), pp.1051–1066. doi:10.1080/095006999290183.</w:t>
      </w:r>
    </w:p>
    <w:p>
      <w:pPr>
        <w:spacing w:after="160" w:line="259" w:lineRule="auto"/>
        <w:rPr>
          <w:sz w:val="24"/>
          <w:szCs w:val="24"/>
        </w:rPr>
      </w:pPr>
      <w:r>
        <w:rPr>
          <w:sz w:val="24"/>
          <w:szCs w:val="24"/>
        </w:rPr>
        <w:t xml:space="preserve">Strange, V., Forest, S., Oakley, A. and The Ripple Study Team (2003) Using research questionnaires with young people in schools: the influence of social context. </w:t>
      </w:r>
      <w:r>
        <w:rPr>
          <w:i/>
          <w:sz w:val="24"/>
          <w:szCs w:val="24"/>
        </w:rPr>
        <w:t>International Journal of Social Research Methodology</w:t>
      </w:r>
      <w:r>
        <w:rPr>
          <w:sz w:val="24"/>
          <w:szCs w:val="24"/>
        </w:rPr>
        <w:t>, 6 (4), pp.337-46.</w:t>
      </w:r>
    </w:p>
    <w:p>
      <w:pPr>
        <w:spacing w:after="160" w:line="259" w:lineRule="auto"/>
        <w:rPr>
          <w:sz w:val="24"/>
          <w:szCs w:val="24"/>
        </w:rPr>
      </w:pPr>
      <w:r>
        <w:rPr>
          <w:sz w:val="24"/>
          <w:szCs w:val="24"/>
        </w:rPr>
        <w:t xml:space="preserve">Sudman, S. and Bradburn, N. M. (1982) </w:t>
      </w:r>
      <w:r>
        <w:rPr>
          <w:i/>
          <w:sz w:val="24"/>
          <w:szCs w:val="24"/>
        </w:rPr>
        <w:t>Asking Questions: A Practical Guide to Questionnaire Design.</w:t>
      </w:r>
      <w:r>
        <w:rPr>
          <w:sz w:val="24"/>
          <w:szCs w:val="24"/>
        </w:rPr>
        <w:t xml:space="preserve"> San Francisco, CA: Jossey-Bass. </w:t>
      </w:r>
    </w:p>
    <w:p>
      <w:pPr>
        <w:spacing w:after="160" w:line="259" w:lineRule="auto"/>
        <w:rPr>
          <w:sz w:val="24"/>
          <w:szCs w:val="24"/>
        </w:rPr>
      </w:pPr>
      <w:r>
        <w:rPr>
          <w:sz w:val="24"/>
          <w:szCs w:val="24"/>
        </w:rPr>
        <w:t>UWTSD Research Ethics and Integrity Code of Practice (2017).</w:t>
      </w:r>
    </w:p>
    <w:p>
      <w:pPr>
        <w:spacing w:after="160" w:line="259" w:lineRule="auto"/>
        <w:rPr>
          <w:sz w:val="24"/>
          <w:szCs w:val="24"/>
        </w:rPr>
      </w:pPr>
      <w:r>
        <w:rPr>
          <w:sz w:val="24"/>
          <w:szCs w:val="24"/>
        </w:rPr>
        <w:t xml:space="preserve">Weems, G. H., Onwuegbuzie, A. J. and Lustig, D. (2003) Profiles of respondents who respond inconsistently to positively- and negatively- worded items on rating scales. </w:t>
      </w:r>
      <w:r>
        <w:rPr>
          <w:i/>
          <w:sz w:val="24"/>
          <w:szCs w:val="24"/>
        </w:rPr>
        <w:t>Evaluation and Research in Education,</w:t>
      </w:r>
      <w:r>
        <w:rPr>
          <w:sz w:val="24"/>
          <w:szCs w:val="24"/>
        </w:rPr>
        <w:t xml:space="preserve"> 17 (1), pp. 45-60. </w:t>
      </w:r>
    </w:p>
    <w:p>
      <w:pPr>
        <w:spacing w:line="360" w:lineRule="auto"/>
        <w:rPr>
          <w:sz w:val="24"/>
          <w:szCs w:val="24"/>
        </w:rPr>
      </w:pPr>
      <w:r>
        <w:rPr>
          <w:sz w:val="24"/>
          <w:szCs w:val="24"/>
        </w:rPr>
        <w:t xml:space="preserve">Weinburgh, M. (1995). Gender differences in student attitudes toward science: A meta-analysis of the literature from 1970 to 1991. </w:t>
      </w:r>
      <w:r>
        <w:rPr>
          <w:i/>
          <w:sz w:val="24"/>
          <w:szCs w:val="24"/>
        </w:rPr>
        <w:t>Journal of Research in Science Teaching</w:t>
      </w:r>
      <w:r>
        <w:rPr>
          <w:sz w:val="24"/>
          <w:szCs w:val="24"/>
        </w:rPr>
        <w:t>, 32(4), pp.387–398. doi:10.1002/tea.3660320407.</w:t>
      </w:r>
    </w:p>
    <w:p>
      <w:pPr>
        <w:spacing w:line="360" w:lineRule="auto"/>
        <w:rPr>
          <w:sz w:val="24"/>
          <w:szCs w:val="24"/>
        </w:rPr>
      </w:pPr>
      <w:r>
        <w:rPr>
          <w:sz w:val="24"/>
          <w:szCs w:val="24"/>
        </w:rPr>
        <w:t>Welsh Government. (2017).  An introduction to the professional standards for teaching and leadership. Available at: https://hwb.gov.wales/api/storage/932d8940-56f5-4660-aa85-afb4e87560a9/an-introduction-to-the-professional-standards-for-teaching-and-leadership.pdf</w:t>
      </w:r>
    </w:p>
    <w:p>
      <w:pPr>
        <w:spacing w:line="360" w:lineRule="auto"/>
        <w:rPr>
          <w:sz w:val="24"/>
          <w:szCs w:val="24"/>
        </w:rPr>
      </w:pPr>
      <w:r>
        <w:rPr>
          <w:sz w:val="24"/>
          <w:szCs w:val="24"/>
        </w:rPr>
        <w:t xml:space="preserve">Whiteley, P. (1996). The ‘gender fairness’ of integrated science textbooks used in Jamaican high schools. </w:t>
      </w:r>
      <w:r>
        <w:rPr>
          <w:i/>
          <w:sz w:val="24"/>
          <w:szCs w:val="24"/>
        </w:rPr>
        <w:t>International Journal of Science Education</w:t>
      </w:r>
      <w:r>
        <w:rPr>
          <w:sz w:val="24"/>
          <w:szCs w:val="24"/>
        </w:rPr>
        <w:t>, 18(8), pp.969–976. doi:10.1080/0950069960180808.</w:t>
      </w:r>
    </w:p>
    <w:p>
      <w:pPr>
        <w:spacing w:before="240" w:after="240" w:line="360" w:lineRule="auto"/>
        <w:rPr>
          <w:sz w:val="24"/>
          <w:szCs w:val="24"/>
        </w:rPr>
      </w:pPr>
      <w:r>
        <w:rPr>
          <w:sz w:val="24"/>
          <w:szCs w:val="24"/>
        </w:rPr>
        <w:t xml:space="preserve">‌WISE. (2019). </w:t>
      </w:r>
      <w:r>
        <w:rPr>
          <w:i/>
          <w:sz w:val="24"/>
          <w:szCs w:val="24"/>
        </w:rPr>
        <w:t>Analysis of 2019 A Level Core STEM Entrants and Results</w:t>
      </w:r>
      <w:r>
        <w:rPr>
          <w:sz w:val="24"/>
          <w:szCs w:val="24"/>
        </w:rPr>
        <w:t xml:space="preserve">. [online] Available at: </w:t>
      </w:r>
      <w:hyperlink r:id="rId20">
        <w:r>
          <w:rPr>
            <w:color w:val="1155CC"/>
            <w:sz w:val="24"/>
            <w:szCs w:val="24"/>
            <w:u w:val="single"/>
          </w:rPr>
          <w:t>https://www.wisecampaign.org.uk/statistics/analysis-of-2019-a-level-core-stem-entrants-and-results/</w:t>
        </w:r>
      </w:hyperlink>
      <w:r>
        <w:rPr>
          <w:sz w:val="24"/>
          <w:szCs w:val="24"/>
        </w:rPr>
        <w:t>.</w:t>
      </w:r>
    </w:p>
    <w:p>
      <w:pPr>
        <w:spacing w:line="360" w:lineRule="auto"/>
        <w:rPr>
          <w:sz w:val="24"/>
          <w:szCs w:val="24"/>
        </w:rPr>
      </w:pPr>
      <w:r>
        <w:rPr>
          <w:sz w:val="24"/>
          <w:szCs w:val="24"/>
        </w:rPr>
        <w:t xml:space="preserve">WISE. (2020). </w:t>
      </w:r>
      <w:r>
        <w:rPr>
          <w:i/>
          <w:sz w:val="24"/>
          <w:szCs w:val="24"/>
        </w:rPr>
        <w:t>Annual Core-STEM Stats Round Up: 2019-20</w:t>
      </w:r>
      <w:r>
        <w:rPr>
          <w:sz w:val="24"/>
          <w:szCs w:val="24"/>
        </w:rPr>
        <w:t>. [online] Available at: https://www.wisecampaign.org.uk/statistics/annual-core-stem-stats-round-up-2019-20/.</w:t>
      </w:r>
    </w:p>
    <w:p>
      <w:pPr>
        <w:spacing w:line="360" w:lineRule="auto"/>
        <w:rPr>
          <w:sz w:val="24"/>
          <w:szCs w:val="24"/>
        </w:rPr>
      </w:pPr>
      <w:r>
        <w:rPr>
          <w:sz w:val="24"/>
          <w:szCs w:val="24"/>
        </w:rPr>
        <w:t xml:space="preserve">WISE. (2021). </w:t>
      </w:r>
      <w:r>
        <w:rPr>
          <w:i/>
          <w:sz w:val="24"/>
          <w:szCs w:val="24"/>
        </w:rPr>
        <w:t>Analysis of 2021 A-Level Core STEM Entrants</w:t>
      </w:r>
      <w:r>
        <w:rPr>
          <w:sz w:val="24"/>
          <w:szCs w:val="24"/>
        </w:rPr>
        <w:t xml:space="preserve">. [online] Available at: </w:t>
      </w:r>
      <w:hyperlink r:id="rId21">
        <w:r>
          <w:rPr>
            <w:color w:val="1155CC"/>
            <w:sz w:val="24"/>
            <w:szCs w:val="24"/>
            <w:u w:val="single"/>
          </w:rPr>
          <w:t>https://www.wisecampaign.org.uk/analysis-of-2021-a-level-core-stem-entrants/</w:t>
        </w:r>
      </w:hyperlink>
      <w:r>
        <w:rPr>
          <w:sz w:val="24"/>
          <w:szCs w:val="24"/>
        </w:rPr>
        <w:t>.</w:t>
      </w:r>
    </w:p>
    <w:p>
      <w:pPr>
        <w:spacing w:line="360" w:lineRule="auto"/>
        <w:rPr>
          <w:sz w:val="24"/>
          <w:szCs w:val="24"/>
        </w:rPr>
      </w:pPr>
      <w:r>
        <w:rPr>
          <w:sz w:val="24"/>
          <w:szCs w:val="24"/>
        </w:rPr>
        <w:t>WJEC (2013). www.wjec.co.uk. (n.d.). About the WJEC Examination Board. [online] Available at: https://www.wjec.co.uk/home/about-us/#:~:text=As%20Wales [Accessed 7 Mar. 2023].</w:t>
      </w:r>
    </w:p>
    <w:p>
      <w:pPr>
        <w:spacing w:after="160" w:line="259" w:lineRule="auto"/>
        <w:rPr>
          <w:sz w:val="24"/>
          <w:szCs w:val="24"/>
        </w:rPr>
      </w:pPr>
      <w:r>
        <w:rPr>
          <w:sz w:val="24"/>
          <w:szCs w:val="24"/>
        </w:rPr>
        <w:t xml:space="preserve">Youngman, M. B. (1984) Designing Questionnaires. In J. Bell, T. Bush, A. Fox, J. Goodey and S. Goulding (eds) </w:t>
      </w:r>
      <w:r>
        <w:rPr>
          <w:i/>
          <w:sz w:val="24"/>
          <w:szCs w:val="24"/>
        </w:rPr>
        <w:t xml:space="preserve">Conducting Small-Scale Investigations in Educational Management. </w:t>
      </w:r>
      <w:r>
        <w:rPr>
          <w:sz w:val="24"/>
          <w:szCs w:val="24"/>
        </w:rPr>
        <w:t>London: Harper &amp; Row, pp. 156-76.</w:t>
      </w:r>
    </w:p>
    <w:p>
      <w:pPr>
        <w:spacing w:line="360" w:lineRule="auto"/>
        <w:rPr>
          <w:sz w:val="24"/>
          <w:szCs w:val="24"/>
        </w:rPr>
      </w:pPr>
      <w:r>
        <w:rPr>
          <w:sz w:val="24"/>
          <w:szCs w:val="24"/>
        </w:rPr>
        <w:t xml:space="preserve">Zohar, A. and Bronshtein, B. (2005). Physics teachers’ knowledge and beliefs regarding girls’ low participation rates in advanced physics classes. </w:t>
      </w:r>
      <w:r>
        <w:rPr>
          <w:i/>
          <w:sz w:val="24"/>
          <w:szCs w:val="24"/>
        </w:rPr>
        <w:t>International Journal of Science Education</w:t>
      </w:r>
      <w:r>
        <w:rPr>
          <w:sz w:val="24"/>
          <w:szCs w:val="24"/>
        </w:rPr>
        <w:t>, 27(1), pp.61–77. doi:10.1080/0950069032000138798.</w:t>
      </w:r>
    </w:p>
    <w:p>
      <w:pPr>
        <w:spacing w:before="240" w:after="240" w:line="360" w:lineRule="auto"/>
        <w:rPr>
          <w:sz w:val="24"/>
          <w:szCs w:val="24"/>
        </w:rPr>
      </w:pPr>
      <w:r>
        <w:rPr>
          <w:sz w:val="24"/>
          <w:szCs w:val="24"/>
        </w:rPr>
        <w:t>‌</w:t>
      </w:r>
    </w:p>
    <w:p>
      <w:pPr>
        <w:spacing w:line="360" w:lineRule="auto"/>
        <w:rPr>
          <w:sz w:val="24"/>
          <w:szCs w:val="24"/>
        </w:rPr>
      </w:pPr>
    </w:p>
    <w:p>
      <w:pPr>
        <w:spacing w:before="240" w:after="240" w:line="360" w:lineRule="auto"/>
      </w:pPr>
      <w:r>
        <w:rPr>
          <w:sz w:val="24"/>
          <w:szCs w:val="24"/>
        </w:rPr>
        <w:t>‌</w:t>
      </w:r>
      <w:r>
        <w:rPr>
          <w:b/>
          <w:sz w:val="24"/>
          <w:szCs w:val="24"/>
        </w:rPr>
        <w:t xml:space="preserve"> </w:t>
      </w:r>
    </w:p>
    <w:p>
      <w:pPr>
        <w:spacing w:line="240" w:lineRule="auto"/>
        <w:rPr>
          <w:sz w:val="24"/>
          <w:szCs w:val="24"/>
        </w:rPr>
      </w:pPr>
      <w:r>
        <w:rPr>
          <w:b/>
          <w:sz w:val="24"/>
          <w:szCs w:val="24"/>
        </w:rPr>
        <w:t>Chapter 8.</w:t>
      </w:r>
    </w:p>
    <w:p>
      <w:pPr>
        <w:spacing w:line="240" w:lineRule="auto"/>
        <w:rPr>
          <w:b/>
          <w:sz w:val="24"/>
          <w:szCs w:val="24"/>
        </w:rPr>
      </w:pPr>
      <w:r>
        <w:rPr>
          <w:b/>
          <w:sz w:val="24"/>
          <w:szCs w:val="24"/>
        </w:rPr>
        <w:t>APPENDICES</w:t>
      </w:r>
    </w:p>
    <w:p>
      <w:pPr>
        <w:spacing w:line="240" w:lineRule="auto"/>
        <w:rPr>
          <w:b/>
          <w:sz w:val="24"/>
          <w:szCs w:val="24"/>
        </w:rPr>
      </w:pPr>
    </w:p>
    <w:p>
      <w:r>
        <w:t>Appendix 1- Ethics Form</w:t>
      </w:r>
    </w:p>
    <w:p>
      <w:r>
        <w:t>Appendix 2- Declaration Form</w:t>
      </w:r>
    </w:p>
    <w:p>
      <w:r>
        <w:t>Appendix 3- Supervision Record</w:t>
      </w:r>
    </w:p>
    <w:p>
      <w:r>
        <w:t>Appendix 4- Key Stage 4 Questionnaire</w:t>
      </w:r>
    </w:p>
    <w:p>
      <w:r>
        <w:t>Appendix 5- Key Stage 5 Questionnaire</w:t>
      </w:r>
    </w:p>
    <w:p>
      <w:r>
        <w:t>Appendix 6- Key Stage 4 Focus group questions</w:t>
      </w:r>
    </w:p>
    <w:p>
      <w:r>
        <w:t>Appendix 7- Key Stage 5 Focus group questions</w:t>
      </w:r>
    </w:p>
    <w:p>
      <w:r>
        <w:t>Appendix 8- Questionnaire consent forms</w:t>
      </w:r>
    </w:p>
    <w:p>
      <w:r>
        <w:t xml:space="preserve">Appendix 9- Focus group consent forms </w:t>
      </w:r>
    </w:p>
    <w:p/>
    <w:p>
      <w:pPr>
        <w:rPr>
          <w:b/>
        </w:rPr>
      </w:pPr>
      <w:r>
        <w:rPr>
          <w:b/>
        </w:rPr>
        <w:t>Appendix 1</w:t>
      </w:r>
    </w:p>
    <w:p>
      <w:pPr>
        <w:tabs>
          <w:tab w:val="left" w:pos="5103"/>
        </w:tabs>
        <w:spacing w:line="240" w:lineRule="auto"/>
        <w:jc w:val="center"/>
        <w:rPr>
          <w:b/>
          <w:sz w:val="24"/>
          <w:szCs w:val="24"/>
        </w:rPr>
      </w:pPr>
      <w:r>
        <w:rPr>
          <w:b/>
          <w:sz w:val="24"/>
          <w:szCs w:val="24"/>
        </w:rPr>
        <w:t>APPLICATION FOR ETHICAL APPROVAL</w:t>
      </w:r>
    </w:p>
    <w:p>
      <w:pPr>
        <w:tabs>
          <w:tab w:val="left" w:pos="5103"/>
        </w:tabs>
        <w:spacing w:line="240" w:lineRule="auto"/>
        <w:ind w:right="282"/>
        <w:jc w:val="center"/>
        <w:rPr>
          <w:b/>
          <w:sz w:val="20"/>
          <w:szCs w:val="20"/>
        </w:rPr>
      </w:pPr>
    </w:p>
    <w:p>
      <w:pPr>
        <w:tabs>
          <w:tab w:val="left" w:pos="5103"/>
        </w:tabs>
        <w:spacing w:line="240" w:lineRule="auto"/>
        <w:ind w:right="282"/>
        <w:jc w:val="both"/>
        <w:rPr>
          <w:b/>
        </w:rPr>
      </w:pPr>
      <w:r>
        <w:rPr>
          <w:b/>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spacing w:line="240" w:lineRule="auto"/>
        <w:ind w:right="282"/>
        <w:jc w:val="center"/>
        <w:rPr>
          <w:b/>
          <w:sz w:val="16"/>
          <w:szCs w:val="16"/>
        </w:rPr>
      </w:pPr>
    </w:p>
    <w:p>
      <w:pPr>
        <w:tabs>
          <w:tab w:val="left" w:pos="5103"/>
        </w:tabs>
        <w:spacing w:line="240" w:lineRule="auto"/>
        <w:ind w:right="282"/>
        <w:jc w:val="both"/>
      </w:pPr>
      <w:r>
        <w:t xml:space="preserve">The University follows the OECD Frascati manual definition of </w:t>
      </w:r>
      <w:r>
        <w:rPr>
          <w:b/>
        </w:rPr>
        <w:t>research activity</w:t>
      </w:r>
      <w: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spacing w:line="240" w:lineRule="auto"/>
        <w:ind w:right="282"/>
        <w:jc w:val="both"/>
      </w:pPr>
    </w:p>
    <w:p>
      <w:pPr>
        <w:tabs>
          <w:tab w:val="left" w:pos="5103"/>
        </w:tabs>
        <w:spacing w:line="240" w:lineRule="auto"/>
        <w:ind w:right="282"/>
        <w:jc w:val="both"/>
      </w:pPr>
      <w:r>
        <w:t>The individual undertaking the research activity is known as the “principal researcher”.</w:t>
      </w:r>
    </w:p>
    <w:p>
      <w:pPr>
        <w:tabs>
          <w:tab w:val="left" w:pos="5103"/>
        </w:tabs>
        <w:spacing w:line="240" w:lineRule="auto"/>
        <w:ind w:right="282"/>
        <w:jc w:val="both"/>
      </w:pPr>
    </w:p>
    <w:p>
      <w:pPr>
        <w:tabs>
          <w:tab w:val="left" w:pos="5103"/>
        </w:tabs>
        <w:spacing w:line="240" w:lineRule="auto"/>
        <w:ind w:right="282"/>
        <w:jc w:val="both"/>
      </w:pPr>
      <w:r>
        <w:t>Ethical approval is not required for routine audits, performance reviews, quality assurance studies, testing within normal educational requirements, and literary or artistic criticism.</w:t>
      </w:r>
    </w:p>
    <w:p>
      <w:pPr>
        <w:tabs>
          <w:tab w:val="left" w:pos="5103"/>
        </w:tabs>
        <w:spacing w:line="240" w:lineRule="auto"/>
        <w:ind w:right="282"/>
        <w:jc w:val="both"/>
      </w:pPr>
    </w:p>
    <w:p>
      <w:pPr>
        <w:tabs>
          <w:tab w:val="left" w:pos="5103"/>
        </w:tabs>
        <w:spacing w:line="240" w:lineRule="auto"/>
        <w:ind w:right="282"/>
        <w:jc w:val="both"/>
        <w:rPr>
          <w:b/>
        </w:rPr>
      </w:pPr>
      <w:r>
        <w:rPr>
          <w:b/>
        </w:rPr>
        <w:t>Please read the notes for guidance before completing ALL sections of the form.</w:t>
      </w:r>
    </w:p>
    <w:p>
      <w:pPr>
        <w:spacing w:line="240" w:lineRule="auto"/>
        <w:jc w:val="both"/>
      </w:pPr>
    </w:p>
    <w:p>
      <w:pPr>
        <w:spacing w:line="240" w:lineRule="auto"/>
        <w:jc w:val="both"/>
      </w:pPr>
      <w:r>
        <w:rPr>
          <w:b/>
        </w:rPr>
        <w:t>This form</w:t>
      </w:r>
      <w:r>
        <w:t xml:space="preserve"> </w:t>
      </w:r>
      <w:r>
        <w:rPr>
          <w:b/>
        </w:rPr>
        <w:t>must be completed and approved prior to undertaking any research activity.</w:t>
      </w:r>
      <w:r>
        <w:t xml:space="preserve"> Please see Checklist for details of process for different categories of application.  </w:t>
      </w:r>
    </w:p>
    <w:p>
      <w:pPr>
        <w:spacing w:line="240" w:lineRule="auto"/>
        <w:jc w:val="both"/>
      </w:pPr>
    </w:p>
    <w:p>
      <w:pPr>
        <w:spacing w:line="240" w:lineRule="auto"/>
        <w:jc w:val="both"/>
      </w:pPr>
    </w:p>
    <w:p>
      <w:pPr>
        <w:spacing w:line="240" w:lineRule="auto"/>
        <w:jc w:val="both"/>
        <w:rPr>
          <w:b/>
        </w:rPr>
      </w:pPr>
      <w:r>
        <w:rPr>
          <w:b/>
        </w:rPr>
        <w:t>SECTION A: About You (Principal Researcher)</w:t>
      </w:r>
    </w:p>
    <w:p>
      <w:pPr>
        <w:spacing w:line="240" w:lineRule="auto"/>
        <w:rPr>
          <w:sz w:val="16"/>
          <w:szCs w:val="16"/>
        </w:rPr>
      </w:pPr>
    </w:p>
    <w:tbl>
      <w:tblPr>
        <w:tblStyle w:val="aff9"/>
        <w:tblW w:w="9889" w:type="dxa"/>
        <w:tblInd w:w="-1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951"/>
        <w:gridCol w:w="1276"/>
        <w:gridCol w:w="283"/>
        <w:gridCol w:w="1418"/>
        <w:gridCol w:w="992"/>
        <w:gridCol w:w="3119"/>
        <w:gridCol w:w="850"/>
      </w:tblGrid>
      <w:tr>
        <w:trPr>
          <w:trHeight w:val="439"/>
        </w:trPr>
        <w:tc>
          <w:tcPr>
            <w:tcW w:w="3510" w:type="dxa"/>
            <w:gridSpan w:val="3"/>
            <w:shd w:val="clear" w:color="auto" w:fill="F2F2F2"/>
          </w:tcPr>
          <w:p>
            <w:pPr>
              <w:spacing w:line="240" w:lineRule="auto"/>
            </w:pPr>
            <w:r>
              <w:t>Full Name:</w:t>
            </w:r>
          </w:p>
        </w:tc>
        <w:tc>
          <w:tcPr>
            <w:tcW w:w="6379" w:type="dxa"/>
            <w:gridSpan w:val="4"/>
          </w:tcPr>
          <w:p>
            <w:pPr>
              <w:spacing w:line="240" w:lineRule="auto"/>
            </w:pPr>
            <w:r>
              <w:t>Aimee Jayne Stratton Williams</w:t>
            </w:r>
          </w:p>
        </w:tc>
      </w:tr>
      <w:tr>
        <w:tc>
          <w:tcPr>
            <w:tcW w:w="9889" w:type="dxa"/>
            <w:gridSpan w:val="7"/>
          </w:tcPr>
          <w:p>
            <w:pPr>
              <w:spacing w:line="240" w:lineRule="auto"/>
            </w:pPr>
            <w:r>
              <w:t>Tick all boxes which apply:</w:t>
            </w:r>
          </w:p>
        </w:tc>
      </w:tr>
      <w:tr>
        <w:trPr>
          <w:trHeight w:val="472"/>
        </w:trPr>
        <w:tc>
          <w:tcPr>
            <w:tcW w:w="1951" w:type="dxa"/>
            <w:shd w:val="clear" w:color="auto" w:fill="F2F2F2"/>
            <w:vAlign w:val="center"/>
          </w:tcPr>
          <w:p>
            <w:pPr>
              <w:spacing w:line="240" w:lineRule="auto"/>
              <w:jc w:val="center"/>
            </w:pPr>
            <w:r>
              <w:t>Member of staff:</w:t>
            </w:r>
          </w:p>
        </w:tc>
        <w:tc>
          <w:tcPr>
            <w:tcW w:w="1276" w:type="dxa"/>
            <w:shd w:val="clear" w:color="auto" w:fill="BFBFBF"/>
            <w:vAlign w:val="center"/>
          </w:tcPr>
          <w:p>
            <w:pPr>
              <w:spacing w:line="240" w:lineRule="auto"/>
              <w:jc w:val="center"/>
            </w:pPr>
            <w:r>
              <w:rPr>
                <w:rFonts w:ascii="MS Gothic" w:eastAsia="MS Gothic" w:hAnsi="MS Gothic" w:cs="MS Gothic"/>
              </w:rPr>
              <w:t>☐</w:t>
            </w:r>
          </w:p>
        </w:tc>
        <w:tc>
          <w:tcPr>
            <w:tcW w:w="1701" w:type="dxa"/>
            <w:gridSpan w:val="2"/>
            <w:shd w:val="clear" w:color="auto" w:fill="F2F2F2"/>
            <w:vAlign w:val="center"/>
          </w:tcPr>
          <w:p>
            <w:pPr>
              <w:spacing w:line="240" w:lineRule="auto"/>
              <w:jc w:val="center"/>
            </w:pPr>
            <w:r>
              <w:t>Student:</w:t>
            </w:r>
          </w:p>
        </w:tc>
        <w:tc>
          <w:tcPr>
            <w:tcW w:w="992" w:type="dxa"/>
            <w:shd w:val="clear" w:color="auto" w:fill="BFBFBF"/>
            <w:vAlign w:val="center"/>
          </w:tcPr>
          <w:p>
            <w:pPr>
              <w:spacing w:line="240" w:lineRule="auto"/>
              <w:jc w:val="center"/>
            </w:pPr>
            <w:r>
              <w:t>X</w:t>
            </w:r>
            <w:r>
              <w:rPr>
                <w:rFonts w:ascii="MS Gothic" w:eastAsia="MS Gothic" w:hAnsi="MS Gothic" w:cs="MS Gothic"/>
              </w:rPr>
              <w:t>☐</w:t>
            </w:r>
          </w:p>
        </w:tc>
        <w:tc>
          <w:tcPr>
            <w:tcW w:w="3119" w:type="dxa"/>
            <w:shd w:val="clear" w:color="auto" w:fill="F2F2F2"/>
            <w:vAlign w:val="center"/>
          </w:tcPr>
          <w:p>
            <w:pPr>
              <w:spacing w:line="240" w:lineRule="auto"/>
              <w:jc w:val="center"/>
            </w:pPr>
            <w:r>
              <w:t>Honorary research fellow:</w:t>
            </w:r>
          </w:p>
        </w:tc>
        <w:tc>
          <w:tcPr>
            <w:tcW w:w="850" w:type="dxa"/>
            <w:shd w:val="clear" w:color="auto" w:fill="BFBFBF"/>
            <w:vAlign w:val="center"/>
          </w:tcPr>
          <w:p>
            <w:pPr>
              <w:spacing w:line="240" w:lineRule="auto"/>
              <w:jc w:val="center"/>
            </w:pPr>
            <w:r>
              <w:rPr>
                <w:rFonts w:ascii="MS Gothic" w:eastAsia="MS Gothic" w:hAnsi="MS Gothic" w:cs="MS Gothic"/>
              </w:rPr>
              <w:t>☐</w:t>
            </w:r>
          </w:p>
        </w:tc>
      </w:tr>
    </w:tbl>
    <w:p>
      <w:pPr>
        <w:spacing w:line="240" w:lineRule="auto"/>
        <w:rPr>
          <w:sz w:val="16"/>
          <w:szCs w:val="16"/>
        </w:rPr>
      </w:pPr>
    </w:p>
    <w:tbl>
      <w:tblPr>
        <w:tblStyle w:val="affa"/>
        <w:tblW w:w="9889" w:type="dxa"/>
        <w:tblInd w:w="-1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3510"/>
        <w:gridCol w:w="3969"/>
        <w:gridCol w:w="1701"/>
        <w:gridCol w:w="709"/>
      </w:tblGrid>
      <w:tr>
        <w:trPr>
          <w:cantSplit/>
          <w:trHeight w:val="334"/>
        </w:trPr>
        <w:tc>
          <w:tcPr>
            <w:tcW w:w="3510" w:type="dxa"/>
            <w:shd w:val="clear" w:color="auto" w:fill="F2F2F2"/>
          </w:tcPr>
          <w:p>
            <w:pPr>
              <w:spacing w:line="240" w:lineRule="auto"/>
            </w:pPr>
            <w:r>
              <w:t>Faculty/School/Centre:</w:t>
            </w:r>
          </w:p>
        </w:tc>
        <w:tc>
          <w:tcPr>
            <w:tcW w:w="6379" w:type="dxa"/>
            <w:gridSpan w:val="3"/>
          </w:tcPr>
          <w:p>
            <w:pPr>
              <w:spacing w:line="240" w:lineRule="auto"/>
            </w:pPr>
            <w:r>
              <w:t>Yr Athrofa</w:t>
            </w:r>
          </w:p>
        </w:tc>
      </w:tr>
      <w:tr>
        <w:trPr>
          <w:cantSplit/>
          <w:trHeight w:val="340"/>
        </w:trPr>
        <w:tc>
          <w:tcPr>
            <w:tcW w:w="3510" w:type="dxa"/>
            <w:shd w:val="clear" w:color="auto" w:fill="F2F2F2"/>
          </w:tcPr>
          <w:p>
            <w:pPr>
              <w:spacing w:line="240" w:lineRule="auto"/>
            </w:pPr>
            <w:r>
              <w:t>Campus:</w:t>
            </w:r>
          </w:p>
        </w:tc>
        <w:tc>
          <w:tcPr>
            <w:tcW w:w="6379" w:type="dxa"/>
            <w:gridSpan w:val="3"/>
          </w:tcPr>
          <w:p>
            <w:pPr>
              <w:spacing w:line="240" w:lineRule="auto"/>
            </w:pPr>
            <w:r>
              <w:t>Swansea Campus</w:t>
            </w:r>
          </w:p>
        </w:tc>
      </w:tr>
      <w:tr>
        <w:trPr>
          <w:cantSplit/>
          <w:trHeight w:val="340"/>
        </w:trPr>
        <w:tc>
          <w:tcPr>
            <w:tcW w:w="3510" w:type="dxa"/>
            <w:shd w:val="clear" w:color="auto" w:fill="F2F2F2"/>
          </w:tcPr>
          <w:p>
            <w:pPr>
              <w:spacing w:line="240" w:lineRule="auto"/>
            </w:pPr>
            <w:r>
              <w:t>E-mail address:</w:t>
            </w:r>
          </w:p>
        </w:tc>
        <w:tc>
          <w:tcPr>
            <w:tcW w:w="6379" w:type="dxa"/>
            <w:gridSpan w:val="3"/>
          </w:tcPr>
          <w:p>
            <w:pPr>
              <w:spacing w:line="240" w:lineRule="auto"/>
            </w:pPr>
            <w:r>
              <w:t>kwilliams.137026@student.uwtsd.ac.uk</w:t>
            </w:r>
          </w:p>
        </w:tc>
      </w:tr>
      <w:tr>
        <w:trPr>
          <w:cantSplit/>
          <w:trHeight w:val="340"/>
        </w:trPr>
        <w:tc>
          <w:tcPr>
            <w:tcW w:w="3510" w:type="dxa"/>
            <w:shd w:val="clear" w:color="auto" w:fill="F2F2F2"/>
          </w:tcPr>
          <w:p>
            <w:pPr>
              <w:spacing w:line="240" w:lineRule="auto"/>
            </w:pPr>
            <w:r>
              <w:t>Contact Telephone Number:</w:t>
            </w:r>
          </w:p>
        </w:tc>
        <w:tc>
          <w:tcPr>
            <w:tcW w:w="6379" w:type="dxa"/>
            <w:gridSpan w:val="3"/>
          </w:tcPr>
          <w:p>
            <w:pPr>
              <w:spacing w:line="240" w:lineRule="auto"/>
            </w:pPr>
            <w:r>
              <w:t>07581255429</w:t>
            </w:r>
          </w:p>
        </w:tc>
      </w:tr>
      <w:tr>
        <w:tc>
          <w:tcPr>
            <w:tcW w:w="9889" w:type="dxa"/>
            <w:gridSpan w:val="4"/>
          </w:tcPr>
          <w:p>
            <w:pPr>
              <w:spacing w:line="240" w:lineRule="auto"/>
            </w:pPr>
            <w:r>
              <w:rPr>
                <w:b/>
                <w:i/>
              </w:rPr>
              <w:t>For students:</w:t>
            </w:r>
          </w:p>
        </w:tc>
      </w:tr>
      <w:tr>
        <w:trPr>
          <w:trHeight w:val="513"/>
        </w:trPr>
        <w:tc>
          <w:tcPr>
            <w:tcW w:w="3510" w:type="dxa"/>
            <w:shd w:val="clear" w:color="auto" w:fill="F2F2F2"/>
            <w:vAlign w:val="center"/>
          </w:tcPr>
          <w:p>
            <w:pPr>
              <w:spacing w:line="240" w:lineRule="auto"/>
            </w:pPr>
            <w:r>
              <w:t>Student Number:</w:t>
            </w:r>
          </w:p>
        </w:tc>
        <w:tc>
          <w:tcPr>
            <w:tcW w:w="3969" w:type="dxa"/>
            <w:vAlign w:val="center"/>
          </w:tcPr>
          <w:p>
            <w:pPr>
              <w:spacing w:line="240" w:lineRule="auto"/>
            </w:pPr>
            <w:r>
              <w:t>137026</w:t>
            </w:r>
          </w:p>
        </w:tc>
        <w:tc>
          <w:tcPr>
            <w:tcW w:w="1701" w:type="dxa"/>
            <w:vAlign w:val="center"/>
          </w:tcPr>
          <w:p>
            <w:pPr>
              <w:spacing w:line="240" w:lineRule="auto"/>
              <w:jc w:val="center"/>
            </w:pPr>
            <w:r>
              <w:t>Undergraduate</w:t>
            </w:r>
          </w:p>
        </w:tc>
        <w:tc>
          <w:tcPr>
            <w:tcW w:w="709" w:type="dxa"/>
            <w:shd w:val="clear" w:color="auto" w:fill="BFBFBF"/>
            <w:vAlign w:val="center"/>
          </w:tcPr>
          <w:p>
            <w:pPr>
              <w:spacing w:line="240" w:lineRule="auto"/>
              <w:jc w:val="center"/>
            </w:pPr>
            <w:r>
              <w:rPr>
                <w:rFonts w:ascii="MS Gothic" w:eastAsia="MS Gothic" w:hAnsi="MS Gothic" w:cs="MS Gothic"/>
              </w:rPr>
              <w:t>☐</w:t>
            </w:r>
          </w:p>
        </w:tc>
      </w:tr>
      <w:tr>
        <w:trPr>
          <w:trHeight w:val="549"/>
        </w:trPr>
        <w:tc>
          <w:tcPr>
            <w:tcW w:w="3510" w:type="dxa"/>
            <w:shd w:val="clear" w:color="auto" w:fill="F2F2F2"/>
            <w:vAlign w:val="center"/>
          </w:tcPr>
          <w:p>
            <w:pPr>
              <w:spacing w:line="240" w:lineRule="auto"/>
            </w:pPr>
            <w:r>
              <w:t>Programme of Study:</w:t>
            </w:r>
          </w:p>
        </w:tc>
        <w:tc>
          <w:tcPr>
            <w:tcW w:w="3969" w:type="dxa"/>
            <w:vAlign w:val="center"/>
          </w:tcPr>
          <w:p>
            <w:pPr>
              <w:spacing w:line="240" w:lineRule="auto"/>
            </w:pPr>
            <w:r>
              <w:t>MA Education</w:t>
            </w:r>
          </w:p>
        </w:tc>
        <w:tc>
          <w:tcPr>
            <w:tcW w:w="1701" w:type="dxa"/>
            <w:vAlign w:val="center"/>
          </w:tcPr>
          <w:p>
            <w:pPr>
              <w:spacing w:line="240" w:lineRule="auto"/>
              <w:jc w:val="center"/>
            </w:pPr>
            <w:r>
              <w:t>Taught Postgraduate</w:t>
            </w:r>
          </w:p>
        </w:tc>
        <w:tc>
          <w:tcPr>
            <w:tcW w:w="709" w:type="dxa"/>
            <w:shd w:val="clear" w:color="auto" w:fill="BFBFBF"/>
            <w:vAlign w:val="center"/>
          </w:tcPr>
          <w:p>
            <w:pPr>
              <w:spacing w:line="240" w:lineRule="auto"/>
              <w:jc w:val="center"/>
            </w:pPr>
            <w:r>
              <w:t>X</w:t>
            </w:r>
            <w:r>
              <w:rPr>
                <w:rFonts w:ascii="MS Gothic" w:eastAsia="MS Gothic" w:hAnsi="MS Gothic" w:cs="MS Gothic"/>
              </w:rPr>
              <w:t>☐</w:t>
            </w:r>
          </w:p>
        </w:tc>
      </w:tr>
      <w:tr>
        <w:trPr>
          <w:trHeight w:val="557"/>
        </w:trPr>
        <w:tc>
          <w:tcPr>
            <w:tcW w:w="3510" w:type="dxa"/>
            <w:shd w:val="clear" w:color="auto" w:fill="F2F2F2"/>
            <w:vAlign w:val="center"/>
          </w:tcPr>
          <w:p>
            <w:pPr>
              <w:spacing w:line="240" w:lineRule="auto"/>
            </w:pPr>
            <w:r>
              <w:t>Director of Studies/Supervisor:</w:t>
            </w:r>
          </w:p>
        </w:tc>
        <w:tc>
          <w:tcPr>
            <w:tcW w:w="3969" w:type="dxa"/>
            <w:vAlign w:val="center"/>
          </w:tcPr>
          <w:p>
            <w:pPr>
              <w:spacing w:line="240" w:lineRule="auto"/>
            </w:pPr>
            <w:r>
              <w:t>Lesley Morgan</w:t>
            </w:r>
          </w:p>
        </w:tc>
        <w:tc>
          <w:tcPr>
            <w:tcW w:w="1701" w:type="dxa"/>
            <w:vAlign w:val="center"/>
          </w:tcPr>
          <w:p>
            <w:pPr>
              <w:spacing w:line="240" w:lineRule="auto"/>
              <w:jc w:val="center"/>
            </w:pPr>
            <w:r>
              <w:t>Research</w:t>
            </w:r>
          </w:p>
        </w:tc>
        <w:tc>
          <w:tcPr>
            <w:tcW w:w="709" w:type="dxa"/>
            <w:shd w:val="clear" w:color="auto" w:fill="BFBFBF"/>
            <w:vAlign w:val="center"/>
          </w:tcPr>
          <w:p>
            <w:pPr>
              <w:spacing w:line="240" w:lineRule="auto"/>
              <w:jc w:val="center"/>
            </w:pPr>
            <w:r>
              <w:rPr>
                <w:rFonts w:ascii="MS Gothic" w:eastAsia="MS Gothic" w:hAnsi="MS Gothic" w:cs="MS Gothic"/>
              </w:rPr>
              <w:t>☐</w:t>
            </w:r>
          </w:p>
        </w:tc>
      </w:tr>
    </w:tbl>
    <w:p>
      <w:pPr>
        <w:spacing w:line="240" w:lineRule="auto"/>
        <w:rPr>
          <w:sz w:val="20"/>
          <w:szCs w:val="20"/>
        </w:rPr>
      </w:pPr>
    </w:p>
    <w:p>
      <w:pPr>
        <w:spacing w:line="240" w:lineRule="auto"/>
        <w:jc w:val="both"/>
        <w:rPr>
          <w:b/>
        </w:rPr>
      </w:pPr>
      <w:r>
        <w:rPr>
          <w:b/>
        </w:rPr>
        <w:t>SECTION B: Approval for Research Activity</w:t>
      </w:r>
    </w:p>
    <w:p>
      <w:pPr>
        <w:spacing w:line="240" w:lineRule="auto"/>
        <w:jc w:val="both"/>
        <w:rPr>
          <w:b/>
          <w:sz w:val="16"/>
          <w:szCs w:val="16"/>
        </w:rPr>
      </w:pPr>
    </w:p>
    <w:tbl>
      <w:tblPr>
        <w:tblStyle w:val="affb"/>
        <w:tblW w:w="9918"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693"/>
        <w:gridCol w:w="3815"/>
        <w:gridCol w:w="709"/>
        <w:gridCol w:w="567"/>
        <w:gridCol w:w="567"/>
        <w:gridCol w:w="567"/>
      </w:tblGrid>
      <w:tr>
        <w:tc>
          <w:tcPr>
            <w:tcW w:w="7508" w:type="dxa"/>
            <w:gridSpan w:val="2"/>
            <w:shd w:val="clear" w:color="auto" w:fill="F2F2F2"/>
            <w:vAlign w:val="center"/>
          </w:tcPr>
          <w:p>
            <w:pPr>
              <w:spacing w:line="240" w:lineRule="auto"/>
            </w:pPr>
            <w:r>
              <w:t>Has the research activity received approval in principle?</w:t>
            </w:r>
          </w:p>
          <w:p>
            <w:pPr>
              <w:spacing w:line="240" w:lineRule="auto"/>
            </w:pPr>
            <w:r>
              <w:t>(please check the Guidance Notes as to the appropriate approval process for different levels of research by different categories of individual)</w:t>
            </w:r>
          </w:p>
        </w:tc>
        <w:tc>
          <w:tcPr>
            <w:tcW w:w="709" w:type="dxa"/>
            <w:shd w:val="clear" w:color="auto" w:fill="F2F2F2"/>
            <w:vAlign w:val="center"/>
          </w:tcPr>
          <w:p>
            <w:pPr>
              <w:spacing w:line="240" w:lineRule="auto"/>
              <w:jc w:val="center"/>
            </w:pPr>
            <w:r>
              <w:t>YES</w:t>
            </w:r>
          </w:p>
        </w:tc>
        <w:tc>
          <w:tcPr>
            <w:tcW w:w="567" w:type="dxa"/>
            <w:shd w:val="clear" w:color="auto" w:fill="BFBFBF"/>
            <w:vAlign w:val="center"/>
          </w:tcPr>
          <w:p>
            <w:pPr>
              <w:spacing w:line="240" w:lineRule="auto"/>
              <w:jc w:val="center"/>
            </w:pPr>
            <w:r>
              <w:t>X</w:t>
            </w:r>
            <w:r>
              <w:rPr>
                <w:rFonts w:ascii="MS Gothic" w:eastAsia="MS Gothic" w:hAnsi="MS Gothic" w:cs="MS Gothic"/>
              </w:rPr>
              <w:t>☐</w:t>
            </w:r>
          </w:p>
        </w:tc>
        <w:tc>
          <w:tcPr>
            <w:tcW w:w="567" w:type="dxa"/>
            <w:shd w:val="clear" w:color="auto" w:fill="F2F2F2"/>
            <w:vAlign w:val="center"/>
          </w:tcPr>
          <w:p>
            <w:pPr>
              <w:spacing w:line="240" w:lineRule="auto"/>
              <w:jc w:val="center"/>
            </w:pPr>
            <w:r>
              <w:t>NO</w:t>
            </w:r>
          </w:p>
        </w:tc>
        <w:tc>
          <w:tcPr>
            <w:tcW w:w="567" w:type="dxa"/>
            <w:shd w:val="clear" w:color="auto" w:fill="BFBFBF"/>
            <w:vAlign w:val="center"/>
          </w:tcPr>
          <w:p>
            <w:pPr>
              <w:spacing w:line="240" w:lineRule="auto"/>
              <w:jc w:val="center"/>
            </w:pPr>
            <w:r>
              <w:rPr>
                <w:rFonts w:ascii="MS Gothic" w:eastAsia="MS Gothic" w:hAnsi="MS Gothic" w:cs="MS Gothic"/>
              </w:rPr>
              <w:t>☐</w:t>
            </w:r>
          </w:p>
        </w:tc>
      </w:tr>
      <w:tr>
        <w:tc>
          <w:tcPr>
            <w:tcW w:w="8784" w:type="dxa"/>
            <w:gridSpan w:val="4"/>
          </w:tcPr>
          <w:p>
            <w:pPr>
              <w:spacing w:line="240" w:lineRule="auto"/>
              <w:jc w:val="right"/>
              <w:rPr>
                <w:b/>
              </w:rPr>
            </w:pPr>
            <w:r>
              <w:rPr>
                <w:b/>
              </w:rPr>
              <w:t xml:space="preserve">     </w:t>
            </w:r>
          </w:p>
        </w:tc>
        <w:tc>
          <w:tcPr>
            <w:tcW w:w="1134" w:type="dxa"/>
            <w:gridSpan w:val="2"/>
          </w:tcPr>
          <w:p>
            <w:pPr>
              <w:spacing w:line="240" w:lineRule="auto"/>
              <w:jc w:val="center"/>
              <w:rPr>
                <w:b/>
                <w:i/>
              </w:rPr>
            </w:pPr>
            <w:r>
              <w:rPr>
                <w:b/>
                <w:i/>
              </w:rPr>
              <w:t>Date</w:t>
            </w:r>
          </w:p>
        </w:tc>
      </w:tr>
      <w:tr>
        <w:trPr>
          <w:trHeight w:val="437"/>
        </w:trPr>
        <w:tc>
          <w:tcPr>
            <w:tcW w:w="3693" w:type="dxa"/>
            <w:vMerge w:val="restart"/>
            <w:shd w:val="clear" w:color="auto" w:fill="F2F2F2"/>
          </w:tcPr>
          <w:p>
            <w:pPr>
              <w:spacing w:line="240" w:lineRule="auto"/>
              <w:jc w:val="both"/>
            </w:pPr>
            <w:r>
              <w:t>If Yes, please indicate source of approval (and date where known):</w:t>
            </w:r>
          </w:p>
        </w:tc>
        <w:tc>
          <w:tcPr>
            <w:tcW w:w="4524" w:type="dxa"/>
            <w:gridSpan w:val="2"/>
            <w:shd w:val="clear" w:color="auto" w:fill="F2F2F2"/>
            <w:vAlign w:val="center"/>
          </w:tcPr>
          <w:p>
            <w:pPr>
              <w:spacing w:line="240" w:lineRule="auto"/>
            </w:pPr>
            <w:r>
              <w:t>Research Degrees Committee</w:t>
            </w:r>
          </w:p>
        </w:tc>
        <w:tc>
          <w:tcPr>
            <w:tcW w:w="567" w:type="dxa"/>
            <w:shd w:val="clear" w:color="auto" w:fill="BFBFBF"/>
            <w:vAlign w:val="center"/>
          </w:tcPr>
          <w:p>
            <w:pPr>
              <w:spacing w:line="240" w:lineRule="auto"/>
              <w:jc w:val="center"/>
              <w:rPr>
                <w:b/>
              </w:rPr>
            </w:pPr>
            <w:r>
              <w:rPr>
                <w:rFonts w:ascii="MS Gothic" w:eastAsia="MS Gothic" w:hAnsi="MS Gothic" w:cs="MS Gothic"/>
                <w:b/>
              </w:rPr>
              <w:t>☐</w:t>
            </w:r>
          </w:p>
        </w:tc>
        <w:tc>
          <w:tcPr>
            <w:tcW w:w="1134" w:type="dxa"/>
            <w:gridSpan w:val="2"/>
            <w:vAlign w:val="center"/>
          </w:tcPr>
          <w:p>
            <w:pPr>
              <w:spacing w:line="240" w:lineRule="auto"/>
              <w:jc w:val="center"/>
              <w:rPr>
                <w:b/>
              </w:rPr>
            </w:pPr>
          </w:p>
        </w:tc>
      </w:tr>
      <w:tr>
        <w:trPr>
          <w:trHeight w:val="415"/>
        </w:trPr>
        <w:tc>
          <w:tcPr>
            <w:tcW w:w="3693" w:type="dxa"/>
            <w:vMerge/>
            <w:shd w:val="clear" w:color="auto" w:fill="F2F2F2"/>
          </w:tcPr>
          <w:p>
            <w:pPr>
              <w:widowControl w:val="0"/>
              <w:rPr>
                <w:b/>
              </w:rPr>
            </w:pPr>
          </w:p>
        </w:tc>
        <w:tc>
          <w:tcPr>
            <w:tcW w:w="4524" w:type="dxa"/>
            <w:gridSpan w:val="2"/>
            <w:shd w:val="clear" w:color="auto" w:fill="F2F2F2"/>
            <w:vAlign w:val="center"/>
          </w:tcPr>
          <w:p>
            <w:pPr>
              <w:spacing w:line="240" w:lineRule="auto"/>
            </w:pPr>
            <w:r>
              <w:t>Faculty Research Committee</w:t>
            </w:r>
          </w:p>
        </w:tc>
        <w:tc>
          <w:tcPr>
            <w:tcW w:w="567" w:type="dxa"/>
            <w:shd w:val="clear" w:color="auto" w:fill="BFBFBF"/>
            <w:vAlign w:val="center"/>
          </w:tcPr>
          <w:p>
            <w:pPr>
              <w:spacing w:line="240" w:lineRule="auto"/>
              <w:jc w:val="center"/>
              <w:rPr>
                <w:b/>
              </w:rPr>
            </w:pPr>
            <w:r>
              <w:rPr>
                <w:rFonts w:ascii="MS Gothic" w:eastAsia="MS Gothic" w:hAnsi="MS Gothic" w:cs="MS Gothic"/>
                <w:b/>
              </w:rPr>
              <w:t>☐</w:t>
            </w:r>
          </w:p>
        </w:tc>
        <w:tc>
          <w:tcPr>
            <w:tcW w:w="1134" w:type="dxa"/>
            <w:gridSpan w:val="2"/>
            <w:vAlign w:val="center"/>
          </w:tcPr>
          <w:p>
            <w:pPr>
              <w:spacing w:line="240" w:lineRule="auto"/>
              <w:jc w:val="center"/>
              <w:rPr>
                <w:b/>
              </w:rPr>
            </w:pPr>
          </w:p>
        </w:tc>
      </w:tr>
      <w:tr>
        <w:tc>
          <w:tcPr>
            <w:tcW w:w="3693" w:type="dxa"/>
            <w:vMerge/>
            <w:shd w:val="clear" w:color="auto" w:fill="F2F2F2"/>
          </w:tcPr>
          <w:p>
            <w:pPr>
              <w:widowControl w:val="0"/>
              <w:rPr>
                <w:b/>
              </w:rPr>
            </w:pPr>
          </w:p>
        </w:tc>
        <w:tc>
          <w:tcPr>
            <w:tcW w:w="4524" w:type="dxa"/>
            <w:gridSpan w:val="2"/>
            <w:shd w:val="clear" w:color="auto" w:fill="F2F2F2"/>
            <w:vAlign w:val="center"/>
          </w:tcPr>
          <w:p>
            <w:pPr>
              <w:spacing w:line="240" w:lineRule="auto"/>
            </w:pPr>
            <w:r>
              <w:t>Other (write in)</w:t>
            </w:r>
          </w:p>
          <w:p>
            <w:pPr>
              <w:spacing w:line="240" w:lineRule="auto"/>
            </w:pPr>
            <w:r>
              <w:t>Catherine Morgan</w:t>
            </w:r>
          </w:p>
          <w:p>
            <w:pPr>
              <w:spacing w:line="240" w:lineRule="auto"/>
            </w:pPr>
          </w:p>
        </w:tc>
        <w:tc>
          <w:tcPr>
            <w:tcW w:w="567" w:type="dxa"/>
            <w:shd w:val="clear" w:color="auto" w:fill="BFBFBF"/>
            <w:vAlign w:val="center"/>
          </w:tcPr>
          <w:p>
            <w:pPr>
              <w:spacing w:line="240" w:lineRule="auto"/>
              <w:jc w:val="center"/>
              <w:rPr>
                <w:b/>
              </w:rPr>
            </w:pPr>
            <w:r>
              <w:rPr>
                <w:b/>
              </w:rPr>
              <w:t>X</w:t>
            </w:r>
            <w:r>
              <w:rPr>
                <w:rFonts w:ascii="MS Gothic" w:eastAsia="MS Gothic" w:hAnsi="MS Gothic" w:cs="MS Gothic"/>
                <w:b/>
              </w:rPr>
              <w:t>☐</w:t>
            </w:r>
          </w:p>
        </w:tc>
        <w:tc>
          <w:tcPr>
            <w:tcW w:w="1134" w:type="dxa"/>
            <w:gridSpan w:val="2"/>
            <w:vAlign w:val="center"/>
          </w:tcPr>
          <w:p>
            <w:pPr>
              <w:spacing w:line="240" w:lineRule="auto"/>
              <w:jc w:val="center"/>
              <w:rPr>
                <w:b/>
              </w:rPr>
            </w:pPr>
          </w:p>
        </w:tc>
      </w:tr>
    </w:tbl>
    <w:p>
      <w:pPr>
        <w:spacing w:line="240" w:lineRule="auto"/>
        <w:rPr>
          <w:sz w:val="20"/>
          <w:szCs w:val="20"/>
        </w:rPr>
      </w:pPr>
      <w:r>
        <w:rPr>
          <w:sz w:val="20"/>
          <w:szCs w:val="20"/>
        </w:rPr>
        <w:t xml:space="preserve">Approval in principle </w:t>
      </w:r>
      <w:r>
        <w:rPr>
          <w:b/>
          <w:sz w:val="20"/>
          <w:szCs w:val="20"/>
        </w:rPr>
        <w:t>must</w:t>
      </w:r>
      <w:r>
        <w:rPr>
          <w:sz w:val="20"/>
          <w:szCs w:val="20"/>
        </w:rPr>
        <w:t xml:space="preserve"> be obtained from the relevant source prior to seeking ethical approval.</w:t>
      </w:r>
    </w:p>
    <w:p>
      <w:pPr>
        <w:spacing w:line="240" w:lineRule="auto"/>
        <w:rPr>
          <w:sz w:val="20"/>
          <w:szCs w:val="20"/>
        </w:rPr>
      </w:pPr>
    </w:p>
    <w:p>
      <w:pPr>
        <w:spacing w:line="240" w:lineRule="auto"/>
        <w:jc w:val="both"/>
        <w:rPr>
          <w:b/>
        </w:rPr>
      </w:pPr>
      <w:r>
        <w:rPr>
          <w:b/>
        </w:rPr>
        <w:t>SECTION C:  External Ethical Guidance Materials</w:t>
      </w:r>
    </w:p>
    <w:p>
      <w:pPr>
        <w:spacing w:line="240" w:lineRule="auto"/>
        <w:jc w:val="both"/>
        <w:rPr>
          <w:b/>
          <w:sz w:val="12"/>
          <w:szCs w:val="12"/>
        </w:rPr>
      </w:pPr>
    </w:p>
    <w:tbl>
      <w:tblPr>
        <w:tblStyle w:val="affc"/>
        <w:tblW w:w="9628"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784"/>
        <w:gridCol w:w="844"/>
      </w:tblGrid>
      <w:tr>
        <w:tc>
          <w:tcPr>
            <w:tcW w:w="9628" w:type="dxa"/>
            <w:gridSpan w:val="2"/>
            <w:shd w:val="clear" w:color="auto" w:fill="F2F2F2"/>
          </w:tcPr>
          <w:p>
            <w:pPr>
              <w:spacing w:line="240" w:lineRule="auto"/>
            </w:pPr>
            <w: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trHeight w:val="144"/>
        </w:trPr>
        <w:tc>
          <w:tcPr>
            <w:tcW w:w="8784" w:type="dxa"/>
          </w:tcPr>
          <w:p>
            <w:pPr>
              <w:spacing w:line="240" w:lineRule="auto"/>
            </w:pPr>
            <w:r>
              <w:t>BERA- Ethical Guidelines for Educational Research (2018)</w:t>
            </w:r>
          </w:p>
        </w:tc>
        <w:tc>
          <w:tcPr>
            <w:tcW w:w="844" w:type="dxa"/>
            <w:shd w:val="clear" w:color="auto" w:fill="BFBFBF"/>
          </w:tcPr>
          <w:p>
            <w:pPr>
              <w:spacing w:line="240" w:lineRule="auto"/>
              <w:jc w:val="center"/>
              <w:rPr>
                <w:b/>
              </w:rPr>
            </w:pPr>
            <w:r>
              <w:rPr>
                <w:b/>
              </w:rPr>
              <w:t>X</w:t>
            </w:r>
            <w:r>
              <w:rPr>
                <w:rFonts w:ascii="MS Gothic" w:eastAsia="MS Gothic" w:hAnsi="MS Gothic" w:cs="MS Gothic"/>
                <w:b/>
              </w:rPr>
              <w:t>☐</w:t>
            </w:r>
          </w:p>
        </w:tc>
      </w:tr>
      <w:tr>
        <w:trPr>
          <w:trHeight w:val="144"/>
        </w:trPr>
        <w:tc>
          <w:tcPr>
            <w:tcW w:w="8784" w:type="dxa"/>
          </w:tcPr>
          <w:p>
            <w:pPr>
              <w:spacing w:line="240" w:lineRule="auto"/>
            </w:pPr>
            <w:r>
              <w:t>The British Psychological Society-Data protection regulation: guidance for researchers (2018)</w:t>
            </w:r>
          </w:p>
        </w:tc>
        <w:tc>
          <w:tcPr>
            <w:tcW w:w="844" w:type="dxa"/>
            <w:shd w:val="clear" w:color="auto" w:fill="BFBFBF"/>
          </w:tcPr>
          <w:p>
            <w:pPr>
              <w:spacing w:line="240" w:lineRule="auto"/>
              <w:jc w:val="center"/>
              <w:rPr>
                <w:b/>
                <w:i/>
              </w:rPr>
            </w:pPr>
            <w:r>
              <w:rPr>
                <w:b/>
              </w:rPr>
              <w:t>X</w:t>
            </w:r>
            <w:r>
              <w:rPr>
                <w:rFonts w:ascii="MS Gothic" w:eastAsia="MS Gothic" w:hAnsi="MS Gothic" w:cs="MS Gothic"/>
                <w:b/>
              </w:rPr>
              <w:t>☐</w:t>
            </w:r>
          </w:p>
        </w:tc>
      </w:tr>
      <w:tr>
        <w:trPr>
          <w:trHeight w:val="144"/>
        </w:trPr>
        <w:tc>
          <w:tcPr>
            <w:tcW w:w="8784" w:type="dxa"/>
          </w:tcPr>
          <w:p>
            <w:pPr>
              <w:spacing w:line="240" w:lineRule="auto"/>
            </w:pPr>
            <w:r>
              <w:t>UWTSD Research ethics and integrity code of practice (2017)</w:t>
            </w:r>
          </w:p>
        </w:tc>
        <w:tc>
          <w:tcPr>
            <w:tcW w:w="844" w:type="dxa"/>
            <w:shd w:val="clear" w:color="auto" w:fill="BFBFBF"/>
          </w:tcPr>
          <w:p>
            <w:pPr>
              <w:spacing w:line="240" w:lineRule="auto"/>
              <w:jc w:val="center"/>
              <w:rPr>
                <w:b/>
                <w:i/>
              </w:rPr>
            </w:pPr>
            <w:r>
              <w:rPr>
                <w:b/>
              </w:rPr>
              <w:t>X</w:t>
            </w:r>
            <w:r>
              <w:rPr>
                <w:rFonts w:ascii="MS Gothic" w:eastAsia="MS Gothic" w:hAnsi="MS Gothic" w:cs="MS Gothic"/>
                <w:b/>
              </w:rPr>
              <w:t>☐</w:t>
            </w:r>
          </w:p>
        </w:tc>
      </w:tr>
      <w:tr>
        <w:trPr>
          <w:trHeight w:val="144"/>
        </w:trPr>
        <w:tc>
          <w:tcPr>
            <w:tcW w:w="8784" w:type="dxa"/>
          </w:tcPr>
          <w:p>
            <w:pPr>
              <w:spacing w:line="240" w:lineRule="auto"/>
            </w:pPr>
            <w:r>
              <w:t>Education Workforce Council (2018)</w:t>
            </w:r>
          </w:p>
        </w:tc>
        <w:tc>
          <w:tcPr>
            <w:tcW w:w="844" w:type="dxa"/>
            <w:shd w:val="clear" w:color="auto" w:fill="BFBFBF"/>
          </w:tcPr>
          <w:p>
            <w:pPr>
              <w:spacing w:line="240" w:lineRule="auto"/>
              <w:jc w:val="center"/>
              <w:rPr>
                <w:b/>
              </w:rPr>
            </w:pPr>
            <w:r>
              <w:rPr>
                <w:b/>
              </w:rPr>
              <w:t>X</w:t>
            </w:r>
          </w:p>
        </w:tc>
      </w:tr>
      <w:tr>
        <w:trPr>
          <w:trHeight w:val="144"/>
        </w:trPr>
        <w:tc>
          <w:tcPr>
            <w:tcW w:w="8784" w:type="dxa"/>
          </w:tcPr>
          <w:p>
            <w:pPr>
              <w:spacing w:line="240" w:lineRule="auto"/>
            </w:pPr>
            <w:r>
              <w:t>General Data Protection Regulation (2018)</w:t>
            </w:r>
          </w:p>
        </w:tc>
        <w:tc>
          <w:tcPr>
            <w:tcW w:w="844" w:type="dxa"/>
            <w:shd w:val="clear" w:color="auto" w:fill="BFBFBF"/>
          </w:tcPr>
          <w:p>
            <w:pPr>
              <w:spacing w:line="240" w:lineRule="auto"/>
              <w:jc w:val="center"/>
              <w:rPr>
                <w:b/>
              </w:rPr>
            </w:pPr>
            <w:r>
              <w:rPr>
                <w:b/>
              </w:rPr>
              <w:t>X</w:t>
            </w:r>
          </w:p>
        </w:tc>
      </w:tr>
    </w:tbl>
    <w:p>
      <w:pPr>
        <w:spacing w:line="240" w:lineRule="auto"/>
        <w:jc w:val="both"/>
        <w:rPr>
          <w:b/>
        </w:rPr>
      </w:pPr>
    </w:p>
    <w:p>
      <w:pPr>
        <w:spacing w:line="240" w:lineRule="auto"/>
        <w:jc w:val="both"/>
        <w:rPr>
          <w:b/>
        </w:rPr>
      </w:pPr>
    </w:p>
    <w:p>
      <w:pPr>
        <w:spacing w:line="240" w:lineRule="auto"/>
        <w:jc w:val="both"/>
        <w:rPr>
          <w:b/>
        </w:rPr>
      </w:pPr>
      <w:r>
        <w:rPr>
          <w:b/>
        </w:rPr>
        <w:t>SECTION D: External Collaborative Research Activity</w:t>
      </w:r>
    </w:p>
    <w:p>
      <w:pPr>
        <w:spacing w:line="240" w:lineRule="auto"/>
        <w:rPr>
          <w:sz w:val="12"/>
          <w:szCs w:val="12"/>
        </w:rPr>
      </w:pPr>
    </w:p>
    <w:tbl>
      <w:tblPr>
        <w:tblStyle w:val="affd"/>
        <w:tblW w:w="97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31"/>
        <w:gridCol w:w="2733"/>
        <w:gridCol w:w="981"/>
        <w:gridCol w:w="975"/>
        <w:gridCol w:w="703"/>
        <w:gridCol w:w="953"/>
      </w:tblGrid>
      <w:tr>
        <w:tc>
          <w:tcPr>
            <w:tcW w:w="6164" w:type="dxa"/>
            <w:gridSpan w:val="2"/>
            <w:shd w:val="clear" w:color="auto" w:fill="F2F2F2"/>
          </w:tcPr>
          <w:p>
            <w:pPr>
              <w:spacing w:line="240" w:lineRule="auto"/>
              <w:jc w:val="both"/>
            </w:pPr>
            <w:r>
              <w:t>Does the research activity involve collaborators outside of the University?</w:t>
            </w:r>
          </w:p>
        </w:tc>
        <w:tc>
          <w:tcPr>
            <w:tcW w:w="981" w:type="dxa"/>
            <w:shd w:val="clear" w:color="auto" w:fill="F2F2F2"/>
            <w:vAlign w:val="center"/>
          </w:tcPr>
          <w:p>
            <w:pPr>
              <w:spacing w:line="240" w:lineRule="auto"/>
              <w:jc w:val="center"/>
            </w:pPr>
            <w:r>
              <w:t>YES</w:t>
            </w:r>
          </w:p>
        </w:tc>
        <w:tc>
          <w:tcPr>
            <w:tcW w:w="975" w:type="dxa"/>
            <w:shd w:val="clear" w:color="auto" w:fill="BFBFBF"/>
            <w:vAlign w:val="center"/>
          </w:tcPr>
          <w:p>
            <w:pPr>
              <w:spacing w:line="240" w:lineRule="auto"/>
              <w:jc w:val="center"/>
            </w:pPr>
            <w:r>
              <w:rPr>
                <w:rFonts w:ascii="MS Gothic" w:eastAsia="MS Gothic" w:hAnsi="MS Gothic" w:cs="MS Gothic"/>
                <w:b/>
              </w:rPr>
              <w:t>☐</w:t>
            </w:r>
          </w:p>
        </w:tc>
        <w:tc>
          <w:tcPr>
            <w:tcW w:w="703" w:type="dxa"/>
            <w:shd w:val="clear" w:color="auto" w:fill="F2F2F2"/>
            <w:vAlign w:val="center"/>
          </w:tcPr>
          <w:p>
            <w:pPr>
              <w:spacing w:line="240" w:lineRule="auto"/>
              <w:jc w:val="center"/>
            </w:pPr>
            <w:r>
              <w:t>NO</w:t>
            </w:r>
          </w:p>
        </w:tc>
        <w:tc>
          <w:tcPr>
            <w:tcW w:w="953" w:type="dxa"/>
            <w:shd w:val="clear" w:color="auto" w:fill="BFBFBF"/>
            <w:vAlign w:val="center"/>
          </w:tcPr>
          <w:p>
            <w:pPr>
              <w:spacing w:line="240" w:lineRule="auto"/>
              <w:jc w:val="center"/>
            </w:pPr>
            <w:r>
              <w:rPr>
                <w:b/>
              </w:rPr>
              <w:t>X</w:t>
            </w:r>
            <w:r>
              <w:rPr>
                <w:rFonts w:ascii="MS Gothic" w:eastAsia="MS Gothic" w:hAnsi="MS Gothic" w:cs="MS Gothic"/>
                <w:b/>
              </w:rPr>
              <w:t>☐</w:t>
            </w:r>
          </w:p>
        </w:tc>
      </w:tr>
      <w:tr>
        <w:tc>
          <w:tcPr>
            <w:tcW w:w="9776" w:type="dxa"/>
            <w:gridSpan w:val="6"/>
          </w:tcPr>
          <w:p>
            <w:pPr>
              <w:spacing w:line="240" w:lineRule="auto"/>
              <w:rPr>
                <w:sz w:val="16"/>
                <w:szCs w:val="16"/>
              </w:rPr>
            </w:pPr>
          </w:p>
          <w:p>
            <w:pPr>
              <w:spacing w:line="240" w:lineRule="auto"/>
              <w:rPr>
                <w:b/>
                <w:i/>
              </w:rPr>
            </w:pPr>
            <w:r>
              <w:t>If Yes, please provide the name of the external organisation and name and contact details for the main contact person:</w:t>
            </w:r>
          </w:p>
        </w:tc>
      </w:tr>
      <w:tr>
        <w:tc>
          <w:tcPr>
            <w:tcW w:w="3431" w:type="dxa"/>
            <w:shd w:val="clear" w:color="auto" w:fill="F2F2F2"/>
          </w:tcPr>
          <w:p>
            <w:pPr>
              <w:spacing w:line="240" w:lineRule="auto"/>
              <w:jc w:val="both"/>
            </w:pPr>
            <w:r>
              <w:t>Institution</w:t>
            </w:r>
          </w:p>
        </w:tc>
        <w:tc>
          <w:tcPr>
            <w:tcW w:w="6345" w:type="dxa"/>
            <w:gridSpan w:val="5"/>
          </w:tcPr>
          <w:p>
            <w:pPr>
              <w:spacing w:line="240" w:lineRule="auto"/>
            </w:pPr>
          </w:p>
        </w:tc>
      </w:tr>
      <w:tr>
        <w:tc>
          <w:tcPr>
            <w:tcW w:w="3431" w:type="dxa"/>
            <w:shd w:val="clear" w:color="auto" w:fill="F2F2F2"/>
          </w:tcPr>
          <w:p>
            <w:pPr>
              <w:spacing w:line="240" w:lineRule="auto"/>
              <w:jc w:val="both"/>
            </w:pPr>
            <w:r>
              <w:t>Contact person name</w:t>
            </w:r>
          </w:p>
        </w:tc>
        <w:tc>
          <w:tcPr>
            <w:tcW w:w="6345" w:type="dxa"/>
            <w:gridSpan w:val="5"/>
          </w:tcPr>
          <w:p>
            <w:pPr>
              <w:spacing w:line="240" w:lineRule="auto"/>
            </w:pPr>
          </w:p>
        </w:tc>
      </w:tr>
      <w:tr>
        <w:tc>
          <w:tcPr>
            <w:tcW w:w="3431" w:type="dxa"/>
            <w:shd w:val="clear" w:color="auto" w:fill="F2F2F2"/>
          </w:tcPr>
          <w:p>
            <w:pPr>
              <w:spacing w:line="240" w:lineRule="auto"/>
              <w:jc w:val="both"/>
            </w:pPr>
            <w:r>
              <w:t>Contact person e-mail address</w:t>
            </w:r>
          </w:p>
        </w:tc>
        <w:tc>
          <w:tcPr>
            <w:tcW w:w="6345" w:type="dxa"/>
            <w:gridSpan w:val="5"/>
          </w:tcPr>
          <w:p>
            <w:pPr>
              <w:spacing w:line="240" w:lineRule="auto"/>
            </w:pPr>
          </w:p>
        </w:tc>
      </w:tr>
    </w:tbl>
    <w:p>
      <w:pPr>
        <w:spacing w:line="240" w:lineRule="auto"/>
        <w:rPr>
          <w:sz w:val="16"/>
          <w:szCs w:val="16"/>
        </w:rPr>
      </w:pPr>
    </w:p>
    <w:p>
      <w:pPr>
        <w:spacing w:line="240" w:lineRule="auto"/>
        <w:rPr>
          <w:b/>
        </w:rPr>
      </w:pPr>
      <w:r>
        <w:rPr>
          <w:b/>
        </w:rPr>
        <w:t>Where research activity is carried out in collaboration with an external organisation</w:t>
      </w:r>
    </w:p>
    <w:tbl>
      <w:tblPr>
        <w:tblStyle w:val="affe"/>
        <w:tblW w:w="97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164"/>
        <w:gridCol w:w="981"/>
        <w:gridCol w:w="975"/>
        <w:gridCol w:w="806"/>
        <w:gridCol w:w="850"/>
      </w:tblGrid>
      <w:tr>
        <w:trPr>
          <w:trHeight w:val="507"/>
        </w:trPr>
        <w:tc>
          <w:tcPr>
            <w:tcW w:w="6164" w:type="dxa"/>
            <w:shd w:val="clear" w:color="auto" w:fill="F2F2F2"/>
            <w:vAlign w:val="center"/>
          </w:tcPr>
          <w:p>
            <w:pPr>
              <w:spacing w:line="240" w:lineRule="auto"/>
            </w:pPr>
            <w:r>
              <w:t>Does this organisation have its own ethics approval system?</w:t>
            </w:r>
          </w:p>
        </w:tc>
        <w:tc>
          <w:tcPr>
            <w:tcW w:w="981" w:type="dxa"/>
            <w:shd w:val="clear" w:color="auto" w:fill="F2F2F2"/>
            <w:vAlign w:val="center"/>
          </w:tcPr>
          <w:p>
            <w:pPr>
              <w:spacing w:line="240" w:lineRule="auto"/>
              <w:jc w:val="center"/>
            </w:pPr>
            <w:r>
              <w:t>YES</w:t>
            </w:r>
          </w:p>
        </w:tc>
        <w:tc>
          <w:tcPr>
            <w:tcW w:w="975" w:type="dxa"/>
            <w:shd w:val="clear" w:color="auto" w:fill="BFBFBF"/>
            <w:vAlign w:val="center"/>
          </w:tcPr>
          <w:p>
            <w:pPr>
              <w:spacing w:line="240" w:lineRule="auto"/>
              <w:jc w:val="center"/>
            </w:pPr>
            <w:r>
              <w:rPr>
                <w:rFonts w:ascii="MS Gothic" w:eastAsia="MS Gothic" w:hAnsi="MS Gothic" w:cs="MS Gothic"/>
                <w:b/>
              </w:rPr>
              <w:t>☐</w:t>
            </w:r>
          </w:p>
        </w:tc>
        <w:tc>
          <w:tcPr>
            <w:tcW w:w="806" w:type="dxa"/>
            <w:shd w:val="clear" w:color="auto" w:fill="F2F2F2"/>
            <w:vAlign w:val="center"/>
          </w:tcPr>
          <w:p>
            <w:pPr>
              <w:spacing w:line="240" w:lineRule="auto"/>
              <w:jc w:val="center"/>
            </w:pPr>
            <w:r>
              <w:t>NO</w:t>
            </w:r>
          </w:p>
        </w:tc>
        <w:tc>
          <w:tcPr>
            <w:tcW w:w="850" w:type="dxa"/>
            <w:shd w:val="clear" w:color="auto" w:fill="BFBFBF"/>
            <w:vAlign w:val="center"/>
          </w:tcPr>
          <w:p>
            <w:pPr>
              <w:spacing w:line="240" w:lineRule="auto"/>
              <w:jc w:val="center"/>
            </w:pPr>
            <w:r>
              <w:rPr>
                <w:rFonts w:ascii="MS Gothic" w:eastAsia="MS Gothic" w:hAnsi="MS Gothic" w:cs="MS Gothic"/>
                <w:b/>
              </w:rPr>
              <w:t>☐</w:t>
            </w:r>
          </w:p>
        </w:tc>
      </w:tr>
      <w:tr>
        <w:tc>
          <w:tcPr>
            <w:tcW w:w="9776" w:type="dxa"/>
            <w:gridSpan w:val="5"/>
          </w:tcPr>
          <w:p>
            <w:pPr>
              <w:spacing w:line="240" w:lineRule="auto"/>
              <w:rPr>
                <w:b/>
              </w:rPr>
            </w:pPr>
            <w:r>
              <w:t>If Yes, please attach a copy of any final approval (or interim approval) from the organisation</w:t>
            </w:r>
          </w:p>
        </w:tc>
      </w:tr>
    </w:tbl>
    <w:p>
      <w:pPr>
        <w:spacing w:line="240" w:lineRule="auto"/>
        <w:rPr>
          <w:sz w:val="20"/>
          <w:szCs w:val="20"/>
        </w:rPr>
      </w:pPr>
    </w:p>
    <w:p>
      <w:pPr>
        <w:spacing w:line="240" w:lineRule="auto"/>
        <w:jc w:val="both"/>
        <w:rPr>
          <w:b/>
        </w:rPr>
      </w:pPr>
    </w:p>
    <w:p>
      <w:pPr>
        <w:spacing w:line="240" w:lineRule="auto"/>
        <w:jc w:val="both"/>
        <w:rPr>
          <w:b/>
        </w:rPr>
      </w:pPr>
      <w:r>
        <w:rPr>
          <w:b/>
        </w:rPr>
        <w:t>SECTION E: Details of Research Activity</w:t>
      </w:r>
    </w:p>
    <w:p>
      <w:pPr>
        <w:spacing w:line="240" w:lineRule="auto"/>
        <w:rPr>
          <w:sz w:val="16"/>
          <w:szCs w:val="16"/>
        </w:rPr>
      </w:pPr>
    </w:p>
    <w:tbl>
      <w:tblPr>
        <w:tblStyle w:val="afff"/>
        <w:tblW w:w="9816" w:type="dxa"/>
        <w:tblInd w:w="-1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524"/>
        <w:gridCol w:w="2478"/>
        <w:gridCol w:w="2478"/>
        <w:gridCol w:w="2336"/>
      </w:tblGrid>
      <w:tr>
        <w:trPr>
          <w:trHeight w:val="454"/>
        </w:trPr>
        <w:tc>
          <w:tcPr>
            <w:tcW w:w="2524" w:type="dxa"/>
            <w:shd w:val="clear" w:color="auto" w:fill="F2F2F2"/>
            <w:vAlign w:val="center"/>
          </w:tcPr>
          <w:p>
            <w:pPr>
              <w:spacing w:line="240" w:lineRule="auto"/>
            </w:pPr>
            <w:r>
              <w:t>Indicative title:</w:t>
            </w:r>
          </w:p>
        </w:tc>
        <w:tc>
          <w:tcPr>
            <w:tcW w:w="7292" w:type="dxa"/>
            <w:gridSpan w:val="3"/>
            <w:vAlign w:val="center"/>
          </w:tcPr>
          <w:p>
            <w:pPr>
              <w:spacing w:after="160" w:line="259" w:lineRule="auto"/>
            </w:pPr>
            <w:r>
              <w:t>What are the factors that influence whether or not pupils choose science A Levels?</w:t>
            </w:r>
          </w:p>
        </w:tc>
      </w:tr>
      <w:tr>
        <w:trPr>
          <w:trHeight w:val="454"/>
        </w:trPr>
        <w:tc>
          <w:tcPr>
            <w:tcW w:w="2524" w:type="dxa"/>
            <w:shd w:val="clear" w:color="auto" w:fill="F2F2F2"/>
            <w:vAlign w:val="center"/>
          </w:tcPr>
          <w:p>
            <w:pPr>
              <w:spacing w:line="240" w:lineRule="auto"/>
            </w:pPr>
            <w:r>
              <w:t>Proposed start date:</w:t>
            </w:r>
          </w:p>
        </w:tc>
        <w:tc>
          <w:tcPr>
            <w:tcW w:w="2478" w:type="dxa"/>
            <w:vAlign w:val="center"/>
          </w:tcPr>
          <w:p>
            <w:pPr>
              <w:spacing w:line="240" w:lineRule="auto"/>
            </w:pPr>
            <w:r>
              <w:t>01/04/2019</w:t>
            </w:r>
          </w:p>
        </w:tc>
        <w:tc>
          <w:tcPr>
            <w:tcW w:w="2478" w:type="dxa"/>
            <w:shd w:val="clear" w:color="auto" w:fill="F2F2F2"/>
            <w:vAlign w:val="center"/>
          </w:tcPr>
          <w:p>
            <w:pPr>
              <w:spacing w:line="240" w:lineRule="auto"/>
            </w:pPr>
            <w:r>
              <w:t>Proposed end date:</w:t>
            </w:r>
          </w:p>
        </w:tc>
        <w:tc>
          <w:tcPr>
            <w:tcW w:w="2336" w:type="dxa"/>
            <w:vAlign w:val="center"/>
          </w:tcPr>
          <w:p>
            <w:pPr>
              <w:spacing w:line="240" w:lineRule="auto"/>
            </w:pPr>
            <w:r>
              <w:t>01/08/19</w:t>
            </w:r>
          </w:p>
        </w:tc>
      </w:tr>
      <w:tr>
        <w:trPr>
          <w:trHeight w:val="454"/>
        </w:trPr>
        <w:tc>
          <w:tcPr>
            <w:tcW w:w="9816" w:type="dxa"/>
            <w:gridSpan w:val="4"/>
            <w:shd w:val="clear" w:color="auto" w:fill="F2F2F2"/>
            <w:vAlign w:val="center"/>
          </w:tcPr>
          <w:p>
            <w:pPr>
              <w:spacing w:before="120" w:line="240" w:lineRule="auto"/>
              <w:rPr>
                <w:b/>
              </w:rPr>
            </w:pPr>
            <w:r>
              <w:rPr>
                <w:b/>
              </w:rPr>
              <w:t>Purpose of research activity (including aims and objectives)</w:t>
            </w:r>
          </w:p>
          <w:p>
            <w:pPr>
              <w:spacing w:line="240" w:lineRule="auto"/>
            </w:pPr>
            <w: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trPr>
          <w:trHeight w:val="454"/>
        </w:trPr>
        <w:tc>
          <w:tcPr>
            <w:tcW w:w="9816" w:type="dxa"/>
            <w:gridSpan w:val="4"/>
            <w:vAlign w:val="center"/>
          </w:tcPr>
          <w:p>
            <w:pPr>
              <w:spacing w:line="240" w:lineRule="auto"/>
            </w:pPr>
            <w:r>
              <w:t>The proposed research aims to answer the following research questions:</w:t>
            </w:r>
          </w:p>
          <w:p>
            <w:pPr>
              <w:numPr>
                <w:ilvl w:val="0"/>
                <w:numId w:val="12"/>
              </w:numPr>
              <w:spacing w:line="259" w:lineRule="auto"/>
            </w:pPr>
            <w:r>
              <w:t>Are girls less likely than boys to progress to post-16 science subjects?</w:t>
            </w:r>
          </w:p>
          <w:p>
            <w:pPr>
              <w:numPr>
                <w:ilvl w:val="0"/>
                <w:numId w:val="12"/>
              </w:numPr>
              <w:spacing w:line="259" w:lineRule="auto"/>
            </w:pPr>
            <w:r>
              <w:t>What are the factors that may contribute to pupils choosing science A Levels?</w:t>
            </w:r>
          </w:p>
          <w:p>
            <w:pPr>
              <w:numPr>
                <w:ilvl w:val="0"/>
                <w:numId w:val="12"/>
              </w:numPr>
              <w:spacing w:after="160" w:line="259" w:lineRule="auto"/>
            </w:pPr>
            <w:r>
              <w:t>What are the factors may deter pupils from choosing science A Levels?</w:t>
            </w:r>
          </w:p>
          <w:p>
            <w:pPr>
              <w:spacing w:after="160" w:line="259" w:lineRule="auto"/>
            </w:pPr>
            <w:r>
              <w:t xml:space="preserve">Presently, A level science subjects are studied predominantly by male pupils (Joint Council for Qualifications, 2014; Carol and Gill, 2017) with the exception of biology, which sees higher numbers of female candidates than males. Indeed, the Joint Council for Qualifications (2014) report that male candidates account for 57% of entries to post-16 STEM subjects. This tendency for post-16 science subjects (biology, chemistry and physics) to be studied by more males than females is not a new phenomenon and may be the result of generations of students viewing the sciences as a masculine discipline (Institute of Physics, 2018). These statistics are perhaps most surprising when one considers that male and female pupils display equal levels of attainment in their science GCSEs (Joint Council for Qualifications, 2014) and that 65% of girls can count physics as one of their top four GCSE grades, although only 8% of these girls choose to continue studying physics post-16 (Institute of Physics, 2018). Numerous authors have offered explanations for the trend in A Level science uptake (Archer </w:t>
            </w:r>
            <w:r>
              <w:rPr>
                <w:i/>
              </w:rPr>
              <w:t>et al</w:t>
            </w:r>
            <w:r>
              <w:t xml:space="preserve">., 2013; Mujtaba and Reiss, 2016; Bennett </w:t>
            </w:r>
            <w:r>
              <w:rPr>
                <w:i/>
              </w:rPr>
              <w:t>et al</w:t>
            </w:r>
            <w:r>
              <w:t xml:space="preserve">., 2013) including, but not limited to, girls perceiving science to be a masculine subject, variable levels of encouragement offered by teacher and parents to study post-16 science and the type of school the pupil attends. These studies have mostly been conducted in schools in England, where compulsory science education is assessed differently to assessment in Wales: GCSEs in Wales are graded A*-G and may be linear (all exams taken at the end of the course) or non-linear (modular exams); GCSEs in England are graded 1-9 and all exams are taken at the end of the course. Furthermore, the government’s industrial strategy is reliant on the recruitment of thousands more graduates of STEM subjects (Department for Business, Innovation and Skills, 2009). It is hoped that this research would provide a greater insight into whether this trend is present among pupils in a school in south wales and, if so, offer explanations for the trend.   </w:t>
            </w:r>
          </w:p>
          <w:p>
            <w:pPr>
              <w:spacing w:after="160" w:line="259" w:lineRule="auto"/>
              <w:rPr>
                <w:sz w:val="24"/>
                <w:szCs w:val="24"/>
              </w:rPr>
            </w:pPr>
          </w:p>
          <w:p>
            <w:pPr>
              <w:spacing w:after="160" w:line="259" w:lineRule="auto"/>
              <w:rPr>
                <w:sz w:val="24"/>
                <w:szCs w:val="24"/>
              </w:rPr>
            </w:pPr>
          </w:p>
          <w:p>
            <w:pPr>
              <w:spacing w:line="240" w:lineRule="auto"/>
            </w:pPr>
          </w:p>
          <w:p>
            <w:pPr>
              <w:spacing w:line="240" w:lineRule="auto"/>
            </w:pPr>
          </w:p>
          <w:p>
            <w:pPr>
              <w:spacing w:line="240" w:lineRule="auto"/>
            </w:pPr>
          </w:p>
          <w:p>
            <w:pPr>
              <w:spacing w:line="240" w:lineRule="auto"/>
              <w:rPr>
                <w:b/>
              </w:rPr>
            </w:pPr>
            <w:r>
              <w:rPr>
                <w:color w:val="808080"/>
                <w:sz w:val="18"/>
                <w:szCs w:val="18"/>
              </w:rPr>
              <w:t>(this box should expand as you type)</w:t>
            </w:r>
          </w:p>
        </w:tc>
      </w:tr>
      <w:tr>
        <w:trPr>
          <w:trHeight w:val="454"/>
        </w:trPr>
        <w:tc>
          <w:tcPr>
            <w:tcW w:w="9816" w:type="dxa"/>
            <w:gridSpan w:val="4"/>
            <w:shd w:val="clear" w:color="auto" w:fill="F2F2F2"/>
            <w:vAlign w:val="center"/>
          </w:tcPr>
          <w:p>
            <w:pPr>
              <w:spacing w:before="120" w:line="240" w:lineRule="auto"/>
              <w:rPr>
                <w:b/>
              </w:rPr>
            </w:pPr>
            <w:r>
              <w:rPr>
                <w:b/>
              </w:rPr>
              <w:t>Proposed methods</w:t>
            </w:r>
          </w:p>
          <w:p>
            <w:pPr>
              <w:spacing w:line="240" w:lineRule="auto"/>
            </w:pPr>
            <w:r>
              <w:t xml:space="preserve">Provide a brief summary of all the methods that </w:t>
            </w:r>
            <w:r>
              <w:rPr>
                <w:b/>
              </w:rPr>
              <w:t>may</w:t>
            </w:r>
            <w: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trPr>
          <w:trHeight w:val="454"/>
        </w:trPr>
        <w:tc>
          <w:tcPr>
            <w:tcW w:w="9816" w:type="dxa"/>
            <w:gridSpan w:val="4"/>
            <w:vAlign w:val="center"/>
          </w:tcPr>
          <w:p>
            <w:pPr>
              <w:spacing w:after="160" w:line="259" w:lineRule="auto"/>
            </w:pPr>
            <w:r>
              <w:t xml:space="preserve">It has been decided that the research questions posed above, may be best answered via a questionnaire comprising open and closed questions. The first question, “Are girls less likely than boys to progress to post-16 science subjects?” will attempt to be answered by closed questioning about gender and responses to Likert scale questions around the likelihood of selecting A Level science (Likert, 1932). The subsequent two questions, “What are the factors that may contribute to pupils choosing science A Levels?” and “What are the factors that may deter pupils from choosing science A Levels?” may be best answered through a combination of Likert scale questions and open ended questions (Cohen </w:t>
            </w:r>
            <w:r>
              <w:rPr>
                <w:i/>
              </w:rPr>
              <w:t xml:space="preserve">et </w:t>
            </w:r>
            <w:r>
              <w:t>al., 2018) regarding attitudes towards science A Levels and careers in science, as well as other contributing factors as suggested by the literature. Participants will have the opportunity to share any other views and attitudes regarding post-16 science educations via responses to open ended questions.</w:t>
            </w:r>
          </w:p>
          <w:p>
            <w:pPr>
              <w:spacing w:after="160" w:line="259" w:lineRule="auto"/>
            </w:pPr>
            <w:r>
              <w:t xml:space="preserve">It is anticipated that this research will produce both quantitative and qualitative data. The quantitative data regarding gender, current studies and likelihood of selecting science A Levels, derived from closed questioning, will be subject to simple statistical analysis involving percentages. It is hoped that responses to these questions will be highly comparable (Oppenheim, 1992) and therefore address the first research question. If open ended questions such as “What factors would discourage you from studying A Level science?” generate similar responses, they may be coded and subject to further statistical analysis. If the responses generated are too broad to be coded while retaining the authenticity and true meaning of the responses (Bailey, 1994), they will be used anecdotally to provide more rich and in-depth explanations for the more simplistic data potentially generated by the first question. The researcher may then be presented with more descriptive and explanatory responses to the second and third research questions.   </w:t>
            </w:r>
          </w:p>
          <w:p>
            <w:pPr>
              <w:spacing w:after="160" w:line="259" w:lineRule="auto"/>
            </w:pPr>
            <w:r>
              <w:t xml:space="preserve">Pupils will be asked to complete the paper questionnaire during form time, first thing in the morning. Pupils will gather in one classroom, with the researcher present, to complete the questionnaires. The presence of the researcher will allow pupils to ask for guidance if they do not understand a question or are unsure how to respond and will thus, hopefully, result in fewer questions being left unanswered or simply guessed at. The sample will be split into two groups of approximately 25 pupils with one group taking part in the research during one form time, and the other group taking part the following day. </w:t>
            </w:r>
          </w:p>
          <w:p>
            <w:pPr>
              <w:spacing w:after="160" w:line="259" w:lineRule="auto"/>
            </w:pPr>
            <w:r>
              <w:t xml:space="preserve">  </w:t>
            </w:r>
          </w:p>
          <w:p>
            <w:pPr>
              <w:spacing w:line="240" w:lineRule="auto"/>
            </w:pPr>
          </w:p>
          <w:p>
            <w:pPr>
              <w:spacing w:line="240" w:lineRule="auto"/>
            </w:pPr>
          </w:p>
          <w:p>
            <w:pPr>
              <w:spacing w:line="240" w:lineRule="auto"/>
            </w:pPr>
          </w:p>
          <w:p>
            <w:pPr>
              <w:spacing w:line="240" w:lineRule="auto"/>
            </w:pPr>
          </w:p>
          <w:p>
            <w:pPr>
              <w:spacing w:line="240" w:lineRule="auto"/>
            </w:pPr>
          </w:p>
          <w:p>
            <w:pPr>
              <w:spacing w:line="240" w:lineRule="auto"/>
              <w:rPr>
                <w:b/>
              </w:rPr>
            </w:pPr>
            <w:r>
              <w:rPr>
                <w:color w:val="808080"/>
              </w:rPr>
              <w:t>(this box should expand as you type)</w:t>
            </w:r>
          </w:p>
        </w:tc>
      </w:tr>
    </w:tbl>
    <w:p>
      <w:pPr>
        <w:spacing w:line="240" w:lineRule="auto"/>
        <w:rPr>
          <w:rFonts w:ascii="Times New Roman" w:eastAsia="Times New Roman" w:hAnsi="Times New Roman" w:cs="Times New Roman"/>
          <w:sz w:val="20"/>
          <w:szCs w:val="20"/>
        </w:rPr>
      </w:pPr>
      <w:r>
        <w:br w:type="page"/>
      </w:r>
    </w:p>
    <w:tbl>
      <w:tblPr>
        <w:tblStyle w:val="afff0"/>
        <w:tblW w:w="9816" w:type="dxa"/>
        <w:tblInd w:w="-1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816"/>
      </w:tblGrid>
      <w:tr>
        <w:trPr>
          <w:trHeight w:val="454"/>
        </w:trPr>
        <w:tc>
          <w:tcPr>
            <w:tcW w:w="9816" w:type="dxa"/>
            <w:shd w:val="clear" w:color="auto" w:fill="F2F2F2"/>
            <w:vAlign w:val="center"/>
          </w:tcPr>
          <w:p>
            <w:pPr>
              <w:spacing w:before="120" w:line="240" w:lineRule="auto"/>
              <w:rPr>
                <w:b/>
              </w:rPr>
            </w:pPr>
            <w:r>
              <w:rPr>
                <w:b/>
              </w:rPr>
              <w:t>Location of research activity</w:t>
            </w:r>
          </w:p>
          <w:p>
            <w:pPr>
              <w:spacing w:line="240" w:lineRule="auto"/>
            </w:pPr>
            <w:r>
              <w:t>Identify all locations where research activity will take place.</w:t>
            </w:r>
          </w:p>
        </w:tc>
      </w:tr>
      <w:tr>
        <w:trPr>
          <w:trHeight w:val="454"/>
        </w:trPr>
        <w:tc>
          <w:tcPr>
            <w:tcW w:w="9816" w:type="dxa"/>
            <w:vAlign w:val="center"/>
          </w:tcPr>
          <w:p>
            <w:pPr>
              <w:spacing w:line="240" w:lineRule="auto"/>
            </w:pPr>
            <w:r>
              <w:t xml:space="preserve">Co-educational secondary school in South Wales. </w:t>
            </w:r>
          </w:p>
          <w:p>
            <w:pPr>
              <w:spacing w:line="240" w:lineRule="auto"/>
            </w:pPr>
          </w:p>
          <w:p>
            <w:pPr>
              <w:spacing w:line="240" w:lineRule="auto"/>
              <w:rPr>
                <w:b/>
              </w:rPr>
            </w:pPr>
            <w:r>
              <w:rPr>
                <w:color w:val="808080"/>
                <w:sz w:val="18"/>
                <w:szCs w:val="18"/>
              </w:rPr>
              <w:t>(this box should expand as you type)</w:t>
            </w:r>
          </w:p>
        </w:tc>
      </w:tr>
      <w:tr>
        <w:trPr>
          <w:trHeight w:val="454"/>
        </w:trPr>
        <w:tc>
          <w:tcPr>
            <w:tcW w:w="9816" w:type="dxa"/>
            <w:shd w:val="clear" w:color="auto" w:fill="F2F2F2"/>
            <w:vAlign w:val="center"/>
          </w:tcPr>
          <w:p>
            <w:pPr>
              <w:spacing w:before="120" w:line="240" w:lineRule="auto"/>
              <w:rPr>
                <w:b/>
              </w:rPr>
            </w:pPr>
            <w:r>
              <w:rPr>
                <w:b/>
              </w:rPr>
              <w:t>Research activity outside of the UK</w:t>
            </w:r>
          </w:p>
          <w:p>
            <w:pPr>
              <w:spacing w:line="240" w:lineRule="auto"/>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trPr>
          <w:trHeight w:val="454"/>
        </w:trPr>
        <w:tc>
          <w:tcPr>
            <w:tcW w:w="9816" w:type="dxa"/>
            <w:vAlign w:val="center"/>
          </w:tcPr>
          <w:p>
            <w:pPr>
              <w:spacing w:line="240" w:lineRule="auto"/>
            </w:pPr>
            <w:r>
              <w:t xml:space="preserve">Not applicable. </w:t>
            </w:r>
          </w:p>
          <w:p>
            <w:pPr>
              <w:spacing w:line="240" w:lineRule="auto"/>
            </w:pPr>
          </w:p>
          <w:p>
            <w:pPr>
              <w:spacing w:line="240" w:lineRule="auto"/>
              <w:rPr>
                <w:b/>
              </w:rPr>
            </w:pPr>
            <w:r>
              <w:rPr>
                <w:color w:val="808080"/>
                <w:sz w:val="18"/>
                <w:szCs w:val="18"/>
              </w:rPr>
              <w:t>(this box should expand as you type)</w:t>
            </w:r>
          </w:p>
        </w:tc>
      </w:tr>
    </w:tbl>
    <w:p>
      <w:pPr>
        <w:spacing w:line="240" w:lineRule="auto"/>
      </w:pPr>
    </w:p>
    <w:p>
      <w:pPr>
        <w:spacing w:line="240" w:lineRule="auto"/>
        <w:jc w:val="both"/>
        <w:rPr>
          <w:b/>
        </w:rPr>
      </w:pPr>
    </w:p>
    <w:p>
      <w:pPr>
        <w:spacing w:line="240" w:lineRule="auto"/>
        <w:jc w:val="both"/>
        <w:rPr>
          <w:b/>
        </w:rPr>
      </w:pPr>
      <w:r>
        <w:rPr>
          <w:b/>
        </w:rPr>
        <w:t>SECTION F: Scope of Research Activity</w:t>
      </w:r>
    </w:p>
    <w:p>
      <w:pPr>
        <w:spacing w:line="240" w:lineRule="auto"/>
        <w:rPr>
          <w:sz w:val="12"/>
          <w:szCs w:val="12"/>
        </w:rPr>
      </w:pPr>
    </w:p>
    <w:tbl>
      <w:tblPr>
        <w:tblStyle w:val="afff1"/>
        <w:tblW w:w="988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17"/>
        <w:gridCol w:w="850"/>
        <w:gridCol w:w="822"/>
      </w:tblGrid>
      <w:tr>
        <w:tc>
          <w:tcPr>
            <w:tcW w:w="8217" w:type="dxa"/>
            <w:shd w:val="clear" w:color="auto" w:fill="F2F2F2"/>
          </w:tcPr>
          <w:p>
            <w:pPr>
              <w:spacing w:line="240" w:lineRule="auto"/>
              <w:jc w:val="both"/>
              <w:rPr>
                <w:b/>
              </w:rPr>
            </w:pPr>
            <w:r>
              <w:rPr>
                <w:b/>
              </w:rPr>
              <w:t>Will the research activity include:</w:t>
            </w:r>
          </w:p>
        </w:tc>
        <w:tc>
          <w:tcPr>
            <w:tcW w:w="850" w:type="dxa"/>
            <w:shd w:val="clear" w:color="auto" w:fill="F2F2F2"/>
          </w:tcPr>
          <w:p>
            <w:pPr>
              <w:spacing w:line="240" w:lineRule="auto"/>
              <w:jc w:val="center"/>
              <w:rPr>
                <w:b/>
              </w:rPr>
            </w:pPr>
          </w:p>
          <w:p>
            <w:pPr>
              <w:spacing w:line="240" w:lineRule="auto"/>
              <w:jc w:val="center"/>
              <w:rPr>
                <w:b/>
              </w:rPr>
            </w:pPr>
            <w:r>
              <w:rPr>
                <w:b/>
              </w:rPr>
              <w:t>YES</w:t>
            </w:r>
          </w:p>
        </w:tc>
        <w:tc>
          <w:tcPr>
            <w:tcW w:w="822" w:type="dxa"/>
            <w:shd w:val="clear" w:color="auto" w:fill="F2F2F2"/>
          </w:tcPr>
          <w:p>
            <w:pPr>
              <w:spacing w:line="240" w:lineRule="auto"/>
              <w:jc w:val="center"/>
              <w:rPr>
                <w:b/>
              </w:rPr>
            </w:pPr>
          </w:p>
          <w:p>
            <w:pPr>
              <w:spacing w:line="240" w:lineRule="auto"/>
              <w:jc w:val="center"/>
              <w:rPr>
                <w:b/>
              </w:rPr>
            </w:pPr>
            <w:r>
              <w:rPr>
                <w:b/>
              </w:rPr>
              <w:t>NO</w:t>
            </w:r>
          </w:p>
        </w:tc>
      </w:tr>
      <w:tr>
        <w:trPr>
          <w:trHeight w:val="439"/>
        </w:trPr>
        <w:tc>
          <w:tcPr>
            <w:tcW w:w="8217" w:type="dxa"/>
            <w:shd w:val="clear" w:color="auto" w:fill="F2F2F2"/>
            <w:vAlign w:val="center"/>
          </w:tcPr>
          <w:p>
            <w:pPr>
              <w:spacing w:line="240" w:lineRule="auto"/>
            </w:pPr>
            <w:r>
              <w:t>Use of a questionnaire or similar research instrument?</w:t>
            </w:r>
          </w:p>
        </w:tc>
        <w:tc>
          <w:tcPr>
            <w:tcW w:w="850" w:type="dxa"/>
            <w:shd w:val="clear" w:color="auto" w:fill="BFBFBF"/>
            <w:vAlign w:val="center"/>
          </w:tcPr>
          <w:p>
            <w:pPr>
              <w:spacing w:line="240" w:lineRule="auto"/>
              <w:jc w:val="center"/>
            </w:pPr>
            <w:r>
              <w:rPr>
                <w:b/>
              </w:rPr>
              <w:t>X</w:t>
            </w:r>
            <w:r>
              <w:rPr>
                <w:rFonts w:ascii="MS Gothic" w:eastAsia="MS Gothic" w:hAnsi="MS Gothic" w:cs="MS Gothic"/>
                <w:b/>
              </w:rPr>
              <w:t>☐</w:t>
            </w:r>
          </w:p>
        </w:tc>
        <w:tc>
          <w:tcPr>
            <w:tcW w:w="822" w:type="dxa"/>
            <w:shd w:val="clear" w:color="auto" w:fill="BFBFBF"/>
            <w:vAlign w:val="center"/>
          </w:tcPr>
          <w:p>
            <w:pPr>
              <w:spacing w:line="240" w:lineRule="auto"/>
              <w:jc w:val="center"/>
            </w:pPr>
            <w:r>
              <w:rPr>
                <w:rFonts w:ascii="MS Gothic" w:eastAsia="MS Gothic" w:hAnsi="MS Gothic" w:cs="MS Gothic"/>
                <w:b/>
              </w:rPr>
              <w:t>☐</w:t>
            </w:r>
          </w:p>
        </w:tc>
      </w:tr>
      <w:tr>
        <w:trPr>
          <w:trHeight w:val="439"/>
        </w:trPr>
        <w:tc>
          <w:tcPr>
            <w:tcW w:w="8217" w:type="dxa"/>
            <w:shd w:val="clear" w:color="auto" w:fill="F2F2F2"/>
            <w:vAlign w:val="center"/>
          </w:tcPr>
          <w:p>
            <w:pPr>
              <w:spacing w:line="240" w:lineRule="auto"/>
            </w:pPr>
            <w:r>
              <w:t>Use of interviews?</w:t>
            </w:r>
          </w:p>
        </w:tc>
        <w:tc>
          <w:tcPr>
            <w:tcW w:w="850" w:type="dxa"/>
            <w:shd w:val="clear" w:color="auto" w:fill="BFBFBF"/>
            <w:vAlign w:val="center"/>
          </w:tcPr>
          <w:p>
            <w:pPr>
              <w:spacing w:line="240" w:lineRule="auto"/>
              <w:jc w:val="center"/>
            </w:pPr>
            <w:r>
              <w:rPr>
                <w:rFonts w:ascii="MS Gothic" w:eastAsia="MS Gothic" w:hAnsi="MS Gothic" w:cs="MS Gothic"/>
                <w:b/>
              </w:rPr>
              <w:t>☐</w:t>
            </w:r>
          </w:p>
        </w:tc>
        <w:tc>
          <w:tcPr>
            <w:tcW w:w="822"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8217" w:type="dxa"/>
            <w:shd w:val="clear" w:color="auto" w:fill="F2F2F2"/>
            <w:vAlign w:val="center"/>
          </w:tcPr>
          <w:p>
            <w:pPr>
              <w:spacing w:line="240" w:lineRule="auto"/>
            </w:pPr>
            <w:r>
              <w:t>Use of diaries?</w:t>
            </w:r>
          </w:p>
        </w:tc>
        <w:tc>
          <w:tcPr>
            <w:tcW w:w="850" w:type="dxa"/>
            <w:shd w:val="clear" w:color="auto" w:fill="BFBFBF"/>
            <w:vAlign w:val="center"/>
          </w:tcPr>
          <w:p>
            <w:pPr>
              <w:spacing w:line="240" w:lineRule="auto"/>
              <w:jc w:val="center"/>
            </w:pPr>
            <w:r>
              <w:rPr>
                <w:rFonts w:ascii="MS Gothic" w:eastAsia="MS Gothic" w:hAnsi="MS Gothic" w:cs="MS Gothic"/>
                <w:b/>
              </w:rPr>
              <w:t>☐</w:t>
            </w:r>
          </w:p>
        </w:tc>
        <w:tc>
          <w:tcPr>
            <w:tcW w:w="822"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8217" w:type="dxa"/>
            <w:shd w:val="clear" w:color="auto" w:fill="F2F2F2"/>
            <w:vAlign w:val="center"/>
          </w:tcPr>
          <w:p>
            <w:pPr>
              <w:spacing w:line="240" w:lineRule="auto"/>
            </w:pPr>
            <w:r>
              <w:t>Participant observation with their knowledge?</w:t>
            </w:r>
          </w:p>
        </w:tc>
        <w:tc>
          <w:tcPr>
            <w:tcW w:w="850" w:type="dxa"/>
            <w:shd w:val="clear" w:color="auto" w:fill="BFBFBF"/>
            <w:vAlign w:val="center"/>
          </w:tcPr>
          <w:p>
            <w:pPr>
              <w:spacing w:line="240" w:lineRule="auto"/>
              <w:jc w:val="center"/>
            </w:pPr>
            <w:r>
              <w:rPr>
                <w:rFonts w:ascii="MS Gothic" w:eastAsia="MS Gothic" w:hAnsi="MS Gothic" w:cs="MS Gothic"/>
                <w:b/>
              </w:rPr>
              <w:t>☐</w:t>
            </w:r>
          </w:p>
        </w:tc>
        <w:tc>
          <w:tcPr>
            <w:tcW w:w="822"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39"/>
        </w:trPr>
        <w:tc>
          <w:tcPr>
            <w:tcW w:w="8217" w:type="dxa"/>
            <w:shd w:val="clear" w:color="auto" w:fill="F2F2F2"/>
            <w:vAlign w:val="center"/>
          </w:tcPr>
          <w:p>
            <w:pPr>
              <w:spacing w:line="240" w:lineRule="auto"/>
            </w:pPr>
            <w:r>
              <w:t>Participant observation without their knowledge?</w:t>
            </w:r>
          </w:p>
        </w:tc>
        <w:tc>
          <w:tcPr>
            <w:tcW w:w="850" w:type="dxa"/>
            <w:shd w:val="clear" w:color="auto" w:fill="BFBFBF"/>
            <w:vAlign w:val="center"/>
          </w:tcPr>
          <w:p>
            <w:pPr>
              <w:spacing w:line="240" w:lineRule="auto"/>
              <w:jc w:val="center"/>
            </w:pPr>
            <w:r>
              <w:rPr>
                <w:rFonts w:ascii="MS Gothic" w:eastAsia="MS Gothic" w:hAnsi="MS Gothic" w:cs="MS Gothic"/>
                <w:b/>
              </w:rPr>
              <w:t>☐</w:t>
            </w:r>
          </w:p>
        </w:tc>
        <w:tc>
          <w:tcPr>
            <w:tcW w:w="822"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8217" w:type="dxa"/>
            <w:shd w:val="clear" w:color="auto" w:fill="F2F2F2"/>
            <w:vAlign w:val="center"/>
          </w:tcPr>
          <w:p>
            <w:pPr>
              <w:spacing w:line="240" w:lineRule="auto"/>
            </w:pPr>
            <w:r>
              <w:t>Use of video or audio recording?</w:t>
            </w:r>
          </w:p>
        </w:tc>
        <w:tc>
          <w:tcPr>
            <w:tcW w:w="850" w:type="dxa"/>
            <w:shd w:val="clear" w:color="auto" w:fill="BFBFBF"/>
            <w:vAlign w:val="center"/>
          </w:tcPr>
          <w:p>
            <w:pPr>
              <w:spacing w:line="240" w:lineRule="auto"/>
              <w:jc w:val="center"/>
            </w:pPr>
            <w:r>
              <w:rPr>
                <w:rFonts w:ascii="MS Gothic" w:eastAsia="MS Gothic" w:hAnsi="MS Gothic" w:cs="MS Gothic"/>
                <w:b/>
              </w:rPr>
              <w:t>☐</w:t>
            </w:r>
          </w:p>
        </w:tc>
        <w:tc>
          <w:tcPr>
            <w:tcW w:w="822"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39"/>
        </w:trPr>
        <w:tc>
          <w:tcPr>
            <w:tcW w:w="8217" w:type="dxa"/>
            <w:shd w:val="clear" w:color="auto" w:fill="F2F2F2"/>
            <w:vAlign w:val="center"/>
          </w:tcPr>
          <w:p>
            <w:pPr>
              <w:spacing w:line="240" w:lineRule="auto"/>
            </w:pPr>
            <w:r>
              <w:t>Access to personal or confidential information without the participants’ specific consent?</w:t>
            </w:r>
          </w:p>
        </w:tc>
        <w:tc>
          <w:tcPr>
            <w:tcW w:w="850" w:type="dxa"/>
            <w:shd w:val="clear" w:color="auto" w:fill="BFBFBF"/>
            <w:vAlign w:val="center"/>
          </w:tcPr>
          <w:p>
            <w:pPr>
              <w:spacing w:line="240" w:lineRule="auto"/>
              <w:jc w:val="center"/>
            </w:pPr>
            <w:r>
              <w:rPr>
                <w:rFonts w:ascii="MS Gothic" w:eastAsia="MS Gothic" w:hAnsi="MS Gothic" w:cs="MS Gothic"/>
                <w:b/>
              </w:rPr>
              <w:t>☐</w:t>
            </w:r>
          </w:p>
        </w:tc>
        <w:tc>
          <w:tcPr>
            <w:tcW w:w="822"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8217" w:type="dxa"/>
            <w:shd w:val="clear" w:color="auto" w:fill="F2F2F2"/>
            <w:vAlign w:val="center"/>
          </w:tcPr>
          <w:p>
            <w:pPr>
              <w:spacing w:line="240" w:lineRule="auto"/>
            </w:pPr>
            <w:r>
              <w:t>Administration of any questions, test stimuli, presentation that may be experienced as physically, mentally or emotionally harmful / offensive?</w:t>
            </w:r>
          </w:p>
        </w:tc>
        <w:tc>
          <w:tcPr>
            <w:tcW w:w="850" w:type="dxa"/>
            <w:shd w:val="clear" w:color="auto" w:fill="BFBFBF"/>
            <w:vAlign w:val="center"/>
          </w:tcPr>
          <w:p>
            <w:pPr>
              <w:spacing w:line="240" w:lineRule="auto"/>
              <w:jc w:val="center"/>
            </w:pPr>
            <w:r>
              <w:rPr>
                <w:rFonts w:ascii="MS Gothic" w:eastAsia="MS Gothic" w:hAnsi="MS Gothic" w:cs="MS Gothic"/>
                <w:b/>
              </w:rPr>
              <w:t>☐</w:t>
            </w:r>
          </w:p>
        </w:tc>
        <w:tc>
          <w:tcPr>
            <w:tcW w:w="822"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8217" w:type="dxa"/>
            <w:shd w:val="clear" w:color="auto" w:fill="F2F2F2"/>
            <w:vAlign w:val="center"/>
          </w:tcPr>
          <w:p>
            <w:pPr>
              <w:spacing w:line="240" w:lineRule="auto"/>
            </w:pPr>
            <w:r>
              <w:t>Performance of any acts which may cause embarrassment or affect self-esteem?</w:t>
            </w:r>
          </w:p>
        </w:tc>
        <w:tc>
          <w:tcPr>
            <w:tcW w:w="850" w:type="dxa"/>
            <w:shd w:val="clear" w:color="auto" w:fill="BFBFBF"/>
            <w:vAlign w:val="center"/>
          </w:tcPr>
          <w:p>
            <w:pPr>
              <w:spacing w:line="240" w:lineRule="auto"/>
              <w:jc w:val="center"/>
            </w:pPr>
            <w:r>
              <w:rPr>
                <w:rFonts w:ascii="MS Gothic" w:eastAsia="MS Gothic" w:hAnsi="MS Gothic" w:cs="MS Gothic"/>
                <w:b/>
              </w:rPr>
              <w:t>☐</w:t>
            </w:r>
          </w:p>
        </w:tc>
        <w:tc>
          <w:tcPr>
            <w:tcW w:w="822"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8217" w:type="dxa"/>
            <w:shd w:val="clear" w:color="auto" w:fill="F2F2F2"/>
            <w:vAlign w:val="center"/>
          </w:tcPr>
          <w:p>
            <w:pPr>
              <w:spacing w:line="240" w:lineRule="auto"/>
            </w:pPr>
            <w:r>
              <w:t>Investigation of participants involved in illegal activities?</w:t>
            </w:r>
          </w:p>
        </w:tc>
        <w:tc>
          <w:tcPr>
            <w:tcW w:w="850" w:type="dxa"/>
            <w:shd w:val="clear" w:color="auto" w:fill="BFBFBF"/>
            <w:vAlign w:val="center"/>
          </w:tcPr>
          <w:p>
            <w:pPr>
              <w:spacing w:line="240" w:lineRule="auto"/>
              <w:jc w:val="center"/>
            </w:pPr>
            <w:r>
              <w:rPr>
                <w:rFonts w:ascii="MS Gothic" w:eastAsia="MS Gothic" w:hAnsi="MS Gothic" w:cs="MS Gothic"/>
                <w:b/>
              </w:rPr>
              <w:t>☐</w:t>
            </w:r>
          </w:p>
        </w:tc>
        <w:tc>
          <w:tcPr>
            <w:tcW w:w="822"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8217" w:type="dxa"/>
            <w:shd w:val="clear" w:color="auto" w:fill="F2F2F2"/>
            <w:vAlign w:val="center"/>
          </w:tcPr>
          <w:p>
            <w:pPr>
              <w:spacing w:line="240" w:lineRule="auto"/>
            </w:pPr>
            <w:r>
              <w:t>Use of procedures that involve deception?</w:t>
            </w:r>
          </w:p>
        </w:tc>
        <w:tc>
          <w:tcPr>
            <w:tcW w:w="850" w:type="dxa"/>
            <w:shd w:val="clear" w:color="auto" w:fill="BFBFBF"/>
            <w:vAlign w:val="center"/>
          </w:tcPr>
          <w:p>
            <w:pPr>
              <w:spacing w:line="240" w:lineRule="auto"/>
              <w:jc w:val="center"/>
            </w:pPr>
            <w:r>
              <w:rPr>
                <w:rFonts w:ascii="MS Gothic" w:eastAsia="MS Gothic" w:hAnsi="MS Gothic" w:cs="MS Gothic"/>
                <w:b/>
              </w:rPr>
              <w:t>☐</w:t>
            </w:r>
          </w:p>
        </w:tc>
        <w:tc>
          <w:tcPr>
            <w:tcW w:w="822"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8217" w:type="dxa"/>
            <w:shd w:val="clear" w:color="auto" w:fill="F2F2F2"/>
            <w:vAlign w:val="center"/>
          </w:tcPr>
          <w:p>
            <w:pPr>
              <w:spacing w:line="240" w:lineRule="auto"/>
            </w:pPr>
            <w:r>
              <w:t>Administration of any substance, agent or placebo?</w:t>
            </w:r>
          </w:p>
        </w:tc>
        <w:tc>
          <w:tcPr>
            <w:tcW w:w="850" w:type="dxa"/>
            <w:shd w:val="clear" w:color="auto" w:fill="BFBFBF"/>
            <w:vAlign w:val="center"/>
          </w:tcPr>
          <w:p>
            <w:pPr>
              <w:spacing w:line="240" w:lineRule="auto"/>
              <w:jc w:val="center"/>
            </w:pPr>
            <w:r>
              <w:rPr>
                <w:rFonts w:ascii="MS Gothic" w:eastAsia="MS Gothic" w:hAnsi="MS Gothic" w:cs="MS Gothic"/>
                <w:b/>
              </w:rPr>
              <w:t>☐</w:t>
            </w:r>
          </w:p>
        </w:tc>
        <w:tc>
          <w:tcPr>
            <w:tcW w:w="822"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8217" w:type="dxa"/>
            <w:shd w:val="clear" w:color="auto" w:fill="F2F2F2"/>
            <w:vAlign w:val="center"/>
          </w:tcPr>
          <w:p>
            <w:pPr>
              <w:spacing w:line="240" w:lineRule="auto"/>
            </w:pPr>
            <w:r>
              <w:t>Working with live vertebrate animals?</w:t>
            </w:r>
          </w:p>
        </w:tc>
        <w:tc>
          <w:tcPr>
            <w:tcW w:w="850" w:type="dxa"/>
            <w:shd w:val="clear" w:color="auto" w:fill="BFBFBF"/>
            <w:vAlign w:val="center"/>
          </w:tcPr>
          <w:p>
            <w:pPr>
              <w:spacing w:line="240" w:lineRule="auto"/>
              <w:jc w:val="center"/>
            </w:pPr>
            <w:r>
              <w:rPr>
                <w:rFonts w:ascii="MS Gothic" w:eastAsia="MS Gothic" w:hAnsi="MS Gothic" w:cs="MS Gothic"/>
                <w:b/>
              </w:rPr>
              <w:t>☐</w:t>
            </w:r>
          </w:p>
        </w:tc>
        <w:tc>
          <w:tcPr>
            <w:tcW w:w="822"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8217" w:type="dxa"/>
            <w:shd w:val="clear" w:color="auto" w:fill="F2F2F2"/>
            <w:vAlign w:val="center"/>
          </w:tcPr>
          <w:p>
            <w:pPr>
              <w:spacing w:line="240" w:lineRule="auto"/>
            </w:pPr>
            <w:r>
              <w:t>Other primary data collection methods, please explain in this box</w:t>
            </w:r>
          </w:p>
          <w:p>
            <w:pPr>
              <w:spacing w:line="240" w:lineRule="auto"/>
            </w:pPr>
          </w:p>
          <w:p>
            <w:pPr>
              <w:spacing w:line="240" w:lineRule="auto"/>
            </w:pPr>
          </w:p>
          <w:p>
            <w:pPr>
              <w:spacing w:line="240" w:lineRule="auto"/>
            </w:pPr>
          </w:p>
        </w:tc>
        <w:tc>
          <w:tcPr>
            <w:tcW w:w="850" w:type="dxa"/>
            <w:shd w:val="clear" w:color="auto" w:fill="BFBFBF"/>
            <w:vAlign w:val="center"/>
          </w:tcPr>
          <w:p>
            <w:pPr>
              <w:spacing w:line="240" w:lineRule="auto"/>
              <w:jc w:val="center"/>
              <w:rPr>
                <w:b/>
              </w:rPr>
            </w:pPr>
            <w:r>
              <w:rPr>
                <w:rFonts w:ascii="MS Gothic" w:eastAsia="MS Gothic" w:hAnsi="MS Gothic" w:cs="MS Gothic"/>
                <w:b/>
              </w:rPr>
              <w:t>☐</w:t>
            </w:r>
          </w:p>
        </w:tc>
        <w:tc>
          <w:tcPr>
            <w:tcW w:w="822" w:type="dxa"/>
            <w:shd w:val="clear" w:color="auto" w:fill="BFBFBF"/>
            <w:vAlign w:val="center"/>
          </w:tcPr>
          <w:p>
            <w:pPr>
              <w:spacing w:line="240" w:lineRule="auto"/>
              <w:jc w:val="center"/>
              <w:rPr>
                <w:b/>
              </w:rPr>
            </w:pPr>
            <w:r>
              <w:rPr>
                <w:b/>
              </w:rPr>
              <w:t>X</w:t>
            </w:r>
            <w:r>
              <w:rPr>
                <w:rFonts w:ascii="MS Gothic" w:eastAsia="MS Gothic" w:hAnsi="MS Gothic" w:cs="MS Gothic"/>
                <w:b/>
              </w:rPr>
              <w:t>☐</w:t>
            </w:r>
          </w:p>
        </w:tc>
      </w:tr>
    </w:tbl>
    <w:p>
      <w:pPr>
        <w:spacing w:line="240" w:lineRule="auto"/>
        <w:rPr>
          <w:sz w:val="20"/>
          <w:szCs w:val="20"/>
        </w:rPr>
      </w:pPr>
    </w:p>
    <w:p>
      <w:pPr>
        <w:spacing w:line="240" w:lineRule="auto"/>
        <w:jc w:val="both"/>
      </w:pPr>
      <w:r>
        <w:t xml:space="preserve">If NO to every question, then the research activity is (ethically) low risk and </w:t>
      </w:r>
      <w:r>
        <w:rPr>
          <w:b/>
        </w:rPr>
        <w:t>may</w:t>
      </w:r>
      <w:r>
        <w:t xml:space="preserve"> be exempt from </w:t>
      </w:r>
      <w:r>
        <w:rPr>
          <w:b/>
        </w:rPr>
        <w:t>some</w:t>
      </w:r>
      <w:r>
        <w:t xml:space="preserve"> of the following sections (please refer to Guidance Notes).</w:t>
      </w:r>
    </w:p>
    <w:p>
      <w:pPr>
        <w:spacing w:line="240" w:lineRule="auto"/>
      </w:pPr>
    </w:p>
    <w:p>
      <w:pPr>
        <w:spacing w:line="240" w:lineRule="auto"/>
      </w:pPr>
      <w:r>
        <w:t xml:space="preserve">If YES to any question, then no research activity should be undertaken until full ethical approval has been obtained. </w:t>
      </w:r>
    </w:p>
    <w:p>
      <w:pPr>
        <w:spacing w:line="240" w:lineRule="auto"/>
        <w:rPr>
          <w:b/>
        </w:rPr>
      </w:pPr>
      <w:r>
        <w:br w:type="page"/>
      </w:r>
    </w:p>
    <w:p>
      <w:pPr>
        <w:spacing w:line="240" w:lineRule="auto"/>
        <w:rPr>
          <w:b/>
        </w:rPr>
      </w:pPr>
      <w:r>
        <w:rPr>
          <w:b/>
        </w:rPr>
        <w:t>SECTION G: Intended Participants</w:t>
      </w:r>
    </w:p>
    <w:p>
      <w:pPr>
        <w:spacing w:line="240" w:lineRule="auto"/>
        <w:rPr>
          <w:sz w:val="16"/>
          <w:szCs w:val="16"/>
        </w:rPr>
      </w:pPr>
    </w:p>
    <w:tbl>
      <w:tblPr>
        <w:tblStyle w:val="afff2"/>
        <w:tblW w:w="988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763"/>
        <w:gridCol w:w="992"/>
        <w:gridCol w:w="1134"/>
      </w:tblGrid>
      <w:tr>
        <w:tc>
          <w:tcPr>
            <w:tcW w:w="7763" w:type="dxa"/>
            <w:shd w:val="clear" w:color="auto" w:fill="F2F2F2"/>
          </w:tcPr>
          <w:p>
            <w:pPr>
              <w:spacing w:line="240" w:lineRule="auto"/>
              <w:jc w:val="both"/>
              <w:rPr>
                <w:b/>
              </w:rPr>
            </w:pPr>
            <w:r>
              <w:rPr>
                <w:b/>
              </w:rPr>
              <w:t>Who are the intended participants:</w:t>
            </w:r>
          </w:p>
        </w:tc>
        <w:tc>
          <w:tcPr>
            <w:tcW w:w="992" w:type="dxa"/>
            <w:shd w:val="clear" w:color="auto" w:fill="F2F2F2"/>
          </w:tcPr>
          <w:p>
            <w:pPr>
              <w:spacing w:line="240" w:lineRule="auto"/>
              <w:jc w:val="center"/>
              <w:rPr>
                <w:b/>
              </w:rPr>
            </w:pPr>
          </w:p>
          <w:p>
            <w:pPr>
              <w:spacing w:line="240" w:lineRule="auto"/>
              <w:jc w:val="center"/>
              <w:rPr>
                <w:b/>
              </w:rPr>
            </w:pPr>
            <w:r>
              <w:rPr>
                <w:b/>
              </w:rPr>
              <w:t>YES</w:t>
            </w:r>
          </w:p>
        </w:tc>
        <w:tc>
          <w:tcPr>
            <w:tcW w:w="1134" w:type="dxa"/>
            <w:shd w:val="clear" w:color="auto" w:fill="F2F2F2"/>
          </w:tcPr>
          <w:p>
            <w:pPr>
              <w:spacing w:line="240" w:lineRule="auto"/>
              <w:jc w:val="center"/>
              <w:rPr>
                <w:b/>
              </w:rPr>
            </w:pPr>
          </w:p>
          <w:p>
            <w:pPr>
              <w:spacing w:line="240" w:lineRule="auto"/>
              <w:jc w:val="center"/>
              <w:rPr>
                <w:b/>
              </w:rPr>
            </w:pPr>
            <w:r>
              <w:rPr>
                <w:b/>
              </w:rPr>
              <w:t>NO</w:t>
            </w:r>
          </w:p>
        </w:tc>
      </w:tr>
      <w:tr>
        <w:trPr>
          <w:trHeight w:val="439"/>
        </w:trPr>
        <w:tc>
          <w:tcPr>
            <w:tcW w:w="7763" w:type="dxa"/>
            <w:shd w:val="clear" w:color="auto" w:fill="F2F2F2"/>
            <w:vAlign w:val="center"/>
          </w:tcPr>
          <w:p>
            <w:pPr>
              <w:spacing w:line="240" w:lineRule="auto"/>
            </w:pPr>
            <w:r>
              <w:t>Students or staff at the University?</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7763" w:type="dxa"/>
            <w:shd w:val="clear" w:color="auto" w:fill="F2F2F2"/>
            <w:vAlign w:val="center"/>
          </w:tcPr>
          <w:p>
            <w:pPr>
              <w:spacing w:line="240" w:lineRule="auto"/>
            </w:pPr>
            <w:r>
              <w:t>Adults (over the age of 18 and competent to give consent)?</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39"/>
        </w:trPr>
        <w:tc>
          <w:tcPr>
            <w:tcW w:w="7763" w:type="dxa"/>
            <w:shd w:val="clear" w:color="auto" w:fill="F2F2F2"/>
            <w:vAlign w:val="center"/>
          </w:tcPr>
          <w:p>
            <w:pPr>
              <w:spacing w:line="240" w:lineRule="auto"/>
            </w:pPr>
            <w:r>
              <w:t>Vulnerable adults?</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7763" w:type="dxa"/>
            <w:shd w:val="clear" w:color="auto" w:fill="F2F2F2"/>
            <w:vAlign w:val="center"/>
          </w:tcPr>
          <w:p>
            <w:pPr>
              <w:spacing w:line="240" w:lineRule="auto"/>
            </w:pPr>
            <w:r>
              <w:t>Children under 18?</w:t>
            </w:r>
          </w:p>
        </w:tc>
        <w:tc>
          <w:tcPr>
            <w:tcW w:w="992" w:type="dxa"/>
            <w:shd w:val="clear" w:color="auto" w:fill="BFBFBF"/>
            <w:vAlign w:val="center"/>
          </w:tcPr>
          <w:p>
            <w:pPr>
              <w:spacing w:line="240" w:lineRule="auto"/>
              <w:jc w:val="center"/>
            </w:pPr>
            <w:r>
              <w:rPr>
                <w:b/>
              </w:rPr>
              <w:t>X</w:t>
            </w:r>
            <w:r>
              <w:rPr>
                <w:rFonts w:ascii="MS Gothic" w:eastAsia="MS Gothic" w:hAnsi="MS Gothic" w:cs="MS Gothic"/>
                <w:b/>
              </w:rPr>
              <w:t>☐</w:t>
            </w:r>
          </w:p>
        </w:tc>
        <w:tc>
          <w:tcPr>
            <w:tcW w:w="1134" w:type="dxa"/>
            <w:shd w:val="clear" w:color="auto" w:fill="BFBFBF"/>
            <w:vAlign w:val="center"/>
          </w:tcPr>
          <w:p>
            <w:pPr>
              <w:spacing w:line="240" w:lineRule="auto"/>
              <w:jc w:val="center"/>
            </w:pPr>
            <w:r>
              <w:rPr>
                <w:rFonts w:ascii="MS Gothic" w:eastAsia="MS Gothic" w:hAnsi="MS Gothic" w:cs="MS Gothic"/>
                <w:b/>
              </w:rPr>
              <w:t>☐</w:t>
            </w:r>
          </w:p>
        </w:tc>
      </w:tr>
      <w:tr>
        <w:trPr>
          <w:trHeight w:val="403"/>
        </w:trPr>
        <w:tc>
          <w:tcPr>
            <w:tcW w:w="7763" w:type="dxa"/>
            <w:shd w:val="clear" w:color="auto" w:fill="F2F2F2"/>
            <w:vAlign w:val="center"/>
          </w:tcPr>
          <w:p>
            <w:pPr>
              <w:spacing w:line="240" w:lineRule="auto"/>
            </w:pPr>
            <w:r>
              <w:t>Prisoners?</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39"/>
        </w:trPr>
        <w:tc>
          <w:tcPr>
            <w:tcW w:w="7763" w:type="dxa"/>
            <w:shd w:val="clear" w:color="auto" w:fill="F2F2F2"/>
            <w:vAlign w:val="center"/>
          </w:tcPr>
          <w:p>
            <w:pPr>
              <w:spacing w:line="240" w:lineRule="auto"/>
            </w:pPr>
            <w:r>
              <w:t>Young offenders?</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7763" w:type="dxa"/>
            <w:shd w:val="clear" w:color="auto" w:fill="F2F2F2"/>
            <w:vAlign w:val="center"/>
          </w:tcPr>
          <w:p>
            <w:pPr>
              <w:spacing w:line="240" w:lineRule="auto"/>
            </w:pPr>
            <w:r>
              <w:t>Those who could be considered to have a particularly dependent relationship with the investigator or a gatekeeper?</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7763" w:type="dxa"/>
            <w:shd w:val="clear" w:color="auto" w:fill="F2F2F2"/>
            <w:vAlign w:val="center"/>
          </w:tcPr>
          <w:p>
            <w:pPr>
              <w:spacing w:line="240" w:lineRule="auto"/>
            </w:pPr>
            <w:r>
              <w:t>People engaged in illegal activities?</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7763" w:type="dxa"/>
            <w:shd w:val="clear" w:color="auto" w:fill="F2F2F2"/>
            <w:vAlign w:val="center"/>
          </w:tcPr>
          <w:p>
            <w:pPr>
              <w:spacing w:line="240" w:lineRule="auto"/>
            </w:pPr>
            <w:r>
              <w:t>Others (please identify):</w:t>
            </w:r>
          </w:p>
          <w:p>
            <w:pPr>
              <w:spacing w:line="240" w:lineRule="auto"/>
            </w:pPr>
          </w:p>
          <w:p>
            <w:pPr>
              <w:spacing w:line="240" w:lineRule="auto"/>
            </w:pP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r>
    </w:tbl>
    <w:p>
      <w:pPr>
        <w:spacing w:line="240" w:lineRule="auto"/>
        <w:rPr>
          <w:sz w:val="16"/>
          <w:szCs w:val="16"/>
        </w:rPr>
      </w:pPr>
    </w:p>
    <w:tbl>
      <w:tblPr>
        <w:tblStyle w:val="afff3"/>
        <w:tblW w:w="988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889"/>
      </w:tblGrid>
      <w:tr>
        <w:trPr>
          <w:trHeight w:val="403"/>
        </w:trPr>
        <w:tc>
          <w:tcPr>
            <w:tcW w:w="9889" w:type="dxa"/>
            <w:shd w:val="clear" w:color="auto" w:fill="F2F2F2"/>
            <w:vAlign w:val="center"/>
          </w:tcPr>
          <w:p>
            <w:pPr>
              <w:spacing w:line="240" w:lineRule="auto"/>
              <w:rPr>
                <w:b/>
              </w:rPr>
            </w:pPr>
            <w:r>
              <w:rPr>
                <w:b/>
              </w:rPr>
              <w:t>Participant numbers and source</w:t>
            </w:r>
          </w:p>
          <w:p>
            <w:pPr>
              <w:spacing w:line="240" w:lineRule="auto"/>
            </w:pPr>
            <w:r>
              <w:t xml:space="preserve">Provide an estimate of the expected number of participants. How will you identify participants and how will they be recruited? </w:t>
            </w:r>
          </w:p>
        </w:tc>
      </w:tr>
      <w:tr>
        <w:trPr>
          <w:trHeight w:val="403"/>
        </w:trPr>
        <w:tc>
          <w:tcPr>
            <w:tcW w:w="9889" w:type="dxa"/>
            <w:vAlign w:val="center"/>
          </w:tcPr>
          <w:p>
            <w:pPr>
              <w:spacing w:line="240" w:lineRule="auto"/>
            </w:pPr>
            <w:r>
              <w:t xml:space="preserve">It is estimated that 50 pupils will partake in the questionnaire. The sample will comprise male and female year 11 pupils from the top two science sets in the year group. The top two sets, only, will be sampled as these comprise pupils who have chosen to study triple science GSCE as opposed to Double Award Science and empirical work suggests that it is only pupils who select triple science GCSEs, then go on to study science A Levels. Prior to the commencement of the research, the potential participants will be gathered during form time to be told about the research and their rights regarding it, as will be discussed later in this form. </w:t>
            </w:r>
          </w:p>
          <w:p>
            <w:pPr>
              <w:spacing w:line="240" w:lineRule="auto"/>
            </w:pPr>
          </w:p>
          <w:p>
            <w:pPr>
              <w:spacing w:line="240" w:lineRule="auto"/>
              <w:rPr>
                <w:b/>
              </w:rPr>
            </w:pPr>
            <w:r>
              <w:rPr>
                <w:color w:val="808080"/>
                <w:sz w:val="18"/>
                <w:szCs w:val="18"/>
              </w:rPr>
              <w:t>this box should expand as you type)</w:t>
            </w:r>
          </w:p>
        </w:tc>
      </w:tr>
    </w:tbl>
    <w:p>
      <w:pPr>
        <w:spacing w:line="240" w:lineRule="auto"/>
        <w:rPr>
          <w:sz w:val="16"/>
          <w:szCs w:val="16"/>
        </w:rPr>
      </w:pPr>
    </w:p>
    <w:tbl>
      <w:tblPr>
        <w:tblStyle w:val="afff4"/>
        <w:tblW w:w="988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629"/>
        <w:gridCol w:w="1134"/>
        <w:gridCol w:w="992"/>
        <w:gridCol w:w="1134"/>
      </w:tblGrid>
      <w:tr>
        <w:tc>
          <w:tcPr>
            <w:tcW w:w="6629" w:type="dxa"/>
            <w:shd w:val="clear" w:color="auto" w:fill="F2F2F2"/>
          </w:tcPr>
          <w:p>
            <w:pPr>
              <w:spacing w:line="240" w:lineRule="auto"/>
              <w:jc w:val="both"/>
              <w:rPr>
                <w:b/>
              </w:rPr>
            </w:pPr>
            <w:r>
              <w:rPr>
                <w:b/>
              </w:rPr>
              <w:t>Information for participants:</w:t>
            </w:r>
          </w:p>
        </w:tc>
        <w:tc>
          <w:tcPr>
            <w:tcW w:w="1134" w:type="dxa"/>
            <w:shd w:val="clear" w:color="auto" w:fill="F2F2F2"/>
            <w:vAlign w:val="bottom"/>
          </w:tcPr>
          <w:p>
            <w:pPr>
              <w:spacing w:line="240" w:lineRule="auto"/>
              <w:jc w:val="center"/>
              <w:rPr>
                <w:b/>
                <w:sz w:val="16"/>
                <w:szCs w:val="16"/>
              </w:rPr>
            </w:pPr>
          </w:p>
          <w:p>
            <w:pPr>
              <w:spacing w:line="240" w:lineRule="auto"/>
              <w:jc w:val="center"/>
              <w:rPr>
                <w:b/>
              </w:rPr>
            </w:pPr>
            <w:r>
              <w:rPr>
                <w:b/>
              </w:rPr>
              <w:t>YES</w:t>
            </w:r>
          </w:p>
        </w:tc>
        <w:tc>
          <w:tcPr>
            <w:tcW w:w="992" w:type="dxa"/>
            <w:shd w:val="clear" w:color="auto" w:fill="F2F2F2"/>
            <w:vAlign w:val="bottom"/>
          </w:tcPr>
          <w:p>
            <w:pPr>
              <w:spacing w:line="240" w:lineRule="auto"/>
              <w:jc w:val="center"/>
              <w:rPr>
                <w:b/>
              </w:rPr>
            </w:pPr>
            <w:r>
              <w:rPr>
                <w:b/>
              </w:rPr>
              <w:t>NO</w:t>
            </w:r>
          </w:p>
        </w:tc>
        <w:tc>
          <w:tcPr>
            <w:tcW w:w="1134" w:type="dxa"/>
            <w:shd w:val="clear" w:color="auto" w:fill="F2F2F2"/>
          </w:tcPr>
          <w:p>
            <w:pPr>
              <w:spacing w:line="240" w:lineRule="auto"/>
              <w:jc w:val="center"/>
              <w:rPr>
                <w:b/>
                <w:sz w:val="16"/>
                <w:szCs w:val="16"/>
              </w:rPr>
            </w:pPr>
          </w:p>
          <w:p>
            <w:pPr>
              <w:spacing w:line="240" w:lineRule="auto"/>
              <w:jc w:val="center"/>
              <w:rPr>
                <w:b/>
              </w:rPr>
            </w:pPr>
            <w:r>
              <w:rPr>
                <w:b/>
              </w:rPr>
              <w:t>N/A</w:t>
            </w:r>
          </w:p>
        </w:tc>
      </w:tr>
      <w:tr>
        <w:trPr>
          <w:trHeight w:val="439"/>
        </w:trPr>
        <w:tc>
          <w:tcPr>
            <w:tcW w:w="6629" w:type="dxa"/>
            <w:shd w:val="clear" w:color="auto" w:fill="F2F2F2"/>
            <w:vAlign w:val="center"/>
          </w:tcPr>
          <w:p>
            <w:pPr>
              <w:spacing w:line="240" w:lineRule="auto"/>
            </w:pPr>
            <w:r>
              <w:t>Will you describe the main research procedures to participants in advance, so that they are informed about what to expect?</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rFonts w:ascii="MS Gothic" w:eastAsia="MS Gothic" w:hAnsi="MS Gothic" w:cs="MS Gothic"/>
                <w:b/>
              </w:rPr>
              <w:t>☐</w:t>
            </w:r>
          </w:p>
        </w:tc>
      </w:tr>
      <w:tr>
        <w:trPr>
          <w:trHeight w:val="403"/>
        </w:trPr>
        <w:tc>
          <w:tcPr>
            <w:tcW w:w="6629" w:type="dxa"/>
            <w:shd w:val="clear" w:color="auto" w:fill="F2F2F2"/>
            <w:vAlign w:val="center"/>
          </w:tcPr>
          <w:p>
            <w:pPr>
              <w:spacing w:line="240" w:lineRule="auto"/>
            </w:pPr>
            <w:r>
              <w:t>Will you tell participants that their participation is voluntary?</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rFonts w:ascii="MS Gothic" w:eastAsia="MS Gothic" w:hAnsi="MS Gothic" w:cs="MS Gothic"/>
                <w:b/>
              </w:rPr>
              <w:t>☐</w:t>
            </w:r>
          </w:p>
        </w:tc>
      </w:tr>
      <w:tr>
        <w:trPr>
          <w:trHeight w:val="439"/>
        </w:trPr>
        <w:tc>
          <w:tcPr>
            <w:tcW w:w="6629" w:type="dxa"/>
            <w:shd w:val="clear" w:color="auto" w:fill="F2F2F2"/>
            <w:vAlign w:val="center"/>
          </w:tcPr>
          <w:p>
            <w:pPr>
              <w:spacing w:line="240" w:lineRule="auto"/>
            </w:pPr>
            <w:r>
              <w:t>Will you obtain written consent for participation?</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rFonts w:ascii="MS Gothic" w:eastAsia="MS Gothic" w:hAnsi="MS Gothic" w:cs="MS Gothic"/>
                <w:b/>
              </w:rPr>
              <w:t>☐</w:t>
            </w:r>
          </w:p>
        </w:tc>
      </w:tr>
      <w:tr>
        <w:trPr>
          <w:trHeight w:val="403"/>
        </w:trPr>
        <w:tc>
          <w:tcPr>
            <w:tcW w:w="6629" w:type="dxa"/>
            <w:shd w:val="clear" w:color="auto" w:fill="F2F2F2"/>
            <w:vAlign w:val="center"/>
          </w:tcPr>
          <w:p>
            <w:pPr>
              <w:spacing w:line="240" w:lineRule="auto"/>
            </w:pPr>
            <w:r>
              <w:t>Will you explain to participants that refusal to participate in the research will not affect their treatment or education (if relevant)?</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rFonts w:ascii="MS Gothic" w:eastAsia="MS Gothic" w:hAnsi="MS Gothic" w:cs="MS Gothic"/>
                <w:b/>
              </w:rPr>
              <w:t>☐</w:t>
            </w:r>
          </w:p>
        </w:tc>
      </w:tr>
      <w:tr>
        <w:trPr>
          <w:trHeight w:val="439"/>
        </w:trPr>
        <w:tc>
          <w:tcPr>
            <w:tcW w:w="6629" w:type="dxa"/>
            <w:shd w:val="clear" w:color="auto" w:fill="F2F2F2"/>
            <w:vAlign w:val="center"/>
          </w:tcPr>
          <w:p>
            <w:pPr>
              <w:spacing w:line="240" w:lineRule="auto"/>
            </w:pPr>
            <w:r>
              <w:t>If the research is observational, will you ask participants for their consent to being observed?</w:t>
            </w:r>
          </w:p>
        </w:tc>
        <w:tc>
          <w:tcPr>
            <w:tcW w:w="1134" w:type="dxa"/>
            <w:shd w:val="clear" w:color="auto" w:fill="BFBFBF"/>
            <w:vAlign w:val="center"/>
          </w:tcPr>
          <w:p>
            <w:pPr>
              <w:spacing w:line="240" w:lineRule="auto"/>
              <w:jc w:val="center"/>
            </w:pPr>
            <w:r>
              <w:rPr>
                <w:rFonts w:ascii="MS Gothic" w:eastAsia="MS Gothic" w:hAnsi="MS Gothic" w:cs="MS Gothic"/>
                <w:b/>
              </w:rPr>
              <w:t>☐</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6629" w:type="dxa"/>
            <w:shd w:val="clear" w:color="auto" w:fill="F2F2F2"/>
            <w:vAlign w:val="center"/>
          </w:tcPr>
          <w:p>
            <w:pPr>
              <w:spacing w:line="240" w:lineRule="auto"/>
            </w:pPr>
            <w:r>
              <w:t>Will you tell participants that they may withdraw from the research at any time and for any reason?</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rFonts w:ascii="MS Gothic" w:eastAsia="MS Gothic" w:hAnsi="MS Gothic" w:cs="MS Gothic"/>
                <w:b/>
              </w:rPr>
              <w:t>☐</w:t>
            </w:r>
          </w:p>
        </w:tc>
      </w:tr>
      <w:tr>
        <w:trPr>
          <w:trHeight w:val="439"/>
        </w:trPr>
        <w:tc>
          <w:tcPr>
            <w:tcW w:w="6629" w:type="dxa"/>
            <w:shd w:val="clear" w:color="auto" w:fill="F2F2F2"/>
            <w:vAlign w:val="center"/>
          </w:tcPr>
          <w:p>
            <w:pPr>
              <w:spacing w:line="240" w:lineRule="auto"/>
            </w:pPr>
            <w:r>
              <w:t>With questionnaires, will you give participants the option of omitting questions they do not want to answer?</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rFonts w:ascii="MS Gothic" w:eastAsia="MS Gothic" w:hAnsi="MS Gothic" w:cs="MS Gothic"/>
                <w:b/>
              </w:rPr>
              <w:t>☐</w:t>
            </w:r>
          </w:p>
        </w:tc>
      </w:tr>
      <w:tr>
        <w:trPr>
          <w:trHeight w:val="403"/>
        </w:trPr>
        <w:tc>
          <w:tcPr>
            <w:tcW w:w="6629" w:type="dxa"/>
            <w:shd w:val="clear" w:color="auto" w:fill="F2F2F2"/>
            <w:vAlign w:val="center"/>
          </w:tcPr>
          <w:p>
            <w:pPr>
              <w:spacing w:line="240" w:lineRule="auto"/>
            </w:pPr>
            <w:r>
              <w:t>Will you tell participants that their data will be treated with full confidentiality and that, if published, it will not be identifiable as theirs?</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rFonts w:ascii="MS Gothic" w:eastAsia="MS Gothic" w:hAnsi="MS Gothic" w:cs="MS Gothic"/>
                <w:b/>
              </w:rPr>
              <w:t>☐</w:t>
            </w:r>
          </w:p>
        </w:tc>
      </w:tr>
      <w:tr>
        <w:trPr>
          <w:trHeight w:val="439"/>
        </w:trPr>
        <w:tc>
          <w:tcPr>
            <w:tcW w:w="6629" w:type="dxa"/>
            <w:shd w:val="clear" w:color="auto" w:fill="F2F2F2"/>
            <w:vAlign w:val="center"/>
          </w:tcPr>
          <w:p>
            <w:pPr>
              <w:spacing w:line="240" w:lineRule="auto"/>
            </w:pPr>
            <w:r>
              <w:t>Will you debrief participants at the end of their participation, in a way appropriate to the type of research undertaken?</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rFonts w:ascii="MS Gothic" w:eastAsia="MS Gothic" w:hAnsi="MS Gothic" w:cs="MS Gothic"/>
                <w:b/>
              </w:rPr>
              <w:t>☐</w:t>
            </w:r>
          </w:p>
        </w:tc>
      </w:tr>
      <w:tr>
        <w:trPr>
          <w:trHeight w:val="403"/>
        </w:trPr>
        <w:tc>
          <w:tcPr>
            <w:tcW w:w="9889" w:type="dxa"/>
            <w:gridSpan w:val="4"/>
            <w:shd w:val="clear" w:color="auto" w:fill="F2F2F2"/>
            <w:vAlign w:val="center"/>
          </w:tcPr>
          <w:p>
            <w:pPr>
              <w:spacing w:line="240" w:lineRule="auto"/>
            </w:pPr>
            <w:r>
              <w:t>If NO</w:t>
            </w:r>
            <w:r>
              <w:rPr>
                <w:b/>
              </w:rPr>
              <w:t xml:space="preserve"> </w:t>
            </w:r>
            <w:r>
              <w:t xml:space="preserve">to any of above questions, please give an explanation </w:t>
            </w:r>
          </w:p>
        </w:tc>
      </w:tr>
      <w:tr>
        <w:trPr>
          <w:trHeight w:val="403"/>
        </w:trPr>
        <w:tc>
          <w:tcPr>
            <w:tcW w:w="9889" w:type="dxa"/>
            <w:gridSpan w:val="4"/>
            <w:vAlign w:val="center"/>
          </w:tcPr>
          <w:p>
            <w:pPr>
              <w:spacing w:line="240" w:lineRule="auto"/>
            </w:pPr>
          </w:p>
          <w:p>
            <w:pPr>
              <w:spacing w:line="240" w:lineRule="auto"/>
            </w:pPr>
          </w:p>
          <w:p>
            <w:pPr>
              <w:spacing w:line="240" w:lineRule="auto"/>
            </w:pPr>
          </w:p>
          <w:p>
            <w:pPr>
              <w:spacing w:line="240" w:lineRule="auto"/>
              <w:rPr>
                <w:rFonts w:ascii="Times New Roman" w:eastAsia="Times New Roman" w:hAnsi="Times New Roman" w:cs="Times New Roman"/>
                <w:sz w:val="20"/>
                <w:szCs w:val="20"/>
              </w:rPr>
            </w:pPr>
            <w:r>
              <w:rPr>
                <w:color w:val="808080"/>
                <w:sz w:val="18"/>
                <w:szCs w:val="18"/>
              </w:rPr>
              <w:t>(this box should expand as you type)</w:t>
            </w:r>
          </w:p>
        </w:tc>
      </w:tr>
    </w:tbl>
    <w:p>
      <w:pPr>
        <w:spacing w:line="240" w:lineRule="auto"/>
      </w:pPr>
    </w:p>
    <w:p>
      <w:pPr>
        <w:spacing w:line="240" w:lineRule="auto"/>
      </w:pPr>
    </w:p>
    <w:p>
      <w:pPr>
        <w:spacing w:line="240" w:lineRule="auto"/>
        <w:rPr>
          <w:rFonts w:ascii="Times New Roman" w:eastAsia="Times New Roman" w:hAnsi="Times New Roman" w:cs="Times New Roman"/>
          <w:sz w:val="20"/>
          <w:szCs w:val="20"/>
        </w:rPr>
      </w:pPr>
      <w:r>
        <w:br w:type="page"/>
      </w:r>
    </w:p>
    <w:tbl>
      <w:tblPr>
        <w:tblStyle w:val="afff5"/>
        <w:tblW w:w="988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629"/>
        <w:gridCol w:w="1134"/>
        <w:gridCol w:w="992"/>
        <w:gridCol w:w="1134"/>
      </w:tblGrid>
      <w:tr>
        <w:tc>
          <w:tcPr>
            <w:tcW w:w="6629" w:type="dxa"/>
            <w:shd w:val="clear" w:color="auto" w:fill="F2F2F2"/>
          </w:tcPr>
          <w:p>
            <w:pPr>
              <w:spacing w:line="240" w:lineRule="auto"/>
              <w:jc w:val="both"/>
              <w:rPr>
                <w:b/>
              </w:rPr>
            </w:pPr>
            <w:r>
              <w:rPr>
                <w:b/>
              </w:rPr>
              <w:t>Information for participants:</w:t>
            </w:r>
          </w:p>
        </w:tc>
        <w:tc>
          <w:tcPr>
            <w:tcW w:w="1134" w:type="dxa"/>
            <w:shd w:val="clear" w:color="auto" w:fill="F2F2F2"/>
            <w:vAlign w:val="bottom"/>
          </w:tcPr>
          <w:p>
            <w:pPr>
              <w:spacing w:line="240" w:lineRule="auto"/>
              <w:jc w:val="center"/>
              <w:rPr>
                <w:b/>
                <w:sz w:val="16"/>
                <w:szCs w:val="16"/>
              </w:rPr>
            </w:pPr>
          </w:p>
          <w:p>
            <w:pPr>
              <w:spacing w:line="240" w:lineRule="auto"/>
              <w:jc w:val="center"/>
              <w:rPr>
                <w:b/>
              </w:rPr>
            </w:pPr>
            <w:r>
              <w:rPr>
                <w:b/>
              </w:rPr>
              <w:t>YES</w:t>
            </w:r>
          </w:p>
        </w:tc>
        <w:tc>
          <w:tcPr>
            <w:tcW w:w="992" w:type="dxa"/>
            <w:shd w:val="clear" w:color="auto" w:fill="F2F2F2"/>
            <w:vAlign w:val="bottom"/>
          </w:tcPr>
          <w:p>
            <w:pPr>
              <w:spacing w:line="240" w:lineRule="auto"/>
              <w:jc w:val="center"/>
              <w:rPr>
                <w:b/>
              </w:rPr>
            </w:pPr>
            <w:r>
              <w:rPr>
                <w:b/>
              </w:rPr>
              <w:t>NO</w:t>
            </w:r>
          </w:p>
        </w:tc>
        <w:tc>
          <w:tcPr>
            <w:tcW w:w="1134" w:type="dxa"/>
            <w:shd w:val="clear" w:color="auto" w:fill="F2F2F2"/>
            <w:vAlign w:val="bottom"/>
          </w:tcPr>
          <w:p>
            <w:pPr>
              <w:spacing w:line="240" w:lineRule="auto"/>
              <w:jc w:val="center"/>
              <w:rPr>
                <w:b/>
                <w:sz w:val="16"/>
                <w:szCs w:val="16"/>
              </w:rPr>
            </w:pPr>
          </w:p>
          <w:p>
            <w:pPr>
              <w:spacing w:line="240" w:lineRule="auto"/>
              <w:jc w:val="center"/>
              <w:rPr>
                <w:b/>
              </w:rPr>
            </w:pPr>
            <w:r>
              <w:rPr>
                <w:b/>
              </w:rPr>
              <w:t>N/A</w:t>
            </w:r>
          </w:p>
        </w:tc>
      </w:tr>
      <w:tr>
        <w:trPr>
          <w:trHeight w:val="439"/>
        </w:trPr>
        <w:tc>
          <w:tcPr>
            <w:tcW w:w="6629" w:type="dxa"/>
            <w:shd w:val="clear" w:color="auto" w:fill="F2F2F2"/>
            <w:vAlign w:val="center"/>
          </w:tcPr>
          <w:p>
            <w:pPr>
              <w:spacing w:line="240" w:lineRule="auto"/>
            </w:pPr>
            <w:r>
              <w:t>Will participants be paid?</w:t>
            </w:r>
          </w:p>
        </w:tc>
        <w:tc>
          <w:tcPr>
            <w:tcW w:w="1134" w:type="dxa"/>
            <w:shd w:val="clear" w:color="auto" w:fill="BFBFBF"/>
            <w:vAlign w:val="center"/>
          </w:tcPr>
          <w:p>
            <w:pPr>
              <w:spacing w:line="240" w:lineRule="auto"/>
              <w:jc w:val="center"/>
            </w:pPr>
            <w:r>
              <w:rPr>
                <w:rFonts w:ascii="MS Gothic" w:eastAsia="MS Gothic" w:hAnsi="MS Gothic" w:cs="MS Gothic"/>
                <w:b/>
              </w:rPr>
              <w:t>☐</w:t>
            </w:r>
          </w:p>
        </w:tc>
        <w:tc>
          <w:tcPr>
            <w:tcW w:w="992" w:type="dxa"/>
            <w:shd w:val="clear" w:color="auto" w:fill="BFBFBF"/>
            <w:vAlign w:val="center"/>
          </w:tcPr>
          <w:p>
            <w:pPr>
              <w:spacing w:line="240" w:lineRule="auto"/>
              <w:jc w:val="center"/>
            </w:pPr>
            <w:r>
              <w:rPr>
                <w:b/>
              </w:rPr>
              <w:t>X</w:t>
            </w:r>
            <w:r>
              <w:rPr>
                <w:rFonts w:ascii="MS Gothic" w:eastAsia="MS Gothic" w:hAnsi="MS Gothic" w:cs="MS Gothic"/>
                <w:b/>
              </w:rPr>
              <w:t>☐</w:t>
            </w:r>
          </w:p>
        </w:tc>
        <w:tc>
          <w:tcPr>
            <w:tcW w:w="1134" w:type="dxa"/>
            <w:shd w:val="clear" w:color="auto" w:fill="BFBFBF"/>
            <w:vAlign w:val="center"/>
          </w:tcPr>
          <w:p>
            <w:pPr>
              <w:spacing w:line="240" w:lineRule="auto"/>
              <w:jc w:val="center"/>
            </w:pPr>
            <w:r>
              <w:rPr>
                <w:rFonts w:ascii="MS Gothic" w:eastAsia="MS Gothic" w:hAnsi="MS Gothic" w:cs="MS Gothic"/>
                <w:b/>
              </w:rPr>
              <w:t>☐</w:t>
            </w:r>
          </w:p>
        </w:tc>
      </w:tr>
      <w:tr>
        <w:trPr>
          <w:trHeight w:val="403"/>
        </w:trPr>
        <w:tc>
          <w:tcPr>
            <w:tcW w:w="6629" w:type="dxa"/>
            <w:shd w:val="clear" w:color="auto" w:fill="F2F2F2"/>
            <w:vAlign w:val="center"/>
          </w:tcPr>
          <w:p>
            <w:pPr>
              <w:spacing w:line="240" w:lineRule="auto"/>
            </w:pPr>
            <w:r>
              <w:t>Is specialist electrical or other equipment to be used with participants?</w:t>
            </w:r>
          </w:p>
        </w:tc>
        <w:tc>
          <w:tcPr>
            <w:tcW w:w="1134" w:type="dxa"/>
            <w:shd w:val="clear" w:color="auto" w:fill="BFBFBF"/>
            <w:vAlign w:val="center"/>
          </w:tcPr>
          <w:p>
            <w:pPr>
              <w:spacing w:line="240" w:lineRule="auto"/>
              <w:jc w:val="center"/>
            </w:pPr>
            <w:r>
              <w:rPr>
                <w:rFonts w:ascii="MS Gothic" w:eastAsia="MS Gothic" w:hAnsi="MS Gothic" w:cs="MS Gothic"/>
                <w:b/>
              </w:rPr>
              <w:t>☐</w:t>
            </w:r>
          </w:p>
        </w:tc>
        <w:tc>
          <w:tcPr>
            <w:tcW w:w="992" w:type="dxa"/>
            <w:shd w:val="clear" w:color="auto" w:fill="BFBFBF"/>
            <w:vAlign w:val="center"/>
          </w:tcPr>
          <w:p>
            <w:pPr>
              <w:spacing w:line="240" w:lineRule="auto"/>
              <w:jc w:val="center"/>
            </w:pPr>
            <w:r>
              <w:rPr>
                <w:b/>
              </w:rPr>
              <w:t>X</w:t>
            </w:r>
            <w:r>
              <w:rPr>
                <w:rFonts w:ascii="MS Gothic" w:eastAsia="MS Gothic" w:hAnsi="MS Gothic" w:cs="MS Gothic"/>
                <w:b/>
              </w:rPr>
              <w:t>☐</w:t>
            </w:r>
          </w:p>
        </w:tc>
        <w:tc>
          <w:tcPr>
            <w:tcW w:w="1134" w:type="dxa"/>
            <w:shd w:val="clear" w:color="auto" w:fill="BFBFBF"/>
            <w:vAlign w:val="center"/>
          </w:tcPr>
          <w:p>
            <w:pPr>
              <w:spacing w:line="240" w:lineRule="auto"/>
              <w:jc w:val="center"/>
            </w:pPr>
            <w:r>
              <w:rPr>
                <w:rFonts w:ascii="MS Gothic" w:eastAsia="MS Gothic" w:hAnsi="MS Gothic" w:cs="MS Gothic"/>
                <w:b/>
              </w:rPr>
              <w:t>☐</w:t>
            </w:r>
          </w:p>
        </w:tc>
      </w:tr>
      <w:tr>
        <w:trPr>
          <w:trHeight w:val="439"/>
        </w:trPr>
        <w:tc>
          <w:tcPr>
            <w:tcW w:w="6629" w:type="dxa"/>
            <w:shd w:val="clear" w:color="auto" w:fill="F2F2F2"/>
            <w:vAlign w:val="center"/>
          </w:tcPr>
          <w:p>
            <w:pPr>
              <w:spacing w:line="240" w:lineRule="auto"/>
            </w:pPr>
            <w:r>
              <w:t>Are there any financial or other interests to the investigator or University arising from this study?</w:t>
            </w:r>
          </w:p>
        </w:tc>
        <w:tc>
          <w:tcPr>
            <w:tcW w:w="1134" w:type="dxa"/>
            <w:shd w:val="clear" w:color="auto" w:fill="BFBFBF"/>
            <w:vAlign w:val="center"/>
          </w:tcPr>
          <w:p>
            <w:pPr>
              <w:spacing w:line="240" w:lineRule="auto"/>
              <w:jc w:val="center"/>
            </w:pPr>
            <w:r>
              <w:rPr>
                <w:rFonts w:ascii="MS Gothic" w:eastAsia="MS Gothic" w:hAnsi="MS Gothic" w:cs="MS Gothic"/>
                <w:b/>
              </w:rPr>
              <w:t>☐</w:t>
            </w:r>
          </w:p>
        </w:tc>
        <w:tc>
          <w:tcPr>
            <w:tcW w:w="992" w:type="dxa"/>
            <w:shd w:val="clear" w:color="auto" w:fill="BFBFBF"/>
            <w:vAlign w:val="center"/>
          </w:tcPr>
          <w:p>
            <w:pPr>
              <w:spacing w:line="240" w:lineRule="auto"/>
              <w:jc w:val="center"/>
            </w:pPr>
            <w:r>
              <w:rPr>
                <w:b/>
              </w:rPr>
              <w:t>X</w:t>
            </w:r>
            <w:r>
              <w:rPr>
                <w:rFonts w:ascii="MS Gothic" w:eastAsia="MS Gothic" w:hAnsi="MS Gothic" w:cs="MS Gothic"/>
                <w:b/>
              </w:rPr>
              <w:t>☐</w:t>
            </w:r>
          </w:p>
        </w:tc>
        <w:tc>
          <w:tcPr>
            <w:tcW w:w="1134" w:type="dxa"/>
            <w:shd w:val="clear" w:color="auto" w:fill="BFBFBF"/>
            <w:vAlign w:val="center"/>
          </w:tcPr>
          <w:p>
            <w:pPr>
              <w:spacing w:line="240" w:lineRule="auto"/>
              <w:jc w:val="center"/>
            </w:pPr>
            <w:r>
              <w:rPr>
                <w:rFonts w:ascii="MS Gothic" w:eastAsia="MS Gothic" w:hAnsi="MS Gothic" w:cs="MS Gothic"/>
                <w:b/>
              </w:rPr>
              <w:t>☐</w:t>
            </w:r>
          </w:p>
        </w:tc>
      </w:tr>
      <w:tr>
        <w:trPr>
          <w:trHeight w:val="403"/>
        </w:trPr>
        <w:tc>
          <w:tcPr>
            <w:tcW w:w="6629" w:type="dxa"/>
            <w:shd w:val="clear" w:color="auto" w:fill="F2F2F2"/>
            <w:vAlign w:val="center"/>
          </w:tcPr>
          <w:p>
            <w:pPr>
              <w:spacing w:line="240" w:lineRule="auto"/>
            </w:pPr>
            <w:r>
              <w:t>Will the research activity involve deliberately misleading participants in any way, or the partial or full concealment of the specific study aims?</w:t>
            </w:r>
          </w:p>
        </w:tc>
        <w:tc>
          <w:tcPr>
            <w:tcW w:w="1134" w:type="dxa"/>
            <w:shd w:val="clear" w:color="auto" w:fill="BFBFBF"/>
            <w:vAlign w:val="center"/>
          </w:tcPr>
          <w:p>
            <w:pPr>
              <w:spacing w:line="240" w:lineRule="auto"/>
              <w:jc w:val="center"/>
            </w:pPr>
            <w:r>
              <w:rPr>
                <w:rFonts w:ascii="MS Gothic" w:eastAsia="MS Gothic" w:hAnsi="MS Gothic" w:cs="MS Gothic"/>
                <w:b/>
              </w:rPr>
              <w:t>☐</w:t>
            </w:r>
          </w:p>
        </w:tc>
        <w:tc>
          <w:tcPr>
            <w:tcW w:w="992" w:type="dxa"/>
            <w:shd w:val="clear" w:color="auto" w:fill="BFBFBF"/>
            <w:vAlign w:val="center"/>
          </w:tcPr>
          <w:p>
            <w:pPr>
              <w:spacing w:line="240" w:lineRule="auto"/>
              <w:jc w:val="center"/>
            </w:pPr>
            <w:r>
              <w:rPr>
                <w:b/>
              </w:rPr>
              <w:t>X</w:t>
            </w:r>
            <w:r>
              <w:rPr>
                <w:rFonts w:ascii="MS Gothic" w:eastAsia="MS Gothic" w:hAnsi="MS Gothic" w:cs="MS Gothic"/>
                <w:b/>
              </w:rPr>
              <w:t>☐</w:t>
            </w:r>
          </w:p>
        </w:tc>
        <w:tc>
          <w:tcPr>
            <w:tcW w:w="1134" w:type="dxa"/>
            <w:shd w:val="clear" w:color="auto" w:fill="BFBFBF"/>
            <w:vAlign w:val="center"/>
          </w:tcPr>
          <w:p>
            <w:pPr>
              <w:spacing w:line="240" w:lineRule="auto"/>
              <w:jc w:val="center"/>
            </w:pPr>
            <w:r>
              <w:rPr>
                <w:rFonts w:ascii="MS Gothic" w:eastAsia="MS Gothic" w:hAnsi="MS Gothic" w:cs="MS Gothic"/>
                <w:b/>
              </w:rPr>
              <w:t>☐</w:t>
            </w:r>
          </w:p>
        </w:tc>
      </w:tr>
      <w:tr>
        <w:trPr>
          <w:trHeight w:val="403"/>
        </w:trPr>
        <w:tc>
          <w:tcPr>
            <w:tcW w:w="9889" w:type="dxa"/>
            <w:gridSpan w:val="4"/>
            <w:shd w:val="clear" w:color="auto" w:fill="F2F2F2"/>
            <w:vAlign w:val="center"/>
          </w:tcPr>
          <w:p>
            <w:pPr>
              <w:spacing w:line="240" w:lineRule="auto"/>
            </w:pPr>
            <w:r>
              <w:t>If YES</w:t>
            </w:r>
            <w:r>
              <w:rPr>
                <w:b/>
              </w:rPr>
              <w:t xml:space="preserve"> </w:t>
            </w:r>
            <w:r>
              <w:t xml:space="preserve">to any question, please provide full details </w:t>
            </w:r>
          </w:p>
        </w:tc>
      </w:tr>
      <w:tr>
        <w:trPr>
          <w:trHeight w:val="403"/>
        </w:trPr>
        <w:tc>
          <w:tcPr>
            <w:tcW w:w="9889" w:type="dxa"/>
            <w:gridSpan w:val="4"/>
            <w:vAlign w:val="center"/>
          </w:tcPr>
          <w:p>
            <w:pPr>
              <w:spacing w:line="240" w:lineRule="auto"/>
            </w:pPr>
          </w:p>
          <w:p>
            <w:pPr>
              <w:spacing w:line="240" w:lineRule="auto"/>
            </w:pPr>
          </w:p>
          <w:p>
            <w:pPr>
              <w:spacing w:line="240" w:lineRule="auto"/>
            </w:pPr>
          </w:p>
          <w:p>
            <w:pPr>
              <w:spacing w:line="240" w:lineRule="auto"/>
              <w:rPr>
                <w:rFonts w:ascii="Times New Roman" w:eastAsia="Times New Roman" w:hAnsi="Times New Roman" w:cs="Times New Roman"/>
                <w:sz w:val="20"/>
                <w:szCs w:val="20"/>
              </w:rPr>
            </w:pPr>
            <w:r>
              <w:rPr>
                <w:color w:val="808080"/>
                <w:sz w:val="18"/>
                <w:szCs w:val="18"/>
              </w:rPr>
              <w:t>(this box should expand as you type)</w:t>
            </w:r>
          </w:p>
        </w:tc>
      </w:tr>
    </w:tbl>
    <w:p>
      <w:pPr>
        <w:spacing w:line="240" w:lineRule="auto"/>
      </w:pPr>
    </w:p>
    <w:p>
      <w:pPr>
        <w:spacing w:line="240" w:lineRule="auto"/>
      </w:pPr>
      <w:r>
        <w:br w:type="page"/>
      </w:r>
    </w:p>
    <w:p>
      <w:pPr>
        <w:spacing w:line="240" w:lineRule="auto"/>
        <w:rPr>
          <w:b/>
        </w:rPr>
      </w:pPr>
      <w:r>
        <w:rPr>
          <w:b/>
        </w:rPr>
        <w:t>SECTION H: Anticipated Risks</w:t>
      </w:r>
    </w:p>
    <w:p>
      <w:pPr>
        <w:spacing w:line="240" w:lineRule="auto"/>
        <w:rPr>
          <w:sz w:val="16"/>
          <w:szCs w:val="16"/>
        </w:rPr>
      </w:pPr>
    </w:p>
    <w:tbl>
      <w:tblPr>
        <w:tblStyle w:val="afff6"/>
        <w:tblW w:w="9923"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3"/>
      </w:tblGrid>
      <w:tr>
        <w:tc>
          <w:tcPr>
            <w:tcW w:w="9923" w:type="dxa"/>
            <w:tcBorders>
              <w:bottom w:val="single" w:sz="4" w:space="0" w:color="000000"/>
            </w:tcBorders>
            <w:shd w:val="clear" w:color="auto" w:fill="F2F2F2"/>
          </w:tcPr>
          <w:p>
            <w:pPr>
              <w:pStyle w:val="Heading1"/>
              <w:keepLines w:val="0"/>
              <w:tabs>
                <w:tab w:val="left" w:pos="5103"/>
              </w:tabs>
              <w:spacing w:before="0" w:after="0" w:line="240" w:lineRule="auto"/>
              <w:rPr>
                <w:b/>
                <w:sz w:val="22"/>
                <w:szCs w:val="22"/>
              </w:rPr>
            </w:pPr>
            <w:r>
              <w:rPr>
                <w:b/>
                <w:sz w:val="22"/>
                <w:szCs w:val="22"/>
              </w:rPr>
              <w:t xml:space="preserve">Outline any anticipated risks that may adversely affect any of the participants, the researchers and/or the University, and the steps that will be taken to address them. </w:t>
            </w:r>
          </w:p>
          <w:p>
            <w:pPr>
              <w:spacing w:line="240" w:lineRule="auto"/>
              <w:rPr>
                <w:rFonts w:ascii="Times New Roman" w:eastAsia="Times New Roman" w:hAnsi="Times New Roman" w:cs="Times New Roman"/>
                <w:sz w:val="20"/>
                <w:szCs w:val="20"/>
              </w:rPr>
            </w:pPr>
          </w:p>
          <w:p>
            <w:pPr>
              <w:spacing w:line="240" w:lineRule="auto"/>
              <w:rPr>
                <w:sz w:val="20"/>
                <w:szCs w:val="20"/>
              </w:rPr>
            </w:pPr>
            <w:r>
              <w:t>If you have completed a full risk assessment (for example as required by a laboratory, or external research collaborator) you may append that to this form.</w:t>
            </w:r>
            <w:r>
              <w:rPr>
                <w:sz w:val="20"/>
                <w:szCs w:val="20"/>
              </w:rPr>
              <w:t xml:space="preserve">  </w:t>
            </w:r>
          </w:p>
        </w:tc>
      </w:tr>
      <w:tr>
        <w:tc>
          <w:tcPr>
            <w:tcW w:w="9923" w:type="dxa"/>
            <w:tcBorders>
              <w:bottom w:val="single" w:sz="4" w:space="0" w:color="000000"/>
            </w:tcBorders>
          </w:tcPr>
          <w:p>
            <w:pPr>
              <w:pStyle w:val="Heading1"/>
              <w:keepLines w:val="0"/>
              <w:tabs>
                <w:tab w:val="left" w:pos="5103"/>
              </w:tabs>
              <w:spacing w:before="0" w:after="0" w:line="240" w:lineRule="auto"/>
              <w:rPr>
                <w:b/>
                <w:sz w:val="20"/>
                <w:szCs w:val="20"/>
              </w:rPr>
            </w:pPr>
            <w:r>
              <w:rPr>
                <w:b/>
                <w:sz w:val="20"/>
                <w:szCs w:val="20"/>
              </w:rPr>
              <w:t xml:space="preserve">Full risk assessment completed and appended? </w:t>
            </w:r>
          </w:p>
          <w:p>
            <w:pPr>
              <w:spacing w:line="240" w:lineRule="auto"/>
              <w:rPr>
                <w:rFonts w:ascii="Times New Roman" w:eastAsia="Times New Roman" w:hAnsi="Times New Roman" w:cs="Times New Roman"/>
                <w:sz w:val="20"/>
                <w:szCs w:val="20"/>
              </w:rPr>
            </w:pPr>
          </w:p>
          <w:p>
            <w:pPr>
              <w:spacing w:line="240" w:lineRule="auto"/>
              <w:rPr>
                <w:b/>
              </w:rPr>
            </w:pPr>
            <w:r>
              <w:t xml:space="preserve">Yes                               </w:t>
            </w:r>
            <w:r>
              <w:rPr>
                <w:rFonts w:ascii="MS Gothic" w:eastAsia="MS Gothic" w:hAnsi="MS Gothic" w:cs="MS Gothic"/>
                <w:b/>
                <w:sz w:val="24"/>
                <w:szCs w:val="24"/>
              </w:rPr>
              <w:t>☐</w:t>
            </w:r>
          </w:p>
          <w:p>
            <w:pPr>
              <w:spacing w:line="240" w:lineRule="auto"/>
              <w:rPr>
                <w:b/>
                <w:sz w:val="20"/>
                <w:szCs w:val="20"/>
              </w:rPr>
            </w:pPr>
            <w:r>
              <w:t xml:space="preserve"> No</w:t>
            </w:r>
            <w:r>
              <w:rPr>
                <w:rFonts w:ascii="Times New Roman" w:eastAsia="Times New Roman" w:hAnsi="Times New Roman" w:cs="Times New Roman"/>
              </w:rPr>
              <w:t xml:space="preserve">                                  </w:t>
            </w:r>
            <w:r>
              <w:rPr>
                <w:b/>
                <w:sz w:val="24"/>
                <w:szCs w:val="24"/>
              </w:rPr>
              <w:t xml:space="preserve"> </w:t>
            </w:r>
            <w:r>
              <w:rPr>
                <w:b/>
              </w:rPr>
              <w:t>X</w:t>
            </w:r>
            <w:r>
              <w:rPr>
                <w:rFonts w:ascii="MS Gothic" w:eastAsia="MS Gothic" w:hAnsi="MS Gothic" w:cs="MS Gothic"/>
                <w:b/>
              </w:rPr>
              <w:t>☐</w:t>
            </w:r>
          </w:p>
          <w:p>
            <w:pPr>
              <w:spacing w:line="240" w:lineRule="auto"/>
              <w:rPr>
                <w:rFonts w:ascii="Times New Roman" w:eastAsia="Times New Roman" w:hAnsi="Times New Roman" w:cs="Times New Roman"/>
                <w:sz w:val="20"/>
                <w:szCs w:val="20"/>
              </w:rPr>
            </w:pPr>
          </w:p>
        </w:tc>
      </w:tr>
      <w:tr>
        <w:tc>
          <w:tcPr>
            <w:tcW w:w="9923" w:type="dxa"/>
            <w:tcBorders>
              <w:bottom w:val="single" w:sz="4" w:space="0" w:color="000000"/>
            </w:tcBorders>
            <w:shd w:val="clear" w:color="auto" w:fill="F2F2F2"/>
          </w:tcPr>
          <w:p>
            <w:pPr>
              <w:spacing w:line="240" w:lineRule="auto"/>
            </w:pPr>
            <w:r>
              <w:rPr>
                <w:b/>
              </w:rPr>
              <w:t>Risks to participants</w:t>
            </w:r>
          </w:p>
          <w:p>
            <w:pPr>
              <w:spacing w:line="240" w:lineRule="auto"/>
            </w:pPr>
            <w:r>
              <w:t>For example: emotional distress, financial disclosure, physical harm, transfer of personal data, sensitive organisational information</w:t>
            </w:r>
          </w:p>
        </w:tc>
      </w:tr>
      <w:tr>
        <w:tc>
          <w:tcPr>
            <w:tcW w:w="9923" w:type="dxa"/>
            <w:tcBorders>
              <w:top w:val="single" w:sz="4" w:space="0" w:color="000000"/>
              <w:bottom w:val="single" w:sz="4" w:space="0" w:color="000000"/>
            </w:tcBorders>
          </w:tcPr>
          <w:p>
            <w:pPr>
              <w:spacing w:line="240" w:lineRule="auto"/>
            </w:pPr>
            <w:r>
              <w:t xml:space="preserve">While every effort will be made to make pupils aware that they are not obliged to take part in the research and there will be no negative impacts on them for declining to take part, pupils may still feel, as the research is being conducted in a school and by a teacher, that they are expected to participate, thus potentially inflicting undue stress on pupils who would rather not take part (Cohen </w:t>
            </w:r>
            <w:r>
              <w:rPr>
                <w:i/>
              </w:rPr>
              <w:t>et al</w:t>
            </w:r>
            <w:r>
              <w:t xml:space="preserve">., 2018). They may also feel that certain answers are preferable to the researcher (Brooks </w:t>
            </w:r>
            <w:r>
              <w:rPr>
                <w:i/>
              </w:rPr>
              <w:t>et al</w:t>
            </w:r>
            <w:r>
              <w:t xml:space="preserve">., 2014) and so feel pressured to give a response that does not reflect their true feelings or beliefs. The researcher will be present during the implementation of the questionnaire in so that participants may ask for clarification if needed, although this may have the effect of participants feeling less at ease and under pressure the give the “correct” response. Harm may be caused to participants if, in the completed research, they are identifiable by their responses; this may cause harm or embarrassment depending on the responses they have given. </w:t>
            </w:r>
          </w:p>
          <w:p>
            <w:pPr>
              <w:spacing w:line="240" w:lineRule="auto"/>
            </w:pPr>
          </w:p>
          <w:p>
            <w:pPr>
              <w:spacing w:line="240" w:lineRule="auto"/>
            </w:pPr>
            <w:r>
              <w:t xml:space="preserve">In accordance with Article 12 of The United Nations Convention on the Rights of the Child, participants have the right to give their honest opinion and be listened to and taken seriously. Furthermore, in accordance with Article 12 and guidelines set out by the British Education Research Association, participants have the right to refuse to give an opinion. As such, it will be made explicitly clear to all participants that there is no “right answer” that is expected of them and they are under no obligation to answer every question. It will also be made clear that their responses will not be identifiable to them and not shared with anyone else as raw data (this will be discussed in more detail in the sections that follow). </w:t>
            </w:r>
          </w:p>
          <w:p>
            <w:pPr>
              <w:spacing w:line="240" w:lineRule="auto"/>
            </w:pPr>
          </w:p>
          <w:p>
            <w:pPr>
              <w:spacing w:line="240" w:lineRule="auto"/>
            </w:pPr>
            <w:r>
              <w:t xml:space="preserve">Additional consideration should be given to the potential psychological harm caused to pupils by being asked to identify their gender. While this may be a straightforward question for the majority of 15-16 year olds questioned, it may inflict distress on some pupils. It will be made clear prior to gaining consent and the commencement of the research that pupils will be asked about their gender on the questionnaire. Furthermore, the options available for them to select will include “other” and “would rather not say”.  </w:t>
            </w:r>
          </w:p>
          <w:p>
            <w:pPr>
              <w:spacing w:line="240" w:lineRule="auto"/>
              <w:rPr>
                <w:rFonts w:ascii="Times New Roman" w:eastAsia="Times New Roman" w:hAnsi="Times New Roman" w:cs="Times New Roman"/>
                <w:sz w:val="20"/>
                <w:szCs w:val="20"/>
              </w:rPr>
            </w:pPr>
            <w:r>
              <w:rPr>
                <w:color w:val="808080"/>
                <w:sz w:val="18"/>
                <w:szCs w:val="18"/>
              </w:rPr>
              <w:t>(this box should expand as you type)</w:t>
            </w:r>
          </w:p>
        </w:tc>
      </w:tr>
      <w:tr>
        <w:tc>
          <w:tcPr>
            <w:tcW w:w="9923" w:type="dxa"/>
            <w:tcBorders>
              <w:bottom w:val="single" w:sz="4" w:space="0" w:color="000000"/>
            </w:tcBorders>
          </w:tcPr>
          <w:p>
            <w:pPr>
              <w:pStyle w:val="Heading1"/>
              <w:keepLines w:val="0"/>
              <w:tabs>
                <w:tab w:val="left" w:pos="5103"/>
              </w:tabs>
              <w:spacing w:before="0" w:after="0" w:line="240" w:lineRule="auto"/>
              <w:rPr>
                <w:b/>
                <w:sz w:val="16"/>
                <w:szCs w:val="16"/>
              </w:rPr>
            </w:pPr>
          </w:p>
        </w:tc>
      </w:tr>
      <w:tr>
        <w:tc>
          <w:tcPr>
            <w:tcW w:w="9923" w:type="dxa"/>
            <w:tcBorders>
              <w:bottom w:val="single" w:sz="4" w:space="0" w:color="000000"/>
            </w:tcBorders>
            <w:shd w:val="clear" w:color="auto" w:fill="F2F2F2"/>
          </w:tcPr>
          <w:p>
            <w:pPr>
              <w:spacing w:line="240" w:lineRule="auto"/>
            </w:pPr>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where applicable, consent procedures should make it clear that if something potentially or actually illegal is discovered in the course of a project, it may need to be disclosed to the proper authorities</w:t>
            </w:r>
          </w:p>
        </w:tc>
      </w:tr>
      <w:tr>
        <w:tc>
          <w:tcPr>
            <w:tcW w:w="9923" w:type="dxa"/>
            <w:tcBorders>
              <w:top w:val="single" w:sz="4" w:space="0" w:color="000000"/>
              <w:bottom w:val="single" w:sz="4" w:space="0" w:color="000000"/>
            </w:tcBorders>
          </w:tcPr>
          <w:p>
            <w:pPr>
              <w:spacing w:line="240" w:lineRule="auto"/>
            </w:pPr>
            <w:r>
              <w:t xml:space="preserve">As stated above, it will be made clear to participants that they will be asked to identify their gender as part of the research and that they have every right to choose not to participate. If this initial discussion generates distress or discomfort for any potential participants, they will be directed to their pastoral team who can then refer them to the school counselling service or any other relevant party, should they wish to seek support or guidance.  </w:t>
            </w:r>
          </w:p>
          <w:p>
            <w:pPr>
              <w:spacing w:line="240" w:lineRule="auto"/>
              <w:rPr>
                <w:rFonts w:ascii="Times New Roman" w:eastAsia="Times New Roman" w:hAnsi="Times New Roman" w:cs="Times New Roman"/>
                <w:sz w:val="20"/>
                <w:szCs w:val="20"/>
              </w:rPr>
            </w:pPr>
            <w:r>
              <w:rPr>
                <w:color w:val="808080"/>
                <w:sz w:val="18"/>
                <w:szCs w:val="18"/>
              </w:rPr>
              <w:t>(this box should expand as you type)</w:t>
            </w:r>
          </w:p>
        </w:tc>
      </w:tr>
      <w:tr>
        <w:tc>
          <w:tcPr>
            <w:tcW w:w="9923" w:type="dxa"/>
            <w:tcBorders>
              <w:top w:val="single" w:sz="4" w:space="0" w:color="000000"/>
              <w:bottom w:val="single" w:sz="4" w:space="0" w:color="000000"/>
            </w:tcBorders>
          </w:tcPr>
          <w:p>
            <w:pPr>
              <w:spacing w:line="240" w:lineRule="auto"/>
              <w:rPr>
                <w:sz w:val="16"/>
                <w:szCs w:val="16"/>
              </w:rPr>
            </w:pPr>
          </w:p>
        </w:tc>
      </w:tr>
      <w:tr>
        <w:tc>
          <w:tcPr>
            <w:tcW w:w="9923" w:type="dxa"/>
            <w:tcBorders>
              <w:top w:val="single" w:sz="4" w:space="0" w:color="000000"/>
              <w:bottom w:val="single" w:sz="4" w:space="0" w:color="000000"/>
            </w:tcBorders>
            <w:shd w:val="clear" w:color="auto" w:fill="F2F2F2"/>
          </w:tcPr>
          <w:p>
            <w:pPr>
              <w:spacing w:line="240" w:lineRule="auto"/>
            </w:pPr>
            <w:r>
              <w:rPr>
                <w:b/>
              </w:rPr>
              <w:t>Risks to investigator</w:t>
            </w:r>
          </w:p>
          <w:p>
            <w:pPr>
              <w:spacing w:line="240" w:lineRule="auto"/>
            </w:pPr>
            <w:r>
              <w:t>For example: personal safety, physical harm, emotional distress, risk of accusation of harm/impropriety, conflict of interest</w:t>
            </w:r>
          </w:p>
        </w:tc>
      </w:tr>
      <w:tr>
        <w:tc>
          <w:tcPr>
            <w:tcW w:w="9923" w:type="dxa"/>
            <w:tcBorders>
              <w:top w:val="single" w:sz="4" w:space="0" w:color="000000"/>
              <w:bottom w:val="single" w:sz="4" w:space="0" w:color="000000"/>
            </w:tcBorders>
          </w:tcPr>
          <w:p>
            <w:pPr>
              <w:spacing w:line="240" w:lineRule="auto"/>
            </w:pPr>
            <w:r>
              <w:t xml:space="preserve">The main perceived risks to the investigator, in the present research, are perceived to be conflict of interest and an altered relationship with the pupil as a result of the research. Here the investigator will adhere to the guidelines set out by the Education Workforce Council, the British Education Research Association and the UWTSD Research Ethics and Integrity Code of Practice and ensure that pupil wellbeing is put above the needs of the research and, as previously stated, participants will be under no obligation to provide a response or opinion. </w:t>
            </w:r>
          </w:p>
          <w:p>
            <w:pPr>
              <w:spacing w:line="240" w:lineRule="auto"/>
            </w:pPr>
          </w:p>
          <w:p>
            <w:pPr>
              <w:spacing w:line="240" w:lineRule="auto"/>
              <w:rPr>
                <w:rFonts w:ascii="Times New Roman" w:eastAsia="Times New Roman" w:hAnsi="Times New Roman" w:cs="Times New Roman"/>
                <w:sz w:val="20"/>
                <w:szCs w:val="20"/>
              </w:rPr>
            </w:pPr>
            <w:r>
              <w:rPr>
                <w:color w:val="808080"/>
                <w:sz w:val="18"/>
                <w:szCs w:val="18"/>
              </w:rPr>
              <w:t>(this box should expand as you type)</w:t>
            </w:r>
          </w:p>
        </w:tc>
      </w:tr>
      <w:tr>
        <w:tc>
          <w:tcPr>
            <w:tcW w:w="9923" w:type="dxa"/>
            <w:tcBorders>
              <w:top w:val="single" w:sz="4" w:space="0" w:color="000000"/>
              <w:bottom w:val="single" w:sz="4" w:space="0" w:color="000000"/>
            </w:tcBorders>
          </w:tcPr>
          <w:p>
            <w:pPr>
              <w:spacing w:line="240" w:lineRule="auto"/>
              <w:rPr>
                <w:sz w:val="16"/>
                <w:szCs w:val="16"/>
              </w:rPr>
            </w:pPr>
          </w:p>
        </w:tc>
      </w:tr>
      <w:tr>
        <w:tc>
          <w:tcPr>
            <w:tcW w:w="9923" w:type="dxa"/>
            <w:tcBorders>
              <w:top w:val="single" w:sz="4" w:space="0" w:color="000000"/>
              <w:bottom w:val="single" w:sz="4" w:space="0" w:color="000000"/>
            </w:tcBorders>
            <w:shd w:val="clear" w:color="auto" w:fill="F2F2F2"/>
          </w:tcPr>
          <w:p>
            <w:pPr>
              <w:spacing w:line="240" w:lineRule="auto"/>
            </w:pPr>
            <w:r>
              <w:rPr>
                <w:b/>
              </w:rPr>
              <w:t>University/institutional risks</w:t>
            </w:r>
          </w:p>
          <w:p>
            <w:pPr>
              <w:spacing w:line="240" w:lineRule="auto"/>
            </w:pPr>
            <w:r>
              <w:t>For example: adverse publicity, financial loss, data protection</w:t>
            </w:r>
          </w:p>
        </w:tc>
      </w:tr>
      <w:tr>
        <w:tc>
          <w:tcPr>
            <w:tcW w:w="9923" w:type="dxa"/>
            <w:tcBorders>
              <w:top w:val="single" w:sz="4" w:space="0" w:color="000000"/>
              <w:bottom w:val="single" w:sz="4" w:space="0" w:color="000000"/>
            </w:tcBorders>
          </w:tcPr>
          <w:p>
            <w:pPr>
              <w:spacing w:line="240" w:lineRule="auto"/>
            </w:pPr>
            <w:r>
              <w:t xml:space="preserve">The present research will generate personal data, which in turn presents a potential risk to the university. The risk of personal data becoming publicly available will be minimised by data storage involving data encryption and password protection. Data will not, under any circumstances, be stored on a portable device such as a USB stick, and will not be emailed. Data will be destroyed upon the completion of the research. The good name of the university should also be protected. That is to say, no data shall be falsified, or any actions taken that would bring the university into disrepute. </w:t>
            </w:r>
          </w:p>
          <w:p>
            <w:pPr>
              <w:spacing w:line="240" w:lineRule="auto"/>
            </w:pPr>
          </w:p>
          <w:p>
            <w:pPr>
              <w:spacing w:line="240" w:lineRule="auto"/>
              <w:rPr>
                <w:rFonts w:ascii="Times New Roman" w:eastAsia="Times New Roman" w:hAnsi="Times New Roman" w:cs="Times New Roman"/>
                <w:sz w:val="20"/>
                <w:szCs w:val="20"/>
              </w:rPr>
            </w:pPr>
            <w:r>
              <w:rPr>
                <w:color w:val="808080"/>
                <w:sz w:val="18"/>
                <w:szCs w:val="18"/>
              </w:rPr>
              <w:t>(this box should expand as you type)</w:t>
            </w:r>
          </w:p>
        </w:tc>
      </w:tr>
      <w:tr>
        <w:tc>
          <w:tcPr>
            <w:tcW w:w="9923" w:type="dxa"/>
            <w:tcBorders>
              <w:top w:val="single" w:sz="4" w:space="0" w:color="000000"/>
              <w:bottom w:val="single" w:sz="4" w:space="0" w:color="000000"/>
            </w:tcBorders>
          </w:tcPr>
          <w:p>
            <w:pPr>
              <w:spacing w:line="240" w:lineRule="auto"/>
              <w:rPr>
                <w:sz w:val="16"/>
                <w:szCs w:val="16"/>
              </w:rPr>
            </w:pPr>
          </w:p>
        </w:tc>
      </w:tr>
      <w:tr>
        <w:tc>
          <w:tcPr>
            <w:tcW w:w="9923" w:type="dxa"/>
            <w:tcBorders>
              <w:top w:val="single" w:sz="4" w:space="0" w:color="000000"/>
              <w:bottom w:val="single" w:sz="4" w:space="0" w:color="000000"/>
            </w:tcBorders>
            <w:shd w:val="clear" w:color="auto" w:fill="F2F2F2"/>
          </w:tcPr>
          <w:p>
            <w:pPr>
              <w:spacing w:line="240" w:lineRule="auto"/>
              <w:rPr>
                <w:b/>
              </w:rPr>
            </w:pPr>
            <w:r>
              <w:rPr>
                <w:b/>
              </w:rPr>
              <w:t>Adverse outcomes</w:t>
            </w:r>
          </w:p>
          <w:p>
            <w:pPr>
              <w:spacing w:line="240" w:lineRule="auto"/>
            </w:pPr>
            <w:r>
              <w:t xml:space="preserve">List measures put in place to limit any adverse effects or outcomes of research activity where appropriate. Include any emergency protocols. </w:t>
            </w:r>
          </w:p>
        </w:tc>
      </w:tr>
      <w:tr>
        <w:tc>
          <w:tcPr>
            <w:tcW w:w="9923" w:type="dxa"/>
            <w:tcBorders>
              <w:top w:val="single" w:sz="4" w:space="0" w:color="000000"/>
              <w:bottom w:val="single" w:sz="4" w:space="0" w:color="000000"/>
            </w:tcBorders>
          </w:tcPr>
          <w:p>
            <w:pPr>
              <w:spacing w:line="240" w:lineRule="auto"/>
            </w:pPr>
          </w:p>
          <w:p>
            <w:pPr>
              <w:numPr>
                <w:ilvl w:val="0"/>
                <w:numId w:val="25"/>
              </w:numPr>
              <w:spacing w:line="240" w:lineRule="auto"/>
            </w:pPr>
            <w:r>
              <w:t xml:space="preserve">It will be made explicitly clear to all participants that there is no “correct answer” that is expected of them and they are under no obligation to answer every question. </w:t>
            </w:r>
          </w:p>
          <w:p>
            <w:pPr>
              <w:numPr>
                <w:ilvl w:val="0"/>
                <w:numId w:val="25"/>
              </w:numPr>
              <w:spacing w:line="240" w:lineRule="auto"/>
            </w:pPr>
            <w:r>
              <w:t xml:space="preserve">It will also be made clear that their responses will not be identifiable to them and not shared with anyone else as raw data. </w:t>
            </w:r>
          </w:p>
          <w:p>
            <w:pPr>
              <w:numPr>
                <w:ilvl w:val="0"/>
                <w:numId w:val="25"/>
              </w:numPr>
              <w:spacing w:line="240" w:lineRule="auto"/>
            </w:pPr>
            <w:r>
              <w:t xml:space="preserve">Pupils will be made aware, prior to the commencement of the research, that they will be asked to select their gender, and “other” and “would rather not say” will be options for them to choose. </w:t>
            </w:r>
          </w:p>
          <w:p>
            <w:pPr>
              <w:numPr>
                <w:ilvl w:val="0"/>
                <w:numId w:val="25"/>
              </w:numPr>
              <w:spacing w:line="240" w:lineRule="auto"/>
            </w:pPr>
            <w:r>
              <w:t>Pupil wellbeing will be put above the needs of the research.</w:t>
            </w:r>
          </w:p>
          <w:p>
            <w:pPr>
              <w:numPr>
                <w:ilvl w:val="0"/>
                <w:numId w:val="25"/>
              </w:numPr>
              <w:spacing w:line="240" w:lineRule="auto"/>
            </w:pPr>
            <w:r>
              <w:t xml:space="preserve">Data storage will involve encryption and password protection. </w:t>
            </w:r>
          </w:p>
          <w:p>
            <w:pPr>
              <w:numPr>
                <w:ilvl w:val="0"/>
                <w:numId w:val="25"/>
              </w:numPr>
              <w:spacing w:line="240" w:lineRule="auto"/>
            </w:pPr>
            <w:r>
              <w:t xml:space="preserve">Data will not, under any circumstances, be stored on a portable device such as a USB stick, and will not be emailed. </w:t>
            </w:r>
          </w:p>
          <w:p>
            <w:pPr>
              <w:numPr>
                <w:ilvl w:val="0"/>
                <w:numId w:val="25"/>
              </w:numPr>
              <w:spacing w:line="240" w:lineRule="auto"/>
            </w:pPr>
            <w:r>
              <w:t>Data will be destroyed upon the completion of the research.</w:t>
            </w:r>
          </w:p>
          <w:p>
            <w:pPr>
              <w:numPr>
                <w:ilvl w:val="0"/>
                <w:numId w:val="25"/>
              </w:numPr>
              <w:spacing w:line="240" w:lineRule="auto"/>
            </w:pPr>
            <w:r>
              <w:t xml:space="preserve">Data will not be falsified and no other actions will be taken that could cause the good name of the university to be brought into disrepute. </w:t>
            </w:r>
          </w:p>
          <w:p>
            <w:pPr>
              <w:numPr>
                <w:ilvl w:val="0"/>
                <w:numId w:val="25"/>
              </w:numPr>
              <w:spacing w:line="240" w:lineRule="auto"/>
            </w:pPr>
            <w:bookmarkStart w:id="2" w:name="_gjdgxs" w:colFirst="0" w:colLast="0"/>
            <w:bookmarkEnd w:id="2"/>
            <w:r>
              <w:t xml:space="preserve">Pupils who experience distress as a result of the pre-research briefing generating a conversation about gender, will be directed to their pastoral teams and the school counselling service, if appropriate. </w:t>
            </w:r>
          </w:p>
          <w:p>
            <w:pPr>
              <w:spacing w:line="240" w:lineRule="auto"/>
              <w:rPr>
                <w:rFonts w:ascii="Times New Roman" w:eastAsia="Times New Roman" w:hAnsi="Times New Roman" w:cs="Times New Roman"/>
                <w:sz w:val="20"/>
                <w:szCs w:val="20"/>
              </w:rPr>
            </w:pPr>
            <w:r>
              <w:rPr>
                <w:color w:val="808080"/>
                <w:sz w:val="18"/>
                <w:szCs w:val="18"/>
              </w:rPr>
              <w:t>(this box should expand as you type)</w:t>
            </w:r>
          </w:p>
        </w:tc>
      </w:tr>
    </w:tbl>
    <w:p>
      <w:pPr>
        <w:spacing w:line="240" w:lineRule="auto"/>
      </w:pPr>
    </w:p>
    <w:p>
      <w:pPr>
        <w:spacing w:line="240" w:lineRule="auto"/>
      </w:pPr>
    </w:p>
    <w:p>
      <w:pPr>
        <w:spacing w:line="240" w:lineRule="auto"/>
      </w:pPr>
    </w:p>
    <w:tbl>
      <w:tblPr>
        <w:tblStyle w:val="afff7"/>
        <w:tblW w:w="9923"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663"/>
        <w:gridCol w:w="1134"/>
        <w:gridCol w:w="992"/>
        <w:gridCol w:w="1134"/>
      </w:tblGrid>
      <w:tr>
        <w:tc>
          <w:tcPr>
            <w:tcW w:w="9923" w:type="dxa"/>
            <w:gridSpan w:val="4"/>
            <w:tcBorders>
              <w:top w:val="single" w:sz="4" w:space="0" w:color="000000"/>
              <w:bottom w:val="single" w:sz="4" w:space="0" w:color="000000"/>
            </w:tcBorders>
            <w:shd w:val="clear" w:color="auto" w:fill="F2F2F2"/>
          </w:tcPr>
          <w:p>
            <w:pPr>
              <w:spacing w:line="240" w:lineRule="auto"/>
              <w:rPr>
                <w:b/>
              </w:rPr>
            </w:pPr>
            <w:r>
              <w:rPr>
                <w:b/>
              </w:rPr>
              <w:t>Disclosure and Barring Service</w:t>
            </w:r>
          </w:p>
        </w:tc>
      </w:tr>
      <w:tr>
        <w:tc>
          <w:tcPr>
            <w:tcW w:w="6663" w:type="dxa"/>
            <w:tcBorders>
              <w:top w:val="single" w:sz="4" w:space="0" w:color="000000"/>
              <w:bottom w:val="single" w:sz="4" w:space="0" w:color="000000"/>
            </w:tcBorders>
            <w:shd w:val="clear" w:color="auto" w:fill="F2F2F2"/>
          </w:tcPr>
          <w:p>
            <w:pPr>
              <w:spacing w:line="240" w:lineRule="auto"/>
              <w:rPr>
                <w:sz w:val="16"/>
                <w:szCs w:val="16"/>
              </w:rPr>
            </w:pPr>
            <w:r>
              <w:t>If the research activity involves children or vulnerable adults, a Disclosure and Barring Service (DBS) certificate must be obtained before any contact with such participants.</w:t>
            </w:r>
          </w:p>
        </w:tc>
        <w:tc>
          <w:tcPr>
            <w:tcW w:w="1134" w:type="dxa"/>
            <w:tcBorders>
              <w:top w:val="single" w:sz="4" w:space="0" w:color="000000"/>
              <w:bottom w:val="single" w:sz="4" w:space="0" w:color="000000"/>
            </w:tcBorders>
          </w:tcPr>
          <w:p>
            <w:pPr>
              <w:spacing w:line="240" w:lineRule="auto"/>
              <w:jc w:val="center"/>
              <w:rPr>
                <w:b/>
              </w:rPr>
            </w:pPr>
          </w:p>
          <w:p>
            <w:pPr>
              <w:spacing w:line="240" w:lineRule="auto"/>
              <w:jc w:val="center"/>
              <w:rPr>
                <w:b/>
              </w:rPr>
            </w:pPr>
          </w:p>
          <w:p>
            <w:pPr>
              <w:spacing w:line="240" w:lineRule="auto"/>
              <w:rPr>
                <w:b/>
                <w:sz w:val="16"/>
                <w:szCs w:val="16"/>
              </w:rPr>
            </w:pPr>
          </w:p>
          <w:p>
            <w:pPr>
              <w:spacing w:line="240" w:lineRule="auto"/>
              <w:jc w:val="center"/>
              <w:rPr>
                <w:b/>
              </w:rPr>
            </w:pPr>
            <w:r>
              <w:rPr>
                <w:b/>
              </w:rPr>
              <w:t>YES</w:t>
            </w:r>
          </w:p>
        </w:tc>
        <w:tc>
          <w:tcPr>
            <w:tcW w:w="992" w:type="dxa"/>
            <w:tcBorders>
              <w:top w:val="single" w:sz="4" w:space="0" w:color="000000"/>
              <w:bottom w:val="single" w:sz="4" w:space="0" w:color="000000"/>
            </w:tcBorders>
          </w:tcPr>
          <w:p>
            <w:pPr>
              <w:spacing w:line="240" w:lineRule="auto"/>
              <w:jc w:val="center"/>
              <w:rPr>
                <w:b/>
              </w:rPr>
            </w:pPr>
          </w:p>
          <w:p>
            <w:pPr>
              <w:spacing w:line="240" w:lineRule="auto"/>
              <w:jc w:val="center"/>
              <w:rPr>
                <w:b/>
              </w:rPr>
            </w:pPr>
          </w:p>
          <w:p>
            <w:pPr>
              <w:spacing w:line="240" w:lineRule="auto"/>
              <w:rPr>
                <w:b/>
                <w:sz w:val="16"/>
                <w:szCs w:val="16"/>
              </w:rPr>
            </w:pPr>
          </w:p>
          <w:p>
            <w:pPr>
              <w:spacing w:line="240" w:lineRule="auto"/>
              <w:jc w:val="center"/>
              <w:rPr>
                <w:b/>
              </w:rPr>
            </w:pPr>
            <w:r>
              <w:rPr>
                <w:b/>
              </w:rPr>
              <w:t>NO</w:t>
            </w:r>
          </w:p>
        </w:tc>
        <w:tc>
          <w:tcPr>
            <w:tcW w:w="1134" w:type="dxa"/>
            <w:tcBorders>
              <w:top w:val="single" w:sz="4" w:space="0" w:color="000000"/>
              <w:bottom w:val="single" w:sz="4" w:space="0" w:color="000000"/>
            </w:tcBorders>
          </w:tcPr>
          <w:p>
            <w:pPr>
              <w:spacing w:line="240" w:lineRule="auto"/>
              <w:jc w:val="center"/>
              <w:rPr>
                <w:b/>
              </w:rPr>
            </w:pPr>
          </w:p>
          <w:p>
            <w:pPr>
              <w:spacing w:line="240" w:lineRule="auto"/>
              <w:jc w:val="center"/>
              <w:rPr>
                <w:b/>
              </w:rPr>
            </w:pPr>
          </w:p>
          <w:p>
            <w:pPr>
              <w:spacing w:line="240" w:lineRule="auto"/>
              <w:rPr>
                <w:b/>
                <w:sz w:val="16"/>
                <w:szCs w:val="16"/>
              </w:rPr>
            </w:pPr>
          </w:p>
          <w:p>
            <w:pPr>
              <w:spacing w:line="240" w:lineRule="auto"/>
              <w:jc w:val="center"/>
              <w:rPr>
                <w:b/>
              </w:rPr>
            </w:pPr>
            <w:r>
              <w:rPr>
                <w:b/>
              </w:rPr>
              <w:t>N/A</w:t>
            </w:r>
          </w:p>
        </w:tc>
      </w:tr>
      <w:tr>
        <w:trPr>
          <w:trHeight w:val="492"/>
        </w:trPr>
        <w:tc>
          <w:tcPr>
            <w:tcW w:w="6663" w:type="dxa"/>
            <w:tcBorders>
              <w:top w:val="single" w:sz="4" w:space="0" w:color="000000"/>
              <w:bottom w:val="single" w:sz="4" w:space="0" w:color="000000"/>
            </w:tcBorders>
            <w:shd w:val="clear" w:color="auto" w:fill="F2F2F2"/>
            <w:vAlign w:val="center"/>
          </w:tcPr>
          <w:p>
            <w:pPr>
              <w:spacing w:line="240" w:lineRule="auto"/>
            </w:pPr>
            <w:r>
              <w:t>Has a DBS certificate been obtained?</w:t>
            </w:r>
          </w:p>
        </w:tc>
        <w:tc>
          <w:tcPr>
            <w:tcW w:w="1134" w:type="dxa"/>
            <w:tcBorders>
              <w:top w:val="single" w:sz="4" w:space="0" w:color="000000"/>
              <w:bottom w:val="single" w:sz="4" w:space="0" w:color="000000"/>
            </w:tcBorders>
            <w:shd w:val="clear" w:color="auto" w:fill="BFBFBF"/>
            <w:vAlign w:val="center"/>
          </w:tcPr>
          <w:p>
            <w:pPr>
              <w:spacing w:line="240" w:lineRule="auto"/>
              <w:jc w:val="center"/>
              <w:rPr>
                <w:b/>
                <w:sz w:val="16"/>
                <w:szCs w:val="16"/>
              </w:rPr>
            </w:pPr>
            <w:r>
              <w:rPr>
                <w:b/>
              </w:rPr>
              <w:t>X</w:t>
            </w:r>
            <w:r>
              <w:rPr>
                <w:rFonts w:ascii="MS Gothic" w:eastAsia="MS Gothic" w:hAnsi="MS Gothic" w:cs="MS Gothic"/>
                <w:b/>
              </w:rPr>
              <w:t>☐</w:t>
            </w:r>
          </w:p>
        </w:tc>
        <w:tc>
          <w:tcPr>
            <w:tcW w:w="992" w:type="dxa"/>
            <w:tcBorders>
              <w:top w:val="single" w:sz="4" w:space="0" w:color="000000"/>
              <w:bottom w:val="single" w:sz="4" w:space="0" w:color="000000"/>
            </w:tcBorders>
            <w:shd w:val="clear" w:color="auto" w:fill="BFBFBF"/>
            <w:vAlign w:val="center"/>
          </w:tcPr>
          <w:p>
            <w:pPr>
              <w:spacing w:line="240" w:lineRule="auto"/>
              <w:jc w:val="center"/>
              <w:rPr>
                <w:b/>
                <w:sz w:val="16"/>
                <w:szCs w:val="16"/>
              </w:rPr>
            </w:pPr>
            <w:r>
              <w:rPr>
                <w:rFonts w:ascii="MS Gothic" w:eastAsia="MS Gothic" w:hAnsi="MS Gothic" w:cs="MS Gothic"/>
                <w:b/>
              </w:rPr>
              <w:t>☐</w:t>
            </w:r>
          </w:p>
        </w:tc>
        <w:tc>
          <w:tcPr>
            <w:tcW w:w="1134" w:type="dxa"/>
            <w:tcBorders>
              <w:top w:val="single" w:sz="4" w:space="0" w:color="000000"/>
              <w:bottom w:val="single" w:sz="4" w:space="0" w:color="000000"/>
            </w:tcBorders>
            <w:shd w:val="clear" w:color="auto" w:fill="BFBFBF"/>
            <w:vAlign w:val="center"/>
          </w:tcPr>
          <w:p>
            <w:pPr>
              <w:spacing w:line="240" w:lineRule="auto"/>
              <w:jc w:val="center"/>
              <w:rPr>
                <w:b/>
                <w:sz w:val="16"/>
                <w:szCs w:val="16"/>
              </w:rPr>
            </w:pPr>
            <w:r>
              <w:rPr>
                <w:rFonts w:ascii="MS Gothic" w:eastAsia="MS Gothic" w:hAnsi="MS Gothic" w:cs="MS Gothic"/>
                <w:b/>
              </w:rPr>
              <w:t>☐</w:t>
            </w:r>
          </w:p>
        </w:tc>
      </w:tr>
    </w:tbl>
    <w:p>
      <w:pPr>
        <w:spacing w:line="240" w:lineRule="auto"/>
      </w:pPr>
      <w:r>
        <w:br w:type="page"/>
      </w:r>
    </w:p>
    <w:p>
      <w:pPr>
        <w:spacing w:line="240" w:lineRule="auto"/>
        <w:rPr>
          <w:b/>
        </w:rPr>
      </w:pPr>
      <w:r>
        <w:rPr>
          <w:b/>
        </w:rPr>
        <w:t>SECTION I: Feedback, Consent and Confidentiality</w:t>
      </w:r>
    </w:p>
    <w:p>
      <w:pPr>
        <w:spacing w:line="240" w:lineRule="auto"/>
        <w:rPr>
          <w:sz w:val="16"/>
          <w:szCs w:val="16"/>
        </w:rPr>
      </w:pPr>
    </w:p>
    <w:tbl>
      <w:tblPr>
        <w:tblStyle w:val="afff8"/>
        <w:tblW w:w="9923"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3"/>
      </w:tblGrid>
      <w:tr>
        <w:tc>
          <w:tcPr>
            <w:tcW w:w="9923" w:type="dxa"/>
            <w:tcBorders>
              <w:top w:val="single" w:sz="4" w:space="0" w:color="000000"/>
              <w:bottom w:val="single" w:sz="4" w:space="0" w:color="000000"/>
            </w:tcBorders>
            <w:shd w:val="clear" w:color="auto" w:fill="F2F2F2"/>
          </w:tcPr>
          <w:p>
            <w:pPr>
              <w:spacing w:line="240" w:lineRule="auto"/>
            </w:pPr>
            <w:r>
              <w:rPr>
                <w:b/>
              </w:rPr>
              <w:t>Feedback</w:t>
            </w:r>
          </w:p>
          <w:p>
            <w:pPr>
              <w:spacing w:line="240" w:lineRule="auto"/>
            </w:pPr>
            <w:r>
              <w:t xml:space="preserve">What feedback will be provided to participants, how will this be done and when? </w:t>
            </w:r>
          </w:p>
        </w:tc>
      </w:tr>
      <w:tr>
        <w:tc>
          <w:tcPr>
            <w:tcW w:w="9923" w:type="dxa"/>
            <w:tcBorders>
              <w:top w:val="single" w:sz="4" w:space="0" w:color="000000"/>
              <w:bottom w:val="single" w:sz="4" w:space="0" w:color="000000"/>
            </w:tcBorders>
          </w:tcPr>
          <w:p>
            <w:pPr>
              <w:spacing w:line="240" w:lineRule="auto"/>
            </w:pPr>
            <w:r>
              <w:t xml:space="preserve">Pupils and parents will have access to the final report on completion of the research, and upon request. Pupils will be thanked for their participation upon the completion of all of the questionnaires and be told when the final report is likely to be available to them. </w:t>
            </w:r>
          </w:p>
          <w:p>
            <w:pPr>
              <w:spacing w:line="240" w:lineRule="auto"/>
            </w:pPr>
          </w:p>
          <w:p>
            <w:pPr>
              <w:spacing w:line="240" w:lineRule="auto"/>
              <w:rPr>
                <w:rFonts w:ascii="Times New Roman" w:eastAsia="Times New Roman" w:hAnsi="Times New Roman" w:cs="Times New Roman"/>
                <w:sz w:val="20"/>
                <w:szCs w:val="20"/>
              </w:rPr>
            </w:pPr>
            <w:r>
              <w:rPr>
                <w:color w:val="808080"/>
                <w:sz w:val="18"/>
                <w:szCs w:val="18"/>
              </w:rPr>
              <w:t xml:space="preserve"> (this box should expand as you type)</w:t>
            </w:r>
          </w:p>
        </w:tc>
      </w:tr>
      <w:tr>
        <w:tc>
          <w:tcPr>
            <w:tcW w:w="9923" w:type="dxa"/>
            <w:tcBorders>
              <w:top w:val="single" w:sz="4" w:space="0" w:color="000000"/>
              <w:bottom w:val="single" w:sz="4" w:space="0" w:color="000000"/>
            </w:tcBorders>
          </w:tcPr>
          <w:p>
            <w:pPr>
              <w:spacing w:line="240" w:lineRule="auto"/>
              <w:rPr>
                <w:sz w:val="16"/>
                <w:szCs w:val="16"/>
              </w:rPr>
            </w:pPr>
          </w:p>
        </w:tc>
      </w:tr>
      <w:tr>
        <w:tc>
          <w:tcPr>
            <w:tcW w:w="9923" w:type="dxa"/>
            <w:tcBorders>
              <w:top w:val="single" w:sz="4" w:space="0" w:color="000000"/>
              <w:bottom w:val="single" w:sz="4" w:space="0" w:color="000000"/>
            </w:tcBorders>
            <w:shd w:val="clear" w:color="auto" w:fill="F2F2F2"/>
          </w:tcPr>
          <w:p>
            <w:pPr>
              <w:spacing w:line="240" w:lineRule="auto"/>
            </w:pPr>
            <w:r>
              <w:rPr>
                <w:b/>
              </w:rPr>
              <w:t>Informed consent</w:t>
            </w:r>
          </w:p>
          <w:p>
            <w:pPr>
              <w:spacing w:line="240" w:lineRule="auto"/>
            </w:pPr>
            <w: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tc>
          <w:tcPr>
            <w:tcW w:w="9923" w:type="dxa"/>
            <w:tcBorders>
              <w:top w:val="single" w:sz="4" w:space="0" w:color="000000"/>
              <w:bottom w:val="single" w:sz="4" w:space="0" w:color="000000"/>
            </w:tcBorders>
          </w:tcPr>
          <w:p>
            <w:pPr>
              <w:spacing w:line="240" w:lineRule="auto"/>
            </w:pPr>
            <w:r>
              <w:t xml:space="preserve">Participants will initially be briefed as to the proposed research during form time: they will be gathered together and the methods for data collection and analysis explained. Pupils will then receive a letter, detailing the proposed research (the purpose of the research, the method used i.e. questionnaire, and why they have been asked to participate) along with a consent form for them to sign. Letters will also be sent home to parents, containing all the same information, with a request for a signature of consent. The sample will comprise some individuals who are 15 years old and some who are 16 years old. In order to avoid confusion all pupils will be required to provide assent by signing the consent form and have consent via a signature from a parent or guardian. Every effort will be made to ensure that pupils and parents understand as fully as possible the purpose and methods of the research, prior to gaining consent, in accordance with guidelines set out by the British Education Research Association and the UWTSD Research Ethics and Integrity Code of Practice. </w:t>
            </w:r>
          </w:p>
          <w:p>
            <w:pPr>
              <w:spacing w:line="240" w:lineRule="auto"/>
            </w:pPr>
          </w:p>
          <w:p>
            <w:pPr>
              <w:spacing w:line="240" w:lineRule="auto"/>
            </w:pPr>
            <w:r>
              <w:t xml:space="preserve">Pupils and parents will also be made aware of their right to withdraw consent, any time prior to or during the completion of the questionnaire. It will not be possible to withdraw questionnaires from the data collection once they have all been completed, due to the anonymous nature of the questionnaires and this will be made clear to both participants and their parents/guardians prior to gaining their consent. </w:t>
            </w:r>
          </w:p>
          <w:p>
            <w:pPr>
              <w:spacing w:line="240" w:lineRule="auto"/>
            </w:pPr>
          </w:p>
          <w:p>
            <w:pPr>
              <w:spacing w:line="240" w:lineRule="auto"/>
            </w:pPr>
          </w:p>
          <w:p>
            <w:pPr>
              <w:spacing w:line="240" w:lineRule="auto"/>
              <w:rPr>
                <w:rFonts w:ascii="Times New Roman" w:eastAsia="Times New Roman" w:hAnsi="Times New Roman" w:cs="Times New Roman"/>
                <w:sz w:val="20"/>
                <w:szCs w:val="20"/>
              </w:rPr>
            </w:pPr>
            <w:r>
              <w:rPr>
                <w:color w:val="808080"/>
                <w:sz w:val="18"/>
                <w:szCs w:val="18"/>
              </w:rPr>
              <w:t xml:space="preserve"> (this box should expand as you type)</w:t>
            </w:r>
          </w:p>
        </w:tc>
      </w:tr>
      <w:tr>
        <w:tc>
          <w:tcPr>
            <w:tcW w:w="9923" w:type="dxa"/>
            <w:tcBorders>
              <w:top w:val="single" w:sz="4" w:space="0" w:color="000000"/>
              <w:bottom w:val="single" w:sz="4" w:space="0" w:color="000000"/>
            </w:tcBorders>
          </w:tcPr>
          <w:p>
            <w:pPr>
              <w:spacing w:line="240" w:lineRule="auto"/>
              <w:rPr>
                <w:sz w:val="16"/>
                <w:szCs w:val="16"/>
              </w:rPr>
            </w:pPr>
          </w:p>
        </w:tc>
      </w:tr>
      <w:tr>
        <w:tc>
          <w:tcPr>
            <w:tcW w:w="9923" w:type="dxa"/>
            <w:tcBorders>
              <w:top w:val="single" w:sz="4" w:space="0" w:color="000000"/>
              <w:bottom w:val="single" w:sz="4" w:space="0" w:color="000000"/>
            </w:tcBorders>
            <w:shd w:val="clear" w:color="auto" w:fill="F2F2F2"/>
          </w:tcPr>
          <w:p>
            <w:pPr>
              <w:spacing w:line="240" w:lineRule="auto"/>
              <w:rPr>
                <w:b/>
              </w:rPr>
            </w:pPr>
            <w:r>
              <w:rPr>
                <w:b/>
              </w:rPr>
              <w:t>Confidentiality / Anonymity</w:t>
            </w:r>
          </w:p>
          <w:p>
            <w:pPr>
              <w:spacing w:line="240" w:lineRule="auto"/>
            </w:pPr>
            <w:r>
              <w:t xml:space="preserve">Set out how anonymity of participants and confidentiality will be ensured in any outputs. If anonymity is not being offered, explain why this is the case. </w:t>
            </w:r>
          </w:p>
        </w:tc>
      </w:tr>
      <w:tr>
        <w:tc>
          <w:tcPr>
            <w:tcW w:w="9923" w:type="dxa"/>
            <w:tcBorders>
              <w:top w:val="single" w:sz="4" w:space="0" w:color="000000"/>
              <w:bottom w:val="single" w:sz="4" w:space="0" w:color="000000"/>
            </w:tcBorders>
          </w:tcPr>
          <w:p>
            <w:pPr>
              <w:spacing w:line="240" w:lineRule="auto"/>
            </w:pPr>
            <w:r>
              <w:t xml:space="preserve">Confidentiality and anonymity will be offered to participants in this research. Pupils will not be required to put their names on the questionnaire but may in some circumstances be identifiable to the researcher through a combination of responses such as gender and current GCSEs being studied, for example if a pupil studies a particularly unique combination of GCSE subjects. This possibility will be highlighted to participants, but they will be assured that the identity of the responder will not be made available to anyone else. </w:t>
            </w:r>
          </w:p>
          <w:p>
            <w:pPr>
              <w:spacing w:line="240" w:lineRule="auto"/>
            </w:pPr>
          </w:p>
          <w:p>
            <w:pPr>
              <w:spacing w:line="240" w:lineRule="auto"/>
            </w:pPr>
            <w:r>
              <w:t xml:space="preserve">During data analysis, responses with be anonymised such that if it is appropriate to discuss responses to open ended questions, a pseudonym would be used, for example “Pupil A”. Participants will be informed, prior to giving consent, that this method of pseudonymisation may be used. </w:t>
            </w:r>
          </w:p>
          <w:p>
            <w:pPr>
              <w:spacing w:line="240" w:lineRule="auto"/>
            </w:pPr>
          </w:p>
          <w:p>
            <w:pPr>
              <w:spacing w:line="240" w:lineRule="auto"/>
            </w:pPr>
          </w:p>
          <w:p>
            <w:pPr>
              <w:spacing w:line="240" w:lineRule="auto"/>
              <w:rPr>
                <w:rFonts w:ascii="Times New Roman" w:eastAsia="Times New Roman" w:hAnsi="Times New Roman" w:cs="Times New Roman"/>
                <w:sz w:val="20"/>
                <w:szCs w:val="20"/>
              </w:rPr>
            </w:pPr>
            <w:r>
              <w:rPr>
                <w:color w:val="808080"/>
                <w:sz w:val="18"/>
                <w:szCs w:val="18"/>
              </w:rPr>
              <w:t>(this box should expand as you type)</w:t>
            </w:r>
          </w:p>
        </w:tc>
      </w:tr>
    </w:tbl>
    <w:p>
      <w:pPr>
        <w:spacing w:line="240" w:lineRule="auto"/>
      </w:pPr>
    </w:p>
    <w:p>
      <w:pPr>
        <w:spacing w:line="240" w:lineRule="auto"/>
      </w:pPr>
    </w:p>
    <w:p>
      <w:pPr>
        <w:spacing w:line="240" w:lineRule="auto"/>
        <w:rPr>
          <w:b/>
        </w:rPr>
      </w:pPr>
      <w:r>
        <w:br w:type="page"/>
      </w:r>
    </w:p>
    <w:p>
      <w:pPr>
        <w:spacing w:line="240" w:lineRule="auto"/>
        <w:rPr>
          <w:b/>
        </w:rPr>
      </w:pPr>
      <w:r>
        <w:rPr>
          <w:b/>
        </w:rPr>
        <w:t>SECTION J: Data Protection and Storage</w:t>
      </w:r>
    </w:p>
    <w:p>
      <w:pPr>
        <w:spacing w:line="240" w:lineRule="auto"/>
        <w:rPr>
          <w:b/>
          <w:sz w:val="16"/>
          <w:szCs w:val="16"/>
        </w:rPr>
      </w:pPr>
    </w:p>
    <w:p>
      <w:pPr>
        <w:spacing w:line="240" w:lineRule="auto"/>
        <w:jc w:val="both"/>
        <w:rPr>
          <w:b/>
        </w:rPr>
      </w:pPr>
      <w:r>
        <w:t>In completing this section refer to the University’s Research Data Management Policy and the extensive resources on the University’s Research Data Management web pages (</w:t>
      </w:r>
      <w:hyperlink r:id="rId22">
        <w:r>
          <w:rPr>
            <w:color w:val="0000FF"/>
            <w:u w:val="single"/>
          </w:rPr>
          <w:t>http://uwtsd.ac.uk/library/research-data-management/</w:t>
        </w:r>
      </w:hyperlink>
      <w:r>
        <w:t>).</w:t>
      </w:r>
    </w:p>
    <w:tbl>
      <w:tblPr>
        <w:tblStyle w:val="afff9"/>
        <w:tblW w:w="988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763"/>
        <w:gridCol w:w="992"/>
        <w:gridCol w:w="1134"/>
      </w:tblGrid>
      <w:tr>
        <w:tc>
          <w:tcPr>
            <w:tcW w:w="7763" w:type="dxa"/>
            <w:tcBorders>
              <w:top w:val="nil"/>
              <w:left w:val="nil"/>
            </w:tcBorders>
          </w:tcPr>
          <w:p>
            <w:pPr>
              <w:spacing w:line="240" w:lineRule="auto"/>
            </w:pPr>
          </w:p>
        </w:tc>
        <w:tc>
          <w:tcPr>
            <w:tcW w:w="992" w:type="dxa"/>
            <w:shd w:val="clear" w:color="auto" w:fill="F2F2F2"/>
            <w:vAlign w:val="bottom"/>
          </w:tcPr>
          <w:p>
            <w:pPr>
              <w:spacing w:line="240" w:lineRule="auto"/>
              <w:jc w:val="center"/>
              <w:rPr>
                <w:b/>
              </w:rPr>
            </w:pPr>
            <w:r>
              <w:rPr>
                <w:b/>
              </w:rPr>
              <w:t>YES</w:t>
            </w:r>
          </w:p>
        </w:tc>
        <w:tc>
          <w:tcPr>
            <w:tcW w:w="1134" w:type="dxa"/>
            <w:shd w:val="clear" w:color="auto" w:fill="F2F2F2"/>
            <w:vAlign w:val="bottom"/>
          </w:tcPr>
          <w:p>
            <w:pPr>
              <w:spacing w:line="240" w:lineRule="auto"/>
              <w:jc w:val="center"/>
              <w:rPr>
                <w:b/>
              </w:rPr>
            </w:pPr>
            <w:r>
              <w:rPr>
                <w:b/>
              </w:rPr>
              <w:t>NO</w:t>
            </w:r>
          </w:p>
        </w:tc>
      </w:tr>
      <w:tr>
        <w:trPr>
          <w:trHeight w:val="403"/>
        </w:trPr>
        <w:tc>
          <w:tcPr>
            <w:tcW w:w="7763" w:type="dxa"/>
            <w:shd w:val="clear" w:color="auto" w:fill="F2F2F2"/>
            <w:vAlign w:val="center"/>
          </w:tcPr>
          <w:p>
            <w:pPr>
              <w:spacing w:line="240" w:lineRule="auto"/>
            </w:pPr>
            <w:r>
              <w:t>Does the research activity involve personal da</w:t>
            </w:r>
            <w:r>
              <w:rPr>
                <w:shd w:val="clear" w:color="auto" w:fill="F2F2F2"/>
              </w:rPr>
              <w:t>t</w:t>
            </w:r>
            <w:r>
              <w:t>a (as defined by the Data Protection Act)?</w:t>
            </w:r>
          </w:p>
          <w:p>
            <w:pPr>
              <w:spacing w:line="240" w:lineRule="auto"/>
              <w:ind w:left="34"/>
              <w:rPr>
                <w:i/>
                <w:sz w:val="20"/>
                <w:szCs w:val="20"/>
              </w:rPr>
            </w:pPr>
            <w:r>
              <w:rPr>
                <w:b/>
                <w:i/>
                <w:sz w:val="20"/>
                <w:szCs w:val="20"/>
              </w:rPr>
              <w:t>“personal data”</w:t>
            </w:r>
            <w:r>
              <w:rPr>
                <w:i/>
                <w:sz w:val="20"/>
                <w:szCs w:val="20"/>
              </w:rPr>
              <w:t xml:space="preserve"> means data which relate to a living individual who can be identified—</w:t>
            </w:r>
          </w:p>
          <w:p>
            <w:pPr>
              <w:spacing w:line="240" w:lineRule="auto"/>
              <w:ind w:left="720"/>
              <w:rPr>
                <w:i/>
                <w:sz w:val="20"/>
                <w:szCs w:val="20"/>
              </w:rPr>
            </w:pPr>
            <w:r>
              <w:rPr>
                <w:i/>
                <w:sz w:val="20"/>
                <w:szCs w:val="20"/>
              </w:rPr>
              <w:t>(a) from those data, or</w:t>
            </w:r>
          </w:p>
          <w:p>
            <w:pPr>
              <w:spacing w:line="240" w:lineRule="auto"/>
              <w:rPr>
                <w:sz w:val="20"/>
                <w:szCs w:val="20"/>
              </w:rPr>
            </w:pPr>
            <w:r>
              <w:rPr>
                <w:i/>
                <w:sz w:val="20"/>
                <w:szCs w:val="20"/>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p>
            <w:pPr>
              <w:spacing w:line="240" w:lineRule="auto"/>
              <w:jc w:val="center"/>
            </w:pPr>
            <w:r>
              <w:rPr>
                <w:b/>
              </w:rPr>
              <w:t>X</w:t>
            </w:r>
            <w:r>
              <w:rPr>
                <w:rFonts w:ascii="MS Gothic" w:eastAsia="MS Gothic" w:hAnsi="MS Gothic" w:cs="MS Gothic"/>
                <w:b/>
              </w:rPr>
              <w:t>☐</w:t>
            </w:r>
          </w:p>
        </w:tc>
        <w:tc>
          <w:tcPr>
            <w:tcW w:w="1134" w:type="dxa"/>
            <w:shd w:val="clear" w:color="auto" w:fill="BFBFBF"/>
            <w:vAlign w:val="center"/>
          </w:tcPr>
          <w:p>
            <w:pPr>
              <w:spacing w:line="240" w:lineRule="auto"/>
              <w:jc w:val="center"/>
            </w:pPr>
            <w:r>
              <w:rPr>
                <w:rFonts w:ascii="MS Gothic" w:eastAsia="MS Gothic" w:hAnsi="MS Gothic" w:cs="MS Gothic"/>
                <w:b/>
              </w:rPr>
              <w:t>☐</w:t>
            </w:r>
          </w:p>
        </w:tc>
      </w:tr>
      <w:tr>
        <w:trPr>
          <w:trHeight w:val="403"/>
        </w:trPr>
        <w:tc>
          <w:tcPr>
            <w:tcW w:w="9889" w:type="dxa"/>
            <w:gridSpan w:val="3"/>
            <w:shd w:val="clear" w:color="auto" w:fill="F2F2F2"/>
            <w:vAlign w:val="center"/>
          </w:tcPr>
          <w:p>
            <w:pPr>
              <w:spacing w:line="240" w:lineRule="auto"/>
            </w:pPr>
            <w:r>
              <w:t>If YES, provide a</w:t>
            </w:r>
            <w:r>
              <w:rPr>
                <w:b/>
              </w:rPr>
              <w:t xml:space="preserve"> </w:t>
            </w:r>
            <w:r>
              <w:t>description of the data and explain why this data needs to be collected:</w:t>
            </w:r>
          </w:p>
        </w:tc>
      </w:tr>
      <w:tr>
        <w:trPr>
          <w:trHeight w:val="403"/>
        </w:trPr>
        <w:tc>
          <w:tcPr>
            <w:tcW w:w="9889" w:type="dxa"/>
            <w:gridSpan w:val="3"/>
            <w:vAlign w:val="center"/>
          </w:tcPr>
          <w:p>
            <w:pPr>
              <w:spacing w:line="240" w:lineRule="auto"/>
            </w:pPr>
            <w:r>
              <w:t xml:space="preserve">Each participant will be asked to select their gender during the questionnaire. This information is vital to the study as the research questions centre around the trend for more males than females to select science A Levels. </w:t>
            </w:r>
          </w:p>
          <w:p>
            <w:pPr>
              <w:spacing w:line="240" w:lineRule="auto"/>
              <w:rPr>
                <w:rFonts w:ascii="Times New Roman" w:eastAsia="Times New Roman" w:hAnsi="Times New Roman" w:cs="Times New Roman"/>
                <w:sz w:val="20"/>
                <w:szCs w:val="20"/>
              </w:rPr>
            </w:pPr>
            <w:r>
              <w:rPr>
                <w:color w:val="808080"/>
                <w:sz w:val="18"/>
                <w:szCs w:val="18"/>
              </w:rPr>
              <w:t>(this box should expand as you type)</w:t>
            </w:r>
          </w:p>
        </w:tc>
      </w:tr>
      <w:tr>
        <w:trPr>
          <w:trHeight w:val="163"/>
        </w:trPr>
        <w:tc>
          <w:tcPr>
            <w:tcW w:w="9889" w:type="dxa"/>
            <w:gridSpan w:val="3"/>
            <w:vAlign w:val="center"/>
          </w:tcPr>
          <w:p>
            <w:pPr>
              <w:spacing w:line="240" w:lineRule="auto"/>
              <w:rPr>
                <w:sz w:val="16"/>
                <w:szCs w:val="16"/>
              </w:rPr>
            </w:pPr>
          </w:p>
        </w:tc>
      </w:tr>
      <w:tr>
        <w:trPr>
          <w:trHeight w:val="403"/>
        </w:trPr>
        <w:tc>
          <w:tcPr>
            <w:tcW w:w="7763" w:type="dxa"/>
            <w:shd w:val="clear" w:color="auto" w:fill="F2F2F2"/>
            <w:vAlign w:val="center"/>
          </w:tcPr>
          <w:p>
            <w:pPr>
              <w:spacing w:line="240" w:lineRule="auto"/>
            </w:pPr>
            <w:r>
              <w:t>Does it involve sensitive personal data (as defined by the Data Protection Act)?</w:t>
            </w:r>
          </w:p>
          <w:p>
            <w:pPr>
              <w:spacing w:line="240" w:lineRule="auto"/>
              <w:rPr>
                <w:i/>
                <w:sz w:val="20"/>
                <w:szCs w:val="20"/>
              </w:rPr>
            </w:pPr>
            <w:r>
              <w:rPr>
                <w:b/>
                <w:i/>
                <w:sz w:val="20"/>
                <w:szCs w:val="20"/>
              </w:rPr>
              <w:t>“Sensitive personal data”</w:t>
            </w:r>
            <w:r>
              <w:rPr>
                <w:i/>
                <w:sz w:val="20"/>
                <w:szCs w:val="20"/>
              </w:rPr>
              <w:t> means personal data consisting of information as to –</w:t>
            </w:r>
          </w:p>
          <w:p>
            <w:pPr>
              <w:spacing w:line="240" w:lineRule="auto"/>
              <w:rPr>
                <w:i/>
                <w:sz w:val="20"/>
                <w:szCs w:val="20"/>
              </w:rPr>
            </w:pPr>
            <w:r>
              <w:rPr>
                <w:i/>
                <w:sz w:val="20"/>
                <w:szCs w:val="20"/>
              </w:rPr>
              <w:t>(a) the racial or ethnic origin of the data subject,</w:t>
            </w:r>
          </w:p>
          <w:p>
            <w:pPr>
              <w:spacing w:line="240" w:lineRule="auto"/>
              <w:rPr>
                <w:i/>
                <w:sz w:val="20"/>
                <w:szCs w:val="20"/>
              </w:rPr>
            </w:pPr>
            <w:r>
              <w:rPr>
                <w:i/>
                <w:sz w:val="20"/>
                <w:szCs w:val="20"/>
              </w:rPr>
              <w:t>(b) his political opinions,</w:t>
            </w:r>
          </w:p>
          <w:p>
            <w:pPr>
              <w:spacing w:line="240" w:lineRule="auto"/>
              <w:rPr>
                <w:i/>
                <w:sz w:val="20"/>
                <w:szCs w:val="20"/>
              </w:rPr>
            </w:pPr>
            <w:r>
              <w:rPr>
                <w:i/>
                <w:sz w:val="20"/>
                <w:szCs w:val="20"/>
              </w:rPr>
              <w:t>(c ) his religious beliefs or other beliefs of a similar nature,</w:t>
            </w:r>
          </w:p>
          <w:p>
            <w:pPr>
              <w:spacing w:line="240" w:lineRule="auto"/>
              <w:rPr>
                <w:i/>
                <w:sz w:val="20"/>
                <w:szCs w:val="20"/>
              </w:rPr>
            </w:pPr>
            <w:r>
              <w:rPr>
                <w:i/>
                <w:sz w:val="20"/>
                <w:szCs w:val="20"/>
              </w:rPr>
              <w:t>(d) whether he is a member of a trade union (within the meaning of the Trade Union and Labour Relations (Consolidation) Act 1992),</w:t>
            </w:r>
          </w:p>
          <w:p>
            <w:pPr>
              <w:spacing w:line="240" w:lineRule="auto"/>
              <w:rPr>
                <w:i/>
                <w:sz w:val="20"/>
                <w:szCs w:val="20"/>
              </w:rPr>
            </w:pPr>
            <w:r>
              <w:rPr>
                <w:i/>
                <w:sz w:val="20"/>
                <w:szCs w:val="20"/>
              </w:rPr>
              <w:t>(e) his physical or mental health or condition,</w:t>
            </w:r>
          </w:p>
          <w:p>
            <w:pPr>
              <w:spacing w:line="240" w:lineRule="auto"/>
              <w:rPr>
                <w:i/>
                <w:sz w:val="20"/>
                <w:szCs w:val="20"/>
              </w:rPr>
            </w:pPr>
            <w:r>
              <w:rPr>
                <w:i/>
                <w:sz w:val="20"/>
                <w:szCs w:val="20"/>
              </w:rPr>
              <w:t>(f) his sexual life,</w:t>
            </w:r>
          </w:p>
          <w:p>
            <w:pPr>
              <w:spacing w:line="240" w:lineRule="auto"/>
              <w:rPr>
                <w:i/>
                <w:sz w:val="20"/>
                <w:szCs w:val="20"/>
              </w:rPr>
            </w:pPr>
            <w:r>
              <w:rPr>
                <w:i/>
                <w:sz w:val="20"/>
                <w:szCs w:val="20"/>
              </w:rPr>
              <w:t>(g) the commission or alleged commission by him of any offence, or</w:t>
            </w:r>
          </w:p>
          <w:p>
            <w:pPr>
              <w:spacing w:line="240" w:lineRule="auto"/>
            </w:pPr>
            <w:r>
              <w:rPr>
                <w:i/>
                <w:sz w:val="20"/>
                <w:szCs w:val="20"/>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9889" w:type="dxa"/>
            <w:gridSpan w:val="3"/>
            <w:shd w:val="clear" w:color="auto" w:fill="F2F2F2"/>
            <w:vAlign w:val="center"/>
          </w:tcPr>
          <w:p>
            <w:pPr>
              <w:spacing w:line="240" w:lineRule="auto"/>
            </w:pPr>
            <w:r>
              <w:t>If YES, provide a</w:t>
            </w:r>
            <w:r>
              <w:rPr>
                <w:b/>
              </w:rPr>
              <w:t xml:space="preserve"> </w:t>
            </w:r>
            <w:r>
              <w:t>description of the data and explain why this data needs to be collected:</w:t>
            </w:r>
          </w:p>
        </w:tc>
      </w:tr>
      <w:tr>
        <w:trPr>
          <w:trHeight w:val="403"/>
        </w:trPr>
        <w:tc>
          <w:tcPr>
            <w:tcW w:w="9889" w:type="dxa"/>
            <w:gridSpan w:val="3"/>
            <w:vAlign w:val="center"/>
          </w:tcPr>
          <w:p>
            <w:pPr>
              <w:spacing w:line="240" w:lineRule="auto"/>
            </w:pPr>
          </w:p>
          <w:p>
            <w:pPr>
              <w:spacing w:line="240" w:lineRule="auto"/>
              <w:rPr>
                <w:rFonts w:ascii="Times New Roman" w:eastAsia="Times New Roman" w:hAnsi="Times New Roman" w:cs="Times New Roman"/>
                <w:sz w:val="20"/>
                <w:szCs w:val="20"/>
              </w:rPr>
            </w:pPr>
            <w:r>
              <w:rPr>
                <w:color w:val="808080"/>
                <w:sz w:val="18"/>
                <w:szCs w:val="18"/>
              </w:rPr>
              <w:t>(this box should expand as you type)</w:t>
            </w:r>
          </w:p>
        </w:tc>
      </w:tr>
    </w:tbl>
    <w:p>
      <w:pPr>
        <w:spacing w:line="240" w:lineRule="auto"/>
        <w:rPr>
          <w:sz w:val="16"/>
          <w:szCs w:val="16"/>
        </w:rPr>
      </w:pPr>
    </w:p>
    <w:tbl>
      <w:tblPr>
        <w:tblStyle w:val="afffa"/>
        <w:tblW w:w="988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763"/>
        <w:gridCol w:w="992"/>
        <w:gridCol w:w="1134"/>
      </w:tblGrid>
      <w:tr>
        <w:trPr>
          <w:trHeight w:val="439"/>
        </w:trPr>
        <w:tc>
          <w:tcPr>
            <w:tcW w:w="7763" w:type="dxa"/>
          </w:tcPr>
          <w:p>
            <w:pPr>
              <w:spacing w:line="240" w:lineRule="auto"/>
              <w:rPr>
                <w:b/>
              </w:rPr>
            </w:pPr>
            <w:r>
              <w:t>Will the research activity involve storing personal data on one of the following:</w:t>
            </w:r>
          </w:p>
        </w:tc>
        <w:tc>
          <w:tcPr>
            <w:tcW w:w="992" w:type="dxa"/>
          </w:tcPr>
          <w:p>
            <w:pPr>
              <w:spacing w:line="240" w:lineRule="auto"/>
              <w:jc w:val="center"/>
              <w:rPr>
                <w:b/>
              </w:rPr>
            </w:pPr>
            <w:r>
              <w:rPr>
                <w:b/>
              </w:rPr>
              <w:t>YES</w:t>
            </w:r>
          </w:p>
        </w:tc>
        <w:tc>
          <w:tcPr>
            <w:tcW w:w="1134" w:type="dxa"/>
          </w:tcPr>
          <w:p>
            <w:pPr>
              <w:spacing w:line="240" w:lineRule="auto"/>
              <w:jc w:val="center"/>
              <w:rPr>
                <w:b/>
              </w:rPr>
            </w:pPr>
            <w:r>
              <w:rPr>
                <w:b/>
              </w:rPr>
              <w:t>NO</w:t>
            </w:r>
          </w:p>
        </w:tc>
      </w:tr>
      <w:tr>
        <w:trPr>
          <w:trHeight w:val="439"/>
        </w:trPr>
        <w:tc>
          <w:tcPr>
            <w:tcW w:w="7763" w:type="dxa"/>
          </w:tcPr>
          <w:p>
            <w:pPr>
              <w:spacing w:line="240" w:lineRule="auto"/>
            </w:pPr>
            <w:r>
              <w:t>Manual files (i.e. in paper form)?</w:t>
            </w:r>
          </w:p>
        </w:tc>
        <w:tc>
          <w:tcPr>
            <w:tcW w:w="992" w:type="dxa"/>
          </w:tcPr>
          <w:p>
            <w:pPr>
              <w:spacing w:line="240" w:lineRule="auto"/>
              <w:jc w:val="center"/>
            </w:pPr>
            <w:r>
              <w:rPr>
                <w:b/>
              </w:rPr>
              <w:t>X</w:t>
            </w:r>
            <w:r>
              <w:rPr>
                <w:rFonts w:ascii="MS Gothic" w:eastAsia="MS Gothic" w:hAnsi="MS Gothic" w:cs="MS Gothic"/>
                <w:b/>
              </w:rPr>
              <w:t>☐</w:t>
            </w:r>
          </w:p>
        </w:tc>
        <w:tc>
          <w:tcPr>
            <w:tcW w:w="1134" w:type="dxa"/>
          </w:tcPr>
          <w:p>
            <w:pPr>
              <w:spacing w:line="240" w:lineRule="auto"/>
              <w:jc w:val="center"/>
            </w:pPr>
            <w:r>
              <w:rPr>
                <w:rFonts w:ascii="MS Gothic" w:eastAsia="MS Gothic" w:hAnsi="MS Gothic" w:cs="MS Gothic"/>
                <w:b/>
              </w:rPr>
              <w:t>☐</w:t>
            </w:r>
          </w:p>
        </w:tc>
      </w:tr>
      <w:tr>
        <w:trPr>
          <w:trHeight w:val="403"/>
        </w:trPr>
        <w:tc>
          <w:tcPr>
            <w:tcW w:w="7763" w:type="dxa"/>
          </w:tcPr>
          <w:p>
            <w:pPr>
              <w:spacing w:line="240" w:lineRule="auto"/>
            </w:pPr>
            <w:r>
              <w:t>University computers?</w:t>
            </w:r>
          </w:p>
        </w:tc>
        <w:tc>
          <w:tcPr>
            <w:tcW w:w="992" w:type="dxa"/>
          </w:tcPr>
          <w:p>
            <w:pPr>
              <w:spacing w:line="240" w:lineRule="auto"/>
              <w:jc w:val="center"/>
            </w:pPr>
            <w:r>
              <w:rPr>
                <w:rFonts w:ascii="MS Gothic" w:eastAsia="MS Gothic" w:hAnsi="MS Gothic" w:cs="MS Gothic"/>
                <w:b/>
              </w:rPr>
              <w:t>☐</w:t>
            </w:r>
          </w:p>
        </w:tc>
        <w:tc>
          <w:tcPr>
            <w:tcW w:w="1134" w:type="dxa"/>
          </w:tcPr>
          <w:p>
            <w:pPr>
              <w:spacing w:line="240" w:lineRule="auto"/>
              <w:jc w:val="center"/>
            </w:pPr>
            <w:r>
              <w:rPr>
                <w:b/>
              </w:rPr>
              <w:t>X</w:t>
            </w:r>
            <w:r>
              <w:rPr>
                <w:rFonts w:ascii="MS Gothic" w:eastAsia="MS Gothic" w:hAnsi="MS Gothic" w:cs="MS Gothic"/>
                <w:b/>
              </w:rPr>
              <w:t>☐</w:t>
            </w:r>
          </w:p>
        </w:tc>
      </w:tr>
      <w:tr>
        <w:trPr>
          <w:trHeight w:val="439"/>
        </w:trPr>
        <w:tc>
          <w:tcPr>
            <w:tcW w:w="7763" w:type="dxa"/>
          </w:tcPr>
          <w:p>
            <w:pPr>
              <w:spacing w:line="240" w:lineRule="auto"/>
            </w:pPr>
            <w:r>
              <w:t>Private company computers?</w:t>
            </w:r>
          </w:p>
        </w:tc>
        <w:tc>
          <w:tcPr>
            <w:tcW w:w="992" w:type="dxa"/>
          </w:tcPr>
          <w:p>
            <w:pPr>
              <w:spacing w:line="240" w:lineRule="auto"/>
              <w:jc w:val="center"/>
            </w:pPr>
            <w:r>
              <w:rPr>
                <w:rFonts w:ascii="MS Gothic" w:eastAsia="MS Gothic" w:hAnsi="MS Gothic" w:cs="MS Gothic"/>
                <w:b/>
              </w:rPr>
              <w:t>☐</w:t>
            </w:r>
          </w:p>
        </w:tc>
        <w:tc>
          <w:tcPr>
            <w:tcW w:w="1134" w:type="dxa"/>
          </w:tcPr>
          <w:p>
            <w:pPr>
              <w:spacing w:line="240" w:lineRule="auto"/>
              <w:jc w:val="center"/>
            </w:pPr>
            <w:r>
              <w:rPr>
                <w:b/>
              </w:rPr>
              <w:t>X</w:t>
            </w:r>
            <w:r>
              <w:rPr>
                <w:rFonts w:ascii="MS Gothic" w:eastAsia="MS Gothic" w:hAnsi="MS Gothic" w:cs="MS Gothic"/>
                <w:b/>
              </w:rPr>
              <w:t>☐</w:t>
            </w:r>
          </w:p>
        </w:tc>
      </w:tr>
      <w:tr>
        <w:trPr>
          <w:trHeight w:val="403"/>
        </w:trPr>
        <w:tc>
          <w:tcPr>
            <w:tcW w:w="7763" w:type="dxa"/>
          </w:tcPr>
          <w:p>
            <w:pPr>
              <w:spacing w:line="240" w:lineRule="auto"/>
            </w:pPr>
            <w:r>
              <w:t>Home or other personal computers?</w:t>
            </w:r>
          </w:p>
        </w:tc>
        <w:tc>
          <w:tcPr>
            <w:tcW w:w="992" w:type="dxa"/>
          </w:tcPr>
          <w:p>
            <w:pPr>
              <w:spacing w:line="240" w:lineRule="auto"/>
              <w:jc w:val="center"/>
            </w:pPr>
            <w:r>
              <w:rPr>
                <w:b/>
              </w:rPr>
              <w:t>X</w:t>
            </w:r>
            <w:r>
              <w:rPr>
                <w:rFonts w:ascii="MS Gothic" w:eastAsia="MS Gothic" w:hAnsi="MS Gothic" w:cs="MS Gothic"/>
                <w:b/>
              </w:rPr>
              <w:t>☐</w:t>
            </w:r>
          </w:p>
        </w:tc>
        <w:tc>
          <w:tcPr>
            <w:tcW w:w="1134" w:type="dxa"/>
          </w:tcPr>
          <w:p>
            <w:pPr>
              <w:spacing w:line="240" w:lineRule="auto"/>
              <w:jc w:val="center"/>
            </w:pPr>
            <w:r>
              <w:rPr>
                <w:rFonts w:ascii="MS Gothic" w:eastAsia="MS Gothic" w:hAnsi="MS Gothic" w:cs="MS Gothic"/>
                <w:b/>
              </w:rPr>
              <w:t>☐</w:t>
            </w:r>
          </w:p>
        </w:tc>
      </w:tr>
      <w:tr>
        <w:trPr>
          <w:trHeight w:val="403"/>
        </w:trPr>
        <w:tc>
          <w:tcPr>
            <w:tcW w:w="7763" w:type="dxa"/>
          </w:tcPr>
          <w:p>
            <w:pPr>
              <w:spacing w:line="240" w:lineRule="auto"/>
            </w:pPr>
            <w:r>
              <w:t>Laptop computers/ CDs/ Portable disk-drives/ memory sticks?</w:t>
            </w:r>
          </w:p>
        </w:tc>
        <w:tc>
          <w:tcPr>
            <w:tcW w:w="992" w:type="dxa"/>
          </w:tcPr>
          <w:p>
            <w:pPr>
              <w:spacing w:line="240" w:lineRule="auto"/>
            </w:pPr>
            <w:r>
              <w:rPr>
                <w:b/>
              </w:rPr>
              <w:t xml:space="preserve"> </w:t>
            </w:r>
            <w:r>
              <w:rPr>
                <w:rFonts w:ascii="MS Gothic" w:eastAsia="MS Gothic" w:hAnsi="MS Gothic" w:cs="MS Gothic"/>
                <w:b/>
              </w:rPr>
              <w:t>☐</w:t>
            </w:r>
          </w:p>
        </w:tc>
        <w:tc>
          <w:tcPr>
            <w:tcW w:w="1134" w:type="dxa"/>
          </w:tcPr>
          <w:p>
            <w:pPr>
              <w:spacing w:line="240" w:lineRule="auto"/>
              <w:jc w:val="center"/>
            </w:pPr>
            <w:r>
              <w:rPr>
                <w:b/>
              </w:rPr>
              <w:t>X</w:t>
            </w:r>
            <w:r>
              <w:rPr>
                <w:rFonts w:ascii="MS Gothic" w:eastAsia="MS Gothic" w:hAnsi="MS Gothic" w:cs="MS Gothic"/>
                <w:b/>
              </w:rPr>
              <w:t>☐</w:t>
            </w:r>
          </w:p>
        </w:tc>
      </w:tr>
      <w:tr>
        <w:trPr>
          <w:trHeight w:val="403"/>
        </w:trPr>
        <w:tc>
          <w:tcPr>
            <w:tcW w:w="7763" w:type="dxa"/>
          </w:tcPr>
          <w:p>
            <w:pPr>
              <w:spacing w:line="240" w:lineRule="auto"/>
            </w:pPr>
            <w:r>
              <w:t>“Cloud” storage or websites?</w:t>
            </w:r>
          </w:p>
        </w:tc>
        <w:tc>
          <w:tcPr>
            <w:tcW w:w="992" w:type="dxa"/>
          </w:tcPr>
          <w:p>
            <w:pPr>
              <w:spacing w:line="240" w:lineRule="auto"/>
              <w:jc w:val="center"/>
            </w:pPr>
            <w:r>
              <w:rPr>
                <w:rFonts w:ascii="MS Gothic" w:eastAsia="MS Gothic" w:hAnsi="MS Gothic" w:cs="MS Gothic"/>
                <w:b/>
              </w:rPr>
              <w:t>☐</w:t>
            </w:r>
          </w:p>
        </w:tc>
        <w:tc>
          <w:tcPr>
            <w:tcW w:w="1134" w:type="dxa"/>
          </w:tcPr>
          <w:p>
            <w:pPr>
              <w:spacing w:line="240" w:lineRule="auto"/>
              <w:jc w:val="center"/>
            </w:pPr>
            <w:r>
              <w:rPr>
                <w:b/>
              </w:rPr>
              <w:t>X</w:t>
            </w:r>
            <w:r>
              <w:rPr>
                <w:rFonts w:ascii="MS Gothic" w:eastAsia="MS Gothic" w:hAnsi="MS Gothic" w:cs="MS Gothic"/>
                <w:b/>
              </w:rPr>
              <w:t>☐</w:t>
            </w:r>
          </w:p>
        </w:tc>
      </w:tr>
      <w:tr>
        <w:trPr>
          <w:trHeight w:val="403"/>
        </w:trPr>
        <w:tc>
          <w:tcPr>
            <w:tcW w:w="7763" w:type="dxa"/>
          </w:tcPr>
          <w:p>
            <w:pPr>
              <w:spacing w:line="240" w:lineRule="auto"/>
            </w:pPr>
            <w:r>
              <w:t>Other – specify:</w:t>
            </w:r>
          </w:p>
          <w:p>
            <w:pPr>
              <w:spacing w:line="240" w:lineRule="auto"/>
            </w:pPr>
          </w:p>
        </w:tc>
        <w:tc>
          <w:tcPr>
            <w:tcW w:w="992" w:type="dxa"/>
          </w:tcPr>
          <w:p>
            <w:pPr>
              <w:spacing w:line="240" w:lineRule="auto"/>
              <w:jc w:val="center"/>
            </w:pPr>
            <w:r>
              <w:rPr>
                <w:rFonts w:ascii="MS Gothic" w:eastAsia="MS Gothic" w:hAnsi="MS Gothic" w:cs="MS Gothic"/>
                <w:b/>
              </w:rPr>
              <w:t>☐</w:t>
            </w:r>
          </w:p>
        </w:tc>
        <w:tc>
          <w:tcPr>
            <w:tcW w:w="1134" w:type="dxa"/>
          </w:tcPr>
          <w:p>
            <w:pPr>
              <w:spacing w:line="240" w:lineRule="auto"/>
              <w:jc w:val="center"/>
            </w:pPr>
            <w:r>
              <w:rPr>
                <w:rFonts w:ascii="MS Gothic" w:eastAsia="MS Gothic" w:hAnsi="MS Gothic" w:cs="MS Gothic"/>
                <w:b/>
              </w:rPr>
              <w:t>☐</w:t>
            </w:r>
          </w:p>
        </w:tc>
      </w:tr>
      <w:tr>
        <w:trPr>
          <w:trHeight w:val="403"/>
        </w:trPr>
        <w:tc>
          <w:tcPr>
            <w:tcW w:w="9889" w:type="dxa"/>
            <w:gridSpan w:val="3"/>
          </w:tcPr>
          <w:p>
            <w:pPr>
              <w:spacing w:line="240" w:lineRule="auto"/>
              <w:rPr>
                <w:b/>
              </w:rPr>
            </w:pPr>
            <w:r>
              <w:t>For all stored data, explain the measures in place to ensure data confidentiality, including details of password protection, encryption and anonymisation:</w:t>
            </w:r>
          </w:p>
        </w:tc>
      </w:tr>
      <w:tr>
        <w:trPr>
          <w:trHeight w:val="403"/>
        </w:trPr>
        <w:tc>
          <w:tcPr>
            <w:tcW w:w="9889" w:type="dxa"/>
            <w:gridSpan w:val="3"/>
          </w:tcPr>
          <w:p>
            <w:pPr>
              <w:spacing w:line="240" w:lineRule="auto"/>
            </w:pPr>
            <w:r>
              <w:t xml:space="preserve">Data will initially present as paper questionnaires. These questionnaires will be stored in a locked cabinet until all data has been extracted and all information transferred to the researcher’s personal computer. The paper questionnaires will remain in the locked cabinet until the completion of the research, after which they will be destroyed. The data stored on the researcher’s personal computer will be encrypted with a password known only to the researcher. Data will be anonymised at the point of questionnaire completion as participants will not reveal their name nor any other personal information other than their gender. Any data that is identifiable to the researcher will be anonymised when transferring the data to the computer. </w:t>
            </w:r>
          </w:p>
          <w:p>
            <w:pPr>
              <w:spacing w:line="240" w:lineRule="auto"/>
              <w:rPr>
                <w:b/>
              </w:rPr>
            </w:pPr>
          </w:p>
          <w:p>
            <w:pPr>
              <w:spacing w:line="240" w:lineRule="auto"/>
              <w:rPr>
                <w:b/>
              </w:rPr>
            </w:pPr>
          </w:p>
          <w:p>
            <w:pPr>
              <w:spacing w:line="240" w:lineRule="auto"/>
              <w:rPr>
                <w:b/>
              </w:rPr>
            </w:pPr>
          </w:p>
          <w:p>
            <w:pPr>
              <w:spacing w:line="240" w:lineRule="auto"/>
              <w:rPr>
                <w:b/>
              </w:rPr>
            </w:pPr>
            <w:r>
              <w:rPr>
                <w:sz w:val="18"/>
                <w:szCs w:val="18"/>
              </w:rPr>
              <w:t>(this box should expand as you type)</w:t>
            </w:r>
          </w:p>
          <w:p>
            <w:pPr>
              <w:spacing w:line="240" w:lineRule="auto"/>
              <w:jc w:val="center"/>
              <w:rPr>
                <w:b/>
              </w:rPr>
            </w:pPr>
          </w:p>
        </w:tc>
      </w:tr>
      <w:tr>
        <w:trPr>
          <w:trHeight w:val="439"/>
        </w:trPr>
        <w:tc>
          <w:tcPr>
            <w:tcW w:w="7763" w:type="dxa"/>
            <w:shd w:val="clear" w:color="auto" w:fill="F2F2F2"/>
            <w:vAlign w:val="center"/>
          </w:tcPr>
          <w:p>
            <w:pPr>
              <w:spacing w:line="240" w:lineRule="auto"/>
              <w:rPr>
                <w:b/>
              </w:rPr>
            </w:pPr>
            <w:r>
              <w:t>Will the research activity involve any of the following activities:</w:t>
            </w:r>
          </w:p>
        </w:tc>
        <w:tc>
          <w:tcPr>
            <w:tcW w:w="992" w:type="dxa"/>
            <w:shd w:val="clear" w:color="auto" w:fill="F2F2F2"/>
            <w:vAlign w:val="center"/>
          </w:tcPr>
          <w:p>
            <w:pPr>
              <w:spacing w:line="240" w:lineRule="auto"/>
              <w:jc w:val="center"/>
              <w:rPr>
                <w:b/>
              </w:rPr>
            </w:pPr>
            <w:r>
              <w:rPr>
                <w:b/>
              </w:rPr>
              <w:t>YES</w:t>
            </w:r>
          </w:p>
        </w:tc>
        <w:tc>
          <w:tcPr>
            <w:tcW w:w="1134" w:type="dxa"/>
            <w:shd w:val="clear" w:color="auto" w:fill="F2F2F2"/>
            <w:vAlign w:val="center"/>
          </w:tcPr>
          <w:p>
            <w:pPr>
              <w:spacing w:line="240" w:lineRule="auto"/>
              <w:jc w:val="center"/>
              <w:rPr>
                <w:b/>
              </w:rPr>
            </w:pPr>
            <w:r>
              <w:rPr>
                <w:b/>
              </w:rPr>
              <w:t>NO</w:t>
            </w:r>
          </w:p>
        </w:tc>
      </w:tr>
      <w:tr>
        <w:trPr>
          <w:trHeight w:val="439"/>
        </w:trPr>
        <w:tc>
          <w:tcPr>
            <w:tcW w:w="7763" w:type="dxa"/>
            <w:shd w:val="clear" w:color="auto" w:fill="F2F2F2"/>
            <w:vAlign w:val="center"/>
          </w:tcPr>
          <w:p>
            <w:pPr>
              <w:spacing w:line="240" w:lineRule="auto"/>
            </w:pPr>
            <w:r>
              <w:t>Electronic transfer of data in any form?</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7763" w:type="dxa"/>
            <w:shd w:val="clear" w:color="auto" w:fill="F2F2F2"/>
            <w:vAlign w:val="center"/>
          </w:tcPr>
          <w:p>
            <w:pPr>
              <w:spacing w:line="240" w:lineRule="auto"/>
            </w:pPr>
            <w:r>
              <w:t>Sharing of data with others at the University?</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39"/>
        </w:trPr>
        <w:tc>
          <w:tcPr>
            <w:tcW w:w="7763" w:type="dxa"/>
            <w:shd w:val="clear" w:color="auto" w:fill="F2F2F2"/>
            <w:vAlign w:val="center"/>
          </w:tcPr>
          <w:p>
            <w:pPr>
              <w:spacing w:line="240" w:lineRule="auto"/>
            </w:pPr>
            <w:r>
              <w:t>Sharing of data with other organisations?</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7763" w:type="dxa"/>
            <w:shd w:val="clear" w:color="auto" w:fill="F2F2F2"/>
            <w:vAlign w:val="center"/>
          </w:tcPr>
          <w:p>
            <w:pPr>
              <w:spacing w:line="240" w:lineRule="auto"/>
            </w:pPr>
            <w:r>
              <w:t>Export of data outside the European Union or importing of data from outside the UK?</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7763" w:type="dxa"/>
            <w:shd w:val="clear" w:color="auto" w:fill="F2F2F2"/>
            <w:vAlign w:val="center"/>
          </w:tcPr>
          <w:p>
            <w:pPr>
              <w:spacing w:line="240" w:lineRule="auto"/>
            </w:pPr>
            <w:r>
              <w:t>Use of personal addresses, postcodes, faxes, emails or telephone numbers?</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7763" w:type="dxa"/>
            <w:shd w:val="clear" w:color="auto" w:fill="F2F2F2"/>
            <w:vAlign w:val="center"/>
          </w:tcPr>
          <w:p>
            <w:pPr>
              <w:spacing w:line="240" w:lineRule="auto"/>
            </w:pPr>
            <w:r>
              <w:t>Publication of data that might allow identification of individuals?</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7763" w:type="dxa"/>
            <w:shd w:val="clear" w:color="auto" w:fill="F2F2F2"/>
            <w:vAlign w:val="center"/>
          </w:tcPr>
          <w:p>
            <w:pPr>
              <w:spacing w:line="240" w:lineRule="auto"/>
            </w:pPr>
            <w:r>
              <w:t>Use of data management system?</w:t>
            </w:r>
          </w:p>
        </w:tc>
        <w:tc>
          <w:tcPr>
            <w:tcW w:w="992" w:type="dxa"/>
            <w:shd w:val="clear" w:color="auto" w:fill="BFBFBF"/>
            <w:vAlign w:val="center"/>
          </w:tcPr>
          <w:p>
            <w:pPr>
              <w:spacing w:line="240" w:lineRule="auto"/>
              <w:jc w:val="center"/>
            </w:pPr>
            <w:r>
              <w:rPr>
                <w:rFonts w:ascii="MS Gothic" w:eastAsia="MS Gothic" w:hAnsi="MS Gothic" w:cs="MS Gothic"/>
                <w:b/>
              </w:rPr>
              <w:t>☐</w:t>
            </w:r>
          </w:p>
        </w:tc>
        <w:tc>
          <w:tcPr>
            <w:tcW w:w="1134" w:type="dxa"/>
            <w:shd w:val="clear" w:color="auto" w:fill="BFBFBF"/>
            <w:vAlign w:val="center"/>
          </w:tcPr>
          <w:p>
            <w:pPr>
              <w:spacing w:line="240" w:lineRule="auto"/>
              <w:jc w:val="center"/>
            </w:pPr>
            <w:r>
              <w:rPr>
                <w:b/>
              </w:rPr>
              <w:t>X</w:t>
            </w:r>
            <w:r>
              <w:rPr>
                <w:rFonts w:ascii="MS Gothic" w:eastAsia="MS Gothic" w:hAnsi="MS Gothic" w:cs="MS Gothic"/>
                <w:b/>
              </w:rPr>
              <w:t>☐</w:t>
            </w:r>
          </w:p>
        </w:tc>
      </w:tr>
      <w:tr>
        <w:trPr>
          <w:trHeight w:val="403"/>
        </w:trPr>
        <w:tc>
          <w:tcPr>
            <w:tcW w:w="7763" w:type="dxa"/>
            <w:shd w:val="clear" w:color="auto" w:fill="F2F2F2"/>
            <w:vAlign w:val="center"/>
          </w:tcPr>
          <w:p>
            <w:pPr>
              <w:spacing w:line="240" w:lineRule="auto"/>
              <w:rPr>
                <w:b/>
              </w:rPr>
            </w:pPr>
            <w:r>
              <w:t>Data archiving?</w:t>
            </w:r>
          </w:p>
        </w:tc>
        <w:tc>
          <w:tcPr>
            <w:tcW w:w="992" w:type="dxa"/>
            <w:shd w:val="clear" w:color="auto" w:fill="BFBFBF"/>
            <w:vAlign w:val="center"/>
          </w:tcPr>
          <w:p>
            <w:pPr>
              <w:spacing w:line="240" w:lineRule="auto"/>
              <w:jc w:val="center"/>
            </w:pPr>
            <w:r>
              <w:rPr>
                <w:b/>
              </w:rPr>
              <w:t>X</w:t>
            </w:r>
            <w:r>
              <w:rPr>
                <w:rFonts w:ascii="MS Gothic" w:eastAsia="MS Gothic" w:hAnsi="MS Gothic" w:cs="MS Gothic"/>
                <w:b/>
              </w:rPr>
              <w:t>☐</w:t>
            </w:r>
          </w:p>
        </w:tc>
        <w:tc>
          <w:tcPr>
            <w:tcW w:w="1134" w:type="dxa"/>
            <w:shd w:val="clear" w:color="auto" w:fill="BFBFBF"/>
            <w:vAlign w:val="center"/>
          </w:tcPr>
          <w:p>
            <w:pPr>
              <w:spacing w:line="240" w:lineRule="auto"/>
              <w:jc w:val="center"/>
            </w:pPr>
            <w:r>
              <w:rPr>
                <w:rFonts w:ascii="MS Gothic" w:eastAsia="MS Gothic" w:hAnsi="MS Gothic" w:cs="MS Gothic"/>
                <w:b/>
              </w:rPr>
              <w:t>☐</w:t>
            </w:r>
          </w:p>
        </w:tc>
      </w:tr>
      <w:tr>
        <w:trPr>
          <w:trHeight w:val="403"/>
        </w:trPr>
        <w:tc>
          <w:tcPr>
            <w:tcW w:w="9889" w:type="dxa"/>
            <w:gridSpan w:val="3"/>
            <w:shd w:val="clear" w:color="auto" w:fill="F2F2F2"/>
            <w:vAlign w:val="center"/>
          </w:tcPr>
          <w:p>
            <w:pPr>
              <w:spacing w:before="120" w:after="120" w:line="240" w:lineRule="auto"/>
            </w:pPr>
            <w:r>
              <w:t>If YES</w:t>
            </w:r>
            <w:r>
              <w:rPr>
                <w:b/>
              </w:rPr>
              <w:t xml:space="preserve"> </w:t>
            </w:r>
            <w:r>
              <w:t>to any question, please provide full details, explaining how this will be conducted in accordance with the Data Protection Act (and/or any international equivalent):</w:t>
            </w:r>
          </w:p>
        </w:tc>
      </w:tr>
      <w:tr>
        <w:trPr>
          <w:trHeight w:val="403"/>
        </w:trPr>
        <w:tc>
          <w:tcPr>
            <w:tcW w:w="9889" w:type="dxa"/>
            <w:gridSpan w:val="3"/>
            <w:vAlign w:val="center"/>
          </w:tcPr>
          <w:p>
            <w:pPr>
              <w:spacing w:line="240" w:lineRule="auto"/>
            </w:pPr>
            <w:r>
              <w:t xml:space="preserve">Data will be archived until the completion of the research and subsequently destroyed. Paper questionnaires will be stored in a locked cabinet and any data stored on a computer will be encrypted and password protected. </w:t>
            </w:r>
          </w:p>
          <w:p>
            <w:pPr>
              <w:spacing w:line="240" w:lineRule="auto"/>
            </w:pPr>
          </w:p>
          <w:p>
            <w:pPr>
              <w:spacing w:line="240" w:lineRule="auto"/>
            </w:pPr>
          </w:p>
          <w:p>
            <w:pPr>
              <w:spacing w:line="240" w:lineRule="auto"/>
            </w:pPr>
          </w:p>
          <w:p>
            <w:pPr>
              <w:spacing w:line="240" w:lineRule="auto"/>
            </w:pPr>
          </w:p>
          <w:p>
            <w:pPr>
              <w:spacing w:line="240" w:lineRule="auto"/>
              <w:rPr>
                <w:rFonts w:ascii="Times New Roman" w:eastAsia="Times New Roman" w:hAnsi="Times New Roman" w:cs="Times New Roman"/>
                <w:sz w:val="20"/>
                <w:szCs w:val="20"/>
              </w:rPr>
            </w:pPr>
            <w:r>
              <w:rPr>
                <w:color w:val="808080"/>
                <w:sz w:val="18"/>
                <w:szCs w:val="18"/>
              </w:rPr>
              <w:t>(this box should expand as you type)</w:t>
            </w:r>
          </w:p>
        </w:tc>
      </w:tr>
    </w:tbl>
    <w:p>
      <w:pPr>
        <w:spacing w:line="240" w:lineRule="auto"/>
        <w:rPr>
          <w:sz w:val="16"/>
          <w:szCs w:val="16"/>
        </w:rPr>
      </w:pPr>
    </w:p>
    <w:tbl>
      <w:tblPr>
        <w:tblStyle w:val="afffb"/>
        <w:tblW w:w="988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889"/>
      </w:tblGrid>
      <w:tr>
        <w:trPr>
          <w:trHeight w:val="403"/>
        </w:trPr>
        <w:tc>
          <w:tcPr>
            <w:tcW w:w="9889" w:type="dxa"/>
            <w:shd w:val="clear" w:color="auto" w:fill="F2F2F2"/>
            <w:vAlign w:val="center"/>
          </w:tcPr>
          <w:p>
            <w:pPr>
              <w:spacing w:line="240" w:lineRule="auto"/>
            </w:pPr>
            <w:r>
              <w:t>List all who will have access to the data generated by the research activity:</w:t>
            </w:r>
          </w:p>
        </w:tc>
      </w:tr>
      <w:tr>
        <w:trPr>
          <w:trHeight w:val="403"/>
        </w:trPr>
        <w:tc>
          <w:tcPr>
            <w:tcW w:w="9889" w:type="dxa"/>
            <w:vAlign w:val="center"/>
          </w:tcPr>
          <w:p>
            <w:pPr>
              <w:spacing w:line="240" w:lineRule="auto"/>
            </w:pPr>
          </w:p>
          <w:p>
            <w:pPr>
              <w:spacing w:line="240" w:lineRule="auto"/>
            </w:pPr>
            <w:r>
              <w:t xml:space="preserve">Only the researcher will have access to the raw data generated by the questionnaires. The final data analysis as set out in the final report will be available to the university, the participants and their parents/guardians. </w:t>
            </w:r>
          </w:p>
          <w:p>
            <w:pPr>
              <w:spacing w:line="240" w:lineRule="auto"/>
            </w:pPr>
          </w:p>
          <w:p>
            <w:pPr>
              <w:spacing w:line="240" w:lineRule="auto"/>
              <w:rPr>
                <w:rFonts w:ascii="Times New Roman" w:eastAsia="Times New Roman" w:hAnsi="Times New Roman" w:cs="Times New Roman"/>
                <w:sz w:val="20"/>
                <w:szCs w:val="20"/>
              </w:rPr>
            </w:pPr>
            <w:r>
              <w:rPr>
                <w:color w:val="808080"/>
                <w:sz w:val="18"/>
                <w:szCs w:val="18"/>
              </w:rPr>
              <w:t>(this box should expand as you type)</w:t>
            </w:r>
          </w:p>
        </w:tc>
      </w:tr>
      <w:tr>
        <w:trPr>
          <w:trHeight w:val="233"/>
        </w:trPr>
        <w:tc>
          <w:tcPr>
            <w:tcW w:w="9889" w:type="dxa"/>
            <w:vAlign w:val="center"/>
          </w:tcPr>
          <w:p>
            <w:pPr>
              <w:spacing w:line="240" w:lineRule="auto"/>
              <w:rPr>
                <w:sz w:val="16"/>
                <w:szCs w:val="16"/>
              </w:rPr>
            </w:pPr>
          </w:p>
        </w:tc>
      </w:tr>
      <w:tr>
        <w:trPr>
          <w:trHeight w:val="403"/>
        </w:trPr>
        <w:tc>
          <w:tcPr>
            <w:tcW w:w="9889" w:type="dxa"/>
            <w:shd w:val="clear" w:color="auto" w:fill="F2F2F2"/>
          </w:tcPr>
          <w:p>
            <w:pPr>
              <w:spacing w:line="240" w:lineRule="auto"/>
            </w:pPr>
            <w:r>
              <w:t>List who will have control of, and act as custodian(s) for, data generated by the research activity:</w:t>
            </w:r>
          </w:p>
        </w:tc>
      </w:tr>
      <w:tr>
        <w:trPr>
          <w:trHeight w:val="403"/>
        </w:trPr>
        <w:tc>
          <w:tcPr>
            <w:tcW w:w="9889" w:type="dxa"/>
          </w:tcPr>
          <w:p>
            <w:pPr>
              <w:spacing w:line="240" w:lineRule="auto"/>
            </w:pPr>
            <w:r>
              <w:t xml:space="preserve">Only the researcher will have control of and act as custodian for the raw data generated from the questionnaires. </w:t>
            </w:r>
          </w:p>
          <w:p>
            <w:pPr>
              <w:spacing w:line="240" w:lineRule="auto"/>
            </w:pPr>
          </w:p>
          <w:p>
            <w:pPr>
              <w:spacing w:line="240" w:lineRule="auto"/>
            </w:pPr>
          </w:p>
          <w:p>
            <w:pPr>
              <w:spacing w:line="240" w:lineRule="auto"/>
              <w:rPr>
                <w:rFonts w:ascii="Times New Roman" w:eastAsia="Times New Roman" w:hAnsi="Times New Roman" w:cs="Times New Roman"/>
                <w:sz w:val="20"/>
                <w:szCs w:val="20"/>
              </w:rPr>
            </w:pPr>
            <w:r>
              <w:rPr>
                <w:color w:val="808080"/>
                <w:sz w:val="18"/>
                <w:szCs w:val="18"/>
              </w:rPr>
              <w:t>(this box should expand as you type)</w:t>
            </w:r>
          </w:p>
        </w:tc>
      </w:tr>
      <w:tr>
        <w:trPr>
          <w:trHeight w:val="233"/>
        </w:trPr>
        <w:tc>
          <w:tcPr>
            <w:tcW w:w="9889" w:type="dxa"/>
          </w:tcPr>
          <w:p>
            <w:pPr>
              <w:spacing w:line="240" w:lineRule="auto"/>
              <w:rPr>
                <w:sz w:val="16"/>
                <w:szCs w:val="16"/>
              </w:rPr>
            </w:pPr>
          </w:p>
        </w:tc>
      </w:tr>
      <w:tr>
        <w:trPr>
          <w:trHeight w:val="403"/>
        </w:trPr>
        <w:tc>
          <w:tcPr>
            <w:tcW w:w="9889" w:type="dxa"/>
            <w:shd w:val="clear" w:color="auto" w:fill="F2F2F2"/>
          </w:tcPr>
          <w:p>
            <w:pPr>
              <w:spacing w:line="240" w:lineRule="auto"/>
            </w:pPr>
            <w:r>
              <w:t xml:space="preserve">Give details of data storage arrangements, including where data will be stored, how long for, and in what form. Will data be archived – if so how and if not why not.  </w:t>
            </w:r>
          </w:p>
        </w:tc>
      </w:tr>
      <w:tr>
        <w:trPr>
          <w:trHeight w:val="403"/>
        </w:trPr>
        <w:tc>
          <w:tcPr>
            <w:tcW w:w="9889" w:type="dxa"/>
          </w:tcPr>
          <w:p>
            <w:pPr>
              <w:spacing w:line="240" w:lineRule="auto"/>
              <w:rPr>
                <w:rFonts w:ascii="Times New Roman" w:eastAsia="Times New Roman" w:hAnsi="Times New Roman" w:cs="Times New Roman"/>
                <w:sz w:val="20"/>
                <w:szCs w:val="20"/>
              </w:rPr>
            </w:pPr>
          </w:p>
          <w:p>
            <w:pPr>
              <w:spacing w:line="240" w:lineRule="auto"/>
            </w:pPr>
            <w:r>
              <w:t>Paper questionnaires will be stored in a locked cabinet for the duration of the research, after which they will be destroyed. Computer based data will be encrypted and password protected. Data will be archived on a personal computer, encrypted and password protected, for potential future use on another piece of research that may stem from the present one.</w:t>
            </w:r>
          </w:p>
          <w:p>
            <w:pPr>
              <w:spacing w:line="240" w:lineRule="auto"/>
              <w:rPr>
                <w:rFonts w:ascii="Times New Roman" w:eastAsia="Times New Roman" w:hAnsi="Times New Roman" w:cs="Times New Roman"/>
                <w:sz w:val="20"/>
                <w:szCs w:val="20"/>
              </w:rPr>
            </w:pPr>
          </w:p>
          <w:p>
            <w:pPr>
              <w:spacing w:line="240" w:lineRule="auto"/>
              <w:rPr>
                <w:rFonts w:ascii="Times New Roman" w:eastAsia="Times New Roman" w:hAnsi="Times New Roman" w:cs="Times New Roman"/>
                <w:sz w:val="20"/>
                <w:szCs w:val="20"/>
              </w:rPr>
            </w:pPr>
            <w:r>
              <w:rPr>
                <w:color w:val="808080"/>
                <w:sz w:val="18"/>
                <w:szCs w:val="18"/>
              </w:rPr>
              <w:t>(this box should expand as you type)</w:t>
            </w:r>
          </w:p>
        </w:tc>
      </w:tr>
    </w:tbl>
    <w:p>
      <w:pPr>
        <w:spacing w:line="240" w:lineRule="auto"/>
        <w:rPr>
          <w:b/>
        </w:rPr>
      </w:pPr>
      <w:r>
        <w:br w:type="page"/>
      </w:r>
    </w:p>
    <w:p>
      <w:pPr>
        <w:spacing w:line="240" w:lineRule="auto"/>
        <w:rPr>
          <w:b/>
        </w:rPr>
      </w:pPr>
      <w:r>
        <w:rPr>
          <w:b/>
        </w:rPr>
        <w:t>SECTION K: Declaration</w:t>
      </w:r>
    </w:p>
    <w:p>
      <w:pPr>
        <w:spacing w:line="240" w:lineRule="auto"/>
        <w:rPr>
          <w:sz w:val="16"/>
          <w:szCs w:val="16"/>
        </w:rPr>
      </w:pPr>
    </w:p>
    <w:tbl>
      <w:tblPr>
        <w:tblStyle w:val="afffc"/>
        <w:tblW w:w="9881" w:type="dxa"/>
        <w:tblInd w:w="-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19"/>
        <w:gridCol w:w="3969"/>
        <w:gridCol w:w="850"/>
        <w:gridCol w:w="1843"/>
      </w:tblGrid>
      <w:tr>
        <w:trPr>
          <w:trHeight w:val="1807"/>
        </w:trPr>
        <w:tc>
          <w:tcPr>
            <w:tcW w:w="9881" w:type="dxa"/>
            <w:gridSpan w:val="4"/>
            <w:shd w:val="clear" w:color="auto" w:fill="F2F2F2"/>
            <w:vAlign w:val="center"/>
          </w:tcPr>
          <w:p>
            <w:pPr>
              <w:spacing w:line="240" w:lineRule="auto"/>
              <w:jc w:val="both"/>
              <w:rPr>
                <w:b/>
              </w:rPr>
            </w:pPr>
            <w:r>
              <w:t>The information which I have provided is correct and complete to the best of my knowledge. I have attempted to identify any risks and issues related to the research activity and acknowledge my obligations and the rights of the participants</w:t>
            </w:r>
            <w:r>
              <w:rPr>
                <w:b/>
              </w:rPr>
              <w:t>.</w:t>
            </w:r>
          </w:p>
          <w:p>
            <w:pPr>
              <w:spacing w:line="240" w:lineRule="auto"/>
              <w:jc w:val="both"/>
              <w:rPr>
                <w:b/>
              </w:rPr>
            </w:pPr>
          </w:p>
          <w:p>
            <w:pPr>
              <w:spacing w:line="240" w:lineRule="auto"/>
              <w:jc w:val="both"/>
              <w:rPr>
                <w:color w:val="000080"/>
              </w:rPr>
            </w:pPr>
            <w:r>
              <w:t xml:space="preserve">In submitting this application I hereby confirm that I undertake to ensure that the above named research activity will meet the University’s </w:t>
            </w:r>
            <w:hyperlink r:id="rId23">
              <w:r>
                <w:rPr>
                  <w:color w:val="0000FF"/>
                  <w:u w:val="single"/>
                </w:rPr>
                <w:t>Research Ethics and Integrity Code of Practice</w:t>
              </w:r>
            </w:hyperlink>
          </w:p>
        </w:tc>
      </w:tr>
      <w:tr>
        <w:trPr>
          <w:trHeight w:val="657"/>
        </w:trPr>
        <w:tc>
          <w:tcPr>
            <w:tcW w:w="3219" w:type="dxa"/>
            <w:tcBorders>
              <w:right w:val="nil"/>
            </w:tcBorders>
            <w:vAlign w:val="center"/>
          </w:tcPr>
          <w:p>
            <w:pPr>
              <w:spacing w:line="240" w:lineRule="auto"/>
            </w:pPr>
            <w:r>
              <w:rPr>
                <w:b/>
              </w:rPr>
              <w:t>Signature of applicant: A J S Williams</w:t>
            </w:r>
          </w:p>
        </w:tc>
        <w:tc>
          <w:tcPr>
            <w:tcW w:w="3969" w:type="dxa"/>
            <w:tcBorders>
              <w:left w:val="nil"/>
            </w:tcBorders>
            <w:vAlign w:val="center"/>
          </w:tcPr>
          <w:p>
            <w:pPr>
              <w:spacing w:line="240" w:lineRule="auto"/>
            </w:pPr>
          </w:p>
        </w:tc>
        <w:tc>
          <w:tcPr>
            <w:tcW w:w="850" w:type="dxa"/>
            <w:tcBorders>
              <w:right w:val="nil"/>
            </w:tcBorders>
            <w:vAlign w:val="center"/>
          </w:tcPr>
          <w:p>
            <w:pPr>
              <w:spacing w:line="240" w:lineRule="auto"/>
            </w:pPr>
            <w:r>
              <w:rPr>
                <w:b/>
              </w:rPr>
              <w:t>Date:</w:t>
            </w:r>
          </w:p>
        </w:tc>
        <w:tc>
          <w:tcPr>
            <w:tcW w:w="1843" w:type="dxa"/>
            <w:tcBorders>
              <w:left w:val="nil"/>
            </w:tcBorders>
            <w:vAlign w:val="center"/>
          </w:tcPr>
          <w:p>
            <w:pPr>
              <w:spacing w:line="240" w:lineRule="auto"/>
            </w:pPr>
            <w:r>
              <w:t>17/03/19</w:t>
            </w:r>
          </w:p>
        </w:tc>
      </w:tr>
    </w:tbl>
    <w:p>
      <w:pPr>
        <w:spacing w:line="240" w:lineRule="auto"/>
      </w:pPr>
    </w:p>
    <w:p>
      <w:pPr>
        <w:spacing w:line="240" w:lineRule="auto"/>
        <w:rPr>
          <w:b/>
          <w:i/>
        </w:rPr>
      </w:pPr>
      <w:r>
        <w:rPr>
          <w:b/>
          <w:i/>
        </w:rPr>
        <w:t>For students:</w:t>
      </w:r>
    </w:p>
    <w:tbl>
      <w:tblPr>
        <w:tblStyle w:val="afffd"/>
        <w:tblW w:w="7195"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27"/>
        <w:gridCol w:w="3968"/>
      </w:tblGrid>
      <w:tr>
        <w:trPr>
          <w:trHeight w:val="346"/>
        </w:trPr>
        <w:tc>
          <w:tcPr>
            <w:tcW w:w="3227" w:type="dxa"/>
            <w:shd w:val="clear" w:color="auto" w:fill="F2F2F2"/>
            <w:vAlign w:val="center"/>
          </w:tcPr>
          <w:p>
            <w:pPr>
              <w:spacing w:line="240" w:lineRule="auto"/>
            </w:pPr>
            <w:r>
              <w:t>Teacher / Senior Mentor / Headteacher:</w:t>
            </w:r>
          </w:p>
        </w:tc>
        <w:tc>
          <w:tcPr>
            <w:tcW w:w="3969" w:type="dxa"/>
            <w:shd w:val="clear" w:color="auto" w:fill="auto"/>
            <w:vAlign w:val="center"/>
          </w:tcPr>
          <w:p>
            <w:pPr>
              <w:spacing w:line="240" w:lineRule="auto"/>
            </w:pPr>
          </w:p>
        </w:tc>
      </w:tr>
      <w:tr>
        <w:trPr>
          <w:trHeight w:val="347"/>
        </w:trPr>
        <w:tc>
          <w:tcPr>
            <w:tcW w:w="3227" w:type="dxa"/>
            <w:shd w:val="clear" w:color="auto" w:fill="F2F2F2"/>
            <w:vAlign w:val="center"/>
          </w:tcPr>
          <w:p>
            <w:pPr>
              <w:spacing w:line="240" w:lineRule="auto"/>
            </w:pPr>
            <w:r>
              <w:t>Signature:</w:t>
            </w:r>
          </w:p>
        </w:tc>
        <w:tc>
          <w:tcPr>
            <w:tcW w:w="3969" w:type="dxa"/>
            <w:shd w:val="clear" w:color="auto" w:fill="auto"/>
            <w:vAlign w:val="center"/>
          </w:tcPr>
          <w:p>
            <w:pPr>
              <w:spacing w:line="240" w:lineRule="auto"/>
            </w:pPr>
          </w:p>
          <w:p>
            <w:pPr>
              <w:spacing w:line="240" w:lineRule="auto"/>
              <w:rPr>
                <w:color w:val="0000FF"/>
              </w:rPr>
            </w:pPr>
          </w:p>
        </w:tc>
      </w:tr>
      <w:tr>
        <w:trPr>
          <w:trHeight w:val="347"/>
        </w:trPr>
        <w:tc>
          <w:tcPr>
            <w:tcW w:w="3227" w:type="dxa"/>
            <w:shd w:val="clear" w:color="auto" w:fill="F2F2F2"/>
            <w:vAlign w:val="center"/>
          </w:tcPr>
          <w:p>
            <w:pPr>
              <w:spacing w:line="240" w:lineRule="auto"/>
            </w:pPr>
            <w:r>
              <w:t>Date:</w:t>
            </w:r>
          </w:p>
        </w:tc>
        <w:tc>
          <w:tcPr>
            <w:tcW w:w="3969" w:type="dxa"/>
            <w:shd w:val="clear" w:color="auto" w:fill="auto"/>
            <w:vAlign w:val="center"/>
          </w:tcPr>
          <w:p>
            <w:pPr>
              <w:spacing w:line="240" w:lineRule="auto"/>
            </w:pPr>
          </w:p>
        </w:tc>
      </w:tr>
    </w:tbl>
    <w:p>
      <w:pPr>
        <w:spacing w:line="240" w:lineRule="auto"/>
      </w:pPr>
    </w:p>
    <w:tbl>
      <w:tblPr>
        <w:tblStyle w:val="afffe"/>
        <w:tblW w:w="7195"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27"/>
        <w:gridCol w:w="3968"/>
      </w:tblGrid>
      <w:tr>
        <w:trPr>
          <w:trHeight w:val="346"/>
        </w:trPr>
        <w:tc>
          <w:tcPr>
            <w:tcW w:w="3227" w:type="dxa"/>
            <w:shd w:val="clear" w:color="auto" w:fill="F2F2F2"/>
            <w:vAlign w:val="center"/>
          </w:tcPr>
          <w:p>
            <w:pPr>
              <w:spacing w:line="240" w:lineRule="auto"/>
            </w:pPr>
            <w:r>
              <w:t>Supervisor:</w:t>
            </w:r>
          </w:p>
        </w:tc>
        <w:tc>
          <w:tcPr>
            <w:tcW w:w="3969" w:type="dxa"/>
            <w:shd w:val="clear" w:color="auto" w:fill="auto"/>
            <w:vAlign w:val="center"/>
          </w:tcPr>
          <w:p>
            <w:pPr>
              <w:spacing w:line="240" w:lineRule="auto"/>
            </w:pPr>
          </w:p>
        </w:tc>
      </w:tr>
      <w:tr>
        <w:trPr>
          <w:trHeight w:val="347"/>
        </w:trPr>
        <w:tc>
          <w:tcPr>
            <w:tcW w:w="3227" w:type="dxa"/>
            <w:shd w:val="clear" w:color="auto" w:fill="F2F2F2"/>
            <w:vAlign w:val="center"/>
          </w:tcPr>
          <w:p>
            <w:pPr>
              <w:spacing w:line="240" w:lineRule="auto"/>
            </w:pPr>
            <w:r>
              <w:t>Signature:</w:t>
            </w:r>
          </w:p>
        </w:tc>
        <w:tc>
          <w:tcPr>
            <w:tcW w:w="3969" w:type="dxa"/>
            <w:shd w:val="clear" w:color="auto" w:fill="auto"/>
            <w:vAlign w:val="center"/>
          </w:tcPr>
          <w:p>
            <w:pPr>
              <w:spacing w:line="240" w:lineRule="auto"/>
            </w:pPr>
          </w:p>
          <w:p>
            <w:pPr>
              <w:spacing w:line="240" w:lineRule="auto"/>
            </w:pPr>
          </w:p>
        </w:tc>
      </w:tr>
      <w:tr>
        <w:trPr>
          <w:trHeight w:val="347"/>
        </w:trPr>
        <w:tc>
          <w:tcPr>
            <w:tcW w:w="3227" w:type="dxa"/>
            <w:shd w:val="clear" w:color="auto" w:fill="F2F2F2"/>
            <w:vAlign w:val="center"/>
          </w:tcPr>
          <w:p>
            <w:pPr>
              <w:spacing w:line="240" w:lineRule="auto"/>
            </w:pPr>
            <w:r>
              <w:t>Date:</w:t>
            </w:r>
          </w:p>
        </w:tc>
        <w:tc>
          <w:tcPr>
            <w:tcW w:w="3969" w:type="dxa"/>
            <w:shd w:val="clear" w:color="auto" w:fill="auto"/>
            <w:vAlign w:val="center"/>
          </w:tcPr>
          <w:p>
            <w:pPr>
              <w:spacing w:line="240" w:lineRule="auto"/>
            </w:pPr>
          </w:p>
        </w:tc>
      </w:tr>
    </w:tbl>
    <w:p>
      <w:pPr>
        <w:spacing w:line="240" w:lineRule="auto"/>
      </w:pPr>
    </w:p>
    <w:p>
      <w:pPr>
        <w:spacing w:line="240" w:lineRule="auto"/>
      </w:pPr>
    </w:p>
    <w:p>
      <w:pPr>
        <w:spacing w:line="240" w:lineRule="auto"/>
      </w:pPr>
      <w:r>
        <w:rPr>
          <w:b/>
        </w:rPr>
        <w:t xml:space="preserve">Checklist: </w:t>
      </w:r>
      <w:r>
        <w:t>Please complete the checklist below to ensure that you have completed the form according to the guidelines and attached any required documentation:</w:t>
      </w:r>
    </w:p>
    <w:tbl>
      <w:tblPr>
        <w:tblStyle w:val="affff"/>
        <w:tblW w:w="1003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356"/>
      </w:tblGrid>
      <w:tr>
        <w:trPr>
          <w:trHeight w:val="491"/>
        </w:trPr>
        <w:tc>
          <w:tcPr>
            <w:tcW w:w="675" w:type="dxa"/>
            <w:shd w:val="clear" w:color="auto" w:fill="BFBFBF"/>
            <w:vAlign w:val="center"/>
          </w:tcPr>
          <w:p>
            <w:pPr>
              <w:spacing w:line="240" w:lineRule="auto"/>
              <w:jc w:val="center"/>
            </w:pPr>
            <w:r>
              <w:rPr>
                <w:b/>
                <w:sz w:val="20"/>
                <w:szCs w:val="20"/>
              </w:rPr>
              <w:t>X</w:t>
            </w:r>
            <w:r>
              <w:rPr>
                <w:rFonts w:ascii="MS Gothic" w:eastAsia="MS Gothic" w:hAnsi="MS Gothic" w:cs="MS Gothic"/>
                <w:b/>
                <w:sz w:val="20"/>
                <w:szCs w:val="20"/>
              </w:rPr>
              <w:t>☐</w:t>
            </w:r>
          </w:p>
        </w:tc>
        <w:tc>
          <w:tcPr>
            <w:tcW w:w="9356" w:type="dxa"/>
            <w:vAlign w:val="center"/>
          </w:tcPr>
          <w:p>
            <w:pPr>
              <w:spacing w:line="240" w:lineRule="auto"/>
            </w:pPr>
            <w:r>
              <w:t>I have read the guidance notes supplied before completing the form.</w:t>
            </w:r>
          </w:p>
        </w:tc>
      </w:tr>
      <w:tr>
        <w:trPr>
          <w:trHeight w:val="413"/>
        </w:trPr>
        <w:tc>
          <w:tcPr>
            <w:tcW w:w="675" w:type="dxa"/>
            <w:shd w:val="clear" w:color="auto" w:fill="BFBFBF"/>
            <w:vAlign w:val="center"/>
          </w:tcPr>
          <w:p>
            <w:pPr>
              <w:spacing w:line="240" w:lineRule="auto"/>
              <w:jc w:val="center"/>
            </w:pPr>
            <w:r>
              <w:rPr>
                <w:b/>
                <w:sz w:val="20"/>
                <w:szCs w:val="20"/>
              </w:rPr>
              <w:t>X</w:t>
            </w:r>
            <w:r>
              <w:rPr>
                <w:rFonts w:ascii="MS Gothic" w:eastAsia="MS Gothic" w:hAnsi="MS Gothic" w:cs="MS Gothic"/>
                <w:b/>
                <w:sz w:val="20"/>
                <w:szCs w:val="20"/>
              </w:rPr>
              <w:t>☐</w:t>
            </w:r>
          </w:p>
        </w:tc>
        <w:tc>
          <w:tcPr>
            <w:tcW w:w="9356" w:type="dxa"/>
            <w:vAlign w:val="center"/>
          </w:tcPr>
          <w:p>
            <w:pPr>
              <w:spacing w:line="240" w:lineRule="auto"/>
            </w:pPr>
            <w:r>
              <w:t xml:space="preserve">I have completed </w:t>
            </w:r>
            <w:r>
              <w:rPr>
                <w:b/>
              </w:rPr>
              <w:t>ALL RELEVANT</w:t>
            </w:r>
            <w:r>
              <w:t xml:space="preserve"> sections of the form in full.</w:t>
            </w:r>
          </w:p>
        </w:tc>
      </w:tr>
      <w:tr>
        <w:trPr>
          <w:trHeight w:val="419"/>
        </w:trPr>
        <w:tc>
          <w:tcPr>
            <w:tcW w:w="675" w:type="dxa"/>
            <w:shd w:val="clear" w:color="auto" w:fill="BFBFBF"/>
            <w:vAlign w:val="center"/>
          </w:tcPr>
          <w:p>
            <w:pPr>
              <w:spacing w:line="240" w:lineRule="auto"/>
              <w:jc w:val="center"/>
            </w:pPr>
            <w:r>
              <w:rPr>
                <w:b/>
                <w:sz w:val="20"/>
                <w:szCs w:val="20"/>
              </w:rPr>
              <w:t>X</w:t>
            </w:r>
            <w:r>
              <w:rPr>
                <w:rFonts w:ascii="MS Gothic" w:eastAsia="MS Gothic" w:hAnsi="MS Gothic" w:cs="MS Gothic"/>
                <w:b/>
                <w:sz w:val="20"/>
                <w:szCs w:val="20"/>
              </w:rPr>
              <w:t>☐</w:t>
            </w:r>
          </w:p>
        </w:tc>
        <w:tc>
          <w:tcPr>
            <w:tcW w:w="9356" w:type="dxa"/>
            <w:vAlign w:val="center"/>
          </w:tcPr>
          <w:p>
            <w:pPr>
              <w:spacing w:line="240" w:lineRule="auto"/>
            </w:pPr>
            <w:r>
              <w:t>I confirm that the research activity has received approval in principle</w:t>
            </w:r>
          </w:p>
        </w:tc>
      </w:tr>
      <w:tr>
        <w:trPr>
          <w:trHeight w:val="492"/>
        </w:trPr>
        <w:tc>
          <w:tcPr>
            <w:tcW w:w="675" w:type="dxa"/>
            <w:shd w:val="clear" w:color="auto" w:fill="BFBFBF"/>
            <w:vAlign w:val="center"/>
          </w:tcPr>
          <w:p>
            <w:pPr>
              <w:spacing w:line="240" w:lineRule="auto"/>
              <w:jc w:val="center"/>
            </w:pPr>
            <w:r>
              <w:rPr>
                <w:rFonts w:ascii="MS Gothic" w:eastAsia="MS Gothic" w:hAnsi="MS Gothic" w:cs="MS Gothic"/>
                <w:b/>
                <w:sz w:val="20"/>
                <w:szCs w:val="20"/>
              </w:rPr>
              <w:t>☐</w:t>
            </w:r>
          </w:p>
        </w:tc>
        <w:tc>
          <w:tcPr>
            <w:tcW w:w="9356" w:type="dxa"/>
            <w:vAlign w:val="center"/>
          </w:tcPr>
          <w:p>
            <w:pPr>
              <w:spacing w:line="240" w:lineRule="auto"/>
            </w:pPr>
            <w:r>
              <w:t>I have attached a copy of final/interim approval from external organisation (where appropriate)</w:t>
            </w:r>
          </w:p>
        </w:tc>
      </w:tr>
      <w:tr>
        <w:trPr>
          <w:trHeight w:val="492"/>
        </w:trPr>
        <w:tc>
          <w:tcPr>
            <w:tcW w:w="675" w:type="dxa"/>
            <w:shd w:val="clear" w:color="auto" w:fill="BFBFBF"/>
            <w:vAlign w:val="center"/>
          </w:tcPr>
          <w:p>
            <w:pPr>
              <w:spacing w:line="240" w:lineRule="auto"/>
              <w:jc w:val="center"/>
              <w:rPr>
                <w:b/>
                <w:sz w:val="20"/>
                <w:szCs w:val="20"/>
              </w:rPr>
            </w:pPr>
            <w:r>
              <w:rPr>
                <w:rFonts w:ascii="MS Gothic" w:eastAsia="MS Gothic" w:hAnsi="MS Gothic" w:cs="MS Gothic"/>
                <w:b/>
                <w:sz w:val="20"/>
                <w:szCs w:val="20"/>
              </w:rPr>
              <w:t>☐</w:t>
            </w:r>
          </w:p>
        </w:tc>
        <w:tc>
          <w:tcPr>
            <w:tcW w:w="9356" w:type="dxa"/>
            <w:vAlign w:val="center"/>
          </w:tcPr>
          <w:p>
            <w:pPr>
              <w:spacing w:line="240" w:lineRule="auto"/>
            </w:pPr>
          </w:p>
          <w:p>
            <w:pPr>
              <w:spacing w:line="240" w:lineRule="auto"/>
            </w:pPr>
            <w:r>
              <w:t>I have attached a full risk assessment (and have NOT completed Section H of this form) (where appropriate)</w:t>
            </w:r>
          </w:p>
          <w:p>
            <w:pPr>
              <w:spacing w:line="240" w:lineRule="auto"/>
            </w:pPr>
          </w:p>
        </w:tc>
      </w:tr>
      <w:tr>
        <w:trPr>
          <w:trHeight w:val="626"/>
        </w:trPr>
        <w:tc>
          <w:tcPr>
            <w:tcW w:w="675" w:type="dxa"/>
            <w:shd w:val="clear" w:color="auto" w:fill="BFBFBF"/>
            <w:vAlign w:val="center"/>
          </w:tcPr>
          <w:p>
            <w:pPr>
              <w:spacing w:line="240" w:lineRule="auto"/>
              <w:jc w:val="center"/>
            </w:pPr>
            <w:r>
              <w:rPr>
                <w:b/>
                <w:sz w:val="20"/>
                <w:szCs w:val="20"/>
              </w:rPr>
              <w:t>X</w:t>
            </w:r>
            <w:r>
              <w:rPr>
                <w:rFonts w:ascii="MS Gothic" w:eastAsia="MS Gothic" w:hAnsi="MS Gothic" w:cs="MS Gothic"/>
                <w:b/>
                <w:sz w:val="20"/>
                <w:szCs w:val="20"/>
              </w:rPr>
              <w:t>☐</w:t>
            </w:r>
          </w:p>
        </w:tc>
        <w:tc>
          <w:tcPr>
            <w:tcW w:w="9356" w:type="dxa"/>
            <w:vAlign w:val="center"/>
          </w:tcPr>
          <w:p>
            <w:pPr>
              <w:spacing w:line="240" w:lineRule="auto"/>
            </w:pPr>
            <w:r>
              <w:t>I understand that it is my responsibility to ensure that the above named research activity will meet the University’s Research Ethics and Integrity Code of Practice.</w:t>
            </w:r>
          </w:p>
        </w:tc>
      </w:tr>
      <w:tr>
        <w:trPr>
          <w:trHeight w:val="968"/>
        </w:trPr>
        <w:tc>
          <w:tcPr>
            <w:tcW w:w="675" w:type="dxa"/>
            <w:shd w:val="clear" w:color="auto" w:fill="BFBFBF"/>
            <w:vAlign w:val="center"/>
          </w:tcPr>
          <w:p>
            <w:pPr>
              <w:spacing w:line="240" w:lineRule="auto"/>
              <w:jc w:val="center"/>
            </w:pPr>
            <w:r>
              <w:rPr>
                <w:b/>
                <w:sz w:val="20"/>
                <w:szCs w:val="20"/>
              </w:rPr>
              <w:t>X</w:t>
            </w:r>
            <w:r>
              <w:rPr>
                <w:rFonts w:ascii="MS Gothic" w:eastAsia="MS Gothic" w:hAnsi="MS Gothic" w:cs="MS Gothic"/>
                <w:b/>
                <w:sz w:val="20"/>
                <w:szCs w:val="20"/>
              </w:rPr>
              <w:t>☐</w:t>
            </w:r>
          </w:p>
        </w:tc>
        <w:tc>
          <w:tcPr>
            <w:tcW w:w="9356" w:type="dxa"/>
            <w:vAlign w:val="center"/>
          </w:tcPr>
          <w:p>
            <w:pPr>
              <w:spacing w:line="240" w:lineRule="auto"/>
            </w:pPr>
            <w:r>
              <w:t>I understand that before commencing data collection all documents aimed at respondents (including information sheets, consent forms, questionnaires, interview schedules etc.) must be confirmed by the DoS/Supervisor, module tutor or Head of School.</w:t>
            </w:r>
          </w:p>
        </w:tc>
      </w:tr>
    </w:tbl>
    <w:p>
      <w:pPr>
        <w:tabs>
          <w:tab w:val="left" w:pos="5103"/>
        </w:tabs>
        <w:spacing w:line="240" w:lineRule="auto"/>
        <w:rPr>
          <w:b/>
        </w:rPr>
      </w:pPr>
    </w:p>
    <w:p>
      <w:pPr>
        <w:tabs>
          <w:tab w:val="left" w:pos="5103"/>
        </w:tabs>
        <w:spacing w:line="240" w:lineRule="auto"/>
        <w:rPr>
          <w:b/>
        </w:rPr>
      </w:pPr>
    </w:p>
    <w:tbl>
      <w:tblPr>
        <w:tblStyle w:val="affff0"/>
        <w:tblW w:w="10060"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060"/>
      </w:tblGrid>
      <w:tr>
        <w:tc>
          <w:tcPr>
            <w:tcW w:w="10060" w:type="dxa"/>
            <w:shd w:val="clear" w:color="auto" w:fill="F2F2F2"/>
          </w:tcPr>
          <w:p>
            <w:pPr>
              <w:spacing w:line="240" w:lineRule="auto"/>
              <w:rPr>
                <w:b/>
              </w:rPr>
            </w:pPr>
            <w:r>
              <w:rPr>
                <w:b/>
              </w:rPr>
              <w:t>RESEARCH STUDENTS AND STAFF ONLY</w:t>
            </w:r>
          </w:p>
          <w:p>
            <w:pPr>
              <w:spacing w:line="240" w:lineRule="auto"/>
            </w:pPr>
            <w:r>
              <w:t xml:space="preserve">All communications relating to this application during its processing must be in writing and emailed to </w:t>
            </w:r>
            <w:hyperlink r:id="rId24">
              <w:r>
                <w:rPr>
                  <w:color w:val="0000FF"/>
                  <w:u w:val="single"/>
                </w:rPr>
                <w:t>pgresearch@uwtsd.ac.uk</w:t>
              </w:r>
            </w:hyperlink>
            <w:r>
              <w:t xml:space="preserve"> , with the title ‘Ethical Approval’ followed by your name.</w:t>
            </w:r>
          </w:p>
          <w:p>
            <w:pPr>
              <w:spacing w:line="240" w:lineRule="auto"/>
            </w:pPr>
            <w:r>
              <w:t>You will be informed of the outcome of your claim by email; therefore</w:t>
            </w:r>
            <w:r>
              <w:rPr>
                <w:b/>
              </w:rPr>
              <w:t xml:space="preserve"> </w:t>
            </w:r>
            <w:r>
              <w:t>it is important that you check your University and personal email accounts regularly</w:t>
            </w:r>
            <w:r>
              <w:rPr>
                <w:b/>
              </w:rPr>
              <w:t>.</w:t>
            </w:r>
          </w:p>
        </w:tc>
      </w:tr>
    </w:tbl>
    <w:p>
      <w:pPr>
        <w:tabs>
          <w:tab w:val="left" w:pos="5103"/>
        </w:tabs>
        <w:spacing w:line="240" w:lineRule="auto"/>
        <w:rPr>
          <w:b/>
        </w:rPr>
      </w:pPr>
    </w:p>
    <w:p>
      <w:pPr>
        <w:pBdr>
          <w:top w:val="single" w:sz="4" w:space="1" w:color="000000"/>
          <w:left w:val="single" w:sz="4" w:space="4" w:color="000000"/>
          <w:bottom w:val="single" w:sz="4" w:space="1" w:color="000000"/>
          <w:right w:val="single" w:sz="4" w:space="21" w:color="000000"/>
          <w:between w:val="single" w:sz="4" w:space="1" w:color="000000"/>
        </w:pBdr>
        <w:shd w:val="clear" w:color="auto" w:fill="F2F2F2"/>
        <w:tabs>
          <w:tab w:val="left" w:pos="5103"/>
        </w:tabs>
        <w:spacing w:line="240" w:lineRule="auto"/>
      </w:pPr>
      <w:r>
        <w:rPr>
          <w:b/>
        </w:rPr>
        <w:t xml:space="preserve">STUDENTS ON UNDERGRADUATE OR TAUGHT MASTERS PROGRAMMES </w:t>
      </w:r>
      <w:r>
        <w:t>should submit  this form (and receive the outcome) via systems explained to you by the supervisor/module leader.</w:t>
      </w:r>
    </w:p>
    <w:p>
      <w:pPr>
        <w:tabs>
          <w:tab w:val="left" w:pos="5103"/>
        </w:tabs>
        <w:spacing w:line="240" w:lineRule="auto"/>
      </w:pPr>
    </w:p>
    <w:p>
      <w:pPr>
        <w:tabs>
          <w:tab w:val="left" w:pos="5103"/>
        </w:tabs>
        <w:spacing w:line="240" w:lineRule="auto"/>
        <w:rPr>
          <w:rFonts w:ascii="Times New Roman" w:eastAsia="Times New Roman" w:hAnsi="Times New Roman" w:cs="Times New Roman"/>
          <w:color w:val="0000FF"/>
          <w:sz w:val="20"/>
          <w:szCs w:val="20"/>
          <w:u w:val="single"/>
        </w:rPr>
      </w:pPr>
      <w:r>
        <w:rPr>
          <w:b/>
        </w:rPr>
        <w:t xml:space="preserve">This form is available electronically from the Academic Office web pages: </w:t>
      </w:r>
      <w:hyperlink r:id="rId25">
        <w:r>
          <w:rPr>
            <w:color w:val="0000FF"/>
            <w:u w:val="single"/>
          </w:rPr>
          <w:t>http://www.uwtsd.ac.uk/academic-office/</w:t>
        </w:r>
      </w:hyperlink>
    </w:p>
    <w:p>
      <w:pPr>
        <w:tabs>
          <w:tab w:val="left" w:pos="5103"/>
        </w:tabs>
        <w:spacing w:line="240" w:lineRule="auto"/>
      </w:pPr>
    </w:p>
    <w:p>
      <w:pPr>
        <w:spacing w:line="240" w:lineRule="auto"/>
        <w:jc w:val="center"/>
        <w:rPr>
          <w:b/>
        </w:rPr>
      </w:pPr>
      <w:r>
        <w:rPr>
          <w:b/>
        </w:rPr>
        <w:t>Application Process</w:t>
      </w:r>
    </w:p>
    <w:p>
      <w:pPr>
        <w:spacing w:line="240" w:lineRule="auto"/>
        <w:jc w:val="both"/>
        <w:rPr>
          <w:sz w:val="20"/>
          <w:szCs w:val="20"/>
        </w:rPr>
      </w:pPr>
    </w:p>
    <w:p>
      <w:pPr>
        <w:spacing w:line="240" w:lineRule="auto"/>
        <w:jc w:val="both"/>
        <w:rPr>
          <w:sz w:val="20"/>
          <w:szCs w:val="20"/>
        </w:rPr>
      </w:pPr>
      <w:r>
        <w:rPr>
          <w:b/>
          <w:sz w:val="20"/>
          <w:szCs w:val="20"/>
        </w:rPr>
        <w:t>All staff research projects and all research students</w:t>
      </w:r>
      <w:r>
        <w:rPr>
          <w:sz w:val="20"/>
          <w:szCs w:val="20"/>
        </w:rPr>
        <w:t xml:space="preserve"> must submit the Ethical Approval Form to the </w:t>
      </w:r>
      <w:r>
        <w:rPr>
          <w:b/>
          <w:sz w:val="20"/>
          <w:szCs w:val="20"/>
        </w:rPr>
        <w:t>University Ethics Committee</w:t>
      </w:r>
      <w:r>
        <w:rPr>
          <w:sz w:val="20"/>
          <w:szCs w:val="20"/>
        </w:rPr>
        <w:t xml:space="preserve"> via the Academic Office (</w:t>
      </w:r>
      <w:hyperlink r:id="rId26">
        <w:r>
          <w:rPr>
            <w:u w:val="single"/>
          </w:rPr>
          <w:t>pgresearch@uwtsd.ac.uk</w:t>
        </w:r>
      </w:hyperlink>
      <w:r>
        <w:rPr>
          <w:u w:val="single"/>
        </w:rPr>
        <w:t>)</w:t>
      </w:r>
      <w:r>
        <w:rPr>
          <w:sz w:val="20"/>
          <w:szCs w:val="20"/>
        </w:rPr>
        <w:t>.   Staff research directly in relation to personal study for taught undergraduate or Masters programmes should be submitted via the Faculty procedures explained below.</w:t>
      </w:r>
    </w:p>
    <w:p>
      <w:pPr>
        <w:spacing w:line="240" w:lineRule="auto"/>
        <w:jc w:val="both"/>
        <w:rPr>
          <w:sz w:val="20"/>
          <w:szCs w:val="20"/>
        </w:rPr>
      </w:pPr>
    </w:p>
    <w:p>
      <w:pPr>
        <w:spacing w:line="240" w:lineRule="auto"/>
        <w:jc w:val="both"/>
        <w:rPr>
          <w:sz w:val="20"/>
          <w:szCs w:val="20"/>
        </w:rPr>
      </w:pPr>
      <w:r>
        <w:rPr>
          <w:b/>
          <w:sz w:val="20"/>
          <w:szCs w:val="20"/>
        </w:rPr>
        <w:t>Taught masters and taught undergraduate research Ethical Approval Forms</w:t>
      </w:r>
      <w:r>
        <w:rPr>
          <w:sz w:val="20"/>
          <w:szCs w:val="20"/>
        </w:rPr>
        <w:t xml:space="preserve"> are considered </w:t>
      </w:r>
      <w:r>
        <w:rPr>
          <w:b/>
          <w:sz w:val="20"/>
          <w:szCs w:val="20"/>
        </w:rPr>
        <w:t>within Faculties.</w:t>
      </w:r>
      <w:r>
        <w:rPr>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pPr>
        <w:spacing w:line="240" w:lineRule="auto"/>
        <w:jc w:val="both"/>
        <w:rPr>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p>
    <w:p>
      <w:pPr>
        <w:spacing w:line="240" w:lineRule="auto"/>
        <w:jc w:val="both"/>
        <w:rPr>
          <w:b/>
          <w:sz w:val="20"/>
          <w:szCs w:val="20"/>
        </w:rPr>
      </w:pPr>
      <w:r>
        <w:rPr>
          <w:b/>
          <w:sz w:val="20"/>
          <w:szCs w:val="20"/>
        </w:rPr>
        <w:t xml:space="preserve">Appendix 2 </w:t>
      </w:r>
    </w:p>
    <w:p>
      <w:pPr>
        <w:pStyle w:val="Heading1"/>
        <w:keepLines w:val="0"/>
        <w:spacing w:before="240" w:after="60" w:line="240" w:lineRule="auto"/>
        <w:rPr>
          <w:b/>
          <w:sz w:val="32"/>
          <w:szCs w:val="32"/>
        </w:rPr>
      </w:pPr>
      <w:bookmarkStart w:id="3" w:name="_4i7ojhp" w:colFirst="0" w:colLast="0"/>
      <w:bookmarkEnd w:id="3"/>
      <w:r>
        <w:rPr>
          <w:b/>
          <w:sz w:val="32"/>
          <w:szCs w:val="32"/>
        </w:rPr>
        <w:t xml:space="preserve"> Declaration Form </w:t>
      </w:r>
    </w:p>
    <w:p>
      <w:pPr>
        <w:spacing w:line="240" w:lineRule="auto"/>
        <w:rPr>
          <w:sz w:val="24"/>
          <w:szCs w:val="24"/>
        </w:rPr>
      </w:pPr>
      <w:r>
        <w:rPr>
          <w:noProof/>
          <w:sz w:val="24"/>
          <w:szCs w:val="24"/>
          <w:lang w:val="en-GB"/>
        </w:rPr>
        <w:drawing>
          <wp:inline distT="0" distB="0" distL="114300" distR="114300">
            <wp:extent cx="2079625" cy="997585"/>
            <wp:effectExtent l="0" t="0" r="0" b="0"/>
            <wp:docPr id="21" name="image7.jpg" descr="LogoNewydd"/>
            <wp:cNvGraphicFramePr/>
            <a:graphic xmlns:a="http://schemas.openxmlformats.org/drawingml/2006/main">
              <a:graphicData uri="http://schemas.openxmlformats.org/drawingml/2006/picture">
                <pic:pic xmlns:pic="http://schemas.openxmlformats.org/drawingml/2006/picture">
                  <pic:nvPicPr>
                    <pic:cNvPr id="0" name="image7.jpg" descr="LogoNewydd"/>
                    <pic:cNvPicPr preferRelativeResize="0"/>
                  </pic:nvPicPr>
                  <pic:blipFill>
                    <a:blip r:embed="rId8"/>
                    <a:srcRect/>
                    <a:stretch>
                      <a:fillRect/>
                    </a:stretch>
                  </pic:blipFill>
                  <pic:spPr>
                    <a:xfrm>
                      <a:off x="0" y="0"/>
                      <a:ext cx="2079625" cy="997585"/>
                    </a:xfrm>
                    <a:prstGeom prst="rect">
                      <a:avLst/>
                    </a:prstGeom>
                    <a:ln/>
                  </pic:spPr>
                </pic:pic>
              </a:graphicData>
            </a:graphic>
          </wp:inline>
        </w:drawing>
      </w:r>
    </w:p>
    <w:p>
      <w:pPr>
        <w:spacing w:line="240" w:lineRule="auto"/>
        <w:rPr>
          <w:sz w:val="24"/>
          <w:szCs w:val="24"/>
        </w:rPr>
      </w:pPr>
      <w:r>
        <w:rPr>
          <w:sz w:val="24"/>
          <w:szCs w:val="24"/>
        </w:rPr>
        <w:t>Master’s Degrees by Examination and Dissertation</w:t>
      </w:r>
    </w:p>
    <w:p>
      <w:pPr>
        <w:spacing w:line="240" w:lineRule="auto"/>
        <w:rPr>
          <w:sz w:val="24"/>
          <w:szCs w:val="24"/>
        </w:rPr>
      </w:pPr>
      <w:r>
        <w:rPr>
          <w:sz w:val="24"/>
          <w:szCs w:val="24"/>
        </w:rPr>
        <w:t>Declaration Form.</w:t>
      </w:r>
    </w:p>
    <w:p>
      <w:pPr>
        <w:spacing w:line="240" w:lineRule="auto"/>
        <w:rPr>
          <w:sz w:val="24"/>
          <w:szCs w:val="24"/>
        </w:rPr>
      </w:pPr>
    </w:p>
    <w:p>
      <w:pPr>
        <w:spacing w:line="240" w:lineRule="auto"/>
        <w:rPr>
          <w:sz w:val="24"/>
          <w:szCs w:val="24"/>
        </w:rPr>
      </w:pPr>
      <w:r>
        <w:rPr>
          <w:sz w:val="24"/>
          <w:szCs w:val="24"/>
        </w:rPr>
        <w:t>1. This work has not previously been accepted in substance for any degree and is not being concurrently submitted in candidature for any degree.</w:t>
      </w:r>
      <w:r>
        <w:rPr>
          <w:noProof/>
          <w:lang w:val="en-GB"/>
        </w:rPr>
        <mc:AlternateContent>
          <mc:Choice Requires="wpg">
            <w:drawing>
              <wp:anchor distT="114300" distB="114300" distL="114300" distR="114300" simplePos="0" relativeHeight="251663360" behindDoc="0" locked="0" layoutInCell="1" hidden="0" allowOverlap="1">
                <wp:simplePos x="0" y="0"/>
                <wp:positionH relativeFrom="column">
                  <wp:posOffset>1352550</wp:posOffset>
                </wp:positionH>
                <wp:positionV relativeFrom="paragraph">
                  <wp:posOffset>360015</wp:posOffset>
                </wp:positionV>
                <wp:extent cx="881063" cy="445839"/>
                <wp:effectExtent l="0" t="0" r="0" b="0"/>
                <wp:wrapNone/>
                <wp:docPr id="2" name=""/>
                <wp:cNvGraphicFramePr/>
                <a:graphic xmlns:a="http://schemas.openxmlformats.org/drawingml/2006/main">
                  <a:graphicData uri="http://schemas.microsoft.com/office/word/2010/wordprocessingShape">
                    <wps:wsp>
                      <wps:cNvSpPr/>
                      <wps:spPr>
                        <a:xfrm>
                          <a:off x="1558927" y="858725"/>
                          <a:ext cx="3138550" cy="1578225"/>
                        </a:xfrm>
                        <a:custGeom>
                          <a:avLst/>
                          <a:gdLst/>
                          <a:ahLst/>
                          <a:cxnLst/>
                          <a:rect l="l" t="t" r="r" b="b"/>
                          <a:pathLst>
                            <a:path w="125542" h="63129" extrusionOk="0">
                              <a:moveTo>
                                <a:pt x="1635" y="63129"/>
                              </a:moveTo>
                              <a:cubicBezTo>
                                <a:pt x="9878" y="53242"/>
                                <a:pt x="14198" y="40328"/>
                                <a:pt x="17320" y="27840"/>
                              </a:cubicBezTo>
                              <a:cubicBezTo>
                                <a:pt x="18744" y="22145"/>
                                <a:pt x="19426" y="16282"/>
                                <a:pt x="20849" y="10587"/>
                              </a:cubicBezTo>
                              <a:cubicBezTo>
                                <a:pt x="21219" y="9108"/>
                                <a:pt x="21838" y="5984"/>
                                <a:pt x="23201" y="6666"/>
                              </a:cubicBezTo>
                              <a:cubicBezTo>
                                <a:pt x="27131" y="8631"/>
                                <a:pt x="27233" y="14559"/>
                                <a:pt x="28299" y="18821"/>
                              </a:cubicBezTo>
                              <a:cubicBezTo>
                                <a:pt x="30046" y="25809"/>
                                <a:pt x="31594" y="32864"/>
                                <a:pt x="32612" y="39995"/>
                              </a:cubicBezTo>
                              <a:cubicBezTo>
                                <a:pt x="33119" y="43548"/>
                                <a:pt x="33437" y="47178"/>
                                <a:pt x="34573" y="50582"/>
                              </a:cubicBezTo>
                              <a:cubicBezTo>
                                <a:pt x="35071" y="52075"/>
                                <a:pt x="35669" y="56695"/>
                                <a:pt x="34965" y="55287"/>
                              </a:cubicBezTo>
                              <a:cubicBezTo>
                                <a:pt x="30976" y="47309"/>
                                <a:pt x="26712" y="38805"/>
                                <a:pt x="19672" y="33329"/>
                              </a:cubicBezTo>
                              <a:cubicBezTo>
                                <a:pt x="16146" y="30587"/>
                                <a:pt x="11120" y="30622"/>
                                <a:pt x="7125" y="28624"/>
                              </a:cubicBezTo>
                              <a:cubicBezTo>
                                <a:pt x="4718" y="27420"/>
                                <a:pt x="-201" y="29867"/>
                                <a:pt x="67" y="32545"/>
                              </a:cubicBezTo>
                              <a:cubicBezTo>
                                <a:pt x="709" y="38969"/>
                                <a:pt x="10197" y="41513"/>
                                <a:pt x="16535" y="42740"/>
                              </a:cubicBezTo>
                              <a:cubicBezTo>
                                <a:pt x="24764" y="44333"/>
                                <a:pt x="33532" y="46467"/>
                                <a:pt x="41631" y="44308"/>
                              </a:cubicBezTo>
                              <a:cubicBezTo>
                                <a:pt x="55281" y="40669"/>
                                <a:pt x="66179" y="16401"/>
                                <a:pt x="57707" y="5097"/>
                              </a:cubicBezTo>
                              <a:cubicBezTo>
                                <a:pt x="56015" y="2839"/>
                                <a:pt x="58893" y="10619"/>
                                <a:pt x="59668" y="13332"/>
                              </a:cubicBezTo>
                              <a:cubicBezTo>
                                <a:pt x="61184" y="18635"/>
                                <a:pt x="62251" y="24057"/>
                                <a:pt x="63589" y="29408"/>
                              </a:cubicBezTo>
                              <a:cubicBezTo>
                                <a:pt x="65144" y="35626"/>
                                <a:pt x="66977" y="42764"/>
                                <a:pt x="64373" y="48621"/>
                              </a:cubicBezTo>
                              <a:cubicBezTo>
                                <a:pt x="61965" y="54038"/>
                                <a:pt x="50675" y="57679"/>
                                <a:pt x="47120" y="52935"/>
                              </a:cubicBezTo>
                              <a:cubicBezTo>
                                <a:pt x="44238" y="49089"/>
                                <a:pt x="48488" y="42075"/>
                                <a:pt x="52610" y="39603"/>
                              </a:cubicBezTo>
                              <a:cubicBezTo>
                                <a:pt x="59734" y="35330"/>
                                <a:pt x="70538" y="39432"/>
                                <a:pt x="76920" y="34113"/>
                              </a:cubicBezTo>
                              <a:cubicBezTo>
                                <a:pt x="84274" y="27984"/>
                                <a:pt x="88561" y="7811"/>
                                <a:pt x="79273" y="5489"/>
                              </a:cubicBezTo>
                              <a:cubicBezTo>
                                <a:pt x="75576" y="4565"/>
                                <a:pt x="74960" y="12265"/>
                                <a:pt x="74960" y="16076"/>
                              </a:cubicBezTo>
                              <a:cubicBezTo>
                                <a:pt x="74960" y="29592"/>
                                <a:pt x="95399" y="43260"/>
                                <a:pt x="87899" y="54503"/>
                              </a:cubicBezTo>
                              <a:cubicBezTo>
                                <a:pt x="85445" y="58182"/>
                                <a:pt x="78301" y="47390"/>
                                <a:pt x="80449" y="43524"/>
                              </a:cubicBezTo>
                              <a:cubicBezTo>
                                <a:pt x="84271" y="36645"/>
                                <a:pt x="96134" y="33749"/>
                                <a:pt x="96134" y="25879"/>
                              </a:cubicBezTo>
                              <a:cubicBezTo>
                                <a:pt x="96134" y="22217"/>
                                <a:pt x="96901" y="18374"/>
                                <a:pt x="95742" y="14900"/>
                              </a:cubicBezTo>
                              <a:cubicBezTo>
                                <a:pt x="95150" y="13125"/>
                                <a:pt x="93795" y="7976"/>
                                <a:pt x="93389" y="9803"/>
                              </a:cubicBezTo>
                              <a:cubicBezTo>
                                <a:pt x="90935" y="20850"/>
                                <a:pt x="95815" y="32307"/>
                                <a:pt x="97310" y="43524"/>
                              </a:cubicBezTo>
                              <a:cubicBezTo>
                                <a:pt x="97730" y="46676"/>
                                <a:pt x="95699" y="52935"/>
                                <a:pt x="98879" y="52935"/>
                              </a:cubicBezTo>
                              <a:cubicBezTo>
                                <a:pt x="103515" y="52935"/>
                                <a:pt x="104893" y="43154"/>
                                <a:pt x="109466" y="43916"/>
                              </a:cubicBezTo>
                              <a:cubicBezTo>
                                <a:pt x="111747" y="44296"/>
                                <a:pt x="113529" y="46553"/>
                                <a:pt x="114563" y="48621"/>
                              </a:cubicBezTo>
                              <a:cubicBezTo>
                                <a:pt x="114892" y="49280"/>
                                <a:pt x="116064" y="51242"/>
                                <a:pt x="116131" y="50974"/>
                              </a:cubicBezTo>
                              <a:cubicBezTo>
                                <a:pt x="118444" y="41717"/>
                                <a:pt x="115267" y="31852"/>
                                <a:pt x="116131" y="22350"/>
                              </a:cubicBezTo>
                              <a:cubicBezTo>
                                <a:pt x="116863" y="14300"/>
                                <a:pt x="120843" y="6578"/>
                                <a:pt x="125542" y="0"/>
                              </a:cubicBezTo>
                            </a:path>
                          </a:pathLst>
                        </a:custGeom>
                        <a:noFill/>
                        <a:ln w="9525" cap="flat" cmpd="sng">
                          <a:solidFill>
                            <a:srgbClr val="000000"/>
                          </a:solidFill>
                          <a:prstDash val="solid"/>
                          <a:round/>
                          <a:headEnd type="none" w="med" len="med"/>
                          <a:tailEnd type="none" w="med" len="med"/>
                        </a:ln>
                      </wps:spPr>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1352550</wp:posOffset>
                </wp:positionH>
                <wp:positionV relativeFrom="paragraph">
                  <wp:posOffset>360015</wp:posOffset>
                </wp:positionV>
                <wp:extent cx="881063" cy="445839"/>
                <wp:effectExtent b="0" l="0" r="0" t="0"/>
                <wp:wrapNone/>
                <wp:docPr id="2" name="image26.png"/>
                <a:graphic>
                  <a:graphicData uri="http://schemas.openxmlformats.org/drawingml/2006/picture">
                    <pic:pic>
                      <pic:nvPicPr>
                        <pic:cNvPr id="0" name="image26.png"/>
                        <pic:cNvPicPr preferRelativeResize="0"/>
                      </pic:nvPicPr>
                      <pic:blipFill>
                        <a:blip r:embed="rId27"/>
                        <a:srcRect/>
                        <a:stretch>
                          <a:fillRect/>
                        </a:stretch>
                      </pic:blipFill>
                      <pic:spPr>
                        <a:xfrm>
                          <a:off x="0" y="0"/>
                          <a:ext cx="881063" cy="445839"/>
                        </a:xfrm>
                        <a:prstGeom prst="rect"/>
                        <a:ln/>
                      </pic:spPr>
                    </pic:pic>
                  </a:graphicData>
                </a:graphic>
              </wp:anchor>
            </w:drawing>
          </mc:Fallback>
        </mc:AlternateContent>
      </w:r>
    </w:p>
    <w:p>
      <w:pPr>
        <w:spacing w:line="240" w:lineRule="auto"/>
        <w:rPr>
          <w:sz w:val="24"/>
          <w:szCs w:val="24"/>
        </w:rPr>
      </w:pPr>
      <w:r>
        <w:rPr>
          <w:sz w:val="24"/>
          <w:szCs w:val="24"/>
        </w:rPr>
        <w:t>Signed…….………</w:t>
      </w:r>
    </w:p>
    <w:p>
      <w:pPr>
        <w:spacing w:line="240" w:lineRule="auto"/>
        <w:rPr>
          <w:sz w:val="24"/>
          <w:szCs w:val="24"/>
        </w:rPr>
      </w:pPr>
    </w:p>
    <w:p>
      <w:pPr>
        <w:spacing w:line="240" w:lineRule="auto"/>
        <w:rPr>
          <w:sz w:val="24"/>
          <w:szCs w:val="24"/>
        </w:rPr>
      </w:pPr>
    </w:p>
    <w:p>
      <w:pPr>
        <w:spacing w:line="240" w:lineRule="auto"/>
        <w:rPr>
          <w:sz w:val="24"/>
          <w:szCs w:val="24"/>
        </w:rPr>
      </w:pPr>
      <w:r>
        <w:rPr>
          <w:sz w:val="24"/>
          <w:szCs w:val="24"/>
        </w:rPr>
        <w:t>Date …………………08/03/23</w:t>
      </w:r>
    </w:p>
    <w:p>
      <w:pPr>
        <w:spacing w:line="240" w:lineRule="auto"/>
        <w:rPr>
          <w:sz w:val="24"/>
          <w:szCs w:val="24"/>
        </w:rPr>
      </w:pPr>
    </w:p>
    <w:p>
      <w:pPr>
        <w:spacing w:line="240" w:lineRule="auto"/>
        <w:rPr>
          <w:sz w:val="24"/>
          <w:szCs w:val="24"/>
        </w:rPr>
      </w:pPr>
      <w:r>
        <w:rPr>
          <w:sz w:val="24"/>
          <w:szCs w:val="24"/>
        </w:rPr>
        <w:t>2. This dissertation is being submitted in partial fulfilment of the requirements for the degree of MA Education</w:t>
      </w:r>
      <w:r>
        <w:rPr>
          <w:noProof/>
          <w:lang w:val="en-GB"/>
        </w:rPr>
        <mc:AlternateContent>
          <mc:Choice Requires="wpg">
            <w:drawing>
              <wp:anchor distT="114300" distB="114300" distL="114300" distR="114300" simplePos="0" relativeHeight="251664384" behindDoc="0" locked="0" layoutInCell="1" hidden="0" allowOverlap="1">
                <wp:simplePos x="0" y="0"/>
                <wp:positionH relativeFrom="column">
                  <wp:posOffset>1571625</wp:posOffset>
                </wp:positionH>
                <wp:positionV relativeFrom="paragraph">
                  <wp:posOffset>306660</wp:posOffset>
                </wp:positionV>
                <wp:extent cx="881063" cy="445839"/>
                <wp:effectExtent l="0" t="0" r="0" b="0"/>
                <wp:wrapNone/>
                <wp:docPr id="8" name=""/>
                <wp:cNvGraphicFramePr/>
                <a:graphic xmlns:a="http://schemas.openxmlformats.org/drawingml/2006/main">
                  <a:graphicData uri="http://schemas.microsoft.com/office/word/2010/wordprocessingShape">
                    <wps:wsp>
                      <wps:cNvSpPr/>
                      <wps:spPr>
                        <a:xfrm>
                          <a:off x="1558927" y="858725"/>
                          <a:ext cx="3138550" cy="1578225"/>
                        </a:xfrm>
                        <a:custGeom>
                          <a:avLst/>
                          <a:gdLst/>
                          <a:ahLst/>
                          <a:cxnLst/>
                          <a:rect l="l" t="t" r="r" b="b"/>
                          <a:pathLst>
                            <a:path w="125542" h="63129" extrusionOk="0">
                              <a:moveTo>
                                <a:pt x="1635" y="63129"/>
                              </a:moveTo>
                              <a:cubicBezTo>
                                <a:pt x="9878" y="53242"/>
                                <a:pt x="14198" y="40328"/>
                                <a:pt x="17320" y="27840"/>
                              </a:cubicBezTo>
                              <a:cubicBezTo>
                                <a:pt x="18744" y="22145"/>
                                <a:pt x="19426" y="16282"/>
                                <a:pt x="20849" y="10587"/>
                              </a:cubicBezTo>
                              <a:cubicBezTo>
                                <a:pt x="21219" y="9108"/>
                                <a:pt x="21838" y="5984"/>
                                <a:pt x="23201" y="6666"/>
                              </a:cubicBezTo>
                              <a:cubicBezTo>
                                <a:pt x="27131" y="8631"/>
                                <a:pt x="27233" y="14559"/>
                                <a:pt x="28299" y="18821"/>
                              </a:cubicBezTo>
                              <a:cubicBezTo>
                                <a:pt x="30046" y="25809"/>
                                <a:pt x="31594" y="32864"/>
                                <a:pt x="32612" y="39995"/>
                              </a:cubicBezTo>
                              <a:cubicBezTo>
                                <a:pt x="33119" y="43548"/>
                                <a:pt x="33437" y="47178"/>
                                <a:pt x="34573" y="50582"/>
                              </a:cubicBezTo>
                              <a:cubicBezTo>
                                <a:pt x="35071" y="52075"/>
                                <a:pt x="35669" y="56695"/>
                                <a:pt x="34965" y="55287"/>
                              </a:cubicBezTo>
                              <a:cubicBezTo>
                                <a:pt x="30976" y="47309"/>
                                <a:pt x="26712" y="38805"/>
                                <a:pt x="19672" y="33329"/>
                              </a:cubicBezTo>
                              <a:cubicBezTo>
                                <a:pt x="16146" y="30587"/>
                                <a:pt x="11120" y="30622"/>
                                <a:pt x="7125" y="28624"/>
                              </a:cubicBezTo>
                              <a:cubicBezTo>
                                <a:pt x="4718" y="27420"/>
                                <a:pt x="-201" y="29867"/>
                                <a:pt x="67" y="32545"/>
                              </a:cubicBezTo>
                              <a:cubicBezTo>
                                <a:pt x="709" y="38969"/>
                                <a:pt x="10197" y="41513"/>
                                <a:pt x="16535" y="42740"/>
                              </a:cubicBezTo>
                              <a:cubicBezTo>
                                <a:pt x="24764" y="44333"/>
                                <a:pt x="33532" y="46467"/>
                                <a:pt x="41631" y="44308"/>
                              </a:cubicBezTo>
                              <a:cubicBezTo>
                                <a:pt x="55281" y="40669"/>
                                <a:pt x="66179" y="16401"/>
                                <a:pt x="57707" y="5097"/>
                              </a:cubicBezTo>
                              <a:cubicBezTo>
                                <a:pt x="56015" y="2839"/>
                                <a:pt x="58893" y="10619"/>
                                <a:pt x="59668" y="13332"/>
                              </a:cubicBezTo>
                              <a:cubicBezTo>
                                <a:pt x="61184" y="18635"/>
                                <a:pt x="62251" y="24057"/>
                                <a:pt x="63589" y="29408"/>
                              </a:cubicBezTo>
                              <a:cubicBezTo>
                                <a:pt x="65144" y="35626"/>
                                <a:pt x="66977" y="42764"/>
                                <a:pt x="64373" y="48621"/>
                              </a:cubicBezTo>
                              <a:cubicBezTo>
                                <a:pt x="61965" y="54038"/>
                                <a:pt x="50675" y="57679"/>
                                <a:pt x="47120" y="52935"/>
                              </a:cubicBezTo>
                              <a:cubicBezTo>
                                <a:pt x="44238" y="49089"/>
                                <a:pt x="48488" y="42075"/>
                                <a:pt x="52610" y="39603"/>
                              </a:cubicBezTo>
                              <a:cubicBezTo>
                                <a:pt x="59734" y="35330"/>
                                <a:pt x="70538" y="39432"/>
                                <a:pt x="76920" y="34113"/>
                              </a:cubicBezTo>
                              <a:cubicBezTo>
                                <a:pt x="84274" y="27984"/>
                                <a:pt x="88561" y="7811"/>
                                <a:pt x="79273" y="5489"/>
                              </a:cubicBezTo>
                              <a:cubicBezTo>
                                <a:pt x="75576" y="4565"/>
                                <a:pt x="74960" y="12265"/>
                                <a:pt x="74960" y="16076"/>
                              </a:cubicBezTo>
                              <a:cubicBezTo>
                                <a:pt x="74960" y="29592"/>
                                <a:pt x="95399" y="43260"/>
                                <a:pt x="87899" y="54503"/>
                              </a:cubicBezTo>
                              <a:cubicBezTo>
                                <a:pt x="85445" y="58182"/>
                                <a:pt x="78301" y="47390"/>
                                <a:pt x="80449" y="43524"/>
                              </a:cubicBezTo>
                              <a:cubicBezTo>
                                <a:pt x="84271" y="36645"/>
                                <a:pt x="96134" y="33749"/>
                                <a:pt x="96134" y="25879"/>
                              </a:cubicBezTo>
                              <a:cubicBezTo>
                                <a:pt x="96134" y="22217"/>
                                <a:pt x="96901" y="18374"/>
                                <a:pt x="95742" y="14900"/>
                              </a:cubicBezTo>
                              <a:cubicBezTo>
                                <a:pt x="95150" y="13125"/>
                                <a:pt x="93795" y="7976"/>
                                <a:pt x="93389" y="9803"/>
                              </a:cubicBezTo>
                              <a:cubicBezTo>
                                <a:pt x="90935" y="20850"/>
                                <a:pt x="95815" y="32307"/>
                                <a:pt x="97310" y="43524"/>
                              </a:cubicBezTo>
                              <a:cubicBezTo>
                                <a:pt x="97730" y="46676"/>
                                <a:pt x="95699" y="52935"/>
                                <a:pt x="98879" y="52935"/>
                              </a:cubicBezTo>
                              <a:cubicBezTo>
                                <a:pt x="103515" y="52935"/>
                                <a:pt x="104893" y="43154"/>
                                <a:pt x="109466" y="43916"/>
                              </a:cubicBezTo>
                              <a:cubicBezTo>
                                <a:pt x="111747" y="44296"/>
                                <a:pt x="113529" y="46553"/>
                                <a:pt x="114563" y="48621"/>
                              </a:cubicBezTo>
                              <a:cubicBezTo>
                                <a:pt x="114892" y="49280"/>
                                <a:pt x="116064" y="51242"/>
                                <a:pt x="116131" y="50974"/>
                              </a:cubicBezTo>
                              <a:cubicBezTo>
                                <a:pt x="118444" y="41717"/>
                                <a:pt x="115267" y="31852"/>
                                <a:pt x="116131" y="22350"/>
                              </a:cubicBezTo>
                              <a:cubicBezTo>
                                <a:pt x="116863" y="14300"/>
                                <a:pt x="120843" y="6578"/>
                                <a:pt x="125542" y="0"/>
                              </a:cubicBezTo>
                            </a:path>
                          </a:pathLst>
                        </a:custGeom>
                        <a:noFill/>
                        <a:ln w="9525" cap="flat" cmpd="sng">
                          <a:solidFill>
                            <a:srgbClr val="000000"/>
                          </a:solidFill>
                          <a:prstDash val="solid"/>
                          <a:round/>
                          <a:headEnd type="none" w="med" len="med"/>
                          <a:tailEnd type="none" w="med" len="med"/>
                        </a:ln>
                      </wps:spPr>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1571625</wp:posOffset>
                </wp:positionH>
                <wp:positionV relativeFrom="paragraph">
                  <wp:posOffset>306660</wp:posOffset>
                </wp:positionV>
                <wp:extent cx="881063" cy="445839"/>
                <wp:effectExtent b="0" l="0" r="0" t="0"/>
                <wp:wrapNone/>
                <wp:docPr id="8" name="image32.png"/>
                <a:graphic>
                  <a:graphicData uri="http://schemas.openxmlformats.org/drawingml/2006/picture">
                    <pic:pic>
                      <pic:nvPicPr>
                        <pic:cNvPr id="0" name="image32.png"/>
                        <pic:cNvPicPr preferRelativeResize="0"/>
                      </pic:nvPicPr>
                      <pic:blipFill>
                        <a:blip r:embed="rId28"/>
                        <a:srcRect/>
                        <a:stretch>
                          <a:fillRect/>
                        </a:stretch>
                      </pic:blipFill>
                      <pic:spPr>
                        <a:xfrm>
                          <a:off x="0" y="0"/>
                          <a:ext cx="881063" cy="445839"/>
                        </a:xfrm>
                        <a:prstGeom prst="rect"/>
                        <a:ln/>
                      </pic:spPr>
                    </pic:pic>
                  </a:graphicData>
                </a:graphic>
              </wp:anchor>
            </w:drawing>
          </mc:Fallback>
        </mc:AlternateContent>
      </w:r>
    </w:p>
    <w:p>
      <w:pPr>
        <w:spacing w:line="240" w:lineRule="auto"/>
        <w:rPr>
          <w:sz w:val="24"/>
          <w:szCs w:val="24"/>
        </w:rPr>
      </w:pPr>
      <w:r>
        <w:rPr>
          <w:sz w:val="24"/>
          <w:szCs w:val="24"/>
        </w:rPr>
        <w:t>Signed ………………</w:t>
      </w:r>
    </w:p>
    <w:p>
      <w:pPr>
        <w:spacing w:line="240" w:lineRule="auto"/>
        <w:rPr>
          <w:sz w:val="24"/>
          <w:szCs w:val="24"/>
        </w:rPr>
      </w:pPr>
    </w:p>
    <w:p>
      <w:pPr>
        <w:spacing w:line="240" w:lineRule="auto"/>
        <w:rPr>
          <w:sz w:val="24"/>
          <w:szCs w:val="24"/>
        </w:rPr>
      </w:pPr>
      <w:r>
        <w:rPr>
          <w:sz w:val="24"/>
          <w:szCs w:val="24"/>
        </w:rPr>
        <w:t>Date …………08/03/23</w:t>
      </w:r>
    </w:p>
    <w:p>
      <w:pPr>
        <w:spacing w:line="240" w:lineRule="auto"/>
        <w:rPr>
          <w:sz w:val="24"/>
          <w:szCs w:val="24"/>
        </w:rPr>
      </w:pPr>
    </w:p>
    <w:p>
      <w:pPr>
        <w:spacing w:line="240" w:lineRule="auto"/>
        <w:rPr>
          <w:sz w:val="24"/>
          <w:szCs w:val="24"/>
        </w:rPr>
      </w:pPr>
      <w:r>
        <w:rPr>
          <w:sz w:val="24"/>
          <w:szCs w:val="24"/>
        </w:rPr>
        <w:t>3. This dissertation is the result of my own independent work/investigation, except where otherwise stated.</w:t>
      </w:r>
    </w:p>
    <w:p>
      <w:pPr>
        <w:spacing w:line="240" w:lineRule="auto"/>
        <w:rPr>
          <w:sz w:val="24"/>
          <w:szCs w:val="24"/>
        </w:rPr>
      </w:pPr>
      <w:r>
        <w:rPr>
          <w:sz w:val="24"/>
          <w:szCs w:val="24"/>
        </w:rPr>
        <w:t xml:space="preserve">Other sources are acknowledged by footnotes giving explicit references. </w:t>
      </w:r>
    </w:p>
    <w:p>
      <w:pPr>
        <w:spacing w:line="240" w:lineRule="auto"/>
        <w:rPr>
          <w:sz w:val="24"/>
          <w:szCs w:val="24"/>
        </w:rPr>
      </w:pPr>
      <w:r>
        <w:rPr>
          <w:sz w:val="24"/>
          <w:szCs w:val="24"/>
        </w:rPr>
        <w:t>A reference list is appended.</w:t>
      </w:r>
      <w:r>
        <w:rPr>
          <w:noProof/>
          <w:lang w:val="en-GB"/>
        </w:rPr>
        <mc:AlternateContent>
          <mc:Choice Requires="wpg">
            <w:drawing>
              <wp:anchor distT="114300" distB="114300" distL="114300" distR="114300" simplePos="0" relativeHeight="251665408" behindDoc="0" locked="0" layoutInCell="1" hidden="0" allowOverlap="1">
                <wp:simplePos x="0" y="0"/>
                <wp:positionH relativeFrom="column">
                  <wp:posOffset>1295400</wp:posOffset>
                </wp:positionH>
                <wp:positionV relativeFrom="paragraph">
                  <wp:posOffset>152400</wp:posOffset>
                </wp:positionV>
                <wp:extent cx="881063" cy="445839"/>
                <wp:effectExtent l="0" t="0" r="0" b="0"/>
                <wp:wrapNone/>
                <wp:docPr id="4" name=""/>
                <wp:cNvGraphicFramePr/>
                <a:graphic xmlns:a="http://schemas.openxmlformats.org/drawingml/2006/main">
                  <a:graphicData uri="http://schemas.microsoft.com/office/word/2010/wordprocessingShape">
                    <wps:wsp>
                      <wps:cNvSpPr/>
                      <wps:spPr>
                        <a:xfrm>
                          <a:off x="1558927" y="858725"/>
                          <a:ext cx="3138550" cy="1578225"/>
                        </a:xfrm>
                        <a:custGeom>
                          <a:avLst/>
                          <a:gdLst/>
                          <a:ahLst/>
                          <a:cxnLst/>
                          <a:rect l="l" t="t" r="r" b="b"/>
                          <a:pathLst>
                            <a:path w="125542" h="63129" extrusionOk="0">
                              <a:moveTo>
                                <a:pt x="1635" y="63129"/>
                              </a:moveTo>
                              <a:cubicBezTo>
                                <a:pt x="9878" y="53242"/>
                                <a:pt x="14198" y="40328"/>
                                <a:pt x="17320" y="27840"/>
                              </a:cubicBezTo>
                              <a:cubicBezTo>
                                <a:pt x="18744" y="22145"/>
                                <a:pt x="19426" y="16282"/>
                                <a:pt x="20849" y="10587"/>
                              </a:cubicBezTo>
                              <a:cubicBezTo>
                                <a:pt x="21219" y="9108"/>
                                <a:pt x="21838" y="5984"/>
                                <a:pt x="23201" y="6666"/>
                              </a:cubicBezTo>
                              <a:cubicBezTo>
                                <a:pt x="27131" y="8631"/>
                                <a:pt x="27233" y="14559"/>
                                <a:pt x="28299" y="18821"/>
                              </a:cubicBezTo>
                              <a:cubicBezTo>
                                <a:pt x="30046" y="25809"/>
                                <a:pt x="31594" y="32864"/>
                                <a:pt x="32612" y="39995"/>
                              </a:cubicBezTo>
                              <a:cubicBezTo>
                                <a:pt x="33119" y="43548"/>
                                <a:pt x="33437" y="47178"/>
                                <a:pt x="34573" y="50582"/>
                              </a:cubicBezTo>
                              <a:cubicBezTo>
                                <a:pt x="35071" y="52075"/>
                                <a:pt x="35669" y="56695"/>
                                <a:pt x="34965" y="55287"/>
                              </a:cubicBezTo>
                              <a:cubicBezTo>
                                <a:pt x="30976" y="47309"/>
                                <a:pt x="26712" y="38805"/>
                                <a:pt x="19672" y="33329"/>
                              </a:cubicBezTo>
                              <a:cubicBezTo>
                                <a:pt x="16146" y="30587"/>
                                <a:pt x="11120" y="30622"/>
                                <a:pt x="7125" y="28624"/>
                              </a:cubicBezTo>
                              <a:cubicBezTo>
                                <a:pt x="4718" y="27420"/>
                                <a:pt x="-201" y="29867"/>
                                <a:pt x="67" y="32545"/>
                              </a:cubicBezTo>
                              <a:cubicBezTo>
                                <a:pt x="709" y="38969"/>
                                <a:pt x="10197" y="41513"/>
                                <a:pt x="16535" y="42740"/>
                              </a:cubicBezTo>
                              <a:cubicBezTo>
                                <a:pt x="24764" y="44333"/>
                                <a:pt x="33532" y="46467"/>
                                <a:pt x="41631" y="44308"/>
                              </a:cubicBezTo>
                              <a:cubicBezTo>
                                <a:pt x="55281" y="40669"/>
                                <a:pt x="66179" y="16401"/>
                                <a:pt x="57707" y="5097"/>
                              </a:cubicBezTo>
                              <a:cubicBezTo>
                                <a:pt x="56015" y="2839"/>
                                <a:pt x="58893" y="10619"/>
                                <a:pt x="59668" y="13332"/>
                              </a:cubicBezTo>
                              <a:cubicBezTo>
                                <a:pt x="61184" y="18635"/>
                                <a:pt x="62251" y="24057"/>
                                <a:pt x="63589" y="29408"/>
                              </a:cubicBezTo>
                              <a:cubicBezTo>
                                <a:pt x="65144" y="35626"/>
                                <a:pt x="66977" y="42764"/>
                                <a:pt x="64373" y="48621"/>
                              </a:cubicBezTo>
                              <a:cubicBezTo>
                                <a:pt x="61965" y="54038"/>
                                <a:pt x="50675" y="57679"/>
                                <a:pt x="47120" y="52935"/>
                              </a:cubicBezTo>
                              <a:cubicBezTo>
                                <a:pt x="44238" y="49089"/>
                                <a:pt x="48488" y="42075"/>
                                <a:pt x="52610" y="39603"/>
                              </a:cubicBezTo>
                              <a:cubicBezTo>
                                <a:pt x="59734" y="35330"/>
                                <a:pt x="70538" y="39432"/>
                                <a:pt x="76920" y="34113"/>
                              </a:cubicBezTo>
                              <a:cubicBezTo>
                                <a:pt x="84274" y="27984"/>
                                <a:pt x="88561" y="7811"/>
                                <a:pt x="79273" y="5489"/>
                              </a:cubicBezTo>
                              <a:cubicBezTo>
                                <a:pt x="75576" y="4565"/>
                                <a:pt x="74960" y="12265"/>
                                <a:pt x="74960" y="16076"/>
                              </a:cubicBezTo>
                              <a:cubicBezTo>
                                <a:pt x="74960" y="29592"/>
                                <a:pt x="95399" y="43260"/>
                                <a:pt x="87899" y="54503"/>
                              </a:cubicBezTo>
                              <a:cubicBezTo>
                                <a:pt x="85445" y="58182"/>
                                <a:pt x="78301" y="47390"/>
                                <a:pt x="80449" y="43524"/>
                              </a:cubicBezTo>
                              <a:cubicBezTo>
                                <a:pt x="84271" y="36645"/>
                                <a:pt x="96134" y="33749"/>
                                <a:pt x="96134" y="25879"/>
                              </a:cubicBezTo>
                              <a:cubicBezTo>
                                <a:pt x="96134" y="22217"/>
                                <a:pt x="96901" y="18374"/>
                                <a:pt x="95742" y="14900"/>
                              </a:cubicBezTo>
                              <a:cubicBezTo>
                                <a:pt x="95150" y="13125"/>
                                <a:pt x="93795" y="7976"/>
                                <a:pt x="93389" y="9803"/>
                              </a:cubicBezTo>
                              <a:cubicBezTo>
                                <a:pt x="90935" y="20850"/>
                                <a:pt x="95815" y="32307"/>
                                <a:pt x="97310" y="43524"/>
                              </a:cubicBezTo>
                              <a:cubicBezTo>
                                <a:pt x="97730" y="46676"/>
                                <a:pt x="95699" y="52935"/>
                                <a:pt x="98879" y="52935"/>
                              </a:cubicBezTo>
                              <a:cubicBezTo>
                                <a:pt x="103515" y="52935"/>
                                <a:pt x="104893" y="43154"/>
                                <a:pt x="109466" y="43916"/>
                              </a:cubicBezTo>
                              <a:cubicBezTo>
                                <a:pt x="111747" y="44296"/>
                                <a:pt x="113529" y="46553"/>
                                <a:pt x="114563" y="48621"/>
                              </a:cubicBezTo>
                              <a:cubicBezTo>
                                <a:pt x="114892" y="49280"/>
                                <a:pt x="116064" y="51242"/>
                                <a:pt x="116131" y="50974"/>
                              </a:cubicBezTo>
                              <a:cubicBezTo>
                                <a:pt x="118444" y="41717"/>
                                <a:pt x="115267" y="31852"/>
                                <a:pt x="116131" y="22350"/>
                              </a:cubicBezTo>
                              <a:cubicBezTo>
                                <a:pt x="116863" y="14300"/>
                                <a:pt x="120843" y="6578"/>
                                <a:pt x="125542" y="0"/>
                              </a:cubicBezTo>
                            </a:path>
                          </a:pathLst>
                        </a:custGeom>
                        <a:noFill/>
                        <a:ln w="9525" cap="flat" cmpd="sng">
                          <a:solidFill>
                            <a:srgbClr val="000000"/>
                          </a:solidFill>
                          <a:prstDash val="solid"/>
                          <a:round/>
                          <a:headEnd type="none" w="med" len="med"/>
                          <a:tailEnd type="none" w="med" len="med"/>
                        </a:ln>
                      </wps:spPr>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1295400</wp:posOffset>
                </wp:positionH>
                <wp:positionV relativeFrom="paragraph">
                  <wp:posOffset>152400</wp:posOffset>
                </wp:positionV>
                <wp:extent cx="881063" cy="445839"/>
                <wp:effectExtent b="0" l="0" r="0" t="0"/>
                <wp:wrapNone/>
                <wp:docPr id="4" name="image28.png"/>
                <a:graphic>
                  <a:graphicData uri="http://schemas.openxmlformats.org/drawingml/2006/picture">
                    <pic:pic>
                      <pic:nvPicPr>
                        <pic:cNvPr id="0" name="image28.png"/>
                        <pic:cNvPicPr preferRelativeResize="0"/>
                      </pic:nvPicPr>
                      <pic:blipFill>
                        <a:blip r:embed="rId29"/>
                        <a:srcRect/>
                        <a:stretch>
                          <a:fillRect/>
                        </a:stretch>
                      </pic:blipFill>
                      <pic:spPr>
                        <a:xfrm>
                          <a:off x="0" y="0"/>
                          <a:ext cx="881063" cy="445839"/>
                        </a:xfrm>
                        <a:prstGeom prst="rect"/>
                        <a:ln/>
                      </pic:spPr>
                    </pic:pic>
                  </a:graphicData>
                </a:graphic>
              </wp:anchor>
            </w:drawing>
          </mc:Fallback>
        </mc:AlternateContent>
      </w:r>
    </w:p>
    <w:p>
      <w:pPr>
        <w:spacing w:line="240" w:lineRule="auto"/>
        <w:rPr>
          <w:sz w:val="24"/>
          <w:szCs w:val="24"/>
        </w:rPr>
      </w:pPr>
      <w:r>
        <w:rPr>
          <w:sz w:val="24"/>
          <w:szCs w:val="24"/>
        </w:rPr>
        <w:t>Signed candidate:</w:t>
      </w:r>
    </w:p>
    <w:p>
      <w:pPr>
        <w:spacing w:line="240" w:lineRule="auto"/>
        <w:rPr>
          <w:sz w:val="24"/>
          <w:szCs w:val="24"/>
        </w:rPr>
      </w:pPr>
      <w:r>
        <w:rPr>
          <w:sz w:val="24"/>
          <w:szCs w:val="24"/>
        </w:rPr>
        <w:t>Date: 08/03/23</w:t>
      </w:r>
    </w:p>
    <w:p>
      <w:pPr>
        <w:spacing w:line="240" w:lineRule="auto"/>
        <w:rPr>
          <w:sz w:val="24"/>
          <w:szCs w:val="24"/>
        </w:rPr>
      </w:pPr>
    </w:p>
    <w:p>
      <w:pPr>
        <w:spacing w:line="240" w:lineRule="auto"/>
        <w:rPr>
          <w:sz w:val="24"/>
          <w:szCs w:val="24"/>
        </w:rPr>
      </w:pPr>
      <w:r>
        <w:rPr>
          <w:sz w:val="24"/>
          <w:szCs w:val="24"/>
        </w:rPr>
        <w:t xml:space="preserve">4. I hereby give consent for my dissertation, if accepted, to be available for photocopying, inter- library loan, and for deposit in the University’s digital repository </w:t>
      </w:r>
      <w:r>
        <w:rPr>
          <w:noProof/>
          <w:lang w:val="en-GB"/>
        </w:rPr>
        <mc:AlternateContent>
          <mc:Choice Requires="wpg">
            <w:drawing>
              <wp:anchor distT="114300" distB="114300" distL="114300" distR="114300" simplePos="0" relativeHeight="251666432" behindDoc="0" locked="0" layoutInCell="1" hidden="0" allowOverlap="1">
                <wp:simplePos x="0" y="0"/>
                <wp:positionH relativeFrom="column">
                  <wp:posOffset>1571625</wp:posOffset>
                </wp:positionH>
                <wp:positionV relativeFrom="paragraph">
                  <wp:posOffset>316185</wp:posOffset>
                </wp:positionV>
                <wp:extent cx="881063" cy="445839"/>
                <wp:effectExtent l="0" t="0" r="0" b="0"/>
                <wp:wrapNone/>
                <wp:docPr id="1" name=""/>
                <wp:cNvGraphicFramePr/>
                <a:graphic xmlns:a="http://schemas.openxmlformats.org/drawingml/2006/main">
                  <a:graphicData uri="http://schemas.microsoft.com/office/word/2010/wordprocessingShape">
                    <wps:wsp>
                      <wps:cNvSpPr/>
                      <wps:spPr>
                        <a:xfrm>
                          <a:off x="1558927" y="858725"/>
                          <a:ext cx="3138550" cy="1578225"/>
                        </a:xfrm>
                        <a:custGeom>
                          <a:avLst/>
                          <a:gdLst/>
                          <a:ahLst/>
                          <a:cxnLst/>
                          <a:rect l="l" t="t" r="r" b="b"/>
                          <a:pathLst>
                            <a:path w="125542" h="63129" extrusionOk="0">
                              <a:moveTo>
                                <a:pt x="1635" y="63129"/>
                              </a:moveTo>
                              <a:cubicBezTo>
                                <a:pt x="9878" y="53242"/>
                                <a:pt x="14198" y="40328"/>
                                <a:pt x="17320" y="27840"/>
                              </a:cubicBezTo>
                              <a:cubicBezTo>
                                <a:pt x="18744" y="22145"/>
                                <a:pt x="19426" y="16282"/>
                                <a:pt x="20849" y="10587"/>
                              </a:cubicBezTo>
                              <a:cubicBezTo>
                                <a:pt x="21219" y="9108"/>
                                <a:pt x="21838" y="5984"/>
                                <a:pt x="23201" y="6666"/>
                              </a:cubicBezTo>
                              <a:cubicBezTo>
                                <a:pt x="27131" y="8631"/>
                                <a:pt x="27233" y="14559"/>
                                <a:pt x="28299" y="18821"/>
                              </a:cubicBezTo>
                              <a:cubicBezTo>
                                <a:pt x="30046" y="25809"/>
                                <a:pt x="31594" y="32864"/>
                                <a:pt x="32612" y="39995"/>
                              </a:cubicBezTo>
                              <a:cubicBezTo>
                                <a:pt x="33119" y="43548"/>
                                <a:pt x="33437" y="47178"/>
                                <a:pt x="34573" y="50582"/>
                              </a:cubicBezTo>
                              <a:cubicBezTo>
                                <a:pt x="35071" y="52075"/>
                                <a:pt x="35669" y="56695"/>
                                <a:pt x="34965" y="55287"/>
                              </a:cubicBezTo>
                              <a:cubicBezTo>
                                <a:pt x="30976" y="47309"/>
                                <a:pt x="26712" y="38805"/>
                                <a:pt x="19672" y="33329"/>
                              </a:cubicBezTo>
                              <a:cubicBezTo>
                                <a:pt x="16146" y="30587"/>
                                <a:pt x="11120" y="30622"/>
                                <a:pt x="7125" y="28624"/>
                              </a:cubicBezTo>
                              <a:cubicBezTo>
                                <a:pt x="4718" y="27420"/>
                                <a:pt x="-201" y="29867"/>
                                <a:pt x="67" y="32545"/>
                              </a:cubicBezTo>
                              <a:cubicBezTo>
                                <a:pt x="709" y="38969"/>
                                <a:pt x="10197" y="41513"/>
                                <a:pt x="16535" y="42740"/>
                              </a:cubicBezTo>
                              <a:cubicBezTo>
                                <a:pt x="24764" y="44333"/>
                                <a:pt x="33532" y="46467"/>
                                <a:pt x="41631" y="44308"/>
                              </a:cubicBezTo>
                              <a:cubicBezTo>
                                <a:pt x="55281" y="40669"/>
                                <a:pt x="66179" y="16401"/>
                                <a:pt x="57707" y="5097"/>
                              </a:cubicBezTo>
                              <a:cubicBezTo>
                                <a:pt x="56015" y="2839"/>
                                <a:pt x="58893" y="10619"/>
                                <a:pt x="59668" y="13332"/>
                              </a:cubicBezTo>
                              <a:cubicBezTo>
                                <a:pt x="61184" y="18635"/>
                                <a:pt x="62251" y="24057"/>
                                <a:pt x="63589" y="29408"/>
                              </a:cubicBezTo>
                              <a:cubicBezTo>
                                <a:pt x="65144" y="35626"/>
                                <a:pt x="66977" y="42764"/>
                                <a:pt x="64373" y="48621"/>
                              </a:cubicBezTo>
                              <a:cubicBezTo>
                                <a:pt x="61965" y="54038"/>
                                <a:pt x="50675" y="57679"/>
                                <a:pt x="47120" y="52935"/>
                              </a:cubicBezTo>
                              <a:cubicBezTo>
                                <a:pt x="44238" y="49089"/>
                                <a:pt x="48488" y="42075"/>
                                <a:pt x="52610" y="39603"/>
                              </a:cubicBezTo>
                              <a:cubicBezTo>
                                <a:pt x="59734" y="35330"/>
                                <a:pt x="70538" y="39432"/>
                                <a:pt x="76920" y="34113"/>
                              </a:cubicBezTo>
                              <a:cubicBezTo>
                                <a:pt x="84274" y="27984"/>
                                <a:pt x="88561" y="7811"/>
                                <a:pt x="79273" y="5489"/>
                              </a:cubicBezTo>
                              <a:cubicBezTo>
                                <a:pt x="75576" y="4565"/>
                                <a:pt x="74960" y="12265"/>
                                <a:pt x="74960" y="16076"/>
                              </a:cubicBezTo>
                              <a:cubicBezTo>
                                <a:pt x="74960" y="29592"/>
                                <a:pt x="95399" y="43260"/>
                                <a:pt x="87899" y="54503"/>
                              </a:cubicBezTo>
                              <a:cubicBezTo>
                                <a:pt x="85445" y="58182"/>
                                <a:pt x="78301" y="47390"/>
                                <a:pt x="80449" y="43524"/>
                              </a:cubicBezTo>
                              <a:cubicBezTo>
                                <a:pt x="84271" y="36645"/>
                                <a:pt x="96134" y="33749"/>
                                <a:pt x="96134" y="25879"/>
                              </a:cubicBezTo>
                              <a:cubicBezTo>
                                <a:pt x="96134" y="22217"/>
                                <a:pt x="96901" y="18374"/>
                                <a:pt x="95742" y="14900"/>
                              </a:cubicBezTo>
                              <a:cubicBezTo>
                                <a:pt x="95150" y="13125"/>
                                <a:pt x="93795" y="7976"/>
                                <a:pt x="93389" y="9803"/>
                              </a:cubicBezTo>
                              <a:cubicBezTo>
                                <a:pt x="90935" y="20850"/>
                                <a:pt x="95815" y="32307"/>
                                <a:pt x="97310" y="43524"/>
                              </a:cubicBezTo>
                              <a:cubicBezTo>
                                <a:pt x="97730" y="46676"/>
                                <a:pt x="95699" y="52935"/>
                                <a:pt x="98879" y="52935"/>
                              </a:cubicBezTo>
                              <a:cubicBezTo>
                                <a:pt x="103515" y="52935"/>
                                <a:pt x="104893" y="43154"/>
                                <a:pt x="109466" y="43916"/>
                              </a:cubicBezTo>
                              <a:cubicBezTo>
                                <a:pt x="111747" y="44296"/>
                                <a:pt x="113529" y="46553"/>
                                <a:pt x="114563" y="48621"/>
                              </a:cubicBezTo>
                              <a:cubicBezTo>
                                <a:pt x="114892" y="49280"/>
                                <a:pt x="116064" y="51242"/>
                                <a:pt x="116131" y="50974"/>
                              </a:cubicBezTo>
                              <a:cubicBezTo>
                                <a:pt x="118444" y="41717"/>
                                <a:pt x="115267" y="31852"/>
                                <a:pt x="116131" y="22350"/>
                              </a:cubicBezTo>
                              <a:cubicBezTo>
                                <a:pt x="116863" y="14300"/>
                                <a:pt x="120843" y="6578"/>
                                <a:pt x="125542" y="0"/>
                              </a:cubicBezTo>
                            </a:path>
                          </a:pathLst>
                        </a:custGeom>
                        <a:noFill/>
                        <a:ln w="9525" cap="flat" cmpd="sng">
                          <a:solidFill>
                            <a:srgbClr val="000000"/>
                          </a:solidFill>
                          <a:prstDash val="solid"/>
                          <a:round/>
                          <a:headEnd type="none" w="med" len="med"/>
                          <a:tailEnd type="none" w="med" len="med"/>
                        </a:ln>
                      </wps:spPr>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1571625</wp:posOffset>
                </wp:positionH>
                <wp:positionV relativeFrom="paragraph">
                  <wp:posOffset>316185</wp:posOffset>
                </wp:positionV>
                <wp:extent cx="881063" cy="445839"/>
                <wp:effectExtent b="0" l="0" r="0" t="0"/>
                <wp:wrapNone/>
                <wp:docPr id="1" name="image23.png"/>
                <a:graphic>
                  <a:graphicData uri="http://schemas.openxmlformats.org/drawingml/2006/picture">
                    <pic:pic>
                      <pic:nvPicPr>
                        <pic:cNvPr id="0" name="image23.png"/>
                        <pic:cNvPicPr preferRelativeResize="0"/>
                      </pic:nvPicPr>
                      <pic:blipFill>
                        <a:blip r:embed="rId30"/>
                        <a:srcRect/>
                        <a:stretch>
                          <a:fillRect/>
                        </a:stretch>
                      </pic:blipFill>
                      <pic:spPr>
                        <a:xfrm>
                          <a:off x="0" y="0"/>
                          <a:ext cx="881063" cy="445839"/>
                        </a:xfrm>
                        <a:prstGeom prst="rect"/>
                        <a:ln/>
                      </pic:spPr>
                    </pic:pic>
                  </a:graphicData>
                </a:graphic>
              </wp:anchor>
            </w:drawing>
          </mc:Fallback>
        </mc:AlternateContent>
      </w:r>
    </w:p>
    <w:p>
      <w:pPr>
        <w:spacing w:line="240" w:lineRule="auto"/>
        <w:rPr>
          <w:sz w:val="24"/>
          <w:szCs w:val="24"/>
        </w:rPr>
      </w:pPr>
      <w:r>
        <w:rPr>
          <w:sz w:val="24"/>
          <w:szCs w:val="24"/>
        </w:rPr>
        <w:t>Signed (candidate)</w:t>
      </w:r>
    </w:p>
    <w:p>
      <w:pPr>
        <w:spacing w:line="240" w:lineRule="auto"/>
        <w:rPr>
          <w:sz w:val="24"/>
          <w:szCs w:val="24"/>
        </w:rPr>
      </w:pPr>
    </w:p>
    <w:p>
      <w:pPr>
        <w:spacing w:line="240" w:lineRule="auto"/>
        <w:rPr>
          <w:sz w:val="24"/>
          <w:szCs w:val="24"/>
        </w:rPr>
      </w:pPr>
      <w:r>
        <w:rPr>
          <w:sz w:val="24"/>
          <w:szCs w:val="24"/>
        </w:rPr>
        <w:t>Date………………08/03/23.</w:t>
      </w:r>
    </w:p>
    <w:p>
      <w:pPr>
        <w:spacing w:line="240" w:lineRule="auto"/>
        <w:rPr>
          <w:sz w:val="24"/>
          <w:szCs w:val="24"/>
        </w:rPr>
      </w:pPr>
    </w:p>
    <w:p>
      <w:pPr>
        <w:spacing w:line="240" w:lineRule="auto"/>
        <w:rPr>
          <w:sz w:val="24"/>
          <w:szCs w:val="24"/>
        </w:rPr>
      </w:pPr>
      <w:r>
        <w:rPr>
          <w:sz w:val="24"/>
          <w:szCs w:val="24"/>
        </w:rPr>
        <w:t>Supervisor’s Declaration.</w:t>
      </w:r>
    </w:p>
    <w:p>
      <w:pPr>
        <w:spacing w:line="240" w:lineRule="auto"/>
        <w:rPr>
          <w:sz w:val="24"/>
          <w:szCs w:val="24"/>
        </w:rPr>
      </w:pPr>
      <w:r>
        <w:rPr>
          <w:sz w:val="24"/>
          <w:szCs w:val="24"/>
        </w:rPr>
        <w:t>I am satisfied that this work is the result of the student’s own efforts.</w:t>
      </w:r>
    </w:p>
    <w:p>
      <w:pPr>
        <w:spacing w:line="240" w:lineRule="auto"/>
        <w:rPr>
          <w:sz w:val="24"/>
          <w:szCs w:val="24"/>
        </w:rPr>
      </w:pPr>
      <w:r>
        <w:rPr>
          <w:sz w:val="24"/>
          <w:szCs w:val="24"/>
        </w:rPr>
        <w:t>Signed:</w:t>
      </w:r>
    </w:p>
    <w:p>
      <w:pPr>
        <w:spacing w:line="240" w:lineRule="auto"/>
        <w:rPr>
          <w:sz w:val="24"/>
          <w:szCs w:val="24"/>
        </w:rPr>
      </w:pPr>
      <w:r>
        <w:rPr>
          <w:sz w:val="24"/>
          <w:szCs w:val="24"/>
        </w:rPr>
        <w:t>Date:</w:t>
      </w:r>
    </w:p>
    <w:p>
      <w:pPr>
        <w:spacing w:line="240" w:lineRule="auto"/>
        <w:rPr>
          <w:sz w:val="24"/>
          <w:szCs w:val="24"/>
        </w:rPr>
      </w:pPr>
    </w:p>
    <w:p>
      <w:pPr>
        <w:spacing w:line="240" w:lineRule="auto"/>
        <w:jc w:val="both"/>
        <w:rPr>
          <w:sz w:val="20"/>
          <w:szCs w:val="20"/>
        </w:rPr>
      </w:pPr>
    </w:p>
    <w:p>
      <w:pPr>
        <w:spacing w:line="240" w:lineRule="auto"/>
        <w:jc w:val="both"/>
        <w:rPr>
          <w:b/>
          <w:sz w:val="20"/>
          <w:szCs w:val="20"/>
        </w:rPr>
      </w:pPr>
    </w:p>
    <w:p>
      <w:pPr>
        <w:spacing w:line="240" w:lineRule="auto"/>
        <w:jc w:val="both"/>
        <w:rPr>
          <w:b/>
          <w:sz w:val="20"/>
          <w:szCs w:val="20"/>
        </w:rPr>
      </w:pPr>
      <w:r>
        <w:rPr>
          <w:b/>
          <w:sz w:val="20"/>
          <w:szCs w:val="20"/>
        </w:rPr>
        <w:t>Appendix 3</w:t>
      </w:r>
    </w:p>
    <w:p>
      <w:pPr>
        <w:spacing w:line="240" w:lineRule="auto"/>
        <w:rPr>
          <w:sz w:val="24"/>
          <w:szCs w:val="24"/>
        </w:rPr>
        <w:sectPr>
          <w:headerReference w:type="default" r:id="rId31"/>
          <w:footerReference w:type="default" r:id="rId32"/>
          <w:footerReference w:type="first" r:id="rId33"/>
          <w:pgSz w:w="12240" w:h="15840"/>
          <w:pgMar w:top="1440" w:right="1440" w:bottom="1440" w:left="1440" w:header="720" w:footer="720" w:gutter="0"/>
          <w:pgNumType w:start="1"/>
          <w:cols w:space="720"/>
          <w:titlePg/>
        </w:sectPr>
      </w:pPr>
    </w:p>
    <w:p>
      <w:pPr>
        <w:spacing w:line="240" w:lineRule="auto"/>
        <w:rPr>
          <w:rFonts w:ascii="Times New Roman" w:eastAsia="Times New Roman" w:hAnsi="Times New Roman" w:cs="Times New Roman"/>
          <w:sz w:val="24"/>
          <w:szCs w:val="24"/>
        </w:rPr>
      </w:pPr>
      <w:bookmarkStart w:id="4" w:name="_2xcytpi" w:colFirst="0" w:colLast="0"/>
      <w:bookmarkEnd w:id="4"/>
      <w:r>
        <w:rPr>
          <w:rFonts w:ascii="Times New Roman" w:eastAsia="Times New Roman" w:hAnsi="Times New Roman" w:cs="Times New Roman"/>
          <w:b/>
          <w:sz w:val="24"/>
          <w:szCs w:val="24"/>
        </w:rPr>
        <w:t>Supervision Record</w:t>
      </w:r>
    </w:p>
    <w:p>
      <w:pPr>
        <w:spacing w:line="240" w:lineRule="auto"/>
        <w:rPr>
          <w:sz w:val="24"/>
          <w:szCs w:val="24"/>
        </w:rPr>
      </w:pPr>
    </w:p>
    <w:p>
      <w:pPr>
        <w:spacing w:line="240" w:lineRule="auto"/>
        <w:rPr>
          <w:sz w:val="24"/>
          <w:szCs w:val="24"/>
        </w:rPr>
      </w:pPr>
      <w:r>
        <w:rPr>
          <w:sz w:val="24"/>
          <w:szCs w:val="24"/>
        </w:rPr>
        <w:t>POSTGRADUATE TAUGHT DISSERTATION SUPERVISION RECORD</w:t>
      </w:r>
    </w:p>
    <w:p>
      <w:pPr>
        <w:spacing w:line="240" w:lineRule="auto"/>
        <w:rPr>
          <w:sz w:val="24"/>
          <w:szCs w:val="24"/>
        </w:rPr>
      </w:pPr>
    </w:p>
    <w:p>
      <w:pPr>
        <w:spacing w:line="240" w:lineRule="auto"/>
        <w:rPr>
          <w:sz w:val="24"/>
          <w:szCs w:val="24"/>
        </w:rPr>
      </w:pPr>
      <w:r>
        <w:rPr>
          <w:sz w:val="24"/>
          <w:szCs w:val="24"/>
        </w:rPr>
        <w:t xml:space="preserve">This form is to be used to record a summary of the outcomes of each formal meeting between the student and the dissertation supervisors for Part II of a Masters’ Programme. </w:t>
      </w:r>
    </w:p>
    <w:p>
      <w:pPr>
        <w:spacing w:line="240" w:lineRule="auto"/>
        <w:rPr>
          <w:sz w:val="24"/>
          <w:szCs w:val="24"/>
        </w:rPr>
      </w:pPr>
    </w:p>
    <w:tbl>
      <w:tblPr>
        <w:tblStyle w:val="affff1"/>
        <w:tblW w:w="1078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40"/>
        <w:gridCol w:w="3000"/>
        <w:gridCol w:w="2120"/>
        <w:gridCol w:w="3120"/>
      </w:tblGrid>
      <w:tr>
        <w:trPr>
          <w:trHeight w:val="454"/>
          <w:jc w:val="center"/>
        </w:trPr>
        <w:tc>
          <w:tcPr>
            <w:tcW w:w="2540" w:type="dxa"/>
            <w:vAlign w:val="center"/>
          </w:tcPr>
          <w:p>
            <w:pPr>
              <w:spacing w:line="240" w:lineRule="auto"/>
              <w:rPr>
                <w:sz w:val="24"/>
                <w:szCs w:val="24"/>
              </w:rPr>
            </w:pPr>
            <w:r>
              <w:rPr>
                <w:sz w:val="24"/>
                <w:szCs w:val="24"/>
              </w:rPr>
              <w:t>Student Name:</w:t>
            </w:r>
          </w:p>
        </w:tc>
        <w:tc>
          <w:tcPr>
            <w:tcW w:w="3000" w:type="dxa"/>
            <w:vAlign w:val="center"/>
          </w:tcPr>
          <w:p>
            <w:pPr>
              <w:spacing w:line="240" w:lineRule="auto"/>
              <w:rPr>
                <w:sz w:val="24"/>
                <w:szCs w:val="24"/>
              </w:rPr>
            </w:pPr>
            <w:r>
              <w:rPr>
                <w:sz w:val="24"/>
                <w:szCs w:val="24"/>
              </w:rPr>
              <w:t xml:space="preserve">Aimee Williams </w:t>
            </w:r>
          </w:p>
        </w:tc>
        <w:tc>
          <w:tcPr>
            <w:tcW w:w="2120" w:type="dxa"/>
            <w:vAlign w:val="center"/>
          </w:tcPr>
          <w:p>
            <w:pPr>
              <w:spacing w:line="240" w:lineRule="auto"/>
              <w:rPr>
                <w:sz w:val="24"/>
                <w:szCs w:val="24"/>
              </w:rPr>
            </w:pPr>
            <w:r>
              <w:rPr>
                <w:sz w:val="24"/>
                <w:szCs w:val="24"/>
              </w:rPr>
              <w:t>Student No:</w:t>
            </w:r>
          </w:p>
        </w:tc>
        <w:tc>
          <w:tcPr>
            <w:tcW w:w="3120" w:type="dxa"/>
            <w:vAlign w:val="center"/>
          </w:tcPr>
          <w:p>
            <w:pPr>
              <w:spacing w:line="240" w:lineRule="auto"/>
              <w:rPr>
                <w:sz w:val="24"/>
                <w:szCs w:val="24"/>
              </w:rPr>
            </w:pPr>
            <w:r>
              <w:rPr>
                <w:sz w:val="24"/>
                <w:szCs w:val="24"/>
              </w:rPr>
              <w:t>137026</w:t>
            </w:r>
          </w:p>
        </w:tc>
      </w:tr>
      <w:tr>
        <w:trPr>
          <w:trHeight w:val="454"/>
          <w:jc w:val="center"/>
        </w:trPr>
        <w:tc>
          <w:tcPr>
            <w:tcW w:w="2540" w:type="dxa"/>
            <w:vAlign w:val="center"/>
          </w:tcPr>
          <w:p>
            <w:pPr>
              <w:spacing w:line="240" w:lineRule="auto"/>
              <w:rPr>
                <w:sz w:val="24"/>
                <w:szCs w:val="24"/>
              </w:rPr>
            </w:pPr>
            <w:r>
              <w:rPr>
                <w:sz w:val="24"/>
                <w:szCs w:val="24"/>
              </w:rPr>
              <w:t xml:space="preserve">Programme of Study: </w:t>
            </w:r>
          </w:p>
        </w:tc>
        <w:tc>
          <w:tcPr>
            <w:tcW w:w="3000" w:type="dxa"/>
            <w:vAlign w:val="center"/>
          </w:tcPr>
          <w:p>
            <w:pPr>
              <w:spacing w:line="240" w:lineRule="auto"/>
              <w:rPr>
                <w:sz w:val="24"/>
                <w:szCs w:val="24"/>
              </w:rPr>
            </w:pPr>
            <w:r>
              <w:rPr>
                <w:sz w:val="24"/>
                <w:szCs w:val="24"/>
              </w:rPr>
              <w:t>MA Education</w:t>
            </w:r>
          </w:p>
        </w:tc>
        <w:tc>
          <w:tcPr>
            <w:tcW w:w="2120" w:type="dxa"/>
            <w:vAlign w:val="center"/>
          </w:tcPr>
          <w:p>
            <w:pPr>
              <w:spacing w:line="240" w:lineRule="auto"/>
              <w:rPr>
                <w:sz w:val="24"/>
                <w:szCs w:val="24"/>
              </w:rPr>
            </w:pPr>
            <w:r>
              <w:rPr>
                <w:sz w:val="24"/>
                <w:szCs w:val="24"/>
              </w:rPr>
              <w:t>Campus:</w:t>
            </w:r>
          </w:p>
        </w:tc>
        <w:tc>
          <w:tcPr>
            <w:tcW w:w="3120" w:type="dxa"/>
            <w:vAlign w:val="center"/>
          </w:tcPr>
          <w:p>
            <w:pPr>
              <w:spacing w:line="240" w:lineRule="auto"/>
              <w:rPr>
                <w:sz w:val="24"/>
                <w:szCs w:val="24"/>
              </w:rPr>
            </w:pPr>
            <w:r>
              <w:rPr>
                <w:sz w:val="24"/>
                <w:szCs w:val="24"/>
              </w:rPr>
              <w:t>Swansea Campus</w:t>
            </w:r>
          </w:p>
        </w:tc>
      </w:tr>
      <w:tr>
        <w:trPr>
          <w:trHeight w:val="454"/>
          <w:jc w:val="center"/>
        </w:trPr>
        <w:tc>
          <w:tcPr>
            <w:tcW w:w="2540" w:type="dxa"/>
            <w:vAlign w:val="center"/>
          </w:tcPr>
          <w:p>
            <w:pPr>
              <w:spacing w:line="240" w:lineRule="auto"/>
              <w:rPr>
                <w:sz w:val="24"/>
                <w:szCs w:val="24"/>
              </w:rPr>
            </w:pPr>
            <w:r>
              <w:rPr>
                <w:sz w:val="24"/>
                <w:szCs w:val="24"/>
              </w:rPr>
              <w:t xml:space="preserve">Faculty/School/Centre: </w:t>
            </w:r>
          </w:p>
        </w:tc>
        <w:tc>
          <w:tcPr>
            <w:tcW w:w="3000" w:type="dxa"/>
            <w:vAlign w:val="center"/>
          </w:tcPr>
          <w:p>
            <w:pPr>
              <w:spacing w:line="240" w:lineRule="auto"/>
              <w:rPr>
                <w:sz w:val="24"/>
                <w:szCs w:val="24"/>
              </w:rPr>
            </w:pPr>
            <w:r>
              <w:rPr>
                <w:sz w:val="24"/>
                <w:szCs w:val="24"/>
              </w:rPr>
              <w:t>Yr Athrofa</w:t>
            </w:r>
          </w:p>
        </w:tc>
        <w:tc>
          <w:tcPr>
            <w:tcW w:w="2120" w:type="dxa"/>
            <w:vAlign w:val="center"/>
          </w:tcPr>
          <w:p>
            <w:pPr>
              <w:spacing w:line="240" w:lineRule="auto"/>
              <w:rPr>
                <w:sz w:val="24"/>
                <w:szCs w:val="24"/>
              </w:rPr>
            </w:pPr>
            <w:r>
              <w:rPr>
                <w:sz w:val="24"/>
                <w:szCs w:val="24"/>
              </w:rPr>
              <w:t>Module Code:</w:t>
            </w:r>
          </w:p>
        </w:tc>
        <w:tc>
          <w:tcPr>
            <w:tcW w:w="3120" w:type="dxa"/>
            <w:vAlign w:val="center"/>
          </w:tcPr>
          <w:p>
            <w:pPr>
              <w:spacing w:line="240" w:lineRule="auto"/>
              <w:rPr>
                <w:sz w:val="24"/>
                <w:szCs w:val="24"/>
              </w:rPr>
            </w:pPr>
            <w:r>
              <w:rPr>
                <w:sz w:val="24"/>
                <w:szCs w:val="24"/>
              </w:rPr>
              <w:t>EGCE7002</w:t>
            </w:r>
          </w:p>
        </w:tc>
      </w:tr>
      <w:tr>
        <w:trPr>
          <w:trHeight w:val="454"/>
          <w:jc w:val="center"/>
        </w:trPr>
        <w:tc>
          <w:tcPr>
            <w:tcW w:w="2540" w:type="dxa"/>
            <w:vAlign w:val="center"/>
          </w:tcPr>
          <w:p>
            <w:pPr>
              <w:spacing w:line="240" w:lineRule="auto"/>
              <w:rPr>
                <w:sz w:val="24"/>
                <w:szCs w:val="24"/>
              </w:rPr>
            </w:pPr>
            <w:r>
              <w:rPr>
                <w:sz w:val="24"/>
                <w:szCs w:val="24"/>
              </w:rPr>
              <w:t>Mode of study:</w:t>
            </w:r>
          </w:p>
        </w:tc>
        <w:tc>
          <w:tcPr>
            <w:tcW w:w="3000" w:type="dxa"/>
            <w:vAlign w:val="center"/>
          </w:tcPr>
          <w:p>
            <w:pPr>
              <w:spacing w:line="240" w:lineRule="auto"/>
              <w:rPr>
                <w:sz w:val="24"/>
                <w:szCs w:val="24"/>
              </w:rPr>
            </w:pPr>
            <w:r>
              <w:rPr>
                <w:sz w:val="24"/>
                <w:szCs w:val="24"/>
              </w:rPr>
              <w:t>Full-time / Part-time</w:t>
            </w:r>
          </w:p>
        </w:tc>
        <w:tc>
          <w:tcPr>
            <w:tcW w:w="2120" w:type="dxa"/>
            <w:vAlign w:val="center"/>
          </w:tcPr>
          <w:p>
            <w:pPr>
              <w:spacing w:line="240" w:lineRule="auto"/>
              <w:rPr>
                <w:sz w:val="24"/>
                <w:szCs w:val="24"/>
              </w:rPr>
            </w:pPr>
            <w:r>
              <w:rPr>
                <w:sz w:val="24"/>
                <w:szCs w:val="24"/>
              </w:rPr>
              <w:t>Method of study:</w:t>
            </w:r>
          </w:p>
        </w:tc>
        <w:tc>
          <w:tcPr>
            <w:tcW w:w="3120" w:type="dxa"/>
            <w:vAlign w:val="center"/>
          </w:tcPr>
          <w:p>
            <w:pPr>
              <w:spacing w:line="240" w:lineRule="auto"/>
              <w:rPr>
                <w:sz w:val="24"/>
                <w:szCs w:val="24"/>
              </w:rPr>
            </w:pPr>
            <w:r>
              <w:rPr>
                <w:sz w:val="24"/>
                <w:szCs w:val="24"/>
              </w:rPr>
              <w:t>Campus based / Distance learning</w:t>
            </w:r>
          </w:p>
        </w:tc>
      </w:tr>
    </w:tbl>
    <w:p>
      <w:pPr>
        <w:spacing w:line="240" w:lineRule="auto"/>
        <w:rPr>
          <w:sz w:val="24"/>
          <w:szCs w:val="24"/>
        </w:rPr>
      </w:pPr>
    </w:p>
    <w:tbl>
      <w:tblPr>
        <w:tblStyle w:val="affff2"/>
        <w:tblW w:w="1080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40"/>
        <w:gridCol w:w="8260"/>
      </w:tblGrid>
      <w:tr>
        <w:trPr>
          <w:trHeight w:val="454"/>
          <w:jc w:val="center"/>
        </w:trPr>
        <w:tc>
          <w:tcPr>
            <w:tcW w:w="2540" w:type="dxa"/>
            <w:vAlign w:val="center"/>
          </w:tcPr>
          <w:p>
            <w:pPr>
              <w:spacing w:line="240" w:lineRule="auto"/>
              <w:rPr>
                <w:sz w:val="24"/>
                <w:szCs w:val="24"/>
              </w:rPr>
            </w:pPr>
            <w:r>
              <w:rPr>
                <w:sz w:val="24"/>
                <w:szCs w:val="24"/>
              </w:rPr>
              <w:t>Dissertation Title:</w:t>
            </w:r>
          </w:p>
        </w:tc>
        <w:tc>
          <w:tcPr>
            <w:tcW w:w="8260" w:type="dxa"/>
            <w:vAlign w:val="center"/>
          </w:tcPr>
          <w:p>
            <w:pPr>
              <w:spacing w:after="160" w:line="259" w:lineRule="auto"/>
              <w:rPr>
                <w:sz w:val="24"/>
                <w:szCs w:val="24"/>
              </w:rPr>
            </w:pPr>
            <w:r>
              <w:t>What are the factors that influence whether or not pupils choose science A Levels?</w:t>
            </w:r>
          </w:p>
        </w:tc>
      </w:tr>
      <w:tr>
        <w:trPr>
          <w:trHeight w:val="454"/>
          <w:jc w:val="center"/>
        </w:trPr>
        <w:tc>
          <w:tcPr>
            <w:tcW w:w="2540" w:type="dxa"/>
            <w:vAlign w:val="center"/>
          </w:tcPr>
          <w:p>
            <w:pPr>
              <w:spacing w:line="240" w:lineRule="auto"/>
              <w:rPr>
                <w:sz w:val="24"/>
                <w:szCs w:val="24"/>
              </w:rPr>
            </w:pPr>
            <w:r>
              <w:rPr>
                <w:sz w:val="24"/>
                <w:szCs w:val="24"/>
              </w:rPr>
              <w:t xml:space="preserve">Dissertation Supervisor: </w:t>
            </w:r>
          </w:p>
        </w:tc>
        <w:tc>
          <w:tcPr>
            <w:tcW w:w="8260" w:type="dxa"/>
            <w:vAlign w:val="center"/>
          </w:tcPr>
          <w:p>
            <w:pPr>
              <w:spacing w:line="240" w:lineRule="auto"/>
              <w:rPr>
                <w:sz w:val="24"/>
                <w:szCs w:val="24"/>
              </w:rPr>
            </w:pPr>
            <w:r>
              <w:rPr>
                <w:sz w:val="24"/>
                <w:szCs w:val="24"/>
              </w:rPr>
              <w:t>Karl Jones</w:t>
            </w:r>
          </w:p>
        </w:tc>
      </w:tr>
      <w:tr>
        <w:trPr>
          <w:trHeight w:val="454"/>
          <w:jc w:val="center"/>
        </w:trPr>
        <w:tc>
          <w:tcPr>
            <w:tcW w:w="2540" w:type="dxa"/>
            <w:vAlign w:val="center"/>
          </w:tcPr>
          <w:p>
            <w:pPr>
              <w:spacing w:line="240" w:lineRule="auto"/>
              <w:rPr>
                <w:sz w:val="24"/>
                <w:szCs w:val="24"/>
              </w:rPr>
            </w:pPr>
            <w:r>
              <w:rPr>
                <w:sz w:val="24"/>
                <w:szCs w:val="24"/>
              </w:rPr>
              <w:t xml:space="preserve">Programme Director: </w:t>
            </w:r>
          </w:p>
        </w:tc>
        <w:tc>
          <w:tcPr>
            <w:tcW w:w="8260" w:type="dxa"/>
            <w:vAlign w:val="center"/>
          </w:tcPr>
          <w:p>
            <w:pPr>
              <w:spacing w:line="240" w:lineRule="auto"/>
              <w:rPr>
                <w:sz w:val="24"/>
                <w:szCs w:val="24"/>
              </w:rPr>
            </w:pPr>
            <w:r>
              <w:rPr>
                <w:sz w:val="24"/>
                <w:szCs w:val="24"/>
              </w:rPr>
              <w:t>Junnine Thomas-Walters</w:t>
            </w:r>
          </w:p>
        </w:tc>
      </w:tr>
    </w:tbl>
    <w:p>
      <w:pPr>
        <w:spacing w:line="240" w:lineRule="auto"/>
        <w:rPr>
          <w:sz w:val="24"/>
          <w:szCs w:val="24"/>
        </w:rPr>
      </w:pPr>
    </w:p>
    <w:p>
      <w:pPr>
        <w:spacing w:line="240" w:lineRule="auto"/>
        <w:rPr>
          <w:sz w:val="24"/>
          <w:szCs w:val="24"/>
        </w:rPr>
      </w:pPr>
      <w:r>
        <w:br w:type="page"/>
      </w:r>
      <w:r>
        <w:rPr>
          <w:sz w:val="24"/>
          <w:szCs w:val="24"/>
        </w:rPr>
        <w:t>SUPERVISION RECORD</w:t>
      </w:r>
    </w:p>
    <w:p>
      <w:pPr>
        <w:spacing w:line="240" w:lineRule="auto"/>
        <w:rPr>
          <w:sz w:val="24"/>
          <w:szCs w:val="24"/>
        </w:rPr>
      </w:pPr>
    </w:p>
    <w:tbl>
      <w:tblPr>
        <w:tblStyle w:val="affff3"/>
        <w:tblW w:w="10180" w:type="dxa"/>
        <w:tblInd w:w="6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60"/>
        <w:gridCol w:w="800"/>
        <w:gridCol w:w="4540"/>
        <w:gridCol w:w="880"/>
        <w:gridCol w:w="980"/>
        <w:gridCol w:w="980"/>
        <w:gridCol w:w="1040"/>
      </w:tblGrid>
      <w:tr>
        <w:trPr>
          <w:cantSplit/>
          <w:tblHeader/>
        </w:trPr>
        <w:tc>
          <w:tcPr>
            <w:tcW w:w="960" w:type="dxa"/>
            <w:vAlign w:val="center"/>
          </w:tcPr>
          <w:p>
            <w:pPr>
              <w:spacing w:line="240" w:lineRule="auto"/>
              <w:rPr>
                <w:sz w:val="24"/>
                <w:szCs w:val="24"/>
              </w:rPr>
            </w:pPr>
            <w:r>
              <w:rPr>
                <w:sz w:val="24"/>
                <w:szCs w:val="24"/>
              </w:rPr>
              <w:t>Date of meeting</w:t>
            </w:r>
          </w:p>
        </w:tc>
        <w:tc>
          <w:tcPr>
            <w:tcW w:w="800" w:type="dxa"/>
            <w:vAlign w:val="center"/>
          </w:tcPr>
          <w:p>
            <w:pPr>
              <w:spacing w:line="240" w:lineRule="auto"/>
              <w:rPr>
                <w:sz w:val="24"/>
                <w:szCs w:val="24"/>
              </w:rPr>
            </w:pPr>
            <w:r>
              <w:rPr>
                <w:sz w:val="24"/>
                <w:szCs w:val="24"/>
              </w:rPr>
              <w:t>Type of meeting</w:t>
            </w:r>
          </w:p>
        </w:tc>
        <w:tc>
          <w:tcPr>
            <w:tcW w:w="4540" w:type="dxa"/>
            <w:vAlign w:val="center"/>
          </w:tcPr>
          <w:p>
            <w:pPr>
              <w:spacing w:line="240" w:lineRule="auto"/>
              <w:rPr>
                <w:sz w:val="24"/>
                <w:szCs w:val="24"/>
              </w:rPr>
            </w:pPr>
            <w:r>
              <w:rPr>
                <w:sz w:val="24"/>
                <w:szCs w:val="24"/>
              </w:rPr>
              <w:t>Summary of outcomes</w:t>
            </w:r>
          </w:p>
        </w:tc>
        <w:tc>
          <w:tcPr>
            <w:tcW w:w="880" w:type="dxa"/>
            <w:vAlign w:val="center"/>
          </w:tcPr>
          <w:p>
            <w:pPr>
              <w:spacing w:line="240" w:lineRule="auto"/>
              <w:rPr>
                <w:sz w:val="24"/>
                <w:szCs w:val="24"/>
              </w:rPr>
            </w:pPr>
            <w:r>
              <w:rPr>
                <w:sz w:val="24"/>
                <w:szCs w:val="24"/>
              </w:rPr>
              <w:t>Student</w:t>
            </w:r>
          </w:p>
        </w:tc>
        <w:tc>
          <w:tcPr>
            <w:tcW w:w="980" w:type="dxa"/>
            <w:vAlign w:val="center"/>
          </w:tcPr>
          <w:p>
            <w:pPr>
              <w:spacing w:line="240" w:lineRule="auto"/>
              <w:rPr>
                <w:sz w:val="24"/>
                <w:szCs w:val="24"/>
              </w:rPr>
            </w:pPr>
            <w:r>
              <w:rPr>
                <w:sz w:val="24"/>
                <w:szCs w:val="24"/>
              </w:rPr>
              <w:t>Supervisor</w:t>
            </w:r>
          </w:p>
        </w:tc>
        <w:tc>
          <w:tcPr>
            <w:tcW w:w="980" w:type="dxa"/>
            <w:vAlign w:val="center"/>
          </w:tcPr>
          <w:p>
            <w:pPr>
              <w:spacing w:line="240" w:lineRule="auto"/>
              <w:rPr>
                <w:sz w:val="24"/>
                <w:szCs w:val="24"/>
              </w:rPr>
            </w:pPr>
            <w:r>
              <w:rPr>
                <w:sz w:val="24"/>
                <w:szCs w:val="24"/>
              </w:rPr>
              <w:t>Duration of meeting</w:t>
            </w:r>
          </w:p>
        </w:tc>
        <w:tc>
          <w:tcPr>
            <w:tcW w:w="1040" w:type="dxa"/>
            <w:vAlign w:val="center"/>
          </w:tcPr>
          <w:p>
            <w:pPr>
              <w:spacing w:line="240" w:lineRule="auto"/>
              <w:rPr>
                <w:sz w:val="24"/>
                <w:szCs w:val="24"/>
              </w:rPr>
            </w:pPr>
            <w:r>
              <w:rPr>
                <w:sz w:val="24"/>
                <w:szCs w:val="24"/>
              </w:rPr>
              <w:t>Running total</w:t>
            </w:r>
          </w:p>
        </w:tc>
      </w:tr>
      <w:tr>
        <w:trPr>
          <w:cantSplit/>
        </w:trPr>
        <w:tc>
          <w:tcPr>
            <w:tcW w:w="960" w:type="dxa"/>
            <w:vAlign w:val="center"/>
          </w:tcPr>
          <w:p>
            <w:pPr>
              <w:spacing w:line="240" w:lineRule="auto"/>
              <w:rPr>
                <w:sz w:val="24"/>
                <w:szCs w:val="24"/>
              </w:rPr>
            </w:pPr>
            <w:r>
              <w:rPr>
                <w:sz w:val="24"/>
                <w:szCs w:val="24"/>
              </w:rPr>
              <w:t>06/12/21</w:t>
            </w:r>
          </w:p>
        </w:tc>
        <w:tc>
          <w:tcPr>
            <w:tcW w:w="800" w:type="dxa"/>
            <w:vAlign w:val="center"/>
          </w:tcPr>
          <w:p>
            <w:pPr>
              <w:spacing w:line="240" w:lineRule="auto"/>
              <w:rPr>
                <w:sz w:val="24"/>
                <w:szCs w:val="24"/>
              </w:rPr>
            </w:pPr>
            <w:r>
              <w:rPr>
                <w:sz w:val="24"/>
                <w:szCs w:val="24"/>
              </w:rPr>
              <w:t>Video- call</w:t>
            </w:r>
          </w:p>
        </w:tc>
        <w:tc>
          <w:tcPr>
            <w:tcW w:w="4540" w:type="dxa"/>
            <w:vAlign w:val="center"/>
          </w:tcPr>
          <w:p>
            <w:pPr>
              <w:spacing w:line="240" w:lineRule="auto"/>
              <w:rPr>
                <w:sz w:val="24"/>
                <w:szCs w:val="24"/>
              </w:rPr>
            </w:pPr>
          </w:p>
          <w:p>
            <w:pPr>
              <w:numPr>
                <w:ilvl w:val="0"/>
                <w:numId w:val="23"/>
              </w:numPr>
              <w:spacing w:line="240" w:lineRule="auto"/>
              <w:rPr>
                <w:sz w:val="24"/>
                <w:szCs w:val="24"/>
              </w:rPr>
            </w:pPr>
            <w:r>
              <w:rPr>
                <w:sz w:val="24"/>
                <w:szCs w:val="24"/>
              </w:rPr>
              <w:t>AW to send proposal form to KJ</w:t>
            </w:r>
          </w:p>
          <w:p>
            <w:pPr>
              <w:numPr>
                <w:ilvl w:val="0"/>
                <w:numId w:val="23"/>
              </w:numPr>
              <w:spacing w:line="240" w:lineRule="auto"/>
              <w:rPr>
                <w:sz w:val="24"/>
                <w:szCs w:val="24"/>
              </w:rPr>
            </w:pPr>
            <w:r>
              <w:rPr>
                <w:sz w:val="24"/>
                <w:szCs w:val="24"/>
              </w:rPr>
              <w:t>Karl to send handbook with suggested dissertation structure</w:t>
            </w:r>
          </w:p>
          <w:p>
            <w:pPr>
              <w:numPr>
                <w:ilvl w:val="0"/>
                <w:numId w:val="23"/>
              </w:numPr>
              <w:spacing w:line="240" w:lineRule="auto"/>
              <w:rPr>
                <w:sz w:val="24"/>
                <w:szCs w:val="24"/>
              </w:rPr>
            </w:pPr>
            <w:r>
              <w:rPr>
                <w:sz w:val="24"/>
                <w:szCs w:val="24"/>
              </w:rPr>
              <w:t>AW to develop 2-4 research questions</w:t>
            </w:r>
          </w:p>
          <w:p>
            <w:pPr>
              <w:spacing w:line="240" w:lineRule="auto"/>
              <w:rPr>
                <w:sz w:val="24"/>
                <w:szCs w:val="24"/>
              </w:rPr>
            </w:pPr>
          </w:p>
          <w:p>
            <w:pPr>
              <w:spacing w:line="240" w:lineRule="auto"/>
              <w:rPr>
                <w:sz w:val="24"/>
                <w:szCs w:val="24"/>
              </w:rPr>
            </w:pPr>
          </w:p>
        </w:tc>
        <w:tc>
          <w:tcPr>
            <w:tcW w:w="880" w:type="dxa"/>
            <w:vAlign w:val="center"/>
          </w:tcPr>
          <w:p>
            <w:pPr>
              <w:spacing w:line="240" w:lineRule="auto"/>
              <w:rPr>
                <w:sz w:val="24"/>
                <w:szCs w:val="24"/>
              </w:rPr>
            </w:pPr>
            <w:r>
              <w:rPr>
                <w:sz w:val="24"/>
                <w:szCs w:val="24"/>
              </w:rPr>
              <w:t>AW</w:t>
            </w:r>
          </w:p>
        </w:tc>
        <w:tc>
          <w:tcPr>
            <w:tcW w:w="980" w:type="dxa"/>
            <w:vAlign w:val="center"/>
          </w:tcPr>
          <w:p>
            <w:pPr>
              <w:spacing w:line="240" w:lineRule="auto"/>
              <w:rPr>
                <w:sz w:val="24"/>
                <w:szCs w:val="24"/>
              </w:rPr>
            </w:pPr>
            <w:r>
              <w:rPr>
                <w:sz w:val="24"/>
                <w:szCs w:val="24"/>
              </w:rPr>
              <w:t>KJ</w:t>
            </w:r>
          </w:p>
        </w:tc>
        <w:tc>
          <w:tcPr>
            <w:tcW w:w="980" w:type="dxa"/>
            <w:vAlign w:val="center"/>
          </w:tcPr>
          <w:p>
            <w:pPr>
              <w:spacing w:line="240" w:lineRule="auto"/>
              <w:rPr>
                <w:sz w:val="24"/>
                <w:szCs w:val="24"/>
              </w:rPr>
            </w:pPr>
            <w:r>
              <w:rPr>
                <w:sz w:val="24"/>
                <w:szCs w:val="24"/>
              </w:rPr>
              <w:t>30 mins</w:t>
            </w:r>
          </w:p>
        </w:tc>
        <w:tc>
          <w:tcPr>
            <w:tcW w:w="1040" w:type="dxa"/>
            <w:vAlign w:val="center"/>
          </w:tcPr>
          <w:p>
            <w:pPr>
              <w:spacing w:line="240" w:lineRule="auto"/>
              <w:rPr>
                <w:sz w:val="24"/>
                <w:szCs w:val="24"/>
              </w:rPr>
            </w:pPr>
            <w:r>
              <w:rPr>
                <w:sz w:val="24"/>
                <w:szCs w:val="24"/>
              </w:rPr>
              <w:t>0.5hr</w:t>
            </w:r>
          </w:p>
        </w:tc>
      </w:tr>
      <w:tr>
        <w:trPr>
          <w:cantSplit/>
        </w:trPr>
        <w:tc>
          <w:tcPr>
            <w:tcW w:w="960" w:type="dxa"/>
            <w:vAlign w:val="center"/>
          </w:tcPr>
          <w:p>
            <w:pPr>
              <w:spacing w:line="240" w:lineRule="auto"/>
              <w:rPr>
                <w:sz w:val="24"/>
                <w:szCs w:val="24"/>
              </w:rPr>
            </w:pPr>
            <w:r>
              <w:rPr>
                <w:sz w:val="24"/>
                <w:szCs w:val="24"/>
              </w:rPr>
              <w:t>12/01/22</w:t>
            </w:r>
          </w:p>
        </w:tc>
        <w:tc>
          <w:tcPr>
            <w:tcW w:w="800" w:type="dxa"/>
            <w:vAlign w:val="center"/>
          </w:tcPr>
          <w:p>
            <w:pPr>
              <w:spacing w:line="240" w:lineRule="auto"/>
              <w:rPr>
                <w:sz w:val="24"/>
                <w:szCs w:val="24"/>
              </w:rPr>
            </w:pPr>
            <w:r>
              <w:rPr>
                <w:sz w:val="24"/>
                <w:szCs w:val="24"/>
              </w:rPr>
              <w:t>Video- call</w:t>
            </w:r>
          </w:p>
        </w:tc>
        <w:tc>
          <w:tcPr>
            <w:tcW w:w="4540" w:type="dxa"/>
            <w:vAlign w:val="center"/>
          </w:tcPr>
          <w:p>
            <w:pPr>
              <w:spacing w:line="240" w:lineRule="auto"/>
              <w:rPr>
                <w:sz w:val="24"/>
                <w:szCs w:val="24"/>
              </w:rPr>
            </w:pPr>
          </w:p>
          <w:p>
            <w:pPr>
              <w:spacing w:line="240" w:lineRule="auto"/>
              <w:rPr>
                <w:sz w:val="24"/>
                <w:szCs w:val="24"/>
              </w:rPr>
            </w:pPr>
          </w:p>
          <w:p>
            <w:pPr>
              <w:numPr>
                <w:ilvl w:val="0"/>
                <w:numId w:val="13"/>
              </w:numPr>
              <w:spacing w:line="240" w:lineRule="auto"/>
              <w:rPr>
                <w:sz w:val="24"/>
                <w:szCs w:val="24"/>
              </w:rPr>
            </w:pPr>
            <w:r>
              <w:rPr>
                <w:sz w:val="24"/>
                <w:szCs w:val="24"/>
              </w:rPr>
              <w:t>KJ to send dates of next ethics board</w:t>
            </w:r>
          </w:p>
          <w:p>
            <w:pPr>
              <w:numPr>
                <w:ilvl w:val="0"/>
                <w:numId w:val="13"/>
              </w:numPr>
              <w:spacing w:line="240" w:lineRule="auto"/>
              <w:rPr>
                <w:sz w:val="24"/>
                <w:szCs w:val="24"/>
              </w:rPr>
            </w:pPr>
            <w:r>
              <w:rPr>
                <w:sz w:val="24"/>
                <w:szCs w:val="24"/>
              </w:rPr>
              <w:t>AW to decide methodology and start ethics form</w:t>
            </w:r>
          </w:p>
          <w:p>
            <w:pPr>
              <w:numPr>
                <w:ilvl w:val="0"/>
                <w:numId w:val="13"/>
              </w:numPr>
              <w:spacing w:line="240" w:lineRule="auto"/>
              <w:rPr>
                <w:sz w:val="24"/>
                <w:szCs w:val="24"/>
              </w:rPr>
            </w:pPr>
            <w:r>
              <w:rPr>
                <w:sz w:val="24"/>
                <w:szCs w:val="24"/>
              </w:rPr>
              <w:t>AW to continue reading for literature review</w:t>
            </w:r>
          </w:p>
          <w:p>
            <w:pPr>
              <w:spacing w:line="240" w:lineRule="auto"/>
              <w:rPr>
                <w:sz w:val="24"/>
                <w:szCs w:val="24"/>
              </w:rPr>
            </w:pPr>
          </w:p>
          <w:p>
            <w:pPr>
              <w:spacing w:line="240" w:lineRule="auto"/>
              <w:rPr>
                <w:sz w:val="24"/>
                <w:szCs w:val="24"/>
              </w:rPr>
            </w:pPr>
          </w:p>
        </w:tc>
        <w:tc>
          <w:tcPr>
            <w:tcW w:w="880" w:type="dxa"/>
            <w:vAlign w:val="center"/>
          </w:tcPr>
          <w:p>
            <w:pPr>
              <w:spacing w:line="240" w:lineRule="auto"/>
              <w:rPr>
                <w:sz w:val="24"/>
                <w:szCs w:val="24"/>
              </w:rPr>
            </w:pPr>
            <w:r>
              <w:rPr>
                <w:sz w:val="24"/>
                <w:szCs w:val="24"/>
              </w:rPr>
              <w:t>AW</w:t>
            </w:r>
          </w:p>
        </w:tc>
        <w:tc>
          <w:tcPr>
            <w:tcW w:w="980" w:type="dxa"/>
            <w:vAlign w:val="center"/>
          </w:tcPr>
          <w:p>
            <w:pPr>
              <w:spacing w:line="240" w:lineRule="auto"/>
              <w:rPr>
                <w:sz w:val="24"/>
                <w:szCs w:val="24"/>
              </w:rPr>
            </w:pPr>
            <w:r>
              <w:rPr>
                <w:sz w:val="24"/>
                <w:szCs w:val="24"/>
              </w:rPr>
              <w:t>KJ</w:t>
            </w:r>
          </w:p>
        </w:tc>
        <w:tc>
          <w:tcPr>
            <w:tcW w:w="980" w:type="dxa"/>
            <w:vAlign w:val="center"/>
          </w:tcPr>
          <w:p>
            <w:pPr>
              <w:spacing w:line="240" w:lineRule="auto"/>
              <w:rPr>
                <w:sz w:val="24"/>
                <w:szCs w:val="24"/>
              </w:rPr>
            </w:pPr>
            <w:r>
              <w:rPr>
                <w:sz w:val="24"/>
                <w:szCs w:val="24"/>
              </w:rPr>
              <w:t>30 mins</w:t>
            </w:r>
          </w:p>
        </w:tc>
        <w:tc>
          <w:tcPr>
            <w:tcW w:w="1040" w:type="dxa"/>
            <w:vAlign w:val="center"/>
          </w:tcPr>
          <w:p>
            <w:pPr>
              <w:spacing w:line="240" w:lineRule="auto"/>
              <w:rPr>
                <w:sz w:val="24"/>
                <w:szCs w:val="24"/>
              </w:rPr>
            </w:pPr>
            <w:r>
              <w:rPr>
                <w:sz w:val="24"/>
                <w:szCs w:val="24"/>
              </w:rPr>
              <w:t>1hr</w:t>
            </w:r>
          </w:p>
        </w:tc>
      </w:tr>
      <w:tr>
        <w:trPr>
          <w:cantSplit/>
        </w:trPr>
        <w:tc>
          <w:tcPr>
            <w:tcW w:w="960" w:type="dxa"/>
            <w:vAlign w:val="center"/>
          </w:tcPr>
          <w:p>
            <w:pPr>
              <w:spacing w:line="240" w:lineRule="auto"/>
              <w:rPr>
                <w:sz w:val="24"/>
                <w:szCs w:val="24"/>
              </w:rPr>
            </w:pPr>
            <w:r>
              <w:rPr>
                <w:sz w:val="24"/>
                <w:szCs w:val="24"/>
              </w:rPr>
              <w:t>09/02/22</w:t>
            </w:r>
          </w:p>
        </w:tc>
        <w:tc>
          <w:tcPr>
            <w:tcW w:w="800" w:type="dxa"/>
            <w:vAlign w:val="center"/>
          </w:tcPr>
          <w:p>
            <w:pPr>
              <w:spacing w:line="240" w:lineRule="auto"/>
              <w:rPr>
                <w:sz w:val="24"/>
                <w:szCs w:val="24"/>
              </w:rPr>
            </w:pPr>
            <w:r>
              <w:rPr>
                <w:sz w:val="24"/>
                <w:szCs w:val="24"/>
              </w:rPr>
              <w:t>Video- call</w:t>
            </w:r>
          </w:p>
        </w:tc>
        <w:tc>
          <w:tcPr>
            <w:tcW w:w="4540" w:type="dxa"/>
            <w:vAlign w:val="center"/>
          </w:tcPr>
          <w:p>
            <w:pPr>
              <w:spacing w:line="240" w:lineRule="auto"/>
              <w:ind w:left="720"/>
              <w:rPr>
                <w:sz w:val="24"/>
                <w:szCs w:val="24"/>
              </w:rPr>
            </w:pPr>
          </w:p>
          <w:p>
            <w:pPr>
              <w:numPr>
                <w:ilvl w:val="0"/>
                <w:numId w:val="34"/>
              </w:numPr>
              <w:spacing w:line="240" w:lineRule="auto"/>
              <w:rPr>
                <w:sz w:val="24"/>
                <w:szCs w:val="24"/>
              </w:rPr>
            </w:pPr>
            <w:r>
              <w:rPr>
                <w:sz w:val="24"/>
                <w:szCs w:val="24"/>
              </w:rPr>
              <w:t xml:space="preserve">AW to complete and send ethics form to KJ (7th March)  in time for feedback before submission </w:t>
            </w:r>
          </w:p>
          <w:p>
            <w:pPr>
              <w:spacing w:line="240" w:lineRule="auto"/>
              <w:rPr>
                <w:sz w:val="24"/>
                <w:szCs w:val="24"/>
              </w:rPr>
            </w:pPr>
          </w:p>
          <w:p>
            <w:pPr>
              <w:spacing w:line="240" w:lineRule="auto"/>
              <w:rPr>
                <w:sz w:val="24"/>
                <w:szCs w:val="24"/>
              </w:rPr>
            </w:pPr>
          </w:p>
          <w:p>
            <w:pPr>
              <w:spacing w:line="240" w:lineRule="auto"/>
              <w:rPr>
                <w:sz w:val="24"/>
                <w:szCs w:val="24"/>
              </w:rPr>
            </w:pPr>
          </w:p>
          <w:p>
            <w:pPr>
              <w:spacing w:line="240" w:lineRule="auto"/>
              <w:rPr>
                <w:sz w:val="24"/>
                <w:szCs w:val="24"/>
              </w:rPr>
            </w:pPr>
          </w:p>
        </w:tc>
        <w:tc>
          <w:tcPr>
            <w:tcW w:w="880" w:type="dxa"/>
            <w:vAlign w:val="center"/>
          </w:tcPr>
          <w:p>
            <w:pPr>
              <w:spacing w:line="240" w:lineRule="auto"/>
              <w:rPr>
                <w:sz w:val="24"/>
                <w:szCs w:val="24"/>
              </w:rPr>
            </w:pPr>
            <w:r>
              <w:rPr>
                <w:sz w:val="24"/>
                <w:szCs w:val="24"/>
              </w:rPr>
              <w:t>AW</w:t>
            </w:r>
          </w:p>
        </w:tc>
        <w:tc>
          <w:tcPr>
            <w:tcW w:w="980" w:type="dxa"/>
            <w:vAlign w:val="center"/>
          </w:tcPr>
          <w:p>
            <w:pPr>
              <w:spacing w:line="240" w:lineRule="auto"/>
              <w:rPr>
                <w:sz w:val="24"/>
                <w:szCs w:val="24"/>
              </w:rPr>
            </w:pPr>
            <w:r>
              <w:rPr>
                <w:sz w:val="24"/>
                <w:szCs w:val="24"/>
              </w:rPr>
              <w:t>KJ</w:t>
            </w:r>
          </w:p>
        </w:tc>
        <w:tc>
          <w:tcPr>
            <w:tcW w:w="980" w:type="dxa"/>
            <w:vAlign w:val="center"/>
          </w:tcPr>
          <w:p>
            <w:pPr>
              <w:spacing w:line="240" w:lineRule="auto"/>
              <w:rPr>
                <w:sz w:val="24"/>
                <w:szCs w:val="24"/>
              </w:rPr>
            </w:pPr>
            <w:r>
              <w:rPr>
                <w:sz w:val="24"/>
                <w:szCs w:val="24"/>
              </w:rPr>
              <w:t>30 mins</w:t>
            </w:r>
          </w:p>
        </w:tc>
        <w:tc>
          <w:tcPr>
            <w:tcW w:w="1040" w:type="dxa"/>
            <w:vAlign w:val="center"/>
          </w:tcPr>
          <w:p>
            <w:pPr>
              <w:spacing w:line="240" w:lineRule="auto"/>
              <w:rPr>
                <w:sz w:val="24"/>
                <w:szCs w:val="24"/>
              </w:rPr>
            </w:pPr>
            <w:r>
              <w:rPr>
                <w:sz w:val="24"/>
                <w:szCs w:val="24"/>
              </w:rPr>
              <w:t>1.5hrs</w:t>
            </w:r>
          </w:p>
        </w:tc>
      </w:tr>
      <w:tr>
        <w:trPr>
          <w:cantSplit/>
        </w:trPr>
        <w:tc>
          <w:tcPr>
            <w:tcW w:w="960" w:type="dxa"/>
            <w:vAlign w:val="center"/>
          </w:tcPr>
          <w:p>
            <w:pPr>
              <w:spacing w:line="240" w:lineRule="auto"/>
              <w:rPr>
                <w:sz w:val="24"/>
                <w:szCs w:val="24"/>
              </w:rPr>
            </w:pPr>
            <w:r>
              <w:rPr>
                <w:sz w:val="24"/>
                <w:szCs w:val="24"/>
              </w:rPr>
              <w:t>26/04/22</w:t>
            </w:r>
          </w:p>
        </w:tc>
        <w:tc>
          <w:tcPr>
            <w:tcW w:w="800" w:type="dxa"/>
            <w:vAlign w:val="center"/>
          </w:tcPr>
          <w:p>
            <w:pPr>
              <w:spacing w:line="240" w:lineRule="auto"/>
              <w:rPr>
                <w:sz w:val="24"/>
                <w:szCs w:val="24"/>
              </w:rPr>
            </w:pPr>
            <w:r>
              <w:rPr>
                <w:sz w:val="24"/>
                <w:szCs w:val="24"/>
              </w:rPr>
              <w:t>video- call</w:t>
            </w:r>
          </w:p>
        </w:tc>
        <w:tc>
          <w:tcPr>
            <w:tcW w:w="4540" w:type="dxa"/>
            <w:vAlign w:val="center"/>
          </w:tcPr>
          <w:p>
            <w:pPr>
              <w:spacing w:line="240" w:lineRule="auto"/>
              <w:rPr>
                <w:sz w:val="24"/>
                <w:szCs w:val="24"/>
              </w:rPr>
            </w:pPr>
          </w:p>
          <w:p>
            <w:pPr>
              <w:numPr>
                <w:ilvl w:val="0"/>
                <w:numId w:val="27"/>
              </w:numPr>
              <w:spacing w:line="240" w:lineRule="auto"/>
              <w:rPr>
                <w:sz w:val="24"/>
                <w:szCs w:val="24"/>
              </w:rPr>
            </w:pPr>
            <w:r>
              <w:rPr>
                <w:sz w:val="24"/>
                <w:szCs w:val="24"/>
              </w:rPr>
              <w:t>AW to send KS4 and KS5 questionnaire to KJ</w:t>
            </w:r>
          </w:p>
          <w:p>
            <w:pPr>
              <w:numPr>
                <w:ilvl w:val="0"/>
                <w:numId w:val="27"/>
              </w:numPr>
              <w:spacing w:line="240" w:lineRule="auto"/>
              <w:rPr>
                <w:sz w:val="24"/>
                <w:szCs w:val="24"/>
              </w:rPr>
            </w:pPr>
            <w:r>
              <w:rPr>
                <w:sz w:val="24"/>
                <w:szCs w:val="24"/>
              </w:rPr>
              <w:t>AW to start writing literature review</w:t>
            </w:r>
          </w:p>
          <w:p>
            <w:pPr>
              <w:spacing w:line="240" w:lineRule="auto"/>
              <w:rPr>
                <w:sz w:val="24"/>
                <w:szCs w:val="24"/>
              </w:rPr>
            </w:pPr>
          </w:p>
          <w:p>
            <w:pPr>
              <w:spacing w:line="240" w:lineRule="auto"/>
              <w:rPr>
                <w:sz w:val="24"/>
                <w:szCs w:val="24"/>
              </w:rPr>
            </w:pPr>
          </w:p>
          <w:p>
            <w:pPr>
              <w:spacing w:line="240" w:lineRule="auto"/>
              <w:rPr>
                <w:sz w:val="24"/>
                <w:szCs w:val="24"/>
              </w:rPr>
            </w:pPr>
          </w:p>
          <w:p>
            <w:pPr>
              <w:spacing w:line="240" w:lineRule="auto"/>
              <w:rPr>
                <w:sz w:val="24"/>
                <w:szCs w:val="24"/>
              </w:rPr>
            </w:pPr>
          </w:p>
        </w:tc>
        <w:tc>
          <w:tcPr>
            <w:tcW w:w="880" w:type="dxa"/>
            <w:vAlign w:val="center"/>
          </w:tcPr>
          <w:p>
            <w:pPr>
              <w:spacing w:line="240" w:lineRule="auto"/>
              <w:rPr>
                <w:sz w:val="24"/>
                <w:szCs w:val="24"/>
              </w:rPr>
            </w:pPr>
            <w:r>
              <w:rPr>
                <w:sz w:val="24"/>
                <w:szCs w:val="24"/>
              </w:rPr>
              <w:t>AW</w:t>
            </w:r>
          </w:p>
        </w:tc>
        <w:tc>
          <w:tcPr>
            <w:tcW w:w="980" w:type="dxa"/>
            <w:vAlign w:val="center"/>
          </w:tcPr>
          <w:p>
            <w:pPr>
              <w:spacing w:line="240" w:lineRule="auto"/>
              <w:rPr>
                <w:sz w:val="24"/>
                <w:szCs w:val="24"/>
              </w:rPr>
            </w:pPr>
            <w:r>
              <w:rPr>
                <w:sz w:val="24"/>
                <w:szCs w:val="24"/>
              </w:rPr>
              <w:t>KJ</w:t>
            </w:r>
          </w:p>
        </w:tc>
        <w:tc>
          <w:tcPr>
            <w:tcW w:w="980" w:type="dxa"/>
            <w:vAlign w:val="center"/>
          </w:tcPr>
          <w:p>
            <w:pPr>
              <w:spacing w:line="240" w:lineRule="auto"/>
              <w:rPr>
                <w:sz w:val="24"/>
                <w:szCs w:val="24"/>
              </w:rPr>
            </w:pPr>
            <w:r>
              <w:rPr>
                <w:sz w:val="24"/>
                <w:szCs w:val="24"/>
              </w:rPr>
              <w:t>30 mins</w:t>
            </w:r>
          </w:p>
        </w:tc>
        <w:tc>
          <w:tcPr>
            <w:tcW w:w="1040" w:type="dxa"/>
            <w:vAlign w:val="center"/>
          </w:tcPr>
          <w:p>
            <w:pPr>
              <w:spacing w:line="240" w:lineRule="auto"/>
              <w:rPr>
                <w:sz w:val="24"/>
                <w:szCs w:val="24"/>
              </w:rPr>
            </w:pPr>
            <w:r>
              <w:rPr>
                <w:sz w:val="24"/>
                <w:szCs w:val="24"/>
              </w:rPr>
              <w:t>2hrs</w:t>
            </w:r>
          </w:p>
        </w:tc>
      </w:tr>
      <w:tr>
        <w:trPr>
          <w:cantSplit/>
        </w:trPr>
        <w:tc>
          <w:tcPr>
            <w:tcW w:w="960" w:type="dxa"/>
            <w:vAlign w:val="center"/>
          </w:tcPr>
          <w:p>
            <w:pPr>
              <w:spacing w:line="240" w:lineRule="auto"/>
              <w:rPr>
                <w:sz w:val="24"/>
                <w:szCs w:val="24"/>
              </w:rPr>
            </w:pPr>
            <w:r>
              <w:rPr>
                <w:sz w:val="24"/>
                <w:szCs w:val="24"/>
              </w:rPr>
              <w:t>16/05/22</w:t>
            </w:r>
          </w:p>
        </w:tc>
        <w:tc>
          <w:tcPr>
            <w:tcW w:w="800" w:type="dxa"/>
            <w:vAlign w:val="center"/>
          </w:tcPr>
          <w:p>
            <w:pPr>
              <w:spacing w:line="240" w:lineRule="auto"/>
              <w:rPr>
                <w:sz w:val="24"/>
                <w:szCs w:val="24"/>
              </w:rPr>
            </w:pPr>
            <w:r>
              <w:rPr>
                <w:sz w:val="24"/>
                <w:szCs w:val="24"/>
              </w:rPr>
              <w:t>video- call</w:t>
            </w:r>
          </w:p>
        </w:tc>
        <w:tc>
          <w:tcPr>
            <w:tcW w:w="4540" w:type="dxa"/>
            <w:vAlign w:val="center"/>
          </w:tcPr>
          <w:p>
            <w:pPr>
              <w:spacing w:line="240" w:lineRule="auto"/>
              <w:rPr>
                <w:sz w:val="24"/>
                <w:szCs w:val="24"/>
              </w:rPr>
            </w:pPr>
          </w:p>
          <w:p>
            <w:pPr>
              <w:numPr>
                <w:ilvl w:val="0"/>
                <w:numId w:val="8"/>
              </w:numPr>
              <w:spacing w:line="240" w:lineRule="auto"/>
              <w:rPr>
                <w:sz w:val="24"/>
                <w:szCs w:val="24"/>
              </w:rPr>
            </w:pPr>
            <w:r>
              <w:rPr>
                <w:sz w:val="24"/>
                <w:szCs w:val="24"/>
              </w:rPr>
              <w:t>Deadline agreed for first draft of literature review (Friday 24th June)</w:t>
            </w:r>
          </w:p>
          <w:p>
            <w:pPr>
              <w:numPr>
                <w:ilvl w:val="0"/>
                <w:numId w:val="8"/>
              </w:numPr>
              <w:spacing w:line="240" w:lineRule="auto"/>
              <w:rPr>
                <w:sz w:val="24"/>
                <w:szCs w:val="24"/>
              </w:rPr>
            </w:pPr>
            <w:r>
              <w:rPr>
                <w:sz w:val="24"/>
                <w:szCs w:val="24"/>
              </w:rPr>
              <w:t>AW to carry out questionnaire data collection</w:t>
            </w:r>
          </w:p>
          <w:p>
            <w:pPr>
              <w:spacing w:line="240" w:lineRule="auto"/>
              <w:rPr>
                <w:sz w:val="24"/>
                <w:szCs w:val="24"/>
              </w:rPr>
            </w:pPr>
          </w:p>
          <w:p>
            <w:pPr>
              <w:spacing w:line="240" w:lineRule="auto"/>
              <w:rPr>
                <w:sz w:val="24"/>
                <w:szCs w:val="24"/>
              </w:rPr>
            </w:pPr>
          </w:p>
          <w:p>
            <w:pPr>
              <w:spacing w:line="240" w:lineRule="auto"/>
              <w:rPr>
                <w:sz w:val="24"/>
                <w:szCs w:val="24"/>
              </w:rPr>
            </w:pPr>
          </w:p>
          <w:p>
            <w:pPr>
              <w:spacing w:line="240" w:lineRule="auto"/>
              <w:rPr>
                <w:sz w:val="24"/>
                <w:szCs w:val="24"/>
              </w:rPr>
            </w:pPr>
          </w:p>
        </w:tc>
        <w:tc>
          <w:tcPr>
            <w:tcW w:w="880" w:type="dxa"/>
            <w:vAlign w:val="center"/>
          </w:tcPr>
          <w:p>
            <w:pPr>
              <w:spacing w:line="240" w:lineRule="auto"/>
              <w:rPr>
                <w:sz w:val="24"/>
                <w:szCs w:val="24"/>
              </w:rPr>
            </w:pPr>
            <w:r>
              <w:rPr>
                <w:sz w:val="24"/>
                <w:szCs w:val="24"/>
              </w:rPr>
              <w:t>AW</w:t>
            </w:r>
          </w:p>
        </w:tc>
        <w:tc>
          <w:tcPr>
            <w:tcW w:w="980" w:type="dxa"/>
            <w:vAlign w:val="center"/>
          </w:tcPr>
          <w:p>
            <w:pPr>
              <w:spacing w:line="240" w:lineRule="auto"/>
              <w:rPr>
                <w:sz w:val="24"/>
                <w:szCs w:val="24"/>
              </w:rPr>
            </w:pPr>
            <w:r>
              <w:rPr>
                <w:sz w:val="24"/>
                <w:szCs w:val="24"/>
              </w:rPr>
              <w:t>KJ</w:t>
            </w:r>
          </w:p>
        </w:tc>
        <w:tc>
          <w:tcPr>
            <w:tcW w:w="980" w:type="dxa"/>
            <w:vAlign w:val="center"/>
          </w:tcPr>
          <w:p>
            <w:pPr>
              <w:spacing w:line="240" w:lineRule="auto"/>
              <w:rPr>
                <w:sz w:val="24"/>
                <w:szCs w:val="24"/>
              </w:rPr>
            </w:pPr>
            <w:r>
              <w:rPr>
                <w:sz w:val="24"/>
                <w:szCs w:val="24"/>
              </w:rPr>
              <w:t>30 mins</w:t>
            </w:r>
          </w:p>
        </w:tc>
        <w:tc>
          <w:tcPr>
            <w:tcW w:w="1040" w:type="dxa"/>
            <w:vAlign w:val="center"/>
          </w:tcPr>
          <w:p>
            <w:pPr>
              <w:spacing w:line="240" w:lineRule="auto"/>
              <w:rPr>
                <w:sz w:val="24"/>
                <w:szCs w:val="24"/>
              </w:rPr>
            </w:pPr>
            <w:r>
              <w:rPr>
                <w:sz w:val="24"/>
                <w:szCs w:val="24"/>
              </w:rPr>
              <w:t>2.5hrs</w:t>
            </w:r>
          </w:p>
        </w:tc>
      </w:tr>
      <w:tr>
        <w:trPr>
          <w:cantSplit/>
        </w:trPr>
        <w:tc>
          <w:tcPr>
            <w:tcW w:w="960" w:type="dxa"/>
            <w:vAlign w:val="center"/>
          </w:tcPr>
          <w:p>
            <w:pPr>
              <w:spacing w:line="240" w:lineRule="auto"/>
              <w:rPr>
                <w:sz w:val="24"/>
                <w:szCs w:val="24"/>
              </w:rPr>
            </w:pPr>
            <w:r>
              <w:rPr>
                <w:sz w:val="24"/>
                <w:szCs w:val="24"/>
              </w:rPr>
              <w:t>14/09/22</w:t>
            </w:r>
          </w:p>
        </w:tc>
        <w:tc>
          <w:tcPr>
            <w:tcW w:w="800" w:type="dxa"/>
            <w:vAlign w:val="center"/>
          </w:tcPr>
          <w:p>
            <w:pPr>
              <w:spacing w:line="240" w:lineRule="auto"/>
              <w:rPr>
                <w:sz w:val="24"/>
                <w:szCs w:val="24"/>
              </w:rPr>
            </w:pPr>
            <w:r>
              <w:rPr>
                <w:sz w:val="24"/>
                <w:szCs w:val="24"/>
              </w:rPr>
              <w:t>video- call</w:t>
            </w:r>
          </w:p>
        </w:tc>
        <w:tc>
          <w:tcPr>
            <w:tcW w:w="4540" w:type="dxa"/>
            <w:vAlign w:val="center"/>
          </w:tcPr>
          <w:p>
            <w:pPr>
              <w:spacing w:line="240" w:lineRule="auto"/>
              <w:rPr>
                <w:sz w:val="24"/>
                <w:szCs w:val="24"/>
              </w:rPr>
            </w:pPr>
          </w:p>
          <w:p>
            <w:pPr>
              <w:numPr>
                <w:ilvl w:val="0"/>
                <w:numId w:val="17"/>
              </w:numPr>
              <w:spacing w:line="240" w:lineRule="auto"/>
              <w:rPr>
                <w:sz w:val="24"/>
                <w:szCs w:val="24"/>
              </w:rPr>
            </w:pPr>
            <w:r>
              <w:rPr>
                <w:sz w:val="24"/>
                <w:szCs w:val="24"/>
              </w:rPr>
              <w:t>AW to make suggested amendments to literature review</w:t>
            </w:r>
          </w:p>
          <w:p>
            <w:pPr>
              <w:numPr>
                <w:ilvl w:val="0"/>
                <w:numId w:val="17"/>
              </w:numPr>
              <w:spacing w:line="240" w:lineRule="auto"/>
              <w:rPr>
                <w:sz w:val="24"/>
                <w:szCs w:val="24"/>
              </w:rPr>
            </w:pPr>
            <w:r>
              <w:rPr>
                <w:sz w:val="24"/>
                <w:szCs w:val="24"/>
              </w:rPr>
              <w:t>AW to send first draft of introduction to KJ</w:t>
            </w:r>
          </w:p>
          <w:p>
            <w:pPr>
              <w:numPr>
                <w:ilvl w:val="0"/>
                <w:numId w:val="17"/>
              </w:numPr>
              <w:spacing w:line="240" w:lineRule="auto"/>
              <w:rPr>
                <w:sz w:val="24"/>
                <w:szCs w:val="24"/>
              </w:rPr>
            </w:pPr>
            <w:r>
              <w:rPr>
                <w:sz w:val="24"/>
                <w:szCs w:val="24"/>
              </w:rPr>
              <w:t>AW to carry out focus groups</w:t>
            </w:r>
          </w:p>
          <w:p>
            <w:pPr>
              <w:spacing w:line="240" w:lineRule="auto"/>
              <w:rPr>
                <w:sz w:val="24"/>
                <w:szCs w:val="24"/>
              </w:rPr>
            </w:pPr>
          </w:p>
          <w:p>
            <w:pPr>
              <w:spacing w:line="240" w:lineRule="auto"/>
              <w:rPr>
                <w:sz w:val="24"/>
                <w:szCs w:val="24"/>
              </w:rPr>
            </w:pPr>
          </w:p>
          <w:p>
            <w:pPr>
              <w:spacing w:line="240" w:lineRule="auto"/>
              <w:rPr>
                <w:sz w:val="24"/>
                <w:szCs w:val="24"/>
              </w:rPr>
            </w:pPr>
          </w:p>
          <w:p>
            <w:pPr>
              <w:spacing w:line="240" w:lineRule="auto"/>
              <w:rPr>
                <w:sz w:val="24"/>
                <w:szCs w:val="24"/>
              </w:rPr>
            </w:pPr>
          </w:p>
        </w:tc>
        <w:tc>
          <w:tcPr>
            <w:tcW w:w="880" w:type="dxa"/>
            <w:vAlign w:val="center"/>
          </w:tcPr>
          <w:p>
            <w:pPr>
              <w:spacing w:line="240" w:lineRule="auto"/>
              <w:rPr>
                <w:sz w:val="24"/>
                <w:szCs w:val="24"/>
              </w:rPr>
            </w:pPr>
            <w:r>
              <w:rPr>
                <w:sz w:val="24"/>
                <w:szCs w:val="24"/>
              </w:rPr>
              <w:t>AW</w:t>
            </w:r>
          </w:p>
        </w:tc>
        <w:tc>
          <w:tcPr>
            <w:tcW w:w="980" w:type="dxa"/>
            <w:vAlign w:val="center"/>
          </w:tcPr>
          <w:p>
            <w:pPr>
              <w:spacing w:line="240" w:lineRule="auto"/>
              <w:rPr>
                <w:sz w:val="24"/>
                <w:szCs w:val="24"/>
              </w:rPr>
            </w:pPr>
            <w:r>
              <w:rPr>
                <w:sz w:val="24"/>
                <w:szCs w:val="24"/>
              </w:rPr>
              <w:t>KJ</w:t>
            </w:r>
          </w:p>
        </w:tc>
        <w:tc>
          <w:tcPr>
            <w:tcW w:w="980" w:type="dxa"/>
            <w:vAlign w:val="center"/>
          </w:tcPr>
          <w:p>
            <w:pPr>
              <w:spacing w:line="240" w:lineRule="auto"/>
              <w:rPr>
                <w:sz w:val="24"/>
                <w:szCs w:val="24"/>
              </w:rPr>
            </w:pPr>
            <w:r>
              <w:rPr>
                <w:sz w:val="24"/>
                <w:szCs w:val="24"/>
              </w:rPr>
              <w:t>30 mins</w:t>
            </w:r>
          </w:p>
        </w:tc>
        <w:tc>
          <w:tcPr>
            <w:tcW w:w="1040" w:type="dxa"/>
            <w:vAlign w:val="center"/>
          </w:tcPr>
          <w:p>
            <w:pPr>
              <w:spacing w:line="240" w:lineRule="auto"/>
              <w:rPr>
                <w:sz w:val="24"/>
                <w:szCs w:val="24"/>
              </w:rPr>
            </w:pPr>
            <w:r>
              <w:rPr>
                <w:sz w:val="24"/>
                <w:szCs w:val="24"/>
              </w:rPr>
              <w:t>3hrs</w:t>
            </w:r>
          </w:p>
        </w:tc>
      </w:tr>
      <w:tr>
        <w:trPr>
          <w:cantSplit/>
        </w:trPr>
        <w:tc>
          <w:tcPr>
            <w:tcW w:w="960" w:type="dxa"/>
            <w:vAlign w:val="center"/>
          </w:tcPr>
          <w:p>
            <w:pPr>
              <w:spacing w:line="240" w:lineRule="auto"/>
              <w:rPr>
                <w:sz w:val="24"/>
                <w:szCs w:val="24"/>
              </w:rPr>
            </w:pPr>
            <w:r>
              <w:rPr>
                <w:sz w:val="24"/>
                <w:szCs w:val="24"/>
              </w:rPr>
              <w:t>19/10/22</w:t>
            </w:r>
          </w:p>
        </w:tc>
        <w:tc>
          <w:tcPr>
            <w:tcW w:w="800" w:type="dxa"/>
            <w:vAlign w:val="center"/>
          </w:tcPr>
          <w:p>
            <w:pPr>
              <w:spacing w:line="240" w:lineRule="auto"/>
              <w:rPr>
                <w:sz w:val="24"/>
                <w:szCs w:val="24"/>
              </w:rPr>
            </w:pPr>
            <w:r>
              <w:rPr>
                <w:sz w:val="24"/>
                <w:szCs w:val="24"/>
              </w:rPr>
              <w:t>Video- call</w:t>
            </w:r>
          </w:p>
        </w:tc>
        <w:tc>
          <w:tcPr>
            <w:tcW w:w="4540" w:type="dxa"/>
            <w:vAlign w:val="center"/>
          </w:tcPr>
          <w:p>
            <w:pPr>
              <w:spacing w:line="240" w:lineRule="auto"/>
              <w:rPr>
                <w:sz w:val="24"/>
                <w:szCs w:val="24"/>
              </w:rPr>
            </w:pPr>
          </w:p>
          <w:p>
            <w:pPr>
              <w:numPr>
                <w:ilvl w:val="0"/>
                <w:numId w:val="37"/>
              </w:numPr>
              <w:spacing w:line="240" w:lineRule="auto"/>
              <w:rPr>
                <w:sz w:val="24"/>
                <w:szCs w:val="24"/>
              </w:rPr>
            </w:pPr>
            <w:r>
              <w:rPr>
                <w:sz w:val="24"/>
                <w:szCs w:val="24"/>
              </w:rPr>
              <w:t>AW to finish questionnaire and focus group analysis</w:t>
            </w:r>
          </w:p>
          <w:p>
            <w:pPr>
              <w:numPr>
                <w:ilvl w:val="0"/>
                <w:numId w:val="37"/>
              </w:numPr>
              <w:spacing w:line="240" w:lineRule="auto"/>
              <w:rPr>
                <w:sz w:val="24"/>
                <w:szCs w:val="24"/>
              </w:rPr>
            </w:pPr>
            <w:r>
              <w:rPr>
                <w:sz w:val="24"/>
                <w:szCs w:val="24"/>
              </w:rPr>
              <w:t>AW to send first draft of methodology to KJ</w:t>
            </w:r>
          </w:p>
          <w:p>
            <w:pPr>
              <w:spacing w:line="240" w:lineRule="auto"/>
              <w:rPr>
                <w:sz w:val="24"/>
                <w:szCs w:val="24"/>
              </w:rPr>
            </w:pPr>
          </w:p>
          <w:p>
            <w:pPr>
              <w:spacing w:line="240" w:lineRule="auto"/>
              <w:rPr>
                <w:sz w:val="24"/>
                <w:szCs w:val="24"/>
              </w:rPr>
            </w:pPr>
          </w:p>
          <w:p>
            <w:pPr>
              <w:spacing w:line="240" w:lineRule="auto"/>
              <w:rPr>
                <w:sz w:val="24"/>
                <w:szCs w:val="24"/>
              </w:rPr>
            </w:pPr>
          </w:p>
          <w:p>
            <w:pPr>
              <w:spacing w:line="240" w:lineRule="auto"/>
              <w:rPr>
                <w:sz w:val="24"/>
                <w:szCs w:val="24"/>
              </w:rPr>
            </w:pPr>
          </w:p>
        </w:tc>
        <w:tc>
          <w:tcPr>
            <w:tcW w:w="880" w:type="dxa"/>
            <w:vAlign w:val="center"/>
          </w:tcPr>
          <w:p>
            <w:pPr>
              <w:spacing w:line="240" w:lineRule="auto"/>
              <w:rPr>
                <w:sz w:val="24"/>
                <w:szCs w:val="24"/>
              </w:rPr>
            </w:pPr>
            <w:r>
              <w:rPr>
                <w:sz w:val="24"/>
                <w:szCs w:val="24"/>
              </w:rPr>
              <w:t>AW</w:t>
            </w:r>
          </w:p>
        </w:tc>
        <w:tc>
          <w:tcPr>
            <w:tcW w:w="980" w:type="dxa"/>
            <w:vAlign w:val="center"/>
          </w:tcPr>
          <w:p>
            <w:pPr>
              <w:spacing w:line="240" w:lineRule="auto"/>
              <w:rPr>
                <w:sz w:val="24"/>
                <w:szCs w:val="24"/>
              </w:rPr>
            </w:pPr>
            <w:r>
              <w:rPr>
                <w:sz w:val="24"/>
                <w:szCs w:val="24"/>
              </w:rPr>
              <w:t>KJ</w:t>
            </w:r>
          </w:p>
        </w:tc>
        <w:tc>
          <w:tcPr>
            <w:tcW w:w="980" w:type="dxa"/>
            <w:vAlign w:val="center"/>
          </w:tcPr>
          <w:p>
            <w:pPr>
              <w:spacing w:line="240" w:lineRule="auto"/>
              <w:rPr>
                <w:sz w:val="24"/>
                <w:szCs w:val="24"/>
              </w:rPr>
            </w:pPr>
            <w:r>
              <w:rPr>
                <w:sz w:val="24"/>
                <w:szCs w:val="24"/>
              </w:rPr>
              <w:t>30 mins</w:t>
            </w:r>
          </w:p>
        </w:tc>
        <w:tc>
          <w:tcPr>
            <w:tcW w:w="1040" w:type="dxa"/>
            <w:vAlign w:val="center"/>
          </w:tcPr>
          <w:p>
            <w:pPr>
              <w:spacing w:line="240" w:lineRule="auto"/>
              <w:rPr>
                <w:sz w:val="24"/>
                <w:szCs w:val="24"/>
              </w:rPr>
            </w:pPr>
            <w:r>
              <w:rPr>
                <w:sz w:val="24"/>
                <w:szCs w:val="24"/>
              </w:rPr>
              <w:t>3.5hrs</w:t>
            </w:r>
          </w:p>
        </w:tc>
      </w:tr>
      <w:tr>
        <w:trPr>
          <w:cantSplit/>
        </w:trPr>
        <w:tc>
          <w:tcPr>
            <w:tcW w:w="960" w:type="dxa"/>
            <w:vAlign w:val="center"/>
          </w:tcPr>
          <w:p>
            <w:pPr>
              <w:spacing w:line="240" w:lineRule="auto"/>
              <w:rPr>
                <w:sz w:val="24"/>
                <w:szCs w:val="24"/>
              </w:rPr>
            </w:pPr>
            <w:r>
              <w:rPr>
                <w:sz w:val="24"/>
                <w:szCs w:val="24"/>
              </w:rPr>
              <w:t>23/11/22</w:t>
            </w:r>
          </w:p>
        </w:tc>
        <w:tc>
          <w:tcPr>
            <w:tcW w:w="800" w:type="dxa"/>
            <w:vAlign w:val="center"/>
          </w:tcPr>
          <w:p>
            <w:pPr>
              <w:spacing w:line="240" w:lineRule="auto"/>
              <w:rPr>
                <w:sz w:val="24"/>
                <w:szCs w:val="24"/>
              </w:rPr>
            </w:pPr>
            <w:r>
              <w:rPr>
                <w:sz w:val="24"/>
                <w:szCs w:val="24"/>
              </w:rPr>
              <w:t>Video- call</w:t>
            </w:r>
          </w:p>
        </w:tc>
        <w:tc>
          <w:tcPr>
            <w:tcW w:w="4540" w:type="dxa"/>
            <w:vAlign w:val="center"/>
          </w:tcPr>
          <w:p>
            <w:pPr>
              <w:numPr>
                <w:ilvl w:val="0"/>
                <w:numId w:val="15"/>
              </w:numPr>
              <w:spacing w:line="240" w:lineRule="auto"/>
              <w:rPr>
                <w:sz w:val="24"/>
                <w:szCs w:val="24"/>
              </w:rPr>
            </w:pPr>
            <w:r>
              <w:rPr>
                <w:sz w:val="24"/>
                <w:szCs w:val="24"/>
              </w:rPr>
              <w:t>AW to send presentation of results to KJ</w:t>
            </w:r>
          </w:p>
        </w:tc>
        <w:tc>
          <w:tcPr>
            <w:tcW w:w="880" w:type="dxa"/>
            <w:vAlign w:val="center"/>
          </w:tcPr>
          <w:p>
            <w:pPr>
              <w:spacing w:line="240" w:lineRule="auto"/>
              <w:rPr>
                <w:sz w:val="24"/>
                <w:szCs w:val="24"/>
              </w:rPr>
            </w:pPr>
            <w:r>
              <w:rPr>
                <w:sz w:val="24"/>
                <w:szCs w:val="24"/>
              </w:rPr>
              <w:t>AW</w:t>
            </w:r>
          </w:p>
        </w:tc>
        <w:tc>
          <w:tcPr>
            <w:tcW w:w="980" w:type="dxa"/>
            <w:vAlign w:val="center"/>
          </w:tcPr>
          <w:p>
            <w:pPr>
              <w:spacing w:line="240" w:lineRule="auto"/>
              <w:rPr>
                <w:sz w:val="24"/>
                <w:szCs w:val="24"/>
              </w:rPr>
            </w:pPr>
            <w:r>
              <w:rPr>
                <w:sz w:val="24"/>
                <w:szCs w:val="24"/>
              </w:rPr>
              <w:t>KJ</w:t>
            </w:r>
          </w:p>
        </w:tc>
        <w:tc>
          <w:tcPr>
            <w:tcW w:w="980" w:type="dxa"/>
            <w:vAlign w:val="center"/>
          </w:tcPr>
          <w:p>
            <w:pPr>
              <w:spacing w:line="240" w:lineRule="auto"/>
              <w:rPr>
                <w:sz w:val="24"/>
                <w:szCs w:val="24"/>
              </w:rPr>
            </w:pPr>
            <w:r>
              <w:rPr>
                <w:sz w:val="24"/>
                <w:szCs w:val="24"/>
              </w:rPr>
              <w:t>30 mins</w:t>
            </w:r>
          </w:p>
        </w:tc>
        <w:tc>
          <w:tcPr>
            <w:tcW w:w="1040" w:type="dxa"/>
            <w:vAlign w:val="center"/>
          </w:tcPr>
          <w:p>
            <w:pPr>
              <w:spacing w:line="240" w:lineRule="auto"/>
              <w:rPr>
                <w:sz w:val="24"/>
                <w:szCs w:val="24"/>
              </w:rPr>
            </w:pPr>
            <w:r>
              <w:rPr>
                <w:sz w:val="24"/>
                <w:szCs w:val="24"/>
              </w:rPr>
              <w:t>4hrs</w:t>
            </w:r>
          </w:p>
        </w:tc>
      </w:tr>
      <w:tr>
        <w:trPr>
          <w:cantSplit/>
        </w:trPr>
        <w:tc>
          <w:tcPr>
            <w:tcW w:w="960" w:type="dxa"/>
            <w:vAlign w:val="center"/>
          </w:tcPr>
          <w:p>
            <w:pPr>
              <w:spacing w:line="240" w:lineRule="auto"/>
              <w:rPr>
                <w:sz w:val="24"/>
                <w:szCs w:val="24"/>
              </w:rPr>
            </w:pPr>
            <w:r>
              <w:rPr>
                <w:sz w:val="24"/>
                <w:szCs w:val="24"/>
              </w:rPr>
              <w:t>13/02/23</w:t>
            </w:r>
          </w:p>
        </w:tc>
        <w:tc>
          <w:tcPr>
            <w:tcW w:w="800" w:type="dxa"/>
            <w:vAlign w:val="center"/>
          </w:tcPr>
          <w:p>
            <w:pPr>
              <w:spacing w:line="240" w:lineRule="auto"/>
              <w:rPr>
                <w:sz w:val="24"/>
                <w:szCs w:val="24"/>
              </w:rPr>
            </w:pPr>
            <w:r>
              <w:rPr>
                <w:sz w:val="24"/>
                <w:szCs w:val="24"/>
              </w:rPr>
              <w:t>Video- call</w:t>
            </w:r>
          </w:p>
        </w:tc>
        <w:tc>
          <w:tcPr>
            <w:tcW w:w="4540" w:type="dxa"/>
            <w:vAlign w:val="center"/>
          </w:tcPr>
          <w:p>
            <w:pPr>
              <w:numPr>
                <w:ilvl w:val="0"/>
                <w:numId w:val="35"/>
              </w:numPr>
              <w:spacing w:line="240" w:lineRule="auto"/>
              <w:rPr>
                <w:sz w:val="24"/>
                <w:szCs w:val="24"/>
              </w:rPr>
            </w:pPr>
            <w:r>
              <w:rPr>
                <w:sz w:val="24"/>
                <w:szCs w:val="24"/>
              </w:rPr>
              <w:t>AW to send full first draft by 13th March</w:t>
            </w:r>
          </w:p>
        </w:tc>
        <w:tc>
          <w:tcPr>
            <w:tcW w:w="880" w:type="dxa"/>
            <w:vAlign w:val="center"/>
          </w:tcPr>
          <w:p>
            <w:pPr>
              <w:spacing w:line="240" w:lineRule="auto"/>
              <w:rPr>
                <w:sz w:val="24"/>
                <w:szCs w:val="24"/>
              </w:rPr>
            </w:pPr>
            <w:r>
              <w:rPr>
                <w:sz w:val="24"/>
                <w:szCs w:val="24"/>
              </w:rPr>
              <w:t>AW</w:t>
            </w:r>
          </w:p>
        </w:tc>
        <w:tc>
          <w:tcPr>
            <w:tcW w:w="980" w:type="dxa"/>
            <w:vAlign w:val="center"/>
          </w:tcPr>
          <w:p>
            <w:pPr>
              <w:spacing w:line="240" w:lineRule="auto"/>
              <w:rPr>
                <w:sz w:val="24"/>
                <w:szCs w:val="24"/>
              </w:rPr>
            </w:pPr>
            <w:r>
              <w:rPr>
                <w:sz w:val="24"/>
                <w:szCs w:val="24"/>
              </w:rPr>
              <w:t>KJ</w:t>
            </w:r>
          </w:p>
        </w:tc>
        <w:tc>
          <w:tcPr>
            <w:tcW w:w="980" w:type="dxa"/>
            <w:vAlign w:val="center"/>
          </w:tcPr>
          <w:p>
            <w:pPr>
              <w:spacing w:line="240" w:lineRule="auto"/>
              <w:rPr>
                <w:sz w:val="24"/>
                <w:szCs w:val="24"/>
              </w:rPr>
            </w:pPr>
            <w:r>
              <w:rPr>
                <w:sz w:val="24"/>
                <w:szCs w:val="24"/>
              </w:rPr>
              <w:t>30 mins</w:t>
            </w:r>
          </w:p>
        </w:tc>
        <w:tc>
          <w:tcPr>
            <w:tcW w:w="1040" w:type="dxa"/>
            <w:vAlign w:val="center"/>
          </w:tcPr>
          <w:p>
            <w:pPr>
              <w:spacing w:line="240" w:lineRule="auto"/>
              <w:rPr>
                <w:sz w:val="24"/>
                <w:szCs w:val="24"/>
              </w:rPr>
            </w:pPr>
            <w:r>
              <w:rPr>
                <w:sz w:val="24"/>
                <w:szCs w:val="24"/>
              </w:rPr>
              <w:t>4.5hrs</w:t>
            </w:r>
          </w:p>
        </w:tc>
      </w:tr>
    </w:tbl>
    <w:p>
      <w:pPr>
        <w:spacing w:line="240" w:lineRule="auto"/>
        <w:rPr>
          <w:sz w:val="24"/>
          <w:szCs w:val="24"/>
        </w:rPr>
      </w:pPr>
    </w:p>
    <w:p>
      <w:pPr>
        <w:spacing w:line="240" w:lineRule="auto"/>
        <w:rPr>
          <w:sz w:val="24"/>
          <w:szCs w:val="24"/>
        </w:rPr>
      </w:pPr>
    </w:p>
    <w:p>
      <w:pPr>
        <w:spacing w:line="240" w:lineRule="auto"/>
        <w:rPr>
          <w:sz w:val="24"/>
          <w:szCs w:val="24"/>
        </w:rPr>
      </w:pPr>
    </w:p>
    <w:p>
      <w:pPr>
        <w:spacing w:line="240" w:lineRule="auto"/>
        <w:rPr>
          <w:sz w:val="24"/>
          <w:szCs w:val="24"/>
        </w:rPr>
      </w:pPr>
    </w:p>
    <w:p>
      <w:pPr>
        <w:spacing w:line="240" w:lineRule="auto"/>
        <w:rPr>
          <w:sz w:val="24"/>
          <w:szCs w:val="24"/>
        </w:rPr>
      </w:pPr>
      <w:r>
        <w:rPr>
          <w:sz w:val="24"/>
          <w:szCs w:val="24"/>
        </w:rPr>
        <w:t>Appendix 4-KS4 Questionnaire</w:t>
      </w:r>
    </w:p>
    <w:p>
      <w:pPr>
        <w:rPr>
          <w:color w:val="202124"/>
          <w:highlight w:val="white"/>
        </w:rPr>
      </w:pPr>
      <w:r>
        <w:rPr>
          <w:noProof/>
          <w:color w:val="202124"/>
          <w:highlight w:val="white"/>
          <w:lang w:val="en-GB"/>
        </w:rPr>
        <w:drawing>
          <wp:inline distT="114300" distB="114300" distL="114300" distR="114300">
            <wp:extent cx="5943600" cy="3848100"/>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4"/>
                    <a:srcRect/>
                    <a:stretch>
                      <a:fillRect/>
                    </a:stretch>
                  </pic:blipFill>
                  <pic:spPr>
                    <a:xfrm>
                      <a:off x="0" y="0"/>
                      <a:ext cx="5943600" cy="3848100"/>
                    </a:xfrm>
                    <a:prstGeom prst="rect">
                      <a:avLst/>
                    </a:prstGeom>
                    <a:ln/>
                  </pic:spPr>
                </pic:pic>
              </a:graphicData>
            </a:graphic>
          </wp:inline>
        </w:drawing>
      </w:r>
      <w:r>
        <w:rPr>
          <w:noProof/>
          <w:color w:val="202124"/>
          <w:highlight w:val="white"/>
          <w:lang w:val="en-GB"/>
        </w:rPr>
        <w:drawing>
          <wp:inline distT="114300" distB="114300" distL="114300" distR="114300">
            <wp:extent cx="5943600" cy="5448300"/>
            <wp:effectExtent l="0" t="0" r="0" b="0"/>
            <wp:docPr id="31"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5"/>
                    <a:srcRect/>
                    <a:stretch>
                      <a:fillRect/>
                    </a:stretch>
                  </pic:blipFill>
                  <pic:spPr>
                    <a:xfrm>
                      <a:off x="0" y="0"/>
                      <a:ext cx="5943600" cy="5448300"/>
                    </a:xfrm>
                    <a:prstGeom prst="rect">
                      <a:avLst/>
                    </a:prstGeom>
                    <a:ln/>
                  </pic:spPr>
                </pic:pic>
              </a:graphicData>
            </a:graphic>
          </wp:inline>
        </w:drawing>
      </w:r>
      <w:r>
        <w:rPr>
          <w:noProof/>
          <w:color w:val="202124"/>
          <w:highlight w:val="white"/>
          <w:lang w:val="en-GB"/>
        </w:rPr>
        <w:drawing>
          <wp:inline distT="114300" distB="114300" distL="114300" distR="114300">
            <wp:extent cx="5943600" cy="5854700"/>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6"/>
                    <a:srcRect/>
                    <a:stretch>
                      <a:fillRect/>
                    </a:stretch>
                  </pic:blipFill>
                  <pic:spPr>
                    <a:xfrm>
                      <a:off x="0" y="0"/>
                      <a:ext cx="5943600" cy="5854700"/>
                    </a:xfrm>
                    <a:prstGeom prst="rect">
                      <a:avLst/>
                    </a:prstGeom>
                    <a:ln/>
                  </pic:spPr>
                </pic:pic>
              </a:graphicData>
            </a:graphic>
          </wp:inline>
        </w:drawing>
      </w:r>
      <w:r>
        <w:rPr>
          <w:noProof/>
          <w:color w:val="202124"/>
          <w:highlight w:val="white"/>
          <w:lang w:val="en-GB"/>
        </w:rPr>
        <w:drawing>
          <wp:inline distT="114300" distB="114300" distL="114300" distR="114300">
            <wp:extent cx="5943600" cy="5346700"/>
            <wp:effectExtent l="0" t="0" r="0" b="0"/>
            <wp:docPr id="2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7"/>
                    <a:srcRect/>
                    <a:stretch>
                      <a:fillRect/>
                    </a:stretch>
                  </pic:blipFill>
                  <pic:spPr>
                    <a:xfrm>
                      <a:off x="0" y="0"/>
                      <a:ext cx="5943600" cy="5346700"/>
                    </a:xfrm>
                    <a:prstGeom prst="rect">
                      <a:avLst/>
                    </a:prstGeom>
                    <a:ln/>
                  </pic:spPr>
                </pic:pic>
              </a:graphicData>
            </a:graphic>
          </wp:inline>
        </w:drawing>
      </w:r>
      <w:r>
        <w:rPr>
          <w:noProof/>
          <w:color w:val="202124"/>
          <w:highlight w:val="white"/>
          <w:lang w:val="en-GB"/>
        </w:rPr>
        <w:drawing>
          <wp:inline distT="114300" distB="114300" distL="114300" distR="114300">
            <wp:extent cx="5943600" cy="3657600"/>
            <wp:effectExtent l="0" t="0" r="0" b="0"/>
            <wp:docPr id="1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8"/>
                    <a:srcRect/>
                    <a:stretch>
                      <a:fillRect/>
                    </a:stretch>
                  </pic:blipFill>
                  <pic:spPr>
                    <a:xfrm>
                      <a:off x="0" y="0"/>
                      <a:ext cx="5943600" cy="3657600"/>
                    </a:xfrm>
                    <a:prstGeom prst="rect">
                      <a:avLst/>
                    </a:prstGeom>
                    <a:ln/>
                  </pic:spPr>
                </pic:pic>
              </a:graphicData>
            </a:graphic>
          </wp:inline>
        </w:drawing>
      </w:r>
      <w:r>
        <w:rPr>
          <w:noProof/>
          <w:color w:val="202124"/>
          <w:highlight w:val="white"/>
          <w:lang w:val="en-GB"/>
        </w:rPr>
        <w:drawing>
          <wp:inline distT="114300" distB="114300" distL="114300" distR="114300">
            <wp:extent cx="5943600" cy="6616700"/>
            <wp:effectExtent l="0" t="0" r="0" b="0"/>
            <wp:docPr id="30"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9"/>
                    <a:srcRect/>
                    <a:stretch>
                      <a:fillRect/>
                    </a:stretch>
                  </pic:blipFill>
                  <pic:spPr>
                    <a:xfrm>
                      <a:off x="0" y="0"/>
                      <a:ext cx="5943600" cy="6616700"/>
                    </a:xfrm>
                    <a:prstGeom prst="rect">
                      <a:avLst/>
                    </a:prstGeom>
                    <a:ln/>
                  </pic:spPr>
                </pic:pic>
              </a:graphicData>
            </a:graphic>
          </wp:inline>
        </w:drawing>
      </w:r>
      <w:r>
        <w:rPr>
          <w:noProof/>
          <w:color w:val="202124"/>
          <w:highlight w:val="white"/>
          <w:lang w:val="en-GB"/>
        </w:rPr>
        <w:drawing>
          <wp:inline distT="114300" distB="114300" distL="114300" distR="114300">
            <wp:extent cx="5943600" cy="5105400"/>
            <wp:effectExtent l="0" t="0" r="0" b="0"/>
            <wp:docPr id="25"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40"/>
                    <a:srcRect/>
                    <a:stretch>
                      <a:fillRect/>
                    </a:stretch>
                  </pic:blipFill>
                  <pic:spPr>
                    <a:xfrm>
                      <a:off x="0" y="0"/>
                      <a:ext cx="5943600" cy="5105400"/>
                    </a:xfrm>
                    <a:prstGeom prst="rect">
                      <a:avLst/>
                    </a:prstGeom>
                    <a:ln/>
                  </pic:spPr>
                </pic:pic>
              </a:graphicData>
            </a:graphic>
          </wp:inline>
        </w:drawing>
      </w:r>
      <w:r>
        <w:rPr>
          <w:noProof/>
          <w:color w:val="202124"/>
          <w:highlight w:val="white"/>
          <w:lang w:val="en-GB"/>
        </w:rPr>
        <w:drawing>
          <wp:inline distT="114300" distB="114300" distL="114300" distR="114300">
            <wp:extent cx="5943600" cy="3492500"/>
            <wp:effectExtent l="0" t="0" r="0" b="0"/>
            <wp:docPr id="2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41"/>
                    <a:srcRect/>
                    <a:stretch>
                      <a:fillRect/>
                    </a:stretch>
                  </pic:blipFill>
                  <pic:spPr>
                    <a:xfrm>
                      <a:off x="0" y="0"/>
                      <a:ext cx="5943600" cy="3492500"/>
                    </a:xfrm>
                    <a:prstGeom prst="rect">
                      <a:avLst/>
                    </a:prstGeom>
                    <a:ln/>
                  </pic:spPr>
                </pic:pic>
              </a:graphicData>
            </a:graphic>
          </wp:inline>
        </w:drawing>
      </w:r>
      <w:r>
        <w:rPr>
          <w:noProof/>
          <w:color w:val="202124"/>
          <w:highlight w:val="white"/>
          <w:lang w:val="en-GB"/>
        </w:rPr>
        <w:drawing>
          <wp:inline distT="114300" distB="114300" distL="114300" distR="114300">
            <wp:extent cx="5943600" cy="5791200"/>
            <wp:effectExtent l="0" t="0" r="0" b="0"/>
            <wp:docPr id="1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42"/>
                    <a:srcRect/>
                    <a:stretch>
                      <a:fillRect/>
                    </a:stretch>
                  </pic:blipFill>
                  <pic:spPr>
                    <a:xfrm>
                      <a:off x="0" y="0"/>
                      <a:ext cx="5943600" cy="5791200"/>
                    </a:xfrm>
                    <a:prstGeom prst="rect">
                      <a:avLst/>
                    </a:prstGeom>
                    <a:ln/>
                  </pic:spPr>
                </pic:pic>
              </a:graphicData>
            </a:graphic>
          </wp:inline>
        </w:drawing>
      </w:r>
      <w:r>
        <w:rPr>
          <w:noProof/>
          <w:color w:val="202124"/>
          <w:highlight w:val="white"/>
          <w:lang w:val="en-GB"/>
        </w:rPr>
        <w:drawing>
          <wp:inline distT="114300" distB="114300" distL="114300" distR="114300">
            <wp:extent cx="5943600" cy="5892800"/>
            <wp:effectExtent l="0" t="0" r="0" b="0"/>
            <wp:docPr id="1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43"/>
                    <a:srcRect/>
                    <a:stretch>
                      <a:fillRect/>
                    </a:stretch>
                  </pic:blipFill>
                  <pic:spPr>
                    <a:xfrm>
                      <a:off x="0" y="0"/>
                      <a:ext cx="5943600" cy="5892800"/>
                    </a:xfrm>
                    <a:prstGeom prst="rect">
                      <a:avLst/>
                    </a:prstGeom>
                    <a:ln/>
                  </pic:spPr>
                </pic:pic>
              </a:graphicData>
            </a:graphic>
          </wp:inline>
        </w:drawing>
      </w:r>
      <w:r>
        <w:rPr>
          <w:noProof/>
          <w:color w:val="202124"/>
          <w:highlight w:val="white"/>
          <w:lang w:val="en-GB"/>
        </w:rPr>
        <w:drawing>
          <wp:inline distT="114300" distB="114300" distL="114300" distR="114300">
            <wp:extent cx="5943600" cy="5016500"/>
            <wp:effectExtent l="0" t="0" r="0" b="0"/>
            <wp:docPr id="2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4"/>
                    <a:srcRect/>
                    <a:stretch>
                      <a:fillRect/>
                    </a:stretch>
                  </pic:blipFill>
                  <pic:spPr>
                    <a:xfrm>
                      <a:off x="0" y="0"/>
                      <a:ext cx="5943600" cy="5016500"/>
                    </a:xfrm>
                    <a:prstGeom prst="rect">
                      <a:avLst/>
                    </a:prstGeom>
                    <a:ln/>
                  </pic:spPr>
                </pic:pic>
              </a:graphicData>
            </a:graphic>
          </wp:inline>
        </w:drawing>
      </w:r>
      <w:r>
        <w:rPr>
          <w:noProof/>
          <w:color w:val="202124"/>
          <w:highlight w:val="white"/>
          <w:lang w:val="en-GB"/>
        </w:rPr>
        <w:drawing>
          <wp:inline distT="114300" distB="114300" distL="114300" distR="114300">
            <wp:extent cx="5943600" cy="3390900"/>
            <wp:effectExtent l="0" t="0" r="0" b="0"/>
            <wp:docPr id="27"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45"/>
                    <a:srcRect/>
                    <a:stretch>
                      <a:fillRect/>
                    </a:stretch>
                  </pic:blipFill>
                  <pic:spPr>
                    <a:xfrm>
                      <a:off x="0" y="0"/>
                      <a:ext cx="5943600" cy="3390900"/>
                    </a:xfrm>
                    <a:prstGeom prst="rect">
                      <a:avLst/>
                    </a:prstGeom>
                    <a:ln/>
                  </pic:spPr>
                </pic:pic>
              </a:graphicData>
            </a:graphic>
          </wp:inline>
        </w:drawing>
      </w:r>
      <w:r>
        <w:rPr>
          <w:noProof/>
          <w:color w:val="202124"/>
          <w:highlight w:val="white"/>
          <w:lang w:val="en-GB"/>
        </w:rPr>
        <w:drawing>
          <wp:inline distT="114300" distB="114300" distL="114300" distR="114300">
            <wp:extent cx="5943600" cy="1727200"/>
            <wp:effectExtent l="0" t="0" r="0" b="0"/>
            <wp:docPr id="32"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46"/>
                    <a:srcRect/>
                    <a:stretch>
                      <a:fillRect/>
                    </a:stretch>
                  </pic:blipFill>
                  <pic:spPr>
                    <a:xfrm>
                      <a:off x="0" y="0"/>
                      <a:ext cx="5943600" cy="1727200"/>
                    </a:xfrm>
                    <a:prstGeom prst="rect">
                      <a:avLst/>
                    </a:prstGeom>
                    <a:ln/>
                  </pic:spPr>
                </pic:pic>
              </a:graphicData>
            </a:graphic>
          </wp:inline>
        </w:drawing>
      </w:r>
    </w:p>
    <w:p>
      <w:pPr>
        <w:rPr>
          <w:color w:val="202124"/>
          <w:highlight w:val="white"/>
        </w:rPr>
      </w:pPr>
    </w:p>
    <w:p>
      <w:pPr>
        <w:rPr>
          <w:color w:val="202124"/>
          <w:highlight w:val="white"/>
        </w:rPr>
      </w:pPr>
    </w:p>
    <w:p>
      <w:pPr>
        <w:rPr>
          <w:color w:val="202124"/>
          <w:highlight w:val="white"/>
        </w:rPr>
      </w:pPr>
    </w:p>
    <w:p>
      <w:pPr>
        <w:rPr>
          <w:color w:val="202124"/>
          <w:highlight w:val="white"/>
        </w:rPr>
      </w:pPr>
    </w:p>
    <w:p>
      <w:pPr>
        <w:rPr>
          <w:color w:val="202124"/>
          <w:highlight w:val="white"/>
        </w:rPr>
      </w:pPr>
    </w:p>
    <w:p>
      <w:pPr>
        <w:rPr>
          <w:color w:val="202124"/>
          <w:highlight w:val="white"/>
        </w:rPr>
      </w:pPr>
    </w:p>
    <w:p>
      <w:pPr>
        <w:rPr>
          <w:color w:val="202124"/>
          <w:highlight w:val="white"/>
        </w:rPr>
      </w:pPr>
    </w:p>
    <w:p>
      <w:pPr>
        <w:rPr>
          <w:color w:val="202124"/>
          <w:highlight w:val="white"/>
        </w:rPr>
      </w:pPr>
    </w:p>
    <w:p>
      <w:pPr>
        <w:rPr>
          <w:color w:val="202124"/>
          <w:highlight w:val="white"/>
        </w:rPr>
      </w:pPr>
    </w:p>
    <w:p>
      <w:pPr>
        <w:rPr>
          <w:color w:val="202124"/>
          <w:highlight w:val="white"/>
        </w:rPr>
      </w:pPr>
    </w:p>
    <w:p>
      <w:pPr>
        <w:rPr>
          <w:color w:val="202124"/>
          <w:highlight w:val="white"/>
        </w:rPr>
      </w:pPr>
    </w:p>
    <w:p>
      <w:pPr>
        <w:rPr>
          <w:color w:val="202124"/>
          <w:highlight w:val="white"/>
        </w:rPr>
      </w:pPr>
    </w:p>
    <w:p>
      <w:pPr>
        <w:rPr>
          <w:color w:val="202124"/>
          <w:highlight w:val="white"/>
        </w:rPr>
      </w:pPr>
    </w:p>
    <w:p>
      <w:pPr>
        <w:rPr>
          <w:color w:val="202124"/>
          <w:highlight w:val="white"/>
        </w:rPr>
      </w:pPr>
      <w:r>
        <w:rPr>
          <w:color w:val="202124"/>
          <w:highlight w:val="white"/>
        </w:rPr>
        <w:t>Appendix 5- KS5 questionnaire</w:t>
      </w:r>
    </w:p>
    <w:p>
      <w:r>
        <w:rPr>
          <w:noProof/>
          <w:lang w:val="en-GB"/>
        </w:rPr>
        <w:drawing>
          <wp:inline distT="114300" distB="114300" distL="114300" distR="114300">
            <wp:extent cx="5943600" cy="4445000"/>
            <wp:effectExtent l="0" t="0" r="0" b="0"/>
            <wp:docPr id="1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47"/>
                    <a:srcRect/>
                    <a:stretch>
                      <a:fillRect/>
                    </a:stretch>
                  </pic:blipFill>
                  <pic:spPr>
                    <a:xfrm>
                      <a:off x="0" y="0"/>
                      <a:ext cx="5943600" cy="4445000"/>
                    </a:xfrm>
                    <a:prstGeom prst="rect">
                      <a:avLst/>
                    </a:prstGeom>
                    <a:ln/>
                  </pic:spPr>
                </pic:pic>
              </a:graphicData>
            </a:graphic>
          </wp:inline>
        </w:drawing>
      </w:r>
      <w:r>
        <w:rPr>
          <w:noProof/>
          <w:lang w:val="en-GB"/>
        </w:rPr>
        <w:drawing>
          <wp:inline distT="114300" distB="114300" distL="114300" distR="114300">
            <wp:extent cx="5857875" cy="6648450"/>
            <wp:effectExtent l="0" t="0" r="0" b="0"/>
            <wp:docPr id="29"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48"/>
                    <a:srcRect/>
                    <a:stretch>
                      <a:fillRect/>
                    </a:stretch>
                  </pic:blipFill>
                  <pic:spPr>
                    <a:xfrm>
                      <a:off x="0" y="0"/>
                      <a:ext cx="5857875" cy="6648450"/>
                    </a:xfrm>
                    <a:prstGeom prst="rect">
                      <a:avLst/>
                    </a:prstGeom>
                    <a:ln/>
                  </pic:spPr>
                </pic:pic>
              </a:graphicData>
            </a:graphic>
          </wp:inline>
        </w:drawing>
      </w:r>
      <w:r>
        <w:rPr>
          <w:noProof/>
          <w:lang w:val="en-GB"/>
        </w:rPr>
        <w:drawing>
          <wp:inline distT="114300" distB="114300" distL="114300" distR="114300">
            <wp:extent cx="4495800" cy="6686550"/>
            <wp:effectExtent l="0" t="0" r="0" b="0"/>
            <wp:docPr id="33"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49"/>
                    <a:srcRect/>
                    <a:stretch>
                      <a:fillRect/>
                    </a:stretch>
                  </pic:blipFill>
                  <pic:spPr>
                    <a:xfrm>
                      <a:off x="0" y="0"/>
                      <a:ext cx="4495800" cy="6686550"/>
                    </a:xfrm>
                    <a:prstGeom prst="rect">
                      <a:avLst/>
                    </a:prstGeom>
                    <a:ln/>
                  </pic:spPr>
                </pic:pic>
              </a:graphicData>
            </a:graphic>
          </wp:inline>
        </w:drawing>
      </w:r>
      <w:r>
        <w:rPr>
          <w:noProof/>
          <w:lang w:val="en-GB"/>
        </w:rPr>
        <w:drawing>
          <wp:inline distT="114300" distB="114300" distL="114300" distR="114300">
            <wp:extent cx="2867025" cy="2867025"/>
            <wp:effectExtent l="0" t="0" r="0" b="0"/>
            <wp:docPr id="1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50"/>
                    <a:srcRect/>
                    <a:stretch>
                      <a:fillRect/>
                    </a:stretch>
                  </pic:blipFill>
                  <pic:spPr>
                    <a:xfrm>
                      <a:off x="0" y="0"/>
                      <a:ext cx="2867025" cy="2867025"/>
                    </a:xfrm>
                    <a:prstGeom prst="rect">
                      <a:avLst/>
                    </a:prstGeom>
                    <a:ln/>
                  </pic:spPr>
                </pic:pic>
              </a:graphicData>
            </a:graphic>
          </wp:inline>
        </w:drawing>
      </w:r>
      <w:r>
        <w:rPr>
          <w:noProof/>
          <w:lang w:val="en-GB"/>
        </w:rPr>
        <w:drawing>
          <wp:inline distT="114300" distB="114300" distL="114300" distR="114300">
            <wp:extent cx="5943600" cy="3505200"/>
            <wp:effectExtent l="0" t="0" r="0" b="0"/>
            <wp:docPr id="2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51"/>
                    <a:srcRect/>
                    <a:stretch>
                      <a:fillRect/>
                    </a:stretch>
                  </pic:blipFill>
                  <pic:spPr>
                    <a:xfrm>
                      <a:off x="0" y="0"/>
                      <a:ext cx="5943600" cy="3505200"/>
                    </a:xfrm>
                    <a:prstGeom prst="rect">
                      <a:avLst/>
                    </a:prstGeom>
                    <a:ln/>
                  </pic:spPr>
                </pic:pic>
              </a:graphicData>
            </a:graphic>
          </wp:inline>
        </w:drawing>
      </w:r>
      <w:r>
        <w:rPr>
          <w:noProof/>
          <w:lang w:val="en-GB"/>
        </w:rPr>
        <w:drawing>
          <wp:inline distT="114300" distB="114300" distL="114300" distR="114300">
            <wp:extent cx="5943600" cy="4902200"/>
            <wp:effectExtent l="0" t="0" r="0" b="0"/>
            <wp:docPr id="2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52"/>
                    <a:srcRect/>
                    <a:stretch>
                      <a:fillRect/>
                    </a:stretch>
                  </pic:blipFill>
                  <pic:spPr>
                    <a:xfrm>
                      <a:off x="0" y="0"/>
                      <a:ext cx="5943600" cy="4902200"/>
                    </a:xfrm>
                    <a:prstGeom prst="rect">
                      <a:avLst/>
                    </a:prstGeom>
                    <a:ln/>
                  </pic:spPr>
                </pic:pic>
              </a:graphicData>
            </a:graphic>
          </wp:inline>
        </w:drawing>
      </w:r>
      <w:r>
        <w:rPr>
          <w:noProof/>
          <w:lang w:val="en-GB"/>
        </w:rPr>
        <w:drawing>
          <wp:inline distT="114300" distB="114300" distL="114300" distR="114300">
            <wp:extent cx="5943600" cy="5054600"/>
            <wp:effectExtent l="0" t="0" r="0" b="0"/>
            <wp:docPr id="1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53"/>
                    <a:srcRect/>
                    <a:stretch>
                      <a:fillRect/>
                    </a:stretch>
                  </pic:blipFill>
                  <pic:spPr>
                    <a:xfrm>
                      <a:off x="0" y="0"/>
                      <a:ext cx="5943600" cy="5054600"/>
                    </a:xfrm>
                    <a:prstGeom prst="rect">
                      <a:avLst/>
                    </a:prstGeom>
                    <a:ln/>
                  </pic:spPr>
                </pic:pic>
              </a:graphicData>
            </a:graphic>
          </wp:inline>
        </w:drawing>
      </w:r>
      <w:r>
        <w:rPr>
          <w:noProof/>
          <w:lang w:val="en-GB"/>
        </w:rPr>
        <w:drawing>
          <wp:inline distT="114300" distB="114300" distL="114300" distR="114300">
            <wp:extent cx="5943600" cy="3314700"/>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54"/>
                    <a:srcRect/>
                    <a:stretch>
                      <a:fillRect/>
                    </a:stretch>
                  </pic:blipFill>
                  <pic:spPr>
                    <a:xfrm>
                      <a:off x="0" y="0"/>
                      <a:ext cx="5943600" cy="3314700"/>
                    </a:xfrm>
                    <a:prstGeom prst="rect">
                      <a:avLst/>
                    </a:prstGeom>
                    <a:ln/>
                  </pic:spPr>
                </pic:pic>
              </a:graphicData>
            </a:graphic>
          </wp:inline>
        </w:drawing>
      </w:r>
      <w:r>
        <w:rPr>
          <w:noProof/>
          <w:lang w:val="en-GB"/>
        </w:rPr>
        <w:drawing>
          <wp:inline distT="114300" distB="114300" distL="114300" distR="114300">
            <wp:extent cx="5943600" cy="4178300"/>
            <wp:effectExtent l="0" t="0" r="0" b="0"/>
            <wp:docPr id="2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5"/>
                    <a:srcRect/>
                    <a:stretch>
                      <a:fillRect/>
                    </a:stretch>
                  </pic:blipFill>
                  <pic:spPr>
                    <a:xfrm>
                      <a:off x="0" y="0"/>
                      <a:ext cx="5943600" cy="4178300"/>
                    </a:xfrm>
                    <a:prstGeom prst="rect">
                      <a:avLst/>
                    </a:prstGeom>
                    <a:ln/>
                  </pic:spPr>
                </pic:pic>
              </a:graphicData>
            </a:graphic>
          </wp:inline>
        </w:drawing>
      </w:r>
    </w:p>
    <w:p>
      <w:pPr>
        <w:rPr>
          <w:sz w:val="28"/>
          <w:szCs w:val="28"/>
        </w:rPr>
      </w:pPr>
      <w:r>
        <w:rPr>
          <w:sz w:val="28"/>
          <w:szCs w:val="28"/>
        </w:rPr>
        <w:t>Appendix 6- KS4 Focus group questions</w:t>
      </w:r>
    </w:p>
    <w:p>
      <w:pPr>
        <w:rPr>
          <w:sz w:val="28"/>
          <w:szCs w:val="28"/>
        </w:rPr>
      </w:pPr>
    </w:p>
    <w:p>
      <w:pPr>
        <w:numPr>
          <w:ilvl w:val="0"/>
          <w:numId w:val="31"/>
        </w:numPr>
        <w:rPr>
          <w:sz w:val="28"/>
          <w:szCs w:val="28"/>
        </w:rPr>
      </w:pPr>
      <w:r>
        <w:rPr>
          <w:sz w:val="28"/>
          <w:szCs w:val="28"/>
        </w:rPr>
        <w:t xml:space="preserve">What factors would you consider when choosing whether or not to study Biology A Level? You may discuss positive and negative factors. </w:t>
      </w:r>
    </w:p>
    <w:p>
      <w:pPr>
        <w:numPr>
          <w:ilvl w:val="0"/>
          <w:numId w:val="31"/>
        </w:numPr>
        <w:rPr>
          <w:sz w:val="28"/>
          <w:szCs w:val="28"/>
        </w:rPr>
      </w:pPr>
      <w:r>
        <w:rPr>
          <w:sz w:val="28"/>
          <w:szCs w:val="28"/>
        </w:rPr>
        <w:t xml:space="preserve">What factors would you consider when choosing whether or not to study Chemistry A Level? You may discuss positive and negative factors. </w:t>
      </w:r>
    </w:p>
    <w:p>
      <w:pPr>
        <w:numPr>
          <w:ilvl w:val="0"/>
          <w:numId w:val="31"/>
        </w:numPr>
        <w:rPr>
          <w:sz w:val="28"/>
          <w:szCs w:val="28"/>
        </w:rPr>
      </w:pPr>
      <w:r>
        <w:rPr>
          <w:sz w:val="28"/>
          <w:szCs w:val="28"/>
        </w:rPr>
        <w:t xml:space="preserve">What factors would you consider when choosing whether or not to study Physics A Level? You may discuss positive and negative factors. </w:t>
      </w:r>
    </w:p>
    <w:p>
      <w:pPr>
        <w:numPr>
          <w:ilvl w:val="0"/>
          <w:numId w:val="31"/>
        </w:numPr>
        <w:rPr>
          <w:sz w:val="28"/>
          <w:szCs w:val="28"/>
        </w:rPr>
      </w:pPr>
      <w:r>
        <w:rPr>
          <w:sz w:val="28"/>
          <w:szCs w:val="28"/>
        </w:rPr>
        <w:t>In what way, if at all, might your parents or guardians influence which A Levels you will choose?</w:t>
      </w:r>
    </w:p>
    <w:p>
      <w:pPr>
        <w:numPr>
          <w:ilvl w:val="0"/>
          <w:numId w:val="31"/>
        </w:numPr>
        <w:rPr>
          <w:sz w:val="28"/>
          <w:szCs w:val="28"/>
        </w:rPr>
      </w:pPr>
      <w:r>
        <w:rPr>
          <w:sz w:val="28"/>
          <w:szCs w:val="28"/>
        </w:rPr>
        <w:t>In what way, if at all, might your teachers influence which A Levels you will choose?</w:t>
      </w:r>
    </w:p>
    <w:p>
      <w:pPr>
        <w:numPr>
          <w:ilvl w:val="0"/>
          <w:numId w:val="31"/>
        </w:numPr>
        <w:rPr>
          <w:sz w:val="28"/>
          <w:szCs w:val="28"/>
        </w:rPr>
      </w:pPr>
      <w:r>
        <w:rPr>
          <w:sz w:val="28"/>
          <w:szCs w:val="28"/>
        </w:rPr>
        <w:t xml:space="preserve">How would you rate your ability in each of the three sciences: biology; chemistry and physics? You do not have to provide a numerical rate but you can if you wish. </w:t>
      </w:r>
    </w:p>
    <w:p>
      <w:pPr>
        <w:numPr>
          <w:ilvl w:val="0"/>
          <w:numId w:val="31"/>
        </w:numPr>
        <w:rPr>
          <w:sz w:val="28"/>
          <w:szCs w:val="28"/>
        </w:rPr>
      </w:pPr>
      <w:r>
        <w:rPr>
          <w:sz w:val="28"/>
          <w:szCs w:val="28"/>
        </w:rPr>
        <w:t>Is there anything else you would like to add?</w:t>
      </w:r>
    </w:p>
    <w:p>
      <w:pPr>
        <w:rPr>
          <w:sz w:val="28"/>
          <w:szCs w:val="28"/>
        </w:rPr>
      </w:pPr>
    </w:p>
    <w:p>
      <w:pPr>
        <w:rPr>
          <w:sz w:val="28"/>
          <w:szCs w:val="28"/>
        </w:rPr>
      </w:pPr>
    </w:p>
    <w:p>
      <w:pPr>
        <w:rPr>
          <w:sz w:val="28"/>
          <w:szCs w:val="28"/>
        </w:rPr>
      </w:pPr>
      <w:r>
        <w:rPr>
          <w:sz w:val="28"/>
          <w:szCs w:val="28"/>
        </w:rPr>
        <w:t>Appendix 7- KS5 Focus group questions</w:t>
      </w:r>
    </w:p>
    <w:p>
      <w:pPr>
        <w:rPr>
          <w:sz w:val="28"/>
          <w:szCs w:val="28"/>
        </w:rPr>
      </w:pPr>
    </w:p>
    <w:p>
      <w:pPr>
        <w:numPr>
          <w:ilvl w:val="0"/>
          <w:numId w:val="5"/>
        </w:numPr>
        <w:rPr>
          <w:sz w:val="28"/>
          <w:szCs w:val="28"/>
        </w:rPr>
      </w:pPr>
      <w:r>
        <w:rPr>
          <w:sz w:val="28"/>
          <w:szCs w:val="28"/>
        </w:rPr>
        <w:t xml:space="preserve">What factors did you consider when choosing whether or not to study Biology A Level? You may discuss positive and negative factors. </w:t>
      </w:r>
    </w:p>
    <w:p>
      <w:pPr>
        <w:numPr>
          <w:ilvl w:val="0"/>
          <w:numId w:val="5"/>
        </w:numPr>
        <w:rPr>
          <w:sz w:val="28"/>
          <w:szCs w:val="28"/>
        </w:rPr>
      </w:pPr>
      <w:r>
        <w:rPr>
          <w:sz w:val="28"/>
          <w:szCs w:val="28"/>
        </w:rPr>
        <w:t xml:space="preserve">What factors did you consider when choosing whether or not to study Chemistry A Level? You may discuss positive and negative factors. </w:t>
      </w:r>
    </w:p>
    <w:p>
      <w:pPr>
        <w:numPr>
          <w:ilvl w:val="0"/>
          <w:numId w:val="5"/>
        </w:numPr>
        <w:rPr>
          <w:sz w:val="28"/>
          <w:szCs w:val="28"/>
        </w:rPr>
      </w:pPr>
      <w:r>
        <w:rPr>
          <w:sz w:val="28"/>
          <w:szCs w:val="28"/>
        </w:rPr>
        <w:t xml:space="preserve">What factors did you consider when choosing whether or not to study Physics A Level? You may discuss positive and negative factors. </w:t>
      </w:r>
    </w:p>
    <w:p>
      <w:pPr>
        <w:numPr>
          <w:ilvl w:val="0"/>
          <w:numId w:val="5"/>
        </w:numPr>
        <w:rPr>
          <w:sz w:val="28"/>
          <w:szCs w:val="28"/>
        </w:rPr>
      </w:pPr>
      <w:r>
        <w:rPr>
          <w:sz w:val="28"/>
          <w:szCs w:val="28"/>
        </w:rPr>
        <w:t>In what way, if at all, did your parents or guardians influence which A Levels you have chosen?</w:t>
      </w:r>
    </w:p>
    <w:p>
      <w:pPr>
        <w:numPr>
          <w:ilvl w:val="0"/>
          <w:numId w:val="5"/>
        </w:numPr>
        <w:rPr>
          <w:sz w:val="28"/>
          <w:szCs w:val="28"/>
        </w:rPr>
      </w:pPr>
      <w:r>
        <w:rPr>
          <w:sz w:val="28"/>
          <w:szCs w:val="28"/>
        </w:rPr>
        <w:t>In what way, if at all, did your teachers influence which A Levels you have chosen?</w:t>
      </w:r>
    </w:p>
    <w:p>
      <w:pPr>
        <w:numPr>
          <w:ilvl w:val="0"/>
          <w:numId w:val="5"/>
        </w:numPr>
        <w:rPr>
          <w:sz w:val="28"/>
          <w:szCs w:val="28"/>
        </w:rPr>
      </w:pPr>
      <w:r>
        <w:rPr>
          <w:sz w:val="28"/>
          <w:szCs w:val="28"/>
        </w:rPr>
        <w:t xml:space="preserve">How would you rate your ability in each of the three sciences: biology; chemistry and physics? You do not have to provide a numerical rate but you can if you wish. </w:t>
      </w:r>
    </w:p>
    <w:p>
      <w:pPr>
        <w:numPr>
          <w:ilvl w:val="0"/>
          <w:numId w:val="5"/>
        </w:numPr>
        <w:rPr>
          <w:sz w:val="28"/>
          <w:szCs w:val="28"/>
        </w:rPr>
      </w:pPr>
      <w:r>
        <w:rPr>
          <w:sz w:val="28"/>
          <w:szCs w:val="28"/>
        </w:rPr>
        <w:t>Is there anything else you would like to add?</w:t>
      </w:r>
    </w:p>
    <w:p>
      <w:pPr>
        <w:rPr>
          <w:sz w:val="28"/>
          <w:szCs w:val="28"/>
        </w:rPr>
      </w:pPr>
    </w:p>
    <w:p>
      <w:pPr>
        <w:rPr>
          <w:sz w:val="28"/>
          <w:szCs w:val="28"/>
        </w:rPr>
      </w:pPr>
    </w:p>
    <w:p>
      <w:pPr>
        <w:rPr>
          <w:sz w:val="28"/>
          <w:szCs w:val="28"/>
        </w:rPr>
      </w:pPr>
      <w:r>
        <w:rPr>
          <w:sz w:val="28"/>
          <w:szCs w:val="28"/>
        </w:rPr>
        <w:t>Appendix 8- Questionnaire consent forms</w:t>
      </w:r>
    </w:p>
    <w:p>
      <w:pPr>
        <w:rPr>
          <w:sz w:val="28"/>
          <w:szCs w:val="28"/>
        </w:rPr>
      </w:pPr>
    </w:p>
    <w:p>
      <w:pPr>
        <w:spacing w:after="160" w:line="259" w:lineRule="auto"/>
        <w:rPr>
          <w:rFonts w:ascii="Calibri" w:eastAsia="Calibri" w:hAnsi="Calibri" w:cs="Calibri"/>
        </w:rPr>
      </w:pPr>
    </w:p>
    <w:p>
      <w:pPr>
        <w:spacing w:after="160" w:line="259" w:lineRule="auto"/>
        <w:rPr>
          <w:rFonts w:ascii="Calibri" w:eastAsia="Calibri" w:hAnsi="Calibri" w:cs="Calibri"/>
        </w:rPr>
      </w:pPr>
      <w:r>
        <w:rPr>
          <w:rFonts w:ascii="Calibri" w:eastAsia="Calibri" w:hAnsi="Calibri" w:cs="Calibri"/>
        </w:rPr>
        <w:t>Dear Parent/Guardian,</w:t>
      </w:r>
    </w:p>
    <w:p>
      <w:pPr>
        <w:spacing w:after="160" w:line="259" w:lineRule="auto"/>
        <w:rPr>
          <w:rFonts w:ascii="Calibri" w:eastAsia="Calibri" w:hAnsi="Calibri" w:cs="Calibri"/>
        </w:rPr>
      </w:pPr>
    </w:p>
    <w:p>
      <w:pPr>
        <w:spacing w:after="160" w:line="259" w:lineRule="auto"/>
        <w:rPr>
          <w:rFonts w:ascii="Calibri" w:eastAsia="Calibri" w:hAnsi="Calibri" w:cs="Calibri"/>
        </w:rPr>
      </w:pPr>
      <w:r>
        <w:rPr>
          <w:rFonts w:ascii="Calibri" w:eastAsia="Calibri" w:hAnsi="Calibri" w:cs="Calibri"/>
        </w:rPr>
        <w:t>I am a Science Teacher at XXXXXXXXXXX  School, and I want to evaluate the uptake of Science subjects at A Level as part of my Masters in Education. Specifically, I want to understand more about the factors that encourage and discourage pupils from studying Biology, Chemistry and Physics at A Level.</w:t>
      </w:r>
    </w:p>
    <w:p>
      <w:pPr>
        <w:spacing w:after="160" w:line="259" w:lineRule="auto"/>
        <w:rPr>
          <w:rFonts w:ascii="Calibri" w:eastAsia="Calibri" w:hAnsi="Calibri" w:cs="Calibri"/>
        </w:rPr>
      </w:pPr>
      <w:r>
        <w:rPr>
          <w:rFonts w:ascii="Calibri" w:eastAsia="Calibri" w:hAnsi="Calibri" w:cs="Calibri"/>
        </w:rPr>
        <w:t>I would like to invite your child to participate in this research. It will involve completing a short online survey, wherein your child will be asked to give their opinion on science in society and their intentions for their post-16 studies.</w:t>
      </w:r>
    </w:p>
    <w:p>
      <w:pPr>
        <w:spacing w:after="160" w:line="259" w:lineRule="auto"/>
        <w:rPr>
          <w:rFonts w:ascii="Calibri" w:eastAsia="Calibri" w:hAnsi="Calibri" w:cs="Calibri"/>
        </w:rPr>
      </w:pPr>
      <w:r>
        <w:rPr>
          <w:rFonts w:ascii="Calibri" w:eastAsia="Calibri" w:hAnsi="Calibri" w:cs="Calibri"/>
        </w:rPr>
        <w:t xml:space="preserve">Your child’s responses will remain confidential and will not be identifiable in the final report. Your child may choose to withdraw from the research at any time during the data collection process. The final report will be available to you upon request. </w:t>
      </w:r>
    </w:p>
    <w:p>
      <w:pPr>
        <w:spacing w:after="160" w:line="259" w:lineRule="auto"/>
        <w:rPr>
          <w:rFonts w:ascii="Calibri" w:eastAsia="Calibri" w:hAnsi="Calibri" w:cs="Calibri"/>
        </w:rPr>
      </w:pPr>
      <w:r>
        <w:rPr>
          <w:rFonts w:ascii="Calibri" w:eastAsia="Calibri" w:hAnsi="Calibri" w:cs="Calibri"/>
          <w:highlight w:val="white"/>
        </w:rPr>
        <w:t>XXXXXXXXXX School is the data controller for any information you provide on this form. We collect the health information of your child to comply with our legal obligations to keep your child safe in our care. We will only use the data for the purposes of ensuring key staff are aware of and able to manage any health conditions your child has. </w:t>
      </w:r>
    </w:p>
    <w:p>
      <w:pPr>
        <w:spacing w:after="160" w:line="259" w:lineRule="auto"/>
        <w:rPr>
          <w:rFonts w:ascii="Calibri" w:eastAsia="Calibri" w:hAnsi="Calibri" w:cs="Calibri"/>
        </w:rPr>
      </w:pPr>
      <w:r>
        <w:rPr>
          <w:rFonts w:ascii="Calibri" w:eastAsia="Calibri" w:hAnsi="Calibri" w:cs="Calibri"/>
        </w:rPr>
        <w:t xml:space="preserve">If you have any questions regarding your child’s involvement in this research, please do not hesitate to contact me using the details above. </w:t>
      </w:r>
    </w:p>
    <w:p>
      <w:pPr>
        <w:spacing w:after="160" w:line="259" w:lineRule="auto"/>
        <w:rPr>
          <w:rFonts w:ascii="Calibri" w:eastAsia="Calibri" w:hAnsi="Calibri" w:cs="Calibri"/>
        </w:rPr>
      </w:pPr>
      <w:r>
        <w:rPr>
          <w:rFonts w:ascii="Calibri" w:eastAsia="Calibri" w:hAnsi="Calibri" w:cs="Calibri"/>
        </w:rPr>
        <w:t xml:space="preserve">If you consent to your child taking part in this research, please sign and return the bottom section of this letter. Thank you in advance for your cooperation. </w:t>
      </w:r>
    </w:p>
    <w:p>
      <w:pPr>
        <w:spacing w:after="160" w:line="259" w:lineRule="auto"/>
        <w:rPr>
          <w:rFonts w:ascii="Calibri" w:eastAsia="Calibri" w:hAnsi="Calibri" w:cs="Calibri"/>
        </w:rPr>
      </w:pPr>
    </w:p>
    <w:p>
      <w:pPr>
        <w:spacing w:after="160" w:line="259" w:lineRule="auto"/>
        <w:rPr>
          <w:rFonts w:ascii="Calibri" w:eastAsia="Calibri" w:hAnsi="Calibri" w:cs="Calibri"/>
        </w:rPr>
      </w:pPr>
      <w:r>
        <w:rPr>
          <w:rFonts w:ascii="Calibri" w:eastAsia="Calibri" w:hAnsi="Calibri" w:cs="Calibri"/>
        </w:rPr>
        <w:t>Yours faithfully</w:t>
      </w:r>
    </w:p>
    <w:p>
      <w:pPr>
        <w:spacing w:after="160" w:line="259" w:lineRule="auto"/>
        <w:rPr>
          <w:rFonts w:ascii="Calibri" w:eastAsia="Calibri" w:hAnsi="Calibri" w:cs="Calibri"/>
        </w:rPr>
      </w:pPr>
      <w:r>
        <w:rPr>
          <w:rFonts w:ascii="Calibri" w:eastAsia="Calibri" w:hAnsi="Calibri" w:cs="Calibri"/>
        </w:rPr>
        <w:t>A. Williams</w:t>
      </w:r>
    </w:p>
    <w:p>
      <w:pPr>
        <w:spacing w:after="160" w:line="259" w:lineRule="auto"/>
        <w:rPr>
          <w:rFonts w:ascii="Calibri" w:eastAsia="Calibri" w:hAnsi="Calibri" w:cs="Calibri"/>
        </w:rPr>
      </w:pPr>
    </w:p>
    <w:p>
      <w:pPr>
        <w:rPr>
          <w:sz w:val="28"/>
          <w:szCs w:val="28"/>
        </w:rPr>
      </w:pPr>
    </w:p>
    <w:p>
      <w:pPr>
        <w:rPr>
          <w:sz w:val="28"/>
          <w:szCs w:val="28"/>
        </w:rPr>
      </w:pPr>
    </w:p>
    <w:p>
      <w:pPr>
        <w:rPr>
          <w:sz w:val="28"/>
          <w:szCs w:val="28"/>
        </w:rPr>
      </w:pPr>
    </w:p>
    <w:p>
      <w:pPr>
        <w:rPr>
          <w:sz w:val="28"/>
          <w:szCs w:val="28"/>
        </w:rPr>
      </w:pPr>
    </w:p>
    <w:p>
      <w:pPr>
        <w:rPr>
          <w:sz w:val="28"/>
          <w:szCs w:val="28"/>
        </w:rPr>
      </w:pPr>
    </w:p>
    <w:p>
      <w:pPr>
        <w:rPr>
          <w:sz w:val="28"/>
          <w:szCs w:val="28"/>
        </w:rPr>
      </w:pPr>
      <w:r>
        <w:rPr>
          <w:sz w:val="28"/>
          <w:szCs w:val="28"/>
        </w:rPr>
        <w:t>Appendix 9- Focus group consent forms</w:t>
      </w:r>
    </w:p>
    <w:p>
      <w:pPr>
        <w:rPr>
          <w:sz w:val="28"/>
          <w:szCs w:val="28"/>
        </w:rPr>
      </w:pPr>
    </w:p>
    <w:p>
      <w:pPr>
        <w:spacing w:after="160" w:line="259" w:lineRule="auto"/>
        <w:rPr>
          <w:rFonts w:ascii="Calibri" w:eastAsia="Calibri" w:hAnsi="Calibri" w:cs="Calibri"/>
        </w:rPr>
      </w:pPr>
      <w:r>
        <w:rPr>
          <w:rFonts w:ascii="Calibri" w:eastAsia="Calibri" w:hAnsi="Calibri" w:cs="Calibri"/>
        </w:rPr>
        <w:t>Dear Parent/Guardian,</w:t>
      </w:r>
    </w:p>
    <w:p>
      <w:pPr>
        <w:spacing w:after="160" w:line="259" w:lineRule="auto"/>
        <w:rPr>
          <w:rFonts w:ascii="Calibri" w:eastAsia="Calibri" w:hAnsi="Calibri" w:cs="Calibri"/>
        </w:rPr>
      </w:pPr>
    </w:p>
    <w:p>
      <w:pPr>
        <w:spacing w:after="160" w:line="259" w:lineRule="auto"/>
        <w:rPr>
          <w:rFonts w:ascii="Calibri" w:eastAsia="Calibri" w:hAnsi="Calibri" w:cs="Calibri"/>
        </w:rPr>
      </w:pPr>
      <w:r>
        <w:rPr>
          <w:rFonts w:ascii="Calibri" w:eastAsia="Calibri" w:hAnsi="Calibri" w:cs="Calibri"/>
        </w:rPr>
        <w:t>I am a Science Teacher at XXXXXXXX School, and I want to evaluate the uptake of Science subjects at A Level as part of my Masters in Education. Specifically, I want to understand more about the factors that encourage and discourage pupils from studying Biology, Chemistry and Physics at A Level.</w:t>
      </w:r>
    </w:p>
    <w:p>
      <w:pPr>
        <w:spacing w:after="160" w:line="259" w:lineRule="auto"/>
        <w:rPr>
          <w:rFonts w:ascii="Calibri" w:eastAsia="Calibri" w:hAnsi="Calibri" w:cs="Calibri"/>
        </w:rPr>
      </w:pPr>
      <w:r>
        <w:rPr>
          <w:rFonts w:ascii="Calibri" w:eastAsia="Calibri" w:hAnsi="Calibri" w:cs="Calibri"/>
        </w:rPr>
        <w:t>I would like to invite your child to participate in this research. It will involve taking part in a focus group wherein your child will be asked to give their opinion on science in society and their intentions for their post-16 studies.</w:t>
      </w:r>
    </w:p>
    <w:p>
      <w:pPr>
        <w:spacing w:after="160" w:line="259" w:lineRule="auto"/>
        <w:rPr>
          <w:rFonts w:ascii="Calibri" w:eastAsia="Calibri" w:hAnsi="Calibri" w:cs="Calibri"/>
        </w:rPr>
      </w:pPr>
      <w:r>
        <w:rPr>
          <w:rFonts w:ascii="Calibri" w:eastAsia="Calibri" w:hAnsi="Calibri" w:cs="Calibri"/>
        </w:rPr>
        <w:t xml:space="preserve">Your child’s responses will remain confidential and will not be identifiable in the final report. Your child may choose to withdraw from the research at any time during the data collection process. The final report will be available to you upon request. </w:t>
      </w:r>
    </w:p>
    <w:p>
      <w:pPr>
        <w:spacing w:after="160" w:line="259" w:lineRule="auto"/>
        <w:rPr>
          <w:rFonts w:ascii="Calibri" w:eastAsia="Calibri" w:hAnsi="Calibri" w:cs="Calibri"/>
        </w:rPr>
      </w:pPr>
      <w:r>
        <w:rPr>
          <w:rFonts w:ascii="Calibri" w:eastAsia="Calibri" w:hAnsi="Calibri" w:cs="Calibri"/>
          <w:highlight w:val="white"/>
        </w:rPr>
        <w:t>XXXXXXXX School is the data controller for any information you provide on this form. We collect the health information of your child to comply with our legal obligations to keep your child safe in our care. We will only use the data for the purposes of ensuring key staff are aware of and able to manage any health conditions your child has. </w:t>
      </w:r>
    </w:p>
    <w:p>
      <w:pPr>
        <w:spacing w:after="160" w:line="259" w:lineRule="auto"/>
        <w:rPr>
          <w:rFonts w:ascii="Calibri" w:eastAsia="Calibri" w:hAnsi="Calibri" w:cs="Calibri"/>
        </w:rPr>
      </w:pPr>
      <w:r>
        <w:rPr>
          <w:rFonts w:ascii="Calibri" w:eastAsia="Calibri" w:hAnsi="Calibri" w:cs="Calibri"/>
        </w:rPr>
        <w:t xml:space="preserve">If you have any questions regarding your child’s involvement in this research, please do not hesitate to contact me using the details above. </w:t>
      </w:r>
    </w:p>
    <w:p>
      <w:pPr>
        <w:spacing w:after="160" w:line="259" w:lineRule="auto"/>
        <w:rPr>
          <w:rFonts w:ascii="Calibri" w:eastAsia="Calibri" w:hAnsi="Calibri" w:cs="Calibri"/>
        </w:rPr>
      </w:pPr>
      <w:r>
        <w:rPr>
          <w:rFonts w:ascii="Calibri" w:eastAsia="Calibri" w:hAnsi="Calibri" w:cs="Calibri"/>
        </w:rPr>
        <w:t xml:space="preserve">If you consent to your child taking part in this research, please sign and return the bottom section of this letter. Thank you in advance for your cooperation. </w:t>
      </w:r>
    </w:p>
    <w:p>
      <w:pPr>
        <w:spacing w:after="160" w:line="259" w:lineRule="auto"/>
        <w:rPr>
          <w:rFonts w:ascii="Calibri" w:eastAsia="Calibri" w:hAnsi="Calibri" w:cs="Calibri"/>
        </w:rPr>
      </w:pPr>
    </w:p>
    <w:p>
      <w:pPr>
        <w:spacing w:after="160" w:line="259" w:lineRule="auto"/>
        <w:rPr>
          <w:rFonts w:ascii="Calibri" w:eastAsia="Calibri" w:hAnsi="Calibri" w:cs="Calibri"/>
        </w:rPr>
      </w:pPr>
      <w:r>
        <w:rPr>
          <w:rFonts w:ascii="Calibri" w:eastAsia="Calibri" w:hAnsi="Calibri" w:cs="Calibri"/>
        </w:rPr>
        <w:t>Yours faithfully</w:t>
      </w:r>
    </w:p>
    <w:p>
      <w:pPr>
        <w:spacing w:after="160" w:line="259" w:lineRule="auto"/>
        <w:rPr>
          <w:rFonts w:ascii="Calibri" w:eastAsia="Calibri" w:hAnsi="Calibri" w:cs="Calibri"/>
        </w:rPr>
      </w:pPr>
      <w:r>
        <w:rPr>
          <w:rFonts w:ascii="Calibri" w:eastAsia="Calibri" w:hAnsi="Calibri" w:cs="Calibri"/>
        </w:rPr>
        <w:t>A. Williams</w:t>
      </w:r>
    </w:p>
    <w:p>
      <w:pPr>
        <w:spacing w:after="160" w:line="259" w:lineRule="auto"/>
        <w:rPr>
          <w:rFonts w:ascii="Calibri" w:eastAsia="Calibri" w:hAnsi="Calibri" w:cs="Calibri"/>
        </w:rPr>
      </w:pPr>
    </w:p>
    <w:p>
      <w:pPr>
        <w:rPr>
          <w:sz w:val="28"/>
          <w:szCs w:val="28"/>
        </w:rPr>
      </w:pPr>
    </w:p>
    <w:sectPr>
      <w:pgSz w:w="12240" w:h="15840"/>
      <w:pgMar w:top="1797" w:right="709" w:bottom="1797" w:left="851" w:header="709" w:footer="709"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pPr>
        <w:spacing w:line="240" w:lineRule="auto"/>
      </w:pPr>
      <w:r>
        <w:separator/>
      </w:r>
    </w:p>
  </w:endnote>
  <w:endnote w:type="continuationSeparator" w:id="0">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pPr>
      <w:jc w:val="right"/>
    </w:pPr>
    <w:r>
      <w:fldChar w:fldCharType="begin"/>
    </w:r>
    <w:r>
      <w:instrText>PAGE</w:instrText>
    </w:r>
    <w:r>
      <w:fldChar w:fldCharType="separate"/>
    </w:r>
    <w:r>
      <w:rPr>
        <w:noProof/>
      </w:rPr>
      <w:t>3</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pPr>
        <w:spacing w:line="240" w:lineRule="auto"/>
      </w:pPr>
      <w:r>
        <w:separator/>
      </w:r>
    </w:p>
  </w:footnote>
  <w:footnote w:type="continuationSeparator" w:id="0">
    <w:p>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1E70E2"/>
    <w:multiLevelType w:val="multilevel"/>
    <w:tmpl w:val="B53C76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7320AA"/>
    <w:multiLevelType w:val="multilevel"/>
    <w:tmpl w:val="7FA20D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336546F"/>
    <w:multiLevelType w:val="multilevel"/>
    <w:tmpl w:val="D1BE21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45151A9"/>
    <w:multiLevelType w:val="multilevel"/>
    <w:tmpl w:val="2E9A5A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65E72BE"/>
    <w:multiLevelType w:val="multilevel"/>
    <w:tmpl w:val="59A8F01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0673143C"/>
    <w:multiLevelType w:val="multilevel"/>
    <w:tmpl w:val="D450C2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076A1DDD"/>
    <w:multiLevelType w:val="multilevel"/>
    <w:tmpl w:val="9A8C5F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089150B5"/>
    <w:multiLevelType w:val="multilevel"/>
    <w:tmpl w:val="CBCC0F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0F153D75"/>
    <w:multiLevelType w:val="multilevel"/>
    <w:tmpl w:val="FFC0FFB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1DC70326"/>
    <w:multiLevelType w:val="multilevel"/>
    <w:tmpl w:val="D43A42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E957EE1"/>
    <w:multiLevelType w:val="multilevel"/>
    <w:tmpl w:val="B8C862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01E537B"/>
    <w:multiLevelType w:val="multilevel"/>
    <w:tmpl w:val="98EC36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4FE57B6"/>
    <w:multiLevelType w:val="multilevel"/>
    <w:tmpl w:val="6514486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25DC2269"/>
    <w:multiLevelType w:val="multilevel"/>
    <w:tmpl w:val="895653C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4" w15:restartNumberingAfterBreak="0">
    <w:nsid w:val="29573793"/>
    <w:multiLevelType w:val="multilevel"/>
    <w:tmpl w:val="9A60E27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15:restartNumberingAfterBreak="0">
    <w:nsid w:val="3177700E"/>
    <w:multiLevelType w:val="multilevel"/>
    <w:tmpl w:val="24B0D3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7FC6BB7"/>
    <w:multiLevelType w:val="multilevel"/>
    <w:tmpl w:val="0EAACD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7" w15:restartNumberingAfterBreak="0">
    <w:nsid w:val="3A0D36AC"/>
    <w:multiLevelType w:val="multilevel"/>
    <w:tmpl w:val="4546079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8" w15:restartNumberingAfterBreak="0">
    <w:nsid w:val="3A7D180F"/>
    <w:multiLevelType w:val="multilevel"/>
    <w:tmpl w:val="6E08B2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3B2F2890"/>
    <w:multiLevelType w:val="multilevel"/>
    <w:tmpl w:val="938280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44EB20A6"/>
    <w:multiLevelType w:val="multilevel"/>
    <w:tmpl w:val="52F4D5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47B07EEB"/>
    <w:multiLevelType w:val="multilevel"/>
    <w:tmpl w:val="84AC42C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2" w15:restartNumberingAfterBreak="0">
    <w:nsid w:val="4E4045B6"/>
    <w:multiLevelType w:val="multilevel"/>
    <w:tmpl w:val="17F43B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575B7BC1"/>
    <w:multiLevelType w:val="multilevel"/>
    <w:tmpl w:val="D17E5A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5C795EE9"/>
    <w:multiLevelType w:val="multilevel"/>
    <w:tmpl w:val="9CF635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605A1FEF"/>
    <w:multiLevelType w:val="multilevel"/>
    <w:tmpl w:val="9C0605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63102CAD"/>
    <w:multiLevelType w:val="multilevel"/>
    <w:tmpl w:val="68F03F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647B190B"/>
    <w:multiLevelType w:val="multilevel"/>
    <w:tmpl w:val="07524F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66D25BE8"/>
    <w:multiLevelType w:val="multilevel"/>
    <w:tmpl w:val="2C4846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69A94EFD"/>
    <w:multiLevelType w:val="multilevel"/>
    <w:tmpl w:val="E5A0B3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6A1563C5"/>
    <w:multiLevelType w:val="multilevel"/>
    <w:tmpl w:val="9AFAF7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1" w15:restartNumberingAfterBreak="0">
    <w:nsid w:val="6AE6582A"/>
    <w:multiLevelType w:val="multilevel"/>
    <w:tmpl w:val="F8AC7F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6DBC19FA"/>
    <w:multiLevelType w:val="multilevel"/>
    <w:tmpl w:val="710E9C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76892821"/>
    <w:multiLevelType w:val="multilevel"/>
    <w:tmpl w:val="66265B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77170D5D"/>
    <w:multiLevelType w:val="multilevel"/>
    <w:tmpl w:val="D99A80D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5" w15:restartNumberingAfterBreak="0">
    <w:nsid w:val="771D60ED"/>
    <w:multiLevelType w:val="multilevel"/>
    <w:tmpl w:val="66FC49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7FA66544"/>
    <w:multiLevelType w:val="multilevel"/>
    <w:tmpl w:val="65443A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6"/>
  </w:num>
  <w:num w:numId="2">
    <w:abstractNumId w:val="35"/>
  </w:num>
  <w:num w:numId="3">
    <w:abstractNumId w:val="18"/>
  </w:num>
  <w:num w:numId="4">
    <w:abstractNumId w:val="3"/>
  </w:num>
  <w:num w:numId="5">
    <w:abstractNumId w:val="4"/>
  </w:num>
  <w:num w:numId="6">
    <w:abstractNumId w:val="1"/>
  </w:num>
  <w:num w:numId="7">
    <w:abstractNumId w:val="25"/>
  </w:num>
  <w:num w:numId="8">
    <w:abstractNumId w:val="31"/>
  </w:num>
  <w:num w:numId="9">
    <w:abstractNumId w:val="8"/>
  </w:num>
  <w:num w:numId="10">
    <w:abstractNumId w:val="12"/>
  </w:num>
  <w:num w:numId="11">
    <w:abstractNumId w:val="26"/>
  </w:num>
  <w:num w:numId="12">
    <w:abstractNumId w:val="34"/>
  </w:num>
  <w:num w:numId="13">
    <w:abstractNumId w:val="5"/>
  </w:num>
  <w:num w:numId="14">
    <w:abstractNumId w:val="32"/>
  </w:num>
  <w:num w:numId="15">
    <w:abstractNumId w:val="29"/>
  </w:num>
  <w:num w:numId="16">
    <w:abstractNumId w:val="27"/>
  </w:num>
  <w:num w:numId="17">
    <w:abstractNumId w:val="10"/>
  </w:num>
  <w:num w:numId="18">
    <w:abstractNumId w:val="21"/>
  </w:num>
  <w:num w:numId="19">
    <w:abstractNumId w:val="36"/>
  </w:num>
  <w:num w:numId="20">
    <w:abstractNumId w:val="19"/>
  </w:num>
  <w:num w:numId="21">
    <w:abstractNumId w:val="17"/>
  </w:num>
  <w:num w:numId="22">
    <w:abstractNumId w:val="11"/>
  </w:num>
  <w:num w:numId="23">
    <w:abstractNumId w:val="9"/>
  </w:num>
  <w:num w:numId="24">
    <w:abstractNumId w:val="6"/>
  </w:num>
  <w:num w:numId="25">
    <w:abstractNumId w:val="13"/>
  </w:num>
  <w:num w:numId="26">
    <w:abstractNumId w:val="22"/>
  </w:num>
  <w:num w:numId="27">
    <w:abstractNumId w:val="2"/>
  </w:num>
  <w:num w:numId="28">
    <w:abstractNumId w:val="30"/>
  </w:num>
  <w:num w:numId="29">
    <w:abstractNumId w:val="20"/>
  </w:num>
  <w:num w:numId="30">
    <w:abstractNumId w:val="0"/>
  </w:num>
  <w:num w:numId="31">
    <w:abstractNumId w:val="14"/>
  </w:num>
  <w:num w:numId="32">
    <w:abstractNumId w:val="28"/>
  </w:num>
  <w:num w:numId="33">
    <w:abstractNumId w:val="15"/>
  </w:num>
  <w:num w:numId="34">
    <w:abstractNumId w:val="33"/>
  </w:num>
  <w:num w:numId="35">
    <w:abstractNumId w:val="23"/>
  </w:num>
  <w:num w:numId="36">
    <w:abstractNumId w:val="7"/>
  </w:num>
  <w:num w:numId="3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67876DD-214A-43BD-9F70-A9E74A822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 w:type="table" w:customStyle="1" w:styleId="af3">
    <w:basedOn w:val="TableNormal"/>
    <w:tblPr>
      <w:tblStyleRowBandSize w:val="1"/>
      <w:tblStyleColBandSize w:val="1"/>
      <w:tblCellMar>
        <w:top w:w="100" w:type="dxa"/>
        <w:left w:w="100" w:type="dxa"/>
        <w:bottom w:w="100" w:type="dxa"/>
        <w:right w:w="100" w:type="dxa"/>
      </w:tblCellMar>
    </w:tblPr>
  </w:style>
  <w:style w:type="table" w:customStyle="1" w:styleId="af4">
    <w:basedOn w:val="TableNormal"/>
    <w:tblPr>
      <w:tblStyleRowBandSize w:val="1"/>
      <w:tblStyleColBandSize w:val="1"/>
      <w:tblCellMar>
        <w:top w:w="100" w:type="dxa"/>
        <w:left w:w="100" w:type="dxa"/>
        <w:bottom w:w="100" w:type="dxa"/>
        <w:right w:w="100" w:type="dxa"/>
      </w:tblCellMar>
    </w:tblPr>
  </w:style>
  <w:style w:type="table" w:customStyle="1" w:styleId="af5">
    <w:basedOn w:val="TableNormal"/>
    <w:tblPr>
      <w:tblStyleRowBandSize w:val="1"/>
      <w:tblStyleColBandSize w:val="1"/>
      <w:tblCellMar>
        <w:top w:w="100" w:type="dxa"/>
        <w:left w:w="100" w:type="dxa"/>
        <w:bottom w:w="100" w:type="dxa"/>
        <w:right w:w="100" w:type="dxa"/>
      </w:tblCellMar>
    </w:tblPr>
  </w:style>
  <w:style w:type="table" w:customStyle="1" w:styleId="af6">
    <w:basedOn w:val="TableNormal"/>
    <w:tblPr>
      <w:tblStyleRowBandSize w:val="1"/>
      <w:tblStyleColBandSize w:val="1"/>
      <w:tblCellMar>
        <w:top w:w="100" w:type="dxa"/>
        <w:left w:w="100" w:type="dxa"/>
        <w:bottom w:w="100" w:type="dxa"/>
        <w:right w:w="100" w:type="dxa"/>
      </w:tblCellMar>
    </w:tblPr>
  </w:style>
  <w:style w:type="table" w:customStyle="1" w:styleId="af7">
    <w:basedOn w:val="TableNormal"/>
    <w:tblPr>
      <w:tblStyleRowBandSize w:val="1"/>
      <w:tblStyleColBandSize w:val="1"/>
      <w:tblCellMar>
        <w:top w:w="100" w:type="dxa"/>
        <w:left w:w="100" w:type="dxa"/>
        <w:bottom w:w="100" w:type="dxa"/>
        <w:right w:w="100" w:type="dxa"/>
      </w:tblCellMar>
    </w:tblPr>
  </w:style>
  <w:style w:type="table" w:customStyle="1" w:styleId="af8">
    <w:basedOn w:val="TableNormal"/>
    <w:tblPr>
      <w:tblStyleRowBandSize w:val="1"/>
      <w:tblStyleColBandSize w:val="1"/>
      <w:tblCellMar>
        <w:top w:w="100" w:type="dxa"/>
        <w:left w:w="100" w:type="dxa"/>
        <w:bottom w:w="100" w:type="dxa"/>
        <w:right w:w="100" w:type="dxa"/>
      </w:tblCellMar>
    </w:tblPr>
  </w:style>
  <w:style w:type="table" w:customStyle="1" w:styleId="af9">
    <w:basedOn w:val="TableNormal"/>
    <w:tblPr>
      <w:tblStyleRowBandSize w:val="1"/>
      <w:tblStyleColBandSize w:val="1"/>
      <w:tblCellMar>
        <w:top w:w="100" w:type="dxa"/>
        <w:left w:w="100" w:type="dxa"/>
        <w:bottom w:w="100" w:type="dxa"/>
        <w:right w:w="100" w:type="dxa"/>
      </w:tblCellMar>
    </w:tblPr>
  </w:style>
  <w:style w:type="table" w:customStyle="1" w:styleId="afa">
    <w:basedOn w:val="TableNormal"/>
    <w:tblPr>
      <w:tblStyleRowBandSize w:val="1"/>
      <w:tblStyleColBandSize w:val="1"/>
      <w:tblCellMar>
        <w:top w:w="100" w:type="dxa"/>
        <w:left w:w="100" w:type="dxa"/>
        <w:bottom w:w="100" w:type="dxa"/>
        <w:right w:w="100" w:type="dxa"/>
      </w:tblCellMar>
    </w:tblPr>
  </w:style>
  <w:style w:type="table" w:customStyle="1" w:styleId="afb">
    <w:basedOn w:val="TableNormal"/>
    <w:tblPr>
      <w:tblStyleRowBandSize w:val="1"/>
      <w:tblStyleColBandSize w:val="1"/>
      <w:tblCellMar>
        <w:top w:w="100" w:type="dxa"/>
        <w:left w:w="100" w:type="dxa"/>
        <w:bottom w:w="100" w:type="dxa"/>
        <w:right w:w="100" w:type="dxa"/>
      </w:tblCellMar>
    </w:tblPr>
  </w:style>
  <w:style w:type="table" w:customStyle="1" w:styleId="afc">
    <w:basedOn w:val="TableNormal"/>
    <w:tblPr>
      <w:tblStyleRowBandSize w:val="1"/>
      <w:tblStyleColBandSize w:val="1"/>
      <w:tblCellMar>
        <w:top w:w="100" w:type="dxa"/>
        <w:left w:w="100" w:type="dxa"/>
        <w:bottom w:w="100" w:type="dxa"/>
        <w:right w:w="100" w:type="dxa"/>
      </w:tblCellMar>
    </w:tblPr>
  </w:style>
  <w:style w:type="table" w:customStyle="1" w:styleId="afd">
    <w:basedOn w:val="TableNormal"/>
    <w:tblPr>
      <w:tblStyleRowBandSize w:val="1"/>
      <w:tblStyleColBandSize w:val="1"/>
      <w:tblCellMar>
        <w:top w:w="100" w:type="dxa"/>
        <w:left w:w="100" w:type="dxa"/>
        <w:bottom w:w="100" w:type="dxa"/>
        <w:right w:w="100" w:type="dxa"/>
      </w:tblCellMar>
    </w:tblPr>
  </w:style>
  <w:style w:type="table" w:customStyle="1" w:styleId="afe">
    <w:basedOn w:val="TableNormal"/>
    <w:tblPr>
      <w:tblStyleRowBandSize w:val="1"/>
      <w:tblStyleColBandSize w:val="1"/>
      <w:tblCellMar>
        <w:top w:w="100" w:type="dxa"/>
        <w:left w:w="100" w:type="dxa"/>
        <w:bottom w:w="100" w:type="dxa"/>
        <w:right w:w="100" w:type="dxa"/>
      </w:tblCellMar>
    </w:tblPr>
  </w:style>
  <w:style w:type="table" w:customStyle="1" w:styleId="aff">
    <w:basedOn w:val="TableNormal"/>
    <w:tblPr>
      <w:tblStyleRowBandSize w:val="1"/>
      <w:tblStyleColBandSize w:val="1"/>
      <w:tblCellMar>
        <w:top w:w="100" w:type="dxa"/>
        <w:left w:w="100" w:type="dxa"/>
        <w:bottom w:w="100" w:type="dxa"/>
        <w:right w:w="100" w:type="dxa"/>
      </w:tblCellMar>
    </w:tblPr>
  </w:style>
  <w:style w:type="table" w:customStyle="1" w:styleId="aff0">
    <w:basedOn w:val="TableNormal"/>
    <w:tblPr>
      <w:tblStyleRowBandSize w:val="1"/>
      <w:tblStyleColBandSize w:val="1"/>
      <w:tblCellMar>
        <w:top w:w="100" w:type="dxa"/>
        <w:left w:w="100" w:type="dxa"/>
        <w:bottom w:w="100" w:type="dxa"/>
        <w:right w:w="100" w:type="dxa"/>
      </w:tblCellMar>
    </w:tblPr>
  </w:style>
  <w:style w:type="table" w:customStyle="1" w:styleId="aff1">
    <w:basedOn w:val="TableNormal"/>
    <w:tblPr>
      <w:tblStyleRowBandSize w:val="1"/>
      <w:tblStyleColBandSize w:val="1"/>
      <w:tblCellMar>
        <w:top w:w="100" w:type="dxa"/>
        <w:left w:w="100" w:type="dxa"/>
        <w:bottom w:w="100" w:type="dxa"/>
        <w:right w:w="100" w:type="dxa"/>
      </w:tblCellMar>
    </w:tblPr>
  </w:style>
  <w:style w:type="table" w:customStyle="1" w:styleId="aff2">
    <w:basedOn w:val="TableNormal"/>
    <w:tblPr>
      <w:tblStyleRowBandSize w:val="1"/>
      <w:tblStyleColBandSize w:val="1"/>
      <w:tblCellMar>
        <w:top w:w="100" w:type="dxa"/>
        <w:left w:w="100" w:type="dxa"/>
        <w:bottom w:w="100" w:type="dxa"/>
        <w:right w:w="100" w:type="dxa"/>
      </w:tblCellMar>
    </w:tblPr>
  </w:style>
  <w:style w:type="table" w:customStyle="1" w:styleId="aff3">
    <w:basedOn w:val="TableNormal"/>
    <w:tblPr>
      <w:tblStyleRowBandSize w:val="1"/>
      <w:tblStyleColBandSize w:val="1"/>
      <w:tblCellMar>
        <w:top w:w="100" w:type="dxa"/>
        <w:left w:w="100" w:type="dxa"/>
        <w:bottom w:w="100" w:type="dxa"/>
        <w:right w:w="100" w:type="dxa"/>
      </w:tblCellMar>
    </w:tblPr>
  </w:style>
  <w:style w:type="table" w:customStyle="1" w:styleId="aff4">
    <w:basedOn w:val="TableNormal"/>
    <w:tblPr>
      <w:tblStyleRowBandSize w:val="1"/>
      <w:tblStyleColBandSize w:val="1"/>
      <w:tblCellMar>
        <w:top w:w="100" w:type="dxa"/>
        <w:left w:w="100" w:type="dxa"/>
        <w:bottom w:w="100" w:type="dxa"/>
        <w:right w:w="100" w:type="dxa"/>
      </w:tblCellMar>
    </w:tblPr>
  </w:style>
  <w:style w:type="table" w:customStyle="1" w:styleId="aff5">
    <w:basedOn w:val="TableNormal"/>
    <w:tblPr>
      <w:tblStyleRowBandSize w:val="1"/>
      <w:tblStyleColBandSize w:val="1"/>
      <w:tblCellMar>
        <w:top w:w="100" w:type="dxa"/>
        <w:left w:w="100" w:type="dxa"/>
        <w:bottom w:w="100" w:type="dxa"/>
        <w:right w:w="100" w:type="dxa"/>
      </w:tblCellMar>
    </w:tblPr>
  </w:style>
  <w:style w:type="table" w:customStyle="1" w:styleId="aff6">
    <w:basedOn w:val="TableNormal"/>
    <w:tblPr>
      <w:tblStyleRowBandSize w:val="1"/>
      <w:tblStyleColBandSize w:val="1"/>
      <w:tblCellMar>
        <w:top w:w="100" w:type="dxa"/>
        <w:left w:w="100" w:type="dxa"/>
        <w:bottom w:w="100" w:type="dxa"/>
        <w:right w:w="100" w:type="dxa"/>
      </w:tblCellMar>
    </w:tblPr>
  </w:style>
  <w:style w:type="table" w:customStyle="1" w:styleId="aff7">
    <w:basedOn w:val="TableNormal"/>
    <w:tblPr>
      <w:tblStyleRowBandSize w:val="1"/>
      <w:tblStyleColBandSize w:val="1"/>
      <w:tblCellMar>
        <w:top w:w="100" w:type="dxa"/>
        <w:left w:w="100" w:type="dxa"/>
        <w:bottom w:w="100" w:type="dxa"/>
        <w:right w:w="100" w:type="dxa"/>
      </w:tblCellMar>
    </w:tblPr>
  </w:style>
  <w:style w:type="table" w:customStyle="1" w:styleId="aff8">
    <w:basedOn w:val="TableNormal"/>
    <w:tblPr>
      <w:tblStyleRowBandSize w:val="1"/>
      <w:tblStyleColBandSize w:val="1"/>
      <w:tblCellMar>
        <w:top w:w="100" w:type="dxa"/>
        <w:left w:w="100" w:type="dxa"/>
        <w:bottom w:w="100" w:type="dxa"/>
        <w:right w:w="100" w:type="dxa"/>
      </w:tblCellMar>
    </w:tblPr>
  </w:style>
  <w:style w:type="table" w:customStyle="1" w:styleId="aff9">
    <w:basedOn w:val="TableNormal"/>
    <w:tblPr>
      <w:tblStyleRowBandSize w:val="1"/>
      <w:tblStyleColBandSize w:val="1"/>
      <w:tblCellMar>
        <w:left w:w="115" w:type="dxa"/>
        <w:right w:w="115" w:type="dxa"/>
      </w:tblCellMar>
    </w:tblPr>
  </w:style>
  <w:style w:type="table" w:customStyle="1" w:styleId="affa">
    <w:basedOn w:val="TableNormal"/>
    <w:tblPr>
      <w:tblStyleRowBandSize w:val="1"/>
      <w:tblStyleColBandSize w:val="1"/>
      <w:tblCellMar>
        <w:left w:w="115" w:type="dxa"/>
        <w:right w:w="115" w:type="dxa"/>
      </w:tblCellMar>
    </w:tblPr>
  </w:style>
  <w:style w:type="table" w:customStyle="1" w:styleId="affb">
    <w:basedOn w:val="TableNormal"/>
    <w:tblPr>
      <w:tblStyleRowBandSize w:val="1"/>
      <w:tblStyleColBandSize w:val="1"/>
    </w:tblPr>
  </w:style>
  <w:style w:type="table" w:customStyle="1" w:styleId="affc">
    <w:basedOn w:val="TableNormal"/>
    <w:tblPr>
      <w:tblStyleRowBandSize w:val="1"/>
      <w:tblStyleColBandSize w:val="1"/>
    </w:tblPr>
  </w:style>
  <w:style w:type="table" w:customStyle="1" w:styleId="affd">
    <w:basedOn w:val="TableNormal"/>
    <w:tblPr>
      <w:tblStyleRowBandSize w:val="1"/>
      <w:tblStyleColBandSize w:val="1"/>
    </w:tblPr>
  </w:style>
  <w:style w:type="table" w:customStyle="1" w:styleId="affe">
    <w:basedOn w:val="TableNormal"/>
    <w:tblPr>
      <w:tblStyleRowBandSize w:val="1"/>
      <w:tblStyleColBandSize w:val="1"/>
    </w:tblPr>
  </w:style>
  <w:style w:type="table" w:customStyle="1" w:styleId="afff">
    <w:basedOn w:val="TableNormal"/>
    <w:tblPr>
      <w:tblStyleRowBandSize w:val="1"/>
      <w:tblStyleColBandSize w:val="1"/>
      <w:tblCellMar>
        <w:top w:w="28" w:type="dxa"/>
        <w:left w:w="57" w:type="dxa"/>
        <w:bottom w:w="28" w:type="dxa"/>
        <w:right w:w="28" w:type="dxa"/>
      </w:tblCellMar>
    </w:tblPr>
  </w:style>
  <w:style w:type="table" w:customStyle="1" w:styleId="afff0">
    <w:basedOn w:val="TableNormal"/>
    <w:tblPr>
      <w:tblStyleRowBandSize w:val="1"/>
      <w:tblStyleColBandSize w:val="1"/>
      <w:tblCellMar>
        <w:top w:w="28" w:type="dxa"/>
        <w:left w:w="57" w:type="dxa"/>
        <w:bottom w:w="28" w:type="dxa"/>
        <w:right w:w="28" w:type="dxa"/>
      </w:tblCellMar>
    </w:tblPr>
  </w:style>
  <w:style w:type="table" w:customStyle="1" w:styleId="afff1">
    <w:basedOn w:val="TableNormal"/>
    <w:tblPr>
      <w:tblStyleRowBandSize w:val="1"/>
      <w:tblStyleColBandSize w:val="1"/>
    </w:tblPr>
  </w:style>
  <w:style w:type="table" w:customStyle="1" w:styleId="afff2">
    <w:basedOn w:val="TableNormal"/>
    <w:tblPr>
      <w:tblStyleRowBandSize w:val="1"/>
      <w:tblStyleColBandSize w:val="1"/>
    </w:tblPr>
  </w:style>
  <w:style w:type="table" w:customStyle="1" w:styleId="afff3">
    <w:basedOn w:val="TableNormal"/>
    <w:tblPr>
      <w:tblStyleRowBandSize w:val="1"/>
      <w:tblStyleColBandSize w:val="1"/>
    </w:tblPr>
  </w:style>
  <w:style w:type="table" w:customStyle="1" w:styleId="afff4">
    <w:basedOn w:val="TableNormal"/>
    <w:tblPr>
      <w:tblStyleRowBandSize w:val="1"/>
      <w:tblStyleColBandSize w:val="1"/>
    </w:tblPr>
  </w:style>
  <w:style w:type="table" w:customStyle="1" w:styleId="afff5">
    <w:basedOn w:val="TableNormal"/>
    <w:tblPr>
      <w:tblStyleRowBandSize w:val="1"/>
      <w:tblStyleColBandSize w:val="1"/>
    </w:tblPr>
  </w:style>
  <w:style w:type="table" w:customStyle="1" w:styleId="afff6">
    <w:basedOn w:val="TableNormal"/>
    <w:tblPr>
      <w:tblStyleRowBandSize w:val="1"/>
      <w:tblStyleColBandSize w:val="1"/>
      <w:tblCellMar>
        <w:left w:w="115" w:type="dxa"/>
        <w:right w:w="115" w:type="dxa"/>
      </w:tblCellMar>
    </w:tblPr>
  </w:style>
  <w:style w:type="table" w:customStyle="1" w:styleId="afff7">
    <w:basedOn w:val="TableNormal"/>
    <w:tblPr>
      <w:tblStyleRowBandSize w:val="1"/>
      <w:tblStyleColBandSize w:val="1"/>
      <w:tblCellMar>
        <w:left w:w="115" w:type="dxa"/>
        <w:right w:w="115" w:type="dxa"/>
      </w:tblCellMar>
    </w:tblPr>
  </w:style>
  <w:style w:type="table" w:customStyle="1" w:styleId="afff8">
    <w:basedOn w:val="TableNormal"/>
    <w:tblPr>
      <w:tblStyleRowBandSize w:val="1"/>
      <w:tblStyleColBandSize w:val="1"/>
      <w:tblCellMar>
        <w:left w:w="115" w:type="dxa"/>
        <w:right w:w="115" w:type="dxa"/>
      </w:tblCellMar>
    </w:tblPr>
  </w:style>
  <w:style w:type="table" w:customStyle="1" w:styleId="afff9">
    <w:basedOn w:val="TableNormal"/>
    <w:tblPr>
      <w:tblStyleRowBandSize w:val="1"/>
      <w:tblStyleColBandSize w:val="1"/>
    </w:tblPr>
  </w:style>
  <w:style w:type="table" w:customStyle="1" w:styleId="afffa">
    <w:basedOn w:val="TableNormal"/>
    <w:tblPr>
      <w:tblStyleRowBandSize w:val="1"/>
      <w:tblStyleColBandSize w:val="1"/>
    </w:tblPr>
  </w:style>
  <w:style w:type="table" w:customStyle="1" w:styleId="afffb">
    <w:basedOn w:val="TableNormal"/>
    <w:tblPr>
      <w:tblStyleRowBandSize w:val="1"/>
      <w:tblStyleColBandSize w:val="1"/>
    </w:tblPr>
  </w:style>
  <w:style w:type="table" w:customStyle="1" w:styleId="afffc">
    <w:basedOn w:val="TableNormal"/>
    <w:tblPr>
      <w:tblStyleRowBandSize w:val="1"/>
      <w:tblStyleColBandSize w:val="1"/>
      <w:tblCellMar>
        <w:left w:w="115" w:type="dxa"/>
        <w:right w:w="115" w:type="dxa"/>
      </w:tblCellMar>
    </w:tblPr>
  </w:style>
  <w:style w:type="table" w:customStyle="1" w:styleId="afffd">
    <w:basedOn w:val="TableNormal"/>
    <w:tblPr>
      <w:tblStyleRowBandSize w:val="1"/>
      <w:tblStyleColBandSize w:val="1"/>
      <w:tblCellMar>
        <w:left w:w="115" w:type="dxa"/>
        <w:right w:w="115" w:type="dxa"/>
      </w:tblCellMar>
    </w:tblPr>
  </w:style>
  <w:style w:type="table" w:customStyle="1" w:styleId="afffe">
    <w:basedOn w:val="TableNormal"/>
    <w:tblPr>
      <w:tblStyleRowBandSize w:val="1"/>
      <w:tblStyleColBandSize w:val="1"/>
      <w:tblCellMar>
        <w:left w:w="115" w:type="dxa"/>
        <w:right w:w="115" w:type="dxa"/>
      </w:tblCellMar>
    </w:tblPr>
  </w:style>
  <w:style w:type="table" w:customStyle="1" w:styleId="affff">
    <w:basedOn w:val="TableNormal"/>
    <w:tblPr>
      <w:tblStyleRowBandSize w:val="1"/>
      <w:tblStyleColBandSize w:val="1"/>
    </w:tblPr>
  </w:style>
  <w:style w:type="table" w:customStyle="1" w:styleId="affff0">
    <w:basedOn w:val="TableNormal"/>
    <w:tblPr>
      <w:tblStyleRowBandSize w:val="1"/>
      <w:tblStyleColBandSize w:val="1"/>
      <w:tblCellMar>
        <w:left w:w="115" w:type="dxa"/>
        <w:right w:w="115" w:type="dxa"/>
      </w:tblCellMar>
    </w:tblPr>
  </w:style>
  <w:style w:type="table" w:customStyle="1" w:styleId="affff1">
    <w:basedOn w:val="TableNormal"/>
    <w:tblPr>
      <w:tblStyleRowBandSize w:val="1"/>
      <w:tblStyleColBandSize w:val="1"/>
    </w:tblPr>
  </w:style>
  <w:style w:type="table" w:customStyle="1" w:styleId="affff2">
    <w:basedOn w:val="TableNormal"/>
    <w:tblPr>
      <w:tblStyleRowBandSize w:val="1"/>
      <w:tblStyleColBandSize w:val="1"/>
    </w:tblPr>
  </w:style>
  <w:style w:type="table" w:customStyle="1" w:styleId="affff3">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hyperlink" Target="https://doi.org/10.1080/14681366.2012.748676" TargetMode="External"/><Relationship Id="rId18" Type="http://schemas.openxmlformats.org/officeDocument/2006/relationships/hyperlink" Target="https://www.jcq.org.uk/wp-content/uploads/2021/08/A-Level-and-AS-Results-Summer-2021-v3.pdf" TargetMode="External"/><Relationship Id="rId26" Type="http://schemas.openxmlformats.org/officeDocument/2006/relationships/hyperlink" Target="mailto:pgresearch@uwtsd.ac.uk" TargetMode="External"/><Relationship Id="rId39" Type="http://schemas.openxmlformats.org/officeDocument/2006/relationships/image" Target="media/image8.png"/><Relationship Id="rId21" Type="http://schemas.openxmlformats.org/officeDocument/2006/relationships/hyperlink" Target="https://www.wisecampaign.org.uk/analysis-of-2021-a-level-core-stem-entrants/" TargetMode="External"/><Relationship Id="rId34" Type="http://schemas.openxmlformats.org/officeDocument/2006/relationships/image" Target="media/image3.png"/><Relationship Id="rId42" Type="http://schemas.openxmlformats.org/officeDocument/2006/relationships/image" Target="media/image11.png"/><Relationship Id="rId47" Type="http://schemas.openxmlformats.org/officeDocument/2006/relationships/image" Target="media/image16.png"/><Relationship Id="rId50" Type="http://schemas.openxmlformats.org/officeDocument/2006/relationships/image" Target="media/image19.png"/><Relationship Id="rId55" Type="http://schemas.openxmlformats.org/officeDocument/2006/relationships/image" Target="media/image25.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iop.org/sites/default/files/2018-10/why-not-physics.pdf" TargetMode="External"/><Relationship Id="rId29" Type="http://schemas.openxmlformats.org/officeDocument/2006/relationships/image" Target="media/image28.png"/><Relationship Id="rId11" Type="http://schemas.openxmlformats.org/officeDocument/2006/relationships/image" Target="media/image29.png"/><Relationship Id="rId24" Type="http://schemas.openxmlformats.org/officeDocument/2006/relationships/hyperlink" Target="mailto:pgresearch@uwtsd.ac.uk" TargetMode="External"/><Relationship Id="rId32" Type="http://schemas.openxmlformats.org/officeDocument/2006/relationships/footer" Target="footer1.xml"/><Relationship Id="rId37" Type="http://schemas.openxmlformats.org/officeDocument/2006/relationships/image" Target="media/image6.png"/><Relationship Id="rId40" Type="http://schemas.openxmlformats.org/officeDocument/2006/relationships/image" Target="media/image9.png"/><Relationship Id="rId45" Type="http://schemas.openxmlformats.org/officeDocument/2006/relationships/image" Target="media/image14.png"/><Relationship Id="rId53" Type="http://schemas.openxmlformats.org/officeDocument/2006/relationships/image" Target="media/image22.png"/><Relationship Id="rId5" Type="http://schemas.openxmlformats.org/officeDocument/2006/relationships/footnotes" Target="footnotes.xml"/><Relationship Id="rId19" Type="http://schemas.openxmlformats.org/officeDocument/2006/relationships/hyperlink" Target="https://doi.org/10.1080/14926156.2016.1235743" TargetMode="External"/><Relationship Id="rId4" Type="http://schemas.openxmlformats.org/officeDocument/2006/relationships/webSettings" Target="webSettings.xml"/><Relationship Id="rId9" Type="http://schemas.openxmlformats.org/officeDocument/2006/relationships/image" Target="media/image30.png"/><Relationship Id="rId14" Type="http://schemas.openxmlformats.org/officeDocument/2006/relationships/hyperlink" Target="https://www.bera.ac.uk/researchers-resources/publications/ethicalguidelines-for-educational-research-2018" TargetMode="External"/><Relationship Id="rId22" Type="http://schemas.openxmlformats.org/officeDocument/2006/relationships/hyperlink" Target="http://uwtsd.ac.uk/library/research-data-management/" TargetMode="External"/><Relationship Id="rId27" Type="http://schemas.openxmlformats.org/officeDocument/2006/relationships/image" Target="media/image26.png"/><Relationship Id="rId30" Type="http://schemas.openxmlformats.org/officeDocument/2006/relationships/image" Target="media/image23.png"/><Relationship Id="rId35" Type="http://schemas.openxmlformats.org/officeDocument/2006/relationships/image" Target="media/image4.png"/><Relationship Id="rId43" Type="http://schemas.openxmlformats.org/officeDocument/2006/relationships/image" Target="media/image12.png"/><Relationship Id="rId48" Type="http://schemas.openxmlformats.org/officeDocument/2006/relationships/image" Target="media/image17.png"/><Relationship Id="rId56" Type="http://schemas.openxmlformats.org/officeDocument/2006/relationships/fontTable" Target="fontTable.xml"/><Relationship Id="rId8" Type="http://schemas.openxmlformats.org/officeDocument/2006/relationships/image" Target="media/image2.jpg"/><Relationship Id="rId51" Type="http://schemas.openxmlformats.org/officeDocument/2006/relationships/image" Target="media/image20.png"/><Relationship Id="rId3" Type="http://schemas.openxmlformats.org/officeDocument/2006/relationships/settings" Target="settings.xml"/><Relationship Id="rId12" Type="http://schemas.openxmlformats.org/officeDocument/2006/relationships/image" Target="media/image31.png"/><Relationship Id="rId17" Type="http://schemas.openxmlformats.org/officeDocument/2006/relationships/hyperlink" Target="http://www.jcq.org.uk/examination-results/gcses/2014/gcse-and-entry-level-certificate-results-summer-" TargetMode="External"/><Relationship Id="rId25" Type="http://schemas.openxmlformats.org/officeDocument/2006/relationships/hyperlink" Target="http://www.uwtsd.ac.uk/academic-office/" TargetMode="External"/><Relationship Id="rId33" Type="http://schemas.openxmlformats.org/officeDocument/2006/relationships/footer" Target="footer2.xml"/><Relationship Id="rId38" Type="http://schemas.openxmlformats.org/officeDocument/2006/relationships/image" Target="media/image7.png"/><Relationship Id="rId46" Type="http://schemas.openxmlformats.org/officeDocument/2006/relationships/image" Target="media/image15.png"/><Relationship Id="rId20" Type="http://schemas.openxmlformats.org/officeDocument/2006/relationships/hyperlink" Target="https://www.wisecampaign.org.uk/statistics/analysis-of-2019-a-level-core-stem-entrants-and-results/" TargetMode="External"/><Relationship Id="rId41" Type="http://schemas.openxmlformats.org/officeDocument/2006/relationships/image" Target="media/image10.png"/><Relationship Id="rId54" Type="http://schemas.openxmlformats.org/officeDocument/2006/relationships/image" Target="media/image24.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www.createspace.com" TargetMode="External"/><Relationship Id="rId23" Type="http://schemas.openxmlformats.org/officeDocument/2006/relationships/hyperlink" Target="http://www.uwtsd.ac.uk/media/uwtsd-website/content-assets/documents/research/Research-Integrity-and-Ethics---Code-of-Practice-(2015-18).pdf" TargetMode="External"/><Relationship Id="rId28" Type="http://schemas.openxmlformats.org/officeDocument/2006/relationships/image" Target="media/image32.png"/><Relationship Id="rId36" Type="http://schemas.openxmlformats.org/officeDocument/2006/relationships/image" Target="media/image5.png"/><Relationship Id="rId49" Type="http://schemas.openxmlformats.org/officeDocument/2006/relationships/image" Target="media/image18.png"/><Relationship Id="rId57" Type="http://schemas.openxmlformats.org/officeDocument/2006/relationships/theme" Target="theme/theme1.xml"/><Relationship Id="rId10" Type="http://schemas.openxmlformats.org/officeDocument/2006/relationships/image" Target="media/image27.png"/><Relationship Id="rId31" Type="http://schemas.openxmlformats.org/officeDocument/2006/relationships/header" Target="header1.xml"/><Relationship Id="rId44" Type="http://schemas.openxmlformats.org/officeDocument/2006/relationships/image" Target="media/image13.png"/><Relationship Id="rId52"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104</Pages>
  <Words>25463</Words>
  <Characters>145140</Characters>
  <Application>Microsoft Office Word</Application>
  <DocSecurity>0</DocSecurity>
  <Lines>1209</Lines>
  <Paragraphs>340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Aimee Williams</dc:creator>
  <cp:lastModifiedBy>Aimee Williams</cp:lastModifiedBy>
  <cp:revision>2</cp:revision>
  <dcterms:created xsi:type="dcterms:W3CDTF">2023-03-28T15:42:00Z</dcterms:created>
  <dcterms:modified xsi:type="dcterms:W3CDTF">2023-03-28T15:42:00Z</dcterms:modified>
</cp:coreProperties>
</file>