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51EAA" w:rsidRDefault="00B51EAA" w:rsidP="00B51EAA">
      <w:pPr>
        <w:pStyle w:val="Normal1"/>
        <w:spacing w:line="480" w:lineRule="auto"/>
        <w:jc w:val="center"/>
        <w:rPr>
          <w:rFonts w:ascii="Times New Roman" w:hAnsi="Times New Roman" w:cs="Times New Roman"/>
          <w:sz w:val="48"/>
          <w:szCs w:val="48"/>
          <w:highlight w:val="white"/>
        </w:rPr>
      </w:pPr>
      <w:r w:rsidRPr="00B51EAA">
        <w:rPr>
          <w:rFonts w:ascii="Times New Roman" w:hAnsi="Times New Roman" w:cs="Times New Roman"/>
          <w:sz w:val="48"/>
          <w:szCs w:val="48"/>
          <w:highlight w:val="white"/>
        </w:rPr>
        <w:t>Accounting Fundamentals</w:t>
      </w:r>
    </w:p>
    <w:p w:rsidR="00B51EAA" w:rsidRPr="00B51EAA" w:rsidRDefault="00B51EAA" w:rsidP="00B51EAA">
      <w:pPr>
        <w:pStyle w:val="Normal1"/>
        <w:spacing w:line="480" w:lineRule="auto"/>
        <w:jc w:val="center"/>
        <w:rPr>
          <w:rFonts w:ascii="Times New Roman" w:hAnsi="Times New Roman" w:cs="Times New Roman"/>
          <w:sz w:val="48"/>
          <w:szCs w:val="48"/>
          <w:highlight w:val="white"/>
        </w:rPr>
      </w:pPr>
      <w:r>
        <w:rPr>
          <w:rFonts w:ascii="Times New Roman" w:hAnsi="Times New Roman" w:cs="Times New Roman"/>
          <w:sz w:val="48"/>
          <w:szCs w:val="48"/>
          <w:highlight w:val="white"/>
        </w:rPr>
        <w:t>Assignment 1</w:t>
      </w:r>
    </w:p>
    <w:p w:rsidR="00B51EAA" w:rsidRDefault="00B51EAA" w:rsidP="00B51EAA">
      <w:pPr>
        <w:pStyle w:val="Normal1"/>
        <w:spacing w:line="480" w:lineRule="auto"/>
        <w:jc w:val="center"/>
        <w:rPr>
          <w:rFonts w:ascii="Times New Roman" w:hAnsi="Times New Roman" w:cs="Times New Roman"/>
          <w:sz w:val="28"/>
          <w:szCs w:val="28"/>
          <w:highlight w:val="white"/>
        </w:rPr>
      </w:pPr>
    </w:p>
    <w:p w:rsidR="00B51EAA" w:rsidRDefault="00B51EAA" w:rsidP="00B51EAA">
      <w:pPr>
        <w:pStyle w:val="Normal1"/>
        <w:spacing w:line="480" w:lineRule="auto"/>
        <w:jc w:val="center"/>
        <w:rPr>
          <w:rFonts w:ascii="Times New Roman" w:hAnsi="Times New Roman" w:cs="Times New Roman"/>
          <w:sz w:val="28"/>
          <w:szCs w:val="28"/>
          <w:highlight w:val="white"/>
        </w:rPr>
      </w:pPr>
    </w:p>
    <w:p w:rsidR="00B51EAA" w:rsidRDefault="00B51EAA" w:rsidP="00B51EA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University of Wales Trinity Saint David</w:t>
      </w:r>
    </w:p>
    <w:p w:rsidR="00B51EAA" w:rsidRDefault="00B51EAA" w:rsidP="00B51EA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 xml:space="preserve">BA (Hons) Business Management Level 4 – Group 2 Weekend </w:t>
      </w:r>
    </w:p>
    <w:p w:rsidR="00B51EAA" w:rsidRDefault="00B51EAA" w:rsidP="00B51EA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Introducing the Modern Workplace</w:t>
      </w:r>
    </w:p>
    <w:p w:rsidR="00B51EAA" w:rsidRDefault="00B51EAA" w:rsidP="00B51EA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Lecturer – Emad Elkhashen</w:t>
      </w:r>
    </w:p>
    <w:p w:rsidR="00B51EAA" w:rsidRDefault="00B51EAA" w:rsidP="00B51EAA">
      <w:pPr>
        <w:pStyle w:val="Normal1"/>
        <w:spacing w:line="480" w:lineRule="auto"/>
        <w:jc w:val="center"/>
        <w:rPr>
          <w:rFonts w:ascii="Times New Roman" w:hAnsi="Times New Roman" w:cs="Times New Roman"/>
          <w:sz w:val="28"/>
          <w:szCs w:val="28"/>
          <w:highlight w:val="white"/>
        </w:rPr>
      </w:pPr>
      <w:r>
        <w:rPr>
          <w:rFonts w:ascii="Times New Roman" w:hAnsi="Times New Roman" w:cs="Times New Roman"/>
          <w:sz w:val="28"/>
          <w:szCs w:val="28"/>
          <w:highlight w:val="white"/>
        </w:rPr>
        <w:t>Student name: Mariana Dodon</w:t>
      </w:r>
    </w:p>
    <w:p w:rsidR="00B51EAA" w:rsidRDefault="00B51EAA" w:rsidP="00B51EAA">
      <w:pPr>
        <w:spacing w:line="480" w:lineRule="auto"/>
        <w:jc w:val="center"/>
        <w:rPr>
          <w:rFonts w:ascii="Times New Roman" w:hAnsi="Times New Roman"/>
          <w:sz w:val="28"/>
          <w:szCs w:val="28"/>
        </w:rPr>
      </w:pPr>
      <w:r>
        <w:rPr>
          <w:sz w:val="28"/>
          <w:szCs w:val="28"/>
          <w:highlight w:val="white"/>
        </w:rPr>
        <w:t xml:space="preserve">Student ID: </w:t>
      </w:r>
      <w:r>
        <w:rPr>
          <w:sz w:val="28"/>
          <w:szCs w:val="28"/>
        </w:rPr>
        <w:t>1917349</w:t>
      </w:r>
    </w:p>
    <w:p w:rsidR="005F3D49" w:rsidRPr="007F28EA" w:rsidRDefault="005F3D49" w:rsidP="00B51EAA">
      <w:pPr>
        <w:spacing w:beforeLines="240" w:before="576" w:afterLines="240" w:after="576" w:line="240" w:lineRule="atLeast"/>
        <w:contextualSpacing/>
        <w:jc w:val="both"/>
        <w:rPr>
          <w:rFonts w:ascii="Times New Roman" w:eastAsiaTheme="majorEastAsia" w:hAnsi="Times New Roman" w:cs="Times New Roman"/>
          <w:b/>
          <w:bCs/>
          <w:color w:val="365F91" w:themeColor="accent1" w:themeShade="BF"/>
          <w:sz w:val="24"/>
          <w:szCs w:val="24"/>
          <w:vertAlign w:val="subscript"/>
        </w:rPr>
      </w:pPr>
    </w:p>
    <w:p w:rsidR="006842E4" w:rsidRPr="007F28EA" w:rsidRDefault="006842E4" w:rsidP="00B51EAA">
      <w:pPr>
        <w:spacing w:beforeLines="240" w:before="576" w:afterLines="240" w:after="576" w:line="240" w:lineRule="atLeast"/>
        <w:contextualSpacing/>
        <w:jc w:val="both"/>
        <w:rPr>
          <w:rFonts w:ascii="Times New Roman" w:eastAsiaTheme="majorEastAsia" w:hAnsi="Times New Roman" w:cs="Times New Roman"/>
          <w:b/>
          <w:bCs/>
          <w:color w:val="365F91" w:themeColor="accent1" w:themeShade="BF"/>
          <w:sz w:val="24"/>
          <w:szCs w:val="24"/>
          <w:vertAlign w:val="subscript"/>
        </w:rPr>
      </w:pPr>
      <w:r w:rsidRPr="007F28EA">
        <w:rPr>
          <w:rFonts w:ascii="Times New Roman" w:hAnsi="Times New Roman" w:cs="Times New Roman"/>
          <w:sz w:val="24"/>
          <w:szCs w:val="24"/>
          <w:vertAlign w:val="subscript"/>
        </w:rPr>
        <w:br w:type="page"/>
      </w:r>
    </w:p>
    <w:sdt>
      <w:sdtPr>
        <w:rPr>
          <w:rFonts w:ascii="Times New Roman" w:eastAsiaTheme="minorHAnsi" w:hAnsi="Times New Roman" w:cs="Times New Roman"/>
          <w:b w:val="0"/>
          <w:bCs w:val="0"/>
          <w:color w:val="auto"/>
          <w:sz w:val="24"/>
          <w:szCs w:val="24"/>
        </w:rPr>
        <w:id w:val="267088253"/>
        <w:docPartObj>
          <w:docPartGallery w:val="Table of Contents"/>
          <w:docPartUnique/>
        </w:docPartObj>
      </w:sdtPr>
      <w:sdtContent>
        <w:p w:rsidR="006842E4" w:rsidRPr="007F28EA" w:rsidRDefault="006842E4" w:rsidP="00B51EAA">
          <w:pPr>
            <w:pStyle w:val="TOCHeading"/>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t>Table of Contents</w:t>
          </w:r>
        </w:p>
        <w:p w:rsidR="006842E4" w:rsidRPr="007F28EA" w:rsidRDefault="00F045BB" w:rsidP="00B51EAA">
          <w:pPr>
            <w:pStyle w:val="TOC1"/>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r w:rsidRPr="007F28EA">
            <w:rPr>
              <w:rFonts w:ascii="Times New Roman" w:hAnsi="Times New Roman" w:cs="Times New Roman"/>
              <w:sz w:val="24"/>
              <w:szCs w:val="24"/>
            </w:rPr>
            <w:fldChar w:fldCharType="begin"/>
          </w:r>
          <w:r w:rsidR="006842E4" w:rsidRPr="007F28EA">
            <w:rPr>
              <w:rFonts w:ascii="Times New Roman" w:hAnsi="Times New Roman" w:cs="Times New Roman"/>
              <w:sz w:val="24"/>
              <w:szCs w:val="24"/>
            </w:rPr>
            <w:instrText xml:space="preserve"> TOC \o "1-3" \h \z \u </w:instrText>
          </w:r>
          <w:r w:rsidRPr="007F28EA">
            <w:rPr>
              <w:rFonts w:ascii="Times New Roman" w:hAnsi="Times New Roman" w:cs="Times New Roman"/>
              <w:sz w:val="24"/>
              <w:szCs w:val="24"/>
            </w:rPr>
            <w:fldChar w:fldCharType="separate"/>
          </w:r>
          <w:hyperlink w:anchor="_Toc49072564" w:history="1">
            <w:r w:rsidR="006842E4" w:rsidRPr="007F28EA">
              <w:rPr>
                <w:rStyle w:val="Hyperlink"/>
                <w:rFonts w:ascii="Times New Roman" w:hAnsi="Times New Roman" w:cs="Times New Roman"/>
                <w:noProof/>
                <w:sz w:val="24"/>
                <w:szCs w:val="24"/>
              </w:rPr>
              <w:t>Introduction</w:t>
            </w:r>
            <w:r w:rsidR="006842E4" w:rsidRPr="007F28EA">
              <w:rPr>
                <w:rFonts w:ascii="Times New Roman" w:hAnsi="Times New Roman" w:cs="Times New Roman"/>
                <w:noProof/>
                <w:webHidden/>
                <w:sz w:val="24"/>
                <w:szCs w:val="24"/>
              </w:rPr>
              <w:tab/>
            </w:r>
            <w:r w:rsidRPr="007F28EA">
              <w:rPr>
                <w:rFonts w:ascii="Times New Roman" w:hAnsi="Times New Roman" w:cs="Times New Roman"/>
                <w:noProof/>
                <w:webHidden/>
                <w:sz w:val="24"/>
                <w:szCs w:val="24"/>
              </w:rPr>
              <w:fldChar w:fldCharType="begin"/>
            </w:r>
            <w:r w:rsidR="006842E4" w:rsidRPr="007F28EA">
              <w:rPr>
                <w:rFonts w:ascii="Times New Roman" w:hAnsi="Times New Roman" w:cs="Times New Roman"/>
                <w:noProof/>
                <w:webHidden/>
                <w:sz w:val="24"/>
                <w:szCs w:val="24"/>
              </w:rPr>
              <w:instrText xml:space="preserve"> PAGEREF _Toc49072564 \h </w:instrText>
            </w:r>
            <w:r w:rsidRPr="007F28EA">
              <w:rPr>
                <w:rFonts w:ascii="Times New Roman" w:hAnsi="Times New Roman" w:cs="Times New Roman"/>
                <w:noProof/>
                <w:webHidden/>
                <w:sz w:val="24"/>
                <w:szCs w:val="24"/>
              </w:rPr>
            </w:r>
            <w:r w:rsidRPr="007F28EA">
              <w:rPr>
                <w:rFonts w:ascii="Times New Roman" w:hAnsi="Times New Roman" w:cs="Times New Roman"/>
                <w:noProof/>
                <w:webHidden/>
                <w:sz w:val="24"/>
                <w:szCs w:val="24"/>
              </w:rPr>
              <w:fldChar w:fldCharType="separate"/>
            </w:r>
            <w:r w:rsidR="006842E4" w:rsidRPr="007F28EA">
              <w:rPr>
                <w:rFonts w:ascii="Times New Roman" w:hAnsi="Times New Roman" w:cs="Times New Roman"/>
                <w:noProof/>
                <w:webHidden/>
                <w:sz w:val="24"/>
                <w:szCs w:val="24"/>
              </w:rPr>
              <w:t>3</w:t>
            </w:r>
            <w:r w:rsidRPr="007F28EA">
              <w:rPr>
                <w:rFonts w:ascii="Times New Roman" w:hAnsi="Times New Roman" w:cs="Times New Roman"/>
                <w:noProof/>
                <w:webHidden/>
                <w:sz w:val="24"/>
                <w:szCs w:val="24"/>
              </w:rPr>
              <w:fldChar w:fldCharType="end"/>
            </w:r>
          </w:hyperlink>
        </w:p>
        <w:p w:rsidR="006842E4" w:rsidRPr="007F28EA" w:rsidRDefault="001B556C" w:rsidP="00B51EAA">
          <w:pPr>
            <w:pStyle w:val="TOC1"/>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65" w:history="1">
            <w:r w:rsidR="006842E4" w:rsidRPr="007F28EA">
              <w:rPr>
                <w:rStyle w:val="Hyperlink"/>
                <w:rFonts w:ascii="Times New Roman" w:hAnsi="Times New Roman" w:cs="Times New Roman"/>
                <w:noProof/>
                <w:sz w:val="24"/>
                <w:szCs w:val="24"/>
              </w:rPr>
              <w:t>Question 1</w:t>
            </w:r>
            <w:r w:rsidR="00FE7ECA">
              <w:rPr>
                <w:rFonts w:ascii="Times New Roman" w:hAnsi="Times New Roman" w:cs="Times New Roman"/>
                <w:noProof/>
                <w:webHidden/>
                <w:sz w:val="24"/>
                <w:szCs w:val="24"/>
              </w:rPr>
              <w:t>……………………………………………………………………………………........4</w:t>
            </w:r>
          </w:hyperlink>
        </w:p>
        <w:p w:rsidR="006842E4" w:rsidRPr="007F28EA" w:rsidRDefault="001B556C" w:rsidP="00B51EAA">
          <w:pPr>
            <w:pStyle w:val="TOC1"/>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66" w:history="1">
            <w:r w:rsidR="006842E4" w:rsidRPr="007F28EA">
              <w:rPr>
                <w:rStyle w:val="Hyperlink"/>
                <w:rFonts w:ascii="Times New Roman" w:hAnsi="Times New Roman" w:cs="Times New Roman"/>
                <w:noProof/>
                <w:sz w:val="24"/>
                <w:szCs w:val="24"/>
              </w:rPr>
              <w:t>Question 2</w:t>
            </w:r>
            <w:r w:rsidR="006842E4" w:rsidRPr="007F28EA">
              <w:rPr>
                <w:rFonts w:ascii="Times New Roman" w:hAnsi="Times New Roman" w:cs="Times New Roman"/>
                <w:noProof/>
                <w:webHidden/>
                <w:sz w:val="24"/>
                <w:szCs w:val="24"/>
              </w:rPr>
              <w:tab/>
            </w:r>
            <w:r w:rsidR="00FE7ECA">
              <w:rPr>
                <w:rFonts w:ascii="Times New Roman" w:hAnsi="Times New Roman" w:cs="Times New Roman"/>
                <w:noProof/>
                <w:webHidden/>
                <w:sz w:val="24"/>
                <w:szCs w:val="24"/>
              </w:rPr>
              <w:t>11</w:t>
            </w:r>
          </w:hyperlink>
        </w:p>
        <w:p w:rsidR="006842E4" w:rsidRPr="007F28EA" w:rsidRDefault="001B556C" w:rsidP="00B51EAA">
          <w:pPr>
            <w:pStyle w:val="TOC1"/>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67" w:history="1">
            <w:r w:rsidR="006842E4" w:rsidRPr="007F28EA">
              <w:rPr>
                <w:rStyle w:val="Hyperlink"/>
                <w:rFonts w:ascii="Times New Roman" w:hAnsi="Times New Roman" w:cs="Times New Roman"/>
                <w:noProof/>
                <w:sz w:val="24"/>
                <w:szCs w:val="24"/>
              </w:rPr>
              <w:t>Financial Ratios</w:t>
            </w:r>
            <w:r w:rsidR="006842E4" w:rsidRPr="007F28EA">
              <w:rPr>
                <w:rFonts w:ascii="Times New Roman" w:hAnsi="Times New Roman" w:cs="Times New Roman"/>
                <w:noProof/>
                <w:webHidden/>
                <w:sz w:val="24"/>
                <w:szCs w:val="24"/>
              </w:rPr>
              <w:tab/>
            </w:r>
            <w:r w:rsidR="00F045BB" w:rsidRPr="007F28EA">
              <w:rPr>
                <w:rFonts w:ascii="Times New Roman" w:hAnsi="Times New Roman" w:cs="Times New Roman"/>
                <w:noProof/>
                <w:webHidden/>
                <w:sz w:val="24"/>
                <w:szCs w:val="24"/>
              </w:rPr>
              <w:fldChar w:fldCharType="begin"/>
            </w:r>
            <w:r w:rsidR="006842E4" w:rsidRPr="007F28EA">
              <w:rPr>
                <w:rFonts w:ascii="Times New Roman" w:hAnsi="Times New Roman" w:cs="Times New Roman"/>
                <w:noProof/>
                <w:webHidden/>
                <w:sz w:val="24"/>
                <w:szCs w:val="24"/>
              </w:rPr>
              <w:instrText xml:space="preserve"> PAGEREF _Toc49072567 \h </w:instrText>
            </w:r>
            <w:r w:rsidR="00F045BB" w:rsidRPr="007F28EA">
              <w:rPr>
                <w:rFonts w:ascii="Times New Roman" w:hAnsi="Times New Roman" w:cs="Times New Roman"/>
                <w:noProof/>
                <w:webHidden/>
                <w:sz w:val="24"/>
                <w:szCs w:val="24"/>
              </w:rPr>
            </w:r>
            <w:r w:rsidR="00F045BB" w:rsidRPr="007F28EA">
              <w:rPr>
                <w:rFonts w:ascii="Times New Roman" w:hAnsi="Times New Roman" w:cs="Times New Roman"/>
                <w:noProof/>
                <w:webHidden/>
                <w:sz w:val="24"/>
                <w:szCs w:val="24"/>
              </w:rPr>
              <w:fldChar w:fldCharType="separate"/>
            </w:r>
            <w:r w:rsidR="006842E4" w:rsidRPr="007F28EA">
              <w:rPr>
                <w:rFonts w:ascii="Times New Roman" w:hAnsi="Times New Roman" w:cs="Times New Roman"/>
                <w:noProof/>
                <w:webHidden/>
                <w:sz w:val="24"/>
                <w:szCs w:val="24"/>
              </w:rPr>
              <w:t>12</w:t>
            </w:r>
            <w:r w:rsidR="00F045BB" w:rsidRPr="007F28EA">
              <w:rPr>
                <w:rFonts w:ascii="Times New Roman" w:hAnsi="Times New Roman" w:cs="Times New Roman"/>
                <w:noProof/>
                <w:webHidden/>
                <w:sz w:val="24"/>
                <w:szCs w:val="24"/>
              </w:rPr>
              <w:fldChar w:fldCharType="end"/>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68" w:history="1">
            <w:r w:rsidR="006842E4" w:rsidRPr="007F28EA">
              <w:rPr>
                <w:rStyle w:val="Hyperlink"/>
                <w:rFonts w:ascii="Times New Roman" w:hAnsi="Times New Roman" w:cs="Times New Roman"/>
                <w:noProof/>
                <w:sz w:val="24"/>
                <w:szCs w:val="24"/>
              </w:rPr>
              <w:t>Gross Profit Margin</w:t>
            </w:r>
            <w:r w:rsidR="006842E4" w:rsidRPr="007F28EA">
              <w:rPr>
                <w:rFonts w:ascii="Times New Roman" w:hAnsi="Times New Roman" w:cs="Times New Roman"/>
                <w:noProof/>
                <w:webHidden/>
                <w:sz w:val="24"/>
                <w:szCs w:val="24"/>
              </w:rPr>
              <w:tab/>
            </w:r>
            <w:r w:rsidR="00F045BB" w:rsidRPr="007F28EA">
              <w:rPr>
                <w:rFonts w:ascii="Times New Roman" w:hAnsi="Times New Roman" w:cs="Times New Roman"/>
                <w:noProof/>
                <w:webHidden/>
                <w:sz w:val="24"/>
                <w:szCs w:val="24"/>
              </w:rPr>
              <w:fldChar w:fldCharType="begin"/>
            </w:r>
            <w:r w:rsidR="006842E4" w:rsidRPr="007F28EA">
              <w:rPr>
                <w:rFonts w:ascii="Times New Roman" w:hAnsi="Times New Roman" w:cs="Times New Roman"/>
                <w:noProof/>
                <w:webHidden/>
                <w:sz w:val="24"/>
                <w:szCs w:val="24"/>
              </w:rPr>
              <w:instrText xml:space="preserve"> PAGEREF _Toc49072568 \h </w:instrText>
            </w:r>
            <w:r w:rsidR="00F045BB" w:rsidRPr="007F28EA">
              <w:rPr>
                <w:rFonts w:ascii="Times New Roman" w:hAnsi="Times New Roman" w:cs="Times New Roman"/>
                <w:noProof/>
                <w:webHidden/>
                <w:sz w:val="24"/>
                <w:szCs w:val="24"/>
              </w:rPr>
            </w:r>
            <w:r w:rsidR="00F045BB" w:rsidRPr="007F28EA">
              <w:rPr>
                <w:rFonts w:ascii="Times New Roman" w:hAnsi="Times New Roman" w:cs="Times New Roman"/>
                <w:noProof/>
                <w:webHidden/>
                <w:sz w:val="24"/>
                <w:szCs w:val="24"/>
              </w:rPr>
              <w:fldChar w:fldCharType="separate"/>
            </w:r>
            <w:r w:rsidR="006842E4" w:rsidRPr="007F28EA">
              <w:rPr>
                <w:rFonts w:ascii="Times New Roman" w:hAnsi="Times New Roman" w:cs="Times New Roman"/>
                <w:noProof/>
                <w:webHidden/>
                <w:sz w:val="24"/>
                <w:szCs w:val="24"/>
              </w:rPr>
              <w:t>12</w:t>
            </w:r>
            <w:r w:rsidR="00F045BB" w:rsidRPr="007F28EA">
              <w:rPr>
                <w:rFonts w:ascii="Times New Roman" w:hAnsi="Times New Roman" w:cs="Times New Roman"/>
                <w:noProof/>
                <w:webHidden/>
                <w:sz w:val="24"/>
                <w:szCs w:val="24"/>
              </w:rPr>
              <w:fldChar w:fldCharType="end"/>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69" w:history="1">
            <w:r w:rsidR="006842E4" w:rsidRPr="007F28EA">
              <w:rPr>
                <w:rStyle w:val="Hyperlink"/>
                <w:rFonts w:ascii="Times New Roman" w:hAnsi="Times New Roman" w:cs="Times New Roman"/>
                <w:noProof/>
                <w:sz w:val="24"/>
                <w:szCs w:val="24"/>
              </w:rPr>
              <w:t>Return on Capital Employed</w:t>
            </w:r>
            <w:r w:rsidR="006842E4" w:rsidRPr="007F28EA">
              <w:rPr>
                <w:rFonts w:ascii="Times New Roman" w:hAnsi="Times New Roman" w:cs="Times New Roman"/>
                <w:noProof/>
                <w:webHidden/>
                <w:sz w:val="24"/>
                <w:szCs w:val="24"/>
              </w:rPr>
              <w:tab/>
            </w:r>
            <w:r w:rsidR="00150A9A">
              <w:rPr>
                <w:rFonts w:ascii="Times New Roman" w:hAnsi="Times New Roman" w:cs="Times New Roman"/>
                <w:noProof/>
                <w:webHidden/>
                <w:sz w:val="24"/>
                <w:szCs w:val="24"/>
              </w:rPr>
              <w:t>12</w:t>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0" w:history="1">
            <w:r w:rsidR="006842E4" w:rsidRPr="007F28EA">
              <w:rPr>
                <w:rStyle w:val="Hyperlink"/>
                <w:rFonts w:ascii="Times New Roman" w:hAnsi="Times New Roman" w:cs="Times New Roman"/>
                <w:noProof/>
                <w:sz w:val="24"/>
                <w:szCs w:val="24"/>
              </w:rPr>
              <w:t>Return on Equity</w:t>
            </w:r>
            <w:r w:rsidR="006842E4" w:rsidRPr="007F28EA">
              <w:rPr>
                <w:rFonts w:ascii="Times New Roman" w:hAnsi="Times New Roman" w:cs="Times New Roman"/>
                <w:noProof/>
                <w:webHidden/>
                <w:sz w:val="24"/>
                <w:szCs w:val="24"/>
              </w:rPr>
              <w:tab/>
            </w:r>
            <w:r w:rsidR="00FE7ECA">
              <w:rPr>
                <w:rFonts w:ascii="Times New Roman" w:hAnsi="Times New Roman" w:cs="Times New Roman"/>
                <w:noProof/>
                <w:webHidden/>
                <w:sz w:val="24"/>
                <w:szCs w:val="24"/>
              </w:rPr>
              <w:t>13</w:t>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1" w:history="1">
            <w:r w:rsidR="006842E4" w:rsidRPr="007F28EA">
              <w:rPr>
                <w:rStyle w:val="Hyperlink"/>
                <w:rFonts w:ascii="Times New Roman" w:hAnsi="Times New Roman" w:cs="Times New Roman"/>
                <w:noProof/>
                <w:sz w:val="24"/>
                <w:szCs w:val="24"/>
              </w:rPr>
              <w:t>Stock holding Period</w:t>
            </w:r>
            <w:r w:rsidR="006842E4" w:rsidRPr="007F28EA">
              <w:rPr>
                <w:rFonts w:ascii="Times New Roman" w:hAnsi="Times New Roman" w:cs="Times New Roman"/>
                <w:noProof/>
                <w:webHidden/>
                <w:sz w:val="24"/>
                <w:szCs w:val="24"/>
              </w:rPr>
              <w:tab/>
            </w:r>
            <w:r w:rsidR="00966F4C">
              <w:rPr>
                <w:rFonts w:ascii="Times New Roman" w:hAnsi="Times New Roman" w:cs="Times New Roman"/>
                <w:noProof/>
                <w:webHidden/>
                <w:sz w:val="24"/>
                <w:szCs w:val="24"/>
              </w:rPr>
              <w:t>13</w:t>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2" w:history="1">
            <w:r w:rsidR="006842E4" w:rsidRPr="007F28EA">
              <w:rPr>
                <w:rStyle w:val="Hyperlink"/>
                <w:rFonts w:ascii="Times New Roman" w:hAnsi="Times New Roman" w:cs="Times New Roman"/>
                <w:noProof/>
                <w:sz w:val="24"/>
                <w:szCs w:val="24"/>
              </w:rPr>
              <w:t>Debtors Collection Period</w:t>
            </w:r>
            <w:r w:rsidR="006842E4" w:rsidRPr="007F28EA">
              <w:rPr>
                <w:rFonts w:ascii="Times New Roman" w:hAnsi="Times New Roman" w:cs="Times New Roman"/>
                <w:noProof/>
                <w:webHidden/>
                <w:sz w:val="24"/>
                <w:szCs w:val="24"/>
              </w:rPr>
              <w:tab/>
            </w:r>
            <w:r w:rsidR="00FE7ECA">
              <w:rPr>
                <w:rFonts w:ascii="Times New Roman" w:hAnsi="Times New Roman" w:cs="Times New Roman"/>
                <w:noProof/>
                <w:webHidden/>
                <w:sz w:val="24"/>
                <w:szCs w:val="24"/>
              </w:rPr>
              <w:t>14</w:t>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3" w:history="1">
            <w:r w:rsidR="006842E4" w:rsidRPr="007F28EA">
              <w:rPr>
                <w:rStyle w:val="Hyperlink"/>
                <w:rFonts w:ascii="Times New Roman" w:hAnsi="Times New Roman" w:cs="Times New Roman"/>
                <w:noProof/>
                <w:sz w:val="24"/>
                <w:szCs w:val="24"/>
              </w:rPr>
              <w:t>Assets turnover ratio</w:t>
            </w:r>
            <w:r w:rsidR="006842E4" w:rsidRPr="007F28EA">
              <w:rPr>
                <w:rFonts w:ascii="Times New Roman" w:hAnsi="Times New Roman" w:cs="Times New Roman"/>
                <w:noProof/>
                <w:webHidden/>
                <w:sz w:val="24"/>
                <w:szCs w:val="24"/>
              </w:rPr>
              <w:tab/>
            </w:r>
            <w:r w:rsidR="00150A9A">
              <w:rPr>
                <w:rFonts w:ascii="Times New Roman" w:hAnsi="Times New Roman" w:cs="Times New Roman"/>
                <w:noProof/>
                <w:webHidden/>
                <w:sz w:val="24"/>
                <w:szCs w:val="24"/>
              </w:rPr>
              <w:t>14</w:t>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4" w:history="1">
            <w:r w:rsidR="006842E4" w:rsidRPr="007F28EA">
              <w:rPr>
                <w:rStyle w:val="Hyperlink"/>
                <w:rFonts w:ascii="Times New Roman" w:hAnsi="Times New Roman" w:cs="Times New Roman"/>
                <w:noProof/>
                <w:sz w:val="24"/>
                <w:szCs w:val="24"/>
              </w:rPr>
              <w:t>Current ratio</w:t>
            </w:r>
            <w:r w:rsidR="006842E4" w:rsidRPr="007F28EA">
              <w:rPr>
                <w:rFonts w:ascii="Times New Roman" w:hAnsi="Times New Roman" w:cs="Times New Roman"/>
                <w:noProof/>
                <w:webHidden/>
                <w:sz w:val="24"/>
                <w:szCs w:val="24"/>
              </w:rPr>
              <w:tab/>
            </w:r>
            <w:r w:rsidR="00FE7ECA">
              <w:rPr>
                <w:rFonts w:ascii="Times New Roman" w:hAnsi="Times New Roman" w:cs="Times New Roman"/>
                <w:noProof/>
                <w:webHidden/>
                <w:sz w:val="24"/>
                <w:szCs w:val="24"/>
              </w:rPr>
              <w:t>15</w:t>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5" w:history="1">
            <w:r w:rsidR="006842E4" w:rsidRPr="007F28EA">
              <w:rPr>
                <w:rStyle w:val="Hyperlink"/>
                <w:rFonts w:ascii="Times New Roman" w:hAnsi="Times New Roman" w:cs="Times New Roman"/>
                <w:noProof/>
                <w:sz w:val="24"/>
                <w:szCs w:val="24"/>
              </w:rPr>
              <w:t>Gearing Ratio</w:t>
            </w:r>
            <w:r w:rsidR="006842E4" w:rsidRPr="007F28EA">
              <w:rPr>
                <w:rFonts w:ascii="Times New Roman" w:hAnsi="Times New Roman" w:cs="Times New Roman"/>
                <w:noProof/>
                <w:webHidden/>
                <w:sz w:val="24"/>
                <w:szCs w:val="24"/>
              </w:rPr>
              <w:tab/>
            </w:r>
            <w:r w:rsidR="00FE7ECA">
              <w:rPr>
                <w:rFonts w:ascii="Times New Roman" w:hAnsi="Times New Roman" w:cs="Times New Roman"/>
                <w:noProof/>
                <w:webHidden/>
                <w:sz w:val="24"/>
                <w:szCs w:val="24"/>
              </w:rPr>
              <w:t>16</w:t>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6" w:history="1">
            <w:r w:rsidR="006842E4" w:rsidRPr="007F28EA">
              <w:rPr>
                <w:rStyle w:val="Hyperlink"/>
                <w:rFonts w:ascii="Times New Roman" w:hAnsi="Times New Roman" w:cs="Times New Roman"/>
                <w:noProof/>
                <w:sz w:val="24"/>
                <w:szCs w:val="24"/>
              </w:rPr>
              <w:t>Interest Cover Ratio</w:t>
            </w:r>
            <w:r w:rsidR="006842E4" w:rsidRPr="007F28EA">
              <w:rPr>
                <w:rFonts w:ascii="Times New Roman" w:hAnsi="Times New Roman" w:cs="Times New Roman"/>
                <w:noProof/>
                <w:webHidden/>
                <w:sz w:val="24"/>
                <w:szCs w:val="24"/>
              </w:rPr>
              <w:tab/>
            </w:r>
            <w:r w:rsidR="00FE7ECA">
              <w:rPr>
                <w:rFonts w:ascii="Times New Roman" w:hAnsi="Times New Roman" w:cs="Times New Roman"/>
                <w:noProof/>
                <w:webHidden/>
                <w:sz w:val="24"/>
                <w:szCs w:val="24"/>
              </w:rPr>
              <w:t>16</w:t>
            </w:r>
          </w:hyperlink>
        </w:p>
        <w:p w:rsidR="006842E4" w:rsidRPr="007F28EA" w:rsidRDefault="001B556C" w:rsidP="00B51EAA">
          <w:pPr>
            <w:pStyle w:val="TOC2"/>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7" w:history="1">
            <w:r w:rsidR="006842E4" w:rsidRPr="007F28EA">
              <w:rPr>
                <w:rStyle w:val="Hyperlink"/>
                <w:rFonts w:ascii="Times New Roman" w:hAnsi="Times New Roman" w:cs="Times New Roman"/>
                <w:noProof/>
                <w:sz w:val="24"/>
                <w:szCs w:val="24"/>
              </w:rPr>
              <w:t>Earnings per share</w:t>
            </w:r>
            <w:r w:rsidR="006842E4" w:rsidRPr="007F28EA">
              <w:rPr>
                <w:rFonts w:ascii="Times New Roman" w:hAnsi="Times New Roman" w:cs="Times New Roman"/>
                <w:noProof/>
                <w:webHidden/>
                <w:sz w:val="24"/>
                <w:szCs w:val="24"/>
              </w:rPr>
              <w:tab/>
            </w:r>
            <w:r w:rsidR="00FE7ECA">
              <w:rPr>
                <w:rFonts w:ascii="Times New Roman" w:hAnsi="Times New Roman" w:cs="Times New Roman"/>
                <w:noProof/>
                <w:webHidden/>
                <w:sz w:val="24"/>
                <w:szCs w:val="24"/>
              </w:rPr>
              <w:t>16</w:t>
            </w:r>
          </w:hyperlink>
        </w:p>
        <w:p w:rsidR="006842E4" w:rsidRPr="007F28EA" w:rsidRDefault="001B556C" w:rsidP="00B51EAA">
          <w:pPr>
            <w:pStyle w:val="TOC1"/>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8" w:history="1">
            <w:r w:rsidR="006842E4" w:rsidRPr="007F28EA">
              <w:rPr>
                <w:rStyle w:val="Hyperlink"/>
                <w:rFonts w:ascii="Times New Roman" w:hAnsi="Times New Roman" w:cs="Times New Roman"/>
                <w:noProof/>
                <w:sz w:val="24"/>
                <w:szCs w:val="24"/>
              </w:rPr>
              <w:t>Question 3</w:t>
            </w:r>
            <w:r w:rsidR="006842E4" w:rsidRPr="007F28EA">
              <w:rPr>
                <w:rFonts w:ascii="Times New Roman" w:hAnsi="Times New Roman" w:cs="Times New Roman"/>
                <w:noProof/>
                <w:webHidden/>
                <w:sz w:val="24"/>
                <w:szCs w:val="24"/>
              </w:rPr>
              <w:tab/>
            </w:r>
            <w:r w:rsidR="00966F4C">
              <w:rPr>
                <w:rFonts w:ascii="Times New Roman" w:hAnsi="Times New Roman" w:cs="Times New Roman"/>
                <w:noProof/>
                <w:webHidden/>
                <w:sz w:val="24"/>
                <w:szCs w:val="24"/>
              </w:rPr>
              <w:t>17</w:t>
            </w:r>
          </w:hyperlink>
        </w:p>
        <w:p w:rsidR="006842E4" w:rsidRPr="007F28EA" w:rsidRDefault="001B556C" w:rsidP="00B51EAA">
          <w:pPr>
            <w:pStyle w:val="TOC1"/>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79" w:history="1">
            <w:r w:rsidR="006842E4" w:rsidRPr="007F28EA">
              <w:rPr>
                <w:rStyle w:val="Hyperlink"/>
                <w:rFonts w:ascii="Times New Roman" w:hAnsi="Times New Roman" w:cs="Times New Roman"/>
                <w:noProof/>
                <w:sz w:val="24"/>
                <w:szCs w:val="24"/>
              </w:rPr>
              <w:t>Conclusion</w:t>
            </w:r>
            <w:r w:rsidR="006842E4" w:rsidRPr="007F28EA">
              <w:rPr>
                <w:rFonts w:ascii="Times New Roman" w:hAnsi="Times New Roman" w:cs="Times New Roman"/>
                <w:noProof/>
                <w:webHidden/>
                <w:sz w:val="24"/>
                <w:szCs w:val="24"/>
              </w:rPr>
              <w:tab/>
            </w:r>
            <w:r w:rsidR="00966F4C">
              <w:rPr>
                <w:rFonts w:ascii="Times New Roman" w:hAnsi="Times New Roman" w:cs="Times New Roman"/>
                <w:noProof/>
                <w:webHidden/>
                <w:sz w:val="24"/>
                <w:szCs w:val="24"/>
              </w:rPr>
              <w:t>21</w:t>
            </w:r>
          </w:hyperlink>
        </w:p>
        <w:p w:rsidR="006842E4" w:rsidRPr="007F28EA" w:rsidRDefault="00FE7ECA" w:rsidP="00B51EAA">
          <w:pPr>
            <w:pStyle w:val="TOC1"/>
            <w:tabs>
              <w:tab w:val="right" w:leader="dot" w:pos="9350"/>
            </w:tabs>
            <w:spacing w:beforeLines="240" w:before="576" w:afterLines="240" w:after="576" w:line="240" w:lineRule="atLeast"/>
            <w:contextualSpacing/>
            <w:jc w:val="both"/>
            <w:rPr>
              <w:rFonts w:ascii="Times New Roman" w:eastAsiaTheme="minorEastAsia" w:hAnsi="Times New Roman" w:cs="Times New Roman"/>
              <w:noProof/>
              <w:sz w:val="24"/>
              <w:szCs w:val="24"/>
            </w:rPr>
          </w:pPr>
          <w:hyperlink w:anchor="_Toc49072580" w:history="1">
            <w:r w:rsidR="006842E4" w:rsidRPr="007F28EA">
              <w:rPr>
                <w:rStyle w:val="Hyperlink"/>
                <w:rFonts w:ascii="Times New Roman" w:hAnsi="Times New Roman" w:cs="Times New Roman"/>
                <w:noProof/>
                <w:sz w:val="24"/>
                <w:szCs w:val="24"/>
              </w:rPr>
              <w:t>References</w:t>
            </w:r>
            <w:r w:rsidR="006842E4" w:rsidRPr="007F28EA">
              <w:rPr>
                <w:rFonts w:ascii="Times New Roman" w:hAnsi="Times New Roman" w:cs="Times New Roman"/>
                <w:noProof/>
                <w:webHidden/>
                <w:sz w:val="24"/>
                <w:szCs w:val="24"/>
              </w:rPr>
              <w:tab/>
            </w:r>
            <w:r w:rsidR="00966F4C">
              <w:rPr>
                <w:rFonts w:ascii="Times New Roman" w:hAnsi="Times New Roman" w:cs="Times New Roman"/>
                <w:noProof/>
                <w:webHidden/>
                <w:sz w:val="24"/>
                <w:szCs w:val="24"/>
              </w:rPr>
              <w:t>22</w:t>
            </w:r>
          </w:hyperlink>
        </w:p>
        <w:p w:rsidR="006842E4" w:rsidRPr="007F28EA" w:rsidRDefault="00F045BB"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fldChar w:fldCharType="end"/>
          </w:r>
        </w:p>
      </w:sdtContent>
    </w:sdt>
    <w:p w:rsidR="006842E4" w:rsidRPr="007F28EA" w:rsidRDefault="006842E4" w:rsidP="00B51EAA">
      <w:pPr>
        <w:spacing w:beforeLines="240" w:before="576" w:afterLines="240" w:after="576" w:line="240" w:lineRule="atLeast"/>
        <w:contextualSpacing/>
        <w:jc w:val="both"/>
        <w:rPr>
          <w:rFonts w:ascii="Times New Roman" w:eastAsiaTheme="majorEastAsia" w:hAnsi="Times New Roman" w:cs="Times New Roman"/>
          <w:b/>
          <w:bCs/>
          <w:color w:val="365F91" w:themeColor="accent1" w:themeShade="BF"/>
          <w:sz w:val="24"/>
          <w:szCs w:val="24"/>
          <w:vertAlign w:val="subscript"/>
        </w:rPr>
      </w:pPr>
      <w:r w:rsidRPr="007F28EA">
        <w:rPr>
          <w:rFonts w:ascii="Times New Roman" w:hAnsi="Times New Roman" w:cs="Times New Roman"/>
          <w:sz w:val="24"/>
          <w:szCs w:val="24"/>
          <w:vertAlign w:val="subscript"/>
        </w:rPr>
        <w:br w:type="page"/>
      </w:r>
    </w:p>
    <w:p w:rsidR="00140570" w:rsidRPr="007F28EA" w:rsidRDefault="00140570" w:rsidP="00B51EAA">
      <w:pPr>
        <w:pStyle w:val="Heading1"/>
        <w:spacing w:beforeLines="240" w:before="576" w:afterLines="240" w:after="576" w:line="240" w:lineRule="atLeast"/>
        <w:contextualSpacing/>
        <w:jc w:val="both"/>
        <w:rPr>
          <w:rFonts w:ascii="Times New Roman" w:hAnsi="Times New Roman" w:cs="Times New Roman"/>
          <w:sz w:val="24"/>
          <w:szCs w:val="24"/>
        </w:rPr>
      </w:pPr>
      <w:bookmarkStart w:id="0" w:name="_Toc49072564"/>
      <w:r w:rsidRPr="007F28EA">
        <w:rPr>
          <w:rFonts w:ascii="Times New Roman" w:hAnsi="Times New Roman" w:cs="Times New Roman"/>
          <w:sz w:val="24"/>
          <w:szCs w:val="24"/>
        </w:rPr>
        <w:lastRenderedPageBreak/>
        <w:t>Introduction</w:t>
      </w:r>
      <w:bookmarkEnd w:id="0"/>
    </w:p>
    <w:p w:rsidR="00140570" w:rsidRPr="007F28EA" w:rsidRDefault="00140570"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t xml:space="preserve">The assignment has been </w:t>
      </w:r>
      <w:r w:rsidR="00853211" w:rsidRPr="007F28EA">
        <w:rPr>
          <w:rFonts w:ascii="Times New Roman" w:hAnsi="Times New Roman" w:cs="Times New Roman"/>
          <w:sz w:val="24"/>
          <w:szCs w:val="24"/>
        </w:rPr>
        <w:t xml:space="preserve">prepared to determine financial position of company Wales PLC by determining financial results. The financial ratios are depicted in an appropriate context. </w:t>
      </w:r>
      <w:r w:rsidR="001125BF" w:rsidRPr="007F28EA">
        <w:rPr>
          <w:rFonts w:ascii="Times New Roman" w:hAnsi="Times New Roman" w:cs="Times New Roman"/>
          <w:sz w:val="24"/>
          <w:szCs w:val="24"/>
        </w:rPr>
        <w:t xml:space="preserve">It is considered essential for long term benefits of company. </w:t>
      </w:r>
      <w:r w:rsidR="00665601" w:rsidRPr="007F28EA">
        <w:rPr>
          <w:rFonts w:ascii="Times New Roman" w:hAnsi="Times New Roman" w:cs="Times New Roman"/>
          <w:sz w:val="24"/>
          <w:szCs w:val="24"/>
        </w:rPr>
        <w:t xml:space="preserve">The users of financial statements are also identified in the study along with certain advantages and disadvantages of financial statements. </w:t>
      </w:r>
    </w:p>
    <w:p w:rsidR="00E81682" w:rsidRPr="007F28EA" w:rsidRDefault="00B85441" w:rsidP="00B51EAA">
      <w:pPr>
        <w:pStyle w:val="Heading1"/>
        <w:spacing w:beforeLines="240" w:before="576" w:afterLines="240" w:after="576" w:line="240" w:lineRule="atLeast"/>
        <w:contextualSpacing/>
        <w:jc w:val="both"/>
        <w:rPr>
          <w:rFonts w:ascii="Times New Roman" w:hAnsi="Times New Roman" w:cs="Times New Roman"/>
          <w:sz w:val="24"/>
          <w:szCs w:val="24"/>
          <w:vertAlign w:val="subscript"/>
        </w:rPr>
      </w:pPr>
      <w:r w:rsidRPr="007F28EA">
        <w:rPr>
          <w:rFonts w:ascii="Times New Roman" w:hAnsi="Times New Roman" w:cs="Times New Roman"/>
          <w:sz w:val="24"/>
          <w:szCs w:val="24"/>
          <w:vertAlign w:val="subscript"/>
        </w:rPr>
        <w:br w:type="page"/>
      </w:r>
      <w:bookmarkStart w:id="1" w:name="_Toc49072565"/>
      <w:r w:rsidR="00E81682" w:rsidRPr="007F28EA">
        <w:rPr>
          <w:rFonts w:ascii="Times New Roman" w:hAnsi="Times New Roman" w:cs="Times New Roman"/>
          <w:sz w:val="24"/>
          <w:szCs w:val="24"/>
        </w:rPr>
        <w:lastRenderedPageBreak/>
        <w:t>Question 1</w:t>
      </w:r>
      <w:bookmarkEnd w:id="1"/>
    </w:p>
    <w:tbl>
      <w:tblPr>
        <w:tblW w:w="7920" w:type="dxa"/>
        <w:tblInd w:w="93" w:type="dxa"/>
        <w:tblLook w:val="04A0" w:firstRow="1" w:lastRow="0" w:firstColumn="1" w:lastColumn="0" w:noHBand="0" w:noVBand="1"/>
      </w:tblPr>
      <w:tblGrid>
        <w:gridCol w:w="4960"/>
        <w:gridCol w:w="1360"/>
        <w:gridCol w:w="1600"/>
      </w:tblGrid>
      <w:tr w:rsidR="00E81682" w:rsidRPr="007F28EA" w:rsidTr="00E81682">
        <w:trPr>
          <w:trHeight w:val="435"/>
        </w:trPr>
        <w:tc>
          <w:tcPr>
            <w:tcW w:w="7920" w:type="dxa"/>
            <w:gridSpan w:val="3"/>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Wales PLC</w:t>
            </w:r>
          </w:p>
        </w:tc>
      </w:tr>
      <w:tr w:rsidR="00E81682" w:rsidRPr="007F28EA" w:rsidTr="00E81682">
        <w:trPr>
          <w:trHeight w:val="435"/>
        </w:trPr>
        <w:tc>
          <w:tcPr>
            <w:tcW w:w="7920" w:type="dxa"/>
            <w:gridSpan w:val="3"/>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Income Statement</w:t>
            </w:r>
          </w:p>
        </w:tc>
      </w:tr>
      <w:tr w:rsidR="00E81682" w:rsidRPr="007F28EA" w:rsidTr="00E81682">
        <w:trPr>
          <w:trHeight w:val="435"/>
        </w:trPr>
        <w:tc>
          <w:tcPr>
            <w:tcW w:w="7920" w:type="dxa"/>
            <w:gridSpan w:val="3"/>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For the Year Ended December 31, 2019</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Notes</w:t>
            </w:r>
          </w:p>
        </w:tc>
        <w:tc>
          <w:tcPr>
            <w:tcW w:w="1600" w:type="dxa"/>
            <w:tcBorders>
              <w:top w:val="nil"/>
              <w:left w:val="nil"/>
              <w:bottom w:val="single" w:sz="4" w:space="0" w:color="auto"/>
              <w:right w:val="single" w:sz="4" w:space="0" w:color="auto"/>
            </w:tcBorders>
            <w:shd w:val="clear" w:color="000000" w:fill="FFFFFF"/>
            <w:noWrap/>
            <w:vAlign w:val="bottom"/>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Sales</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30,300 </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Cost of Sales</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7</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(16,540)</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Gross Profit</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13,760 </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Distribution Expenses</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(2,160)</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Administrative Expenses</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8</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(5,481)</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Operating Profit</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6,119 </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Finance cost</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3</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(480)</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Profit before taxation</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5,639 </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Taxation</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4</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w:t>
            </w:r>
          </w:p>
        </w:tc>
      </w:tr>
      <w:tr w:rsidR="00E81682" w:rsidRPr="007F28EA" w:rsidTr="00E81682">
        <w:trPr>
          <w:trHeight w:val="360"/>
        </w:trPr>
        <w:tc>
          <w:tcPr>
            <w:tcW w:w="4960" w:type="dxa"/>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Profit of the year</w:t>
            </w:r>
          </w:p>
        </w:tc>
        <w:tc>
          <w:tcPr>
            <w:tcW w:w="136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600" w:type="dxa"/>
            <w:tcBorders>
              <w:top w:val="nil"/>
              <w:left w:val="nil"/>
              <w:bottom w:val="single" w:sz="4" w:space="0" w:color="auto"/>
              <w:right w:val="single" w:sz="4" w:space="0" w:color="auto"/>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4,039 </w:t>
            </w:r>
          </w:p>
        </w:tc>
      </w:tr>
    </w:tbl>
    <w:p w:rsidR="00E81682" w:rsidRPr="007F28EA" w:rsidRDefault="00E81682" w:rsidP="00B51EAA">
      <w:pPr>
        <w:spacing w:beforeLines="240" w:before="576" w:afterLines="240" w:after="576" w:line="240" w:lineRule="atLeast"/>
        <w:contextualSpacing/>
        <w:jc w:val="both"/>
        <w:rPr>
          <w:rFonts w:ascii="Times New Roman" w:hAnsi="Times New Roman" w:cs="Times New Roman"/>
          <w:sz w:val="24"/>
          <w:szCs w:val="24"/>
        </w:rPr>
      </w:pPr>
    </w:p>
    <w:tbl>
      <w:tblPr>
        <w:tblW w:w="8000" w:type="dxa"/>
        <w:tblInd w:w="93" w:type="dxa"/>
        <w:tblLook w:val="04A0" w:firstRow="1" w:lastRow="0" w:firstColumn="1" w:lastColumn="0" w:noHBand="0" w:noVBand="1"/>
      </w:tblPr>
      <w:tblGrid>
        <w:gridCol w:w="640"/>
        <w:gridCol w:w="3320"/>
        <w:gridCol w:w="920"/>
        <w:gridCol w:w="1540"/>
        <w:gridCol w:w="1580"/>
      </w:tblGrid>
      <w:tr w:rsidR="00E81682" w:rsidRPr="007F28EA" w:rsidTr="00E81682">
        <w:trPr>
          <w:trHeight w:val="420"/>
        </w:trPr>
        <w:tc>
          <w:tcPr>
            <w:tcW w:w="8000" w:type="dxa"/>
            <w:gridSpan w:val="5"/>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bookmarkStart w:id="2" w:name="RANGE!A1:E33"/>
            <w:r w:rsidRPr="007F28EA">
              <w:rPr>
                <w:rFonts w:ascii="Times New Roman" w:eastAsia="Times New Roman" w:hAnsi="Times New Roman" w:cs="Times New Roman"/>
                <w:b/>
                <w:bCs/>
                <w:sz w:val="24"/>
                <w:szCs w:val="24"/>
              </w:rPr>
              <w:t>Wales PLC</w:t>
            </w:r>
            <w:bookmarkEnd w:id="2"/>
          </w:p>
        </w:tc>
      </w:tr>
      <w:tr w:rsidR="00E81682" w:rsidRPr="007F28EA" w:rsidTr="00E81682">
        <w:trPr>
          <w:trHeight w:val="420"/>
        </w:trPr>
        <w:tc>
          <w:tcPr>
            <w:tcW w:w="8000" w:type="dxa"/>
            <w:gridSpan w:val="5"/>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Statement of Financial Position</w:t>
            </w:r>
          </w:p>
        </w:tc>
      </w:tr>
      <w:tr w:rsidR="00E81682" w:rsidRPr="007F28EA" w:rsidTr="00E81682">
        <w:trPr>
          <w:trHeight w:val="420"/>
        </w:trPr>
        <w:tc>
          <w:tcPr>
            <w:tcW w:w="8000" w:type="dxa"/>
            <w:gridSpan w:val="5"/>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As at December 31, 2019</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000000"/>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Assets</w:t>
            </w:r>
          </w:p>
        </w:tc>
        <w:tc>
          <w:tcPr>
            <w:tcW w:w="920" w:type="dxa"/>
            <w:tcBorders>
              <w:top w:val="nil"/>
              <w:left w:val="nil"/>
              <w:bottom w:val="single" w:sz="4" w:space="0" w:color="auto"/>
              <w:right w:val="single" w:sz="4" w:space="0" w:color="auto"/>
            </w:tcBorders>
            <w:shd w:val="clear" w:color="000000" w:fill="FFFFFF"/>
            <w:noWrap/>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000000"/>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Non-current assets</w:t>
            </w:r>
          </w:p>
        </w:tc>
        <w:tc>
          <w:tcPr>
            <w:tcW w:w="920" w:type="dxa"/>
            <w:tcBorders>
              <w:top w:val="nil"/>
              <w:left w:val="nil"/>
              <w:bottom w:val="single" w:sz="4" w:space="0" w:color="auto"/>
              <w:right w:val="single" w:sz="4" w:space="0" w:color="auto"/>
            </w:tcBorders>
            <w:shd w:val="clear" w:color="000000" w:fill="FFFFFF"/>
            <w:noWrap/>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Notes</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580" w:type="dxa"/>
            <w:tcBorders>
              <w:top w:val="nil"/>
              <w:left w:val="nil"/>
              <w:bottom w:val="single" w:sz="4" w:space="0" w:color="auto"/>
              <w:right w:val="single" w:sz="4" w:space="0" w:color="auto"/>
            </w:tcBorders>
            <w:shd w:val="clear" w:color="000000" w:fill="FFFFFF"/>
            <w:noWrap/>
            <w:vAlign w:val="bottom"/>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Property, Plant &amp; Equipment</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49,500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000000"/>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Total non-current assets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1"/>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 xml:space="preserve">          49,500 </w:t>
            </w:r>
          </w:p>
        </w:tc>
      </w:tr>
      <w:tr w:rsidR="00E81682" w:rsidRPr="007F28EA" w:rsidTr="00E81682">
        <w:trPr>
          <w:trHeight w:val="330"/>
        </w:trPr>
        <w:tc>
          <w:tcPr>
            <w:tcW w:w="640" w:type="dxa"/>
            <w:tcBorders>
              <w:top w:val="nil"/>
              <w:left w:val="single" w:sz="4" w:space="0" w:color="auto"/>
              <w:bottom w:val="single" w:sz="4" w:space="0" w:color="auto"/>
              <w:right w:val="nil"/>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332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000000"/>
            </w:tcBorders>
            <w:shd w:val="clear" w:color="000000" w:fill="FFFFFF"/>
            <w:noWrap/>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Current Assets</w:t>
            </w:r>
          </w:p>
        </w:tc>
        <w:tc>
          <w:tcPr>
            <w:tcW w:w="920" w:type="dxa"/>
            <w:tcBorders>
              <w:top w:val="nil"/>
              <w:left w:val="nil"/>
              <w:bottom w:val="single" w:sz="4" w:space="0" w:color="auto"/>
              <w:right w:val="single" w:sz="4" w:space="0" w:color="auto"/>
            </w:tcBorders>
            <w:shd w:val="clear" w:color="000000" w:fill="FFFFFF"/>
            <w:noWrap/>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lastRenderedPageBreak/>
              <w:t>Bank</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Trade receivables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2</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8,240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Inventory</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3,120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Total current assets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1"/>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 xml:space="preserve">          11,680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Total Assets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1"/>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61,180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Liabilities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Current liabilities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Trade payables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4,480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Debenture interest payable</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3</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Income tax payable</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4</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Insurance payable</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5</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0.50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Total current liabilities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1"/>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 xml:space="preserve">            6,321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Non-current liabilities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12% Debenture 2024</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4,000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Total non-current liabilities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1"/>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 xml:space="preserve">            4,000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Total liabilities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1"/>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 xml:space="preserve">          10,321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Net Assets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1"/>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50,859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Equity</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u w:val="single"/>
              </w:rPr>
            </w:pPr>
            <w:r w:rsidRPr="007F28EA">
              <w:rPr>
                <w:rFonts w:ascii="Times New Roman" w:eastAsia="Times New Roman" w:hAnsi="Times New Roman" w:cs="Times New Roman"/>
                <w:b/>
                <w:bCs/>
                <w:sz w:val="24"/>
                <w:szCs w:val="24"/>
                <w:u w:val="single"/>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 ordinary shares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29,000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Share premium</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Retained earnings</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6</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11,859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Revaluation surplus from Land</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r>
      <w:tr w:rsidR="00E81682" w:rsidRPr="007F28EA" w:rsidTr="00E81682">
        <w:trPr>
          <w:trHeight w:val="330"/>
        </w:trPr>
        <w:tc>
          <w:tcPr>
            <w:tcW w:w="3960"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Total shareholder's equity</w:t>
            </w:r>
          </w:p>
        </w:tc>
        <w:tc>
          <w:tcPr>
            <w:tcW w:w="920" w:type="dxa"/>
            <w:tcBorders>
              <w:top w:val="nil"/>
              <w:left w:val="nil"/>
              <w:bottom w:val="single" w:sz="4" w:space="0" w:color="auto"/>
              <w:right w:val="single" w:sz="4" w:space="0" w:color="auto"/>
            </w:tcBorders>
            <w:shd w:val="clear" w:color="000000" w:fill="FFFFFF"/>
            <w:vAlign w:val="center"/>
            <w:hideMark/>
          </w:tcPr>
          <w:p w:rsidR="00E81682" w:rsidRPr="007F28EA" w:rsidRDefault="00E81682"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54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0"/>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580" w:type="dxa"/>
            <w:tcBorders>
              <w:top w:val="nil"/>
              <w:left w:val="nil"/>
              <w:bottom w:val="single" w:sz="4" w:space="0" w:color="auto"/>
              <w:right w:val="single" w:sz="4" w:space="0" w:color="auto"/>
            </w:tcBorders>
            <w:shd w:val="clear" w:color="000000" w:fill="FFFFFF"/>
            <w:hideMark/>
          </w:tcPr>
          <w:p w:rsidR="00E81682" w:rsidRPr="007F28EA" w:rsidRDefault="00E81682" w:rsidP="00B51EAA">
            <w:pPr>
              <w:spacing w:beforeLines="240" w:before="576" w:afterLines="240" w:after="576" w:line="240" w:lineRule="atLeast"/>
              <w:ind w:firstLineChars="100" w:firstLine="241"/>
              <w:contextualSpacing/>
              <w:jc w:val="both"/>
              <w:rPr>
                <w:rFonts w:ascii="Times New Roman" w:eastAsia="Times New Roman" w:hAnsi="Times New Roman" w:cs="Times New Roman"/>
                <w:b/>
                <w:bCs/>
                <w:i/>
                <w:iCs/>
                <w:sz w:val="24"/>
                <w:szCs w:val="24"/>
              </w:rPr>
            </w:pPr>
            <w:r w:rsidRPr="007F28EA">
              <w:rPr>
                <w:rFonts w:ascii="Times New Roman" w:eastAsia="Times New Roman" w:hAnsi="Times New Roman" w:cs="Times New Roman"/>
                <w:b/>
                <w:bCs/>
                <w:i/>
                <w:iCs/>
                <w:sz w:val="24"/>
                <w:szCs w:val="24"/>
              </w:rPr>
              <w:t xml:space="preserve">          50,859 </w:t>
            </w:r>
          </w:p>
        </w:tc>
      </w:tr>
    </w:tbl>
    <w:p w:rsidR="00E81682" w:rsidRPr="007F28EA" w:rsidRDefault="00E81682" w:rsidP="00B51EAA">
      <w:pPr>
        <w:spacing w:beforeLines="240" w:before="576" w:afterLines="240" w:after="576" w:line="240" w:lineRule="atLeast"/>
        <w:contextualSpacing/>
        <w:jc w:val="both"/>
        <w:rPr>
          <w:rFonts w:ascii="Times New Roman" w:hAnsi="Times New Roman" w:cs="Times New Roman"/>
          <w:sz w:val="24"/>
          <w:szCs w:val="24"/>
        </w:rPr>
      </w:pPr>
    </w:p>
    <w:tbl>
      <w:tblPr>
        <w:tblW w:w="6860" w:type="dxa"/>
        <w:tblInd w:w="93" w:type="dxa"/>
        <w:tblLook w:val="04A0" w:firstRow="1" w:lastRow="0" w:firstColumn="1" w:lastColumn="0" w:noHBand="0" w:noVBand="1"/>
      </w:tblPr>
      <w:tblGrid>
        <w:gridCol w:w="2780"/>
        <w:gridCol w:w="1000"/>
        <w:gridCol w:w="1100"/>
        <w:gridCol w:w="880"/>
        <w:gridCol w:w="1100"/>
      </w:tblGrid>
      <w:tr w:rsidR="00083E58" w:rsidRPr="007F28EA" w:rsidTr="00083E58">
        <w:trPr>
          <w:trHeight w:val="345"/>
        </w:trPr>
        <w:tc>
          <w:tcPr>
            <w:tcW w:w="2780" w:type="dxa"/>
            <w:tcBorders>
              <w:top w:val="single" w:sz="4" w:space="0" w:color="auto"/>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lastRenderedPageBreak/>
              <w:t>Note 1: Property, Plant &amp; Equipment</w:t>
            </w:r>
          </w:p>
        </w:tc>
        <w:tc>
          <w:tcPr>
            <w:tcW w:w="1000" w:type="dxa"/>
            <w:tcBorders>
              <w:top w:val="single" w:sz="4" w:space="0" w:color="auto"/>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1100" w:type="dxa"/>
            <w:tcBorders>
              <w:top w:val="single" w:sz="4" w:space="0" w:color="auto"/>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880" w:type="dxa"/>
            <w:tcBorders>
              <w:top w:val="single" w:sz="4" w:space="0" w:color="auto"/>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1100" w:type="dxa"/>
            <w:tcBorders>
              <w:top w:val="single" w:sz="4" w:space="0" w:color="auto"/>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Land</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Building</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Plant</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Total</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Cost</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15,000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16,000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25,600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56,600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Less: </w:t>
            </w:r>
            <w:r w:rsidRPr="007F28EA">
              <w:rPr>
                <w:rFonts w:ascii="Times New Roman" w:eastAsia="Times New Roman" w:hAnsi="Times New Roman" w:cs="Times New Roman"/>
                <w:sz w:val="24"/>
                <w:szCs w:val="24"/>
              </w:rPr>
              <w:t>Accumulated Depreciation</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4,260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4,960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9,220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Cost at January 1, 2019</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15,000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11,740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20,640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47,380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b/>
                <w:bCs/>
                <w:sz w:val="24"/>
                <w:szCs w:val="24"/>
              </w:rPr>
              <w:t>Less:</w:t>
            </w:r>
            <w:r w:rsidRPr="007F28EA">
              <w:rPr>
                <w:rFonts w:ascii="Times New Roman" w:eastAsia="Times New Roman" w:hAnsi="Times New Roman" w:cs="Times New Roman"/>
                <w:sz w:val="24"/>
                <w:szCs w:val="24"/>
              </w:rPr>
              <w:t xml:space="preserve"> Depreciation at December 31, 2019</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2,560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2,880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Add: </w:t>
            </w:r>
            <w:r w:rsidRPr="007F28EA">
              <w:rPr>
                <w:rFonts w:ascii="Times New Roman" w:eastAsia="Times New Roman" w:hAnsi="Times New Roman" w:cs="Times New Roman"/>
                <w:sz w:val="24"/>
                <w:szCs w:val="24"/>
              </w:rPr>
              <w:t>Revaluation Gain (Implementation under IFRS 16)</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Cost at December 31, 2019</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20,000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11,420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18,080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49,500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Note 2: Trade receivables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Trade receivables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8,240.00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less: Bad debts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0.24 </w:t>
            </w:r>
          </w:p>
        </w:tc>
      </w:tr>
      <w:tr w:rsidR="00083E58" w:rsidRPr="007F28EA" w:rsidTr="00083E58">
        <w:trPr>
          <w:trHeight w:val="375"/>
        </w:trPr>
        <w:tc>
          <w:tcPr>
            <w:tcW w:w="4880" w:type="dxa"/>
            <w:gridSpan w:val="3"/>
            <w:tcBorders>
              <w:top w:val="single" w:sz="4" w:space="0" w:color="auto"/>
              <w:left w:val="single" w:sz="4" w:space="0" w:color="auto"/>
              <w:bottom w:val="single" w:sz="4" w:space="0" w:color="auto"/>
              <w:right w:val="single" w:sz="4" w:space="0" w:color="auto"/>
            </w:tcBorders>
            <w:shd w:val="clear" w:color="000000" w:fill="FFFFFF"/>
            <w:vAlign w:val="center"/>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8,239.76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less: Allowances for doubtful debts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0.16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Trade receivables, net of allowances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8,239.60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Note 3: Finance cost</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Total annual interest on debenture/Finance cost</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480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Debenture interest paid</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Debenture interest payable</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Note 4 - Income tax liability</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Income tax liability for the year is estimated at £1,600,000</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lastRenderedPageBreak/>
              <w:t>Note 5: Insurance fee</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auto" w:fill="auto"/>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color w:val="000000"/>
                <w:sz w:val="24"/>
                <w:szCs w:val="24"/>
              </w:rPr>
            </w:pPr>
            <w:r w:rsidRPr="007F28EA">
              <w:rPr>
                <w:rFonts w:ascii="Times New Roman" w:eastAsia="Times New Roman" w:hAnsi="Times New Roman" w:cs="Times New Roman"/>
                <w:color w:val="000000"/>
                <w:sz w:val="24"/>
                <w:szCs w:val="24"/>
              </w:rPr>
              <w:t>At 31 December 2019, insurance fees of £500 were outstanding. They are to be charged to administration expenses.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bookmarkStart w:id="3" w:name="RANGE!A28:C32"/>
            <w:r w:rsidRPr="007F28EA">
              <w:rPr>
                <w:rFonts w:ascii="Times New Roman" w:eastAsia="Times New Roman" w:hAnsi="Times New Roman" w:cs="Times New Roman"/>
                <w:b/>
                <w:bCs/>
                <w:sz w:val="24"/>
                <w:szCs w:val="24"/>
              </w:rPr>
              <w:t>Note 6: Statement of Retained Earnings</w:t>
            </w:r>
            <w:bookmarkEnd w:id="3"/>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Retained earnings (1/1/19) </w:t>
            </w:r>
          </w:p>
        </w:tc>
        <w:tc>
          <w:tcPr>
            <w:tcW w:w="1000" w:type="dxa"/>
            <w:tcBorders>
              <w:top w:val="nil"/>
              <w:left w:val="nil"/>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8,380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Add: Profit </w:t>
            </w:r>
          </w:p>
        </w:tc>
        <w:tc>
          <w:tcPr>
            <w:tcW w:w="1000" w:type="dxa"/>
            <w:tcBorders>
              <w:top w:val="nil"/>
              <w:left w:val="nil"/>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4,039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Less: Dividends </w:t>
            </w:r>
          </w:p>
        </w:tc>
        <w:tc>
          <w:tcPr>
            <w:tcW w:w="1000" w:type="dxa"/>
            <w:tcBorders>
              <w:top w:val="nil"/>
              <w:left w:val="nil"/>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560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Retained earnings (31/12/19) </w:t>
            </w:r>
          </w:p>
        </w:tc>
        <w:tc>
          <w:tcPr>
            <w:tcW w:w="1000" w:type="dxa"/>
            <w:tcBorders>
              <w:top w:val="nil"/>
              <w:left w:val="nil"/>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11,859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Note: 7 - Cost of goods sold</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CGS (from unadjusted trial balance)</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16,220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Add: Depreciation: Building</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Cost of goods sold</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16,540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Note 8: Administrative Expenses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Administrative Expenses (from unadjusted trial balance)</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2,920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Add: Depreciation: Plant</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2,560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Add: Bad Debts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0.24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Add: Allowances for doubtful debts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0.16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Add: Insurance expenses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0.50 </w:t>
            </w:r>
          </w:p>
        </w:tc>
      </w:tr>
      <w:tr w:rsidR="00083E58" w:rsidRPr="007F28EA" w:rsidTr="00083E58">
        <w:trPr>
          <w:trHeight w:val="345"/>
        </w:trPr>
        <w:tc>
          <w:tcPr>
            <w:tcW w:w="2780" w:type="dxa"/>
            <w:tcBorders>
              <w:top w:val="nil"/>
              <w:left w:val="single" w:sz="4" w:space="0" w:color="auto"/>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Total administrative expenses</w:t>
            </w:r>
          </w:p>
        </w:tc>
        <w:tc>
          <w:tcPr>
            <w:tcW w:w="10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88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100" w:type="dxa"/>
            <w:tcBorders>
              <w:top w:val="nil"/>
              <w:left w:val="nil"/>
              <w:bottom w:val="single" w:sz="4" w:space="0" w:color="auto"/>
              <w:right w:val="single" w:sz="4" w:space="0" w:color="auto"/>
            </w:tcBorders>
            <w:shd w:val="clear" w:color="000000" w:fill="FFFFFF"/>
            <w:vAlign w:val="bottom"/>
            <w:hideMark/>
          </w:tcPr>
          <w:p w:rsidR="00083E58" w:rsidRPr="007F28EA" w:rsidRDefault="00083E58"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5,480.90 </w:t>
            </w:r>
          </w:p>
        </w:tc>
      </w:tr>
    </w:tbl>
    <w:p w:rsidR="00E81682" w:rsidRPr="007F28EA" w:rsidRDefault="00E81682" w:rsidP="00B51EAA">
      <w:pPr>
        <w:spacing w:beforeLines="240" w:before="576" w:afterLines="240" w:after="576" w:line="240" w:lineRule="atLeast"/>
        <w:contextualSpacing/>
        <w:jc w:val="both"/>
        <w:rPr>
          <w:rFonts w:ascii="Times New Roman" w:hAnsi="Times New Roman" w:cs="Times New Roman"/>
          <w:sz w:val="24"/>
          <w:szCs w:val="24"/>
        </w:rPr>
      </w:pPr>
    </w:p>
    <w:tbl>
      <w:tblPr>
        <w:tblW w:w="9390" w:type="dxa"/>
        <w:tblInd w:w="93" w:type="dxa"/>
        <w:tblLook w:val="04A0" w:firstRow="1" w:lastRow="0" w:firstColumn="1" w:lastColumn="0" w:noHBand="0" w:noVBand="1"/>
      </w:tblPr>
      <w:tblGrid>
        <w:gridCol w:w="921"/>
        <w:gridCol w:w="695"/>
        <w:gridCol w:w="1402"/>
        <w:gridCol w:w="1198"/>
        <w:gridCol w:w="1265"/>
        <w:gridCol w:w="1198"/>
        <w:gridCol w:w="1402"/>
        <w:gridCol w:w="1402"/>
      </w:tblGrid>
      <w:tr w:rsidR="00C4627B" w:rsidRPr="007F28EA" w:rsidTr="00C4627B">
        <w:trPr>
          <w:trHeight w:val="405"/>
        </w:trPr>
        <w:tc>
          <w:tcPr>
            <w:tcW w:w="9390" w:type="dxa"/>
            <w:gridSpan w:val="8"/>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Wales PLC</w:t>
            </w:r>
          </w:p>
        </w:tc>
      </w:tr>
      <w:tr w:rsidR="00C4627B" w:rsidRPr="007F28EA" w:rsidTr="00C4627B">
        <w:trPr>
          <w:trHeight w:val="405"/>
        </w:trPr>
        <w:tc>
          <w:tcPr>
            <w:tcW w:w="9390" w:type="dxa"/>
            <w:gridSpan w:val="8"/>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lastRenderedPageBreak/>
              <w:t>Adjusted Trial balance</w:t>
            </w:r>
          </w:p>
        </w:tc>
      </w:tr>
      <w:tr w:rsidR="00C4627B" w:rsidRPr="007F28EA" w:rsidTr="00C4627B">
        <w:trPr>
          <w:trHeight w:val="405"/>
        </w:trPr>
        <w:tc>
          <w:tcPr>
            <w:tcW w:w="9390" w:type="dxa"/>
            <w:gridSpan w:val="8"/>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For the period ended Dec 31, 2019.</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441" w:type="dxa"/>
            <w:tcBorders>
              <w:top w:val="nil"/>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1230" w:type="dxa"/>
            <w:tcBorders>
              <w:top w:val="nil"/>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1300" w:type="dxa"/>
            <w:tcBorders>
              <w:top w:val="nil"/>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1230" w:type="dxa"/>
            <w:tcBorders>
              <w:top w:val="nil"/>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1441" w:type="dxa"/>
            <w:tcBorders>
              <w:top w:val="nil"/>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1441" w:type="dxa"/>
            <w:tcBorders>
              <w:top w:val="nil"/>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r>
      <w:tr w:rsidR="00C4627B" w:rsidRPr="007F28EA" w:rsidTr="00C4627B">
        <w:trPr>
          <w:trHeight w:val="315"/>
        </w:trPr>
        <w:tc>
          <w:tcPr>
            <w:tcW w:w="746" w:type="dxa"/>
            <w:tcBorders>
              <w:top w:val="nil"/>
              <w:left w:val="single" w:sz="4" w:space="0" w:color="auto"/>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561" w:type="dxa"/>
            <w:tcBorders>
              <w:top w:val="nil"/>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2671" w:type="dxa"/>
            <w:gridSpan w:val="2"/>
            <w:tcBorders>
              <w:top w:val="single" w:sz="4" w:space="0" w:color="auto"/>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Un</w:t>
            </w:r>
            <w:r w:rsidR="007606E0" w:rsidRPr="007F28EA">
              <w:rPr>
                <w:rFonts w:ascii="Times New Roman" w:eastAsia="Times New Roman" w:hAnsi="Times New Roman" w:cs="Times New Roman"/>
                <w:b/>
                <w:bCs/>
                <w:sz w:val="24"/>
                <w:szCs w:val="24"/>
              </w:rPr>
              <w:t xml:space="preserve"> </w:t>
            </w:r>
            <w:r w:rsidRPr="007F28EA">
              <w:rPr>
                <w:rFonts w:ascii="Times New Roman" w:eastAsia="Times New Roman" w:hAnsi="Times New Roman" w:cs="Times New Roman"/>
                <w:b/>
                <w:bCs/>
                <w:sz w:val="24"/>
                <w:szCs w:val="24"/>
              </w:rPr>
              <w:t>adjusting Entries</w:t>
            </w:r>
          </w:p>
        </w:tc>
        <w:tc>
          <w:tcPr>
            <w:tcW w:w="2530" w:type="dxa"/>
            <w:gridSpan w:val="2"/>
            <w:tcBorders>
              <w:top w:val="single" w:sz="4" w:space="0" w:color="auto"/>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Adjusting Entries</w:t>
            </w:r>
          </w:p>
        </w:tc>
        <w:tc>
          <w:tcPr>
            <w:tcW w:w="2882" w:type="dxa"/>
            <w:gridSpan w:val="2"/>
            <w:tcBorders>
              <w:top w:val="single" w:sz="4" w:space="0" w:color="auto"/>
              <w:left w:val="nil"/>
              <w:bottom w:val="single" w:sz="4" w:space="0" w:color="auto"/>
              <w:right w:val="single" w:sz="4" w:space="0" w:color="auto"/>
            </w:tcBorders>
            <w:shd w:val="clear" w:color="000000" w:fill="FFFFFF"/>
            <w:noWrap/>
            <w:vAlign w:val="bottom"/>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Adjusted Balances</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Sales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30,300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30,300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Revaluation gain from Land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Cost of Sales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16,220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16,220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Distribution Expenses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2,160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2,160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Administrative expenses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2,920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2,920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Income tax expenses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Insurance Expense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0.5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0.50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Bad Debts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0.24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0.24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Allowances for doubtful debts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0.16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0.16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Debenture interest expense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Depreciation Expense: Building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Depreciation Expense: Plant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2,560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2,560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Land at cost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15,000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20,000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Building at cost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Buildings: Accumulatd depreciation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4,260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4,580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Plant at cost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25,600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25,600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Plant: </w:t>
            </w:r>
            <w:r w:rsidRPr="007F28EA">
              <w:rPr>
                <w:rFonts w:ascii="Times New Roman" w:eastAsia="Times New Roman" w:hAnsi="Times New Roman" w:cs="Times New Roman"/>
                <w:sz w:val="24"/>
                <w:szCs w:val="24"/>
              </w:rPr>
              <w:lastRenderedPageBreak/>
              <w:t xml:space="preserve">Accumulated depreciation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lastRenderedPageBreak/>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w:t>
            </w:r>
            <w:r w:rsidRPr="007F28EA">
              <w:rPr>
                <w:rFonts w:ascii="Times New Roman" w:eastAsia="Times New Roman" w:hAnsi="Times New Roman" w:cs="Times New Roman"/>
                <w:sz w:val="24"/>
                <w:szCs w:val="24"/>
              </w:rPr>
              <w:lastRenderedPageBreak/>
              <w:t xml:space="preserve">4,960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lastRenderedPageBreak/>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w:t>
            </w:r>
            <w:r w:rsidRPr="007F28EA">
              <w:rPr>
                <w:rFonts w:ascii="Times New Roman" w:eastAsia="Times New Roman" w:hAnsi="Times New Roman" w:cs="Times New Roman"/>
                <w:sz w:val="24"/>
                <w:szCs w:val="24"/>
              </w:rPr>
              <w:lastRenderedPageBreak/>
              <w:t xml:space="preserve">2,560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lastRenderedPageBreak/>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w:t>
            </w:r>
            <w:r w:rsidRPr="007F28EA">
              <w:rPr>
                <w:rFonts w:ascii="Times New Roman" w:eastAsia="Times New Roman" w:hAnsi="Times New Roman" w:cs="Times New Roman"/>
                <w:sz w:val="24"/>
                <w:szCs w:val="24"/>
              </w:rPr>
              <w:lastRenderedPageBreak/>
              <w:t xml:space="preserve">7,520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lastRenderedPageBreak/>
              <w:t xml:space="preserve"> Trade receivables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8,240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0.40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8,240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Trade payables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4,480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4,480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Income tax payable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Insurance payable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0.50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0.50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Inventory at 31 December 2019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3,120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3,120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Bank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 ordinary shares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29,000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29,000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Share premium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Retained profits at 1st January 2019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8,380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8,380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12% Debenture 2024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4,000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4,000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Debenture interest payable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Debenture interest paid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Dividend paid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560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560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C4627B" w:rsidRPr="007F28EA" w:rsidTr="00C4627B">
        <w:trPr>
          <w:trHeight w:val="315"/>
        </w:trPr>
        <w:tc>
          <w:tcPr>
            <w:tcW w:w="1307" w:type="dxa"/>
            <w:gridSpan w:val="2"/>
            <w:tcBorders>
              <w:top w:val="single" w:sz="4" w:space="0" w:color="auto"/>
              <w:left w:val="single" w:sz="4" w:space="0" w:color="auto"/>
              <w:bottom w:val="single" w:sz="4" w:space="0" w:color="auto"/>
              <w:right w:val="single" w:sz="4" w:space="0" w:color="auto"/>
            </w:tcBorders>
            <w:shd w:val="clear" w:color="000000" w:fill="FFFFFF"/>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90,380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90,380 </w:t>
            </w:r>
          </w:p>
        </w:tc>
        <w:tc>
          <w:tcPr>
            <w:tcW w:w="130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9,720.90 </w:t>
            </w:r>
          </w:p>
        </w:tc>
        <w:tc>
          <w:tcPr>
            <w:tcW w:w="1230"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9,720.90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100,100.50 </w:t>
            </w:r>
          </w:p>
        </w:tc>
        <w:tc>
          <w:tcPr>
            <w:tcW w:w="1441" w:type="dxa"/>
            <w:tcBorders>
              <w:top w:val="nil"/>
              <w:left w:val="nil"/>
              <w:bottom w:val="single" w:sz="4" w:space="0" w:color="auto"/>
              <w:right w:val="single" w:sz="4" w:space="0" w:color="auto"/>
            </w:tcBorders>
            <w:shd w:val="clear" w:color="000000" w:fill="FFFFFF"/>
            <w:noWrap/>
            <w:hideMark/>
          </w:tcPr>
          <w:p w:rsidR="00C4627B" w:rsidRPr="007F28EA" w:rsidRDefault="00C4627B"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100,100.50 </w:t>
            </w:r>
          </w:p>
        </w:tc>
      </w:tr>
    </w:tbl>
    <w:p w:rsidR="00083E58" w:rsidRPr="007F28EA" w:rsidRDefault="00083E58" w:rsidP="00B51EAA">
      <w:pPr>
        <w:spacing w:beforeLines="240" w:before="576" w:afterLines="240" w:after="576" w:line="240" w:lineRule="atLeast"/>
        <w:contextualSpacing/>
        <w:jc w:val="both"/>
        <w:rPr>
          <w:rFonts w:ascii="Times New Roman" w:hAnsi="Times New Roman" w:cs="Times New Roman"/>
          <w:sz w:val="24"/>
          <w:szCs w:val="24"/>
        </w:rPr>
      </w:pPr>
    </w:p>
    <w:tbl>
      <w:tblPr>
        <w:tblW w:w="6360" w:type="dxa"/>
        <w:tblInd w:w="93" w:type="dxa"/>
        <w:tblLook w:val="04A0" w:firstRow="1" w:lastRow="0" w:firstColumn="1" w:lastColumn="0" w:noHBand="0" w:noVBand="1"/>
      </w:tblPr>
      <w:tblGrid>
        <w:gridCol w:w="3660"/>
        <w:gridCol w:w="1316"/>
        <w:gridCol w:w="1384"/>
      </w:tblGrid>
      <w:tr w:rsidR="00683B34" w:rsidRPr="007F28EA" w:rsidTr="00683B34">
        <w:trPr>
          <w:trHeight w:val="405"/>
        </w:trPr>
        <w:tc>
          <w:tcPr>
            <w:tcW w:w="6360" w:type="dxa"/>
            <w:gridSpan w:val="3"/>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Unadjusted Trial balance</w:t>
            </w:r>
          </w:p>
        </w:tc>
      </w:tr>
      <w:tr w:rsidR="00683B34" w:rsidRPr="007F28EA" w:rsidTr="00683B34">
        <w:trPr>
          <w:trHeight w:val="405"/>
        </w:trPr>
        <w:tc>
          <w:tcPr>
            <w:tcW w:w="6360" w:type="dxa"/>
            <w:gridSpan w:val="3"/>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For the period ended Dec 31, 2019.</w:t>
            </w:r>
          </w:p>
        </w:tc>
      </w:tr>
      <w:tr w:rsidR="00683B34" w:rsidRPr="007F28EA" w:rsidTr="00683B34">
        <w:trPr>
          <w:trHeight w:val="315"/>
        </w:trPr>
        <w:tc>
          <w:tcPr>
            <w:tcW w:w="3660" w:type="dxa"/>
            <w:tcBorders>
              <w:top w:val="single" w:sz="4" w:space="0" w:color="auto"/>
              <w:left w:val="single" w:sz="4" w:space="0" w:color="auto"/>
              <w:bottom w:val="single" w:sz="4" w:space="0" w:color="auto"/>
              <w:right w:val="nil"/>
            </w:tcBorders>
            <w:shd w:val="clear" w:color="000000" w:fill="FFFFFF"/>
            <w:noWrap/>
            <w:vAlign w:val="bottom"/>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316" w:type="dxa"/>
            <w:tcBorders>
              <w:top w:val="nil"/>
              <w:left w:val="nil"/>
              <w:bottom w:val="single" w:sz="4" w:space="0" w:color="auto"/>
              <w:right w:val="single" w:sz="4" w:space="0" w:color="auto"/>
            </w:tcBorders>
            <w:shd w:val="clear" w:color="000000" w:fill="FFFFFF"/>
            <w:noWrap/>
            <w:vAlign w:val="bottom"/>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c>
          <w:tcPr>
            <w:tcW w:w="1384" w:type="dxa"/>
            <w:tcBorders>
              <w:top w:val="nil"/>
              <w:left w:val="nil"/>
              <w:bottom w:val="single" w:sz="4" w:space="0" w:color="auto"/>
              <w:right w:val="single" w:sz="4" w:space="0" w:color="auto"/>
            </w:tcBorders>
            <w:shd w:val="clear" w:color="000000" w:fill="FFFFFF"/>
            <w:noWrap/>
            <w:vAlign w:val="bottom"/>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£'000</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Sales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30,300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Cost of Sales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16,220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Distribution Expenses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2,160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lastRenderedPageBreak/>
              <w:t xml:space="preserve"> Administrative expenses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2,920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Land at cost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15,000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Building at cost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16,000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Buildings: Accumulatd depreciation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4,260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Plant at cost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25,600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Plant: Accumulated depreciation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4,960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Trade receivables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8,240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Trade payables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4,480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Inventory at 31 December 2019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3,120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Bank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320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 ordinary shares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29,000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Share premium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5,000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Retained profits at 1st January 2019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8,380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12% Debenture 2024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4,000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Debenture interest paid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240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Dividend paid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xml:space="preserve">             560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r>
      <w:tr w:rsidR="00683B34" w:rsidRPr="007F28EA" w:rsidTr="00683B34">
        <w:trPr>
          <w:trHeight w:val="315"/>
        </w:trPr>
        <w:tc>
          <w:tcPr>
            <w:tcW w:w="3660" w:type="dxa"/>
            <w:tcBorders>
              <w:top w:val="single" w:sz="4" w:space="0" w:color="auto"/>
              <w:left w:val="single" w:sz="4" w:space="0" w:color="auto"/>
              <w:bottom w:val="single" w:sz="4" w:space="0" w:color="auto"/>
              <w:right w:val="single" w:sz="4" w:space="0" w:color="auto"/>
            </w:tcBorders>
            <w:shd w:val="clear" w:color="000000" w:fill="FFFFFF"/>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w:t>
            </w:r>
          </w:p>
        </w:tc>
        <w:tc>
          <w:tcPr>
            <w:tcW w:w="1316"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90,380 </w:t>
            </w:r>
          </w:p>
        </w:tc>
        <w:tc>
          <w:tcPr>
            <w:tcW w:w="1384" w:type="dxa"/>
            <w:tcBorders>
              <w:top w:val="nil"/>
              <w:left w:val="nil"/>
              <w:bottom w:val="single" w:sz="4" w:space="0" w:color="auto"/>
              <w:right w:val="single" w:sz="4" w:space="0" w:color="auto"/>
            </w:tcBorders>
            <w:shd w:val="clear" w:color="000000" w:fill="FFFFFF"/>
            <w:noWrap/>
            <w:hideMark/>
          </w:tcPr>
          <w:p w:rsidR="00683B34" w:rsidRPr="007F28EA" w:rsidRDefault="00683B34"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90,380 </w:t>
            </w:r>
          </w:p>
        </w:tc>
      </w:tr>
    </w:tbl>
    <w:p w:rsidR="007606E0" w:rsidRPr="007F28EA" w:rsidRDefault="007606E0" w:rsidP="00B51EAA">
      <w:pPr>
        <w:spacing w:beforeLines="240" w:before="576" w:afterLines="240" w:after="576" w:line="240" w:lineRule="atLeast"/>
        <w:contextualSpacing/>
        <w:jc w:val="both"/>
        <w:rPr>
          <w:rFonts w:ascii="Times New Roman" w:hAnsi="Times New Roman" w:cs="Times New Roman"/>
          <w:sz w:val="24"/>
          <w:szCs w:val="24"/>
        </w:rPr>
      </w:pPr>
    </w:p>
    <w:p w:rsidR="006512EA" w:rsidRPr="007F28EA" w:rsidRDefault="006512EA" w:rsidP="00B51EAA">
      <w:pPr>
        <w:spacing w:beforeLines="240" w:before="576" w:afterLines="240" w:after="576" w:line="240" w:lineRule="atLeast"/>
        <w:contextualSpacing/>
        <w:jc w:val="both"/>
        <w:rPr>
          <w:rFonts w:ascii="Times New Roman" w:hAnsi="Times New Roman" w:cs="Times New Roman"/>
          <w:sz w:val="24"/>
          <w:szCs w:val="24"/>
        </w:rPr>
      </w:pPr>
    </w:p>
    <w:p w:rsidR="00FE459F" w:rsidRPr="007F28EA" w:rsidRDefault="00FE459F" w:rsidP="00B51EAA">
      <w:pPr>
        <w:spacing w:beforeLines="240" w:before="576" w:afterLines="240" w:after="576" w:line="240" w:lineRule="atLeast"/>
        <w:contextualSpacing/>
        <w:jc w:val="both"/>
        <w:rPr>
          <w:rFonts w:ascii="Times New Roman" w:hAnsi="Times New Roman" w:cs="Times New Roman"/>
          <w:sz w:val="24"/>
          <w:szCs w:val="24"/>
        </w:rPr>
      </w:pPr>
    </w:p>
    <w:p w:rsidR="00FE459F" w:rsidRPr="007F28EA" w:rsidRDefault="00FE459F" w:rsidP="00B51EAA">
      <w:pPr>
        <w:spacing w:beforeLines="240" w:before="576" w:afterLines="240" w:after="576" w:line="240" w:lineRule="atLeast"/>
        <w:contextualSpacing/>
        <w:jc w:val="both"/>
        <w:rPr>
          <w:rFonts w:ascii="Times New Roman" w:hAnsi="Times New Roman" w:cs="Times New Roman"/>
          <w:sz w:val="24"/>
          <w:szCs w:val="24"/>
        </w:rPr>
      </w:pPr>
    </w:p>
    <w:p w:rsidR="00FE459F" w:rsidRPr="007F28EA" w:rsidRDefault="00FE459F" w:rsidP="00B51EAA">
      <w:pPr>
        <w:spacing w:beforeLines="240" w:before="576" w:afterLines="240" w:after="576" w:line="240" w:lineRule="atLeast"/>
        <w:contextualSpacing/>
        <w:jc w:val="both"/>
        <w:rPr>
          <w:rFonts w:ascii="Times New Roman" w:hAnsi="Times New Roman" w:cs="Times New Roman"/>
          <w:sz w:val="24"/>
          <w:szCs w:val="24"/>
        </w:rPr>
      </w:pPr>
    </w:p>
    <w:p w:rsidR="00FE459F" w:rsidRPr="007F28EA" w:rsidRDefault="00FE459F" w:rsidP="00B51EAA">
      <w:pPr>
        <w:spacing w:beforeLines="240" w:before="576" w:afterLines="240" w:after="576" w:line="240" w:lineRule="atLeast"/>
        <w:contextualSpacing/>
        <w:jc w:val="both"/>
        <w:rPr>
          <w:rFonts w:ascii="Times New Roman" w:hAnsi="Times New Roman" w:cs="Times New Roman"/>
          <w:sz w:val="24"/>
          <w:szCs w:val="24"/>
        </w:rPr>
      </w:pPr>
    </w:p>
    <w:p w:rsidR="00120FC6" w:rsidRPr="007F28EA" w:rsidRDefault="00120FC6">
      <w:pPr>
        <w:rPr>
          <w:rFonts w:ascii="Times New Roman" w:eastAsiaTheme="majorEastAsia" w:hAnsi="Times New Roman" w:cs="Times New Roman"/>
          <w:b/>
          <w:bCs/>
          <w:color w:val="365F91" w:themeColor="accent1" w:themeShade="BF"/>
          <w:sz w:val="24"/>
          <w:szCs w:val="24"/>
          <w:vertAlign w:val="subscript"/>
        </w:rPr>
      </w:pPr>
      <w:bookmarkStart w:id="4" w:name="_Toc49072566"/>
      <w:r w:rsidRPr="007F28EA">
        <w:rPr>
          <w:rFonts w:ascii="Times New Roman" w:hAnsi="Times New Roman" w:cs="Times New Roman"/>
          <w:sz w:val="24"/>
          <w:szCs w:val="24"/>
          <w:vertAlign w:val="subscript"/>
        </w:rPr>
        <w:br w:type="page"/>
      </w:r>
    </w:p>
    <w:p w:rsidR="00FE459F" w:rsidRPr="007F28EA" w:rsidRDefault="00FE459F" w:rsidP="00B51EAA">
      <w:pPr>
        <w:pStyle w:val="Heading1"/>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lastRenderedPageBreak/>
        <w:t>Question 2</w:t>
      </w:r>
      <w:bookmarkEnd w:id="4"/>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sz w:val="24"/>
          <w:szCs w:val="24"/>
        </w:rPr>
      </w:pPr>
      <w:r w:rsidRPr="007F28EA">
        <w:rPr>
          <w:rFonts w:ascii="Times New Roman" w:hAnsi="Times New Roman" w:cs="Times New Roman"/>
          <w:b/>
          <w:bCs/>
          <w:sz w:val="24"/>
          <w:szCs w:val="24"/>
        </w:rPr>
        <w:t>Jerry PLC Supplies</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sz w:val="24"/>
          <w:szCs w:val="24"/>
        </w:rPr>
      </w:pPr>
      <w:r w:rsidRPr="007F28EA">
        <w:rPr>
          <w:rFonts w:ascii="Times New Roman" w:hAnsi="Times New Roman" w:cs="Times New Roman"/>
          <w:b/>
          <w:bCs/>
          <w:sz w:val="24"/>
          <w:szCs w:val="24"/>
        </w:rPr>
        <w:t>Financial Ratios &amp; Interpretations</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sz w:val="24"/>
          <w:szCs w:val="24"/>
        </w:rPr>
      </w:pPr>
    </w:p>
    <w:tbl>
      <w:tblPr>
        <w:tblW w:w="5000" w:type="pct"/>
        <w:tblLook w:val="04A0" w:firstRow="1" w:lastRow="0" w:firstColumn="1" w:lastColumn="0" w:noHBand="0" w:noVBand="1"/>
      </w:tblPr>
      <w:tblGrid>
        <w:gridCol w:w="3555"/>
        <w:gridCol w:w="910"/>
        <w:gridCol w:w="2574"/>
        <w:gridCol w:w="2537"/>
      </w:tblGrid>
      <w:tr w:rsidR="00316D6F" w:rsidRPr="007F28EA" w:rsidTr="00302CBE">
        <w:trPr>
          <w:trHeight w:val="630"/>
        </w:trPr>
        <w:tc>
          <w:tcPr>
            <w:tcW w:w="5000" w:type="pct"/>
            <w:gridSpan w:val="4"/>
            <w:tcBorders>
              <w:top w:val="single" w:sz="8" w:space="0" w:color="auto"/>
              <w:left w:val="single" w:sz="8" w:space="0" w:color="auto"/>
              <w:bottom w:val="single" w:sz="8" w:space="0" w:color="auto"/>
              <w:right w:val="single" w:sz="8" w:space="0" w:color="000000"/>
            </w:tcBorders>
            <w:shd w:val="clear" w:color="000000" w:fill="F2F2F2"/>
            <w:vAlign w:val="center"/>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SUMMARY OF FINANCIAL RATIOS</w:t>
            </w:r>
          </w:p>
        </w:tc>
      </w:tr>
      <w:tr w:rsidR="00316D6F" w:rsidRPr="007F28EA" w:rsidTr="00302CBE">
        <w:trPr>
          <w:trHeight w:val="630"/>
        </w:trPr>
        <w:tc>
          <w:tcPr>
            <w:tcW w:w="1863" w:type="pct"/>
            <w:tcBorders>
              <w:top w:val="single" w:sz="8" w:space="0" w:color="auto"/>
              <w:left w:val="single" w:sz="8" w:space="0" w:color="auto"/>
              <w:bottom w:val="single" w:sz="8" w:space="0" w:color="auto"/>
              <w:right w:val="single" w:sz="8" w:space="0" w:color="auto"/>
            </w:tcBorders>
            <w:shd w:val="clear" w:color="000000" w:fill="F2F2F2"/>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Description of  Results</w:t>
            </w:r>
          </w:p>
        </w:tc>
        <w:tc>
          <w:tcPr>
            <w:tcW w:w="456" w:type="pct"/>
            <w:tcBorders>
              <w:top w:val="single" w:sz="8" w:space="0" w:color="auto"/>
              <w:left w:val="nil"/>
              <w:bottom w:val="single" w:sz="8" w:space="0" w:color="auto"/>
              <w:right w:val="single" w:sz="8" w:space="0" w:color="auto"/>
            </w:tcBorders>
            <w:shd w:val="clear" w:color="000000" w:fill="F2F2F2"/>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000000"/>
                <w:sz w:val="24"/>
                <w:szCs w:val="24"/>
              </w:rPr>
            </w:pPr>
            <w:r w:rsidRPr="007F28EA">
              <w:rPr>
                <w:rFonts w:ascii="Times New Roman" w:eastAsia="Times New Roman" w:hAnsi="Times New Roman" w:cs="Times New Roman"/>
                <w:b/>
                <w:bCs/>
                <w:color w:val="000000"/>
                <w:sz w:val="24"/>
                <w:szCs w:val="24"/>
              </w:rPr>
              <w:t>UNIT</w:t>
            </w:r>
          </w:p>
        </w:tc>
        <w:tc>
          <w:tcPr>
            <w:tcW w:w="2681" w:type="pct"/>
            <w:gridSpan w:val="2"/>
            <w:tcBorders>
              <w:top w:val="single" w:sz="8" w:space="0" w:color="auto"/>
              <w:left w:val="nil"/>
              <w:bottom w:val="single" w:sz="8" w:space="0" w:color="auto"/>
              <w:right w:val="single" w:sz="8" w:space="0" w:color="000000"/>
            </w:tcBorders>
            <w:shd w:val="clear" w:color="000000" w:fill="F2F2F2"/>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 xml:space="preserve"> Jerry PLC Supplies- October 31st </w:t>
            </w:r>
          </w:p>
        </w:tc>
      </w:tr>
      <w:tr w:rsidR="00316D6F" w:rsidRPr="007F28EA" w:rsidTr="00302CBE">
        <w:trPr>
          <w:trHeight w:val="360"/>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 </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000000"/>
                <w:sz w:val="24"/>
                <w:szCs w:val="24"/>
              </w:rPr>
            </w:pPr>
            <w:r w:rsidRPr="007F28EA">
              <w:rPr>
                <w:rFonts w:ascii="Times New Roman" w:eastAsia="Times New Roman" w:hAnsi="Times New Roman" w:cs="Times New Roman"/>
                <w:b/>
                <w:bCs/>
                <w:color w:val="000000"/>
                <w:sz w:val="24"/>
                <w:szCs w:val="24"/>
              </w:rPr>
              <w:t> </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2019</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sz w:val="24"/>
                <w:szCs w:val="24"/>
              </w:rPr>
            </w:pPr>
            <w:r w:rsidRPr="007F28EA">
              <w:rPr>
                <w:rFonts w:ascii="Times New Roman" w:eastAsia="Times New Roman" w:hAnsi="Times New Roman" w:cs="Times New Roman"/>
                <w:b/>
                <w:bCs/>
                <w:sz w:val="24"/>
                <w:szCs w:val="24"/>
              </w:rPr>
              <w:t>2018</w:t>
            </w:r>
          </w:p>
        </w:tc>
      </w:tr>
      <w:tr w:rsidR="00316D6F" w:rsidRPr="007F28EA" w:rsidTr="00302CBE">
        <w:trPr>
          <w:trHeight w:val="360"/>
        </w:trPr>
        <w:tc>
          <w:tcPr>
            <w:tcW w:w="1863" w:type="pct"/>
            <w:tcBorders>
              <w:top w:val="single" w:sz="8" w:space="0" w:color="auto"/>
              <w:left w:val="single" w:sz="8" w:space="0" w:color="auto"/>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PROFITABILITY RATIOS</w:t>
            </w:r>
          </w:p>
        </w:tc>
        <w:tc>
          <w:tcPr>
            <w:tcW w:w="456"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 </w:t>
            </w:r>
          </w:p>
        </w:tc>
        <w:tc>
          <w:tcPr>
            <w:tcW w:w="1350"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 </w:t>
            </w:r>
          </w:p>
        </w:tc>
        <w:tc>
          <w:tcPr>
            <w:tcW w:w="1331" w:type="pct"/>
            <w:tcBorders>
              <w:top w:val="single" w:sz="8" w:space="0" w:color="auto"/>
              <w:left w:val="nil"/>
              <w:bottom w:val="single" w:sz="8" w:space="0" w:color="auto"/>
              <w:right w:val="single" w:sz="8" w:space="0" w:color="auto"/>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 </w:t>
            </w:r>
          </w:p>
        </w:tc>
      </w:tr>
      <w:tr w:rsidR="00316D6F" w:rsidRPr="007F28EA" w:rsidTr="00302CBE">
        <w:trPr>
          <w:trHeight w:val="300"/>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Gross Profit Margin</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38.26</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38.39</w:t>
            </w:r>
          </w:p>
        </w:tc>
      </w:tr>
      <w:tr w:rsidR="00316D6F" w:rsidRPr="007F28EA" w:rsidTr="00302CBE">
        <w:trPr>
          <w:trHeight w:val="300"/>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Return on Capital Employed</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17.02</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20.43</w:t>
            </w:r>
          </w:p>
        </w:tc>
      </w:tr>
      <w:tr w:rsidR="00316D6F" w:rsidRPr="007F28EA" w:rsidTr="00302CBE">
        <w:trPr>
          <w:trHeight w:val="315"/>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ROE</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13.84</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22.79</w:t>
            </w:r>
          </w:p>
        </w:tc>
      </w:tr>
      <w:tr w:rsidR="00316D6F" w:rsidRPr="007F28EA" w:rsidTr="00302CBE">
        <w:trPr>
          <w:trHeight w:val="360"/>
        </w:trPr>
        <w:tc>
          <w:tcPr>
            <w:tcW w:w="1863" w:type="pct"/>
            <w:tcBorders>
              <w:top w:val="single" w:sz="8" w:space="0" w:color="auto"/>
              <w:left w:val="single" w:sz="8" w:space="0" w:color="auto"/>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ACTIVITY RATIOS</w:t>
            </w:r>
          </w:p>
        </w:tc>
        <w:tc>
          <w:tcPr>
            <w:tcW w:w="456"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 </w:t>
            </w:r>
          </w:p>
        </w:tc>
        <w:tc>
          <w:tcPr>
            <w:tcW w:w="1350"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p>
        </w:tc>
        <w:tc>
          <w:tcPr>
            <w:tcW w:w="1331" w:type="pct"/>
            <w:tcBorders>
              <w:top w:val="single" w:sz="8" w:space="0" w:color="auto"/>
              <w:left w:val="nil"/>
              <w:bottom w:val="single" w:sz="8" w:space="0" w:color="auto"/>
              <w:right w:val="single" w:sz="8" w:space="0" w:color="auto"/>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p>
        </w:tc>
      </w:tr>
      <w:tr w:rsidR="00316D6F" w:rsidRPr="007F28EA" w:rsidTr="00302CBE">
        <w:trPr>
          <w:trHeight w:val="300"/>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Stock holding Period</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Days</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45.76</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50.02</w:t>
            </w:r>
          </w:p>
        </w:tc>
      </w:tr>
      <w:tr w:rsidR="00316D6F" w:rsidRPr="007F28EA" w:rsidTr="00302CBE">
        <w:trPr>
          <w:trHeight w:val="300"/>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Debtors Collection Period</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Days</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83.66</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86.00</w:t>
            </w:r>
          </w:p>
        </w:tc>
      </w:tr>
      <w:tr w:rsidR="00316D6F" w:rsidRPr="007F28EA" w:rsidTr="00302CBE">
        <w:trPr>
          <w:trHeight w:val="315"/>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Assets turnover ratio</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Times</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1.75</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1.66</w:t>
            </w:r>
          </w:p>
        </w:tc>
      </w:tr>
      <w:tr w:rsidR="00316D6F" w:rsidRPr="007F28EA" w:rsidTr="00302CBE">
        <w:trPr>
          <w:trHeight w:val="360"/>
        </w:trPr>
        <w:tc>
          <w:tcPr>
            <w:tcW w:w="1863" w:type="pct"/>
            <w:tcBorders>
              <w:top w:val="single" w:sz="8" w:space="0" w:color="auto"/>
              <w:left w:val="single" w:sz="8" w:space="0" w:color="auto"/>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LIQUIDITY RATIOS</w:t>
            </w:r>
          </w:p>
        </w:tc>
        <w:tc>
          <w:tcPr>
            <w:tcW w:w="456"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 </w:t>
            </w:r>
          </w:p>
        </w:tc>
        <w:tc>
          <w:tcPr>
            <w:tcW w:w="1350"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p>
        </w:tc>
        <w:tc>
          <w:tcPr>
            <w:tcW w:w="1331" w:type="pct"/>
            <w:tcBorders>
              <w:top w:val="single" w:sz="8" w:space="0" w:color="auto"/>
              <w:left w:val="nil"/>
              <w:bottom w:val="single" w:sz="8" w:space="0" w:color="auto"/>
              <w:right w:val="single" w:sz="8" w:space="0" w:color="auto"/>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p>
        </w:tc>
      </w:tr>
      <w:tr w:rsidR="00316D6F" w:rsidRPr="007F28EA" w:rsidTr="00302CBE">
        <w:trPr>
          <w:trHeight w:val="315"/>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Current ratio</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Times</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1.02</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1.05</w:t>
            </w:r>
          </w:p>
        </w:tc>
      </w:tr>
      <w:tr w:rsidR="00316D6F" w:rsidRPr="007F28EA" w:rsidTr="00302CBE">
        <w:trPr>
          <w:trHeight w:val="360"/>
        </w:trPr>
        <w:tc>
          <w:tcPr>
            <w:tcW w:w="1863" w:type="pct"/>
            <w:tcBorders>
              <w:top w:val="single" w:sz="8" w:space="0" w:color="auto"/>
              <w:left w:val="single" w:sz="8" w:space="0" w:color="auto"/>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SOLVENCY RATIOS</w:t>
            </w:r>
          </w:p>
        </w:tc>
        <w:tc>
          <w:tcPr>
            <w:tcW w:w="456"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 </w:t>
            </w:r>
          </w:p>
        </w:tc>
        <w:tc>
          <w:tcPr>
            <w:tcW w:w="1350"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p>
        </w:tc>
        <w:tc>
          <w:tcPr>
            <w:tcW w:w="1331" w:type="pct"/>
            <w:tcBorders>
              <w:top w:val="single" w:sz="8" w:space="0" w:color="auto"/>
              <w:left w:val="nil"/>
              <w:bottom w:val="single" w:sz="8" w:space="0" w:color="auto"/>
              <w:right w:val="single" w:sz="8" w:space="0" w:color="auto"/>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p>
        </w:tc>
      </w:tr>
      <w:tr w:rsidR="00316D6F" w:rsidRPr="007F28EA" w:rsidTr="00302CBE">
        <w:trPr>
          <w:trHeight w:val="300"/>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Gearing Ratio</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Times</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2.07</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2.66</w:t>
            </w:r>
          </w:p>
        </w:tc>
      </w:tr>
      <w:tr w:rsidR="00316D6F" w:rsidRPr="007F28EA" w:rsidTr="00302CBE">
        <w:trPr>
          <w:trHeight w:val="315"/>
        </w:trPr>
        <w:tc>
          <w:tcPr>
            <w:tcW w:w="1863" w:type="pct"/>
            <w:tcBorders>
              <w:top w:val="nil"/>
              <w:left w:val="single" w:sz="8" w:space="0" w:color="auto"/>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color w:val="000000"/>
                <w:sz w:val="24"/>
                <w:szCs w:val="24"/>
              </w:rPr>
            </w:pPr>
            <w:r w:rsidRPr="007F28EA">
              <w:rPr>
                <w:rFonts w:ascii="Times New Roman" w:eastAsia="Times New Roman" w:hAnsi="Times New Roman" w:cs="Times New Roman"/>
                <w:color w:val="000000"/>
                <w:sz w:val="24"/>
                <w:szCs w:val="24"/>
              </w:rPr>
              <w:t>Interest cover ratio</w:t>
            </w:r>
          </w:p>
        </w:tc>
        <w:tc>
          <w:tcPr>
            <w:tcW w:w="456" w:type="pct"/>
            <w:tcBorders>
              <w:top w:val="nil"/>
              <w:left w:val="nil"/>
              <w:bottom w:val="nil"/>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Times</w:t>
            </w:r>
          </w:p>
        </w:tc>
        <w:tc>
          <w:tcPr>
            <w:tcW w:w="1350" w:type="pct"/>
            <w:tcBorders>
              <w:top w:val="nil"/>
              <w:left w:val="nil"/>
              <w:bottom w:val="nil"/>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116.00</w:t>
            </w:r>
          </w:p>
        </w:tc>
        <w:tc>
          <w:tcPr>
            <w:tcW w:w="1331" w:type="pct"/>
            <w:tcBorders>
              <w:top w:val="nil"/>
              <w:left w:val="nil"/>
              <w:bottom w:val="nil"/>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9.49</w:t>
            </w:r>
          </w:p>
        </w:tc>
      </w:tr>
      <w:tr w:rsidR="00316D6F" w:rsidRPr="007F28EA" w:rsidTr="00302CBE">
        <w:trPr>
          <w:trHeight w:val="360"/>
        </w:trPr>
        <w:tc>
          <w:tcPr>
            <w:tcW w:w="1863" w:type="pct"/>
            <w:tcBorders>
              <w:top w:val="single" w:sz="8" w:space="0" w:color="auto"/>
              <w:left w:val="single" w:sz="8" w:space="0" w:color="auto"/>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INVESTMENT RATIOS</w:t>
            </w:r>
          </w:p>
        </w:tc>
        <w:tc>
          <w:tcPr>
            <w:tcW w:w="456"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r w:rsidRPr="007F28EA">
              <w:rPr>
                <w:rFonts w:ascii="Times New Roman" w:eastAsia="Times New Roman" w:hAnsi="Times New Roman" w:cs="Times New Roman"/>
                <w:b/>
                <w:bCs/>
                <w:color w:val="7F7F7F"/>
                <w:sz w:val="24"/>
                <w:szCs w:val="24"/>
              </w:rPr>
              <w:t> </w:t>
            </w:r>
          </w:p>
        </w:tc>
        <w:tc>
          <w:tcPr>
            <w:tcW w:w="1350" w:type="pct"/>
            <w:tcBorders>
              <w:top w:val="single" w:sz="8" w:space="0" w:color="auto"/>
              <w:left w:val="nil"/>
              <w:bottom w:val="single" w:sz="8" w:space="0" w:color="auto"/>
              <w:right w:val="nil"/>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p>
        </w:tc>
        <w:tc>
          <w:tcPr>
            <w:tcW w:w="1331" w:type="pct"/>
            <w:tcBorders>
              <w:top w:val="single" w:sz="8" w:space="0" w:color="auto"/>
              <w:left w:val="nil"/>
              <w:bottom w:val="single" w:sz="8" w:space="0" w:color="auto"/>
              <w:right w:val="single" w:sz="8" w:space="0" w:color="auto"/>
            </w:tcBorders>
            <w:shd w:val="clear" w:color="000000" w:fill="FFF2CC"/>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b/>
                <w:bCs/>
                <w:color w:val="7F7F7F"/>
                <w:sz w:val="24"/>
                <w:szCs w:val="24"/>
              </w:rPr>
            </w:pPr>
          </w:p>
        </w:tc>
      </w:tr>
      <w:tr w:rsidR="00316D6F" w:rsidRPr="007F28EA" w:rsidTr="00302CBE">
        <w:trPr>
          <w:trHeight w:val="315"/>
        </w:trPr>
        <w:tc>
          <w:tcPr>
            <w:tcW w:w="1863" w:type="pct"/>
            <w:tcBorders>
              <w:top w:val="nil"/>
              <w:left w:val="single" w:sz="8" w:space="0" w:color="auto"/>
              <w:bottom w:val="single" w:sz="8" w:space="0" w:color="auto"/>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Earnings per share</w:t>
            </w:r>
          </w:p>
        </w:tc>
        <w:tc>
          <w:tcPr>
            <w:tcW w:w="456" w:type="pct"/>
            <w:tcBorders>
              <w:top w:val="nil"/>
              <w:left w:val="nil"/>
              <w:bottom w:val="single" w:sz="8" w:space="0" w:color="auto"/>
              <w:right w:val="single" w:sz="8" w:space="0" w:color="auto"/>
            </w:tcBorders>
            <w:shd w:val="clear" w:color="000000" w:fill="FFFFFF"/>
            <w:noWrap/>
            <w:vAlign w:val="center"/>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£/share</w:t>
            </w:r>
          </w:p>
        </w:tc>
        <w:tc>
          <w:tcPr>
            <w:tcW w:w="1350" w:type="pct"/>
            <w:tcBorders>
              <w:top w:val="nil"/>
              <w:left w:val="nil"/>
              <w:bottom w:val="single" w:sz="8" w:space="0" w:color="auto"/>
              <w:right w:val="nil"/>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0.72</w:t>
            </w:r>
          </w:p>
        </w:tc>
        <w:tc>
          <w:tcPr>
            <w:tcW w:w="1331" w:type="pct"/>
            <w:tcBorders>
              <w:top w:val="nil"/>
              <w:left w:val="nil"/>
              <w:bottom w:val="single" w:sz="8" w:space="0" w:color="auto"/>
              <w:right w:val="single" w:sz="8" w:space="0" w:color="auto"/>
            </w:tcBorders>
            <w:shd w:val="clear" w:color="000000" w:fill="FFFFFF"/>
            <w:noWrap/>
            <w:vAlign w:val="bottom"/>
            <w:hideMark/>
          </w:tcPr>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eastAsia="Times New Roman" w:hAnsi="Times New Roman" w:cs="Times New Roman"/>
                <w:sz w:val="24"/>
                <w:szCs w:val="24"/>
              </w:rPr>
              <w:t>1.03</w:t>
            </w:r>
          </w:p>
        </w:tc>
      </w:tr>
    </w:tbl>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p>
    <w:p w:rsidR="00FE7ECA" w:rsidRDefault="00FE7EC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bookmarkStart w:id="5" w:name="_Toc48694057"/>
      <w:bookmarkStart w:id="6" w:name="_Toc49072567"/>
    </w:p>
    <w:p w:rsidR="00FE7ECA" w:rsidRDefault="00FE7EC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p>
    <w:p w:rsidR="00FE7ECA" w:rsidRDefault="00FE7EC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p>
    <w:p w:rsidR="00FE7ECA" w:rsidRDefault="00FE7EC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p>
    <w:p w:rsidR="00FE7ECA" w:rsidRDefault="00FE7EC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p>
    <w:p w:rsidR="00FE7ECA" w:rsidRDefault="00FE7EC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p>
    <w:p w:rsidR="00FE7ECA" w:rsidRDefault="00FE7EC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p>
    <w:p w:rsidR="00FE7ECA" w:rsidRDefault="00FE7EC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p>
    <w:p w:rsidR="00150A9A" w:rsidRDefault="00150A9A" w:rsidP="00B51EAA">
      <w:pPr>
        <w:pStyle w:val="Heading1"/>
        <w:spacing w:beforeLines="240" w:before="576" w:afterLines="240" w:after="576" w:line="240" w:lineRule="atLeast"/>
        <w:contextualSpacing/>
        <w:jc w:val="both"/>
        <w:rPr>
          <w:rFonts w:ascii="Times New Roman" w:hAnsi="Times New Roman" w:cs="Times New Roman"/>
          <w:color w:val="000000" w:themeColor="text1"/>
          <w:sz w:val="24"/>
          <w:szCs w:val="24"/>
        </w:rPr>
      </w:pPr>
    </w:p>
    <w:p w:rsidR="00150A9A" w:rsidRPr="00150A9A" w:rsidRDefault="00150A9A" w:rsidP="00150A9A"/>
    <w:p w:rsidR="00316D6F" w:rsidRPr="007F28EA" w:rsidRDefault="00316D6F" w:rsidP="00B51EAA">
      <w:pPr>
        <w:pStyle w:val="Heading1"/>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r w:rsidRPr="007F28EA">
        <w:rPr>
          <w:rFonts w:ascii="Times New Roman" w:hAnsi="Times New Roman" w:cs="Times New Roman"/>
          <w:color w:val="000000" w:themeColor="text1"/>
          <w:sz w:val="24"/>
          <w:szCs w:val="24"/>
        </w:rPr>
        <w:lastRenderedPageBreak/>
        <w:t>Financial Ratios</w:t>
      </w:r>
      <w:bookmarkEnd w:id="5"/>
      <w:bookmarkEnd w:id="6"/>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7" w:name="_Toc48694058"/>
      <w:bookmarkStart w:id="8" w:name="_Toc49072568"/>
      <w:r w:rsidRPr="007F28EA">
        <w:rPr>
          <w:rFonts w:ascii="Times New Roman" w:hAnsi="Times New Roman" w:cs="Times New Roman"/>
          <w:color w:val="000000" w:themeColor="text1"/>
          <w:sz w:val="24"/>
          <w:szCs w:val="24"/>
        </w:rPr>
        <w:t>Gross Profit Margin</w:t>
      </w:r>
      <w:bookmarkEnd w:id="7"/>
      <w:bookmarkEnd w:id="8"/>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noProof/>
          <w:sz w:val="24"/>
          <w:szCs w:val="24"/>
          <w:lang w:val="en-GB" w:eastAsia="en-GB"/>
        </w:rPr>
        <w:drawing>
          <wp:inline distT="0" distB="0" distL="0" distR="0">
            <wp:extent cx="5943600" cy="2743200"/>
            <wp:effectExtent l="0" t="0" r="0" b="0"/>
            <wp:docPr id="1" name="Chart 1">
              <a:extLst xmlns:a="http://schemas.openxmlformats.org/drawingml/2006/main">
                <a:ext uri="{FF2B5EF4-FFF2-40B4-BE49-F238E27FC236}">
                  <a16:creationId xmlns:ve="http://schemas.openxmlformats.org/markup-compatibility/2006" xmlns:lc="http://schemas.openxmlformats.org/drawingml/2006/lockedCanvas" xmlns:a16="http://schemas.microsoft.com/office/drawing/2014/main" xmlns="" xmlns:xdr="http://schemas.openxmlformats.org/drawingml/2006/spreadsheetDrawing" xmlns:w="http://schemas.openxmlformats.org/wordprocessingml/2006/main" xmlns:w10="urn:schemas-microsoft-com:office:word" xmlns:v="urn:schemas-microsoft-com:vml" xmlns:o="urn:schemas-microsoft-com:office:office" xmlns:w15="http://schemas.microsoft.com/office/word/2012/wordml"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t>The GPM of Jerry PLC Supplies showed a slight decreasing trend in FY 2019 as compared to FY 2018. It was 38.39% in FY 2018 which decreased slightly to reach at 38.26% in FY 2019. However, the overall GPM is satisfactory. The GPM showed decreased in FY 2019 when viewed as percentage of revenue but the absolute value of GPM increased by 2.62% in FY 2019</w:t>
      </w:r>
      <w:r w:rsidR="005E6CB6" w:rsidRPr="007F28EA">
        <w:rPr>
          <w:rFonts w:ascii="Times New Roman" w:hAnsi="Times New Roman" w:cs="Times New Roman"/>
          <w:sz w:val="24"/>
          <w:szCs w:val="24"/>
        </w:rPr>
        <w:t xml:space="preserve"> (Accountingtools, 2018)</w:t>
      </w:r>
      <w:r w:rsidRPr="007F28EA">
        <w:rPr>
          <w:rFonts w:ascii="Times New Roman" w:hAnsi="Times New Roman" w:cs="Times New Roman"/>
          <w:sz w:val="24"/>
          <w:szCs w:val="24"/>
        </w:rPr>
        <w:t xml:space="preserve">. </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9" w:name="_Toc48694059"/>
      <w:bookmarkStart w:id="10" w:name="_Toc49072569"/>
      <w:r w:rsidRPr="007F28EA">
        <w:rPr>
          <w:rFonts w:ascii="Times New Roman" w:hAnsi="Times New Roman" w:cs="Times New Roman"/>
          <w:color w:val="000000" w:themeColor="text1"/>
          <w:sz w:val="24"/>
          <w:szCs w:val="24"/>
        </w:rPr>
        <w:t>Return on Capital Employed</w:t>
      </w:r>
      <w:bookmarkEnd w:id="9"/>
      <w:bookmarkEnd w:id="10"/>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Return on capital employed (ROCE) was 20.43% in FY 2018 which decreased to reach at 17.02% in FY 2019. The ratio indicates that for every £1 investment in capital employed, the company is generating £0.1702 in operating profit which is quiet significant. The decrease in the ROCE is due to the fact that proportional decrease in operating profit [2019: -22.56] is more than the proportional decrease in total capital employed [2019: -7.08]. The ROCE is satisfactory in FY 2019</w:t>
      </w:r>
      <w:r w:rsidR="005E6CB6" w:rsidRPr="007F28EA">
        <w:rPr>
          <w:rFonts w:ascii="Times New Roman" w:hAnsi="Times New Roman" w:cs="Times New Roman"/>
          <w:color w:val="000000" w:themeColor="text1"/>
          <w:sz w:val="24"/>
          <w:szCs w:val="24"/>
        </w:rPr>
        <w:t xml:space="preserve"> </w:t>
      </w:r>
      <w:r w:rsidR="005E6CB6" w:rsidRPr="007F28EA">
        <w:rPr>
          <w:rFonts w:ascii="Times New Roman" w:hAnsi="Times New Roman" w:cs="Times New Roman"/>
          <w:sz w:val="24"/>
          <w:szCs w:val="24"/>
        </w:rPr>
        <w:t>(Accountingtools, 2018)</w:t>
      </w:r>
      <w:r w:rsidRPr="007F28EA">
        <w:rPr>
          <w:rFonts w:ascii="Times New Roman" w:hAnsi="Times New Roman" w:cs="Times New Roman"/>
          <w:color w:val="000000" w:themeColor="text1"/>
          <w:sz w:val="24"/>
          <w:szCs w:val="24"/>
        </w:rPr>
        <w:t xml:space="preserve">. </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b/>
          <w:bCs/>
          <w:i/>
          <w:iCs/>
          <w:color w:val="000000" w:themeColor="text1"/>
          <w:sz w:val="24"/>
          <w:szCs w:val="24"/>
        </w:rPr>
        <w:t xml:space="preserve">Note: </w:t>
      </w:r>
      <w:r w:rsidRPr="007F28EA">
        <w:rPr>
          <w:rFonts w:ascii="Times New Roman" w:hAnsi="Times New Roman" w:cs="Times New Roman"/>
          <w:color w:val="000000" w:themeColor="text1"/>
          <w:sz w:val="24"/>
          <w:szCs w:val="24"/>
        </w:rPr>
        <w:t>The total capital employed was calculated by subtracting current liabilities from total assets.</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11" w:name="_Toc48694060"/>
      <w:bookmarkStart w:id="12" w:name="_Toc49072570"/>
      <w:r w:rsidRPr="007F28EA">
        <w:rPr>
          <w:rFonts w:ascii="Times New Roman" w:hAnsi="Times New Roman" w:cs="Times New Roman"/>
          <w:color w:val="000000" w:themeColor="text1"/>
          <w:sz w:val="24"/>
          <w:szCs w:val="24"/>
        </w:rPr>
        <w:lastRenderedPageBreak/>
        <w:t>Return on Equity</w:t>
      </w:r>
      <w:bookmarkEnd w:id="11"/>
      <w:bookmarkEnd w:id="12"/>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r w:rsidRPr="007F28EA">
        <w:rPr>
          <w:rFonts w:ascii="Times New Roman" w:hAnsi="Times New Roman" w:cs="Times New Roman"/>
          <w:noProof/>
          <w:sz w:val="24"/>
          <w:szCs w:val="24"/>
          <w:lang w:val="en-GB" w:eastAsia="en-GB"/>
        </w:rPr>
        <w:drawing>
          <wp:inline distT="0" distB="0" distL="0" distR="0">
            <wp:extent cx="5943600" cy="2743200"/>
            <wp:effectExtent l="0" t="0" r="0" b="0"/>
            <wp:docPr id="3" name="Chart 3">
              <a:extLst xmlns:a="http://schemas.openxmlformats.org/drawingml/2006/main">
                <a:ext uri="{FF2B5EF4-FFF2-40B4-BE49-F238E27FC236}">
                  <a16:creationId xmlns:ve="http://schemas.openxmlformats.org/markup-compatibility/2006" xmlns:lc="http://schemas.openxmlformats.org/drawingml/2006/lockedCanvas" xmlns:a16="http://schemas.microsoft.com/office/drawing/2014/main" xmlns="" xmlns:xdr="http://schemas.openxmlformats.org/drawingml/2006/spreadsheetDrawing" xmlns:w="http://schemas.openxmlformats.org/wordprocessingml/2006/main" xmlns:w10="urn:schemas-microsoft-com:office:word" xmlns:v="urn:schemas-microsoft-com:vml" xmlns:o="urn:schemas-microsoft-com:office:office" xmlns:w15="http://schemas.microsoft.com/office/word/2012/wordml" id="{00000000-0008-0000-0400-000008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sz w:val="24"/>
          <w:szCs w:val="24"/>
        </w:rPr>
      </w:pPr>
      <w:r w:rsidRPr="007F28EA">
        <w:rPr>
          <w:rFonts w:ascii="Times New Roman" w:hAnsi="Times New Roman" w:cs="Times New Roman"/>
          <w:color w:val="000000" w:themeColor="text1"/>
          <w:sz w:val="24"/>
          <w:szCs w:val="24"/>
        </w:rPr>
        <w:t xml:space="preserve">Return on equity (ROE) is also a measure of profitability of a firm. It indicates the amount of profit generated on every £1 of investment in total equity. The ROE of 13.84% indicates that for every </w:t>
      </w:r>
      <w:r w:rsidRPr="007F28EA">
        <w:rPr>
          <w:rFonts w:ascii="Times New Roman" w:eastAsia="Times New Roman" w:hAnsi="Times New Roman" w:cs="Times New Roman"/>
          <w:sz w:val="24"/>
          <w:szCs w:val="24"/>
        </w:rPr>
        <w:t xml:space="preserve">£1 investment in total equity, the ROE increased by £0.1384. </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The ROE of Jerry PLC supplies is indicates that it has decreased significantly from 22.79% in FY 2018 to 13.84% in FY 2019. The decrease in ROE is due to the 29.51% decrease in net profit. The decrease in net profit is due to due to 22.56% decrease in operating profit, and decrease in operating profit is mainly is result of increase in administrative expenses by 27.24%. Additionally, there was also 25.32% increase in taxation.</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13" w:name="_Toc48694061"/>
      <w:bookmarkStart w:id="14" w:name="_Toc49072571"/>
      <w:r w:rsidRPr="007F28EA">
        <w:rPr>
          <w:rFonts w:ascii="Times New Roman" w:hAnsi="Times New Roman" w:cs="Times New Roman"/>
          <w:color w:val="000000" w:themeColor="text1"/>
          <w:sz w:val="24"/>
          <w:szCs w:val="24"/>
        </w:rPr>
        <w:t>Stock holding Period</w:t>
      </w:r>
      <w:bookmarkEnd w:id="13"/>
      <w:bookmarkEnd w:id="14"/>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 xml:space="preserve">Stock holding period of Jerry PLC Supplies is 45.76 days in FY 2019 which indicates that the company takes 45.76 days on average to turn inventory into cost of goods sold. It was 50 days in FY 2018 which implies that company took more days to utilize its inventory in previous year. The decrease in stock holding period means that company is managing its inventory efficiently in FY 2019 compared with FY 2018. The decrease in the ratio is due to 5.60% decrease in the inventory. </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15" w:name="_Toc48694062"/>
      <w:bookmarkStart w:id="16" w:name="_Toc49072572"/>
      <w:r w:rsidRPr="007F28EA">
        <w:rPr>
          <w:rFonts w:ascii="Times New Roman" w:hAnsi="Times New Roman" w:cs="Times New Roman"/>
          <w:color w:val="000000" w:themeColor="text1"/>
          <w:sz w:val="24"/>
          <w:szCs w:val="24"/>
        </w:rPr>
        <w:lastRenderedPageBreak/>
        <w:t>Debtors Collection Period</w:t>
      </w:r>
      <w:bookmarkEnd w:id="15"/>
      <w:bookmarkEnd w:id="16"/>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r w:rsidRPr="007F28EA">
        <w:rPr>
          <w:rFonts w:ascii="Times New Roman" w:hAnsi="Times New Roman" w:cs="Times New Roman"/>
          <w:noProof/>
          <w:sz w:val="24"/>
          <w:szCs w:val="24"/>
          <w:lang w:val="en-GB" w:eastAsia="en-GB"/>
        </w:rPr>
        <w:drawing>
          <wp:inline distT="0" distB="0" distL="0" distR="0">
            <wp:extent cx="5866130" cy="2743200"/>
            <wp:effectExtent l="0" t="0" r="1270" b="0"/>
            <wp:docPr id="5" name="Chart 5">
              <a:extLst xmlns:a="http://schemas.openxmlformats.org/drawingml/2006/main">
                <a:ext uri="{FF2B5EF4-FFF2-40B4-BE49-F238E27FC236}">
                  <a16:creationId xmlns:ve="http://schemas.openxmlformats.org/markup-compatibility/2006" xmlns:lc="http://schemas.openxmlformats.org/drawingml/2006/lockedCanvas" xmlns:a16="http://schemas.microsoft.com/office/drawing/2014/main" xmlns="" xmlns:xdr="http://schemas.openxmlformats.org/drawingml/2006/spreadsheetDrawing" xmlns:w="http://schemas.openxmlformats.org/wordprocessingml/2006/main" xmlns:w10="urn:schemas-microsoft-com:office:word" xmlns:v="urn:schemas-microsoft-com:vml" xmlns:o="urn:schemas-microsoft-com:office:office" xmlns:w15="http://schemas.microsoft.com/office/word/2012/wordml" id="{00000000-0008-0000-0400-00000A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Jerry’s debtor’s collection period is more than 80 days in recent years. It was 86 days in FY 2018 which slightly decreased to reach at 83.66 days in FY 2019. The ratio of 83.66 days indicates that company takes approximately 84 days to collect cash from its debtors which is much higher than the benchmark i.e. 30 days. The company should find the ways to reduce the ratio. The slight decrease in the ratio in FY 2019 is due to 3% increase in revenue.</w:t>
      </w: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17" w:name="_Toc48694063"/>
      <w:bookmarkStart w:id="18" w:name="_Toc49072573"/>
      <w:r w:rsidRPr="007F28EA">
        <w:rPr>
          <w:rFonts w:ascii="Times New Roman" w:hAnsi="Times New Roman" w:cs="Times New Roman"/>
          <w:color w:val="000000" w:themeColor="text1"/>
          <w:sz w:val="24"/>
          <w:szCs w:val="24"/>
        </w:rPr>
        <w:t>Assets turnover ratio</w:t>
      </w:r>
      <w:bookmarkEnd w:id="17"/>
      <w:bookmarkEnd w:id="18"/>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r w:rsidRPr="007F28EA">
        <w:rPr>
          <w:rFonts w:ascii="Times New Roman" w:hAnsi="Times New Roman" w:cs="Times New Roman"/>
          <w:noProof/>
          <w:sz w:val="24"/>
          <w:szCs w:val="24"/>
          <w:lang w:val="en-GB" w:eastAsia="en-GB"/>
        </w:rPr>
        <w:drawing>
          <wp:inline distT="0" distB="0" distL="0" distR="0">
            <wp:extent cx="5943600" cy="2743200"/>
            <wp:effectExtent l="0" t="0" r="0" b="0"/>
            <wp:docPr id="6" name="Chart 6">
              <a:extLst xmlns:a="http://schemas.openxmlformats.org/drawingml/2006/main">
                <a:ext uri="{FF2B5EF4-FFF2-40B4-BE49-F238E27FC236}">
                  <a16:creationId xmlns:ve="http://schemas.openxmlformats.org/markup-compatibility/2006" xmlns:lc="http://schemas.openxmlformats.org/drawingml/2006/lockedCanvas" xmlns:a16="http://schemas.microsoft.com/office/drawing/2014/main" xmlns="" xmlns:xdr="http://schemas.openxmlformats.org/drawingml/2006/spreadsheetDrawing" xmlns:w="http://schemas.openxmlformats.org/wordprocessingml/2006/main" xmlns:w10="urn:schemas-microsoft-com:office:word" xmlns:v="urn:schemas-microsoft-com:vml" xmlns:o="urn:schemas-microsoft-com:office:office" xmlns:w15="http://schemas.microsoft.com/office/word/2012/wordml" id="{00000000-0008-0000-0400-00000C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 xml:space="preserve">Assets turnover ratio measures the efficiency with which </w:t>
      </w:r>
      <w:r w:rsidR="001B556C" w:rsidRPr="007F28EA">
        <w:rPr>
          <w:rFonts w:ascii="Times New Roman" w:hAnsi="Times New Roman" w:cs="Times New Roman"/>
          <w:color w:val="000000" w:themeColor="text1"/>
          <w:sz w:val="24"/>
          <w:szCs w:val="24"/>
        </w:rPr>
        <w:t>a company generates</w:t>
      </w:r>
      <w:r w:rsidRPr="007F28EA">
        <w:rPr>
          <w:rFonts w:ascii="Times New Roman" w:hAnsi="Times New Roman" w:cs="Times New Roman"/>
          <w:color w:val="000000" w:themeColor="text1"/>
          <w:sz w:val="24"/>
          <w:szCs w:val="24"/>
        </w:rPr>
        <w:t xml:space="preserve"> its revenue. The more the ratio, the better it is. The asset turnover ratio of Jerry PLC supplies is 1.75 times in FY 2019 which is slightly more than its previous year’s ratio i.e. 1.66 times. The ratio of 1.75 times indicates that for every £1 investment in assets, the company is generated £1.75 of revenue which is favorable</w:t>
      </w:r>
      <w:r w:rsidR="00AB00D2" w:rsidRPr="007F28EA">
        <w:rPr>
          <w:rFonts w:ascii="Times New Roman" w:hAnsi="Times New Roman" w:cs="Times New Roman"/>
          <w:color w:val="000000" w:themeColor="text1"/>
          <w:sz w:val="24"/>
          <w:szCs w:val="24"/>
        </w:rPr>
        <w:t xml:space="preserve"> (</w:t>
      </w:r>
      <w:r w:rsidR="00AB00D2" w:rsidRPr="007F28EA">
        <w:rPr>
          <w:rFonts w:ascii="Times New Roman" w:hAnsi="Times New Roman" w:cs="Times New Roman"/>
          <w:sz w:val="24"/>
          <w:szCs w:val="24"/>
        </w:rPr>
        <w:t>Wikiaccounting, 2020)</w:t>
      </w:r>
      <w:r w:rsidRPr="007F28EA">
        <w:rPr>
          <w:rFonts w:ascii="Times New Roman" w:hAnsi="Times New Roman" w:cs="Times New Roman"/>
          <w:color w:val="000000" w:themeColor="text1"/>
          <w:sz w:val="24"/>
          <w:szCs w:val="24"/>
        </w:rPr>
        <w:t xml:space="preserve">. </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The increase in the ratio in FY 2019 is due to 3% increase in revenue and 2.62% decrease in total assets. The decrease in total assets is mainly due to 3.71% decrease in fixed assets and 5.60% decrease in inventory.</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19" w:name="_Toc48694064"/>
      <w:bookmarkStart w:id="20" w:name="_Toc49072574"/>
      <w:r w:rsidRPr="007F28EA">
        <w:rPr>
          <w:rFonts w:ascii="Times New Roman" w:hAnsi="Times New Roman" w:cs="Times New Roman"/>
          <w:color w:val="000000" w:themeColor="text1"/>
          <w:sz w:val="24"/>
          <w:szCs w:val="24"/>
        </w:rPr>
        <w:t>Current ratio</w:t>
      </w:r>
      <w:bookmarkEnd w:id="19"/>
      <w:bookmarkEnd w:id="20"/>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Current ratio is the measure of short term liquidity position of a company. In both years, it is more than 1. The current ratio of 1.02 times in FY 2019 implies that for every £1 in current liabilities there are £1.02 in current assets. It should be more than 2 times. However, company should find the ways to improve the current ratio by increasing current assets and decreasing current liabilities</w:t>
      </w:r>
      <w:r w:rsidR="00BE164E" w:rsidRPr="007F28EA">
        <w:rPr>
          <w:rFonts w:ascii="Times New Roman" w:hAnsi="Times New Roman" w:cs="Times New Roman"/>
          <w:color w:val="000000" w:themeColor="text1"/>
          <w:sz w:val="24"/>
          <w:szCs w:val="24"/>
        </w:rPr>
        <w:t xml:space="preserve"> (</w:t>
      </w:r>
      <w:r w:rsidR="00BE164E" w:rsidRPr="007F28EA">
        <w:rPr>
          <w:rFonts w:ascii="Times New Roman" w:hAnsi="Times New Roman" w:cs="Times New Roman"/>
          <w:sz w:val="24"/>
          <w:szCs w:val="24"/>
        </w:rPr>
        <w:t>Wikiaccounting, 2020)</w:t>
      </w:r>
      <w:r w:rsidRPr="007F28EA">
        <w:rPr>
          <w:rFonts w:ascii="Times New Roman" w:hAnsi="Times New Roman" w:cs="Times New Roman"/>
          <w:color w:val="000000" w:themeColor="text1"/>
          <w:sz w:val="24"/>
          <w:szCs w:val="24"/>
        </w:rPr>
        <w:t xml:space="preserve">. </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FE7EC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21" w:name="_Toc48694065"/>
      <w:bookmarkStart w:id="22" w:name="_Toc49072575"/>
      <w:r w:rsidRPr="007F28EA">
        <w:rPr>
          <w:rFonts w:ascii="Times New Roman" w:hAnsi="Times New Roman" w:cs="Times New Roman"/>
          <w:color w:val="000000" w:themeColor="text1"/>
          <w:sz w:val="24"/>
          <w:szCs w:val="24"/>
        </w:rPr>
        <w:t>Gearing Ratio</w:t>
      </w:r>
      <w:bookmarkEnd w:id="21"/>
      <w:bookmarkEnd w:id="22"/>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The proportion of Jerry’s borrowed funds to equity has been measured by gearing ratio. The Gearing ratio of the company indicated its much reliance on debt financing as compared to equity financing. The gearing ratio of 2.07 times indicates that if company has £1 in equity financing then it has £2.07 in debt financing. It indicates the use of leverage to finance its business operation. The company may experience some trouble in the case of downturn to meet their debt schedules. Therefore, it should find ways to decrease the ratio by relying more on equity financing</w:t>
      </w:r>
      <w:r w:rsidR="00136BF0" w:rsidRPr="007F28EA">
        <w:rPr>
          <w:rFonts w:ascii="Times New Roman" w:hAnsi="Times New Roman" w:cs="Times New Roman"/>
          <w:color w:val="000000" w:themeColor="text1"/>
          <w:sz w:val="24"/>
          <w:szCs w:val="24"/>
        </w:rPr>
        <w:t xml:space="preserve"> (Toppr, 2020)</w:t>
      </w:r>
      <w:r w:rsidRPr="007F28EA">
        <w:rPr>
          <w:rFonts w:ascii="Times New Roman" w:hAnsi="Times New Roman" w:cs="Times New Roman"/>
          <w:color w:val="000000" w:themeColor="text1"/>
          <w:sz w:val="24"/>
          <w:szCs w:val="24"/>
        </w:rPr>
        <w:t xml:space="preserve">. </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 xml:space="preserve">The ratio was 2.66 times in FY 2018 which is higher than its current year’s figure. The decrease in the ratio is due to 35.64% decrease in total debt. </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23" w:name="_Toc48694066"/>
      <w:bookmarkStart w:id="24" w:name="_Toc49072576"/>
      <w:r w:rsidRPr="007F28EA">
        <w:rPr>
          <w:rFonts w:ascii="Times New Roman" w:hAnsi="Times New Roman" w:cs="Times New Roman"/>
          <w:color w:val="000000" w:themeColor="text1"/>
          <w:sz w:val="24"/>
          <w:szCs w:val="24"/>
        </w:rPr>
        <w:t>Interest Cover Rati</w:t>
      </w:r>
      <w:bookmarkEnd w:id="23"/>
      <w:bookmarkEnd w:id="24"/>
      <w:r w:rsidR="007F28EA">
        <w:rPr>
          <w:rFonts w:ascii="Times New Roman" w:hAnsi="Times New Roman" w:cs="Times New Roman"/>
          <w:color w:val="000000" w:themeColor="text1"/>
          <w:sz w:val="24"/>
          <w:szCs w:val="24"/>
        </w:rPr>
        <w:t>o</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color w:val="000000" w:themeColor="text1"/>
          <w:sz w:val="24"/>
          <w:szCs w:val="24"/>
        </w:rPr>
      </w:pPr>
      <w:r w:rsidRPr="007F28EA">
        <w:rPr>
          <w:rFonts w:ascii="Times New Roman" w:hAnsi="Times New Roman" w:cs="Times New Roman"/>
          <w:color w:val="000000" w:themeColor="text1"/>
          <w:sz w:val="24"/>
          <w:szCs w:val="24"/>
        </w:rPr>
        <w:t>The company’s ability to service its interest payments from operating profit has been measured with interest cover ratio (ICR). The ICR of the company was 9.49 times in FY 2018 which significantly rose to reach at 116 times in FY 2019. The ICR of the company indicated that it is generating profit 116 times more than interest payments which is quiet significant</w:t>
      </w:r>
      <w:r w:rsidR="00136BF0" w:rsidRPr="007F28EA">
        <w:rPr>
          <w:rFonts w:ascii="Times New Roman" w:hAnsi="Times New Roman" w:cs="Times New Roman"/>
          <w:color w:val="000000" w:themeColor="text1"/>
          <w:sz w:val="24"/>
          <w:szCs w:val="24"/>
        </w:rPr>
        <w:t xml:space="preserve"> (Toppr, 2020)</w:t>
      </w:r>
      <w:r w:rsidRPr="007F28EA">
        <w:rPr>
          <w:rFonts w:ascii="Times New Roman" w:hAnsi="Times New Roman" w:cs="Times New Roman"/>
          <w:color w:val="000000" w:themeColor="text1"/>
          <w:sz w:val="24"/>
          <w:szCs w:val="24"/>
        </w:rPr>
        <w:t>.</w:t>
      </w:r>
    </w:p>
    <w:p w:rsidR="00316D6F" w:rsidRPr="007F28EA" w:rsidRDefault="00316D6F" w:rsidP="00B51EAA">
      <w:pPr>
        <w:spacing w:beforeLines="240" w:before="576" w:afterLines="240" w:after="576" w:line="240" w:lineRule="atLeast"/>
        <w:contextualSpacing/>
        <w:jc w:val="both"/>
        <w:rPr>
          <w:rFonts w:ascii="Times New Roman" w:eastAsia="Times New Roman" w:hAnsi="Times New Roman" w:cs="Times New Roman"/>
          <w:color w:val="000000"/>
          <w:sz w:val="24"/>
          <w:szCs w:val="24"/>
        </w:rPr>
      </w:pPr>
      <w:r w:rsidRPr="007F28EA">
        <w:rPr>
          <w:rFonts w:ascii="Times New Roman" w:hAnsi="Times New Roman" w:cs="Times New Roman"/>
          <w:color w:val="000000" w:themeColor="text1"/>
          <w:sz w:val="24"/>
          <w:szCs w:val="24"/>
        </w:rPr>
        <w:t>The increase in the ratio in FY 2019 is mainly due to 94.29% decrease in finance cost.</w:t>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b/>
          <w:bCs/>
          <w:color w:val="000000" w:themeColor="text1"/>
          <w:sz w:val="24"/>
          <w:szCs w:val="24"/>
        </w:rPr>
      </w:pPr>
    </w:p>
    <w:p w:rsidR="00316D6F" w:rsidRPr="007F28EA" w:rsidRDefault="00316D6F" w:rsidP="00B51EAA">
      <w:pPr>
        <w:pStyle w:val="Heading2"/>
        <w:spacing w:beforeLines="240" w:before="576" w:afterLines="240" w:after="576" w:line="240" w:lineRule="atLeast"/>
        <w:contextualSpacing/>
        <w:jc w:val="both"/>
        <w:rPr>
          <w:rFonts w:ascii="Times New Roman" w:hAnsi="Times New Roman" w:cs="Times New Roman"/>
          <w:b w:val="0"/>
          <w:bCs w:val="0"/>
          <w:color w:val="000000" w:themeColor="text1"/>
          <w:sz w:val="24"/>
          <w:szCs w:val="24"/>
        </w:rPr>
      </w:pPr>
      <w:bookmarkStart w:id="25" w:name="_Toc48694067"/>
      <w:bookmarkStart w:id="26" w:name="_Toc49072577"/>
      <w:r w:rsidRPr="007F28EA">
        <w:rPr>
          <w:rFonts w:ascii="Times New Roman" w:hAnsi="Times New Roman" w:cs="Times New Roman"/>
          <w:color w:val="000000" w:themeColor="text1"/>
          <w:sz w:val="24"/>
          <w:szCs w:val="24"/>
        </w:rPr>
        <w:t>Earnings per share</w:t>
      </w:r>
      <w:bookmarkEnd w:id="25"/>
      <w:bookmarkEnd w:id="26"/>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noProof/>
          <w:sz w:val="24"/>
          <w:szCs w:val="24"/>
          <w:lang w:val="en-GB" w:eastAsia="en-GB"/>
        </w:rPr>
        <w:drawing>
          <wp:inline distT="0" distB="0" distL="0" distR="0">
            <wp:extent cx="5943600" cy="2743200"/>
            <wp:effectExtent l="0" t="0" r="0" b="0"/>
            <wp:docPr id="10" name="Chart 10">
              <a:extLst xmlns:a="http://schemas.openxmlformats.org/drawingml/2006/main">
                <a:ext uri="{FF2B5EF4-FFF2-40B4-BE49-F238E27FC236}">
                  <a16:creationId xmlns:ve="http://schemas.openxmlformats.org/markup-compatibility/2006" xmlns:lc="http://schemas.openxmlformats.org/drawingml/2006/lockedCanvas" xmlns:a16="http://schemas.microsoft.com/office/drawing/2014/main" xmlns="" xmlns:xdr="http://schemas.openxmlformats.org/drawingml/2006/spreadsheetDrawing" xmlns:w="http://schemas.openxmlformats.org/wordprocessingml/2006/main" xmlns:w10="urn:schemas-microsoft-com:office:word" xmlns:v="urn:schemas-microsoft-com:vml" xmlns:o="urn:schemas-microsoft-com:office:office" xmlns:w15="http://schemas.microsoft.com/office/word/2012/wordml" id="{00000000-0008-0000-0400-00001D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p>
    <w:p w:rsidR="00316D6F" w:rsidRPr="007F28EA" w:rsidRDefault="00316D6F"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t xml:space="preserve">Earnings per share (EPS) measures the profit earned on a single share of a company. The higher the ratio, the better it is. The EPS of Jerry was </w:t>
      </w:r>
      <w:r w:rsidRPr="007F28EA">
        <w:rPr>
          <w:rFonts w:ascii="Times New Roman" w:eastAsia="Times New Roman" w:hAnsi="Times New Roman" w:cs="Times New Roman"/>
          <w:sz w:val="24"/>
          <w:szCs w:val="24"/>
        </w:rPr>
        <w:t>£</w:t>
      </w:r>
      <w:r w:rsidRPr="007F28EA">
        <w:rPr>
          <w:rFonts w:ascii="Times New Roman" w:hAnsi="Times New Roman" w:cs="Times New Roman"/>
          <w:sz w:val="24"/>
          <w:szCs w:val="24"/>
        </w:rPr>
        <w:t xml:space="preserve">1.03/share in FY 2018 which decreased to reach at </w:t>
      </w:r>
      <w:r w:rsidRPr="007F28EA">
        <w:rPr>
          <w:rFonts w:ascii="Times New Roman" w:eastAsia="Times New Roman" w:hAnsi="Times New Roman" w:cs="Times New Roman"/>
          <w:sz w:val="24"/>
          <w:szCs w:val="24"/>
        </w:rPr>
        <w:t>£0.72/share in FY 2019. The decrease in the ratio is mainly due to decrease in net profit by 29.51% which is not a good sign. The investors would like to invest in the company having higher EPS</w:t>
      </w:r>
      <w:r w:rsidR="003B4490" w:rsidRPr="007F28EA">
        <w:rPr>
          <w:rFonts w:ascii="Times New Roman" w:eastAsia="Times New Roman" w:hAnsi="Times New Roman" w:cs="Times New Roman"/>
          <w:sz w:val="24"/>
          <w:szCs w:val="24"/>
        </w:rPr>
        <w:t xml:space="preserve"> (</w:t>
      </w:r>
      <w:hyperlink r:id="rId14" w:tgtFrame="_blank" w:tooltip="View other papers by this author" w:history="1">
        <w:r w:rsidR="003B4490" w:rsidRPr="007F28EA">
          <w:rPr>
            <w:rFonts w:ascii="Times New Roman" w:hAnsi="Times New Roman" w:cs="Times New Roman"/>
            <w:sz w:val="24"/>
            <w:szCs w:val="24"/>
          </w:rPr>
          <w:t>Papadopoulos</w:t>
        </w:r>
      </w:hyperlink>
      <w:r w:rsidR="003B4490" w:rsidRPr="007F28EA">
        <w:rPr>
          <w:rFonts w:ascii="Times New Roman" w:hAnsi="Times New Roman" w:cs="Times New Roman"/>
          <w:sz w:val="24"/>
          <w:szCs w:val="24"/>
        </w:rPr>
        <w:t xml:space="preserve"> et al, 2017)</w:t>
      </w:r>
      <w:r w:rsidRPr="007F28EA">
        <w:rPr>
          <w:rFonts w:ascii="Times New Roman" w:eastAsia="Times New Roman" w:hAnsi="Times New Roman" w:cs="Times New Roman"/>
          <w:sz w:val="24"/>
          <w:szCs w:val="24"/>
        </w:rPr>
        <w:t>.</w:t>
      </w:r>
    </w:p>
    <w:p w:rsidR="00316D6F" w:rsidRPr="007F28EA" w:rsidRDefault="005F5523" w:rsidP="00B51EAA">
      <w:pPr>
        <w:spacing w:beforeLines="240" w:before="576" w:afterLines="240" w:after="576" w:line="240" w:lineRule="atLeast"/>
        <w:contextualSpacing/>
        <w:jc w:val="both"/>
        <w:rPr>
          <w:rFonts w:ascii="Times New Roman" w:hAnsi="Times New Roman" w:cs="Times New Roman"/>
          <w:b/>
          <w:sz w:val="24"/>
          <w:szCs w:val="24"/>
        </w:rPr>
      </w:pPr>
      <w:r w:rsidRPr="007F28EA">
        <w:rPr>
          <w:rFonts w:ascii="Times New Roman" w:hAnsi="Times New Roman" w:cs="Times New Roman"/>
          <w:b/>
          <w:sz w:val="24"/>
          <w:szCs w:val="24"/>
        </w:rPr>
        <w:t>Benefits of ratio calculation</w:t>
      </w:r>
    </w:p>
    <w:p w:rsidR="00316D6F" w:rsidRPr="007F28EA" w:rsidRDefault="001749D4" w:rsidP="00B51EAA">
      <w:pPr>
        <w:pStyle w:val="ListParagraph"/>
        <w:numPr>
          <w:ilvl w:val="0"/>
          <w:numId w:val="8"/>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It is a measure of profitability in an organization. </w:t>
      </w:r>
      <w:r w:rsidR="003C375D" w:rsidRPr="007F28EA">
        <w:rPr>
          <w:rFonts w:ascii="Times New Roman" w:hAnsi="Times New Roman" w:cs="Times New Roman"/>
          <w:sz w:val="24"/>
          <w:szCs w:val="24"/>
        </w:rPr>
        <w:t xml:space="preserve">The trends in the financial performance can be effectively utilized in an organization. </w:t>
      </w:r>
      <w:r w:rsidR="002F4946" w:rsidRPr="007F28EA">
        <w:rPr>
          <w:rFonts w:ascii="Times New Roman" w:hAnsi="Times New Roman" w:cs="Times New Roman"/>
          <w:sz w:val="24"/>
          <w:szCs w:val="24"/>
        </w:rPr>
        <w:t>It takes place the effective measures take</w:t>
      </w:r>
      <w:r w:rsidR="003978F1" w:rsidRPr="007F28EA">
        <w:rPr>
          <w:rFonts w:ascii="Times New Roman" w:hAnsi="Times New Roman" w:cs="Times New Roman"/>
          <w:sz w:val="24"/>
          <w:szCs w:val="24"/>
        </w:rPr>
        <w:t xml:space="preserve">n to allocate costs in company. The benefits are used for making estimations of </w:t>
      </w:r>
      <w:r w:rsidR="005600C8" w:rsidRPr="007F28EA">
        <w:rPr>
          <w:rFonts w:ascii="Times New Roman" w:hAnsi="Times New Roman" w:cs="Times New Roman"/>
          <w:sz w:val="24"/>
          <w:szCs w:val="24"/>
        </w:rPr>
        <w:t>financial viability in the company.</w:t>
      </w:r>
    </w:p>
    <w:p w:rsidR="005600C8" w:rsidRPr="007F28EA" w:rsidRDefault="00AC21FD" w:rsidP="00B51EAA">
      <w:pPr>
        <w:pStyle w:val="ListParagraph"/>
        <w:numPr>
          <w:ilvl w:val="0"/>
          <w:numId w:val="8"/>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The operational efficiency can be maintained in an organization with the proper implementation of resources in a company.</w:t>
      </w:r>
      <w:r w:rsidR="00CD1893" w:rsidRPr="007F28EA">
        <w:rPr>
          <w:rFonts w:ascii="Times New Roman" w:hAnsi="Times New Roman" w:cs="Times New Roman"/>
          <w:sz w:val="24"/>
          <w:szCs w:val="24"/>
        </w:rPr>
        <w:t xml:space="preserve"> The ratio helps in identifying mismanagement in assets of companies. These </w:t>
      </w:r>
      <w:bookmarkStart w:id="27" w:name="_GoBack"/>
      <w:bookmarkEnd w:id="27"/>
      <w:r w:rsidR="001B556C" w:rsidRPr="007F28EA">
        <w:rPr>
          <w:rFonts w:ascii="Times New Roman" w:hAnsi="Times New Roman" w:cs="Times New Roman"/>
          <w:sz w:val="24"/>
          <w:szCs w:val="24"/>
        </w:rPr>
        <w:t>are used</w:t>
      </w:r>
      <w:r w:rsidR="00CD1893" w:rsidRPr="007F28EA">
        <w:rPr>
          <w:rFonts w:ascii="Times New Roman" w:hAnsi="Times New Roman" w:cs="Times New Roman"/>
          <w:sz w:val="24"/>
          <w:szCs w:val="24"/>
        </w:rPr>
        <w:t xml:space="preserve"> to undertake appropriate controls in an organization. </w:t>
      </w:r>
    </w:p>
    <w:p w:rsidR="00FE459F" w:rsidRPr="007F28EA" w:rsidRDefault="00FE459F" w:rsidP="00B51EAA">
      <w:pPr>
        <w:spacing w:beforeLines="240" w:before="576" w:afterLines="240" w:after="576" w:line="240" w:lineRule="atLeast"/>
        <w:contextualSpacing/>
        <w:jc w:val="both"/>
        <w:rPr>
          <w:rFonts w:ascii="Times New Roman" w:hAnsi="Times New Roman" w:cs="Times New Roman"/>
          <w:sz w:val="24"/>
          <w:szCs w:val="24"/>
        </w:rPr>
      </w:pPr>
    </w:p>
    <w:p w:rsidR="00D31408" w:rsidRPr="007F28EA" w:rsidRDefault="00D31408" w:rsidP="00B51EAA">
      <w:pPr>
        <w:spacing w:beforeLines="240" w:before="576" w:afterLines="240" w:after="576" w:line="240" w:lineRule="atLeast"/>
        <w:contextualSpacing/>
        <w:jc w:val="both"/>
        <w:rPr>
          <w:rFonts w:ascii="Times New Roman" w:eastAsiaTheme="majorEastAsia" w:hAnsi="Times New Roman" w:cs="Times New Roman"/>
          <w:b/>
          <w:bCs/>
          <w:color w:val="365F91" w:themeColor="accent1" w:themeShade="BF"/>
          <w:sz w:val="24"/>
          <w:szCs w:val="24"/>
          <w:vertAlign w:val="subscript"/>
        </w:rPr>
      </w:pPr>
      <w:r w:rsidRPr="007F28EA">
        <w:rPr>
          <w:rFonts w:ascii="Times New Roman" w:hAnsi="Times New Roman" w:cs="Times New Roman"/>
          <w:sz w:val="24"/>
          <w:szCs w:val="24"/>
          <w:vertAlign w:val="subscript"/>
        </w:rPr>
        <w:br w:type="page"/>
      </w:r>
    </w:p>
    <w:p w:rsidR="00511D84" w:rsidRPr="007F28EA" w:rsidRDefault="00996891" w:rsidP="00B51EAA">
      <w:pPr>
        <w:pStyle w:val="Heading1"/>
        <w:spacing w:beforeLines="240" w:before="576" w:afterLines="240" w:after="576" w:line="240" w:lineRule="atLeast"/>
        <w:contextualSpacing/>
        <w:jc w:val="both"/>
        <w:rPr>
          <w:rFonts w:ascii="Times New Roman" w:hAnsi="Times New Roman" w:cs="Times New Roman"/>
          <w:sz w:val="24"/>
          <w:szCs w:val="24"/>
        </w:rPr>
      </w:pPr>
      <w:bookmarkStart w:id="28" w:name="_Toc49072578"/>
      <w:r w:rsidRPr="007F28EA">
        <w:rPr>
          <w:rFonts w:ascii="Times New Roman" w:hAnsi="Times New Roman" w:cs="Times New Roman"/>
          <w:sz w:val="24"/>
          <w:szCs w:val="24"/>
        </w:rPr>
        <w:lastRenderedPageBreak/>
        <w:t>Question 3</w:t>
      </w:r>
      <w:bookmarkEnd w:id="28"/>
    </w:p>
    <w:p w:rsidR="00996891" w:rsidRPr="007F28EA" w:rsidRDefault="002617C8" w:rsidP="00B51EAA">
      <w:pPr>
        <w:pStyle w:val="ListParagraph"/>
        <w:numPr>
          <w:ilvl w:val="0"/>
          <w:numId w:val="1"/>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Financial Statements provides information about the results of operations, financial position and cash flows of an organization. </w:t>
      </w:r>
      <w:r w:rsidR="009B6496" w:rsidRPr="007F28EA">
        <w:rPr>
          <w:rFonts w:ascii="Times New Roman" w:hAnsi="Times New Roman" w:cs="Times New Roman"/>
          <w:sz w:val="24"/>
          <w:szCs w:val="24"/>
        </w:rPr>
        <w:t xml:space="preserve">The </w:t>
      </w:r>
      <w:r w:rsidR="00E15E4F" w:rsidRPr="007F28EA">
        <w:rPr>
          <w:rFonts w:ascii="Times New Roman" w:hAnsi="Times New Roman" w:cs="Times New Roman"/>
          <w:sz w:val="24"/>
          <w:szCs w:val="24"/>
        </w:rPr>
        <w:t>decisions regarding allocation of resources have</w:t>
      </w:r>
      <w:r w:rsidR="009B6496" w:rsidRPr="007F28EA">
        <w:rPr>
          <w:rFonts w:ascii="Times New Roman" w:hAnsi="Times New Roman" w:cs="Times New Roman"/>
          <w:sz w:val="24"/>
          <w:szCs w:val="24"/>
        </w:rPr>
        <w:t xml:space="preserve"> been made in with the financial results. </w:t>
      </w:r>
      <w:r w:rsidR="007A57A7" w:rsidRPr="007F28EA">
        <w:rPr>
          <w:rFonts w:ascii="Times New Roman" w:hAnsi="Times New Roman" w:cs="Times New Roman"/>
          <w:sz w:val="24"/>
          <w:szCs w:val="24"/>
        </w:rPr>
        <w:t xml:space="preserve"> The statements perform</w:t>
      </w:r>
      <w:r w:rsidR="00CA3165" w:rsidRPr="007F28EA">
        <w:rPr>
          <w:rFonts w:ascii="Times New Roman" w:hAnsi="Times New Roman" w:cs="Times New Roman"/>
          <w:sz w:val="24"/>
          <w:szCs w:val="24"/>
        </w:rPr>
        <w:t xml:space="preserve"> variety of functions in the long term benefits of organization</w:t>
      </w:r>
      <w:r w:rsidR="00DF6EDB" w:rsidRPr="007F28EA">
        <w:rPr>
          <w:rFonts w:ascii="Times New Roman" w:hAnsi="Times New Roman" w:cs="Times New Roman"/>
          <w:sz w:val="24"/>
          <w:szCs w:val="24"/>
        </w:rPr>
        <w:t xml:space="preserve"> (</w:t>
      </w:r>
      <w:hyperlink r:id="rId15" w:tgtFrame="_blank" w:tooltip="View other papers by this author" w:history="1">
        <w:r w:rsidR="00DF6EDB" w:rsidRPr="007F28EA">
          <w:rPr>
            <w:rFonts w:ascii="Times New Roman" w:hAnsi="Times New Roman" w:cs="Times New Roman"/>
            <w:sz w:val="24"/>
            <w:szCs w:val="24"/>
          </w:rPr>
          <w:t>Senteney</w:t>
        </w:r>
      </w:hyperlink>
      <w:r w:rsidR="00DF6EDB" w:rsidRPr="007F28EA">
        <w:rPr>
          <w:rFonts w:ascii="Times New Roman" w:hAnsi="Times New Roman" w:cs="Times New Roman"/>
          <w:sz w:val="24"/>
          <w:szCs w:val="24"/>
        </w:rPr>
        <w:t xml:space="preserve"> et al, 2019)</w:t>
      </w:r>
      <w:r w:rsidR="00CA3165" w:rsidRPr="007F28EA">
        <w:rPr>
          <w:rFonts w:ascii="Times New Roman" w:hAnsi="Times New Roman" w:cs="Times New Roman"/>
          <w:sz w:val="24"/>
          <w:szCs w:val="24"/>
        </w:rPr>
        <w:t xml:space="preserve">. </w:t>
      </w:r>
      <w:r w:rsidR="00E15E4F" w:rsidRPr="007F28EA">
        <w:rPr>
          <w:rFonts w:ascii="Times New Roman" w:hAnsi="Times New Roman" w:cs="Times New Roman"/>
          <w:sz w:val="24"/>
          <w:szCs w:val="24"/>
        </w:rPr>
        <w:t>Different users of financial statements are as follows-</w:t>
      </w:r>
    </w:p>
    <w:p w:rsidR="00E15E4F" w:rsidRPr="007F28EA" w:rsidRDefault="006379E5" w:rsidP="00B51EAA">
      <w:pPr>
        <w:pStyle w:val="ListParagraph"/>
        <w:numPr>
          <w:ilvl w:val="0"/>
          <w:numId w:val="2"/>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Owners and shareholders</w:t>
      </w:r>
    </w:p>
    <w:p w:rsidR="006379E5" w:rsidRPr="007F28EA" w:rsidRDefault="006379E5" w:rsidP="00B51EAA">
      <w:pPr>
        <w:pStyle w:val="ListParagraph"/>
        <w:numPr>
          <w:ilvl w:val="0"/>
          <w:numId w:val="2"/>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Managers</w:t>
      </w:r>
    </w:p>
    <w:p w:rsidR="006379E5" w:rsidRPr="007F28EA" w:rsidRDefault="006379E5" w:rsidP="00B51EAA">
      <w:pPr>
        <w:pStyle w:val="ListParagraph"/>
        <w:numPr>
          <w:ilvl w:val="0"/>
          <w:numId w:val="2"/>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Government</w:t>
      </w:r>
    </w:p>
    <w:p w:rsidR="006379E5" w:rsidRPr="007F28EA" w:rsidRDefault="005D3175"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t xml:space="preserve">The above three groups are interest in financial statements of companies. </w:t>
      </w:r>
      <w:r w:rsidR="00015FC8" w:rsidRPr="007F28EA">
        <w:rPr>
          <w:rFonts w:ascii="Times New Roman" w:hAnsi="Times New Roman" w:cs="Times New Roman"/>
          <w:sz w:val="24"/>
          <w:szCs w:val="24"/>
        </w:rPr>
        <w:t>The reasons for the same has been described as below-</w:t>
      </w:r>
    </w:p>
    <w:p w:rsidR="00F2186C" w:rsidRPr="007F28EA" w:rsidRDefault="00C46638" w:rsidP="00B51EAA">
      <w:pPr>
        <w:pStyle w:val="ListParagraph"/>
        <w:numPr>
          <w:ilvl w:val="0"/>
          <w:numId w:val="3"/>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Owners and shareholders –the </w:t>
      </w:r>
      <w:r w:rsidR="005256E9" w:rsidRPr="007F28EA">
        <w:rPr>
          <w:rFonts w:ascii="Times New Roman" w:hAnsi="Times New Roman" w:cs="Times New Roman"/>
          <w:sz w:val="24"/>
          <w:szCs w:val="24"/>
        </w:rPr>
        <w:t xml:space="preserve">main objective is to </w:t>
      </w:r>
      <w:r w:rsidR="003006CF" w:rsidRPr="007F28EA">
        <w:rPr>
          <w:rFonts w:ascii="Times New Roman" w:hAnsi="Times New Roman" w:cs="Times New Roman"/>
          <w:sz w:val="24"/>
          <w:szCs w:val="24"/>
        </w:rPr>
        <w:t>determine the valuation of equity investments in company</w:t>
      </w:r>
      <w:r w:rsidR="0086576E" w:rsidRPr="007F28EA">
        <w:rPr>
          <w:rFonts w:ascii="Times New Roman" w:hAnsi="Times New Roman" w:cs="Times New Roman"/>
          <w:sz w:val="24"/>
          <w:szCs w:val="24"/>
        </w:rPr>
        <w:t>.</w:t>
      </w:r>
      <w:r w:rsidR="003006CF" w:rsidRPr="007F28EA">
        <w:rPr>
          <w:rFonts w:ascii="Times New Roman" w:hAnsi="Times New Roman" w:cs="Times New Roman"/>
          <w:sz w:val="24"/>
          <w:szCs w:val="24"/>
        </w:rPr>
        <w:t xml:space="preserve"> It is required to ascertain </w:t>
      </w:r>
      <w:r w:rsidR="0086576E" w:rsidRPr="007F28EA">
        <w:rPr>
          <w:rFonts w:ascii="Times New Roman" w:hAnsi="Times New Roman" w:cs="Times New Roman"/>
          <w:sz w:val="24"/>
          <w:szCs w:val="24"/>
        </w:rPr>
        <w:t>the decisions regarding voting on certain matters in annual general meetings of company. These shareholders can raise their voice in order to make suffici</w:t>
      </w:r>
      <w:r w:rsidR="002C45CA" w:rsidRPr="007F28EA">
        <w:rPr>
          <w:rFonts w:ascii="Times New Roman" w:hAnsi="Times New Roman" w:cs="Times New Roman"/>
          <w:sz w:val="24"/>
          <w:szCs w:val="24"/>
        </w:rPr>
        <w:t>ent decisions in a company</w:t>
      </w:r>
      <w:r w:rsidR="00DF6EDB" w:rsidRPr="007F28EA">
        <w:rPr>
          <w:rFonts w:ascii="Times New Roman" w:hAnsi="Times New Roman" w:cs="Times New Roman"/>
          <w:sz w:val="24"/>
          <w:szCs w:val="24"/>
        </w:rPr>
        <w:t xml:space="preserve"> (</w:t>
      </w:r>
      <w:hyperlink r:id="rId16" w:tgtFrame="_blank" w:tooltip="View other papers by this author" w:history="1">
        <w:r w:rsidR="00DF6EDB" w:rsidRPr="007F28EA">
          <w:rPr>
            <w:rFonts w:ascii="Times New Roman" w:hAnsi="Times New Roman" w:cs="Times New Roman"/>
            <w:sz w:val="24"/>
            <w:szCs w:val="24"/>
          </w:rPr>
          <w:t>Senteney</w:t>
        </w:r>
      </w:hyperlink>
      <w:r w:rsidR="00DF6EDB" w:rsidRPr="007F28EA">
        <w:rPr>
          <w:rFonts w:ascii="Times New Roman" w:hAnsi="Times New Roman" w:cs="Times New Roman"/>
          <w:sz w:val="24"/>
          <w:szCs w:val="24"/>
        </w:rPr>
        <w:t xml:space="preserve"> et al, 2019)</w:t>
      </w:r>
      <w:r w:rsidR="002C45CA" w:rsidRPr="007F28EA">
        <w:rPr>
          <w:rFonts w:ascii="Times New Roman" w:hAnsi="Times New Roman" w:cs="Times New Roman"/>
          <w:sz w:val="24"/>
          <w:szCs w:val="24"/>
        </w:rPr>
        <w:t xml:space="preserve">. This is a measure that acts as an important basis for showing amount of profits generated in business organization. </w:t>
      </w:r>
      <w:r w:rsidR="00EC48C2" w:rsidRPr="007F28EA">
        <w:rPr>
          <w:rFonts w:ascii="Times New Roman" w:hAnsi="Times New Roman" w:cs="Times New Roman"/>
          <w:sz w:val="24"/>
          <w:szCs w:val="24"/>
        </w:rPr>
        <w:t>The tools that are used by shareholder to assess equity evaluations are ratios, trend analysis. The ratios used are profitability ratios, returns on equity, efficiency and debt-equity ratios</w:t>
      </w:r>
      <w:r w:rsidR="00227E55" w:rsidRPr="007F28EA">
        <w:rPr>
          <w:rFonts w:ascii="Times New Roman" w:hAnsi="Times New Roman" w:cs="Times New Roman"/>
          <w:sz w:val="24"/>
          <w:szCs w:val="24"/>
        </w:rPr>
        <w:t xml:space="preserve"> (</w:t>
      </w:r>
      <w:hyperlink r:id="rId17" w:tgtFrame="_blank" w:tooltip="View other papers by this author" w:history="1">
        <w:r w:rsidR="00227E55" w:rsidRPr="007F28EA">
          <w:rPr>
            <w:rFonts w:ascii="Times New Roman" w:hAnsi="Times New Roman" w:cs="Times New Roman"/>
            <w:sz w:val="24"/>
            <w:szCs w:val="24"/>
          </w:rPr>
          <w:t>Nam</w:t>
        </w:r>
      </w:hyperlink>
      <w:r w:rsidR="00227E55" w:rsidRPr="007F28EA">
        <w:rPr>
          <w:rFonts w:ascii="Times New Roman" w:hAnsi="Times New Roman" w:cs="Times New Roman"/>
          <w:sz w:val="24"/>
          <w:szCs w:val="24"/>
        </w:rPr>
        <w:t>, 2019)</w:t>
      </w:r>
      <w:r w:rsidR="00EC48C2" w:rsidRPr="007F28EA">
        <w:rPr>
          <w:rFonts w:ascii="Times New Roman" w:hAnsi="Times New Roman" w:cs="Times New Roman"/>
          <w:sz w:val="24"/>
          <w:szCs w:val="24"/>
        </w:rPr>
        <w:t xml:space="preserve">. </w:t>
      </w:r>
    </w:p>
    <w:p w:rsidR="00015FC8" w:rsidRPr="007F28EA" w:rsidRDefault="00EC48C2" w:rsidP="00B51EAA">
      <w:pPr>
        <w:pStyle w:val="ListParagraph"/>
        <w:spacing w:beforeLines="240" w:before="576" w:afterLines="240" w:after="576" w:line="240" w:lineRule="atLeast"/>
        <w:ind w:left="1080"/>
        <w:jc w:val="both"/>
        <w:rPr>
          <w:rFonts w:ascii="Times New Roman" w:hAnsi="Times New Roman" w:cs="Times New Roman"/>
          <w:sz w:val="24"/>
          <w:szCs w:val="24"/>
        </w:rPr>
      </w:pPr>
      <w:r w:rsidRPr="007F28EA">
        <w:rPr>
          <w:rFonts w:ascii="Times New Roman" w:hAnsi="Times New Roman" w:cs="Times New Roman"/>
          <w:sz w:val="24"/>
          <w:szCs w:val="24"/>
        </w:rPr>
        <w:t xml:space="preserve">The comparison is made with respect to other competitors in company. </w:t>
      </w:r>
      <w:r w:rsidR="00764AB2" w:rsidRPr="007F28EA">
        <w:rPr>
          <w:rFonts w:ascii="Times New Roman" w:hAnsi="Times New Roman" w:cs="Times New Roman"/>
          <w:sz w:val="24"/>
          <w:szCs w:val="24"/>
        </w:rPr>
        <w:t xml:space="preserve">The voting rights are used to make decisions in favor of company. The </w:t>
      </w:r>
      <w:r w:rsidR="00B80733" w:rsidRPr="007F28EA">
        <w:rPr>
          <w:rFonts w:ascii="Times New Roman" w:hAnsi="Times New Roman" w:cs="Times New Roman"/>
          <w:sz w:val="24"/>
          <w:szCs w:val="24"/>
        </w:rPr>
        <w:t>increases in retained earnings have been ascertained with the help of financial statements and are</w:t>
      </w:r>
      <w:r w:rsidR="00DD6098" w:rsidRPr="007F28EA">
        <w:rPr>
          <w:rFonts w:ascii="Times New Roman" w:hAnsi="Times New Roman" w:cs="Times New Roman"/>
          <w:sz w:val="24"/>
          <w:szCs w:val="24"/>
        </w:rPr>
        <w:t xml:space="preserve"> of great use for equity shareholders of company</w:t>
      </w:r>
      <w:r w:rsidR="00A84CE1" w:rsidRPr="007F28EA">
        <w:rPr>
          <w:rFonts w:ascii="Times New Roman" w:hAnsi="Times New Roman" w:cs="Times New Roman"/>
          <w:sz w:val="24"/>
          <w:szCs w:val="24"/>
        </w:rPr>
        <w:t xml:space="preserve"> (</w:t>
      </w:r>
      <w:hyperlink r:id="rId18" w:tgtFrame="_blank" w:tooltip="View other papers by this author" w:history="1">
        <w:r w:rsidR="00A84CE1" w:rsidRPr="007F28EA">
          <w:rPr>
            <w:rFonts w:ascii="Times New Roman" w:hAnsi="Times New Roman" w:cs="Times New Roman"/>
            <w:sz w:val="24"/>
            <w:szCs w:val="24"/>
          </w:rPr>
          <w:t>Papadopoulos</w:t>
        </w:r>
      </w:hyperlink>
      <w:r w:rsidR="00A84CE1" w:rsidRPr="007F28EA">
        <w:rPr>
          <w:rFonts w:ascii="Times New Roman" w:hAnsi="Times New Roman" w:cs="Times New Roman"/>
          <w:sz w:val="24"/>
          <w:szCs w:val="24"/>
        </w:rPr>
        <w:t xml:space="preserve"> et al, 2017)</w:t>
      </w:r>
      <w:r w:rsidR="00DD6098" w:rsidRPr="007F28EA">
        <w:rPr>
          <w:rFonts w:ascii="Times New Roman" w:hAnsi="Times New Roman" w:cs="Times New Roman"/>
          <w:sz w:val="24"/>
          <w:szCs w:val="24"/>
        </w:rPr>
        <w:t xml:space="preserve">. </w:t>
      </w:r>
      <w:r w:rsidR="00F2186C" w:rsidRPr="007F28EA">
        <w:rPr>
          <w:rFonts w:ascii="Times New Roman" w:hAnsi="Times New Roman" w:cs="Times New Roman"/>
          <w:sz w:val="24"/>
          <w:szCs w:val="24"/>
        </w:rPr>
        <w:t xml:space="preserve"> The owners of the company use the financial statements to justify whether the usage of assets and the money they have invested is in appropriate direction</w:t>
      </w:r>
      <w:r w:rsidR="00227E55" w:rsidRPr="007F28EA">
        <w:rPr>
          <w:rFonts w:ascii="Times New Roman" w:hAnsi="Times New Roman" w:cs="Times New Roman"/>
          <w:sz w:val="24"/>
          <w:szCs w:val="24"/>
        </w:rPr>
        <w:t xml:space="preserve"> (</w:t>
      </w:r>
      <w:hyperlink r:id="rId19" w:tgtFrame="_blank" w:tooltip="View other papers by this author" w:history="1">
        <w:r w:rsidR="00227E55" w:rsidRPr="007F28EA">
          <w:rPr>
            <w:rFonts w:ascii="Times New Roman" w:hAnsi="Times New Roman" w:cs="Times New Roman"/>
            <w:sz w:val="24"/>
            <w:szCs w:val="24"/>
          </w:rPr>
          <w:t>Nam</w:t>
        </w:r>
      </w:hyperlink>
      <w:r w:rsidR="00227E55" w:rsidRPr="007F28EA">
        <w:rPr>
          <w:rFonts w:ascii="Times New Roman" w:hAnsi="Times New Roman" w:cs="Times New Roman"/>
          <w:sz w:val="24"/>
          <w:szCs w:val="24"/>
        </w:rPr>
        <w:t>, 2019)</w:t>
      </w:r>
      <w:r w:rsidR="00F2186C" w:rsidRPr="007F28EA">
        <w:rPr>
          <w:rFonts w:ascii="Times New Roman" w:hAnsi="Times New Roman" w:cs="Times New Roman"/>
          <w:sz w:val="24"/>
          <w:szCs w:val="24"/>
        </w:rPr>
        <w:t xml:space="preserve">. </w:t>
      </w:r>
    </w:p>
    <w:p w:rsidR="001D46CB" w:rsidRPr="007F28EA" w:rsidRDefault="001D46CB" w:rsidP="00B51EAA">
      <w:pPr>
        <w:pStyle w:val="ListParagraph"/>
        <w:spacing w:beforeLines="240" w:before="576" w:afterLines="240" w:after="576" w:line="240" w:lineRule="atLeast"/>
        <w:ind w:left="1080"/>
        <w:jc w:val="both"/>
        <w:rPr>
          <w:rFonts w:ascii="Times New Roman" w:hAnsi="Times New Roman" w:cs="Times New Roman"/>
          <w:sz w:val="24"/>
          <w:szCs w:val="24"/>
        </w:rPr>
      </w:pPr>
      <w:r w:rsidRPr="007F28EA">
        <w:rPr>
          <w:rFonts w:ascii="Times New Roman" w:hAnsi="Times New Roman" w:cs="Times New Roman"/>
          <w:sz w:val="24"/>
          <w:szCs w:val="24"/>
        </w:rPr>
        <w:t xml:space="preserve">This helps in maintaining balance in financial ability to maintain efficient control on company’s financial assets. </w:t>
      </w:r>
      <w:r w:rsidR="005D76A3" w:rsidRPr="007F28EA">
        <w:rPr>
          <w:rFonts w:ascii="Times New Roman" w:hAnsi="Times New Roman" w:cs="Times New Roman"/>
          <w:sz w:val="24"/>
          <w:szCs w:val="24"/>
        </w:rPr>
        <w:t>The recognition of income to maximi</w:t>
      </w:r>
      <w:r w:rsidR="00540F15" w:rsidRPr="007F28EA">
        <w:rPr>
          <w:rFonts w:ascii="Times New Roman" w:hAnsi="Times New Roman" w:cs="Times New Roman"/>
          <w:sz w:val="24"/>
          <w:szCs w:val="24"/>
        </w:rPr>
        <w:t xml:space="preserve">ze wealth leads to increase in reliance on financial </w:t>
      </w:r>
      <w:r w:rsidR="00852059" w:rsidRPr="007F28EA">
        <w:rPr>
          <w:rFonts w:ascii="Times New Roman" w:hAnsi="Times New Roman" w:cs="Times New Roman"/>
          <w:sz w:val="24"/>
          <w:szCs w:val="24"/>
        </w:rPr>
        <w:t>as</w:t>
      </w:r>
      <w:r w:rsidR="00540F15" w:rsidRPr="007F28EA">
        <w:rPr>
          <w:rFonts w:ascii="Times New Roman" w:hAnsi="Times New Roman" w:cs="Times New Roman"/>
          <w:sz w:val="24"/>
          <w:szCs w:val="24"/>
        </w:rPr>
        <w:t>sets</w:t>
      </w:r>
      <w:r w:rsidR="00494FCC" w:rsidRPr="007F28EA">
        <w:rPr>
          <w:rFonts w:ascii="Times New Roman" w:hAnsi="Times New Roman" w:cs="Times New Roman"/>
          <w:sz w:val="24"/>
          <w:szCs w:val="24"/>
        </w:rPr>
        <w:t xml:space="preserve"> (</w:t>
      </w:r>
      <w:hyperlink r:id="rId20" w:history="1">
        <w:r w:rsidR="00494FCC" w:rsidRPr="007F28EA">
          <w:rPr>
            <w:rFonts w:ascii="Times New Roman" w:hAnsi="Times New Roman" w:cs="Times New Roman"/>
            <w:sz w:val="24"/>
            <w:szCs w:val="24"/>
          </w:rPr>
          <w:t>Epstein</w:t>
        </w:r>
      </w:hyperlink>
      <w:r w:rsidR="00494FCC" w:rsidRPr="007F28EA">
        <w:rPr>
          <w:rFonts w:ascii="Times New Roman" w:hAnsi="Times New Roman" w:cs="Times New Roman"/>
          <w:sz w:val="24"/>
          <w:szCs w:val="24"/>
        </w:rPr>
        <w:t>, 2020)</w:t>
      </w:r>
      <w:r w:rsidR="00540F15" w:rsidRPr="007F28EA">
        <w:rPr>
          <w:rFonts w:ascii="Times New Roman" w:hAnsi="Times New Roman" w:cs="Times New Roman"/>
          <w:sz w:val="24"/>
          <w:szCs w:val="24"/>
        </w:rPr>
        <w:t xml:space="preserve">. </w:t>
      </w:r>
    </w:p>
    <w:p w:rsidR="00B23163" w:rsidRPr="007F28EA" w:rsidRDefault="0034266E" w:rsidP="00B51EAA">
      <w:pPr>
        <w:pStyle w:val="ListParagraph"/>
        <w:numPr>
          <w:ilvl w:val="0"/>
          <w:numId w:val="3"/>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Managers </w:t>
      </w:r>
      <w:r w:rsidR="005D526A" w:rsidRPr="007F28EA">
        <w:rPr>
          <w:rFonts w:ascii="Times New Roman" w:hAnsi="Times New Roman" w:cs="Times New Roman"/>
          <w:sz w:val="24"/>
          <w:szCs w:val="24"/>
        </w:rPr>
        <w:t>–the management of company and the managers of different departments us</w:t>
      </w:r>
      <w:r w:rsidR="00B35F99" w:rsidRPr="007F28EA">
        <w:rPr>
          <w:rFonts w:ascii="Times New Roman" w:hAnsi="Times New Roman" w:cs="Times New Roman"/>
          <w:sz w:val="24"/>
          <w:szCs w:val="24"/>
        </w:rPr>
        <w:t>ed the information to measure impact of efforts on fi</w:t>
      </w:r>
      <w:r w:rsidR="00EC642E" w:rsidRPr="007F28EA">
        <w:rPr>
          <w:rFonts w:ascii="Times New Roman" w:hAnsi="Times New Roman" w:cs="Times New Roman"/>
          <w:sz w:val="24"/>
          <w:szCs w:val="24"/>
        </w:rPr>
        <w:t>nancial performance of company. It i</w:t>
      </w:r>
      <w:r w:rsidR="00B35F99" w:rsidRPr="007F28EA">
        <w:rPr>
          <w:rFonts w:ascii="Times New Roman" w:hAnsi="Times New Roman" w:cs="Times New Roman"/>
          <w:sz w:val="24"/>
          <w:szCs w:val="24"/>
        </w:rPr>
        <w:t xml:space="preserve">s required to ascertain an appropriate cause in an organization. </w:t>
      </w:r>
      <w:r w:rsidR="00F1465E" w:rsidRPr="007F28EA">
        <w:rPr>
          <w:rFonts w:ascii="Times New Roman" w:hAnsi="Times New Roman" w:cs="Times New Roman"/>
          <w:sz w:val="24"/>
          <w:szCs w:val="24"/>
        </w:rPr>
        <w:t xml:space="preserve">The budgets are useful for managing and </w:t>
      </w:r>
      <w:r w:rsidR="00556A1A" w:rsidRPr="007F28EA">
        <w:rPr>
          <w:rFonts w:ascii="Times New Roman" w:hAnsi="Times New Roman" w:cs="Times New Roman"/>
          <w:sz w:val="24"/>
          <w:szCs w:val="24"/>
        </w:rPr>
        <w:t>planning main purpose of same</w:t>
      </w:r>
      <w:r w:rsidR="00CF780C" w:rsidRPr="007F28EA">
        <w:rPr>
          <w:rFonts w:ascii="Times New Roman" w:hAnsi="Times New Roman" w:cs="Times New Roman"/>
          <w:sz w:val="24"/>
          <w:szCs w:val="24"/>
        </w:rPr>
        <w:t xml:space="preserve"> (</w:t>
      </w:r>
      <w:hyperlink r:id="rId21" w:tgtFrame="_blank" w:tooltip="View other papers by this author" w:history="1">
        <w:r w:rsidR="00CF780C" w:rsidRPr="007F28EA">
          <w:rPr>
            <w:rFonts w:ascii="Times New Roman" w:hAnsi="Times New Roman" w:cs="Times New Roman"/>
            <w:sz w:val="24"/>
            <w:szCs w:val="24"/>
          </w:rPr>
          <w:t>Sithole</w:t>
        </w:r>
      </w:hyperlink>
      <w:r w:rsidR="00CF780C" w:rsidRPr="007F28EA">
        <w:rPr>
          <w:rFonts w:ascii="Times New Roman" w:hAnsi="Times New Roman" w:cs="Times New Roman"/>
          <w:sz w:val="24"/>
          <w:szCs w:val="24"/>
        </w:rPr>
        <w:t>, 2015)</w:t>
      </w:r>
      <w:r w:rsidR="00556A1A" w:rsidRPr="007F28EA">
        <w:rPr>
          <w:rFonts w:ascii="Times New Roman" w:hAnsi="Times New Roman" w:cs="Times New Roman"/>
          <w:sz w:val="24"/>
          <w:szCs w:val="24"/>
        </w:rPr>
        <w:t xml:space="preserve">. The management can identify the problem and can cut unnecessary costs to highlight different areas of business. </w:t>
      </w:r>
      <w:r w:rsidR="00A02E2A" w:rsidRPr="007F28EA">
        <w:rPr>
          <w:rFonts w:ascii="Times New Roman" w:hAnsi="Times New Roman" w:cs="Times New Roman"/>
          <w:sz w:val="24"/>
          <w:szCs w:val="24"/>
        </w:rPr>
        <w:t>The list of company’s net income can be helps in predicting required costs of companies</w:t>
      </w:r>
      <w:r w:rsidR="00494FCC" w:rsidRPr="007F28EA">
        <w:rPr>
          <w:rFonts w:ascii="Times New Roman" w:hAnsi="Times New Roman" w:cs="Times New Roman"/>
          <w:sz w:val="24"/>
          <w:szCs w:val="24"/>
        </w:rPr>
        <w:t xml:space="preserve"> (</w:t>
      </w:r>
      <w:hyperlink r:id="rId22" w:history="1">
        <w:r w:rsidR="00494FCC" w:rsidRPr="007F28EA">
          <w:rPr>
            <w:rFonts w:ascii="Times New Roman" w:hAnsi="Times New Roman" w:cs="Times New Roman"/>
            <w:sz w:val="24"/>
            <w:szCs w:val="24"/>
          </w:rPr>
          <w:t>Epstein</w:t>
        </w:r>
      </w:hyperlink>
      <w:r w:rsidR="00494FCC" w:rsidRPr="007F28EA">
        <w:rPr>
          <w:rFonts w:ascii="Times New Roman" w:hAnsi="Times New Roman" w:cs="Times New Roman"/>
          <w:sz w:val="24"/>
          <w:szCs w:val="24"/>
        </w:rPr>
        <w:t>, 2020)</w:t>
      </w:r>
      <w:r w:rsidR="00A02E2A" w:rsidRPr="007F28EA">
        <w:rPr>
          <w:rFonts w:ascii="Times New Roman" w:hAnsi="Times New Roman" w:cs="Times New Roman"/>
          <w:sz w:val="24"/>
          <w:szCs w:val="24"/>
        </w:rPr>
        <w:t xml:space="preserve">. </w:t>
      </w:r>
      <w:r w:rsidR="00207B60" w:rsidRPr="007F28EA">
        <w:rPr>
          <w:rFonts w:ascii="Times New Roman" w:hAnsi="Times New Roman" w:cs="Times New Roman"/>
          <w:sz w:val="24"/>
          <w:szCs w:val="24"/>
        </w:rPr>
        <w:t xml:space="preserve">The </w:t>
      </w:r>
      <w:r w:rsidR="00691826" w:rsidRPr="007F28EA">
        <w:rPr>
          <w:rFonts w:ascii="Times New Roman" w:hAnsi="Times New Roman" w:cs="Times New Roman"/>
          <w:sz w:val="24"/>
          <w:szCs w:val="24"/>
        </w:rPr>
        <w:t>alignment of current financial problems is</w:t>
      </w:r>
      <w:r w:rsidR="00207B60" w:rsidRPr="007F28EA">
        <w:rPr>
          <w:rFonts w:ascii="Times New Roman" w:hAnsi="Times New Roman" w:cs="Times New Roman"/>
          <w:sz w:val="24"/>
          <w:szCs w:val="24"/>
        </w:rPr>
        <w:t xml:space="preserve"> done with future goals of companies so that growth and expansion can be achieved. </w:t>
      </w:r>
      <w:r w:rsidR="00691826" w:rsidRPr="007F28EA">
        <w:rPr>
          <w:rFonts w:ascii="Times New Roman" w:hAnsi="Times New Roman" w:cs="Times New Roman"/>
          <w:sz w:val="24"/>
          <w:szCs w:val="24"/>
        </w:rPr>
        <w:t>The alignment h</w:t>
      </w:r>
      <w:r w:rsidR="00452F48" w:rsidRPr="007F28EA">
        <w:rPr>
          <w:rFonts w:ascii="Times New Roman" w:hAnsi="Times New Roman" w:cs="Times New Roman"/>
          <w:sz w:val="24"/>
          <w:szCs w:val="24"/>
        </w:rPr>
        <w:t>as been done across departments. The team motivation can be placed so that appropriate measures are taken in this context</w:t>
      </w:r>
      <w:r w:rsidR="00A84CE1" w:rsidRPr="007F28EA">
        <w:rPr>
          <w:rFonts w:ascii="Times New Roman" w:hAnsi="Times New Roman" w:cs="Times New Roman"/>
          <w:sz w:val="24"/>
          <w:szCs w:val="24"/>
        </w:rPr>
        <w:t xml:space="preserve"> (</w:t>
      </w:r>
      <w:hyperlink r:id="rId23" w:tgtFrame="_blank" w:tooltip="View other papers by this author" w:history="1">
        <w:r w:rsidR="00A84CE1" w:rsidRPr="007F28EA">
          <w:rPr>
            <w:rFonts w:ascii="Times New Roman" w:hAnsi="Times New Roman" w:cs="Times New Roman"/>
            <w:sz w:val="24"/>
            <w:szCs w:val="24"/>
          </w:rPr>
          <w:t>Papadopoulos</w:t>
        </w:r>
      </w:hyperlink>
      <w:r w:rsidR="00A84CE1" w:rsidRPr="007F28EA">
        <w:rPr>
          <w:rFonts w:ascii="Times New Roman" w:hAnsi="Times New Roman" w:cs="Times New Roman"/>
          <w:sz w:val="24"/>
          <w:szCs w:val="24"/>
        </w:rPr>
        <w:t xml:space="preserve"> et al, 2017)</w:t>
      </w:r>
      <w:r w:rsidR="00452F48" w:rsidRPr="007F28EA">
        <w:rPr>
          <w:rFonts w:ascii="Times New Roman" w:hAnsi="Times New Roman" w:cs="Times New Roman"/>
          <w:sz w:val="24"/>
          <w:szCs w:val="24"/>
        </w:rPr>
        <w:t xml:space="preserve">. </w:t>
      </w:r>
      <w:r w:rsidR="00355875" w:rsidRPr="007F28EA">
        <w:rPr>
          <w:rFonts w:ascii="Times New Roman" w:hAnsi="Times New Roman" w:cs="Times New Roman"/>
          <w:sz w:val="24"/>
          <w:szCs w:val="24"/>
        </w:rPr>
        <w:t xml:space="preserve">The company’s financial structure has been determined with the financial structure of company. </w:t>
      </w:r>
      <w:r w:rsidR="00796ABE" w:rsidRPr="007F28EA">
        <w:rPr>
          <w:rFonts w:ascii="Times New Roman" w:hAnsi="Times New Roman" w:cs="Times New Roman"/>
          <w:sz w:val="24"/>
          <w:szCs w:val="24"/>
        </w:rPr>
        <w:t xml:space="preserve"> The managers of comp</w:t>
      </w:r>
      <w:r w:rsidR="000D7E7D" w:rsidRPr="007F28EA">
        <w:rPr>
          <w:rFonts w:ascii="Times New Roman" w:hAnsi="Times New Roman" w:cs="Times New Roman"/>
          <w:sz w:val="24"/>
          <w:szCs w:val="24"/>
        </w:rPr>
        <w:t xml:space="preserve">any use the given </w:t>
      </w:r>
      <w:r w:rsidR="000D7E7D" w:rsidRPr="007F28EA">
        <w:rPr>
          <w:rFonts w:ascii="Times New Roman" w:hAnsi="Times New Roman" w:cs="Times New Roman"/>
          <w:sz w:val="24"/>
          <w:szCs w:val="24"/>
        </w:rPr>
        <w:lastRenderedPageBreak/>
        <w:t>piece of information to ascertain efficient controls on maximizing wealth of shareholders</w:t>
      </w:r>
      <w:r w:rsidR="00BD508C" w:rsidRPr="007F28EA">
        <w:rPr>
          <w:rFonts w:ascii="Times New Roman" w:hAnsi="Times New Roman" w:cs="Times New Roman"/>
          <w:sz w:val="24"/>
          <w:szCs w:val="24"/>
        </w:rPr>
        <w:t xml:space="preserve"> (Donner et al, 2020)</w:t>
      </w:r>
      <w:r w:rsidR="000D7E7D" w:rsidRPr="007F28EA">
        <w:rPr>
          <w:rFonts w:ascii="Times New Roman" w:hAnsi="Times New Roman" w:cs="Times New Roman"/>
          <w:sz w:val="24"/>
          <w:szCs w:val="24"/>
        </w:rPr>
        <w:t xml:space="preserve">. </w:t>
      </w:r>
    </w:p>
    <w:p w:rsidR="003710E5" w:rsidRPr="007F28EA" w:rsidRDefault="003710E5" w:rsidP="00B51EAA">
      <w:pPr>
        <w:pStyle w:val="ListParagraph"/>
        <w:spacing w:beforeLines="240" w:before="576" w:afterLines="240" w:after="576" w:line="240" w:lineRule="atLeast"/>
        <w:ind w:left="1080"/>
        <w:jc w:val="both"/>
        <w:rPr>
          <w:rFonts w:ascii="Times New Roman" w:hAnsi="Times New Roman" w:cs="Times New Roman"/>
          <w:sz w:val="24"/>
          <w:szCs w:val="24"/>
        </w:rPr>
      </w:pPr>
      <w:r w:rsidRPr="007F28EA">
        <w:rPr>
          <w:rFonts w:ascii="Times New Roman" w:hAnsi="Times New Roman" w:cs="Times New Roman"/>
          <w:sz w:val="24"/>
          <w:szCs w:val="24"/>
        </w:rPr>
        <w:t xml:space="preserve">This leads to better presentation and identifications of bottlenecks in the processes of managing </w:t>
      </w:r>
      <w:r w:rsidR="003F5F88" w:rsidRPr="007F28EA">
        <w:rPr>
          <w:rFonts w:ascii="Times New Roman" w:hAnsi="Times New Roman" w:cs="Times New Roman"/>
          <w:sz w:val="24"/>
          <w:szCs w:val="24"/>
        </w:rPr>
        <w:t>resources</w:t>
      </w:r>
      <w:r w:rsidRPr="007F28EA">
        <w:rPr>
          <w:rFonts w:ascii="Times New Roman" w:hAnsi="Times New Roman" w:cs="Times New Roman"/>
          <w:sz w:val="24"/>
          <w:szCs w:val="24"/>
        </w:rPr>
        <w:t xml:space="preserve"> of companies. </w:t>
      </w:r>
      <w:r w:rsidR="001227BA" w:rsidRPr="007F28EA">
        <w:rPr>
          <w:rFonts w:ascii="Times New Roman" w:hAnsi="Times New Roman" w:cs="Times New Roman"/>
          <w:sz w:val="24"/>
          <w:szCs w:val="24"/>
        </w:rPr>
        <w:t>The managers of company use the given piece of information to identify costs being incurred in the production processes and in managing profitability in company</w:t>
      </w:r>
      <w:r w:rsidR="00CF780C" w:rsidRPr="007F28EA">
        <w:rPr>
          <w:rFonts w:ascii="Times New Roman" w:hAnsi="Times New Roman" w:cs="Times New Roman"/>
          <w:sz w:val="24"/>
          <w:szCs w:val="24"/>
        </w:rPr>
        <w:t xml:space="preserve"> (</w:t>
      </w:r>
      <w:hyperlink r:id="rId24" w:tgtFrame="_blank" w:tooltip="View other papers by this author" w:history="1">
        <w:r w:rsidR="00CF780C" w:rsidRPr="007F28EA">
          <w:rPr>
            <w:rFonts w:ascii="Times New Roman" w:hAnsi="Times New Roman" w:cs="Times New Roman"/>
            <w:sz w:val="24"/>
            <w:szCs w:val="24"/>
          </w:rPr>
          <w:t>Sithole</w:t>
        </w:r>
      </w:hyperlink>
      <w:r w:rsidR="00CF780C" w:rsidRPr="007F28EA">
        <w:rPr>
          <w:rFonts w:ascii="Times New Roman" w:hAnsi="Times New Roman" w:cs="Times New Roman"/>
          <w:sz w:val="24"/>
          <w:szCs w:val="24"/>
        </w:rPr>
        <w:t>, 2015)</w:t>
      </w:r>
      <w:r w:rsidR="001227BA" w:rsidRPr="007F28EA">
        <w:rPr>
          <w:rFonts w:ascii="Times New Roman" w:hAnsi="Times New Roman" w:cs="Times New Roman"/>
          <w:sz w:val="24"/>
          <w:szCs w:val="24"/>
        </w:rPr>
        <w:t xml:space="preserve">. </w:t>
      </w:r>
    </w:p>
    <w:p w:rsidR="00392379" w:rsidRPr="007F28EA" w:rsidRDefault="00392379" w:rsidP="00B51EAA">
      <w:pPr>
        <w:pStyle w:val="ListParagraph"/>
        <w:numPr>
          <w:ilvl w:val="0"/>
          <w:numId w:val="3"/>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Government –the </w:t>
      </w:r>
      <w:r w:rsidR="00B10016" w:rsidRPr="007F28EA">
        <w:rPr>
          <w:rFonts w:ascii="Times New Roman" w:hAnsi="Times New Roman" w:cs="Times New Roman"/>
          <w:sz w:val="24"/>
          <w:szCs w:val="24"/>
        </w:rPr>
        <w:t xml:space="preserve">policies framed by government are mainly based on financial statements of companies. The policies and framework declare by government are based on financial statement. </w:t>
      </w:r>
      <w:r w:rsidR="00265E94" w:rsidRPr="007F28EA">
        <w:rPr>
          <w:rFonts w:ascii="Times New Roman" w:hAnsi="Times New Roman" w:cs="Times New Roman"/>
          <w:sz w:val="24"/>
          <w:szCs w:val="24"/>
        </w:rPr>
        <w:t>This depict</w:t>
      </w:r>
      <w:r w:rsidR="0019380D" w:rsidRPr="007F28EA">
        <w:rPr>
          <w:rFonts w:ascii="Times New Roman" w:hAnsi="Times New Roman" w:cs="Times New Roman"/>
          <w:sz w:val="24"/>
          <w:szCs w:val="24"/>
        </w:rPr>
        <w:t>s</w:t>
      </w:r>
      <w:r w:rsidR="00265E94" w:rsidRPr="007F28EA">
        <w:rPr>
          <w:rFonts w:ascii="Times New Roman" w:hAnsi="Times New Roman" w:cs="Times New Roman"/>
          <w:sz w:val="24"/>
          <w:szCs w:val="24"/>
        </w:rPr>
        <w:t xml:space="preserve"> the general functioning of companies in an organization. </w:t>
      </w:r>
      <w:r w:rsidR="0019380D" w:rsidRPr="007F28EA">
        <w:rPr>
          <w:rFonts w:ascii="Times New Roman" w:hAnsi="Times New Roman" w:cs="Times New Roman"/>
          <w:sz w:val="24"/>
          <w:szCs w:val="24"/>
        </w:rPr>
        <w:t>The rates of taxes and regulatory policies are framed on taking view of financial statements</w:t>
      </w:r>
      <w:r w:rsidR="00786B35" w:rsidRPr="007F28EA">
        <w:rPr>
          <w:rFonts w:ascii="Times New Roman" w:hAnsi="Times New Roman" w:cs="Times New Roman"/>
          <w:sz w:val="24"/>
          <w:szCs w:val="24"/>
        </w:rPr>
        <w:t xml:space="preserve"> (</w:t>
      </w:r>
      <w:hyperlink r:id="rId25" w:tgtFrame="_blank" w:tooltip="View other papers by this author" w:history="1">
        <w:r w:rsidR="00786B35" w:rsidRPr="007F28EA">
          <w:rPr>
            <w:rFonts w:ascii="Times New Roman" w:hAnsi="Times New Roman" w:cs="Times New Roman"/>
            <w:sz w:val="24"/>
            <w:szCs w:val="24"/>
          </w:rPr>
          <w:t>Hoitash</w:t>
        </w:r>
      </w:hyperlink>
      <w:r w:rsidR="00786B35" w:rsidRPr="007F28EA">
        <w:rPr>
          <w:rFonts w:ascii="Times New Roman" w:hAnsi="Times New Roman" w:cs="Times New Roman"/>
          <w:sz w:val="24"/>
          <w:szCs w:val="24"/>
        </w:rPr>
        <w:t xml:space="preserve"> et al, 2018)</w:t>
      </w:r>
      <w:r w:rsidR="0019380D" w:rsidRPr="007F28EA">
        <w:rPr>
          <w:rFonts w:ascii="Times New Roman" w:hAnsi="Times New Roman" w:cs="Times New Roman"/>
          <w:sz w:val="24"/>
          <w:szCs w:val="24"/>
        </w:rPr>
        <w:t xml:space="preserve">. The </w:t>
      </w:r>
      <w:r w:rsidR="00337394" w:rsidRPr="007F28EA">
        <w:rPr>
          <w:rFonts w:ascii="Times New Roman" w:hAnsi="Times New Roman" w:cs="Times New Roman"/>
          <w:sz w:val="24"/>
          <w:szCs w:val="24"/>
        </w:rPr>
        <w:t>changes in intere</w:t>
      </w:r>
      <w:r w:rsidR="00111F20" w:rsidRPr="007F28EA">
        <w:rPr>
          <w:rFonts w:ascii="Times New Roman" w:hAnsi="Times New Roman" w:cs="Times New Roman"/>
          <w:sz w:val="24"/>
          <w:szCs w:val="24"/>
        </w:rPr>
        <w:t>s</w:t>
      </w:r>
      <w:r w:rsidR="00337394" w:rsidRPr="007F28EA">
        <w:rPr>
          <w:rFonts w:ascii="Times New Roman" w:hAnsi="Times New Roman" w:cs="Times New Roman"/>
          <w:sz w:val="24"/>
          <w:szCs w:val="24"/>
        </w:rPr>
        <w:t xml:space="preserve">t rates and inflation policies are decided by companies. </w:t>
      </w:r>
      <w:r w:rsidR="00746F30" w:rsidRPr="007F28EA">
        <w:rPr>
          <w:rFonts w:ascii="Times New Roman" w:hAnsi="Times New Roman" w:cs="Times New Roman"/>
          <w:sz w:val="24"/>
          <w:szCs w:val="24"/>
        </w:rPr>
        <w:t xml:space="preserve">The main </w:t>
      </w:r>
      <w:r w:rsidR="00797C3C" w:rsidRPr="007F28EA">
        <w:rPr>
          <w:rFonts w:ascii="Times New Roman" w:hAnsi="Times New Roman" w:cs="Times New Roman"/>
          <w:sz w:val="24"/>
          <w:szCs w:val="24"/>
        </w:rPr>
        <w:t>sources of revenue for government are</w:t>
      </w:r>
      <w:r w:rsidR="00746F30" w:rsidRPr="007F28EA">
        <w:rPr>
          <w:rFonts w:ascii="Times New Roman" w:hAnsi="Times New Roman" w:cs="Times New Roman"/>
          <w:sz w:val="24"/>
          <w:szCs w:val="24"/>
        </w:rPr>
        <w:t xml:space="preserve"> </w:t>
      </w:r>
      <w:r w:rsidR="00810702" w:rsidRPr="007F28EA">
        <w:rPr>
          <w:rFonts w:ascii="Times New Roman" w:hAnsi="Times New Roman" w:cs="Times New Roman"/>
          <w:sz w:val="24"/>
          <w:szCs w:val="24"/>
        </w:rPr>
        <w:t xml:space="preserve">income from taxes so these must be recognized by government to collect in full and stop tax evasions. </w:t>
      </w:r>
    </w:p>
    <w:p w:rsidR="00413A91" w:rsidRPr="007F28EA" w:rsidRDefault="00E537F6" w:rsidP="00B51EAA">
      <w:pPr>
        <w:pStyle w:val="ListParagraph"/>
        <w:spacing w:beforeLines="240" w:before="576" w:afterLines="240" w:after="576" w:line="240" w:lineRule="atLeast"/>
        <w:ind w:left="1080"/>
        <w:jc w:val="both"/>
        <w:rPr>
          <w:rFonts w:ascii="Times New Roman" w:hAnsi="Times New Roman" w:cs="Times New Roman"/>
          <w:sz w:val="24"/>
          <w:szCs w:val="24"/>
        </w:rPr>
      </w:pPr>
      <w:r w:rsidRPr="007F28EA">
        <w:rPr>
          <w:rFonts w:ascii="Times New Roman" w:hAnsi="Times New Roman" w:cs="Times New Roman"/>
          <w:sz w:val="24"/>
          <w:szCs w:val="24"/>
        </w:rPr>
        <w:t>The income tax authorities can identify the areas of tax evasions and help the government in collecting revenues of company</w:t>
      </w:r>
      <w:r w:rsidR="006E1CFB" w:rsidRPr="007F28EA">
        <w:rPr>
          <w:rFonts w:ascii="Times New Roman" w:hAnsi="Times New Roman" w:cs="Times New Roman"/>
          <w:sz w:val="24"/>
          <w:szCs w:val="24"/>
        </w:rPr>
        <w:t xml:space="preserve"> (Donner</w:t>
      </w:r>
      <w:r w:rsidR="00B23F5C" w:rsidRPr="007F28EA">
        <w:rPr>
          <w:rFonts w:ascii="Times New Roman" w:hAnsi="Times New Roman" w:cs="Times New Roman"/>
          <w:sz w:val="24"/>
          <w:szCs w:val="24"/>
        </w:rPr>
        <w:t xml:space="preserve"> et al</w:t>
      </w:r>
      <w:r w:rsidR="006E1CFB" w:rsidRPr="007F28EA">
        <w:rPr>
          <w:rFonts w:ascii="Times New Roman" w:hAnsi="Times New Roman" w:cs="Times New Roman"/>
          <w:sz w:val="24"/>
          <w:szCs w:val="24"/>
        </w:rPr>
        <w:t>, 2020)</w:t>
      </w:r>
      <w:r w:rsidRPr="007F28EA">
        <w:rPr>
          <w:rFonts w:ascii="Times New Roman" w:hAnsi="Times New Roman" w:cs="Times New Roman"/>
          <w:sz w:val="24"/>
          <w:szCs w:val="24"/>
        </w:rPr>
        <w:t xml:space="preserve">. </w:t>
      </w:r>
    </w:p>
    <w:p w:rsidR="001701E2" w:rsidRPr="007F28EA" w:rsidRDefault="001701E2"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t xml:space="preserve">Besides </w:t>
      </w:r>
      <w:r w:rsidR="00CC32FB" w:rsidRPr="007F28EA">
        <w:rPr>
          <w:rFonts w:ascii="Times New Roman" w:hAnsi="Times New Roman" w:cs="Times New Roman"/>
          <w:sz w:val="24"/>
          <w:szCs w:val="24"/>
        </w:rPr>
        <w:t xml:space="preserve">the above it has been seen that </w:t>
      </w:r>
      <w:r w:rsidR="000D777B" w:rsidRPr="007F28EA">
        <w:rPr>
          <w:rFonts w:ascii="Times New Roman" w:hAnsi="Times New Roman" w:cs="Times New Roman"/>
          <w:sz w:val="24"/>
          <w:szCs w:val="24"/>
        </w:rPr>
        <w:t xml:space="preserve">there are other users also for which </w:t>
      </w:r>
      <w:r w:rsidR="00C66D7C" w:rsidRPr="007F28EA">
        <w:rPr>
          <w:rFonts w:ascii="Times New Roman" w:hAnsi="Times New Roman" w:cs="Times New Roman"/>
          <w:sz w:val="24"/>
          <w:szCs w:val="24"/>
        </w:rPr>
        <w:t xml:space="preserve">financial statements are important, these are </w:t>
      </w:r>
      <w:r w:rsidR="00E36F7C" w:rsidRPr="007F28EA">
        <w:rPr>
          <w:rFonts w:ascii="Times New Roman" w:hAnsi="Times New Roman" w:cs="Times New Roman"/>
          <w:sz w:val="24"/>
          <w:szCs w:val="24"/>
        </w:rPr>
        <w:t xml:space="preserve">investors, financial </w:t>
      </w:r>
      <w:r w:rsidR="00CF2056" w:rsidRPr="007F28EA">
        <w:rPr>
          <w:rFonts w:ascii="Times New Roman" w:hAnsi="Times New Roman" w:cs="Times New Roman"/>
          <w:sz w:val="24"/>
          <w:szCs w:val="24"/>
        </w:rPr>
        <w:t>analysts</w:t>
      </w:r>
      <w:r w:rsidR="00E36F7C" w:rsidRPr="007F28EA">
        <w:rPr>
          <w:rFonts w:ascii="Times New Roman" w:hAnsi="Times New Roman" w:cs="Times New Roman"/>
          <w:sz w:val="24"/>
          <w:szCs w:val="24"/>
        </w:rPr>
        <w:t xml:space="preserve">, </w:t>
      </w:r>
      <w:r w:rsidR="00CF2056" w:rsidRPr="007F28EA">
        <w:rPr>
          <w:rFonts w:ascii="Times New Roman" w:hAnsi="Times New Roman" w:cs="Times New Roman"/>
          <w:sz w:val="24"/>
          <w:szCs w:val="24"/>
        </w:rPr>
        <w:t xml:space="preserve">banks and other users. </w:t>
      </w:r>
      <w:r w:rsidR="00DB7FA7" w:rsidRPr="007F28EA">
        <w:rPr>
          <w:rFonts w:ascii="Times New Roman" w:hAnsi="Times New Roman" w:cs="Times New Roman"/>
          <w:sz w:val="24"/>
          <w:szCs w:val="24"/>
        </w:rPr>
        <w:t xml:space="preserve">These are required to enhance productivity of any company. </w:t>
      </w:r>
      <w:r w:rsidR="00634F1C" w:rsidRPr="007F28EA">
        <w:rPr>
          <w:rFonts w:ascii="Times New Roman" w:hAnsi="Times New Roman" w:cs="Times New Roman"/>
          <w:sz w:val="24"/>
          <w:szCs w:val="24"/>
        </w:rPr>
        <w:t>The resources are used for long term benefits of company</w:t>
      </w:r>
      <w:r w:rsidR="00786B35" w:rsidRPr="007F28EA">
        <w:rPr>
          <w:rFonts w:ascii="Times New Roman" w:hAnsi="Times New Roman" w:cs="Times New Roman"/>
          <w:sz w:val="24"/>
          <w:szCs w:val="24"/>
        </w:rPr>
        <w:t xml:space="preserve"> (</w:t>
      </w:r>
      <w:hyperlink r:id="rId26" w:tgtFrame="_blank" w:tooltip="View other papers by this author" w:history="1">
        <w:r w:rsidR="00786B35" w:rsidRPr="007F28EA">
          <w:rPr>
            <w:rFonts w:ascii="Times New Roman" w:hAnsi="Times New Roman" w:cs="Times New Roman"/>
            <w:sz w:val="24"/>
            <w:szCs w:val="24"/>
          </w:rPr>
          <w:t>Hoitash</w:t>
        </w:r>
      </w:hyperlink>
      <w:r w:rsidR="00786B35" w:rsidRPr="007F28EA">
        <w:rPr>
          <w:rFonts w:ascii="Times New Roman" w:hAnsi="Times New Roman" w:cs="Times New Roman"/>
          <w:sz w:val="24"/>
          <w:szCs w:val="24"/>
        </w:rPr>
        <w:t xml:space="preserve"> et al, 2018)</w:t>
      </w:r>
      <w:r w:rsidR="00634F1C" w:rsidRPr="007F28EA">
        <w:rPr>
          <w:rFonts w:ascii="Times New Roman" w:hAnsi="Times New Roman" w:cs="Times New Roman"/>
          <w:sz w:val="24"/>
          <w:szCs w:val="24"/>
        </w:rPr>
        <w:t xml:space="preserve">. </w:t>
      </w:r>
    </w:p>
    <w:p w:rsidR="002A4B65" w:rsidRPr="007F28EA" w:rsidRDefault="002A4B65" w:rsidP="00B51EAA">
      <w:pPr>
        <w:spacing w:beforeLines="240" w:before="576" w:afterLines="240" w:after="576" w:line="240" w:lineRule="atLeast"/>
        <w:contextualSpacing/>
        <w:jc w:val="both"/>
        <w:rPr>
          <w:rFonts w:ascii="Times New Roman" w:hAnsi="Times New Roman" w:cs="Times New Roman"/>
          <w:sz w:val="24"/>
          <w:szCs w:val="24"/>
        </w:rPr>
      </w:pPr>
    </w:p>
    <w:p w:rsidR="002A4B65" w:rsidRPr="007F28EA" w:rsidRDefault="002A4B65" w:rsidP="00B51EAA">
      <w:pPr>
        <w:pStyle w:val="ListParagraph"/>
        <w:numPr>
          <w:ilvl w:val="0"/>
          <w:numId w:val="1"/>
        </w:numPr>
        <w:spacing w:beforeLines="240" w:before="576" w:afterLines="240" w:after="576" w:line="240" w:lineRule="atLeast"/>
        <w:jc w:val="both"/>
        <w:rPr>
          <w:rFonts w:ascii="Times New Roman" w:hAnsi="Times New Roman" w:cs="Times New Roman"/>
          <w:b/>
          <w:sz w:val="24"/>
          <w:szCs w:val="24"/>
        </w:rPr>
      </w:pPr>
      <w:r w:rsidRPr="007F28EA">
        <w:rPr>
          <w:rFonts w:ascii="Times New Roman" w:hAnsi="Times New Roman" w:cs="Times New Roman"/>
          <w:b/>
          <w:sz w:val="24"/>
          <w:szCs w:val="24"/>
        </w:rPr>
        <w:t>Highly regulated financial reporting regime</w:t>
      </w:r>
    </w:p>
    <w:p w:rsidR="002A4B65" w:rsidRPr="007F28EA" w:rsidRDefault="00156E0D" w:rsidP="00B51EAA">
      <w:pPr>
        <w:pStyle w:val="ListParagraph"/>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The </w:t>
      </w:r>
      <w:r w:rsidR="00F66060" w:rsidRPr="007F28EA">
        <w:rPr>
          <w:rFonts w:ascii="Times New Roman" w:hAnsi="Times New Roman" w:cs="Times New Roman"/>
          <w:sz w:val="24"/>
          <w:szCs w:val="24"/>
        </w:rPr>
        <w:t xml:space="preserve">listed companies in every country need to perform financial statement on the basis of financial reporting framework set in organization. It is required to meet the targets of companies. </w:t>
      </w:r>
      <w:r w:rsidR="005D0A3A" w:rsidRPr="007F28EA">
        <w:rPr>
          <w:rFonts w:ascii="Times New Roman" w:hAnsi="Times New Roman" w:cs="Times New Roman"/>
          <w:sz w:val="24"/>
          <w:szCs w:val="24"/>
        </w:rPr>
        <w:t xml:space="preserve">It is the set criteria for measurement, recognition and disclosure of all material items in the annual report so that measures can be establish for preparation of same. </w:t>
      </w:r>
      <w:r w:rsidR="006B1B38" w:rsidRPr="007F28EA">
        <w:rPr>
          <w:rFonts w:ascii="Times New Roman" w:hAnsi="Times New Roman" w:cs="Times New Roman"/>
          <w:sz w:val="24"/>
          <w:szCs w:val="24"/>
        </w:rPr>
        <w:t>The company has several advantages and disadvantages with respect to users and preparers of balance sheet</w:t>
      </w:r>
      <w:r w:rsidR="00BF4D36" w:rsidRPr="007F28EA">
        <w:rPr>
          <w:rFonts w:ascii="Times New Roman" w:hAnsi="Times New Roman" w:cs="Times New Roman"/>
          <w:sz w:val="24"/>
          <w:szCs w:val="24"/>
        </w:rPr>
        <w:t xml:space="preserve"> (Toppr, 2020)</w:t>
      </w:r>
      <w:r w:rsidR="006B1B38" w:rsidRPr="007F28EA">
        <w:rPr>
          <w:rFonts w:ascii="Times New Roman" w:hAnsi="Times New Roman" w:cs="Times New Roman"/>
          <w:sz w:val="24"/>
          <w:szCs w:val="24"/>
        </w:rPr>
        <w:t>. These are categorized as below-</w:t>
      </w:r>
    </w:p>
    <w:p w:rsidR="006B1B38" w:rsidRPr="007F28EA" w:rsidRDefault="00BA696B" w:rsidP="00B51EAA">
      <w:pPr>
        <w:pStyle w:val="ListParagraph"/>
        <w:numPr>
          <w:ilvl w:val="0"/>
          <w:numId w:val="4"/>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User of financial statement</w:t>
      </w:r>
    </w:p>
    <w:p w:rsidR="00BA696B" w:rsidRPr="007F28EA" w:rsidRDefault="00BA696B" w:rsidP="00B51EAA">
      <w:pPr>
        <w:pStyle w:val="ListParagraph"/>
        <w:numPr>
          <w:ilvl w:val="0"/>
          <w:numId w:val="5"/>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Advantages-</w:t>
      </w:r>
    </w:p>
    <w:p w:rsidR="00BA696B" w:rsidRPr="007F28EA" w:rsidRDefault="00BA696B" w:rsidP="00B51EAA">
      <w:pPr>
        <w:pStyle w:val="ListParagraph"/>
        <w:spacing w:beforeLines="240" w:before="576" w:afterLines="240" w:after="576" w:line="240" w:lineRule="atLeast"/>
        <w:ind w:left="1800"/>
        <w:jc w:val="both"/>
        <w:rPr>
          <w:rFonts w:ascii="Times New Roman" w:hAnsi="Times New Roman" w:cs="Times New Roman"/>
          <w:sz w:val="24"/>
          <w:szCs w:val="24"/>
        </w:rPr>
      </w:pPr>
      <w:r w:rsidRPr="007F28EA">
        <w:rPr>
          <w:rFonts w:ascii="Times New Roman" w:hAnsi="Times New Roman" w:cs="Times New Roman"/>
          <w:sz w:val="24"/>
          <w:szCs w:val="24"/>
        </w:rPr>
        <w:t xml:space="preserve">The </w:t>
      </w:r>
      <w:r w:rsidR="00533115" w:rsidRPr="007F28EA">
        <w:rPr>
          <w:rFonts w:ascii="Times New Roman" w:hAnsi="Times New Roman" w:cs="Times New Roman"/>
          <w:sz w:val="24"/>
          <w:szCs w:val="24"/>
        </w:rPr>
        <w:t xml:space="preserve">financial statements are used to </w:t>
      </w:r>
      <w:r w:rsidR="00D44FC5" w:rsidRPr="007F28EA">
        <w:rPr>
          <w:rFonts w:ascii="Times New Roman" w:hAnsi="Times New Roman" w:cs="Times New Roman"/>
          <w:sz w:val="24"/>
          <w:szCs w:val="24"/>
        </w:rPr>
        <w:t xml:space="preserve">by investors, government, shareholders and management to make certain decisions in the financial health of company. </w:t>
      </w:r>
      <w:r w:rsidR="008C396D" w:rsidRPr="007F28EA">
        <w:rPr>
          <w:rFonts w:ascii="Times New Roman" w:hAnsi="Times New Roman" w:cs="Times New Roman"/>
          <w:sz w:val="24"/>
          <w:szCs w:val="24"/>
        </w:rPr>
        <w:t xml:space="preserve">These are required to make justifications of revenue and expenses incurred in company. </w:t>
      </w:r>
      <w:r w:rsidR="00761CC3" w:rsidRPr="007F28EA">
        <w:rPr>
          <w:rFonts w:ascii="Times New Roman" w:hAnsi="Times New Roman" w:cs="Times New Roman"/>
          <w:sz w:val="24"/>
          <w:szCs w:val="24"/>
        </w:rPr>
        <w:t xml:space="preserve">The accurate and reliable results are predicted by company in an organization. </w:t>
      </w:r>
      <w:r w:rsidR="00E944ED" w:rsidRPr="007F28EA">
        <w:rPr>
          <w:rFonts w:ascii="Times New Roman" w:hAnsi="Times New Roman" w:cs="Times New Roman"/>
          <w:sz w:val="24"/>
          <w:szCs w:val="24"/>
        </w:rPr>
        <w:t xml:space="preserve">The summary position of financial statements has been analyzed in a company. </w:t>
      </w:r>
      <w:r w:rsidR="00E61559" w:rsidRPr="007F28EA">
        <w:rPr>
          <w:rFonts w:ascii="Times New Roman" w:hAnsi="Times New Roman" w:cs="Times New Roman"/>
          <w:sz w:val="24"/>
          <w:szCs w:val="24"/>
        </w:rPr>
        <w:t xml:space="preserve">It is used for better </w:t>
      </w:r>
      <w:r w:rsidR="00A65535" w:rsidRPr="007F28EA">
        <w:rPr>
          <w:rFonts w:ascii="Times New Roman" w:hAnsi="Times New Roman" w:cs="Times New Roman"/>
          <w:sz w:val="24"/>
          <w:szCs w:val="24"/>
        </w:rPr>
        <w:t>managing results of company</w:t>
      </w:r>
      <w:r w:rsidR="003D5999" w:rsidRPr="007F28EA">
        <w:rPr>
          <w:rFonts w:ascii="Times New Roman" w:hAnsi="Times New Roman" w:cs="Times New Roman"/>
          <w:sz w:val="24"/>
          <w:szCs w:val="24"/>
        </w:rPr>
        <w:t xml:space="preserve"> (</w:t>
      </w:r>
      <w:hyperlink r:id="rId27" w:tgtFrame="_blank" w:tooltip="View other papers by this author" w:history="1">
        <w:r w:rsidR="003D5999" w:rsidRPr="007F28EA">
          <w:rPr>
            <w:rFonts w:ascii="Times New Roman" w:hAnsi="Times New Roman" w:cs="Times New Roman"/>
            <w:sz w:val="24"/>
            <w:szCs w:val="24"/>
          </w:rPr>
          <w:t>Dicle</w:t>
        </w:r>
      </w:hyperlink>
      <w:r w:rsidR="003D5999" w:rsidRPr="007F28EA">
        <w:rPr>
          <w:rFonts w:ascii="Times New Roman" w:hAnsi="Times New Roman" w:cs="Times New Roman"/>
          <w:sz w:val="24"/>
          <w:szCs w:val="24"/>
        </w:rPr>
        <w:t xml:space="preserve"> et al, 2018)</w:t>
      </w:r>
      <w:r w:rsidR="00A65535" w:rsidRPr="007F28EA">
        <w:rPr>
          <w:rFonts w:ascii="Times New Roman" w:hAnsi="Times New Roman" w:cs="Times New Roman"/>
          <w:sz w:val="24"/>
          <w:szCs w:val="24"/>
        </w:rPr>
        <w:t xml:space="preserve">. </w:t>
      </w:r>
    </w:p>
    <w:p w:rsidR="00684D36" w:rsidRPr="007F28EA" w:rsidRDefault="00684D36" w:rsidP="00B51EAA">
      <w:pPr>
        <w:pStyle w:val="ListParagraph"/>
        <w:numPr>
          <w:ilvl w:val="0"/>
          <w:numId w:val="5"/>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Disadvantages</w:t>
      </w:r>
    </w:p>
    <w:p w:rsidR="00684D36" w:rsidRPr="007F28EA" w:rsidRDefault="00DC25E0" w:rsidP="00B51EAA">
      <w:pPr>
        <w:pStyle w:val="ListParagraph"/>
        <w:spacing w:beforeLines="240" w:before="576" w:afterLines="240" w:after="576" w:line="240" w:lineRule="atLeast"/>
        <w:ind w:left="1800"/>
        <w:jc w:val="both"/>
        <w:rPr>
          <w:rFonts w:ascii="Times New Roman" w:hAnsi="Times New Roman" w:cs="Times New Roman"/>
          <w:sz w:val="24"/>
          <w:szCs w:val="24"/>
        </w:rPr>
      </w:pPr>
      <w:r w:rsidRPr="007F28EA">
        <w:rPr>
          <w:rFonts w:ascii="Times New Roman" w:hAnsi="Times New Roman" w:cs="Times New Roman"/>
          <w:sz w:val="24"/>
          <w:szCs w:val="24"/>
        </w:rPr>
        <w:t xml:space="preserve">The preparation is done on the basis of </w:t>
      </w:r>
      <w:r w:rsidR="003D370B" w:rsidRPr="007F28EA">
        <w:rPr>
          <w:rFonts w:ascii="Times New Roman" w:hAnsi="Times New Roman" w:cs="Times New Roman"/>
          <w:sz w:val="24"/>
          <w:szCs w:val="24"/>
        </w:rPr>
        <w:t xml:space="preserve">historical costs methods and revaluations are done on annual basis. The statements are based on inflationary effects. The two unrelated business cannot be </w:t>
      </w:r>
      <w:r w:rsidR="00942E1D" w:rsidRPr="007F28EA">
        <w:rPr>
          <w:rFonts w:ascii="Times New Roman" w:hAnsi="Times New Roman" w:cs="Times New Roman"/>
          <w:sz w:val="24"/>
          <w:szCs w:val="24"/>
        </w:rPr>
        <w:t xml:space="preserve">compared on analyzing statements. </w:t>
      </w:r>
      <w:r w:rsidR="008071D1" w:rsidRPr="007F28EA">
        <w:rPr>
          <w:rFonts w:ascii="Times New Roman" w:hAnsi="Times New Roman" w:cs="Times New Roman"/>
          <w:sz w:val="24"/>
          <w:szCs w:val="24"/>
        </w:rPr>
        <w:t xml:space="preserve">The companies also window dressed their financial </w:t>
      </w:r>
      <w:r w:rsidR="008071D1" w:rsidRPr="007F28EA">
        <w:rPr>
          <w:rFonts w:ascii="Times New Roman" w:hAnsi="Times New Roman" w:cs="Times New Roman"/>
          <w:sz w:val="24"/>
          <w:szCs w:val="24"/>
        </w:rPr>
        <w:lastRenderedPageBreak/>
        <w:t xml:space="preserve">statements to avail loan facilities from external sources. </w:t>
      </w:r>
      <w:r w:rsidR="007C3C11" w:rsidRPr="007F28EA">
        <w:rPr>
          <w:rFonts w:ascii="Times New Roman" w:hAnsi="Times New Roman" w:cs="Times New Roman"/>
          <w:sz w:val="24"/>
          <w:szCs w:val="24"/>
        </w:rPr>
        <w:t xml:space="preserve">The same has been exposed to fraud and tax evasions that cannot be considered and analyzed from financial statements. </w:t>
      </w:r>
      <w:r w:rsidR="008E195E" w:rsidRPr="007F28EA">
        <w:rPr>
          <w:rFonts w:ascii="Times New Roman" w:hAnsi="Times New Roman" w:cs="Times New Roman"/>
          <w:sz w:val="24"/>
          <w:szCs w:val="24"/>
        </w:rPr>
        <w:t>The verifications cannot be made on appropriate basis</w:t>
      </w:r>
      <w:r w:rsidR="00523C01" w:rsidRPr="007F28EA">
        <w:rPr>
          <w:rFonts w:ascii="Times New Roman" w:hAnsi="Times New Roman" w:cs="Times New Roman"/>
          <w:sz w:val="24"/>
          <w:szCs w:val="24"/>
        </w:rPr>
        <w:t xml:space="preserve"> (</w:t>
      </w:r>
      <w:hyperlink r:id="rId28" w:tgtFrame="_blank" w:tooltip="View other papers by this author" w:history="1">
        <w:r w:rsidR="00523C01" w:rsidRPr="007F28EA">
          <w:rPr>
            <w:rFonts w:ascii="Times New Roman" w:hAnsi="Times New Roman" w:cs="Times New Roman"/>
            <w:sz w:val="24"/>
            <w:szCs w:val="24"/>
          </w:rPr>
          <w:t>Dhingra</w:t>
        </w:r>
      </w:hyperlink>
      <w:r w:rsidR="00523C01" w:rsidRPr="007F28EA">
        <w:rPr>
          <w:rFonts w:ascii="Times New Roman" w:hAnsi="Times New Roman" w:cs="Times New Roman"/>
          <w:sz w:val="24"/>
          <w:szCs w:val="24"/>
        </w:rPr>
        <w:t xml:space="preserve"> et al, 2014)</w:t>
      </w:r>
      <w:r w:rsidR="008E195E" w:rsidRPr="007F28EA">
        <w:rPr>
          <w:rFonts w:ascii="Times New Roman" w:hAnsi="Times New Roman" w:cs="Times New Roman"/>
          <w:sz w:val="24"/>
          <w:szCs w:val="24"/>
        </w:rPr>
        <w:t xml:space="preserve">. </w:t>
      </w:r>
      <w:r w:rsidR="00946607" w:rsidRPr="007F28EA">
        <w:rPr>
          <w:rFonts w:ascii="Times New Roman" w:hAnsi="Times New Roman" w:cs="Times New Roman"/>
          <w:sz w:val="24"/>
          <w:szCs w:val="24"/>
        </w:rPr>
        <w:t>This give</w:t>
      </w:r>
      <w:r w:rsidR="00E531E4" w:rsidRPr="007F28EA">
        <w:rPr>
          <w:rFonts w:ascii="Times New Roman" w:hAnsi="Times New Roman" w:cs="Times New Roman"/>
          <w:sz w:val="24"/>
          <w:szCs w:val="24"/>
        </w:rPr>
        <w:t>s</w:t>
      </w:r>
      <w:r w:rsidR="00946607" w:rsidRPr="007F28EA">
        <w:rPr>
          <w:rFonts w:ascii="Times New Roman" w:hAnsi="Times New Roman" w:cs="Times New Roman"/>
          <w:sz w:val="24"/>
          <w:szCs w:val="24"/>
        </w:rPr>
        <w:t xml:space="preserve"> effect to being benefitted in long term. </w:t>
      </w:r>
    </w:p>
    <w:p w:rsidR="00E531E4" w:rsidRPr="007F28EA" w:rsidRDefault="00663EC2" w:rsidP="00B51EAA">
      <w:pPr>
        <w:pStyle w:val="ListParagraph"/>
        <w:numPr>
          <w:ilvl w:val="0"/>
          <w:numId w:val="4"/>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Preparer of financial statement</w:t>
      </w:r>
    </w:p>
    <w:p w:rsidR="00663EC2" w:rsidRPr="007F28EA" w:rsidRDefault="006D4FCD" w:rsidP="00B51EAA">
      <w:pPr>
        <w:pStyle w:val="ListParagraph"/>
        <w:numPr>
          <w:ilvl w:val="0"/>
          <w:numId w:val="6"/>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Advantages</w:t>
      </w:r>
    </w:p>
    <w:p w:rsidR="006D4FCD" w:rsidRPr="007F28EA" w:rsidRDefault="00320763" w:rsidP="00B51EAA">
      <w:pPr>
        <w:pStyle w:val="ListParagraph"/>
        <w:spacing w:beforeLines="240" w:before="576" w:afterLines="240" w:after="576" w:line="240" w:lineRule="atLeast"/>
        <w:ind w:left="1800"/>
        <w:jc w:val="both"/>
        <w:rPr>
          <w:rFonts w:ascii="Times New Roman" w:hAnsi="Times New Roman" w:cs="Times New Roman"/>
          <w:sz w:val="24"/>
          <w:szCs w:val="24"/>
        </w:rPr>
      </w:pPr>
      <w:r w:rsidRPr="007F28EA">
        <w:rPr>
          <w:rFonts w:ascii="Times New Roman" w:hAnsi="Times New Roman" w:cs="Times New Roman"/>
          <w:sz w:val="24"/>
          <w:szCs w:val="24"/>
        </w:rPr>
        <w:t xml:space="preserve">The </w:t>
      </w:r>
      <w:r w:rsidR="003107F8" w:rsidRPr="007F28EA">
        <w:rPr>
          <w:rFonts w:ascii="Times New Roman" w:hAnsi="Times New Roman" w:cs="Times New Roman"/>
          <w:sz w:val="24"/>
          <w:szCs w:val="24"/>
        </w:rPr>
        <w:t xml:space="preserve">debt can be effectively managed by the preparer of financial statements. The usage of funds in appropriate projects are valued and recognized well. </w:t>
      </w:r>
      <w:r w:rsidR="0026150D" w:rsidRPr="007F28EA">
        <w:rPr>
          <w:rFonts w:ascii="Times New Roman" w:hAnsi="Times New Roman" w:cs="Times New Roman"/>
          <w:sz w:val="24"/>
          <w:szCs w:val="24"/>
        </w:rPr>
        <w:t xml:space="preserve">The trends in financial performance over number of years can be established. </w:t>
      </w:r>
      <w:r w:rsidR="00181A17" w:rsidRPr="007F28EA">
        <w:rPr>
          <w:rFonts w:ascii="Times New Roman" w:hAnsi="Times New Roman" w:cs="Times New Roman"/>
          <w:sz w:val="24"/>
          <w:szCs w:val="24"/>
        </w:rPr>
        <w:t xml:space="preserve">The trends can be identified with this help. </w:t>
      </w:r>
      <w:r w:rsidR="0076539A" w:rsidRPr="007F28EA">
        <w:rPr>
          <w:rFonts w:ascii="Times New Roman" w:hAnsi="Times New Roman" w:cs="Times New Roman"/>
          <w:sz w:val="24"/>
          <w:szCs w:val="24"/>
        </w:rPr>
        <w:t xml:space="preserve">The real time tracking can be placed in company. </w:t>
      </w:r>
      <w:r w:rsidR="00653082" w:rsidRPr="007F28EA">
        <w:rPr>
          <w:rFonts w:ascii="Times New Roman" w:hAnsi="Times New Roman" w:cs="Times New Roman"/>
          <w:sz w:val="24"/>
          <w:szCs w:val="24"/>
        </w:rPr>
        <w:t>T</w:t>
      </w:r>
      <w:r w:rsidR="0005123E" w:rsidRPr="007F28EA">
        <w:rPr>
          <w:rFonts w:ascii="Times New Roman" w:hAnsi="Times New Roman" w:cs="Times New Roman"/>
          <w:sz w:val="24"/>
          <w:szCs w:val="24"/>
        </w:rPr>
        <w:t xml:space="preserve">he liabilities of company are managed according to requirements of resources in an organization. </w:t>
      </w:r>
      <w:r w:rsidR="00653082" w:rsidRPr="007F28EA">
        <w:rPr>
          <w:rFonts w:ascii="Times New Roman" w:hAnsi="Times New Roman" w:cs="Times New Roman"/>
          <w:sz w:val="24"/>
          <w:szCs w:val="24"/>
        </w:rPr>
        <w:t>The compliances that are required to be filed in an organization have been well established in a company</w:t>
      </w:r>
      <w:r w:rsidR="00523C01" w:rsidRPr="007F28EA">
        <w:rPr>
          <w:rFonts w:ascii="Times New Roman" w:hAnsi="Times New Roman" w:cs="Times New Roman"/>
          <w:sz w:val="24"/>
          <w:szCs w:val="24"/>
        </w:rPr>
        <w:t xml:space="preserve"> (</w:t>
      </w:r>
      <w:hyperlink r:id="rId29" w:tgtFrame="_blank" w:tooltip="View other papers by this author" w:history="1">
        <w:r w:rsidR="00523C01" w:rsidRPr="007F28EA">
          <w:rPr>
            <w:rFonts w:ascii="Times New Roman" w:hAnsi="Times New Roman" w:cs="Times New Roman"/>
            <w:sz w:val="24"/>
            <w:szCs w:val="24"/>
          </w:rPr>
          <w:t>Dhingra</w:t>
        </w:r>
      </w:hyperlink>
      <w:r w:rsidR="00523C01" w:rsidRPr="007F28EA">
        <w:rPr>
          <w:rFonts w:ascii="Times New Roman" w:hAnsi="Times New Roman" w:cs="Times New Roman"/>
          <w:sz w:val="24"/>
          <w:szCs w:val="24"/>
        </w:rPr>
        <w:t xml:space="preserve"> et al, 2014)</w:t>
      </w:r>
      <w:r w:rsidR="00653082" w:rsidRPr="007F28EA">
        <w:rPr>
          <w:rFonts w:ascii="Times New Roman" w:hAnsi="Times New Roman" w:cs="Times New Roman"/>
          <w:sz w:val="24"/>
          <w:szCs w:val="24"/>
        </w:rPr>
        <w:t xml:space="preserve">. </w:t>
      </w:r>
    </w:p>
    <w:p w:rsidR="004E77CB" w:rsidRPr="007F28EA" w:rsidRDefault="004E77CB" w:rsidP="00B51EAA">
      <w:pPr>
        <w:pStyle w:val="ListParagraph"/>
        <w:numPr>
          <w:ilvl w:val="0"/>
          <w:numId w:val="6"/>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Disadvantages</w:t>
      </w:r>
    </w:p>
    <w:p w:rsidR="004E77CB" w:rsidRPr="007F28EA" w:rsidRDefault="00DF6353" w:rsidP="00B51EAA">
      <w:pPr>
        <w:pStyle w:val="ListParagraph"/>
        <w:spacing w:beforeLines="240" w:before="576" w:afterLines="240" w:after="576" w:line="240" w:lineRule="atLeast"/>
        <w:ind w:left="2160" w:hanging="360"/>
        <w:jc w:val="both"/>
        <w:rPr>
          <w:rFonts w:ascii="Times New Roman" w:hAnsi="Times New Roman" w:cs="Times New Roman"/>
          <w:sz w:val="24"/>
          <w:szCs w:val="24"/>
        </w:rPr>
      </w:pPr>
      <w:r w:rsidRPr="007F28EA">
        <w:rPr>
          <w:rFonts w:ascii="Times New Roman" w:hAnsi="Times New Roman" w:cs="Times New Roman"/>
          <w:sz w:val="24"/>
          <w:szCs w:val="24"/>
        </w:rPr>
        <w:t xml:space="preserve">The </w:t>
      </w:r>
      <w:r w:rsidR="00D962D4" w:rsidRPr="007F28EA">
        <w:rPr>
          <w:rFonts w:ascii="Times New Roman" w:hAnsi="Times New Roman" w:cs="Times New Roman"/>
          <w:sz w:val="24"/>
          <w:szCs w:val="24"/>
        </w:rPr>
        <w:t>preparation of financial statements is a complex process t</w:t>
      </w:r>
      <w:r w:rsidR="0098746E" w:rsidRPr="007F28EA">
        <w:rPr>
          <w:rFonts w:ascii="Times New Roman" w:hAnsi="Times New Roman" w:cs="Times New Roman"/>
          <w:sz w:val="24"/>
          <w:szCs w:val="24"/>
        </w:rPr>
        <w:t xml:space="preserve">hat require expertise </w:t>
      </w:r>
      <w:r w:rsidR="00D962D4" w:rsidRPr="007F28EA">
        <w:rPr>
          <w:rFonts w:ascii="Times New Roman" w:hAnsi="Times New Roman" w:cs="Times New Roman"/>
          <w:sz w:val="24"/>
          <w:szCs w:val="24"/>
        </w:rPr>
        <w:t>of various accounting and financial concepts. Any layman cannot prepare financial statement of any corporate entity</w:t>
      </w:r>
      <w:r w:rsidR="003D5999" w:rsidRPr="007F28EA">
        <w:rPr>
          <w:rFonts w:ascii="Times New Roman" w:hAnsi="Times New Roman" w:cs="Times New Roman"/>
          <w:sz w:val="24"/>
          <w:szCs w:val="24"/>
        </w:rPr>
        <w:t xml:space="preserve"> (</w:t>
      </w:r>
      <w:hyperlink r:id="rId30" w:tgtFrame="_blank" w:tooltip="View other papers by this author" w:history="1">
        <w:r w:rsidR="003D5999" w:rsidRPr="007F28EA">
          <w:rPr>
            <w:rFonts w:ascii="Times New Roman" w:hAnsi="Times New Roman" w:cs="Times New Roman"/>
            <w:sz w:val="24"/>
            <w:szCs w:val="24"/>
          </w:rPr>
          <w:t>Dicle</w:t>
        </w:r>
      </w:hyperlink>
      <w:r w:rsidR="003D5999" w:rsidRPr="007F28EA">
        <w:rPr>
          <w:rFonts w:ascii="Times New Roman" w:hAnsi="Times New Roman" w:cs="Times New Roman"/>
          <w:sz w:val="24"/>
          <w:szCs w:val="24"/>
        </w:rPr>
        <w:t xml:space="preserve"> et al, 2018)</w:t>
      </w:r>
      <w:r w:rsidR="00D962D4" w:rsidRPr="007F28EA">
        <w:rPr>
          <w:rFonts w:ascii="Times New Roman" w:hAnsi="Times New Roman" w:cs="Times New Roman"/>
          <w:sz w:val="24"/>
          <w:szCs w:val="24"/>
        </w:rPr>
        <w:t xml:space="preserve">. In many countries various certifications are required to be taken for preparing financial performance of companies. </w:t>
      </w:r>
      <w:r w:rsidR="00315FB3" w:rsidRPr="007F28EA">
        <w:rPr>
          <w:rFonts w:ascii="Times New Roman" w:hAnsi="Times New Roman" w:cs="Times New Roman"/>
          <w:sz w:val="24"/>
          <w:szCs w:val="24"/>
        </w:rPr>
        <w:t xml:space="preserve">The </w:t>
      </w:r>
      <w:r w:rsidR="00D32A92" w:rsidRPr="007F28EA">
        <w:rPr>
          <w:rFonts w:ascii="Times New Roman" w:hAnsi="Times New Roman" w:cs="Times New Roman"/>
          <w:sz w:val="24"/>
          <w:szCs w:val="24"/>
        </w:rPr>
        <w:t>costs of the company are</w:t>
      </w:r>
      <w:r w:rsidR="00315FB3" w:rsidRPr="007F28EA">
        <w:rPr>
          <w:rFonts w:ascii="Times New Roman" w:hAnsi="Times New Roman" w:cs="Times New Roman"/>
          <w:sz w:val="24"/>
          <w:szCs w:val="24"/>
        </w:rPr>
        <w:t xml:space="preserve"> also increased with the preparation of financial statement</w:t>
      </w:r>
      <w:r w:rsidR="00AA3412" w:rsidRPr="007F28EA">
        <w:rPr>
          <w:rFonts w:ascii="Times New Roman" w:hAnsi="Times New Roman" w:cs="Times New Roman"/>
          <w:sz w:val="24"/>
          <w:szCs w:val="24"/>
        </w:rPr>
        <w:t xml:space="preserve"> as it requires hiring of experts for the purpose of performing essential tasks of company. </w:t>
      </w:r>
      <w:r w:rsidR="0077221F" w:rsidRPr="007F28EA">
        <w:rPr>
          <w:rFonts w:ascii="Times New Roman" w:hAnsi="Times New Roman" w:cs="Times New Roman"/>
          <w:sz w:val="24"/>
          <w:szCs w:val="24"/>
        </w:rPr>
        <w:t>The analysis of data has been done for the purpose of determining efficient controls on company</w:t>
      </w:r>
      <w:r w:rsidR="00155C7C" w:rsidRPr="007F28EA">
        <w:rPr>
          <w:rFonts w:ascii="Times New Roman" w:hAnsi="Times New Roman" w:cs="Times New Roman"/>
          <w:sz w:val="24"/>
          <w:szCs w:val="24"/>
        </w:rPr>
        <w:t xml:space="preserve"> (</w:t>
      </w:r>
      <w:hyperlink r:id="rId31" w:tgtFrame="_blank" w:tooltip="View other papers by this author" w:history="1">
        <w:r w:rsidR="00155C7C" w:rsidRPr="007F28EA">
          <w:rPr>
            <w:rFonts w:ascii="Times New Roman" w:hAnsi="Times New Roman" w:cs="Times New Roman"/>
            <w:sz w:val="24"/>
            <w:szCs w:val="24"/>
          </w:rPr>
          <w:t>Sunder</w:t>
        </w:r>
      </w:hyperlink>
      <w:r w:rsidR="00155C7C" w:rsidRPr="007F28EA">
        <w:rPr>
          <w:rFonts w:ascii="Times New Roman" w:hAnsi="Times New Roman" w:cs="Times New Roman"/>
          <w:sz w:val="24"/>
          <w:szCs w:val="24"/>
        </w:rPr>
        <w:t>, 2016)</w:t>
      </w:r>
      <w:r w:rsidR="0077221F" w:rsidRPr="007F28EA">
        <w:rPr>
          <w:rFonts w:ascii="Times New Roman" w:hAnsi="Times New Roman" w:cs="Times New Roman"/>
          <w:sz w:val="24"/>
          <w:szCs w:val="24"/>
        </w:rPr>
        <w:t xml:space="preserve">. </w:t>
      </w:r>
    </w:p>
    <w:p w:rsidR="0076669D" w:rsidRPr="007F28EA" w:rsidRDefault="00AD6F14" w:rsidP="00B51EAA">
      <w:pPr>
        <w:pStyle w:val="ListParagraph"/>
        <w:numPr>
          <w:ilvl w:val="0"/>
          <w:numId w:val="1"/>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Limi</w:t>
      </w:r>
      <w:r w:rsidR="006627D5" w:rsidRPr="007F28EA">
        <w:rPr>
          <w:rFonts w:ascii="Times New Roman" w:hAnsi="Times New Roman" w:cs="Times New Roman"/>
          <w:sz w:val="24"/>
          <w:szCs w:val="24"/>
        </w:rPr>
        <w:t>tations of financial statements-</w:t>
      </w:r>
    </w:p>
    <w:p w:rsidR="006627D5" w:rsidRPr="007F28EA" w:rsidRDefault="006627D5" w:rsidP="00B51EAA">
      <w:pPr>
        <w:spacing w:beforeLines="240" w:before="576" w:afterLines="240" w:after="576" w:line="240" w:lineRule="atLeast"/>
        <w:ind w:left="360"/>
        <w:contextualSpacing/>
        <w:jc w:val="both"/>
        <w:rPr>
          <w:rFonts w:ascii="Times New Roman" w:hAnsi="Times New Roman" w:cs="Times New Roman"/>
          <w:sz w:val="24"/>
          <w:szCs w:val="24"/>
        </w:rPr>
      </w:pPr>
      <w:r w:rsidRPr="007F28EA">
        <w:rPr>
          <w:rFonts w:ascii="Times New Roman" w:hAnsi="Times New Roman" w:cs="Times New Roman"/>
          <w:sz w:val="24"/>
          <w:szCs w:val="24"/>
        </w:rPr>
        <w:t xml:space="preserve">With the possible benefits </w:t>
      </w:r>
      <w:r w:rsidR="00040071" w:rsidRPr="007F28EA">
        <w:rPr>
          <w:rFonts w:ascii="Times New Roman" w:hAnsi="Times New Roman" w:cs="Times New Roman"/>
          <w:sz w:val="24"/>
          <w:szCs w:val="24"/>
        </w:rPr>
        <w:t xml:space="preserve">of financial statements, </w:t>
      </w:r>
      <w:r w:rsidR="005B2418" w:rsidRPr="007F28EA">
        <w:rPr>
          <w:rFonts w:ascii="Times New Roman" w:hAnsi="Times New Roman" w:cs="Times New Roman"/>
          <w:sz w:val="24"/>
          <w:szCs w:val="24"/>
        </w:rPr>
        <w:t xml:space="preserve">it has been seen that financial statements </w:t>
      </w:r>
      <w:r w:rsidR="00DB5AAF" w:rsidRPr="007F28EA">
        <w:rPr>
          <w:rFonts w:ascii="Times New Roman" w:hAnsi="Times New Roman" w:cs="Times New Roman"/>
          <w:sz w:val="24"/>
          <w:szCs w:val="24"/>
        </w:rPr>
        <w:t xml:space="preserve">are possess certain limitations that are required to be covered for the purpose of benefitting in long term. </w:t>
      </w:r>
      <w:r w:rsidR="005258AC" w:rsidRPr="007F28EA">
        <w:rPr>
          <w:rFonts w:ascii="Times New Roman" w:hAnsi="Times New Roman" w:cs="Times New Roman"/>
          <w:sz w:val="24"/>
          <w:szCs w:val="24"/>
        </w:rPr>
        <w:t>The following are the limitations of financial statements-</w:t>
      </w:r>
    </w:p>
    <w:p w:rsidR="005258AC" w:rsidRPr="007F28EA" w:rsidRDefault="00801753" w:rsidP="00B51EAA">
      <w:pPr>
        <w:pStyle w:val="ListParagraph"/>
        <w:numPr>
          <w:ilvl w:val="0"/>
          <w:numId w:val="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Dependency on financial statements –the statements are prepared on the basis of historical costs. Only some items that are re</w:t>
      </w:r>
      <w:r w:rsidR="00AA5E4B" w:rsidRPr="007F28EA">
        <w:rPr>
          <w:rFonts w:ascii="Times New Roman" w:hAnsi="Times New Roman" w:cs="Times New Roman"/>
          <w:sz w:val="24"/>
          <w:szCs w:val="24"/>
        </w:rPr>
        <w:t>lated to market values get revalued every year</w:t>
      </w:r>
      <w:r w:rsidR="001814AD" w:rsidRPr="007F28EA">
        <w:rPr>
          <w:rFonts w:ascii="Times New Roman" w:hAnsi="Times New Roman" w:cs="Times New Roman"/>
          <w:sz w:val="24"/>
          <w:szCs w:val="24"/>
        </w:rPr>
        <w:t xml:space="preserve"> (</w:t>
      </w:r>
      <w:hyperlink r:id="rId32" w:history="1">
        <w:r w:rsidR="001814AD" w:rsidRPr="007F28EA">
          <w:rPr>
            <w:rFonts w:ascii="Times New Roman" w:hAnsi="Times New Roman" w:cs="Times New Roman"/>
            <w:sz w:val="24"/>
            <w:szCs w:val="24"/>
          </w:rPr>
          <w:t>Cote</w:t>
        </w:r>
      </w:hyperlink>
      <w:r w:rsidR="001814AD" w:rsidRPr="007F28EA">
        <w:rPr>
          <w:rFonts w:ascii="Times New Roman" w:hAnsi="Times New Roman" w:cs="Times New Roman"/>
          <w:sz w:val="24"/>
          <w:szCs w:val="24"/>
        </w:rPr>
        <w:t>, 2020)</w:t>
      </w:r>
      <w:r w:rsidR="00AA5E4B" w:rsidRPr="007F28EA">
        <w:rPr>
          <w:rFonts w:ascii="Times New Roman" w:hAnsi="Times New Roman" w:cs="Times New Roman"/>
          <w:sz w:val="24"/>
          <w:szCs w:val="24"/>
        </w:rPr>
        <w:t>.</w:t>
      </w:r>
    </w:p>
    <w:p w:rsidR="00AA5E4B" w:rsidRPr="007F28EA" w:rsidRDefault="00AA5E4B" w:rsidP="00B51EAA">
      <w:pPr>
        <w:pStyle w:val="ListParagraph"/>
        <w:numPr>
          <w:ilvl w:val="0"/>
          <w:numId w:val="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Non recording of intangible assets –the intangible assets are not recorded </w:t>
      </w:r>
      <w:r w:rsidR="00D26CC9" w:rsidRPr="007F28EA">
        <w:rPr>
          <w:rFonts w:ascii="Times New Roman" w:hAnsi="Times New Roman" w:cs="Times New Roman"/>
          <w:sz w:val="24"/>
          <w:szCs w:val="24"/>
        </w:rPr>
        <w:t xml:space="preserve">in the financial statements. </w:t>
      </w:r>
      <w:r w:rsidR="00027ED9" w:rsidRPr="007F28EA">
        <w:rPr>
          <w:rFonts w:ascii="Times New Roman" w:hAnsi="Times New Roman" w:cs="Times New Roman"/>
          <w:sz w:val="24"/>
          <w:szCs w:val="24"/>
        </w:rPr>
        <w:t xml:space="preserve">The expenditures charged are allocated to income statement of company. </w:t>
      </w:r>
    </w:p>
    <w:p w:rsidR="00027ED9" w:rsidRPr="007F28EA" w:rsidRDefault="00027ED9" w:rsidP="00B51EAA">
      <w:pPr>
        <w:pStyle w:val="ListParagraph"/>
        <w:numPr>
          <w:ilvl w:val="0"/>
          <w:numId w:val="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Time bound statement –It is prepared annually and the quarter results and half year results are not presented by company. </w:t>
      </w:r>
      <w:r w:rsidR="005435FA" w:rsidRPr="007F28EA">
        <w:rPr>
          <w:rFonts w:ascii="Times New Roman" w:hAnsi="Times New Roman" w:cs="Times New Roman"/>
          <w:sz w:val="24"/>
          <w:szCs w:val="24"/>
        </w:rPr>
        <w:t>The results may get vary from one period to another</w:t>
      </w:r>
      <w:r w:rsidR="00B92DD0" w:rsidRPr="007F28EA">
        <w:rPr>
          <w:rFonts w:ascii="Times New Roman" w:hAnsi="Times New Roman" w:cs="Times New Roman"/>
          <w:sz w:val="24"/>
          <w:szCs w:val="24"/>
        </w:rPr>
        <w:t xml:space="preserve"> (Wikiaccounting, 2020)</w:t>
      </w:r>
      <w:r w:rsidR="005435FA" w:rsidRPr="007F28EA">
        <w:rPr>
          <w:rFonts w:ascii="Times New Roman" w:hAnsi="Times New Roman" w:cs="Times New Roman"/>
          <w:sz w:val="24"/>
          <w:szCs w:val="24"/>
        </w:rPr>
        <w:t xml:space="preserve">. </w:t>
      </w:r>
    </w:p>
    <w:p w:rsidR="00FE20AB" w:rsidRPr="007F28EA" w:rsidRDefault="00FE20AB" w:rsidP="00B51EAA">
      <w:pPr>
        <w:pStyle w:val="ListParagraph"/>
        <w:numPr>
          <w:ilvl w:val="0"/>
          <w:numId w:val="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Statements are subject to fraud –various consequences are there that leads to making the company prone to frauds. The human errors are also common that leads to misstatement of financial results</w:t>
      </w:r>
      <w:r w:rsidR="00CC1364" w:rsidRPr="007F28EA">
        <w:rPr>
          <w:rFonts w:ascii="Times New Roman" w:hAnsi="Times New Roman" w:cs="Times New Roman"/>
          <w:sz w:val="24"/>
          <w:szCs w:val="24"/>
        </w:rPr>
        <w:t xml:space="preserve"> (Weijs, 2014)</w:t>
      </w:r>
      <w:r w:rsidRPr="007F28EA">
        <w:rPr>
          <w:rFonts w:ascii="Times New Roman" w:hAnsi="Times New Roman" w:cs="Times New Roman"/>
          <w:sz w:val="24"/>
          <w:szCs w:val="24"/>
        </w:rPr>
        <w:t xml:space="preserve">. </w:t>
      </w:r>
    </w:p>
    <w:p w:rsidR="004D1BAC" w:rsidRPr="007F28EA" w:rsidRDefault="00C46D8B" w:rsidP="00B51EAA">
      <w:pPr>
        <w:pStyle w:val="ListParagraph"/>
        <w:numPr>
          <w:ilvl w:val="0"/>
          <w:numId w:val="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lastRenderedPageBreak/>
        <w:t xml:space="preserve">Financial issues are not discussed in an organization –the resources are not used to make effective allocation of resources. </w:t>
      </w:r>
      <w:r w:rsidR="00354BC2" w:rsidRPr="007F28EA">
        <w:rPr>
          <w:rFonts w:ascii="Times New Roman" w:hAnsi="Times New Roman" w:cs="Times New Roman"/>
          <w:sz w:val="24"/>
          <w:szCs w:val="24"/>
        </w:rPr>
        <w:t>The issues are discussed within the finance department itself that leads to misappropriation of items</w:t>
      </w:r>
      <w:r w:rsidR="00BB71DC" w:rsidRPr="007F28EA">
        <w:rPr>
          <w:rFonts w:ascii="Times New Roman" w:hAnsi="Times New Roman" w:cs="Times New Roman"/>
          <w:sz w:val="24"/>
          <w:szCs w:val="24"/>
        </w:rPr>
        <w:t xml:space="preserve"> (</w:t>
      </w:r>
      <w:hyperlink r:id="rId33" w:history="1">
        <w:r w:rsidR="00BB71DC" w:rsidRPr="007F28EA">
          <w:rPr>
            <w:rFonts w:ascii="Times New Roman" w:hAnsi="Times New Roman" w:cs="Times New Roman"/>
            <w:sz w:val="24"/>
            <w:szCs w:val="24"/>
          </w:rPr>
          <w:t>Cote</w:t>
        </w:r>
      </w:hyperlink>
      <w:r w:rsidR="00BB71DC" w:rsidRPr="007F28EA">
        <w:rPr>
          <w:rFonts w:ascii="Times New Roman" w:hAnsi="Times New Roman" w:cs="Times New Roman"/>
          <w:sz w:val="24"/>
          <w:szCs w:val="24"/>
        </w:rPr>
        <w:t>, 2020)</w:t>
      </w:r>
      <w:r w:rsidR="00354BC2" w:rsidRPr="007F28EA">
        <w:rPr>
          <w:rFonts w:ascii="Times New Roman" w:hAnsi="Times New Roman" w:cs="Times New Roman"/>
          <w:sz w:val="24"/>
          <w:szCs w:val="24"/>
        </w:rPr>
        <w:t xml:space="preserve">. </w:t>
      </w:r>
    </w:p>
    <w:p w:rsidR="00354BC2" w:rsidRPr="007F28EA" w:rsidRDefault="00145B1A" w:rsidP="00B51EAA">
      <w:pPr>
        <w:pStyle w:val="ListParagraph"/>
        <w:numPr>
          <w:ilvl w:val="0"/>
          <w:numId w:val="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Results are not predicted –the results are not predicted in an organization. This leads to having being benefitted in long run. The company can make changes in respect to associated decisions of organization. </w:t>
      </w:r>
    </w:p>
    <w:p w:rsidR="009A49B8" w:rsidRPr="007F28EA" w:rsidRDefault="009A49B8" w:rsidP="00B51EAA">
      <w:pPr>
        <w:spacing w:beforeLines="240" w:before="576" w:afterLines="240" w:after="576" w:line="240" w:lineRule="atLeast"/>
        <w:contextualSpacing/>
        <w:jc w:val="both"/>
        <w:rPr>
          <w:rFonts w:ascii="Times New Roman" w:hAnsi="Times New Roman" w:cs="Times New Roman"/>
          <w:sz w:val="24"/>
          <w:szCs w:val="24"/>
        </w:rPr>
      </w:pPr>
    </w:p>
    <w:p w:rsidR="003159DD" w:rsidRPr="007F28EA" w:rsidRDefault="003159DD" w:rsidP="00B51EAA">
      <w:pPr>
        <w:spacing w:beforeLines="240" w:before="576" w:afterLines="240" w:after="576" w:line="240" w:lineRule="atLeast"/>
        <w:contextualSpacing/>
        <w:jc w:val="both"/>
        <w:rPr>
          <w:rFonts w:ascii="Times New Roman" w:hAnsi="Times New Roman" w:cs="Times New Roman"/>
          <w:sz w:val="24"/>
          <w:szCs w:val="24"/>
        </w:rPr>
      </w:pPr>
    </w:p>
    <w:p w:rsidR="003159DD" w:rsidRPr="007F28EA" w:rsidRDefault="003159DD" w:rsidP="00B51EAA">
      <w:pPr>
        <w:spacing w:beforeLines="240" w:before="576" w:afterLines="240" w:after="576" w:line="240" w:lineRule="atLeast"/>
        <w:contextualSpacing/>
        <w:jc w:val="both"/>
        <w:rPr>
          <w:rFonts w:ascii="Times New Roman" w:hAnsi="Times New Roman" w:cs="Times New Roman"/>
          <w:sz w:val="24"/>
          <w:szCs w:val="24"/>
        </w:rPr>
      </w:pPr>
    </w:p>
    <w:p w:rsidR="009F2D10" w:rsidRPr="007F28EA" w:rsidRDefault="009F2D10" w:rsidP="00B51EAA">
      <w:pPr>
        <w:spacing w:beforeLines="240" w:before="576" w:afterLines="240" w:after="576" w:line="240" w:lineRule="atLeast"/>
        <w:contextualSpacing/>
        <w:jc w:val="both"/>
        <w:rPr>
          <w:rFonts w:ascii="Times New Roman" w:eastAsiaTheme="majorEastAsia" w:hAnsi="Times New Roman" w:cs="Times New Roman"/>
          <w:b/>
          <w:bCs/>
          <w:color w:val="365F91" w:themeColor="accent1" w:themeShade="BF"/>
          <w:sz w:val="24"/>
          <w:szCs w:val="24"/>
          <w:vertAlign w:val="subscript"/>
        </w:rPr>
      </w:pPr>
      <w:bookmarkStart w:id="29" w:name="_Toc49072579"/>
      <w:r w:rsidRPr="007F28EA">
        <w:rPr>
          <w:rFonts w:ascii="Times New Roman" w:hAnsi="Times New Roman" w:cs="Times New Roman"/>
          <w:sz w:val="24"/>
          <w:szCs w:val="24"/>
          <w:vertAlign w:val="subscript"/>
        </w:rPr>
        <w:br w:type="page"/>
      </w:r>
    </w:p>
    <w:p w:rsidR="003159DD" w:rsidRPr="007F28EA" w:rsidRDefault="003159DD" w:rsidP="00B51EAA">
      <w:pPr>
        <w:pStyle w:val="Heading1"/>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lastRenderedPageBreak/>
        <w:t>Conclusion</w:t>
      </w:r>
      <w:bookmarkEnd w:id="29"/>
    </w:p>
    <w:p w:rsidR="009A49B8" w:rsidRPr="007F28EA" w:rsidRDefault="003159DD" w:rsidP="00B51EAA">
      <w:pPr>
        <w:spacing w:beforeLines="240" w:before="576" w:afterLines="240" w:after="576" w:line="240" w:lineRule="atLeast"/>
        <w:contextualSpacing/>
        <w:jc w:val="both"/>
        <w:rPr>
          <w:rFonts w:ascii="Times New Roman" w:hAnsi="Times New Roman" w:cs="Times New Roman"/>
          <w:sz w:val="24"/>
          <w:szCs w:val="24"/>
        </w:rPr>
      </w:pPr>
      <w:r w:rsidRPr="007F28EA">
        <w:rPr>
          <w:rFonts w:ascii="Times New Roman" w:hAnsi="Times New Roman" w:cs="Times New Roman"/>
          <w:sz w:val="24"/>
          <w:szCs w:val="24"/>
        </w:rPr>
        <w:t xml:space="preserve">From the above assignment it has been estimated that </w:t>
      </w:r>
      <w:r w:rsidR="0017452C" w:rsidRPr="007F28EA">
        <w:rPr>
          <w:rFonts w:ascii="Times New Roman" w:hAnsi="Times New Roman" w:cs="Times New Roman"/>
          <w:sz w:val="24"/>
          <w:szCs w:val="24"/>
        </w:rPr>
        <w:t xml:space="preserve">company use the resources for development of </w:t>
      </w:r>
      <w:r w:rsidR="00846E6B" w:rsidRPr="007F28EA">
        <w:rPr>
          <w:rFonts w:ascii="Times New Roman" w:hAnsi="Times New Roman" w:cs="Times New Roman"/>
          <w:sz w:val="24"/>
          <w:szCs w:val="24"/>
        </w:rPr>
        <w:t xml:space="preserve">resources in an organization. </w:t>
      </w:r>
      <w:r w:rsidR="00D33F94" w:rsidRPr="007F28EA">
        <w:rPr>
          <w:rFonts w:ascii="Times New Roman" w:hAnsi="Times New Roman" w:cs="Times New Roman"/>
          <w:sz w:val="24"/>
          <w:szCs w:val="24"/>
        </w:rPr>
        <w:t xml:space="preserve">The company makes better presentation </w:t>
      </w:r>
      <w:r w:rsidR="001C3E70" w:rsidRPr="007F28EA">
        <w:rPr>
          <w:rFonts w:ascii="Times New Roman" w:hAnsi="Times New Roman" w:cs="Times New Roman"/>
          <w:sz w:val="24"/>
          <w:szCs w:val="24"/>
        </w:rPr>
        <w:t xml:space="preserve">by determining trends through financial ratios of company. </w:t>
      </w:r>
      <w:r w:rsidR="00140570" w:rsidRPr="007F28EA">
        <w:rPr>
          <w:rFonts w:ascii="Times New Roman" w:hAnsi="Times New Roman" w:cs="Times New Roman"/>
          <w:sz w:val="24"/>
          <w:szCs w:val="24"/>
        </w:rPr>
        <w:t>Different entities have</w:t>
      </w:r>
      <w:r w:rsidR="0012449E" w:rsidRPr="007F28EA">
        <w:rPr>
          <w:rFonts w:ascii="Times New Roman" w:hAnsi="Times New Roman" w:cs="Times New Roman"/>
          <w:sz w:val="24"/>
          <w:szCs w:val="24"/>
        </w:rPr>
        <w:t xml:space="preserve"> different uses of financial statements in an organization.</w:t>
      </w:r>
    </w:p>
    <w:p w:rsidR="009A49B8" w:rsidRPr="007F28EA" w:rsidRDefault="009A49B8" w:rsidP="00B51EAA">
      <w:pPr>
        <w:spacing w:beforeLines="240" w:before="576" w:afterLines="240" w:after="576" w:line="240" w:lineRule="atLeast"/>
        <w:contextualSpacing/>
        <w:jc w:val="both"/>
        <w:rPr>
          <w:rFonts w:ascii="Times New Roman" w:hAnsi="Times New Roman" w:cs="Times New Roman"/>
          <w:sz w:val="24"/>
          <w:szCs w:val="24"/>
        </w:rPr>
      </w:pPr>
    </w:p>
    <w:p w:rsidR="009A49B8" w:rsidRPr="007F28EA" w:rsidRDefault="009A49B8" w:rsidP="00B51EAA">
      <w:pPr>
        <w:spacing w:beforeLines="240" w:before="576" w:afterLines="240" w:after="576" w:line="240" w:lineRule="atLeast"/>
        <w:contextualSpacing/>
        <w:jc w:val="both"/>
        <w:rPr>
          <w:rFonts w:ascii="Times New Roman" w:hAnsi="Times New Roman" w:cs="Times New Roman"/>
          <w:sz w:val="24"/>
          <w:szCs w:val="24"/>
        </w:rPr>
      </w:pPr>
    </w:p>
    <w:p w:rsidR="009A49B8" w:rsidRPr="007F28EA" w:rsidRDefault="009A49B8" w:rsidP="00B51EAA">
      <w:pPr>
        <w:spacing w:beforeLines="240" w:before="576" w:afterLines="240" w:after="576" w:line="240" w:lineRule="atLeast"/>
        <w:contextualSpacing/>
        <w:jc w:val="both"/>
        <w:rPr>
          <w:rFonts w:ascii="Times New Roman" w:hAnsi="Times New Roman" w:cs="Times New Roman"/>
          <w:sz w:val="24"/>
          <w:szCs w:val="24"/>
        </w:rPr>
      </w:pPr>
    </w:p>
    <w:p w:rsidR="00050A8F" w:rsidRPr="007F28EA" w:rsidRDefault="00050A8F" w:rsidP="00B51EAA">
      <w:pPr>
        <w:spacing w:beforeLines="240" w:before="576" w:afterLines="240" w:after="576" w:line="240" w:lineRule="atLeast"/>
        <w:contextualSpacing/>
        <w:jc w:val="both"/>
        <w:rPr>
          <w:rFonts w:ascii="Times New Roman" w:eastAsiaTheme="majorEastAsia" w:hAnsi="Times New Roman" w:cs="Times New Roman"/>
          <w:b/>
          <w:bCs/>
          <w:color w:val="365F91" w:themeColor="accent1" w:themeShade="BF"/>
          <w:sz w:val="24"/>
          <w:szCs w:val="24"/>
          <w:vertAlign w:val="subscript"/>
        </w:rPr>
      </w:pPr>
      <w:r w:rsidRPr="007F28EA">
        <w:rPr>
          <w:rFonts w:ascii="Times New Roman" w:hAnsi="Times New Roman" w:cs="Times New Roman"/>
          <w:sz w:val="24"/>
          <w:szCs w:val="24"/>
          <w:vertAlign w:val="subscript"/>
        </w:rPr>
        <w:br w:type="page"/>
      </w:r>
    </w:p>
    <w:p w:rsidR="00845DAC" w:rsidRPr="007F28EA" w:rsidRDefault="009A49B8" w:rsidP="00B51EAA">
      <w:pPr>
        <w:pStyle w:val="Heading1"/>
        <w:spacing w:beforeLines="240" w:before="576" w:afterLines="240" w:after="576" w:line="240" w:lineRule="atLeast"/>
        <w:contextualSpacing/>
        <w:jc w:val="both"/>
        <w:rPr>
          <w:rFonts w:ascii="Times New Roman" w:hAnsi="Times New Roman" w:cs="Times New Roman"/>
          <w:sz w:val="24"/>
          <w:szCs w:val="24"/>
        </w:rPr>
      </w:pPr>
      <w:bookmarkStart w:id="30" w:name="_Toc49072580"/>
      <w:r w:rsidRPr="007F28EA">
        <w:rPr>
          <w:rFonts w:ascii="Times New Roman" w:hAnsi="Times New Roman" w:cs="Times New Roman"/>
          <w:sz w:val="24"/>
          <w:szCs w:val="24"/>
        </w:rPr>
        <w:lastRenderedPageBreak/>
        <w:t>Reference</w:t>
      </w:r>
      <w:r w:rsidR="00302CBE" w:rsidRPr="007F28EA">
        <w:rPr>
          <w:rFonts w:ascii="Times New Roman" w:hAnsi="Times New Roman" w:cs="Times New Roman"/>
          <w:sz w:val="24"/>
          <w:szCs w:val="24"/>
        </w:rPr>
        <w:t>s</w:t>
      </w:r>
      <w:bookmarkEnd w:id="30"/>
    </w:p>
    <w:p w:rsidR="00845DAC" w:rsidRPr="007F28EA" w:rsidRDefault="00845DA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Accountingtools, 2018. </w:t>
      </w:r>
      <w:hyperlink r:id="rId34" w:history="1">
        <w:r w:rsidRPr="007F28EA">
          <w:rPr>
            <w:rFonts w:ascii="Times New Roman" w:hAnsi="Times New Roman" w:cs="Times New Roman"/>
            <w:sz w:val="24"/>
            <w:szCs w:val="24"/>
          </w:rPr>
          <w:t>Limitations of financial statements</w:t>
        </w:r>
      </w:hyperlink>
      <w:r w:rsidRPr="007F28EA">
        <w:rPr>
          <w:rFonts w:ascii="Times New Roman" w:hAnsi="Times New Roman" w:cs="Times New Roman"/>
          <w:sz w:val="24"/>
          <w:szCs w:val="24"/>
        </w:rPr>
        <w:t xml:space="preserve">, [Online], Available at: </w:t>
      </w:r>
      <w:hyperlink r:id="rId35" w:history="1">
        <w:r w:rsidRPr="007F28EA">
          <w:rPr>
            <w:rStyle w:val="Hyperlink"/>
            <w:rFonts w:ascii="Times New Roman" w:hAnsi="Times New Roman" w:cs="Times New Roman"/>
            <w:sz w:val="24"/>
            <w:szCs w:val="24"/>
          </w:rPr>
          <w:t>https://www.accountingtools.com/articles/limitations-of-financial-statements.html</w:t>
        </w:r>
      </w:hyperlink>
      <w:r w:rsidRPr="007F28EA">
        <w:rPr>
          <w:rFonts w:ascii="Times New Roman" w:hAnsi="Times New Roman" w:cs="Times New Roman"/>
          <w:sz w:val="24"/>
          <w:szCs w:val="24"/>
        </w:rPr>
        <w:t>, [Accessed on: 22-08-2020]</w:t>
      </w:r>
    </w:p>
    <w:p w:rsidR="00845DAC" w:rsidRPr="007F28EA" w:rsidRDefault="00845DA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Accountingtools, 2020. </w:t>
      </w:r>
      <w:hyperlink r:id="rId36" w:history="1">
        <w:r w:rsidRPr="007F28EA">
          <w:rPr>
            <w:rFonts w:ascii="Times New Roman" w:hAnsi="Times New Roman" w:cs="Times New Roman"/>
            <w:sz w:val="24"/>
            <w:szCs w:val="24"/>
          </w:rPr>
          <w:t>The purpose of financial statements</w:t>
        </w:r>
      </w:hyperlink>
      <w:r w:rsidRPr="007F28EA">
        <w:rPr>
          <w:rFonts w:ascii="Times New Roman" w:hAnsi="Times New Roman" w:cs="Times New Roman"/>
          <w:sz w:val="24"/>
          <w:szCs w:val="24"/>
        </w:rPr>
        <w:t xml:space="preserve">, [Online], Available at: </w:t>
      </w:r>
      <w:hyperlink r:id="rId37" w:anchor=":~:text=The%20general%20purpose%20of%20the,regarding%20the%20allocation%20of%20resources." w:history="1">
        <w:r w:rsidRPr="007F28EA">
          <w:rPr>
            <w:rStyle w:val="Hyperlink"/>
            <w:rFonts w:ascii="Times New Roman" w:hAnsi="Times New Roman" w:cs="Times New Roman"/>
            <w:sz w:val="24"/>
            <w:szCs w:val="24"/>
          </w:rPr>
          <w:t>https://www.accountingtools.com/articles/what-is-the-purpose-of-financial-statements.html</w:t>
        </w:r>
      </w:hyperlink>
      <w:r w:rsidRPr="007F28EA">
        <w:rPr>
          <w:rFonts w:ascii="Times New Roman" w:hAnsi="Times New Roman" w:cs="Times New Roman"/>
          <w:b/>
          <w:sz w:val="24"/>
          <w:szCs w:val="24"/>
        </w:rPr>
        <w:t xml:space="preserve">, </w:t>
      </w:r>
      <w:r w:rsidRPr="007F28EA">
        <w:rPr>
          <w:rFonts w:ascii="Times New Roman" w:hAnsi="Times New Roman" w:cs="Times New Roman"/>
          <w:sz w:val="24"/>
          <w:szCs w:val="24"/>
        </w:rPr>
        <w:t>[Accessed on: 22-08-2020]</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38" w:history="1">
        <w:r w:rsidR="00845DAC" w:rsidRPr="007F28EA">
          <w:rPr>
            <w:rFonts w:ascii="Times New Roman" w:hAnsi="Times New Roman" w:cs="Times New Roman"/>
            <w:sz w:val="24"/>
            <w:szCs w:val="24"/>
          </w:rPr>
          <w:t>Cote</w:t>
        </w:r>
      </w:hyperlink>
      <w:r w:rsidR="00845DAC" w:rsidRPr="007F28EA">
        <w:rPr>
          <w:rFonts w:ascii="Times New Roman" w:hAnsi="Times New Roman" w:cs="Times New Roman"/>
          <w:sz w:val="24"/>
          <w:szCs w:val="24"/>
        </w:rPr>
        <w:t xml:space="preserve">, Catherine, 2020. HOW &amp; WHY MANAGERS USE FINANCIAL STATEMENTS, [Online], Available at: </w:t>
      </w:r>
      <w:hyperlink r:id="rId39" w:history="1">
        <w:r w:rsidR="00845DAC" w:rsidRPr="007F28EA">
          <w:rPr>
            <w:rStyle w:val="Hyperlink"/>
            <w:rFonts w:ascii="Times New Roman" w:hAnsi="Times New Roman" w:cs="Times New Roman"/>
            <w:sz w:val="24"/>
            <w:szCs w:val="24"/>
          </w:rPr>
          <w:t>https://online.hbs.edu/blog/post/how-managers-use-financial-statements</w:t>
        </w:r>
      </w:hyperlink>
      <w:r w:rsidR="00845DAC" w:rsidRPr="007F28EA">
        <w:rPr>
          <w:rFonts w:ascii="Times New Roman" w:hAnsi="Times New Roman" w:cs="Times New Roman"/>
          <w:b/>
          <w:sz w:val="24"/>
          <w:szCs w:val="24"/>
        </w:rPr>
        <w:t xml:space="preserve">, </w:t>
      </w:r>
      <w:r w:rsidR="00845DAC" w:rsidRPr="007F28EA">
        <w:rPr>
          <w:rFonts w:ascii="Times New Roman" w:hAnsi="Times New Roman" w:cs="Times New Roman"/>
          <w:sz w:val="24"/>
          <w:szCs w:val="24"/>
        </w:rPr>
        <w:t>[Accessed on: 22-08-2020]</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40" w:tgtFrame="_blank" w:tooltip="View other papers by this author" w:history="1">
        <w:r w:rsidR="00845DAC" w:rsidRPr="007F28EA">
          <w:rPr>
            <w:rFonts w:ascii="Times New Roman" w:hAnsi="Times New Roman" w:cs="Times New Roman"/>
            <w:sz w:val="24"/>
            <w:szCs w:val="24"/>
          </w:rPr>
          <w:t>Dhingra</w:t>
        </w:r>
      </w:hyperlink>
      <w:r w:rsidR="00845DAC" w:rsidRPr="007F28EA">
        <w:rPr>
          <w:rFonts w:ascii="Times New Roman" w:hAnsi="Times New Roman" w:cs="Times New Roman"/>
          <w:sz w:val="24"/>
          <w:szCs w:val="24"/>
        </w:rPr>
        <w:t xml:space="preserve">, Pooja, </w:t>
      </w:r>
      <w:hyperlink r:id="rId41" w:tgtFrame="_blank" w:tooltip="View other papers by this author" w:history="1">
        <w:r w:rsidR="00845DAC" w:rsidRPr="007F28EA">
          <w:rPr>
            <w:rFonts w:ascii="Times New Roman" w:hAnsi="Times New Roman" w:cs="Times New Roman"/>
            <w:sz w:val="24"/>
            <w:szCs w:val="24"/>
          </w:rPr>
          <w:t xml:space="preserve"> Singh</w:t>
        </w:r>
      </w:hyperlink>
      <w:r w:rsidR="00845DAC" w:rsidRPr="007F28EA">
        <w:rPr>
          <w:rFonts w:ascii="Times New Roman" w:hAnsi="Times New Roman" w:cs="Times New Roman"/>
          <w:sz w:val="24"/>
          <w:szCs w:val="24"/>
        </w:rPr>
        <w:t xml:space="preserve">, Ajay Kumar, </w:t>
      </w:r>
      <w:hyperlink r:id="rId42" w:tgtFrame="_blank" w:tooltip="View other papers by this author" w:history="1">
        <w:r w:rsidR="00845DAC" w:rsidRPr="007F28EA">
          <w:rPr>
            <w:rFonts w:ascii="Times New Roman" w:hAnsi="Times New Roman" w:cs="Times New Roman"/>
            <w:sz w:val="24"/>
            <w:szCs w:val="24"/>
          </w:rPr>
          <w:t>Magu</w:t>
        </w:r>
      </w:hyperlink>
      <w:r w:rsidR="00845DAC" w:rsidRPr="007F28EA">
        <w:rPr>
          <w:rFonts w:ascii="Times New Roman" w:hAnsi="Times New Roman" w:cs="Times New Roman"/>
          <w:sz w:val="24"/>
          <w:szCs w:val="24"/>
        </w:rPr>
        <w:t>, Gaurav, 2014. Limitations of Current Financial Reporting: A Case for Integrated Reporting</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43" w:tgtFrame="_blank" w:tooltip="View other papers by this author" w:history="1">
        <w:r w:rsidR="00845DAC" w:rsidRPr="007F28EA">
          <w:rPr>
            <w:rFonts w:ascii="Times New Roman" w:hAnsi="Times New Roman" w:cs="Times New Roman"/>
            <w:sz w:val="24"/>
            <w:szCs w:val="24"/>
          </w:rPr>
          <w:t>Dicle</w:t>
        </w:r>
      </w:hyperlink>
      <w:r w:rsidR="00845DAC" w:rsidRPr="007F28EA">
        <w:rPr>
          <w:rFonts w:ascii="Times New Roman" w:hAnsi="Times New Roman" w:cs="Times New Roman"/>
          <w:sz w:val="24"/>
          <w:szCs w:val="24"/>
        </w:rPr>
        <w:t xml:space="preserve">, Mehmet F., </w:t>
      </w:r>
      <w:hyperlink r:id="rId44" w:tgtFrame="_blank" w:tooltip="View other papers by this author" w:history="1">
        <w:r w:rsidR="00845DAC" w:rsidRPr="007F28EA">
          <w:rPr>
            <w:rFonts w:ascii="Times New Roman" w:hAnsi="Times New Roman" w:cs="Times New Roman"/>
            <w:sz w:val="24"/>
            <w:szCs w:val="24"/>
          </w:rPr>
          <w:t>Meyer</w:t>
        </w:r>
      </w:hyperlink>
      <w:r w:rsidR="00845DAC" w:rsidRPr="007F28EA">
        <w:rPr>
          <w:rFonts w:ascii="Times New Roman" w:hAnsi="Times New Roman" w:cs="Times New Roman"/>
          <w:sz w:val="24"/>
          <w:szCs w:val="24"/>
        </w:rPr>
        <w:t>, Jean, 2018. Financial Statement and Ratio Analysis: A Classroom Perspective</w:t>
      </w:r>
    </w:p>
    <w:p w:rsidR="00845DAC" w:rsidRPr="007F28EA" w:rsidRDefault="00845DA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Donner, Debbie, 2020. Why Are Financial Statements Important to Tax Authorities?, [Online], Available at: </w:t>
      </w:r>
      <w:hyperlink r:id="rId45" w:history="1">
        <w:r w:rsidRPr="007F28EA">
          <w:rPr>
            <w:rFonts w:ascii="Times New Roman" w:hAnsi="Times New Roman" w:cs="Times New Roman"/>
            <w:sz w:val="24"/>
            <w:szCs w:val="24"/>
          </w:rPr>
          <w:t>https://smallbusiness.chron.com/financial-statements-important-tax-authorities-18132.html</w:t>
        </w:r>
      </w:hyperlink>
      <w:r w:rsidRPr="007F28EA">
        <w:rPr>
          <w:rFonts w:ascii="Times New Roman" w:hAnsi="Times New Roman" w:cs="Times New Roman"/>
          <w:sz w:val="24"/>
          <w:szCs w:val="24"/>
        </w:rPr>
        <w:t>, [Accessed on: 22-08-2020]</w:t>
      </w:r>
    </w:p>
    <w:p w:rsidR="00845DAC" w:rsidRPr="007F28EA" w:rsidRDefault="00845DA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color w:val="000000"/>
          <w:sz w:val="24"/>
          <w:szCs w:val="24"/>
          <w:shd w:val="clear" w:color="auto" w:fill="FFFFFF"/>
        </w:rPr>
        <w:t> </w:t>
      </w:r>
      <w:hyperlink r:id="rId46" w:history="1">
        <w:r w:rsidRPr="007F28EA">
          <w:rPr>
            <w:rFonts w:ascii="Times New Roman" w:hAnsi="Times New Roman" w:cs="Times New Roman"/>
            <w:sz w:val="24"/>
            <w:szCs w:val="24"/>
          </w:rPr>
          <w:t>Epstein</w:t>
        </w:r>
      </w:hyperlink>
      <w:r w:rsidRPr="007F28EA">
        <w:rPr>
          <w:rFonts w:ascii="Times New Roman" w:hAnsi="Times New Roman" w:cs="Times New Roman"/>
          <w:sz w:val="24"/>
          <w:szCs w:val="24"/>
        </w:rPr>
        <w:t xml:space="preserve">, Lita, 2020. The Financial Reporting Benefits and Disadvantages of Public Companies, [Online], Available at: </w:t>
      </w:r>
      <w:hyperlink r:id="rId47" w:history="1">
        <w:r w:rsidRPr="007F28EA">
          <w:rPr>
            <w:rStyle w:val="Hyperlink"/>
            <w:rFonts w:ascii="Times New Roman" w:hAnsi="Times New Roman" w:cs="Times New Roman"/>
            <w:sz w:val="24"/>
            <w:szCs w:val="24"/>
          </w:rPr>
          <w:t>https://www.dummies.com/business/accounting/the-financial-reporting-benefits-and-disadvantages-of-public-companies/</w:t>
        </w:r>
      </w:hyperlink>
      <w:r w:rsidRPr="007F28EA">
        <w:rPr>
          <w:rFonts w:ascii="Times New Roman" w:hAnsi="Times New Roman" w:cs="Times New Roman"/>
          <w:sz w:val="24"/>
          <w:szCs w:val="24"/>
        </w:rPr>
        <w:t>, [Accessed on: 22-08-2020]</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48" w:tgtFrame="_blank" w:tooltip="View other papers by this author" w:history="1">
        <w:r w:rsidR="00845DAC" w:rsidRPr="007F28EA">
          <w:rPr>
            <w:rFonts w:ascii="Times New Roman" w:hAnsi="Times New Roman" w:cs="Times New Roman"/>
            <w:sz w:val="24"/>
            <w:szCs w:val="24"/>
          </w:rPr>
          <w:t>Hoitash</w:t>
        </w:r>
      </w:hyperlink>
      <w:r w:rsidR="00845DAC" w:rsidRPr="007F28EA">
        <w:rPr>
          <w:rFonts w:ascii="Times New Roman" w:hAnsi="Times New Roman" w:cs="Times New Roman"/>
          <w:sz w:val="24"/>
          <w:szCs w:val="24"/>
        </w:rPr>
        <w:t xml:space="preserve">, Rani, </w:t>
      </w:r>
      <w:hyperlink r:id="rId49" w:tgtFrame="_blank" w:tooltip="View other papers by this author" w:history="1">
        <w:r w:rsidR="00845DAC" w:rsidRPr="007F28EA">
          <w:rPr>
            <w:rFonts w:ascii="Times New Roman" w:hAnsi="Times New Roman" w:cs="Times New Roman"/>
            <w:sz w:val="24"/>
            <w:szCs w:val="24"/>
          </w:rPr>
          <w:t>Hoitash</w:t>
        </w:r>
      </w:hyperlink>
      <w:r w:rsidR="00845DAC" w:rsidRPr="007F28EA">
        <w:rPr>
          <w:rFonts w:ascii="Times New Roman" w:hAnsi="Times New Roman" w:cs="Times New Roman"/>
          <w:sz w:val="24"/>
          <w:szCs w:val="24"/>
        </w:rPr>
        <w:t xml:space="preserve">, Udi, </w:t>
      </w:r>
      <w:hyperlink r:id="rId50" w:tgtFrame="_blank" w:tooltip="View other papers by this author" w:history="1">
        <w:r w:rsidR="00845DAC" w:rsidRPr="007F28EA">
          <w:rPr>
            <w:rFonts w:ascii="Times New Roman" w:hAnsi="Times New Roman" w:cs="Times New Roman"/>
            <w:sz w:val="24"/>
            <w:szCs w:val="24"/>
          </w:rPr>
          <w:t>Kurt</w:t>
        </w:r>
      </w:hyperlink>
      <w:r w:rsidR="00845DAC" w:rsidRPr="007F28EA">
        <w:rPr>
          <w:rFonts w:ascii="Times New Roman" w:hAnsi="Times New Roman" w:cs="Times New Roman"/>
          <w:sz w:val="24"/>
          <w:szCs w:val="24"/>
        </w:rPr>
        <w:t xml:space="preserve">, Ahmet C., </w:t>
      </w:r>
      <w:hyperlink r:id="rId51" w:tgtFrame="_blank" w:tooltip="View other papers by this author" w:history="1">
        <w:r w:rsidR="00845DAC" w:rsidRPr="007F28EA">
          <w:rPr>
            <w:rFonts w:ascii="Times New Roman" w:hAnsi="Times New Roman" w:cs="Times New Roman"/>
            <w:sz w:val="24"/>
            <w:szCs w:val="24"/>
          </w:rPr>
          <w:t xml:space="preserve"> Verdi</w:t>
        </w:r>
      </w:hyperlink>
      <w:r w:rsidR="00845DAC" w:rsidRPr="007F28EA">
        <w:rPr>
          <w:rFonts w:ascii="Times New Roman" w:hAnsi="Times New Roman" w:cs="Times New Roman"/>
          <w:sz w:val="24"/>
          <w:szCs w:val="24"/>
        </w:rPr>
        <w:t>, Rodrigo S., 2018. An Input-Based Measure of Financial Statement Comparability</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52" w:tgtFrame="_blank" w:tooltip="View other papers by this author" w:history="1">
        <w:r w:rsidR="00845DAC" w:rsidRPr="007F28EA">
          <w:rPr>
            <w:rFonts w:ascii="Times New Roman" w:hAnsi="Times New Roman" w:cs="Times New Roman"/>
            <w:sz w:val="24"/>
            <w:szCs w:val="24"/>
          </w:rPr>
          <w:t>Nam</w:t>
        </w:r>
      </w:hyperlink>
      <w:r w:rsidR="00845DAC" w:rsidRPr="007F28EA">
        <w:rPr>
          <w:rFonts w:ascii="Times New Roman" w:hAnsi="Times New Roman" w:cs="Times New Roman"/>
          <w:sz w:val="24"/>
          <w:szCs w:val="24"/>
        </w:rPr>
        <w:t xml:space="preserve">, Jonathan, </w:t>
      </w:r>
      <w:hyperlink r:id="rId53" w:tgtFrame="_blank" w:tooltip="View other papers by this author" w:history="1">
        <w:r w:rsidR="00845DAC" w:rsidRPr="007F28EA">
          <w:rPr>
            <w:rFonts w:ascii="Times New Roman" w:hAnsi="Times New Roman" w:cs="Times New Roman"/>
            <w:sz w:val="24"/>
            <w:szCs w:val="24"/>
          </w:rPr>
          <w:t>Thompson</w:t>
        </w:r>
      </w:hyperlink>
      <w:r w:rsidR="00845DAC" w:rsidRPr="007F28EA">
        <w:rPr>
          <w:rFonts w:ascii="Times New Roman" w:hAnsi="Times New Roman" w:cs="Times New Roman"/>
          <w:sz w:val="24"/>
          <w:szCs w:val="24"/>
        </w:rPr>
        <w:t>, Rachel, 2019. Does Financial Statement Comparability Facilitate SEC Oversight?</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54" w:tgtFrame="_blank" w:tooltip="View other papers by this author" w:history="1">
        <w:r w:rsidR="00845DAC" w:rsidRPr="007F28EA">
          <w:rPr>
            <w:rFonts w:ascii="Times New Roman" w:hAnsi="Times New Roman" w:cs="Times New Roman"/>
            <w:sz w:val="24"/>
            <w:szCs w:val="24"/>
          </w:rPr>
          <w:t>Papadopoulos</w:t>
        </w:r>
      </w:hyperlink>
      <w:r w:rsidR="00845DAC" w:rsidRPr="007F28EA">
        <w:rPr>
          <w:rFonts w:ascii="Times New Roman" w:hAnsi="Times New Roman" w:cs="Times New Roman"/>
          <w:sz w:val="24"/>
          <w:szCs w:val="24"/>
        </w:rPr>
        <w:t xml:space="preserve">, Savvas, </w:t>
      </w:r>
      <w:hyperlink r:id="rId55" w:tgtFrame="_blank" w:tooltip="View other papers by this author" w:history="1">
        <w:r w:rsidR="00845DAC" w:rsidRPr="007F28EA">
          <w:rPr>
            <w:rFonts w:ascii="Times New Roman" w:hAnsi="Times New Roman" w:cs="Times New Roman"/>
            <w:sz w:val="24"/>
            <w:szCs w:val="24"/>
          </w:rPr>
          <w:t xml:space="preserve"> Marton</w:t>
        </w:r>
      </w:hyperlink>
      <w:r w:rsidR="00845DAC" w:rsidRPr="007F28EA">
        <w:rPr>
          <w:rFonts w:ascii="Times New Roman" w:hAnsi="Times New Roman" w:cs="Times New Roman"/>
          <w:sz w:val="24"/>
          <w:szCs w:val="24"/>
        </w:rPr>
        <w:t>, Jan Peter, 2017. Components in Banks' Income Statements and Their Relevance for Equity and Bond Investors</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56" w:tgtFrame="_blank" w:tooltip="View other papers by this author" w:history="1">
        <w:r w:rsidR="00845DAC" w:rsidRPr="007F28EA">
          <w:rPr>
            <w:rFonts w:ascii="Times New Roman" w:hAnsi="Times New Roman" w:cs="Times New Roman"/>
            <w:sz w:val="24"/>
            <w:szCs w:val="24"/>
          </w:rPr>
          <w:t>Senteney</w:t>
        </w:r>
      </w:hyperlink>
      <w:r w:rsidR="00845DAC" w:rsidRPr="007F28EA">
        <w:rPr>
          <w:rFonts w:ascii="Times New Roman" w:hAnsi="Times New Roman" w:cs="Times New Roman"/>
          <w:sz w:val="24"/>
          <w:szCs w:val="24"/>
        </w:rPr>
        <w:t xml:space="preserve">, Michael, </w:t>
      </w:r>
      <w:hyperlink r:id="rId57" w:tgtFrame="_blank" w:tooltip="View other papers by this author" w:history="1">
        <w:r w:rsidR="00845DAC" w:rsidRPr="007F28EA">
          <w:rPr>
            <w:rFonts w:ascii="Times New Roman" w:hAnsi="Times New Roman" w:cs="Times New Roman"/>
            <w:sz w:val="24"/>
            <w:szCs w:val="24"/>
          </w:rPr>
          <w:t>Stowe</w:t>
        </w:r>
      </w:hyperlink>
      <w:r w:rsidR="00845DAC" w:rsidRPr="007F28EA">
        <w:rPr>
          <w:rFonts w:ascii="Times New Roman" w:hAnsi="Times New Roman" w:cs="Times New Roman"/>
          <w:sz w:val="24"/>
          <w:szCs w:val="24"/>
        </w:rPr>
        <w:t xml:space="preserve">, David L., </w:t>
      </w:r>
      <w:hyperlink r:id="rId58" w:tgtFrame="_blank" w:tooltip="View other papers by this author" w:history="1">
        <w:r w:rsidR="00845DAC" w:rsidRPr="007F28EA">
          <w:rPr>
            <w:rFonts w:ascii="Times New Roman" w:hAnsi="Times New Roman" w:cs="Times New Roman"/>
            <w:sz w:val="24"/>
            <w:szCs w:val="24"/>
          </w:rPr>
          <w:t>Stowe</w:t>
        </w:r>
      </w:hyperlink>
      <w:r w:rsidR="00845DAC" w:rsidRPr="007F28EA">
        <w:rPr>
          <w:rFonts w:ascii="Times New Roman" w:hAnsi="Times New Roman" w:cs="Times New Roman"/>
          <w:sz w:val="24"/>
          <w:szCs w:val="24"/>
        </w:rPr>
        <w:t>, John D., 2019. Financial Statement Change and Equity Risk</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59" w:tgtFrame="_blank" w:tooltip="View other papers by this author" w:history="1">
        <w:r w:rsidR="00845DAC" w:rsidRPr="007F28EA">
          <w:rPr>
            <w:rFonts w:ascii="Times New Roman" w:hAnsi="Times New Roman" w:cs="Times New Roman"/>
            <w:sz w:val="24"/>
            <w:szCs w:val="24"/>
          </w:rPr>
          <w:t>Sithole</w:t>
        </w:r>
      </w:hyperlink>
      <w:r w:rsidR="00845DAC" w:rsidRPr="007F28EA">
        <w:rPr>
          <w:rFonts w:ascii="Times New Roman" w:hAnsi="Times New Roman" w:cs="Times New Roman"/>
          <w:sz w:val="24"/>
          <w:szCs w:val="24"/>
        </w:rPr>
        <w:t>, Seedwell T.M., 2015. The Relevance of International Financial Reporting Standards for Small and Medium-Sized Entities (IFRS for SMEs) in Swaziland., Journal of Modern Accounting and Auditing, 11(8), 383-402</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60" w:tgtFrame="_blank" w:tooltip="View other papers by this author" w:history="1">
        <w:r w:rsidR="00845DAC" w:rsidRPr="007F28EA">
          <w:rPr>
            <w:rFonts w:ascii="Times New Roman" w:hAnsi="Times New Roman" w:cs="Times New Roman"/>
            <w:sz w:val="24"/>
            <w:szCs w:val="24"/>
          </w:rPr>
          <w:t>Sunder</w:t>
        </w:r>
      </w:hyperlink>
      <w:r w:rsidR="00845DAC" w:rsidRPr="007F28EA">
        <w:rPr>
          <w:rFonts w:ascii="Times New Roman" w:hAnsi="Times New Roman" w:cs="Times New Roman"/>
          <w:sz w:val="24"/>
          <w:szCs w:val="24"/>
        </w:rPr>
        <w:t>, Shyam, 2016. Rethinking Financial Reporting: Standards, Norms and Institutions, Foundations and Trends® in Accounting, Vol. 11, Nos. 1-2 (2016) 1-113</w:t>
      </w:r>
    </w:p>
    <w:p w:rsidR="00845DAC" w:rsidRPr="007F28EA" w:rsidRDefault="00845DA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r w:rsidRPr="007F28EA">
        <w:rPr>
          <w:rFonts w:ascii="Times New Roman" w:hAnsi="Times New Roman" w:cs="Times New Roman"/>
          <w:sz w:val="24"/>
          <w:szCs w:val="24"/>
        </w:rPr>
        <w:t xml:space="preserve">Toppr, 2020. Uses of Financial Statements and their Limitations, [Online], Available at: </w:t>
      </w:r>
      <w:hyperlink r:id="rId61" w:anchor=":~:text=Governmental%20policies%20pertaining%20to%20corporates,decide%20taxation%20and%20regulatory%20policies." w:history="1">
        <w:r w:rsidRPr="007F28EA">
          <w:rPr>
            <w:rStyle w:val="Hyperlink"/>
            <w:rFonts w:ascii="Times New Roman" w:hAnsi="Times New Roman" w:cs="Times New Roman"/>
            <w:sz w:val="24"/>
            <w:szCs w:val="24"/>
          </w:rPr>
          <w:t>https://www.toppr.com/guides/accountancy/financial-statements-of-a-company/uses-their-limitations/</w:t>
        </w:r>
      </w:hyperlink>
      <w:r w:rsidRPr="007F28EA">
        <w:rPr>
          <w:rFonts w:ascii="Times New Roman" w:hAnsi="Times New Roman" w:cs="Times New Roman"/>
          <w:b/>
          <w:sz w:val="24"/>
          <w:szCs w:val="24"/>
        </w:rPr>
        <w:t xml:space="preserve">, </w:t>
      </w:r>
      <w:r w:rsidRPr="007F28EA">
        <w:rPr>
          <w:rFonts w:ascii="Times New Roman" w:hAnsi="Times New Roman" w:cs="Times New Roman"/>
          <w:sz w:val="24"/>
          <w:szCs w:val="24"/>
        </w:rPr>
        <w:t>[Accessed on: 22-08-2020]</w:t>
      </w:r>
    </w:p>
    <w:p w:rsidR="00845DAC" w:rsidRPr="007F28EA" w:rsidRDefault="001B556C" w:rsidP="00B51EAA">
      <w:pPr>
        <w:pStyle w:val="ListParagraph"/>
        <w:numPr>
          <w:ilvl w:val="0"/>
          <w:numId w:val="17"/>
        </w:numPr>
        <w:spacing w:beforeLines="240" w:before="576" w:afterLines="240" w:after="576" w:line="240" w:lineRule="atLeast"/>
        <w:jc w:val="both"/>
        <w:rPr>
          <w:rFonts w:ascii="Times New Roman" w:hAnsi="Times New Roman" w:cs="Times New Roman"/>
          <w:sz w:val="24"/>
          <w:szCs w:val="24"/>
        </w:rPr>
      </w:pPr>
      <w:hyperlink r:id="rId62" w:tgtFrame="_blank" w:tooltip="View other papers by this author" w:history="1">
        <w:r w:rsidR="00845DAC" w:rsidRPr="007F28EA">
          <w:rPr>
            <w:rFonts w:ascii="Times New Roman" w:hAnsi="Times New Roman" w:cs="Times New Roman"/>
            <w:sz w:val="24"/>
            <w:szCs w:val="24"/>
          </w:rPr>
          <w:t xml:space="preserve"> Weijs</w:t>
        </w:r>
      </w:hyperlink>
      <w:r w:rsidR="00845DAC" w:rsidRPr="007F28EA">
        <w:rPr>
          <w:rFonts w:ascii="Times New Roman" w:hAnsi="Times New Roman" w:cs="Times New Roman"/>
          <w:sz w:val="24"/>
          <w:szCs w:val="24"/>
        </w:rPr>
        <w:t xml:space="preserve">, Roelf Jakob de, 2014. A Basic Introduction to Balance Sheet and Solvency Analyses, </w:t>
      </w:r>
      <w:hyperlink r:id="rId63" w:history="1">
        <w:r w:rsidR="00845DAC" w:rsidRPr="007F28EA">
          <w:rPr>
            <w:rFonts w:ascii="Times New Roman" w:hAnsi="Times New Roman" w:cs="Times New Roman"/>
            <w:sz w:val="24"/>
            <w:szCs w:val="24"/>
          </w:rPr>
          <w:t>Amsterdam Law School Research Paper No. 2014-14</w:t>
        </w:r>
      </w:hyperlink>
      <w:r w:rsidR="00845DAC" w:rsidRPr="007F28EA">
        <w:rPr>
          <w:rFonts w:ascii="Times New Roman" w:hAnsi="Times New Roman" w:cs="Times New Roman"/>
          <w:sz w:val="24"/>
          <w:szCs w:val="24"/>
        </w:rPr>
        <w:t xml:space="preserve">, </w:t>
      </w:r>
      <w:hyperlink r:id="rId64" w:history="1">
        <w:r w:rsidR="00845DAC" w:rsidRPr="007F28EA">
          <w:rPr>
            <w:rFonts w:ascii="Times New Roman" w:hAnsi="Times New Roman" w:cs="Times New Roman"/>
            <w:sz w:val="24"/>
            <w:szCs w:val="24"/>
          </w:rPr>
          <w:t>Centre for the Study of European Contract Law Working Paper Series No. 2014-02</w:t>
        </w:r>
      </w:hyperlink>
    </w:p>
    <w:p w:rsidR="0098382B" w:rsidRPr="007F28EA" w:rsidRDefault="00845DAC" w:rsidP="00B51EAA">
      <w:pPr>
        <w:pStyle w:val="ListParagraph"/>
        <w:numPr>
          <w:ilvl w:val="0"/>
          <w:numId w:val="17"/>
        </w:numPr>
        <w:spacing w:beforeLines="240" w:before="576" w:afterLines="240" w:after="576" w:line="240" w:lineRule="atLeast"/>
        <w:jc w:val="both"/>
        <w:rPr>
          <w:rFonts w:ascii="Times New Roman" w:eastAsiaTheme="majorEastAsia" w:hAnsi="Times New Roman" w:cs="Times New Roman"/>
          <w:color w:val="365F91" w:themeColor="accent1" w:themeShade="BF"/>
          <w:sz w:val="24"/>
          <w:szCs w:val="24"/>
        </w:rPr>
      </w:pPr>
      <w:r w:rsidRPr="007F28EA">
        <w:rPr>
          <w:rFonts w:ascii="Times New Roman" w:hAnsi="Times New Roman" w:cs="Times New Roman"/>
          <w:sz w:val="24"/>
          <w:szCs w:val="24"/>
        </w:rPr>
        <w:t xml:space="preserve">Wikiaccounting, 2020. Five Advantages of Financial Statements, [Online], Available at: </w:t>
      </w:r>
      <w:hyperlink r:id="rId65" w:history="1">
        <w:r w:rsidRPr="007F28EA">
          <w:rPr>
            <w:rStyle w:val="Hyperlink"/>
            <w:rFonts w:ascii="Times New Roman" w:hAnsi="Times New Roman" w:cs="Times New Roman"/>
            <w:sz w:val="24"/>
            <w:szCs w:val="24"/>
          </w:rPr>
          <w:t>https://www.wikiaccounting.com/advantages-of-financial-statements/</w:t>
        </w:r>
      </w:hyperlink>
      <w:r w:rsidRPr="007F28EA">
        <w:rPr>
          <w:rFonts w:ascii="Times New Roman" w:hAnsi="Times New Roman" w:cs="Times New Roman"/>
          <w:sz w:val="24"/>
          <w:szCs w:val="24"/>
        </w:rPr>
        <w:t>, [Accessed on: 22-08-2020]</w:t>
      </w:r>
    </w:p>
    <w:sectPr w:rsidR="0098382B" w:rsidRPr="007F28EA" w:rsidSect="00511D84">
      <w:footerReference w:type="default" r:id="rId6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B4A93" w:rsidRDefault="001B4A93" w:rsidP="006842E4">
      <w:pPr>
        <w:spacing w:after="0" w:line="240" w:lineRule="auto"/>
      </w:pPr>
      <w:r>
        <w:separator/>
      </w:r>
    </w:p>
  </w:endnote>
  <w:endnote w:type="continuationSeparator" w:id="0">
    <w:p w:rsidR="001B4A93" w:rsidRDefault="001B4A93" w:rsidP="00684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7088256"/>
      <w:docPartObj>
        <w:docPartGallery w:val="Page Numbers (Bottom of Page)"/>
        <w:docPartUnique/>
      </w:docPartObj>
    </w:sdtPr>
    <w:sdtContent>
      <w:p w:rsidR="001B556C" w:rsidRDefault="001B556C">
        <w:pPr>
          <w:pStyle w:val="Footer"/>
          <w:jc w:val="center"/>
        </w:pPr>
        <w:r>
          <w:fldChar w:fldCharType="begin"/>
        </w:r>
        <w:r>
          <w:instrText xml:space="preserve"> PAGE   \* MERGEFORMAT </w:instrText>
        </w:r>
        <w:r>
          <w:fldChar w:fldCharType="separate"/>
        </w:r>
        <w:r w:rsidR="00815E11">
          <w:rPr>
            <w:noProof/>
          </w:rPr>
          <w:t>22</w:t>
        </w:r>
        <w:r>
          <w:rPr>
            <w:noProof/>
          </w:rPr>
          <w:fldChar w:fldCharType="end"/>
        </w:r>
      </w:p>
    </w:sdtContent>
  </w:sdt>
  <w:p w:rsidR="001B556C" w:rsidRDefault="001B556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B4A93" w:rsidRDefault="001B4A93" w:rsidP="006842E4">
      <w:pPr>
        <w:spacing w:after="0" w:line="240" w:lineRule="auto"/>
      </w:pPr>
      <w:r>
        <w:separator/>
      </w:r>
    </w:p>
  </w:footnote>
  <w:footnote w:type="continuationSeparator" w:id="0">
    <w:p w:rsidR="001B4A93" w:rsidRDefault="001B4A93" w:rsidP="006842E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9F7A91"/>
    <w:multiLevelType w:val="hybridMultilevel"/>
    <w:tmpl w:val="D840CD1C"/>
    <w:lvl w:ilvl="0" w:tplc="2AE62E48">
      <w:start w:val="1"/>
      <w:numFmt w:val="low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
    <w:nsid w:val="0DA816E2"/>
    <w:multiLevelType w:val="hybridMultilevel"/>
    <w:tmpl w:val="1C624ECC"/>
    <w:lvl w:ilvl="0" w:tplc="04090001">
      <w:start w:val="1"/>
      <w:numFmt w:val="bullet"/>
      <w:lvlText w:val=""/>
      <w:lvlJc w:val="left"/>
      <w:pPr>
        <w:ind w:left="4305" w:hanging="360"/>
      </w:pPr>
      <w:rPr>
        <w:rFonts w:ascii="Symbol" w:hAnsi="Symbol" w:hint="default"/>
      </w:rPr>
    </w:lvl>
    <w:lvl w:ilvl="1" w:tplc="04090003" w:tentative="1">
      <w:start w:val="1"/>
      <w:numFmt w:val="bullet"/>
      <w:lvlText w:val="o"/>
      <w:lvlJc w:val="left"/>
      <w:pPr>
        <w:ind w:left="5025" w:hanging="360"/>
      </w:pPr>
      <w:rPr>
        <w:rFonts w:ascii="Courier New" w:hAnsi="Courier New" w:cs="Courier New" w:hint="default"/>
      </w:rPr>
    </w:lvl>
    <w:lvl w:ilvl="2" w:tplc="04090005" w:tentative="1">
      <w:start w:val="1"/>
      <w:numFmt w:val="bullet"/>
      <w:lvlText w:val=""/>
      <w:lvlJc w:val="left"/>
      <w:pPr>
        <w:ind w:left="5745" w:hanging="360"/>
      </w:pPr>
      <w:rPr>
        <w:rFonts w:ascii="Wingdings" w:hAnsi="Wingdings" w:hint="default"/>
      </w:rPr>
    </w:lvl>
    <w:lvl w:ilvl="3" w:tplc="04090001" w:tentative="1">
      <w:start w:val="1"/>
      <w:numFmt w:val="bullet"/>
      <w:lvlText w:val=""/>
      <w:lvlJc w:val="left"/>
      <w:pPr>
        <w:ind w:left="6465" w:hanging="360"/>
      </w:pPr>
      <w:rPr>
        <w:rFonts w:ascii="Symbol" w:hAnsi="Symbol" w:hint="default"/>
      </w:rPr>
    </w:lvl>
    <w:lvl w:ilvl="4" w:tplc="04090003" w:tentative="1">
      <w:start w:val="1"/>
      <w:numFmt w:val="bullet"/>
      <w:lvlText w:val="o"/>
      <w:lvlJc w:val="left"/>
      <w:pPr>
        <w:ind w:left="7185" w:hanging="360"/>
      </w:pPr>
      <w:rPr>
        <w:rFonts w:ascii="Courier New" w:hAnsi="Courier New" w:cs="Courier New" w:hint="default"/>
      </w:rPr>
    </w:lvl>
    <w:lvl w:ilvl="5" w:tplc="04090005" w:tentative="1">
      <w:start w:val="1"/>
      <w:numFmt w:val="bullet"/>
      <w:lvlText w:val=""/>
      <w:lvlJc w:val="left"/>
      <w:pPr>
        <w:ind w:left="7905" w:hanging="360"/>
      </w:pPr>
      <w:rPr>
        <w:rFonts w:ascii="Wingdings" w:hAnsi="Wingdings" w:hint="default"/>
      </w:rPr>
    </w:lvl>
    <w:lvl w:ilvl="6" w:tplc="04090001" w:tentative="1">
      <w:start w:val="1"/>
      <w:numFmt w:val="bullet"/>
      <w:lvlText w:val=""/>
      <w:lvlJc w:val="left"/>
      <w:pPr>
        <w:ind w:left="8625" w:hanging="360"/>
      </w:pPr>
      <w:rPr>
        <w:rFonts w:ascii="Symbol" w:hAnsi="Symbol" w:hint="default"/>
      </w:rPr>
    </w:lvl>
    <w:lvl w:ilvl="7" w:tplc="04090003" w:tentative="1">
      <w:start w:val="1"/>
      <w:numFmt w:val="bullet"/>
      <w:lvlText w:val="o"/>
      <w:lvlJc w:val="left"/>
      <w:pPr>
        <w:ind w:left="9345" w:hanging="360"/>
      </w:pPr>
      <w:rPr>
        <w:rFonts w:ascii="Courier New" w:hAnsi="Courier New" w:cs="Courier New" w:hint="default"/>
      </w:rPr>
    </w:lvl>
    <w:lvl w:ilvl="8" w:tplc="04090005" w:tentative="1">
      <w:start w:val="1"/>
      <w:numFmt w:val="bullet"/>
      <w:lvlText w:val=""/>
      <w:lvlJc w:val="left"/>
      <w:pPr>
        <w:ind w:left="10065" w:hanging="360"/>
      </w:pPr>
      <w:rPr>
        <w:rFonts w:ascii="Wingdings" w:hAnsi="Wingdings" w:hint="default"/>
      </w:rPr>
    </w:lvl>
  </w:abstractNum>
  <w:abstractNum w:abstractNumId="2">
    <w:nsid w:val="0F0A342F"/>
    <w:multiLevelType w:val="hybridMultilevel"/>
    <w:tmpl w:val="FB2C8B2C"/>
    <w:lvl w:ilvl="0" w:tplc="274E382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9DE10E1"/>
    <w:multiLevelType w:val="hybridMultilevel"/>
    <w:tmpl w:val="74D0B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4657A36"/>
    <w:multiLevelType w:val="hybridMultilevel"/>
    <w:tmpl w:val="5DEEC8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8CC50E6"/>
    <w:multiLevelType w:val="hybridMultilevel"/>
    <w:tmpl w:val="B6044FF0"/>
    <w:lvl w:ilvl="0" w:tplc="04090001">
      <w:start w:val="1"/>
      <w:numFmt w:val="bullet"/>
      <w:lvlText w:val=""/>
      <w:lvlJc w:val="left"/>
      <w:pPr>
        <w:ind w:left="3585" w:hanging="360"/>
      </w:pPr>
      <w:rPr>
        <w:rFonts w:ascii="Symbol" w:hAnsi="Symbol" w:hint="default"/>
      </w:rPr>
    </w:lvl>
    <w:lvl w:ilvl="1" w:tplc="04090003" w:tentative="1">
      <w:start w:val="1"/>
      <w:numFmt w:val="bullet"/>
      <w:lvlText w:val="o"/>
      <w:lvlJc w:val="left"/>
      <w:pPr>
        <w:ind w:left="4305" w:hanging="360"/>
      </w:pPr>
      <w:rPr>
        <w:rFonts w:ascii="Courier New" w:hAnsi="Courier New" w:cs="Courier New" w:hint="default"/>
      </w:rPr>
    </w:lvl>
    <w:lvl w:ilvl="2" w:tplc="04090005" w:tentative="1">
      <w:start w:val="1"/>
      <w:numFmt w:val="bullet"/>
      <w:lvlText w:val=""/>
      <w:lvlJc w:val="left"/>
      <w:pPr>
        <w:ind w:left="5025" w:hanging="360"/>
      </w:pPr>
      <w:rPr>
        <w:rFonts w:ascii="Wingdings" w:hAnsi="Wingdings" w:hint="default"/>
      </w:rPr>
    </w:lvl>
    <w:lvl w:ilvl="3" w:tplc="04090001" w:tentative="1">
      <w:start w:val="1"/>
      <w:numFmt w:val="bullet"/>
      <w:lvlText w:val=""/>
      <w:lvlJc w:val="left"/>
      <w:pPr>
        <w:ind w:left="5745" w:hanging="360"/>
      </w:pPr>
      <w:rPr>
        <w:rFonts w:ascii="Symbol" w:hAnsi="Symbol" w:hint="default"/>
      </w:rPr>
    </w:lvl>
    <w:lvl w:ilvl="4" w:tplc="04090003" w:tentative="1">
      <w:start w:val="1"/>
      <w:numFmt w:val="bullet"/>
      <w:lvlText w:val="o"/>
      <w:lvlJc w:val="left"/>
      <w:pPr>
        <w:ind w:left="6465" w:hanging="360"/>
      </w:pPr>
      <w:rPr>
        <w:rFonts w:ascii="Courier New" w:hAnsi="Courier New" w:cs="Courier New" w:hint="default"/>
      </w:rPr>
    </w:lvl>
    <w:lvl w:ilvl="5" w:tplc="04090005" w:tentative="1">
      <w:start w:val="1"/>
      <w:numFmt w:val="bullet"/>
      <w:lvlText w:val=""/>
      <w:lvlJc w:val="left"/>
      <w:pPr>
        <w:ind w:left="7185" w:hanging="360"/>
      </w:pPr>
      <w:rPr>
        <w:rFonts w:ascii="Wingdings" w:hAnsi="Wingdings" w:hint="default"/>
      </w:rPr>
    </w:lvl>
    <w:lvl w:ilvl="6" w:tplc="04090001" w:tentative="1">
      <w:start w:val="1"/>
      <w:numFmt w:val="bullet"/>
      <w:lvlText w:val=""/>
      <w:lvlJc w:val="left"/>
      <w:pPr>
        <w:ind w:left="7905" w:hanging="360"/>
      </w:pPr>
      <w:rPr>
        <w:rFonts w:ascii="Symbol" w:hAnsi="Symbol" w:hint="default"/>
      </w:rPr>
    </w:lvl>
    <w:lvl w:ilvl="7" w:tplc="04090003" w:tentative="1">
      <w:start w:val="1"/>
      <w:numFmt w:val="bullet"/>
      <w:lvlText w:val="o"/>
      <w:lvlJc w:val="left"/>
      <w:pPr>
        <w:ind w:left="8625" w:hanging="360"/>
      </w:pPr>
      <w:rPr>
        <w:rFonts w:ascii="Courier New" w:hAnsi="Courier New" w:cs="Courier New" w:hint="default"/>
      </w:rPr>
    </w:lvl>
    <w:lvl w:ilvl="8" w:tplc="04090005" w:tentative="1">
      <w:start w:val="1"/>
      <w:numFmt w:val="bullet"/>
      <w:lvlText w:val=""/>
      <w:lvlJc w:val="left"/>
      <w:pPr>
        <w:ind w:left="9345" w:hanging="360"/>
      </w:pPr>
      <w:rPr>
        <w:rFonts w:ascii="Wingdings" w:hAnsi="Wingdings" w:hint="default"/>
      </w:rPr>
    </w:lvl>
  </w:abstractNum>
  <w:abstractNum w:abstractNumId="6">
    <w:nsid w:val="37CD6F03"/>
    <w:multiLevelType w:val="hybridMultilevel"/>
    <w:tmpl w:val="B770C80E"/>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BB01C45"/>
    <w:multiLevelType w:val="hybridMultilevel"/>
    <w:tmpl w:val="85989742"/>
    <w:lvl w:ilvl="0" w:tplc="04090001">
      <w:start w:val="1"/>
      <w:numFmt w:val="bullet"/>
      <w:lvlText w:val=""/>
      <w:lvlJc w:val="left"/>
      <w:pPr>
        <w:ind w:left="3585" w:hanging="360"/>
      </w:pPr>
      <w:rPr>
        <w:rFonts w:ascii="Symbol" w:hAnsi="Symbol" w:hint="default"/>
      </w:rPr>
    </w:lvl>
    <w:lvl w:ilvl="1" w:tplc="04090003" w:tentative="1">
      <w:start w:val="1"/>
      <w:numFmt w:val="bullet"/>
      <w:lvlText w:val="o"/>
      <w:lvlJc w:val="left"/>
      <w:pPr>
        <w:ind w:left="4305" w:hanging="360"/>
      </w:pPr>
      <w:rPr>
        <w:rFonts w:ascii="Courier New" w:hAnsi="Courier New" w:cs="Courier New" w:hint="default"/>
      </w:rPr>
    </w:lvl>
    <w:lvl w:ilvl="2" w:tplc="04090005" w:tentative="1">
      <w:start w:val="1"/>
      <w:numFmt w:val="bullet"/>
      <w:lvlText w:val=""/>
      <w:lvlJc w:val="left"/>
      <w:pPr>
        <w:ind w:left="5025" w:hanging="360"/>
      </w:pPr>
      <w:rPr>
        <w:rFonts w:ascii="Wingdings" w:hAnsi="Wingdings" w:hint="default"/>
      </w:rPr>
    </w:lvl>
    <w:lvl w:ilvl="3" w:tplc="04090001" w:tentative="1">
      <w:start w:val="1"/>
      <w:numFmt w:val="bullet"/>
      <w:lvlText w:val=""/>
      <w:lvlJc w:val="left"/>
      <w:pPr>
        <w:ind w:left="5745" w:hanging="360"/>
      </w:pPr>
      <w:rPr>
        <w:rFonts w:ascii="Symbol" w:hAnsi="Symbol" w:hint="default"/>
      </w:rPr>
    </w:lvl>
    <w:lvl w:ilvl="4" w:tplc="04090003" w:tentative="1">
      <w:start w:val="1"/>
      <w:numFmt w:val="bullet"/>
      <w:lvlText w:val="o"/>
      <w:lvlJc w:val="left"/>
      <w:pPr>
        <w:ind w:left="6465" w:hanging="360"/>
      </w:pPr>
      <w:rPr>
        <w:rFonts w:ascii="Courier New" w:hAnsi="Courier New" w:cs="Courier New" w:hint="default"/>
      </w:rPr>
    </w:lvl>
    <w:lvl w:ilvl="5" w:tplc="04090005" w:tentative="1">
      <w:start w:val="1"/>
      <w:numFmt w:val="bullet"/>
      <w:lvlText w:val=""/>
      <w:lvlJc w:val="left"/>
      <w:pPr>
        <w:ind w:left="7185" w:hanging="360"/>
      </w:pPr>
      <w:rPr>
        <w:rFonts w:ascii="Wingdings" w:hAnsi="Wingdings" w:hint="default"/>
      </w:rPr>
    </w:lvl>
    <w:lvl w:ilvl="6" w:tplc="04090001" w:tentative="1">
      <w:start w:val="1"/>
      <w:numFmt w:val="bullet"/>
      <w:lvlText w:val=""/>
      <w:lvlJc w:val="left"/>
      <w:pPr>
        <w:ind w:left="7905" w:hanging="360"/>
      </w:pPr>
      <w:rPr>
        <w:rFonts w:ascii="Symbol" w:hAnsi="Symbol" w:hint="default"/>
      </w:rPr>
    </w:lvl>
    <w:lvl w:ilvl="7" w:tplc="04090003" w:tentative="1">
      <w:start w:val="1"/>
      <w:numFmt w:val="bullet"/>
      <w:lvlText w:val="o"/>
      <w:lvlJc w:val="left"/>
      <w:pPr>
        <w:ind w:left="8625" w:hanging="360"/>
      </w:pPr>
      <w:rPr>
        <w:rFonts w:ascii="Courier New" w:hAnsi="Courier New" w:cs="Courier New" w:hint="default"/>
      </w:rPr>
    </w:lvl>
    <w:lvl w:ilvl="8" w:tplc="04090005" w:tentative="1">
      <w:start w:val="1"/>
      <w:numFmt w:val="bullet"/>
      <w:lvlText w:val=""/>
      <w:lvlJc w:val="left"/>
      <w:pPr>
        <w:ind w:left="9345" w:hanging="360"/>
      </w:pPr>
      <w:rPr>
        <w:rFonts w:ascii="Wingdings" w:hAnsi="Wingdings" w:hint="default"/>
      </w:rPr>
    </w:lvl>
  </w:abstractNum>
  <w:abstractNum w:abstractNumId="8">
    <w:nsid w:val="3C567825"/>
    <w:multiLevelType w:val="hybridMultilevel"/>
    <w:tmpl w:val="06D6BB2C"/>
    <w:lvl w:ilvl="0" w:tplc="04090001">
      <w:start w:val="1"/>
      <w:numFmt w:val="bullet"/>
      <w:lvlText w:val=""/>
      <w:lvlJc w:val="left"/>
      <w:pPr>
        <w:ind w:left="3585" w:hanging="360"/>
      </w:pPr>
      <w:rPr>
        <w:rFonts w:ascii="Symbol" w:hAnsi="Symbol" w:hint="default"/>
      </w:rPr>
    </w:lvl>
    <w:lvl w:ilvl="1" w:tplc="04090003" w:tentative="1">
      <w:start w:val="1"/>
      <w:numFmt w:val="bullet"/>
      <w:lvlText w:val="o"/>
      <w:lvlJc w:val="left"/>
      <w:pPr>
        <w:ind w:left="4305" w:hanging="360"/>
      </w:pPr>
      <w:rPr>
        <w:rFonts w:ascii="Courier New" w:hAnsi="Courier New" w:cs="Courier New" w:hint="default"/>
      </w:rPr>
    </w:lvl>
    <w:lvl w:ilvl="2" w:tplc="04090005" w:tentative="1">
      <w:start w:val="1"/>
      <w:numFmt w:val="bullet"/>
      <w:lvlText w:val=""/>
      <w:lvlJc w:val="left"/>
      <w:pPr>
        <w:ind w:left="5025" w:hanging="360"/>
      </w:pPr>
      <w:rPr>
        <w:rFonts w:ascii="Wingdings" w:hAnsi="Wingdings" w:hint="default"/>
      </w:rPr>
    </w:lvl>
    <w:lvl w:ilvl="3" w:tplc="04090001" w:tentative="1">
      <w:start w:val="1"/>
      <w:numFmt w:val="bullet"/>
      <w:lvlText w:val=""/>
      <w:lvlJc w:val="left"/>
      <w:pPr>
        <w:ind w:left="5745" w:hanging="360"/>
      </w:pPr>
      <w:rPr>
        <w:rFonts w:ascii="Symbol" w:hAnsi="Symbol" w:hint="default"/>
      </w:rPr>
    </w:lvl>
    <w:lvl w:ilvl="4" w:tplc="04090003" w:tentative="1">
      <w:start w:val="1"/>
      <w:numFmt w:val="bullet"/>
      <w:lvlText w:val="o"/>
      <w:lvlJc w:val="left"/>
      <w:pPr>
        <w:ind w:left="6465" w:hanging="360"/>
      </w:pPr>
      <w:rPr>
        <w:rFonts w:ascii="Courier New" w:hAnsi="Courier New" w:cs="Courier New" w:hint="default"/>
      </w:rPr>
    </w:lvl>
    <w:lvl w:ilvl="5" w:tplc="04090005" w:tentative="1">
      <w:start w:val="1"/>
      <w:numFmt w:val="bullet"/>
      <w:lvlText w:val=""/>
      <w:lvlJc w:val="left"/>
      <w:pPr>
        <w:ind w:left="7185" w:hanging="360"/>
      </w:pPr>
      <w:rPr>
        <w:rFonts w:ascii="Wingdings" w:hAnsi="Wingdings" w:hint="default"/>
      </w:rPr>
    </w:lvl>
    <w:lvl w:ilvl="6" w:tplc="04090001" w:tentative="1">
      <w:start w:val="1"/>
      <w:numFmt w:val="bullet"/>
      <w:lvlText w:val=""/>
      <w:lvlJc w:val="left"/>
      <w:pPr>
        <w:ind w:left="7905" w:hanging="360"/>
      </w:pPr>
      <w:rPr>
        <w:rFonts w:ascii="Symbol" w:hAnsi="Symbol" w:hint="default"/>
      </w:rPr>
    </w:lvl>
    <w:lvl w:ilvl="7" w:tplc="04090003" w:tentative="1">
      <w:start w:val="1"/>
      <w:numFmt w:val="bullet"/>
      <w:lvlText w:val="o"/>
      <w:lvlJc w:val="left"/>
      <w:pPr>
        <w:ind w:left="8625" w:hanging="360"/>
      </w:pPr>
      <w:rPr>
        <w:rFonts w:ascii="Courier New" w:hAnsi="Courier New" w:cs="Courier New" w:hint="default"/>
      </w:rPr>
    </w:lvl>
    <w:lvl w:ilvl="8" w:tplc="04090005" w:tentative="1">
      <w:start w:val="1"/>
      <w:numFmt w:val="bullet"/>
      <w:lvlText w:val=""/>
      <w:lvlJc w:val="left"/>
      <w:pPr>
        <w:ind w:left="9345" w:hanging="360"/>
      </w:pPr>
      <w:rPr>
        <w:rFonts w:ascii="Wingdings" w:hAnsi="Wingdings" w:hint="default"/>
      </w:rPr>
    </w:lvl>
  </w:abstractNum>
  <w:abstractNum w:abstractNumId="9">
    <w:nsid w:val="3C651C7D"/>
    <w:multiLevelType w:val="hybridMultilevel"/>
    <w:tmpl w:val="75329856"/>
    <w:lvl w:ilvl="0" w:tplc="035AF054">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nsid w:val="493360D8"/>
    <w:multiLevelType w:val="hybridMultilevel"/>
    <w:tmpl w:val="22A21D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9D35ABE"/>
    <w:multiLevelType w:val="hybridMultilevel"/>
    <w:tmpl w:val="B5A615CE"/>
    <w:lvl w:ilvl="0" w:tplc="CE5AF34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F8A37AB"/>
    <w:multiLevelType w:val="hybridMultilevel"/>
    <w:tmpl w:val="C8F60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52375C7C"/>
    <w:multiLevelType w:val="hybridMultilevel"/>
    <w:tmpl w:val="73B8BC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5FB45045"/>
    <w:multiLevelType w:val="hybridMultilevel"/>
    <w:tmpl w:val="D9EA9BBC"/>
    <w:lvl w:ilvl="0" w:tplc="6E20510E">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nsid w:val="64D9244E"/>
    <w:multiLevelType w:val="hybridMultilevel"/>
    <w:tmpl w:val="7B16A0A6"/>
    <w:lvl w:ilvl="0" w:tplc="0B4A63BC">
      <w:start w:val="1"/>
      <w:numFmt w:val="lowerLetter"/>
      <w:lvlText w:val="%1."/>
      <w:lvlJc w:val="left"/>
      <w:pPr>
        <w:ind w:left="1800" w:hanging="360"/>
      </w:pPr>
      <w:rPr>
        <w:rFonts w:hint="default"/>
      </w:rPr>
    </w:lvl>
    <w:lvl w:ilvl="1" w:tplc="04090019" w:tentative="1">
      <w:start w:val="1"/>
      <w:numFmt w:val="lowerLetter"/>
      <w:lvlText w:val="%2."/>
      <w:lvlJc w:val="left"/>
      <w:pPr>
        <w:ind w:left="2520" w:hanging="360"/>
      </w:pPr>
    </w:lvl>
    <w:lvl w:ilvl="2" w:tplc="0409001B" w:tentative="1">
      <w:start w:val="1"/>
      <w:numFmt w:val="lowerRoman"/>
      <w:lvlText w:val="%3."/>
      <w:lvlJc w:val="right"/>
      <w:pPr>
        <w:ind w:left="3240" w:hanging="180"/>
      </w:pPr>
    </w:lvl>
    <w:lvl w:ilvl="3" w:tplc="0409000F" w:tentative="1">
      <w:start w:val="1"/>
      <w:numFmt w:val="decimal"/>
      <w:lvlText w:val="%4."/>
      <w:lvlJc w:val="left"/>
      <w:pPr>
        <w:ind w:left="3960" w:hanging="360"/>
      </w:pPr>
    </w:lvl>
    <w:lvl w:ilvl="4" w:tplc="04090019" w:tentative="1">
      <w:start w:val="1"/>
      <w:numFmt w:val="lowerLetter"/>
      <w:lvlText w:val="%5."/>
      <w:lvlJc w:val="left"/>
      <w:pPr>
        <w:ind w:left="4680" w:hanging="360"/>
      </w:pPr>
    </w:lvl>
    <w:lvl w:ilvl="5" w:tplc="0409001B" w:tentative="1">
      <w:start w:val="1"/>
      <w:numFmt w:val="lowerRoman"/>
      <w:lvlText w:val="%6."/>
      <w:lvlJc w:val="right"/>
      <w:pPr>
        <w:ind w:left="5400" w:hanging="180"/>
      </w:pPr>
    </w:lvl>
    <w:lvl w:ilvl="6" w:tplc="0409000F" w:tentative="1">
      <w:start w:val="1"/>
      <w:numFmt w:val="decimal"/>
      <w:lvlText w:val="%7."/>
      <w:lvlJc w:val="left"/>
      <w:pPr>
        <w:ind w:left="6120" w:hanging="360"/>
      </w:pPr>
    </w:lvl>
    <w:lvl w:ilvl="7" w:tplc="04090019" w:tentative="1">
      <w:start w:val="1"/>
      <w:numFmt w:val="lowerLetter"/>
      <w:lvlText w:val="%8."/>
      <w:lvlJc w:val="left"/>
      <w:pPr>
        <w:ind w:left="6840" w:hanging="360"/>
      </w:pPr>
    </w:lvl>
    <w:lvl w:ilvl="8" w:tplc="0409001B" w:tentative="1">
      <w:start w:val="1"/>
      <w:numFmt w:val="lowerRoman"/>
      <w:lvlText w:val="%9."/>
      <w:lvlJc w:val="right"/>
      <w:pPr>
        <w:ind w:left="7560" w:hanging="180"/>
      </w:pPr>
    </w:lvl>
  </w:abstractNum>
  <w:abstractNum w:abstractNumId="16">
    <w:nsid w:val="7FD271BE"/>
    <w:multiLevelType w:val="hybridMultilevel"/>
    <w:tmpl w:val="05C26706"/>
    <w:lvl w:ilvl="0" w:tplc="4120F46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9"/>
  </w:num>
  <w:num w:numId="3">
    <w:abstractNumId w:val="11"/>
  </w:num>
  <w:num w:numId="4">
    <w:abstractNumId w:val="14"/>
  </w:num>
  <w:num w:numId="5">
    <w:abstractNumId w:val="0"/>
  </w:num>
  <w:num w:numId="6">
    <w:abstractNumId w:val="15"/>
  </w:num>
  <w:num w:numId="7">
    <w:abstractNumId w:val="16"/>
  </w:num>
  <w:num w:numId="8">
    <w:abstractNumId w:val="2"/>
  </w:num>
  <w:num w:numId="9">
    <w:abstractNumId w:val="8"/>
  </w:num>
  <w:num w:numId="10">
    <w:abstractNumId w:val="7"/>
  </w:num>
  <w:num w:numId="11">
    <w:abstractNumId w:val="1"/>
  </w:num>
  <w:num w:numId="12">
    <w:abstractNumId w:val="12"/>
  </w:num>
  <w:num w:numId="13">
    <w:abstractNumId w:val="10"/>
  </w:num>
  <w:num w:numId="14">
    <w:abstractNumId w:val="13"/>
  </w:num>
  <w:num w:numId="15">
    <w:abstractNumId w:val="4"/>
  </w:num>
  <w:num w:numId="16">
    <w:abstractNumId w:val="5"/>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8F58F2"/>
    <w:rsid w:val="00015FC8"/>
    <w:rsid w:val="00027ED9"/>
    <w:rsid w:val="00040071"/>
    <w:rsid w:val="00050A8F"/>
    <w:rsid w:val="0005123E"/>
    <w:rsid w:val="00057FEE"/>
    <w:rsid w:val="00081452"/>
    <w:rsid w:val="00083E58"/>
    <w:rsid w:val="000A2C64"/>
    <w:rsid w:val="000A731E"/>
    <w:rsid w:val="000C2D61"/>
    <w:rsid w:val="000C5EDF"/>
    <w:rsid w:val="000D777B"/>
    <w:rsid w:val="000D7E7D"/>
    <w:rsid w:val="000E382C"/>
    <w:rsid w:val="00111F20"/>
    <w:rsid w:val="0011217B"/>
    <w:rsid w:val="001125BF"/>
    <w:rsid w:val="00120FC6"/>
    <w:rsid w:val="001227BA"/>
    <w:rsid w:val="0012449E"/>
    <w:rsid w:val="00132FCB"/>
    <w:rsid w:val="00136BF0"/>
    <w:rsid w:val="00140570"/>
    <w:rsid w:val="00145B1A"/>
    <w:rsid w:val="00150A9A"/>
    <w:rsid w:val="00155C7C"/>
    <w:rsid w:val="00156E0D"/>
    <w:rsid w:val="001701E2"/>
    <w:rsid w:val="0017452C"/>
    <w:rsid w:val="001749D4"/>
    <w:rsid w:val="001814AD"/>
    <w:rsid w:val="00181A17"/>
    <w:rsid w:val="0019380D"/>
    <w:rsid w:val="001B4A93"/>
    <w:rsid w:val="001B556C"/>
    <w:rsid w:val="001C3E70"/>
    <w:rsid w:val="001D46CB"/>
    <w:rsid w:val="00207B60"/>
    <w:rsid w:val="00227E55"/>
    <w:rsid w:val="0023767A"/>
    <w:rsid w:val="0026150D"/>
    <w:rsid w:val="002617C8"/>
    <w:rsid w:val="00264E76"/>
    <w:rsid w:val="00265E94"/>
    <w:rsid w:val="002A4B65"/>
    <w:rsid w:val="002C4507"/>
    <w:rsid w:val="002C45CA"/>
    <w:rsid w:val="002F4946"/>
    <w:rsid w:val="003006CF"/>
    <w:rsid w:val="00302CBE"/>
    <w:rsid w:val="003107F8"/>
    <w:rsid w:val="003159DD"/>
    <w:rsid w:val="00315FB3"/>
    <w:rsid w:val="00316D6F"/>
    <w:rsid w:val="00320763"/>
    <w:rsid w:val="00331B4A"/>
    <w:rsid w:val="00337394"/>
    <w:rsid w:val="0034266E"/>
    <w:rsid w:val="00354BC2"/>
    <w:rsid w:val="00355875"/>
    <w:rsid w:val="003710E5"/>
    <w:rsid w:val="00392379"/>
    <w:rsid w:val="003978F1"/>
    <w:rsid w:val="003B1EDC"/>
    <w:rsid w:val="003B4490"/>
    <w:rsid w:val="003C375D"/>
    <w:rsid w:val="003D370B"/>
    <w:rsid w:val="003D44AA"/>
    <w:rsid w:val="003D5999"/>
    <w:rsid w:val="003D65BE"/>
    <w:rsid w:val="003E33D7"/>
    <w:rsid w:val="003F5F88"/>
    <w:rsid w:val="00413A91"/>
    <w:rsid w:val="00452F48"/>
    <w:rsid w:val="004628E9"/>
    <w:rsid w:val="00494FCC"/>
    <w:rsid w:val="004A09F3"/>
    <w:rsid w:val="004D1BAC"/>
    <w:rsid w:val="004E77CB"/>
    <w:rsid w:val="004F60E2"/>
    <w:rsid w:val="00505C2B"/>
    <w:rsid w:val="00511D84"/>
    <w:rsid w:val="00523C01"/>
    <w:rsid w:val="005256E9"/>
    <w:rsid w:val="005258AC"/>
    <w:rsid w:val="005325E9"/>
    <w:rsid w:val="00533115"/>
    <w:rsid w:val="00540F15"/>
    <w:rsid w:val="005435FA"/>
    <w:rsid w:val="00556A1A"/>
    <w:rsid w:val="005600C8"/>
    <w:rsid w:val="005A7415"/>
    <w:rsid w:val="005B2418"/>
    <w:rsid w:val="005C5B42"/>
    <w:rsid w:val="005D0A3A"/>
    <w:rsid w:val="005D3175"/>
    <w:rsid w:val="005D526A"/>
    <w:rsid w:val="005D76A3"/>
    <w:rsid w:val="005E6CB6"/>
    <w:rsid w:val="005E7FF2"/>
    <w:rsid w:val="005F3D49"/>
    <w:rsid w:val="005F5523"/>
    <w:rsid w:val="00604F09"/>
    <w:rsid w:val="00607394"/>
    <w:rsid w:val="00634F1C"/>
    <w:rsid w:val="006379E5"/>
    <w:rsid w:val="006512EA"/>
    <w:rsid w:val="00653082"/>
    <w:rsid w:val="006627D5"/>
    <w:rsid w:val="00663EC2"/>
    <w:rsid w:val="00665601"/>
    <w:rsid w:val="00683B34"/>
    <w:rsid w:val="006842E4"/>
    <w:rsid w:val="00684D36"/>
    <w:rsid w:val="00691826"/>
    <w:rsid w:val="006A1D59"/>
    <w:rsid w:val="006B1B38"/>
    <w:rsid w:val="006D4FCD"/>
    <w:rsid w:val="006E1CFB"/>
    <w:rsid w:val="006E2973"/>
    <w:rsid w:val="00746F30"/>
    <w:rsid w:val="007606E0"/>
    <w:rsid w:val="00761CC3"/>
    <w:rsid w:val="00764AB2"/>
    <w:rsid w:val="0076539A"/>
    <w:rsid w:val="0076669D"/>
    <w:rsid w:val="0077221F"/>
    <w:rsid w:val="00782222"/>
    <w:rsid w:val="00785520"/>
    <w:rsid w:val="00786B35"/>
    <w:rsid w:val="00796ABE"/>
    <w:rsid w:val="00797C3C"/>
    <w:rsid w:val="007A2142"/>
    <w:rsid w:val="007A57A7"/>
    <w:rsid w:val="007C3C11"/>
    <w:rsid w:val="007C3E07"/>
    <w:rsid w:val="007C4ECA"/>
    <w:rsid w:val="007F28EA"/>
    <w:rsid w:val="00801753"/>
    <w:rsid w:val="008071D1"/>
    <w:rsid w:val="00810702"/>
    <w:rsid w:val="00815E11"/>
    <w:rsid w:val="00845DAC"/>
    <w:rsid w:val="00846E6B"/>
    <w:rsid w:val="00852059"/>
    <w:rsid w:val="00853211"/>
    <w:rsid w:val="008560E1"/>
    <w:rsid w:val="00863B71"/>
    <w:rsid w:val="0086576E"/>
    <w:rsid w:val="008B6737"/>
    <w:rsid w:val="008C396D"/>
    <w:rsid w:val="008E195E"/>
    <w:rsid w:val="008F58F2"/>
    <w:rsid w:val="00942E1D"/>
    <w:rsid w:val="00946607"/>
    <w:rsid w:val="00946869"/>
    <w:rsid w:val="00966F4C"/>
    <w:rsid w:val="00971AAE"/>
    <w:rsid w:val="0098382B"/>
    <w:rsid w:val="0098746E"/>
    <w:rsid w:val="00996891"/>
    <w:rsid w:val="009A49B8"/>
    <w:rsid w:val="009B6496"/>
    <w:rsid w:val="009E71E1"/>
    <w:rsid w:val="009F2D10"/>
    <w:rsid w:val="00A02E2A"/>
    <w:rsid w:val="00A65535"/>
    <w:rsid w:val="00A84CE1"/>
    <w:rsid w:val="00AA3412"/>
    <w:rsid w:val="00AA5E4B"/>
    <w:rsid w:val="00AB00D2"/>
    <w:rsid w:val="00AC21FD"/>
    <w:rsid w:val="00AD6F14"/>
    <w:rsid w:val="00B05D2C"/>
    <w:rsid w:val="00B10016"/>
    <w:rsid w:val="00B23163"/>
    <w:rsid w:val="00B23F5C"/>
    <w:rsid w:val="00B35F99"/>
    <w:rsid w:val="00B51EAA"/>
    <w:rsid w:val="00B80733"/>
    <w:rsid w:val="00B85441"/>
    <w:rsid w:val="00B92DD0"/>
    <w:rsid w:val="00BA47D3"/>
    <w:rsid w:val="00BA696B"/>
    <w:rsid w:val="00BB71DC"/>
    <w:rsid w:val="00BD508C"/>
    <w:rsid w:val="00BD6A07"/>
    <w:rsid w:val="00BE164E"/>
    <w:rsid w:val="00BF4D36"/>
    <w:rsid w:val="00C22A3E"/>
    <w:rsid w:val="00C27058"/>
    <w:rsid w:val="00C45769"/>
    <w:rsid w:val="00C4627B"/>
    <w:rsid w:val="00C46638"/>
    <w:rsid w:val="00C46D8B"/>
    <w:rsid w:val="00C57914"/>
    <w:rsid w:val="00C65F9F"/>
    <w:rsid w:val="00C66D7C"/>
    <w:rsid w:val="00CA3165"/>
    <w:rsid w:val="00CB1476"/>
    <w:rsid w:val="00CC1364"/>
    <w:rsid w:val="00CC32FB"/>
    <w:rsid w:val="00CD1893"/>
    <w:rsid w:val="00CF09D8"/>
    <w:rsid w:val="00CF2056"/>
    <w:rsid w:val="00CF780C"/>
    <w:rsid w:val="00D25C54"/>
    <w:rsid w:val="00D26CC9"/>
    <w:rsid w:val="00D31408"/>
    <w:rsid w:val="00D32A92"/>
    <w:rsid w:val="00D33F94"/>
    <w:rsid w:val="00D44FC5"/>
    <w:rsid w:val="00D90B13"/>
    <w:rsid w:val="00D962D4"/>
    <w:rsid w:val="00DB5AAF"/>
    <w:rsid w:val="00DB7FA7"/>
    <w:rsid w:val="00DC25E0"/>
    <w:rsid w:val="00DD6098"/>
    <w:rsid w:val="00DF6353"/>
    <w:rsid w:val="00DF6EDB"/>
    <w:rsid w:val="00E15E4F"/>
    <w:rsid w:val="00E24DC3"/>
    <w:rsid w:val="00E36F7C"/>
    <w:rsid w:val="00E531E4"/>
    <w:rsid w:val="00E537F6"/>
    <w:rsid w:val="00E61559"/>
    <w:rsid w:val="00E81682"/>
    <w:rsid w:val="00E944ED"/>
    <w:rsid w:val="00EC25BC"/>
    <w:rsid w:val="00EC48C2"/>
    <w:rsid w:val="00EC642E"/>
    <w:rsid w:val="00F045BB"/>
    <w:rsid w:val="00F1465E"/>
    <w:rsid w:val="00F2186C"/>
    <w:rsid w:val="00F66060"/>
    <w:rsid w:val="00F778D6"/>
    <w:rsid w:val="00FC63A0"/>
    <w:rsid w:val="00FE20AB"/>
    <w:rsid w:val="00FE459F"/>
    <w:rsid w:val="00FE7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11D84"/>
  </w:style>
  <w:style w:type="paragraph" w:styleId="Heading1">
    <w:name w:val="heading 1"/>
    <w:basedOn w:val="Normal"/>
    <w:next w:val="Normal"/>
    <w:link w:val="Heading1Char"/>
    <w:uiPriority w:val="9"/>
    <w:qFormat/>
    <w:rsid w:val="0099689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16D6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689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2617C8"/>
    <w:pPr>
      <w:ind w:left="720"/>
      <w:contextualSpacing/>
    </w:pPr>
  </w:style>
  <w:style w:type="character" w:customStyle="1" w:styleId="Heading2Char">
    <w:name w:val="Heading 2 Char"/>
    <w:basedOn w:val="DefaultParagraphFont"/>
    <w:link w:val="Heading2"/>
    <w:uiPriority w:val="9"/>
    <w:rsid w:val="00316D6F"/>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16D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D6F"/>
    <w:rPr>
      <w:rFonts w:ascii="Tahoma" w:hAnsi="Tahoma" w:cs="Tahoma"/>
      <w:sz w:val="16"/>
      <w:szCs w:val="16"/>
    </w:rPr>
  </w:style>
  <w:style w:type="character" w:styleId="Hyperlink">
    <w:name w:val="Hyperlink"/>
    <w:basedOn w:val="DefaultParagraphFont"/>
    <w:uiPriority w:val="99"/>
    <w:unhideWhenUsed/>
    <w:rsid w:val="00BD6A07"/>
    <w:rPr>
      <w:color w:val="0000FF"/>
      <w:u w:val="single"/>
    </w:rPr>
  </w:style>
  <w:style w:type="paragraph" w:styleId="NormalWeb">
    <w:name w:val="Normal (Web)"/>
    <w:basedOn w:val="Normal"/>
    <w:uiPriority w:val="99"/>
    <w:semiHidden/>
    <w:unhideWhenUsed/>
    <w:rsid w:val="0011217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5F3D49"/>
    <w:pPr>
      <w:outlineLvl w:val="9"/>
    </w:pPr>
  </w:style>
  <w:style w:type="paragraph" w:styleId="TOC1">
    <w:name w:val="toc 1"/>
    <w:basedOn w:val="Normal"/>
    <w:next w:val="Normal"/>
    <w:autoRedefine/>
    <w:uiPriority w:val="39"/>
    <w:unhideWhenUsed/>
    <w:rsid w:val="005F3D49"/>
    <w:pPr>
      <w:spacing w:after="100"/>
    </w:pPr>
  </w:style>
  <w:style w:type="paragraph" w:styleId="TOC2">
    <w:name w:val="toc 2"/>
    <w:basedOn w:val="Normal"/>
    <w:next w:val="Normal"/>
    <w:autoRedefine/>
    <w:uiPriority w:val="39"/>
    <w:unhideWhenUsed/>
    <w:rsid w:val="005F3D49"/>
    <w:pPr>
      <w:spacing w:after="100"/>
      <w:ind w:left="220"/>
    </w:pPr>
  </w:style>
  <w:style w:type="paragraph" w:styleId="Header">
    <w:name w:val="header"/>
    <w:basedOn w:val="Normal"/>
    <w:link w:val="HeaderChar"/>
    <w:uiPriority w:val="99"/>
    <w:semiHidden/>
    <w:unhideWhenUsed/>
    <w:rsid w:val="006842E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842E4"/>
  </w:style>
  <w:style w:type="paragraph" w:styleId="Footer">
    <w:name w:val="footer"/>
    <w:basedOn w:val="Normal"/>
    <w:link w:val="FooterChar"/>
    <w:uiPriority w:val="99"/>
    <w:unhideWhenUsed/>
    <w:rsid w:val="006842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42E4"/>
  </w:style>
  <w:style w:type="paragraph" w:customStyle="1" w:styleId="Normal1">
    <w:name w:val="Normal1"/>
    <w:rsid w:val="00B51EAA"/>
    <w:pPr>
      <w:spacing w:after="0"/>
    </w:pPr>
    <w:rPr>
      <w:rFonts w:ascii="Arial" w:eastAsia="Times New Roman" w:hAnsi="Arial" w:cs="Arial"/>
      <w:lang w:bidi="b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05294">
      <w:bodyDiv w:val="1"/>
      <w:marLeft w:val="0"/>
      <w:marRight w:val="0"/>
      <w:marTop w:val="0"/>
      <w:marBottom w:val="0"/>
      <w:divBdr>
        <w:top w:val="none" w:sz="0" w:space="0" w:color="auto"/>
        <w:left w:val="none" w:sz="0" w:space="0" w:color="auto"/>
        <w:bottom w:val="none" w:sz="0" w:space="0" w:color="auto"/>
        <w:right w:val="none" w:sz="0" w:space="0" w:color="auto"/>
      </w:divBdr>
    </w:div>
    <w:div w:id="95254409">
      <w:bodyDiv w:val="1"/>
      <w:marLeft w:val="0"/>
      <w:marRight w:val="0"/>
      <w:marTop w:val="0"/>
      <w:marBottom w:val="0"/>
      <w:divBdr>
        <w:top w:val="none" w:sz="0" w:space="0" w:color="auto"/>
        <w:left w:val="none" w:sz="0" w:space="0" w:color="auto"/>
        <w:bottom w:val="none" w:sz="0" w:space="0" w:color="auto"/>
        <w:right w:val="none" w:sz="0" w:space="0" w:color="auto"/>
      </w:divBdr>
    </w:div>
    <w:div w:id="241794520">
      <w:bodyDiv w:val="1"/>
      <w:marLeft w:val="0"/>
      <w:marRight w:val="0"/>
      <w:marTop w:val="0"/>
      <w:marBottom w:val="0"/>
      <w:divBdr>
        <w:top w:val="none" w:sz="0" w:space="0" w:color="auto"/>
        <w:left w:val="none" w:sz="0" w:space="0" w:color="auto"/>
        <w:bottom w:val="none" w:sz="0" w:space="0" w:color="auto"/>
        <w:right w:val="none" w:sz="0" w:space="0" w:color="auto"/>
      </w:divBdr>
    </w:div>
    <w:div w:id="335544460">
      <w:bodyDiv w:val="1"/>
      <w:marLeft w:val="0"/>
      <w:marRight w:val="0"/>
      <w:marTop w:val="0"/>
      <w:marBottom w:val="0"/>
      <w:divBdr>
        <w:top w:val="none" w:sz="0" w:space="0" w:color="auto"/>
        <w:left w:val="none" w:sz="0" w:space="0" w:color="auto"/>
        <w:bottom w:val="none" w:sz="0" w:space="0" w:color="auto"/>
        <w:right w:val="none" w:sz="0" w:space="0" w:color="auto"/>
      </w:divBdr>
    </w:div>
    <w:div w:id="371686967">
      <w:bodyDiv w:val="1"/>
      <w:marLeft w:val="0"/>
      <w:marRight w:val="0"/>
      <w:marTop w:val="0"/>
      <w:marBottom w:val="0"/>
      <w:divBdr>
        <w:top w:val="none" w:sz="0" w:space="0" w:color="auto"/>
        <w:left w:val="none" w:sz="0" w:space="0" w:color="auto"/>
        <w:bottom w:val="none" w:sz="0" w:space="0" w:color="auto"/>
        <w:right w:val="none" w:sz="0" w:space="0" w:color="auto"/>
      </w:divBdr>
    </w:div>
    <w:div w:id="385298580">
      <w:bodyDiv w:val="1"/>
      <w:marLeft w:val="0"/>
      <w:marRight w:val="0"/>
      <w:marTop w:val="0"/>
      <w:marBottom w:val="0"/>
      <w:divBdr>
        <w:top w:val="none" w:sz="0" w:space="0" w:color="auto"/>
        <w:left w:val="none" w:sz="0" w:space="0" w:color="auto"/>
        <w:bottom w:val="none" w:sz="0" w:space="0" w:color="auto"/>
        <w:right w:val="none" w:sz="0" w:space="0" w:color="auto"/>
      </w:divBdr>
    </w:div>
    <w:div w:id="489760003">
      <w:bodyDiv w:val="1"/>
      <w:marLeft w:val="0"/>
      <w:marRight w:val="0"/>
      <w:marTop w:val="0"/>
      <w:marBottom w:val="0"/>
      <w:divBdr>
        <w:top w:val="none" w:sz="0" w:space="0" w:color="auto"/>
        <w:left w:val="none" w:sz="0" w:space="0" w:color="auto"/>
        <w:bottom w:val="none" w:sz="0" w:space="0" w:color="auto"/>
        <w:right w:val="none" w:sz="0" w:space="0" w:color="auto"/>
      </w:divBdr>
    </w:div>
    <w:div w:id="552272730">
      <w:bodyDiv w:val="1"/>
      <w:marLeft w:val="0"/>
      <w:marRight w:val="0"/>
      <w:marTop w:val="0"/>
      <w:marBottom w:val="0"/>
      <w:divBdr>
        <w:top w:val="none" w:sz="0" w:space="0" w:color="auto"/>
        <w:left w:val="none" w:sz="0" w:space="0" w:color="auto"/>
        <w:bottom w:val="none" w:sz="0" w:space="0" w:color="auto"/>
        <w:right w:val="none" w:sz="0" w:space="0" w:color="auto"/>
      </w:divBdr>
    </w:div>
    <w:div w:id="577398256">
      <w:bodyDiv w:val="1"/>
      <w:marLeft w:val="0"/>
      <w:marRight w:val="0"/>
      <w:marTop w:val="0"/>
      <w:marBottom w:val="0"/>
      <w:divBdr>
        <w:top w:val="none" w:sz="0" w:space="0" w:color="auto"/>
        <w:left w:val="none" w:sz="0" w:space="0" w:color="auto"/>
        <w:bottom w:val="none" w:sz="0" w:space="0" w:color="auto"/>
        <w:right w:val="none" w:sz="0" w:space="0" w:color="auto"/>
      </w:divBdr>
    </w:div>
    <w:div w:id="607809957">
      <w:bodyDiv w:val="1"/>
      <w:marLeft w:val="0"/>
      <w:marRight w:val="0"/>
      <w:marTop w:val="0"/>
      <w:marBottom w:val="0"/>
      <w:divBdr>
        <w:top w:val="none" w:sz="0" w:space="0" w:color="auto"/>
        <w:left w:val="none" w:sz="0" w:space="0" w:color="auto"/>
        <w:bottom w:val="none" w:sz="0" w:space="0" w:color="auto"/>
        <w:right w:val="none" w:sz="0" w:space="0" w:color="auto"/>
      </w:divBdr>
    </w:div>
    <w:div w:id="723260537">
      <w:bodyDiv w:val="1"/>
      <w:marLeft w:val="0"/>
      <w:marRight w:val="0"/>
      <w:marTop w:val="0"/>
      <w:marBottom w:val="0"/>
      <w:divBdr>
        <w:top w:val="none" w:sz="0" w:space="0" w:color="auto"/>
        <w:left w:val="none" w:sz="0" w:space="0" w:color="auto"/>
        <w:bottom w:val="none" w:sz="0" w:space="0" w:color="auto"/>
        <w:right w:val="none" w:sz="0" w:space="0" w:color="auto"/>
      </w:divBdr>
    </w:div>
    <w:div w:id="740566966">
      <w:bodyDiv w:val="1"/>
      <w:marLeft w:val="0"/>
      <w:marRight w:val="0"/>
      <w:marTop w:val="0"/>
      <w:marBottom w:val="0"/>
      <w:divBdr>
        <w:top w:val="none" w:sz="0" w:space="0" w:color="auto"/>
        <w:left w:val="none" w:sz="0" w:space="0" w:color="auto"/>
        <w:bottom w:val="none" w:sz="0" w:space="0" w:color="auto"/>
        <w:right w:val="none" w:sz="0" w:space="0" w:color="auto"/>
      </w:divBdr>
    </w:div>
    <w:div w:id="741756333">
      <w:bodyDiv w:val="1"/>
      <w:marLeft w:val="0"/>
      <w:marRight w:val="0"/>
      <w:marTop w:val="0"/>
      <w:marBottom w:val="0"/>
      <w:divBdr>
        <w:top w:val="none" w:sz="0" w:space="0" w:color="auto"/>
        <w:left w:val="none" w:sz="0" w:space="0" w:color="auto"/>
        <w:bottom w:val="none" w:sz="0" w:space="0" w:color="auto"/>
        <w:right w:val="none" w:sz="0" w:space="0" w:color="auto"/>
      </w:divBdr>
    </w:div>
    <w:div w:id="764572353">
      <w:bodyDiv w:val="1"/>
      <w:marLeft w:val="0"/>
      <w:marRight w:val="0"/>
      <w:marTop w:val="0"/>
      <w:marBottom w:val="0"/>
      <w:divBdr>
        <w:top w:val="none" w:sz="0" w:space="0" w:color="auto"/>
        <w:left w:val="none" w:sz="0" w:space="0" w:color="auto"/>
        <w:bottom w:val="none" w:sz="0" w:space="0" w:color="auto"/>
        <w:right w:val="none" w:sz="0" w:space="0" w:color="auto"/>
      </w:divBdr>
    </w:div>
    <w:div w:id="773015813">
      <w:bodyDiv w:val="1"/>
      <w:marLeft w:val="0"/>
      <w:marRight w:val="0"/>
      <w:marTop w:val="0"/>
      <w:marBottom w:val="0"/>
      <w:divBdr>
        <w:top w:val="none" w:sz="0" w:space="0" w:color="auto"/>
        <w:left w:val="none" w:sz="0" w:space="0" w:color="auto"/>
        <w:bottom w:val="none" w:sz="0" w:space="0" w:color="auto"/>
        <w:right w:val="none" w:sz="0" w:space="0" w:color="auto"/>
      </w:divBdr>
    </w:div>
    <w:div w:id="843283747">
      <w:bodyDiv w:val="1"/>
      <w:marLeft w:val="0"/>
      <w:marRight w:val="0"/>
      <w:marTop w:val="0"/>
      <w:marBottom w:val="0"/>
      <w:divBdr>
        <w:top w:val="none" w:sz="0" w:space="0" w:color="auto"/>
        <w:left w:val="none" w:sz="0" w:space="0" w:color="auto"/>
        <w:bottom w:val="none" w:sz="0" w:space="0" w:color="auto"/>
        <w:right w:val="none" w:sz="0" w:space="0" w:color="auto"/>
      </w:divBdr>
    </w:div>
    <w:div w:id="893151965">
      <w:bodyDiv w:val="1"/>
      <w:marLeft w:val="0"/>
      <w:marRight w:val="0"/>
      <w:marTop w:val="0"/>
      <w:marBottom w:val="0"/>
      <w:divBdr>
        <w:top w:val="none" w:sz="0" w:space="0" w:color="auto"/>
        <w:left w:val="none" w:sz="0" w:space="0" w:color="auto"/>
        <w:bottom w:val="none" w:sz="0" w:space="0" w:color="auto"/>
        <w:right w:val="none" w:sz="0" w:space="0" w:color="auto"/>
      </w:divBdr>
    </w:div>
    <w:div w:id="896666994">
      <w:bodyDiv w:val="1"/>
      <w:marLeft w:val="0"/>
      <w:marRight w:val="0"/>
      <w:marTop w:val="0"/>
      <w:marBottom w:val="0"/>
      <w:divBdr>
        <w:top w:val="none" w:sz="0" w:space="0" w:color="auto"/>
        <w:left w:val="none" w:sz="0" w:space="0" w:color="auto"/>
        <w:bottom w:val="none" w:sz="0" w:space="0" w:color="auto"/>
        <w:right w:val="none" w:sz="0" w:space="0" w:color="auto"/>
      </w:divBdr>
    </w:div>
    <w:div w:id="932661538">
      <w:bodyDiv w:val="1"/>
      <w:marLeft w:val="0"/>
      <w:marRight w:val="0"/>
      <w:marTop w:val="0"/>
      <w:marBottom w:val="0"/>
      <w:divBdr>
        <w:top w:val="none" w:sz="0" w:space="0" w:color="auto"/>
        <w:left w:val="none" w:sz="0" w:space="0" w:color="auto"/>
        <w:bottom w:val="none" w:sz="0" w:space="0" w:color="auto"/>
        <w:right w:val="none" w:sz="0" w:space="0" w:color="auto"/>
      </w:divBdr>
    </w:div>
    <w:div w:id="965353317">
      <w:bodyDiv w:val="1"/>
      <w:marLeft w:val="0"/>
      <w:marRight w:val="0"/>
      <w:marTop w:val="0"/>
      <w:marBottom w:val="0"/>
      <w:divBdr>
        <w:top w:val="none" w:sz="0" w:space="0" w:color="auto"/>
        <w:left w:val="none" w:sz="0" w:space="0" w:color="auto"/>
        <w:bottom w:val="none" w:sz="0" w:space="0" w:color="auto"/>
        <w:right w:val="none" w:sz="0" w:space="0" w:color="auto"/>
      </w:divBdr>
    </w:div>
    <w:div w:id="1019042343">
      <w:bodyDiv w:val="1"/>
      <w:marLeft w:val="0"/>
      <w:marRight w:val="0"/>
      <w:marTop w:val="0"/>
      <w:marBottom w:val="0"/>
      <w:divBdr>
        <w:top w:val="none" w:sz="0" w:space="0" w:color="auto"/>
        <w:left w:val="none" w:sz="0" w:space="0" w:color="auto"/>
        <w:bottom w:val="none" w:sz="0" w:space="0" w:color="auto"/>
        <w:right w:val="none" w:sz="0" w:space="0" w:color="auto"/>
      </w:divBdr>
    </w:div>
    <w:div w:id="1033576223">
      <w:bodyDiv w:val="1"/>
      <w:marLeft w:val="0"/>
      <w:marRight w:val="0"/>
      <w:marTop w:val="0"/>
      <w:marBottom w:val="0"/>
      <w:divBdr>
        <w:top w:val="none" w:sz="0" w:space="0" w:color="auto"/>
        <w:left w:val="none" w:sz="0" w:space="0" w:color="auto"/>
        <w:bottom w:val="none" w:sz="0" w:space="0" w:color="auto"/>
        <w:right w:val="none" w:sz="0" w:space="0" w:color="auto"/>
      </w:divBdr>
    </w:div>
    <w:div w:id="1052464993">
      <w:bodyDiv w:val="1"/>
      <w:marLeft w:val="0"/>
      <w:marRight w:val="0"/>
      <w:marTop w:val="0"/>
      <w:marBottom w:val="0"/>
      <w:divBdr>
        <w:top w:val="none" w:sz="0" w:space="0" w:color="auto"/>
        <w:left w:val="none" w:sz="0" w:space="0" w:color="auto"/>
        <w:bottom w:val="none" w:sz="0" w:space="0" w:color="auto"/>
        <w:right w:val="none" w:sz="0" w:space="0" w:color="auto"/>
      </w:divBdr>
    </w:div>
    <w:div w:id="1117257903">
      <w:bodyDiv w:val="1"/>
      <w:marLeft w:val="0"/>
      <w:marRight w:val="0"/>
      <w:marTop w:val="0"/>
      <w:marBottom w:val="0"/>
      <w:divBdr>
        <w:top w:val="none" w:sz="0" w:space="0" w:color="auto"/>
        <w:left w:val="none" w:sz="0" w:space="0" w:color="auto"/>
        <w:bottom w:val="none" w:sz="0" w:space="0" w:color="auto"/>
        <w:right w:val="none" w:sz="0" w:space="0" w:color="auto"/>
      </w:divBdr>
    </w:div>
    <w:div w:id="1128666704">
      <w:bodyDiv w:val="1"/>
      <w:marLeft w:val="0"/>
      <w:marRight w:val="0"/>
      <w:marTop w:val="0"/>
      <w:marBottom w:val="0"/>
      <w:divBdr>
        <w:top w:val="none" w:sz="0" w:space="0" w:color="auto"/>
        <w:left w:val="none" w:sz="0" w:space="0" w:color="auto"/>
        <w:bottom w:val="none" w:sz="0" w:space="0" w:color="auto"/>
        <w:right w:val="none" w:sz="0" w:space="0" w:color="auto"/>
      </w:divBdr>
    </w:div>
    <w:div w:id="1129125121">
      <w:bodyDiv w:val="1"/>
      <w:marLeft w:val="0"/>
      <w:marRight w:val="0"/>
      <w:marTop w:val="0"/>
      <w:marBottom w:val="0"/>
      <w:divBdr>
        <w:top w:val="none" w:sz="0" w:space="0" w:color="auto"/>
        <w:left w:val="none" w:sz="0" w:space="0" w:color="auto"/>
        <w:bottom w:val="none" w:sz="0" w:space="0" w:color="auto"/>
        <w:right w:val="none" w:sz="0" w:space="0" w:color="auto"/>
      </w:divBdr>
    </w:div>
    <w:div w:id="1199471684">
      <w:bodyDiv w:val="1"/>
      <w:marLeft w:val="0"/>
      <w:marRight w:val="0"/>
      <w:marTop w:val="0"/>
      <w:marBottom w:val="0"/>
      <w:divBdr>
        <w:top w:val="none" w:sz="0" w:space="0" w:color="auto"/>
        <w:left w:val="none" w:sz="0" w:space="0" w:color="auto"/>
        <w:bottom w:val="none" w:sz="0" w:space="0" w:color="auto"/>
        <w:right w:val="none" w:sz="0" w:space="0" w:color="auto"/>
      </w:divBdr>
    </w:div>
    <w:div w:id="1220703849">
      <w:bodyDiv w:val="1"/>
      <w:marLeft w:val="0"/>
      <w:marRight w:val="0"/>
      <w:marTop w:val="0"/>
      <w:marBottom w:val="0"/>
      <w:divBdr>
        <w:top w:val="none" w:sz="0" w:space="0" w:color="auto"/>
        <w:left w:val="none" w:sz="0" w:space="0" w:color="auto"/>
        <w:bottom w:val="none" w:sz="0" w:space="0" w:color="auto"/>
        <w:right w:val="none" w:sz="0" w:space="0" w:color="auto"/>
      </w:divBdr>
    </w:div>
    <w:div w:id="1295066871">
      <w:bodyDiv w:val="1"/>
      <w:marLeft w:val="0"/>
      <w:marRight w:val="0"/>
      <w:marTop w:val="0"/>
      <w:marBottom w:val="0"/>
      <w:divBdr>
        <w:top w:val="none" w:sz="0" w:space="0" w:color="auto"/>
        <w:left w:val="none" w:sz="0" w:space="0" w:color="auto"/>
        <w:bottom w:val="none" w:sz="0" w:space="0" w:color="auto"/>
        <w:right w:val="none" w:sz="0" w:space="0" w:color="auto"/>
      </w:divBdr>
    </w:div>
    <w:div w:id="1357660256">
      <w:bodyDiv w:val="1"/>
      <w:marLeft w:val="0"/>
      <w:marRight w:val="0"/>
      <w:marTop w:val="0"/>
      <w:marBottom w:val="0"/>
      <w:divBdr>
        <w:top w:val="none" w:sz="0" w:space="0" w:color="auto"/>
        <w:left w:val="none" w:sz="0" w:space="0" w:color="auto"/>
        <w:bottom w:val="none" w:sz="0" w:space="0" w:color="auto"/>
        <w:right w:val="none" w:sz="0" w:space="0" w:color="auto"/>
      </w:divBdr>
    </w:div>
    <w:div w:id="1374887238">
      <w:bodyDiv w:val="1"/>
      <w:marLeft w:val="0"/>
      <w:marRight w:val="0"/>
      <w:marTop w:val="0"/>
      <w:marBottom w:val="0"/>
      <w:divBdr>
        <w:top w:val="none" w:sz="0" w:space="0" w:color="auto"/>
        <w:left w:val="none" w:sz="0" w:space="0" w:color="auto"/>
        <w:bottom w:val="none" w:sz="0" w:space="0" w:color="auto"/>
        <w:right w:val="none" w:sz="0" w:space="0" w:color="auto"/>
      </w:divBdr>
      <w:divsChild>
        <w:div w:id="1711690396">
          <w:marLeft w:val="0"/>
          <w:marRight w:val="0"/>
          <w:marTop w:val="0"/>
          <w:marBottom w:val="195"/>
          <w:divBdr>
            <w:top w:val="none" w:sz="0" w:space="0" w:color="auto"/>
            <w:left w:val="none" w:sz="0" w:space="0" w:color="auto"/>
            <w:bottom w:val="none" w:sz="0" w:space="0" w:color="auto"/>
            <w:right w:val="none" w:sz="0" w:space="0" w:color="auto"/>
          </w:divBdr>
        </w:div>
      </w:divsChild>
    </w:div>
    <w:div w:id="1423137849">
      <w:bodyDiv w:val="1"/>
      <w:marLeft w:val="0"/>
      <w:marRight w:val="0"/>
      <w:marTop w:val="0"/>
      <w:marBottom w:val="0"/>
      <w:divBdr>
        <w:top w:val="none" w:sz="0" w:space="0" w:color="auto"/>
        <w:left w:val="none" w:sz="0" w:space="0" w:color="auto"/>
        <w:bottom w:val="none" w:sz="0" w:space="0" w:color="auto"/>
        <w:right w:val="none" w:sz="0" w:space="0" w:color="auto"/>
      </w:divBdr>
    </w:div>
    <w:div w:id="1468089362">
      <w:bodyDiv w:val="1"/>
      <w:marLeft w:val="0"/>
      <w:marRight w:val="0"/>
      <w:marTop w:val="0"/>
      <w:marBottom w:val="0"/>
      <w:divBdr>
        <w:top w:val="none" w:sz="0" w:space="0" w:color="auto"/>
        <w:left w:val="none" w:sz="0" w:space="0" w:color="auto"/>
        <w:bottom w:val="none" w:sz="0" w:space="0" w:color="auto"/>
        <w:right w:val="none" w:sz="0" w:space="0" w:color="auto"/>
      </w:divBdr>
    </w:div>
    <w:div w:id="1545631389">
      <w:bodyDiv w:val="1"/>
      <w:marLeft w:val="0"/>
      <w:marRight w:val="0"/>
      <w:marTop w:val="0"/>
      <w:marBottom w:val="0"/>
      <w:divBdr>
        <w:top w:val="none" w:sz="0" w:space="0" w:color="auto"/>
        <w:left w:val="none" w:sz="0" w:space="0" w:color="auto"/>
        <w:bottom w:val="none" w:sz="0" w:space="0" w:color="auto"/>
        <w:right w:val="none" w:sz="0" w:space="0" w:color="auto"/>
      </w:divBdr>
    </w:div>
    <w:div w:id="1562789895">
      <w:bodyDiv w:val="1"/>
      <w:marLeft w:val="0"/>
      <w:marRight w:val="0"/>
      <w:marTop w:val="0"/>
      <w:marBottom w:val="0"/>
      <w:divBdr>
        <w:top w:val="none" w:sz="0" w:space="0" w:color="auto"/>
        <w:left w:val="none" w:sz="0" w:space="0" w:color="auto"/>
        <w:bottom w:val="none" w:sz="0" w:space="0" w:color="auto"/>
        <w:right w:val="none" w:sz="0" w:space="0" w:color="auto"/>
      </w:divBdr>
    </w:div>
    <w:div w:id="1616868748">
      <w:bodyDiv w:val="1"/>
      <w:marLeft w:val="0"/>
      <w:marRight w:val="0"/>
      <w:marTop w:val="0"/>
      <w:marBottom w:val="0"/>
      <w:divBdr>
        <w:top w:val="none" w:sz="0" w:space="0" w:color="auto"/>
        <w:left w:val="none" w:sz="0" w:space="0" w:color="auto"/>
        <w:bottom w:val="none" w:sz="0" w:space="0" w:color="auto"/>
        <w:right w:val="none" w:sz="0" w:space="0" w:color="auto"/>
      </w:divBdr>
    </w:div>
    <w:div w:id="1649357260">
      <w:bodyDiv w:val="1"/>
      <w:marLeft w:val="0"/>
      <w:marRight w:val="0"/>
      <w:marTop w:val="0"/>
      <w:marBottom w:val="0"/>
      <w:divBdr>
        <w:top w:val="none" w:sz="0" w:space="0" w:color="auto"/>
        <w:left w:val="none" w:sz="0" w:space="0" w:color="auto"/>
        <w:bottom w:val="none" w:sz="0" w:space="0" w:color="auto"/>
        <w:right w:val="none" w:sz="0" w:space="0" w:color="auto"/>
      </w:divBdr>
    </w:div>
    <w:div w:id="1656108066">
      <w:bodyDiv w:val="1"/>
      <w:marLeft w:val="0"/>
      <w:marRight w:val="0"/>
      <w:marTop w:val="0"/>
      <w:marBottom w:val="0"/>
      <w:divBdr>
        <w:top w:val="none" w:sz="0" w:space="0" w:color="auto"/>
        <w:left w:val="none" w:sz="0" w:space="0" w:color="auto"/>
        <w:bottom w:val="none" w:sz="0" w:space="0" w:color="auto"/>
        <w:right w:val="none" w:sz="0" w:space="0" w:color="auto"/>
      </w:divBdr>
    </w:div>
    <w:div w:id="1658534949">
      <w:bodyDiv w:val="1"/>
      <w:marLeft w:val="0"/>
      <w:marRight w:val="0"/>
      <w:marTop w:val="0"/>
      <w:marBottom w:val="0"/>
      <w:divBdr>
        <w:top w:val="none" w:sz="0" w:space="0" w:color="auto"/>
        <w:left w:val="none" w:sz="0" w:space="0" w:color="auto"/>
        <w:bottom w:val="none" w:sz="0" w:space="0" w:color="auto"/>
        <w:right w:val="none" w:sz="0" w:space="0" w:color="auto"/>
      </w:divBdr>
      <w:divsChild>
        <w:div w:id="706486283">
          <w:marLeft w:val="0"/>
          <w:marRight w:val="0"/>
          <w:marTop w:val="0"/>
          <w:marBottom w:val="195"/>
          <w:divBdr>
            <w:top w:val="none" w:sz="0" w:space="0" w:color="auto"/>
            <w:left w:val="none" w:sz="0" w:space="0" w:color="auto"/>
            <w:bottom w:val="none" w:sz="0" w:space="0" w:color="auto"/>
            <w:right w:val="none" w:sz="0" w:space="0" w:color="auto"/>
          </w:divBdr>
        </w:div>
      </w:divsChild>
    </w:div>
    <w:div w:id="1728606786">
      <w:bodyDiv w:val="1"/>
      <w:marLeft w:val="0"/>
      <w:marRight w:val="0"/>
      <w:marTop w:val="0"/>
      <w:marBottom w:val="0"/>
      <w:divBdr>
        <w:top w:val="none" w:sz="0" w:space="0" w:color="auto"/>
        <w:left w:val="none" w:sz="0" w:space="0" w:color="auto"/>
        <w:bottom w:val="none" w:sz="0" w:space="0" w:color="auto"/>
        <w:right w:val="none" w:sz="0" w:space="0" w:color="auto"/>
      </w:divBdr>
    </w:div>
    <w:div w:id="1794790354">
      <w:bodyDiv w:val="1"/>
      <w:marLeft w:val="0"/>
      <w:marRight w:val="0"/>
      <w:marTop w:val="0"/>
      <w:marBottom w:val="0"/>
      <w:divBdr>
        <w:top w:val="none" w:sz="0" w:space="0" w:color="auto"/>
        <w:left w:val="none" w:sz="0" w:space="0" w:color="auto"/>
        <w:bottom w:val="none" w:sz="0" w:space="0" w:color="auto"/>
        <w:right w:val="none" w:sz="0" w:space="0" w:color="auto"/>
      </w:divBdr>
      <w:divsChild>
        <w:div w:id="301082906">
          <w:marLeft w:val="0"/>
          <w:marRight w:val="0"/>
          <w:marTop w:val="0"/>
          <w:marBottom w:val="195"/>
          <w:divBdr>
            <w:top w:val="none" w:sz="0" w:space="0" w:color="auto"/>
            <w:left w:val="none" w:sz="0" w:space="0" w:color="auto"/>
            <w:bottom w:val="none" w:sz="0" w:space="0" w:color="auto"/>
            <w:right w:val="none" w:sz="0" w:space="0" w:color="auto"/>
          </w:divBdr>
        </w:div>
      </w:divsChild>
    </w:div>
    <w:div w:id="1862471880">
      <w:bodyDiv w:val="1"/>
      <w:marLeft w:val="0"/>
      <w:marRight w:val="0"/>
      <w:marTop w:val="0"/>
      <w:marBottom w:val="0"/>
      <w:divBdr>
        <w:top w:val="none" w:sz="0" w:space="0" w:color="auto"/>
        <w:left w:val="none" w:sz="0" w:space="0" w:color="auto"/>
        <w:bottom w:val="none" w:sz="0" w:space="0" w:color="auto"/>
        <w:right w:val="none" w:sz="0" w:space="0" w:color="auto"/>
      </w:divBdr>
      <w:divsChild>
        <w:div w:id="22563968">
          <w:marLeft w:val="0"/>
          <w:marRight w:val="0"/>
          <w:marTop w:val="0"/>
          <w:marBottom w:val="195"/>
          <w:divBdr>
            <w:top w:val="none" w:sz="0" w:space="0" w:color="auto"/>
            <w:left w:val="none" w:sz="0" w:space="0" w:color="auto"/>
            <w:bottom w:val="none" w:sz="0" w:space="0" w:color="auto"/>
            <w:right w:val="none" w:sz="0" w:space="0" w:color="auto"/>
          </w:divBdr>
        </w:div>
      </w:divsChild>
    </w:div>
    <w:div w:id="1940137089">
      <w:bodyDiv w:val="1"/>
      <w:marLeft w:val="0"/>
      <w:marRight w:val="0"/>
      <w:marTop w:val="0"/>
      <w:marBottom w:val="0"/>
      <w:divBdr>
        <w:top w:val="none" w:sz="0" w:space="0" w:color="auto"/>
        <w:left w:val="none" w:sz="0" w:space="0" w:color="auto"/>
        <w:bottom w:val="none" w:sz="0" w:space="0" w:color="auto"/>
        <w:right w:val="none" w:sz="0" w:space="0" w:color="auto"/>
      </w:divBdr>
    </w:div>
    <w:div w:id="1942295720">
      <w:bodyDiv w:val="1"/>
      <w:marLeft w:val="0"/>
      <w:marRight w:val="0"/>
      <w:marTop w:val="0"/>
      <w:marBottom w:val="0"/>
      <w:divBdr>
        <w:top w:val="none" w:sz="0" w:space="0" w:color="auto"/>
        <w:left w:val="none" w:sz="0" w:space="0" w:color="auto"/>
        <w:bottom w:val="none" w:sz="0" w:space="0" w:color="auto"/>
        <w:right w:val="none" w:sz="0" w:space="0" w:color="auto"/>
      </w:divBdr>
    </w:div>
    <w:div w:id="2038894166">
      <w:bodyDiv w:val="1"/>
      <w:marLeft w:val="0"/>
      <w:marRight w:val="0"/>
      <w:marTop w:val="0"/>
      <w:marBottom w:val="0"/>
      <w:divBdr>
        <w:top w:val="none" w:sz="0" w:space="0" w:color="auto"/>
        <w:left w:val="none" w:sz="0" w:space="0" w:color="auto"/>
        <w:bottom w:val="none" w:sz="0" w:space="0" w:color="auto"/>
        <w:right w:val="none" w:sz="0" w:space="0" w:color="auto"/>
      </w:divBdr>
    </w:div>
    <w:div w:id="2048022215">
      <w:bodyDiv w:val="1"/>
      <w:marLeft w:val="0"/>
      <w:marRight w:val="0"/>
      <w:marTop w:val="0"/>
      <w:marBottom w:val="0"/>
      <w:divBdr>
        <w:top w:val="none" w:sz="0" w:space="0" w:color="auto"/>
        <w:left w:val="none" w:sz="0" w:space="0" w:color="auto"/>
        <w:bottom w:val="none" w:sz="0" w:space="0" w:color="auto"/>
        <w:right w:val="none" w:sz="0" w:space="0" w:color="auto"/>
      </w:divBdr>
    </w:div>
    <w:div w:id="2096784127">
      <w:bodyDiv w:val="1"/>
      <w:marLeft w:val="0"/>
      <w:marRight w:val="0"/>
      <w:marTop w:val="0"/>
      <w:marBottom w:val="0"/>
      <w:divBdr>
        <w:top w:val="none" w:sz="0" w:space="0" w:color="auto"/>
        <w:left w:val="none" w:sz="0" w:space="0" w:color="auto"/>
        <w:bottom w:val="none" w:sz="0" w:space="0" w:color="auto"/>
        <w:right w:val="none" w:sz="0" w:space="0" w:color="auto"/>
      </w:divBdr>
    </w:div>
    <w:div w:id="2132552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papers.ssrn.com/sol3/cf_dev/AbsByAuth.cfm?per_id=112114" TargetMode="External"/><Relationship Id="rId21" Type="http://schemas.openxmlformats.org/officeDocument/2006/relationships/hyperlink" Target="https://papers.ssrn.com/sol3/cf_dev/AbsByAuth.cfm?per_id=2840407" TargetMode="External"/><Relationship Id="rId34" Type="http://schemas.openxmlformats.org/officeDocument/2006/relationships/hyperlink" Target="https://www.accountingtools.com/articles/limitations-of-financial-statements.html" TargetMode="External"/><Relationship Id="rId42" Type="http://schemas.openxmlformats.org/officeDocument/2006/relationships/hyperlink" Target="https://papers.ssrn.com/sol3/cf_dev/AbsByAuth.cfm?per_id=2374863" TargetMode="External"/><Relationship Id="rId47" Type="http://schemas.openxmlformats.org/officeDocument/2006/relationships/hyperlink" Target="https://www.dummies.com/business/accounting/the-financial-reporting-benefits-and-disadvantages-of-public-companies/" TargetMode="External"/><Relationship Id="rId50" Type="http://schemas.openxmlformats.org/officeDocument/2006/relationships/hyperlink" Target="https://papers.ssrn.com/sol3/cf_dev/AbsByAuth.cfm?per_id=1186377" TargetMode="External"/><Relationship Id="rId55" Type="http://schemas.openxmlformats.org/officeDocument/2006/relationships/hyperlink" Target="https://papers.ssrn.com/sol3/cf_dev/AbsByAuth.cfm?per_id=1752207" TargetMode="External"/><Relationship Id="rId63" Type="http://schemas.openxmlformats.org/officeDocument/2006/relationships/hyperlink" Target="https://papers.ssrn.com/sol3/papers.cfm?abstract_id=2398922" TargetMode="Externa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s://papers.ssrn.com/sol3/cf_dev/AbsByAuth.cfm?per_id=3376319" TargetMode="External"/><Relationship Id="rId29" Type="http://schemas.openxmlformats.org/officeDocument/2006/relationships/hyperlink" Target="https://papers.ssrn.com/sol3/cf_dev/AbsByAuth.cfm?per_id=1404049" TargetMode="External"/><Relationship Id="rId11" Type="http://schemas.openxmlformats.org/officeDocument/2006/relationships/chart" Target="charts/chart3.xml"/><Relationship Id="rId24" Type="http://schemas.openxmlformats.org/officeDocument/2006/relationships/hyperlink" Target="https://papers.ssrn.com/sol3/cf_dev/AbsByAuth.cfm?per_id=2840407" TargetMode="External"/><Relationship Id="rId32" Type="http://schemas.openxmlformats.org/officeDocument/2006/relationships/hyperlink" Target="https://online.hbs.edu/blog/?author=Catherine+Cote" TargetMode="External"/><Relationship Id="rId37" Type="http://schemas.openxmlformats.org/officeDocument/2006/relationships/hyperlink" Target="https://www.accountingtools.com/articles/what-is-the-purpose-of-financial-statements.html" TargetMode="External"/><Relationship Id="rId40" Type="http://schemas.openxmlformats.org/officeDocument/2006/relationships/hyperlink" Target="https://papers.ssrn.com/sol3/cf_dev/AbsByAuth.cfm?per_id=1404049" TargetMode="External"/><Relationship Id="rId45" Type="http://schemas.openxmlformats.org/officeDocument/2006/relationships/hyperlink" Target="https://smallbusiness.chron.com/financial-statements-important-tax-authorities-18132.html" TargetMode="External"/><Relationship Id="rId53" Type="http://schemas.openxmlformats.org/officeDocument/2006/relationships/hyperlink" Target="https://papers.ssrn.com/sol3/cf_dev/AbsByAuth.cfm?per_id=3621995" TargetMode="External"/><Relationship Id="rId58" Type="http://schemas.openxmlformats.org/officeDocument/2006/relationships/hyperlink" Target="https://papers.ssrn.com/sol3/cf_dev/AbsByAuth.cfm?per_id=372668" TargetMode="External"/><Relationship Id="rId66"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hyperlink" Target="https://www.toppr.com/guides/accountancy/financial-statements-of-a-company/uses-their-limitations/" TargetMode="External"/><Relationship Id="rId19" Type="http://schemas.openxmlformats.org/officeDocument/2006/relationships/hyperlink" Target="https://papers.ssrn.com/sol3/cf_dev/AbsByAuth.cfm?per_id=2627998" TargetMode="External"/><Relationship Id="rId14" Type="http://schemas.openxmlformats.org/officeDocument/2006/relationships/hyperlink" Target="https://papers.ssrn.com/sol3/cf_dev/AbsByAuth.cfm?per_id=2578077" TargetMode="External"/><Relationship Id="rId22" Type="http://schemas.openxmlformats.org/officeDocument/2006/relationships/hyperlink" Target="https://www.dummies.com/?s=&amp;a=lita-epstein" TargetMode="External"/><Relationship Id="rId27" Type="http://schemas.openxmlformats.org/officeDocument/2006/relationships/hyperlink" Target="https://papers.ssrn.com/sol3/cf_dev/AbsByAuth.cfm?per_id=381742" TargetMode="External"/><Relationship Id="rId30" Type="http://schemas.openxmlformats.org/officeDocument/2006/relationships/hyperlink" Target="https://papers.ssrn.com/sol3/cf_dev/AbsByAuth.cfm?per_id=381742" TargetMode="External"/><Relationship Id="rId35" Type="http://schemas.openxmlformats.org/officeDocument/2006/relationships/hyperlink" Target="https://www.accountingtools.com/articles/limitations-of-financial-statements.html" TargetMode="External"/><Relationship Id="rId43" Type="http://schemas.openxmlformats.org/officeDocument/2006/relationships/hyperlink" Target="https://papers.ssrn.com/sol3/cf_dev/AbsByAuth.cfm?per_id=381742" TargetMode="External"/><Relationship Id="rId48" Type="http://schemas.openxmlformats.org/officeDocument/2006/relationships/hyperlink" Target="https://papers.ssrn.com/sol3/cf_dev/AbsByAuth.cfm?per_id=112114" TargetMode="External"/><Relationship Id="rId56" Type="http://schemas.openxmlformats.org/officeDocument/2006/relationships/hyperlink" Target="https://papers.ssrn.com/sol3/cf_dev/AbsByAuth.cfm?per_id=3376319" TargetMode="External"/><Relationship Id="rId64" Type="http://schemas.openxmlformats.org/officeDocument/2006/relationships/hyperlink" Target="https://papers.ssrn.com/sol3/papers.cfm?abstract_id=2398922" TargetMode="External"/><Relationship Id="rId8" Type="http://schemas.openxmlformats.org/officeDocument/2006/relationships/endnotes" Target="endnotes.xml"/><Relationship Id="rId51" Type="http://schemas.openxmlformats.org/officeDocument/2006/relationships/hyperlink" Target="https://papers.ssrn.com/sol3/cf_dev/AbsByAuth.cfm?per_id=343923" TargetMode="Externa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papers.ssrn.com/sol3/cf_dev/AbsByAuth.cfm?per_id=2627998" TargetMode="External"/><Relationship Id="rId25" Type="http://schemas.openxmlformats.org/officeDocument/2006/relationships/hyperlink" Target="https://papers.ssrn.com/sol3/cf_dev/AbsByAuth.cfm?per_id=112114" TargetMode="External"/><Relationship Id="rId33" Type="http://schemas.openxmlformats.org/officeDocument/2006/relationships/hyperlink" Target="https://online.hbs.edu/blog/?author=Catherine+Cote" TargetMode="External"/><Relationship Id="rId38" Type="http://schemas.openxmlformats.org/officeDocument/2006/relationships/hyperlink" Target="https://online.hbs.edu/blog/?author=Catherine+Cote" TargetMode="External"/><Relationship Id="rId46" Type="http://schemas.openxmlformats.org/officeDocument/2006/relationships/hyperlink" Target="https://www.dummies.com/?s=&amp;a=lita-epstein" TargetMode="External"/><Relationship Id="rId59" Type="http://schemas.openxmlformats.org/officeDocument/2006/relationships/hyperlink" Target="https://papers.ssrn.com/sol3/cf_dev/AbsByAuth.cfm?per_id=2840407" TargetMode="External"/><Relationship Id="rId67" Type="http://schemas.openxmlformats.org/officeDocument/2006/relationships/fontTable" Target="fontTable.xml"/><Relationship Id="rId20" Type="http://schemas.openxmlformats.org/officeDocument/2006/relationships/hyperlink" Target="https://www.dummies.com/?s=&amp;a=lita-epstein" TargetMode="External"/><Relationship Id="rId41" Type="http://schemas.openxmlformats.org/officeDocument/2006/relationships/hyperlink" Target="https://papers.ssrn.com/sol3/cf_dev/AbsByAuth.cfm?per_id=1526995" TargetMode="External"/><Relationship Id="rId54" Type="http://schemas.openxmlformats.org/officeDocument/2006/relationships/hyperlink" Target="https://papers.ssrn.com/sol3/cf_dev/AbsByAuth.cfm?per_id=2578077" TargetMode="External"/><Relationship Id="rId62" Type="http://schemas.openxmlformats.org/officeDocument/2006/relationships/hyperlink" Target="https://papers.ssrn.com/sol3/cf_dev/AbsByAuth.cfm?per_id=165238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papers.ssrn.com/sol3/cf_dev/AbsByAuth.cfm?per_id=3376319" TargetMode="External"/><Relationship Id="rId23" Type="http://schemas.openxmlformats.org/officeDocument/2006/relationships/hyperlink" Target="https://papers.ssrn.com/sol3/cf_dev/AbsByAuth.cfm?per_id=2578077" TargetMode="External"/><Relationship Id="rId28" Type="http://schemas.openxmlformats.org/officeDocument/2006/relationships/hyperlink" Target="https://papers.ssrn.com/sol3/cf_dev/AbsByAuth.cfm?per_id=1404049" TargetMode="External"/><Relationship Id="rId36" Type="http://schemas.openxmlformats.org/officeDocument/2006/relationships/hyperlink" Target="https://www.accountingtools.com/articles/what-is-the-purpose-of-financial-statements.html" TargetMode="External"/><Relationship Id="rId49" Type="http://schemas.openxmlformats.org/officeDocument/2006/relationships/hyperlink" Target="https://papers.ssrn.com/sol3/cf_dev/AbsByAuth.cfm?per_id=514198" TargetMode="External"/><Relationship Id="rId57" Type="http://schemas.openxmlformats.org/officeDocument/2006/relationships/hyperlink" Target="https://papers.ssrn.com/sol3/cf_dev/AbsByAuth.cfm?per_id=1590214" TargetMode="External"/><Relationship Id="rId10" Type="http://schemas.openxmlformats.org/officeDocument/2006/relationships/chart" Target="charts/chart2.xml"/><Relationship Id="rId31" Type="http://schemas.openxmlformats.org/officeDocument/2006/relationships/hyperlink" Target="https://papers.ssrn.com/sol3/cf_dev/AbsByAuth.cfm?per_id=160390" TargetMode="External"/><Relationship Id="rId44" Type="http://schemas.openxmlformats.org/officeDocument/2006/relationships/hyperlink" Target="https://papers.ssrn.com/sol3/cf_dev/AbsByAuth.cfm?per_id=3081237" TargetMode="External"/><Relationship Id="rId52" Type="http://schemas.openxmlformats.org/officeDocument/2006/relationships/hyperlink" Target="https://papers.ssrn.com/sol3/cf_dev/AbsByAuth.cfm?per_id=2627998" TargetMode="External"/><Relationship Id="rId60" Type="http://schemas.openxmlformats.org/officeDocument/2006/relationships/hyperlink" Target="https://papers.ssrn.com/sol3/cf_dev/AbsByAuth.cfm?per_id=160390" TargetMode="External"/><Relationship Id="rId65" Type="http://schemas.openxmlformats.org/officeDocument/2006/relationships/hyperlink" Target="https://www.wikiaccounting.com/advantages-of-financial-statements/" TargetMode="External"/><Relationship Id="rId4" Type="http://schemas.microsoft.com/office/2007/relationships/stylesWithEffects" Target="stylesWithEffects.xml"/><Relationship Id="rId9"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hyperlink" Target="https://papers.ssrn.com/sol3/cf_dev/AbsByAuth.cfm?per_id=2578077" TargetMode="External"/><Relationship Id="rId39" Type="http://schemas.openxmlformats.org/officeDocument/2006/relationships/hyperlink" Target="https://online.hbs.edu/blog/post/how-managers-use-financial-statements"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D:\DRIVE%20E\Projects\2020\In%20Process\Arpit%20--%20Upwork\Arpit%20Aeron%20--%20Solution%20File.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DRIVE%20E\Projects\2020\In%20Process\Arpit%20--%20Upwork\Arpit%20Aeron%20--%20Solution%20File.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DRIVE%20E\Projects\2020\In%20Process\Arpit%20--%20Upwork\Arpit%20Aeron%20--%20Solution%20File.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DRIVE%20E\Projects\2020\In%20Process\Arpit%20--%20Upwork\Arpit%20Aeron%20--%20Solution%20File.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DRIVE%20E\Projects\2020\In%20Process\Arpit%20--%20Upwork\Arpit%20Aeron%20--%20Solution%20File.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r>
              <a:rPr lang="en-US"/>
              <a:t>GROSS PROFIT MARGIN (%)</a:t>
            </a:r>
          </a:p>
        </c:rich>
      </c:tx>
      <c:overlay val="0"/>
      <c:spPr>
        <a:noFill/>
        <a:ln>
          <a:noFill/>
        </a:ln>
        <a:effectLst/>
      </c:spPr>
    </c:title>
    <c:autoTitleDeleted val="0"/>
    <c:plotArea>
      <c:layout/>
      <c:lineChart>
        <c:grouping val="stacked"/>
        <c:varyColors val="0"/>
        <c:ser>
          <c:idx val="0"/>
          <c:order val="0"/>
          <c:tx>
            <c:strRef>
              <c:f>GRAPHS!$B$5</c:f>
              <c:strCache>
                <c:ptCount val="1"/>
                <c:pt idx="0">
                  <c:v>Jerry PLC Supplies</c:v>
                </c:pt>
              </c:strCache>
            </c:strRef>
          </c:tx>
          <c:spPr>
            <a:ln w="38100" cap="flat" cmpd="dbl" algn="ctr">
              <a:solidFill>
                <a:schemeClr val="accent1"/>
              </a:solidFill>
              <a:miter lim="800000"/>
            </a:ln>
            <a:effectLst/>
          </c:spPr>
          <c:marker>
            <c:symbol val="none"/>
          </c:marker>
          <c:dLbls>
            <c:dLbl>
              <c:idx val="0"/>
              <c:layout>
                <c:manualLayout>
                  <c:x val="0"/>
                  <c:y val="1.9538882375928105E-2"/>
                </c:manualLayout>
              </c:layout>
              <c:showLegendKey val="0"/>
              <c:showVal val="1"/>
              <c:showCatName val="0"/>
              <c:showSerName val="0"/>
              <c:showPercent val="0"/>
              <c:showBubbleSize val="0"/>
              <c:extLst>
                <c:ext xmlns:c15="http://schemas.microsoft.com/office/drawing/2012/chart" uri="{CE6537A1-D6FC-4f65-9D91-7224C49458BB}"/>
              </c:extLst>
            </c:dLbl>
            <c:dLbl>
              <c:idx val="1"/>
              <c:layout>
                <c:manualLayout>
                  <c:x val="-6.2499283595284333E-17"/>
                  <c:y val="3.9077764751856175E-2"/>
                </c:manualLayout>
              </c:layout>
              <c:showLegendKey val="0"/>
              <c:showVal val="1"/>
              <c:showCatName val="0"/>
              <c:showSerName val="0"/>
              <c:showPercent val="0"/>
              <c:showBubbleSize val="0"/>
              <c:extLs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GRAPHS!$C$4:$D$4</c:f>
              <c:strCache>
                <c:ptCount val="2"/>
                <c:pt idx="0">
                  <c:v>FY-2019</c:v>
                </c:pt>
                <c:pt idx="1">
                  <c:v>FY-2018</c:v>
                </c:pt>
              </c:strCache>
            </c:strRef>
          </c:cat>
          <c:val>
            <c:numRef>
              <c:f>GRAPHS!$C$5:$D$5</c:f>
              <c:numCache>
                <c:formatCode>_(* #,##0.00_);_(* \(#,##0.00\);_(* "-"??_);_(@_)</c:formatCode>
                <c:ptCount val="2"/>
                <c:pt idx="0">
                  <c:v>38.260522641133115</c:v>
                </c:pt>
                <c:pt idx="1">
                  <c:v>38.393590797041909</c:v>
                </c:pt>
              </c:numCache>
            </c:numRef>
          </c:val>
          <c:smooth val="0"/>
          <c:extLst xmlns:c16r2="http://schemas.microsoft.com/office/drawing/2015/06/chart">
            <c:ext xmlns:c16="http://schemas.microsoft.com/office/drawing/2014/chart" uri="{C3380CC4-5D6E-409C-BE32-E72D297353CC}">
              <c16:uniqueId val="{00000000-9AA2-4DB7-BF5A-F22A96295A83}"/>
            </c:ext>
          </c:extLst>
        </c:ser>
        <c:dLbls>
          <c:showLegendKey val="0"/>
          <c:showVal val="1"/>
          <c:showCatName val="0"/>
          <c:showSerName val="0"/>
          <c:showPercent val="0"/>
          <c:showBubbleSize val="0"/>
        </c:dLbls>
        <c:marker val="1"/>
        <c:smooth val="0"/>
        <c:axId val="255608832"/>
        <c:axId val="276789440"/>
      </c:lineChart>
      <c:catAx>
        <c:axId val="255608832"/>
        <c:scaling>
          <c:orientation val="minMax"/>
        </c:scaling>
        <c:delete val="0"/>
        <c:axPos val="b"/>
        <c:majorGridlines>
          <c:spPr>
            <a:ln w="9525" cap="flat" cmpd="sng" algn="ctr">
              <a:solidFill>
                <a:schemeClr val="tx1">
                  <a:lumMod val="15000"/>
                  <a:lumOff val="85000"/>
                  <a:alpha val="32000"/>
                </a:schemeClr>
              </a:solidFill>
              <a:round/>
            </a:ln>
            <a:effectLst/>
          </c:spPr>
        </c:majorGridlines>
        <c:numFmt formatCode="General"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6789440"/>
        <c:crosses val="autoZero"/>
        <c:auto val="1"/>
        <c:lblAlgn val="ctr"/>
        <c:lblOffset val="100"/>
        <c:noMultiLvlLbl val="0"/>
      </c:catAx>
      <c:valAx>
        <c:axId val="276789440"/>
        <c:scaling>
          <c:orientation val="minMax"/>
        </c:scaling>
        <c:delete val="0"/>
        <c:axPos val="l"/>
        <c:majorGridlines>
          <c:spPr>
            <a:ln w="9525" cap="flat" cmpd="sng" algn="ctr">
              <a:solidFill>
                <a:schemeClr val="tx1">
                  <a:lumMod val="15000"/>
                  <a:lumOff val="85000"/>
                  <a:alpha val="32000"/>
                </a:schemeClr>
              </a:solidFill>
              <a:round/>
            </a:ln>
            <a:effectLst/>
          </c:spPr>
        </c:majorGridlines>
        <c:numFmt formatCode="_(* #,##0.00_);_(* \(#,##0.00\);_(* &quot;-&quot;??_);_(@_)"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6088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ROE (%)</a:t>
            </a:r>
          </a:p>
        </c:rich>
      </c:tx>
      <c:overlay val="0"/>
      <c:spPr>
        <a:noFill/>
        <a:ln>
          <a:noFill/>
        </a:ln>
        <a:effectLst/>
      </c:spPr>
    </c:title>
    <c:autoTitleDeleted val="0"/>
    <c:plotArea>
      <c:layout/>
      <c:barChart>
        <c:barDir val="col"/>
        <c:grouping val="clustered"/>
        <c:varyColors val="0"/>
        <c:ser>
          <c:idx val="0"/>
          <c:order val="0"/>
          <c:tx>
            <c:strRef>
              <c:f>GRAPHS!$B$56</c:f>
              <c:strCache>
                <c:ptCount val="1"/>
                <c:pt idx="0">
                  <c:v>Jerry PLC Supplies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GRAPHS!$C$55:$D$55</c:f>
              <c:strCache>
                <c:ptCount val="2"/>
                <c:pt idx="0">
                  <c:v>FY-2019</c:v>
                </c:pt>
                <c:pt idx="1">
                  <c:v>FY-2018</c:v>
                </c:pt>
              </c:strCache>
            </c:strRef>
          </c:cat>
          <c:val>
            <c:numRef>
              <c:f>GRAPHS!$C$56:$D$56</c:f>
              <c:numCache>
                <c:formatCode>_(* #,##0.00_);_(* \(#,##0.00\);_(* "-"??_);_(@_)</c:formatCode>
                <c:ptCount val="2"/>
                <c:pt idx="0">
                  <c:v>13.841201716738228</c:v>
                </c:pt>
                <c:pt idx="1">
                  <c:v>22.789539227895421</c:v>
                </c:pt>
              </c:numCache>
            </c:numRef>
          </c:val>
          <c:extLst xmlns:c16r2="http://schemas.microsoft.com/office/drawing/2015/06/chart">
            <c:ext xmlns:c16="http://schemas.microsoft.com/office/drawing/2014/chart" uri="{C3380CC4-5D6E-409C-BE32-E72D297353CC}">
              <c16:uniqueId val="{00000000-78F0-414D-8A74-C94E4987A50F}"/>
            </c:ext>
          </c:extLst>
        </c:ser>
        <c:dLbls>
          <c:showLegendKey val="0"/>
          <c:showVal val="0"/>
          <c:showCatName val="0"/>
          <c:showSerName val="0"/>
          <c:showPercent val="0"/>
          <c:showBubbleSize val="0"/>
        </c:dLbls>
        <c:gapWidth val="150"/>
        <c:axId val="255609856"/>
        <c:axId val="204144640"/>
      </c:barChart>
      <c:catAx>
        <c:axId val="2556098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4144640"/>
        <c:crosses val="autoZero"/>
        <c:auto val="1"/>
        <c:lblAlgn val="ctr"/>
        <c:lblOffset val="100"/>
        <c:noMultiLvlLbl val="0"/>
      </c:catAx>
      <c:valAx>
        <c:axId val="204144640"/>
        <c:scaling>
          <c:orientation val="minMax"/>
        </c:scaling>
        <c:delete val="0"/>
        <c:axPos val="l"/>
        <c:majorGridlines>
          <c:spPr>
            <a:ln w="9525" cap="flat" cmpd="sng" algn="ctr">
              <a:solidFill>
                <a:schemeClr val="lt1">
                  <a:lumMod val="95000"/>
                  <a:alpha val="10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55609856"/>
        <c:crosses val="autoZero"/>
        <c:crossBetween val="between"/>
      </c:val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none" spc="50" baseline="0">
                <a:solidFill>
                  <a:schemeClr val="tx1">
                    <a:lumMod val="65000"/>
                    <a:lumOff val="35000"/>
                  </a:schemeClr>
                </a:solidFill>
                <a:latin typeface="+mn-lt"/>
                <a:ea typeface="+mn-ea"/>
                <a:cs typeface="+mn-cs"/>
              </a:defRPr>
            </a:pPr>
            <a:r>
              <a:rPr lang="en-US"/>
              <a:t>DEBTORS COLLECTION PERIOD (Days)</a:t>
            </a:r>
          </a:p>
        </c:rich>
      </c:tx>
      <c:overlay val="0"/>
      <c:spPr>
        <a:noFill/>
        <a:ln>
          <a:noFill/>
        </a:ln>
        <a:effectLst/>
      </c:spPr>
    </c:title>
    <c:autoTitleDeleted val="0"/>
    <c:plotArea>
      <c:layout/>
      <c:barChart>
        <c:barDir val="col"/>
        <c:grouping val="clustered"/>
        <c:varyColors val="0"/>
        <c:ser>
          <c:idx val="0"/>
          <c:order val="0"/>
          <c:tx>
            <c:strRef>
              <c:f>GRAPHS!$B$164</c:f>
              <c:strCache>
                <c:ptCount val="1"/>
                <c:pt idx="0">
                  <c:v>Jerry PLC Supplies</c:v>
                </c:pt>
              </c:strCache>
            </c:strRef>
          </c:tx>
          <c:spPr>
            <a:noFill/>
            <a:ln w="25400" cap="flat" cmpd="sng" algn="ctr">
              <a:solidFill>
                <a:schemeClr val="accent1"/>
              </a:solidFill>
              <a:miter lim="800000"/>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65000"/>
                        <a:lumOff val="3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GRAPHS!$C$163:$D$163</c:f>
              <c:strCache>
                <c:ptCount val="2"/>
                <c:pt idx="0">
                  <c:v>FY-2019</c:v>
                </c:pt>
                <c:pt idx="1">
                  <c:v>FY-2018</c:v>
                </c:pt>
              </c:strCache>
            </c:strRef>
          </c:cat>
          <c:val>
            <c:numRef>
              <c:f>GRAPHS!$C$164:$D$164</c:f>
              <c:numCache>
                <c:formatCode>_(* #,##0.00_);_(* \(#,##0.00\);_(* "-"??_);_(@_)</c:formatCode>
                <c:ptCount val="2"/>
                <c:pt idx="0">
                  <c:v>83.659485338120689</c:v>
                </c:pt>
                <c:pt idx="1">
                  <c:v>86.001437962202132</c:v>
                </c:pt>
              </c:numCache>
            </c:numRef>
          </c:val>
          <c:extLst xmlns:c16r2="http://schemas.microsoft.com/office/drawing/2015/06/chart">
            <c:ext xmlns:c16="http://schemas.microsoft.com/office/drawing/2014/chart" uri="{C3380CC4-5D6E-409C-BE32-E72D297353CC}">
              <c16:uniqueId val="{00000000-04A3-40EC-BDE8-FA8EBF693DF7}"/>
            </c:ext>
          </c:extLst>
        </c:ser>
        <c:dLbls>
          <c:showLegendKey val="0"/>
          <c:showVal val="1"/>
          <c:showCatName val="0"/>
          <c:showSerName val="0"/>
          <c:showPercent val="0"/>
          <c:showBubbleSize val="0"/>
        </c:dLbls>
        <c:gapWidth val="164"/>
        <c:overlap val="-35"/>
        <c:axId val="255833600"/>
        <c:axId val="204146368"/>
      </c:barChart>
      <c:catAx>
        <c:axId val="2558336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04146368"/>
        <c:crosses val="autoZero"/>
        <c:auto val="1"/>
        <c:lblAlgn val="ctr"/>
        <c:lblOffset val="100"/>
        <c:noMultiLvlLbl val="0"/>
      </c:catAx>
      <c:valAx>
        <c:axId val="204146368"/>
        <c:scaling>
          <c:orientation val="minMax"/>
        </c:scaling>
        <c:delete val="0"/>
        <c:axPos val="l"/>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255833600"/>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a:t>ASSETS</a:t>
            </a:r>
            <a:r>
              <a:rPr lang="en-US" baseline="0"/>
              <a:t> TURNOVER RATIO (TIMES)</a:t>
            </a:r>
            <a:endParaRPr lang="en-US"/>
          </a:p>
        </c:rich>
      </c:tx>
      <c:overlay val="0"/>
      <c:spPr>
        <a:noFill/>
        <a:ln>
          <a:noFill/>
        </a:ln>
        <a:effectLst/>
      </c:spPr>
    </c:title>
    <c:autoTitleDeleted val="0"/>
    <c:plotArea>
      <c:layout/>
      <c:barChart>
        <c:barDir val="col"/>
        <c:grouping val="clustered"/>
        <c:varyColors val="0"/>
        <c:ser>
          <c:idx val="0"/>
          <c:order val="0"/>
          <c:tx>
            <c:strRef>
              <c:f>GRAPHS!$B$223</c:f>
              <c:strCache>
                <c:ptCount val="1"/>
                <c:pt idx="0">
                  <c:v>Jerry PLC Supplies</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GRAPHS!$C$222:$D$222</c:f>
              <c:strCache>
                <c:ptCount val="2"/>
                <c:pt idx="0">
                  <c:v>FY-2019</c:v>
                </c:pt>
                <c:pt idx="1">
                  <c:v>FY-2018</c:v>
                </c:pt>
              </c:strCache>
            </c:strRef>
          </c:cat>
          <c:val>
            <c:numRef>
              <c:f>GRAPHS!$C$223:$D$223</c:f>
              <c:numCache>
                <c:formatCode>_(* #,##0.00_);_(* \(#,##0.00\);_(* "-"??_);_(@_)</c:formatCode>
                <c:ptCount val="2"/>
                <c:pt idx="0">
                  <c:v>1.7521845508563443</c:v>
                </c:pt>
                <c:pt idx="1">
                  <c:v>1.6569094622191958</c:v>
                </c:pt>
              </c:numCache>
            </c:numRef>
          </c:val>
          <c:extLst xmlns:c16r2="http://schemas.microsoft.com/office/drawing/2015/06/chart">
            <c:ext xmlns:c16="http://schemas.microsoft.com/office/drawing/2014/chart" uri="{C3380CC4-5D6E-409C-BE32-E72D297353CC}">
              <c16:uniqueId val="{00000000-0E2F-4F6D-B91C-959FCD32839F}"/>
            </c:ext>
          </c:extLst>
        </c:ser>
        <c:dLbls>
          <c:showLegendKey val="0"/>
          <c:showVal val="1"/>
          <c:showCatName val="0"/>
          <c:showSerName val="0"/>
          <c:showPercent val="0"/>
          <c:showBubbleSize val="0"/>
        </c:dLbls>
        <c:gapWidth val="100"/>
        <c:overlap val="-24"/>
        <c:axId val="255832064"/>
        <c:axId val="204148096"/>
      </c:barChart>
      <c:catAx>
        <c:axId val="255832064"/>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148096"/>
        <c:crosses val="autoZero"/>
        <c:auto val="1"/>
        <c:lblAlgn val="ctr"/>
        <c:lblOffset val="100"/>
        <c:noMultiLvlLbl val="0"/>
      </c:catAx>
      <c:valAx>
        <c:axId val="204148096"/>
        <c:scaling>
          <c:orientation val="minMax"/>
        </c:scaling>
        <c:delete val="0"/>
        <c:axPos val="l"/>
        <c:majorGridlines>
          <c:spPr>
            <a:ln w="9525" cap="flat" cmpd="sng" algn="ctr">
              <a:solidFill>
                <a:schemeClr val="tx1">
                  <a:lumMod val="15000"/>
                  <a:lumOff val="85000"/>
                </a:schemeClr>
              </a:solidFill>
              <a:round/>
            </a:ln>
            <a:effectLst/>
          </c:spPr>
        </c:majorGridlines>
        <c:numFmt formatCode="_(* #,##0.00_);_(* \(#,##0.0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5832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Earnings</a:t>
            </a:r>
            <a:r>
              <a:rPr lang="en-US" baseline="0"/>
              <a:t> per share </a:t>
            </a:r>
            <a:r>
              <a:rPr lang="en-US"/>
              <a:t>(£/share)</a:t>
            </a:r>
          </a:p>
        </c:rich>
      </c:tx>
      <c:overlay val="0"/>
      <c:spPr>
        <a:noFill/>
        <a:ln>
          <a:noFill/>
        </a:ln>
        <a:effectLst/>
      </c:spPr>
    </c:title>
    <c:autoTitleDeleted val="0"/>
    <c:plotArea>
      <c:layout/>
      <c:barChart>
        <c:barDir val="col"/>
        <c:grouping val="clustered"/>
        <c:varyColors val="0"/>
        <c:ser>
          <c:idx val="0"/>
          <c:order val="0"/>
          <c:tx>
            <c:strRef>
              <c:f>GRAPHS!$B$341</c:f>
              <c:strCache>
                <c:ptCount val="1"/>
                <c:pt idx="0">
                  <c:v>Jerry PLC Supplies</c:v>
                </c:pt>
              </c:strCache>
            </c:strRef>
          </c:tx>
          <c:spPr>
            <a:solidFill>
              <a:schemeClr val="accent1"/>
            </a:solidFill>
            <a:ln>
              <a:noFill/>
            </a:ln>
            <a:effectLst/>
          </c:spPr>
          <c:invertIfNegative val="0"/>
          <c:dLbls>
            <c:spPr>
              <a:noFill/>
              <a:ln>
                <a:noFill/>
              </a:ln>
              <a:effectLst/>
            </c:spPr>
            <c:txPr>
              <a:bodyPr rot="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GRAPHS!$C$340:$D$340</c:f>
              <c:strCache>
                <c:ptCount val="2"/>
                <c:pt idx="0">
                  <c:v>FY-2019</c:v>
                </c:pt>
                <c:pt idx="1">
                  <c:v>FY-2018</c:v>
                </c:pt>
              </c:strCache>
            </c:strRef>
          </c:cat>
          <c:val>
            <c:numRef>
              <c:f>GRAPHS!$C$341:$D$341</c:f>
              <c:numCache>
                <c:formatCode>_(* #,##0.00_);_(* \(#,##0.00\);_(* "-"??_);_(@_)</c:formatCode>
                <c:ptCount val="2"/>
                <c:pt idx="0">
                  <c:v>0.72471910112359816</c:v>
                </c:pt>
                <c:pt idx="1">
                  <c:v>1.0280898876404518</c:v>
                </c:pt>
              </c:numCache>
            </c:numRef>
          </c:val>
          <c:extLst xmlns:c16r2="http://schemas.microsoft.com/office/drawing/2015/06/chart">
            <c:ext xmlns:c16="http://schemas.microsoft.com/office/drawing/2014/chart" uri="{C3380CC4-5D6E-409C-BE32-E72D297353CC}">
              <c16:uniqueId val="{00000000-8529-4D5D-88D7-2A1612F6CEE9}"/>
            </c:ext>
          </c:extLst>
        </c:ser>
        <c:dLbls>
          <c:showLegendKey val="0"/>
          <c:showVal val="1"/>
          <c:showCatName val="0"/>
          <c:showSerName val="0"/>
          <c:showPercent val="0"/>
          <c:showBubbleSize val="0"/>
        </c:dLbls>
        <c:gapWidth val="444"/>
        <c:overlap val="-90"/>
        <c:axId val="277737472"/>
        <c:axId val="204149824"/>
      </c:barChart>
      <c:catAx>
        <c:axId val="2777374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204149824"/>
        <c:crosses val="autoZero"/>
        <c:auto val="1"/>
        <c:lblAlgn val="ctr"/>
        <c:lblOffset val="100"/>
        <c:noMultiLvlLbl val="0"/>
      </c:catAx>
      <c:valAx>
        <c:axId val="204149824"/>
        <c:scaling>
          <c:orientation val="minMax"/>
        </c:scaling>
        <c:delete val="1"/>
        <c:axPos val="l"/>
        <c:numFmt formatCode="_(* #,##0.00_);_(* \(#,##0.00\);_(* &quot;-&quot;??_);_(@_)" sourceLinked="1"/>
        <c:majorTickMark val="none"/>
        <c:minorTickMark val="none"/>
        <c:tickLblPos val="none"/>
        <c:crossAx val="27773747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580472-7DAA-4E56-8480-71DC8B5477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5024</Words>
  <Characters>28640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2020-08-23T05:32:00Z</dcterms:created>
  <dcterms:modified xsi:type="dcterms:W3CDTF">2020-08-28T17:24:00Z</dcterms:modified>
</cp:coreProperties>
</file>