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38C19E" w:rsidP="2527958C" w:rsidRDefault="2938C19E" w14:paraId="40535168" w14:textId="6B71524B">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BSc (Hons) Health and Social Care</w:t>
      </w:r>
    </w:p>
    <w:p w:rsidR="2938C19E" w:rsidP="2527958C" w:rsidRDefault="2938C19E" w14:paraId="3BF80CBB" w14:textId="4A35C677">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Module: Introduction to Independent Research Skills (BMHP5019)</w:t>
      </w:r>
    </w:p>
    <w:p w:rsidR="2938C19E" w:rsidP="2527958C" w:rsidRDefault="2938C19E" w14:paraId="3FBB58C5" w14:textId="1CF51818">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Assessment title: </w:t>
      </w:r>
      <w:r w:rsidRPr="2527958C" w:rsidR="2938C19E">
        <w:rPr>
          <w:rFonts w:ascii="Arial" w:hAnsi="Arial" w:eastAsia="Arial" w:cs="Arial"/>
          <w:noProof w:val="0"/>
          <w:sz w:val="22"/>
          <w:szCs w:val="22"/>
          <w:lang w:val="en-US"/>
        </w:rPr>
        <w:t xml:space="preserve">Assessment 1 - Research Proposal </w:t>
      </w:r>
    </w:p>
    <w:p w:rsidR="2527958C" w:rsidP="2527958C" w:rsidRDefault="2527958C" w14:paraId="4834187B" w14:textId="2ECAF503">
      <w:pPr>
        <w:spacing w:before="210" w:after="210" w:line="360" w:lineRule="auto"/>
        <w:rPr>
          <w:rFonts w:ascii="Arial" w:hAnsi="Arial" w:eastAsia="Arial" w:cs="Arial"/>
          <w:noProof w:val="0"/>
          <w:sz w:val="22"/>
          <w:szCs w:val="22"/>
          <w:lang w:val="en-US"/>
        </w:rPr>
      </w:pPr>
    </w:p>
    <w:p w:rsidR="2938C19E" w:rsidP="2527958C" w:rsidRDefault="2938C19E" w14:paraId="294CC7F8" w14:textId="4543ACAF">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Student ID: </w:t>
      </w:r>
      <w:r w:rsidRPr="2527958C" w:rsidR="2938C19E">
        <w:rPr>
          <w:rFonts w:ascii="Arial" w:hAnsi="Arial" w:eastAsia="Arial" w:cs="Arial"/>
          <w:noProof w:val="0"/>
          <w:sz w:val="22"/>
          <w:szCs w:val="22"/>
          <w:lang w:val="en-US"/>
        </w:rPr>
        <w:t>2316842</w:t>
      </w:r>
    </w:p>
    <w:p w:rsidR="2938C19E" w:rsidP="2527958C" w:rsidRDefault="2938C19E" w14:paraId="6C08514D" w14:textId="69842E7B">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Student Name</w:t>
      </w:r>
      <w:r w:rsidRPr="2527958C" w:rsidR="2938C19E">
        <w:rPr>
          <w:rFonts w:ascii="Arial" w:hAnsi="Arial" w:eastAsia="Arial" w:cs="Arial"/>
          <w:noProof w:val="0"/>
          <w:sz w:val="22"/>
          <w:szCs w:val="22"/>
          <w:lang w:val="en-US"/>
        </w:rPr>
        <w:t xml:space="preserve">: Sintia Ponta Garca Do Rosario </w:t>
      </w:r>
    </w:p>
    <w:p w:rsidR="2938C19E" w:rsidP="2527958C" w:rsidRDefault="2938C19E" w14:paraId="4E12DEFC" w14:textId="744ACA6C">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Lecturer: </w:t>
      </w:r>
      <w:r w:rsidRPr="2527958C" w:rsidR="2938C19E">
        <w:rPr>
          <w:rFonts w:ascii="Arial" w:hAnsi="Arial" w:eastAsia="Arial" w:cs="Arial"/>
          <w:noProof w:val="0"/>
          <w:sz w:val="22"/>
          <w:szCs w:val="22"/>
          <w:lang w:val="en-US"/>
        </w:rPr>
        <w:t>Bianca Sanfilippo</w:t>
      </w:r>
    </w:p>
    <w:p w:rsidR="2527958C" w:rsidP="2527958C" w:rsidRDefault="2527958C" w14:paraId="4EACFB9B" w14:textId="06F6603E">
      <w:pPr>
        <w:spacing w:before="210" w:after="210" w:line="360" w:lineRule="auto"/>
        <w:rPr>
          <w:rFonts w:ascii="Arial" w:hAnsi="Arial" w:eastAsia="Arial" w:cs="Arial"/>
          <w:noProof w:val="0"/>
          <w:sz w:val="22"/>
          <w:szCs w:val="22"/>
          <w:lang w:val="en-US"/>
        </w:rPr>
      </w:pPr>
    </w:p>
    <w:p w:rsidR="2938C19E" w:rsidP="2527958C" w:rsidRDefault="2938C19E" w14:paraId="0D576878" w14:textId="5DD0547F">
      <w:pPr>
        <w:spacing w:before="210" w:after="21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Date of submission: 6</w:t>
      </w:r>
      <w:r w:rsidRPr="2527958C" w:rsidR="2938C19E">
        <w:rPr>
          <w:rFonts w:ascii="Arial" w:hAnsi="Arial" w:eastAsia="Arial" w:cs="Arial"/>
          <w:b w:val="1"/>
          <w:bCs w:val="1"/>
          <w:noProof w:val="0"/>
          <w:sz w:val="22"/>
          <w:szCs w:val="22"/>
          <w:vertAlign w:val="superscript"/>
          <w:lang w:val="en-US"/>
        </w:rPr>
        <w:t>th</w:t>
      </w:r>
      <w:r w:rsidRPr="2527958C" w:rsidR="2938C19E">
        <w:rPr>
          <w:rFonts w:ascii="Arial" w:hAnsi="Arial" w:eastAsia="Arial" w:cs="Arial"/>
          <w:b w:val="1"/>
          <w:bCs w:val="1"/>
          <w:noProof w:val="0"/>
          <w:sz w:val="22"/>
          <w:szCs w:val="22"/>
          <w:lang w:val="en-US"/>
        </w:rPr>
        <w:t xml:space="preserve"> of November 2025, 2pm.</w:t>
      </w:r>
    </w:p>
    <w:p w:rsidR="2938C19E" w:rsidP="2527958C" w:rsidRDefault="2938C19E" w14:paraId="68BC9B6A" w14:textId="495D049F">
      <w:pPr>
        <w:spacing w:before="210" w:beforeAutospacing="off" w:after="210" w:afterAutospacing="off" w:line="360" w:lineRule="auto"/>
        <w:jc w:val="left"/>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Word count: 40</w:t>
      </w:r>
      <w:r w:rsidRPr="2527958C" w:rsidR="2938C19E">
        <w:rPr>
          <w:rFonts w:ascii="Arial" w:hAnsi="Arial" w:eastAsia="Arial" w:cs="Arial"/>
          <w:noProof w:val="0"/>
          <w:sz w:val="22"/>
          <w:szCs w:val="22"/>
          <w:lang w:val="en-US"/>
        </w:rPr>
        <w:t>0 words</w:t>
      </w:r>
    </w:p>
    <w:p w:rsidR="2527958C" w:rsidP="2527958C" w:rsidRDefault="2527958C" w14:paraId="08800A16" w14:textId="758867DC">
      <w:pPr>
        <w:spacing w:before="210" w:after="210" w:line="360" w:lineRule="auto"/>
        <w:rPr>
          <w:rFonts w:ascii="Arial" w:hAnsi="Arial" w:eastAsia="Arial" w:cs="Arial"/>
          <w:noProof w:val="0"/>
          <w:sz w:val="22"/>
          <w:szCs w:val="22"/>
          <w:lang w:val="en-US"/>
        </w:rPr>
      </w:pPr>
    </w:p>
    <w:p w:rsidR="2527958C" w:rsidP="2527958C" w:rsidRDefault="2527958C" w14:paraId="78B029DA" w14:textId="39EE0DAD">
      <w:pPr>
        <w:spacing w:before="240" w:beforeAutospacing="off" w:after="240" w:afterAutospacing="off" w:line="360" w:lineRule="auto"/>
        <w:jc w:val="left"/>
        <w:rPr>
          <w:rFonts w:ascii="Arial" w:hAnsi="Arial" w:eastAsia="Arial" w:cs="Arial"/>
          <w:noProof w:val="0"/>
          <w:sz w:val="22"/>
          <w:szCs w:val="22"/>
          <w:lang w:val="en-US"/>
        </w:rPr>
      </w:pPr>
    </w:p>
    <w:p w:rsidR="2527958C" w:rsidP="2527958C" w:rsidRDefault="2527958C" w14:paraId="139F0F27" w14:textId="596D0A78">
      <w:pPr>
        <w:spacing w:before="240" w:beforeAutospacing="off" w:after="240" w:afterAutospacing="off" w:line="360" w:lineRule="auto"/>
        <w:jc w:val="left"/>
        <w:rPr>
          <w:rFonts w:ascii="Arial" w:hAnsi="Arial" w:eastAsia="Arial" w:cs="Arial"/>
          <w:noProof w:val="0"/>
          <w:sz w:val="22"/>
          <w:szCs w:val="22"/>
          <w:lang w:val="en-US"/>
        </w:rPr>
      </w:pPr>
    </w:p>
    <w:p w:rsidR="2527958C" w:rsidP="2527958C" w:rsidRDefault="2527958C" w14:paraId="64EFB97C" w14:textId="310B1FA2">
      <w:pPr>
        <w:spacing w:before="240" w:beforeAutospacing="off" w:after="240" w:afterAutospacing="off" w:line="360" w:lineRule="auto"/>
        <w:jc w:val="left"/>
        <w:rPr>
          <w:rFonts w:ascii="Arial" w:hAnsi="Arial" w:eastAsia="Arial" w:cs="Arial"/>
          <w:noProof w:val="0"/>
          <w:sz w:val="22"/>
          <w:szCs w:val="22"/>
          <w:lang w:val="en-US"/>
        </w:rPr>
      </w:pPr>
    </w:p>
    <w:p w:rsidR="2527958C" w:rsidP="2527958C" w:rsidRDefault="2527958C" w14:paraId="22211490" w14:textId="26FA098A">
      <w:pPr>
        <w:spacing w:before="240" w:beforeAutospacing="off" w:after="240" w:afterAutospacing="off" w:line="360" w:lineRule="auto"/>
        <w:jc w:val="left"/>
        <w:rPr>
          <w:rFonts w:ascii="Arial" w:hAnsi="Arial" w:eastAsia="Arial" w:cs="Arial"/>
          <w:noProof w:val="0"/>
          <w:sz w:val="22"/>
          <w:szCs w:val="22"/>
          <w:lang w:val="en-US"/>
        </w:rPr>
      </w:pPr>
    </w:p>
    <w:p w:rsidR="2527958C" w:rsidP="2527958C" w:rsidRDefault="2527958C" w14:paraId="0B87E93D" w14:textId="6C4ACC71">
      <w:pPr>
        <w:spacing w:before="240" w:beforeAutospacing="off" w:after="240" w:afterAutospacing="off" w:line="360" w:lineRule="auto"/>
        <w:jc w:val="left"/>
        <w:rPr>
          <w:rFonts w:ascii="Arial" w:hAnsi="Arial" w:eastAsia="Arial" w:cs="Arial"/>
          <w:noProof w:val="0"/>
          <w:sz w:val="22"/>
          <w:szCs w:val="22"/>
          <w:lang w:val="en-US"/>
        </w:rPr>
      </w:pPr>
    </w:p>
    <w:p w:rsidR="2938C19E" w:rsidP="2527958C" w:rsidRDefault="2938C19E" w14:paraId="1A56FEC0" w14:textId="51F452CF">
      <w:pPr>
        <w:spacing w:before="240" w:beforeAutospacing="off" w:after="240" w:afterAutospacing="off" w:line="360" w:lineRule="auto"/>
        <w:jc w:val="left"/>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Research Proposal </w:t>
      </w:r>
    </w:p>
    <w:p w:rsidR="2938C19E" w:rsidP="2527958C" w:rsidRDefault="2938C19E" w14:paraId="2E850CC7" w14:textId="3B111F22">
      <w:pPr>
        <w:spacing w:before="240" w:beforeAutospacing="off" w:after="240" w:afterAutospacing="off" w:line="360" w:lineRule="auto"/>
        <w:jc w:val="left"/>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Topic: </w:t>
      </w:r>
      <w:r w:rsidRPr="2527958C" w:rsidR="2938C19E">
        <w:rPr>
          <w:rFonts w:ascii="Arial" w:hAnsi="Arial" w:eastAsia="Arial" w:cs="Arial"/>
          <w:noProof w:val="0"/>
          <w:sz w:val="22"/>
          <w:szCs w:val="22"/>
          <w:lang w:val="en-US"/>
        </w:rPr>
        <w:t>The influence of cultural beliefs in reproductive health decisions</w:t>
      </w:r>
    </w:p>
    <w:p w:rsidR="2938C19E" w:rsidP="2527958C" w:rsidRDefault="2938C19E" w14:paraId="31B716F2" w14:textId="48FDEEA8">
      <w:pPr>
        <w:spacing w:before="240" w:after="24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1) Review question: </w:t>
      </w:r>
    </w:p>
    <w:p w:rsidR="2938C19E" w:rsidP="2527958C" w:rsidRDefault="2938C19E" w14:paraId="40E6E3EF" w14:textId="588A0B5C">
      <w:pPr>
        <w:spacing w:before="240" w:beforeAutospacing="off" w:after="240" w:afterAutospacing="off" w:line="360" w:lineRule="auto"/>
        <w:jc w:val="left"/>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How can the influence of cultural beliefs on reproductive health decisions be an issue for many patients in the UK?</w:t>
      </w:r>
    </w:p>
    <w:p w:rsidR="2938C19E" w:rsidP="2527958C" w:rsidRDefault="2938C19E" w14:paraId="5F0C9416" w14:textId="61A10342">
      <w:pPr>
        <w:spacing w:before="240" w:after="24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2) Objectives:</w:t>
      </w:r>
    </w:p>
    <w:p w:rsidR="2938C19E" w:rsidP="2527958C" w:rsidRDefault="2938C19E" w14:paraId="5DA7FAFF" w14:textId="61DAD209">
      <w:pPr>
        <w:pStyle w:val="ListParagraph"/>
        <w:numPr>
          <w:ilvl w:val="0"/>
          <w:numId w:val="1"/>
        </w:numPr>
        <w:spacing w:before="240" w:after="240"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To analyze the reasons why and how cultural beliefs can have a bad impact on the patient’s life.</w:t>
      </w:r>
    </w:p>
    <w:p w:rsidR="2527958C" w:rsidP="2527958C" w:rsidRDefault="2527958C" w14:paraId="4121BEC6" w14:textId="7A3E6357">
      <w:pPr>
        <w:spacing w:before="240" w:after="240" w:line="360" w:lineRule="auto"/>
        <w:ind w:left="720"/>
        <w:rPr>
          <w:rFonts w:ascii="Arial" w:hAnsi="Arial" w:eastAsia="Arial" w:cs="Arial"/>
          <w:noProof w:val="0"/>
          <w:sz w:val="22"/>
          <w:szCs w:val="22"/>
          <w:lang w:val="en-US"/>
        </w:rPr>
      </w:pPr>
    </w:p>
    <w:p w:rsidR="2938C19E" w:rsidP="2527958C" w:rsidRDefault="2938C19E" w14:paraId="372E0569" w14:textId="564FD0C6">
      <w:pPr>
        <w:pStyle w:val="ListParagraph"/>
        <w:numPr>
          <w:ilvl w:val="0"/>
          <w:numId w:val="1"/>
        </w:numPr>
        <w:spacing w:before="240" w:after="240"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To describe how it can be hard to make decisions having different cultural ethical beliefs on reproductive health decisions.</w:t>
      </w:r>
    </w:p>
    <w:p w:rsidR="2527958C" w:rsidP="2527958C" w:rsidRDefault="2527958C" w14:paraId="79D877D3" w14:textId="1CC3B8CF">
      <w:pPr>
        <w:spacing w:before="240" w:after="240" w:line="360" w:lineRule="auto"/>
        <w:ind w:left="720"/>
        <w:rPr>
          <w:rFonts w:ascii="Arial" w:hAnsi="Arial" w:eastAsia="Arial" w:cs="Arial"/>
          <w:noProof w:val="0"/>
          <w:sz w:val="22"/>
          <w:szCs w:val="22"/>
          <w:lang w:val="en-US"/>
        </w:rPr>
      </w:pPr>
    </w:p>
    <w:p w:rsidR="2938C19E" w:rsidP="2527958C" w:rsidRDefault="2938C19E" w14:paraId="1B1B5143" w14:textId="56FCB851">
      <w:pPr>
        <w:pStyle w:val="ListParagraph"/>
        <w:numPr>
          <w:ilvl w:val="0"/>
          <w:numId w:val="1"/>
        </w:numPr>
        <w:spacing w:before="240" w:after="240"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To provide recommendations that help patients with cultural beliefs on decision making on reproductive health decisions.</w:t>
      </w:r>
    </w:p>
    <w:p w:rsidR="2938C19E" w:rsidP="2527958C" w:rsidRDefault="2938C19E" w14:paraId="14EC1593" w14:textId="39E9DB68">
      <w:pPr>
        <w:spacing w:before="240" w:beforeAutospacing="off" w:after="240" w:afterAutospacing="off" w:line="360" w:lineRule="auto"/>
        <w:jc w:val="left"/>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3) Rationale:</w:t>
      </w:r>
    </w:p>
    <w:p w:rsidR="2938C19E" w:rsidP="2527958C" w:rsidRDefault="2938C19E" w14:paraId="4074A9A0" w14:textId="2D9088A5">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Women's perceptions of and use of contraception are shaped by social and cultural norms, gender roles, and community behaviors that have a significant impact on reproductive health decision-making.</w:t>
      </w:r>
      <w:r w:rsidRPr="2527958C" w:rsidR="2938C19E">
        <w:rPr>
          <w:rFonts w:ascii="Arial" w:hAnsi="Arial" w:eastAsia="Arial" w:cs="Arial"/>
          <w:noProof w:val="0"/>
          <w:sz w:val="22"/>
          <w:szCs w:val="22"/>
          <w:lang w:val="en-US"/>
        </w:rPr>
        <w:t xml:space="preserve"> Religious expectations, patriarchal structures, and traditional beliefs continue to significantly restrict women's access to family planning services and reproductive options in many low- and lower-middle-income nations. (Idris </w:t>
      </w:r>
      <w:r w:rsidRPr="2527958C" w:rsidR="2938C19E">
        <w:rPr>
          <w:rFonts w:ascii="Arial" w:hAnsi="Arial" w:eastAsia="Arial" w:cs="Arial"/>
          <w:i w:val="1"/>
          <w:iCs w:val="1"/>
          <w:noProof w:val="0"/>
          <w:sz w:val="22"/>
          <w:szCs w:val="22"/>
          <w:lang w:val="en-US"/>
        </w:rPr>
        <w:t>et al.</w:t>
      </w:r>
      <w:r w:rsidRPr="2527958C" w:rsidR="2938C19E">
        <w:rPr>
          <w:rFonts w:ascii="Arial" w:hAnsi="Arial" w:eastAsia="Arial" w:cs="Arial"/>
          <w:noProof w:val="0"/>
          <w:sz w:val="22"/>
          <w:szCs w:val="22"/>
          <w:lang w:val="en-US"/>
        </w:rPr>
        <w:t>, 2022).</w:t>
      </w:r>
    </w:p>
    <w:p w:rsidR="2938C19E" w:rsidP="2527958C" w:rsidRDefault="2938C19E" w14:paraId="72947738" w14:textId="1B4C9AEA">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4) Methods:</w:t>
      </w:r>
    </w:p>
    <w:p w:rsidR="2938C19E" w:rsidP="2527958C" w:rsidRDefault="2938C19E" w14:paraId="6F0C39BF" w14:textId="61C3F336">
      <w:p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 xml:space="preserve">I will be using Secondary research and scoping review as the methods to explore how sociocultural beliefs, gender norms, and community practices influenced women’s reproductive health decision-making and contraceptive use. (Piotr </w:t>
      </w:r>
      <w:r w:rsidRPr="2527958C" w:rsidR="2938C19E">
        <w:rPr>
          <w:rFonts w:ascii="Arial" w:hAnsi="Arial" w:eastAsia="Arial" w:cs="Arial"/>
          <w:i w:val="1"/>
          <w:iCs w:val="1"/>
          <w:noProof w:val="0"/>
          <w:color w:val="000000" w:themeColor="text1" w:themeTint="FF" w:themeShade="FF"/>
          <w:sz w:val="22"/>
          <w:szCs w:val="22"/>
          <w:lang w:val="en-US"/>
        </w:rPr>
        <w:t>et al.</w:t>
      </w:r>
      <w:r w:rsidRPr="2527958C" w:rsidR="2938C19E">
        <w:rPr>
          <w:rFonts w:ascii="Arial" w:hAnsi="Arial" w:eastAsia="Arial" w:cs="Arial"/>
          <w:noProof w:val="0"/>
          <w:color w:val="000000" w:themeColor="text1" w:themeTint="FF" w:themeShade="FF"/>
          <w:sz w:val="22"/>
          <w:szCs w:val="22"/>
          <w:lang w:val="en-US"/>
        </w:rPr>
        <w:t>, 2025).</w:t>
      </w:r>
    </w:p>
    <w:p w:rsidR="2938C19E" w:rsidP="2527958C" w:rsidRDefault="2938C19E" w14:paraId="5AC20125" w14:textId="3675E5FE">
      <w:pPr>
        <w:pStyle w:val="ListParagraph"/>
        <w:numPr>
          <w:ilvl w:val="0"/>
          <w:numId w:val="2"/>
        </w:num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PubMed</w:t>
      </w:r>
    </w:p>
    <w:p w:rsidR="2938C19E" w:rsidP="2527958C" w:rsidRDefault="2938C19E" w14:paraId="621EA46E" w14:textId="1D9C876C">
      <w:pPr>
        <w:pStyle w:val="ListParagraph"/>
        <w:numPr>
          <w:ilvl w:val="0"/>
          <w:numId w:val="2"/>
        </w:num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ProQuest</w:t>
      </w:r>
    </w:p>
    <w:p w:rsidR="2938C19E" w:rsidP="2527958C" w:rsidRDefault="2938C19E" w14:paraId="1DA9E1F4" w14:textId="4E4B8AEF">
      <w:pPr>
        <w:pStyle w:val="ListParagraph"/>
        <w:numPr>
          <w:ilvl w:val="0"/>
          <w:numId w:val="2"/>
        </w:num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Google Scholar</w:t>
      </w:r>
    </w:p>
    <w:p w:rsidR="2938C19E" w:rsidP="2527958C" w:rsidRDefault="2938C19E" w14:paraId="2DD6F4AD" w14:textId="22C461FA">
      <w:pPr>
        <w:pStyle w:val="ListParagraph"/>
        <w:numPr>
          <w:ilvl w:val="0"/>
          <w:numId w:val="2"/>
        </w:num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 xml:space="preserve">UWTSD Library </w:t>
      </w:r>
    </w:p>
    <w:p w:rsidR="2938C19E" w:rsidP="2527958C" w:rsidRDefault="2938C19E" w14:paraId="08CEC14E" w14:textId="6CB39AD2">
      <w:p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b w:val="1"/>
          <w:bCs w:val="1"/>
          <w:noProof w:val="0"/>
          <w:color w:val="000000" w:themeColor="text1" w:themeTint="FF" w:themeShade="FF"/>
          <w:sz w:val="22"/>
          <w:szCs w:val="22"/>
          <w:lang w:val="en-US"/>
        </w:rPr>
        <w:t>Key words:</w:t>
      </w:r>
    </w:p>
    <w:p w:rsidR="2938C19E" w:rsidP="2527958C" w:rsidRDefault="2938C19E" w14:paraId="2A5796BE" w14:textId="70CD87FC">
      <w:pPr>
        <w:spacing w:before="240" w:after="240" w:line="360" w:lineRule="auto"/>
        <w:rPr>
          <w:rFonts w:ascii="Arial" w:hAnsi="Arial" w:eastAsia="Arial" w:cs="Arial"/>
          <w:noProof w:val="0"/>
          <w:color w:val="000000" w:themeColor="text1" w:themeTint="FF" w:themeShade="FF"/>
          <w:sz w:val="22"/>
          <w:szCs w:val="22"/>
          <w:lang w:val="en-US"/>
        </w:rPr>
      </w:pPr>
      <w:r w:rsidRPr="2527958C" w:rsidR="2938C19E">
        <w:rPr>
          <w:rFonts w:ascii="Arial" w:hAnsi="Arial" w:eastAsia="Arial" w:cs="Arial"/>
          <w:noProof w:val="0"/>
          <w:color w:val="000000" w:themeColor="text1" w:themeTint="FF" w:themeShade="FF"/>
          <w:sz w:val="22"/>
          <w:szCs w:val="22"/>
          <w:lang w:val="en-US"/>
        </w:rPr>
        <w:t>“Reproductive health”, “Contraceptive use”, “Sociocultural factors”, “Reproductive autonomy”, “Family planning”, “Women’s empowerment”, “Cultural influences”, “Health decision-making".</w:t>
      </w:r>
    </w:p>
    <w:p w:rsidR="2938C19E" w:rsidP="2527958C" w:rsidRDefault="2938C19E" w14:paraId="7A352C5D" w14:textId="306E27D4">
      <w:pPr>
        <w:spacing w:before="240" w:after="240" w:line="360" w:lineRule="auto"/>
        <w:rPr>
          <w:rFonts w:ascii="Arial" w:hAnsi="Arial" w:eastAsia="Arial" w:cs="Arial"/>
          <w:noProof w:val="0"/>
          <w:color w:val="000000" w:themeColor="text1" w:themeTint="FF" w:themeShade="FF"/>
          <w:sz w:val="22"/>
          <w:szCs w:val="22"/>
          <w:lang w:val="en-GB"/>
        </w:rPr>
      </w:pPr>
      <w:r w:rsidRPr="2527958C" w:rsidR="2938C19E">
        <w:rPr>
          <w:rFonts w:ascii="Arial" w:hAnsi="Arial" w:eastAsia="Arial" w:cs="Arial"/>
          <w:b w:val="1"/>
          <w:bCs w:val="1"/>
          <w:noProof w:val="0"/>
          <w:color w:val="000000" w:themeColor="text1" w:themeTint="FF" w:themeShade="FF"/>
          <w:sz w:val="22"/>
          <w:szCs w:val="22"/>
          <w:lang w:val="en-US"/>
        </w:rPr>
        <w:t>Inclusion criteria:</w:t>
      </w:r>
    </w:p>
    <w:p w:rsidR="2938C19E" w:rsidP="2527958C" w:rsidRDefault="2938C19E" w14:paraId="517CCAA9" w14:textId="3A6DD090">
      <w:pPr>
        <w:pStyle w:val="ListParagraph"/>
        <w:numPr>
          <w:ilvl w:val="0"/>
          <w:numId w:val="3"/>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Published within the last ten years (2015 and 2025).</w:t>
      </w:r>
    </w:p>
    <w:p w:rsidR="2938C19E" w:rsidP="2527958C" w:rsidRDefault="2938C19E" w14:paraId="359634EE" w14:textId="72EFEF43">
      <w:pPr>
        <w:pStyle w:val="ListParagraph"/>
        <w:numPr>
          <w:ilvl w:val="0"/>
          <w:numId w:val="3"/>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Written in English.</w:t>
      </w:r>
    </w:p>
    <w:p w:rsidR="2938C19E" w:rsidP="2527958C" w:rsidRDefault="2938C19E" w14:paraId="137E33FE" w14:textId="7C1026CC">
      <w:pPr>
        <w:pStyle w:val="ListParagraph"/>
        <w:numPr>
          <w:ilvl w:val="0"/>
          <w:numId w:val="3"/>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It is conducted in low- and lower-middle-income countries.</w:t>
      </w:r>
    </w:p>
    <w:p w:rsidR="2938C19E" w:rsidP="2527958C" w:rsidRDefault="2938C19E" w14:paraId="5713463C" w14:textId="1B959192">
      <w:pPr>
        <w:pStyle w:val="ListParagraph"/>
        <w:numPr>
          <w:ilvl w:val="0"/>
          <w:numId w:val="3"/>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Addressed women’s reproductive health decision-making, contraceptive use, or related sociocultural and gender factors.</w:t>
      </w:r>
    </w:p>
    <w:p w:rsidR="2938C19E" w:rsidP="2527958C" w:rsidRDefault="2938C19E" w14:paraId="2F813E2B" w14:textId="65101CED">
      <w:pPr>
        <w:pStyle w:val="ListParagraph"/>
        <w:numPr>
          <w:ilvl w:val="0"/>
          <w:numId w:val="3"/>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Provided sufficient data and analysis relevant to reproductive autonomy and access to family planning services.</w:t>
      </w:r>
    </w:p>
    <w:p w:rsidR="2527958C" w:rsidP="2527958C" w:rsidRDefault="2527958C" w14:paraId="0EAE04DD" w14:textId="116F2195">
      <w:pPr>
        <w:spacing w:before="195" w:after="195" w:line="360" w:lineRule="auto"/>
        <w:rPr>
          <w:rFonts w:ascii="Arial" w:hAnsi="Arial" w:eastAsia="Arial" w:cs="Arial"/>
          <w:noProof w:val="0"/>
          <w:sz w:val="22"/>
          <w:szCs w:val="22"/>
          <w:lang w:val="en-GB"/>
        </w:rPr>
      </w:pPr>
    </w:p>
    <w:p w:rsidR="2527958C" w:rsidP="2527958C" w:rsidRDefault="2527958C" w14:paraId="578C9242" w14:textId="6FF39E43">
      <w:pPr>
        <w:spacing w:before="195" w:after="195" w:line="360" w:lineRule="auto"/>
        <w:rPr>
          <w:rFonts w:ascii="Arial" w:hAnsi="Arial" w:eastAsia="Arial" w:cs="Arial"/>
          <w:noProof w:val="0"/>
          <w:sz w:val="22"/>
          <w:szCs w:val="22"/>
          <w:lang w:val="en-GB"/>
        </w:rPr>
      </w:pPr>
    </w:p>
    <w:p w:rsidR="2527958C" w:rsidP="2527958C" w:rsidRDefault="2527958C" w14:paraId="30D11AC3" w14:textId="5BC0473C">
      <w:pPr>
        <w:spacing w:before="195" w:after="195" w:line="360" w:lineRule="auto"/>
        <w:rPr>
          <w:rFonts w:ascii="Arial" w:hAnsi="Arial" w:eastAsia="Arial" w:cs="Arial"/>
          <w:noProof w:val="0"/>
          <w:sz w:val="22"/>
          <w:szCs w:val="22"/>
          <w:lang w:val="en-GB"/>
        </w:rPr>
      </w:pPr>
    </w:p>
    <w:p w:rsidR="2527958C" w:rsidP="2527958C" w:rsidRDefault="2527958C" w14:paraId="6BF8A91A" w14:textId="651F03D4">
      <w:pPr>
        <w:spacing w:before="195" w:after="195" w:line="360" w:lineRule="auto"/>
        <w:rPr>
          <w:rFonts w:ascii="Arial" w:hAnsi="Arial" w:eastAsia="Arial" w:cs="Arial"/>
          <w:noProof w:val="0"/>
          <w:sz w:val="22"/>
          <w:szCs w:val="22"/>
          <w:lang w:val="en-GB"/>
        </w:rPr>
      </w:pPr>
    </w:p>
    <w:p w:rsidR="2938C19E" w:rsidP="2527958C" w:rsidRDefault="2938C19E" w14:paraId="7810C467" w14:textId="234B82FC">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Exclusion criteria:</w:t>
      </w:r>
    </w:p>
    <w:p w:rsidR="2938C19E" w:rsidP="2527958C" w:rsidRDefault="2938C19E" w14:paraId="7F046BD6" w14:textId="780B46B8">
      <w:pPr>
        <w:pStyle w:val="ListParagraph"/>
        <w:numPr>
          <w:ilvl w:val="0"/>
          <w:numId w:val="4"/>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Not written in English.</w:t>
      </w:r>
    </w:p>
    <w:p w:rsidR="2938C19E" w:rsidP="2527958C" w:rsidRDefault="2938C19E" w14:paraId="7077446C" w14:textId="25D5ECD0">
      <w:pPr>
        <w:pStyle w:val="ListParagraph"/>
        <w:numPr>
          <w:ilvl w:val="0"/>
          <w:numId w:val="4"/>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Conducted in high-income countries.</w:t>
      </w:r>
    </w:p>
    <w:p w:rsidR="2938C19E" w:rsidP="2527958C" w:rsidRDefault="2938C19E" w14:paraId="4BBAD5D0" w14:textId="55EC521D">
      <w:pPr>
        <w:pStyle w:val="ListParagraph"/>
        <w:numPr>
          <w:ilvl w:val="0"/>
          <w:numId w:val="4"/>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Did not focus on women’s reproductive health decision-making, contraceptive use, or sociocultural/gender influences.</w:t>
      </w:r>
    </w:p>
    <w:p w:rsidR="2938C19E" w:rsidP="2527958C" w:rsidRDefault="2938C19E" w14:paraId="0F268FD4" w14:textId="354E63D1">
      <w:pPr>
        <w:pStyle w:val="ListParagraph"/>
        <w:numPr>
          <w:ilvl w:val="0"/>
          <w:numId w:val="4"/>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Lacked sufficient data, analysis, or relevance to reproductive autonomy and access to family planning services.</w:t>
      </w:r>
    </w:p>
    <w:p w:rsidR="2938C19E" w:rsidP="2527958C" w:rsidRDefault="2938C19E" w14:paraId="2D6A074B" w14:textId="478A12A5">
      <w:pPr>
        <w:pStyle w:val="ListParagraph"/>
        <w:numPr>
          <w:ilvl w:val="0"/>
          <w:numId w:val="4"/>
        </w:num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Non-peer-reviewed sources, editorials, or opinion pieces.</w:t>
      </w:r>
    </w:p>
    <w:p w:rsidR="2938C19E" w:rsidP="2527958C" w:rsidRDefault="2938C19E" w14:paraId="78EC4D02" w14:textId="1C84EFD0">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Data Analysis:</w:t>
      </w:r>
    </w:p>
    <w:p w:rsidR="2938C19E" w:rsidP="2527958C" w:rsidRDefault="2938C19E" w14:paraId="1DEFBC7F" w14:textId="402F9799">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“Conducted thematic analysis of extracted review findings” (Rich et al., 2021).</w:t>
      </w:r>
    </w:p>
    <w:p w:rsidR="2527958C" w:rsidP="2527958C" w:rsidRDefault="2527958C" w14:paraId="63EC03BB" w14:textId="09AA0509">
      <w:pPr>
        <w:spacing w:after="0" w:line="360" w:lineRule="auto"/>
        <w:rPr>
          <w:rFonts w:ascii="Arial" w:hAnsi="Arial" w:eastAsia="Arial" w:cs="Arial"/>
          <w:noProof w:val="0"/>
          <w:sz w:val="22"/>
          <w:szCs w:val="22"/>
          <w:lang w:val="en-GB"/>
        </w:rPr>
      </w:pPr>
    </w:p>
    <w:p w:rsidR="2938C19E" w:rsidP="2527958C" w:rsidRDefault="2938C19E" w14:paraId="02E1B481" w14:textId="5608484E">
      <w:pPr>
        <w:spacing w:after="0" w:line="360" w:lineRule="auto"/>
        <w:rPr>
          <w:rFonts w:ascii="Arial" w:hAnsi="Arial" w:eastAsia="Arial" w:cs="Arial"/>
          <w:noProof w:val="0"/>
          <w:sz w:val="22"/>
          <w:szCs w:val="22"/>
          <w:lang w:val="en-US"/>
        </w:rPr>
      </w:pPr>
      <w:r w:rsidRPr="2527958C" w:rsidR="2938C19E">
        <w:rPr>
          <w:rFonts w:ascii="Arial" w:hAnsi="Arial" w:eastAsia="Arial" w:cs="Arial"/>
          <w:b w:val="1"/>
          <w:bCs w:val="1"/>
          <w:noProof w:val="0"/>
          <w:sz w:val="22"/>
          <w:szCs w:val="22"/>
          <w:lang w:val="en-US"/>
        </w:rPr>
        <w:t xml:space="preserve">5) Ethical considerations: </w:t>
      </w:r>
    </w:p>
    <w:p w:rsidR="2938C19E" w:rsidP="2527958C" w:rsidRDefault="2938C19E" w14:paraId="622AE4FB" w14:textId="6C4C0BCD">
      <w:pPr>
        <w:spacing w:before="240" w:after="240"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 xml:space="preserve">This study will be based on secondary research using published articles from sources. To avoid plagiarism and to give credit to the original writers, all sources are going to be correctly cited and referenced. </w:t>
      </w:r>
    </w:p>
    <w:p w:rsidR="2938C19E" w:rsidP="2527958C" w:rsidRDefault="2938C19E" w14:paraId="1E40950E" w14:textId="44579DB4">
      <w:pPr>
        <w:spacing w:before="195" w:after="195" w:line="360" w:lineRule="auto"/>
        <w:rPr>
          <w:rFonts w:ascii="Arial" w:hAnsi="Arial" w:eastAsia="Arial" w:cs="Arial"/>
          <w:noProof w:val="0"/>
          <w:sz w:val="22"/>
          <w:szCs w:val="22"/>
          <w:lang w:val="en-US"/>
        </w:rPr>
      </w:pPr>
      <w:r w:rsidRPr="2527958C" w:rsidR="2938C19E">
        <w:rPr>
          <w:rFonts w:ascii="Arial" w:hAnsi="Arial" w:eastAsia="Arial" w:cs="Arial"/>
          <w:noProof w:val="0"/>
          <w:sz w:val="22"/>
          <w:szCs w:val="22"/>
          <w:lang w:val="en-US"/>
        </w:rPr>
        <w:t xml:space="preserve">The information used will be publicly accessible and does not contain any private or sensitive data. To ensure the integrity and respect for the ethical standards of research on human beings, great care will be taken to accurately review each study and report on findings. (Scheidt </w:t>
      </w:r>
      <w:r w:rsidRPr="2527958C" w:rsidR="2938C19E">
        <w:rPr>
          <w:rFonts w:ascii="Arial" w:hAnsi="Arial" w:eastAsia="Arial" w:cs="Arial"/>
          <w:i w:val="1"/>
          <w:iCs w:val="1"/>
          <w:noProof w:val="0"/>
          <w:sz w:val="22"/>
          <w:szCs w:val="22"/>
          <w:lang w:val="en-US"/>
        </w:rPr>
        <w:t>et al.</w:t>
      </w:r>
      <w:r w:rsidRPr="2527958C" w:rsidR="2938C19E">
        <w:rPr>
          <w:rFonts w:ascii="Arial" w:hAnsi="Arial" w:eastAsia="Arial" w:cs="Arial"/>
          <w:noProof w:val="0"/>
          <w:sz w:val="22"/>
          <w:szCs w:val="22"/>
          <w:lang w:val="en-US"/>
        </w:rPr>
        <w:t>, 2018)</w:t>
      </w:r>
    </w:p>
    <w:p w:rsidR="2527958C" w:rsidP="2527958C" w:rsidRDefault="2527958C" w14:paraId="37C8ECA4" w14:textId="009C83E4">
      <w:pPr>
        <w:spacing w:before="195" w:beforeAutospacing="off" w:after="195" w:afterAutospacing="off"/>
        <w:rPr>
          <w:rFonts w:ascii="Helvetica Neue" w:hAnsi="Helvetica Neue" w:eastAsia="Helvetica Neue" w:cs="Helvetica Neue"/>
          <w:i w:val="0"/>
          <w:iCs w:val="0"/>
          <w:noProof w:val="0"/>
          <w:sz w:val="19"/>
          <w:szCs w:val="19"/>
          <w:lang w:val="en-US"/>
        </w:rPr>
      </w:pPr>
    </w:p>
    <w:p w:rsidR="2527958C" w:rsidP="2527958C" w:rsidRDefault="2527958C" w14:paraId="3ECD9FAE" w14:textId="5467BC94">
      <w:pPr>
        <w:spacing w:before="195" w:beforeAutospacing="off" w:after="195" w:afterAutospacing="off"/>
        <w:rPr>
          <w:rFonts w:ascii="Helvetica Neue" w:hAnsi="Helvetica Neue" w:eastAsia="Helvetica Neue" w:cs="Helvetica Neue"/>
          <w:i w:val="0"/>
          <w:iCs w:val="0"/>
          <w:noProof w:val="0"/>
          <w:sz w:val="19"/>
          <w:szCs w:val="19"/>
          <w:lang w:val="en-US"/>
        </w:rPr>
      </w:pPr>
    </w:p>
    <w:p w:rsidR="2527958C" w:rsidP="2527958C" w:rsidRDefault="2527958C" w14:paraId="401E78D6" w14:textId="0923FB9D">
      <w:pPr>
        <w:spacing w:before="195" w:beforeAutospacing="off" w:after="195" w:afterAutospacing="off"/>
        <w:rPr>
          <w:rFonts w:ascii="Helvetica Neue" w:hAnsi="Helvetica Neue" w:eastAsia="Helvetica Neue" w:cs="Helvetica Neue"/>
          <w:i w:val="0"/>
          <w:iCs w:val="0"/>
          <w:noProof w:val="0"/>
          <w:sz w:val="19"/>
          <w:szCs w:val="19"/>
          <w:lang w:val="en-US"/>
        </w:rPr>
      </w:pPr>
    </w:p>
    <w:p w:rsidR="2527958C" w:rsidP="2527958C" w:rsidRDefault="2527958C" w14:paraId="49BF4778" w14:textId="3A2C53ED">
      <w:pPr>
        <w:spacing w:before="195" w:beforeAutospacing="off" w:after="195" w:afterAutospacing="off"/>
        <w:rPr>
          <w:rFonts w:ascii="Helvetica Neue" w:hAnsi="Helvetica Neue" w:eastAsia="Helvetica Neue" w:cs="Helvetica Neue"/>
          <w:i w:val="0"/>
          <w:iCs w:val="0"/>
          <w:noProof w:val="0"/>
          <w:sz w:val="19"/>
          <w:szCs w:val="19"/>
          <w:lang w:val="en-US"/>
        </w:rPr>
      </w:pPr>
    </w:p>
    <w:p w:rsidR="6C09F828" w:rsidP="2527958C" w:rsidRDefault="6C09F828" w14:paraId="31C46174" w14:textId="1C1EA262">
      <w:pPr>
        <w:spacing w:before="195" w:beforeAutospacing="off" w:after="195" w:afterAutospacing="off" w:line="360" w:lineRule="auto"/>
        <w:rPr>
          <w:rFonts w:ascii="Arial" w:hAnsi="Arial" w:eastAsia="Arial" w:cs="Arial"/>
          <w:b w:val="1"/>
          <w:bCs w:val="1"/>
          <w:i w:val="0"/>
          <w:iCs w:val="0"/>
          <w:noProof w:val="0"/>
          <w:sz w:val="22"/>
          <w:szCs w:val="22"/>
          <w:lang w:val="en-US"/>
        </w:rPr>
      </w:pPr>
      <w:r w:rsidRPr="2527958C" w:rsidR="6C09F828">
        <w:rPr>
          <w:rFonts w:ascii="Arial" w:hAnsi="Arial" w:eastAsia="Arial" w:cs="Arial"/>
          <w:b w:val="1"/>
          <w:bCs w:val="1"/>
          <w:i w:val="0"/>
          <w:iCs w:val="0"/>
          <w:noProof w:val="0"/>
          <w:sz w:val="22"/>
          <w:szCs w:val="22"/>
          <w:lang w:val="en-US"/>
        </w:rPr>
        <w:t>References</w:t>
      </w:r>
    </w:p>
    <w:p w:rsidR="7C666552" w:rsidP="2527958C" w:rsidRDefault="7C666552" w14:paraId="0CB3EBFF" w14:textId="014BDB8D">
      <w:pPr>
        <w:spacing w:before="195" w:beforeAutospacing="off" w:after="195" w:afterAutospacing="off" w:line="360" w:lineRule="auto"/>
        <w:rPr>
          <w:rFonts w:ascii="Arial" w:hAnsi="Arial" w:eastAsia="Arial" w:cs="Arial"/>
          <w:i w:val="0"/>
          <w:iCs w:val="0"/>
          <w:strike w:val="0"/>
          <w:dstrike w:val="0"/>
          <w:noProof w:val="0"/>
          <w:sz w:val="22"/>
          <w:szCs w:val="22"/>
          <w:u w:val="single"/>
          <w:lang w:val="en-US"/>
        </w:rPr>
      </w:pPr>
      <w:r w:rsidRPr="2527958C" w:rsidR="7C666552">
        <w:rPr>
          <w:rFonts w:ascii="Arial" w:hAnsi="Arial" w:eastAsia="Arial" w:cs="Arial"/>
          <w:i w:val="0"/>
          <w:iCs w:val="0"/>
          <w:noProof w:val="0"/>
          <w:sz w:val="22"/>
          <w:szCs w:val="22"/>
          <w:lang w:val="en-US"/>
        </w:rPr>
        <w:t>Idris, I.B., Syed </w:t>
      </w:r>
      <w:r w:rsidRPr="2527958C" w:rsidR="7C666552">
        <w:rPr>
          <w:rFonts w:ascii="Arial" w:hAnsi="Arial" w:eastAsia="Arial" w:cs="Arial"/>
          <w:i w:val="0"/>
          <w:iCs w:val="0"/>
          <w:noProof w:val="0"/>
          <w:sz w:val="22"/>
          <w:szCs w:val="22"/>
          <w:lang w:val="en-US"/>
        </w:rPr>
        <w:t>Soffian</w:t>
      </w:r>
      <w:r w:rsidRPr="2527958C" w:rsidR="7C666552">
        <w:rPr>
          <w:rFonts w:ascii="Arial" w:hAnsi="Arial" w:eastAsia="Arial" w:cs="Arial"/>
          <w:i w:val="0"/>
          <w:iCs w:val="0"/>
          <w:noProof w:val="0"/>
          <w:sz w:val="22"/>
          <w:szCs w:val="22"/>
          <w:lang w:val="en-US"/>
        </w:rPr>
        <w:t xml:space="preserve">, S.S., Baharom, M., Baharuddin, U.M., Hashim, S. &amp; Mohammed Nawi, A. (2022) ‘Influence of sociocultural beliefs and practices on contraception: a systematic review’, </w:t>
      </w:r>
      <w:r w:rsidRPr="2527958C" w:rsidR="7C666552">
        <w:rPr>
          <w:rFonts w:ascii="Arial" w:hAnsi="Arial" w:eastAsia="Arial" w:cs="Arial"/>
          <w:i w:val="1"/>
          <w:iCs w:val="1"/>
          <w:noProof w:val="0"/>
          <w:sz w:val="22"/>
          <w:szCs w:val="22"/>
          <w:lang w:val="en-US"/>
        </w:rPr>
        <w:t>Women &amp; Health</w:t>
      </w:r>
      <w:r w:rsidRPr="2527958C" w:rsidR="7C666552">
        <w:rPr>
          <w:rFonts w:ascii="Arial" w:hAnsi="Arial" w:eastAsia="Arial" w:cs="Arial"/>
          <w:i w:val="0"/>
          <w:iCs w:val="0"/>
          <w:noProof w:val="0"/>
          <w:sz w:val="22"/>
          <w:szCs w:val="22"/>
          <w:lang w:val="en-US"/>
        </w:rPr>
        <w:t xml:space="preserve">, 62(8), pp. 688‑699. </w:t>
      </w:r>
      <w:r w:rsidRPr="2527958C" w:rsidR="7C666552">
        <w:rPr>
          <w:rFonts w:ascii="Arial" w:hAnsi="Arial" w:eastAsia="Arial" w:cs="Arial"/>
          <w:i w:val="0"/>
          <w:iCs w:val="0"/>
          <w:noProof w:val="0"/>
          <w:sz w:val="22"/>
          <w:szCs w:val="22"/>
          <w:lang w:val="en-US"/>
        </w:rPr>
        <w:t>doi</w:t>
      </w:r>
      <w:r w:rsidRPr="2527958C" w:rsidR="7C666552">
        <w:rPr>
          <w:rFonts w:ascii="Arial" w:hAnsi="Arial" w:eastAsia="Arial" w:cs="Arial"/>
          <w:i w:val="0"/>
          <w:iCs w:val="0"/>
          <w:noProof w:val="0"/>
          <w:sz w:val="22"/>
          <w:szCs w:val="22"/>
          <w:lang w:val="en-US"/>
        </w:rPr>
        <w:t xml:space="preserve">: 10.1080/03630242.2022.2117764. Available at: </w:t>
      </w:r>
      <w:hyperlink r:id="R048690f8224b4622">
        <w:r w:rsidRPr="2527958C" w:rsidR="7C666552">
          <w:rPr>
            <w:rStyle w:val="Hyperlink"/>
            <w:rFonts w:ascii="Arial" w:hAnsi="Arial" w:eastAsia="Arial" w:cs="Arial"/>
            <w:i w:val="0"/>
            <w:iCs w:val="0"/>
            <w:noProof w:val="0"/>
            <w:color w:val="0E2841" w:themeColor="text2" w:themeTint="FF" w:themeShade="FF"/>
            <w:sz w:val="22"/>
            <w:szCs w:val="22"/>
            <w:lang w:val="en-US"/>
          </w:rPr>
          <w:t>https://pubmed.ncbi.nlm.nih.gov/36082451/</w:t>
        </w:r>
      </w:hyperlink>
    </w:p>
    <w:p w:rsidR="7C666552" w:rsidP="2527958C" w:rsidRDefault="7C666552" w14:paraId="214B4BF0" w14:textId="3C7EE3D6">
      <w:pPr>
        <w:spacing w:before="195" w:beforeAutospacing="off" w:after="195" w:afterAutospacing="off" w:line="360" w:lineRule="auto"/>
        <w:rPr>
          <w:rFonts w:ascii="Arial" w:hAnsi="Arial" w:eastAsia="Arial" w:cs="Arial"/>
          <w:i w:val="0"/>
          <w:iCs w:val="0"/>
          <w:strike w:val="0"/>
          <w:dstrike w:val="0"/>
          <w:noProof w:val="0"/>
          <w:sz w:val="22"/>
          <w:szCs w:val="22"/>
          <w:u w:val="none"/>
          <w:lang w:val="en-US"/>
        </w:rPr>
      </w:pPr>
      <w:r w:rsidRPr="2527958C" w:rsidR="7C666552">
        <w:rPr>
          <w:rFonts w:ascii="Arial" w:hAnsi="Arial" w:eastAsia="Arial" w:cs="Arial"/>
          <w:i w:val="0"/>
          <w:iCs w:val="0"/>
          <w:strike w:val="0"/>
          <w:dstrike w:val="0"/>
          <w:noProof w:val="0"/>
          <w:sz w:val="22"/>
          <w:szCs w:val="22"/>
          <w:u w:val="none"/>
          <w:lang w:val="en-US"/>
        </w:rPr>
        <w:t>Accessed on: 04/11/2025</w:t>
      </w:r>
    </w:p>
    <w:p w:rsidR="2527958C" w:rsidP="2527958C" w:rsidRDefault="2527958C" w14:paraId="532C0D90" w14:textId="16BBF7E0">
      <w:pPr>
        <w:spacing w:before="195" w:beforeAutospacing="off" w:after="195" w:afterAutospacing="off" w:line="360" w:lineRule="auto"/>
        <w:rPr>
          <w:rFonts w:ascii="Arial" w:hAnsi="Arial" w:eastAsia="Arial" w:cs="Arial"/>
          <w:sz w:val="22"/>
          <w:szCs w:val="22"/>
        </w:rPr>
      </w:pPr>
    </w:p>
    <w:p w:rsidR="7C666552" w:rsidP="2527958C" w:rsidRDefault="7C666552" w14:paraId="3359A759" w14:textId="3974F707">
      <w:pPr>
        <w:spacing w:before="195" w:beforeAutospacing="off" w:after="195" w:afterAutospacing="off" w:line="360" w:lineRule="auto"/>
        <w:rPr>
          <w:rFonts w:ascii="Arial" w:hAnsi="Arial" w:eastAsia="Arial" w:cs="Arial"/>
          <w:sz w:val="22"/>
          <w:szCs w:val="22"/>
        </w:rPr>
      </w:pPr>
      <w:r w:rsidRPr="2527958C" w:rsidR="7C666552">
        <w:rPr>
          <w:rFonts w:ascii="Arial" w:hAnsi="Arial" w:eastAsia="Arial" w:cs="Arial"/>
          <w:i w:val="0"/>
          <w:iCs w:val="0"/>
          <w:noProof w:val="0"/>
          <w:sz w:val="22"/>
          <w:szCs w:val="22"/>
          <w:lang w:val="en-US"/>
        </w:rPr>
        <w:t>Piotr, R., Katarzyna, O., Sommer, I., Dorota, K., Paczkowska, A., Tomasz, Z. &amp; Krzysztof, K. (2025)</w:t>
      </w:r>
      <w:r w:rsidRPr="2527958C" w:rsidR="7C666552">
        <w:rPr>
          <w:rFonts w:ascii="Arial" w:hAnsi="Arial" w:eastAsia="Arial" w:cs="Arial"/>
          <w:i w:val="0"/>
          <w:iCs w:val="0"/>
          <w:noProof w:val="0"/>
          <w:sz w:val="22"/>
          <w:szCs w:val="22"/>
          <w:lang w:val="en-US"/>
        </w:rPr>
        <w:t xml:space="preserve"> </w:t>
      </w:r>
      <w:r w:rsidRPr="2527958C" w:rsidR="7C666552">
        <w:rPr>
          <w:rFonts w:ascii="Arial" w:hAnsi="Arial" w:eastAsia="Arial" w:cs="Arial"/>
          <w:i w:val="1"/>
          <w:iCs w:val="1"/>
          <w:noProof w:val="0"/>
          <w:sz w:val="22"/>
          <w:szCs w:val="22"/>
          <w:lang w:val="en-US"/>
        </w:rPr>
        <w:t>The</w:t>
      </w:r>
      <w:r w:rsidRPr="2527958C" w:rsidR="7C666552">
        <w:rPr>
          <w:rFonts w:ascii="Arial" w:hAnsi="Arial" w:eastAsia="Arial" w:cs="Arial"/>
          <w:i w:val="1"/>
          <w:iCs w:val="1"/>
          <w:noProof w:val="0"/>
          <w:sz w:val="22"/>
          <w:szCs w:val="22"/>
          <w:lang w:val="en-US"/>
        </w:rPr>
        <w:t xml:space="preserve"> Perspective on Secondary Research Practices: A Cross-Sectional Analysis.</w:t>
      </w:r>
      <w:r w:rsidRPr="2527958C" w:rsidR="7C666552">
        <w:rPr>
          <w:rFonts w:ascii="Arial" w:hAnsi="Arial" w:eastAsia="Arial" w:cs="Arial"/>
          <w:i w:val="0"/>
          <w:iCs w:val="0"/>
          <w:noProof w:val="0"/>
          <w:sz w:val="22"/>
          <w:szCs w:val="22"/>
          <w:lang w:val="en-US"/>
        </w:rPr>
        <w:t xml:space="preserve"> </w:t>
      </w:r>
      <w:r w:rsidRPr="2527958C" w:rsidR="7C666552">
        <w:rPr>
          <w:rFonts w:ascii="Arial" w:hAnsi="Arial" w:eastAsia="Arial" w:cs="Arial"/>
          <w:i w:val="1"/>
          <w:iCs w:val="1"/>
          <w:noProof w:val="0"/>
          <w:sz w:val="22"/>
          <w:szCs w:val="22"/>
          <w:lang w:val="en-US"/>
        </w:rPr>
        <w:t>Healthcare,</w:t>
      </w:r>
      <w:r w:rsidRPr="2527958C" w:rsidR="7C666552">
        <w:rPr>
          <w:rFonts w:ascii="Arial" w:hAnsi="Arial" w:eastAsia="Arial" w:cs="Arial"/>
          <w:i w:val="0"/>
          <w:iCs w:val="0"/>
          <w:noProof w:val="0"/>
          <w:sz w:val="22"/>
          <w:szCs w:val="22"/>
          <w:lang w:val="en-US"/>
        </w:rPr>
        <w:t xml:space="preserve"> 13(8), p. 927. Available at:</w:t>
      </w:r>
      <w:r w:rsidRPr="2527958C" w:rsidR="6FE29919">
        <w:rPr>
          <w:rFonts w:ascii="Arial" w:hAnsi="Arial" w:eastAsia="Arial" w:cs="Arial"/>
          <w:i w:val="0"/>
          <w:iCs w:val="0"/>
          <w:noProof w:val="0"/>
          <w:sz w:val="22"/>
          <w:szCs w:val="22"/>
          <w:lang w:val="en-US"/>
        </w:rPr>
        <w:t xml:space="preserve">  </w:t>
      </w:r>
      <w:hyperlink w:anchor="" r:id="R159fab3dfeb94e13">
        <w:r w:rsidRPr="2527958C" w:rsidR="7C666552">
          <w:rPr>
            <w:rStyle w:val="Hyperlink"/>
            <w:rFonts w:ascii="Arial" w:hAnsi="Arial" w:eastAsia="Arial" w:cs="Arial"/>
            <w:i w:val="0"/>
            <w:iCs w:val="0"/>
            <w:noProof w:val="0"/>
            <w:color w:val="0E2841" w:themeColor="text2" w:themeTint="FF" w:themeShade="FF"/>
            <w:sz w:val="22"/>
            <w:szCs w:val="22"/>
            <w:lang w:val="en-US"/>
          </w:rPr>
          <w:t>https://www.proquest.com/docview/3194611325/819A3DF2409349B9PQ/2?</w:t>
        </w:r>
      </w:hyperlink>
    </w:p>
    <w:p w:rsidR="7C666552" w:rsidP="2527958C" w:rsidRDefault="7C666552" w14:paraId="02FD889F" w14:textId="76CB83A2">
      <w:pPr>
        <w:spacing w:before="195" w:beforeAutospacing="off" w:after="195" w:afterAutospacing="off" w:line="360" w:lineRule="auto"/>
        <w:rPr>
          <w:rFonts w:ascii="Arial" w:hAnsi="Arial" w:eastAsia="Arial" w:cs="Arial"/>
          <w:i w:val="0"/>
          <w:iCs w:val="0"/>
          <w:strike w:val="0"/>
          <w:dstrike w:val="0"/>
          <w:noProof w:val="0"/>
          <w:sz w:val="22"/>
          <w:szCs w:val="22"/>
          <w:u w:val="none"/>
          <w:lang w:val="en-US"/>
        </w:rPr>
      </w:pPr>
      <w:r w:rsidRPr="2527958C" w:rsidR="7C666552">
        <w:rPr>
          <w:rFonts w:ascii="Arial" w:hAnsi="Arial" w:eastAsia="Arial" w:cs="Arial"/>
          <w:i w:val="0"/>
          <w:iCs w:val="0"/>
          <w:strike w:val="0"/>
          <w:dstrike w:val="0"/>
          <w:noProof w:val="0"/>
          <w:sz w:val="22"/>
          <w:szCs w:val="22"/>
          <w:u w:val="none"/>
          <w:lang w:val="en-US"/>
        </w:rPr>
        <w:t>Accessed on: 25/10/2025</w:t>
      </w:r>
    </w:p>
    <w:p w:rsidR="2527958C" w:rsidP="2527958C" w:rsidRDefault="2527958C" w14:paraId="2E78C075" w14:textId="45BF5F8D">
      <w:pPr>
        <w:spacing w:before="195" w:beforeAutospacing="off" w:after="195" w:afterAutospacing="off" w:line="360" w:lineRule="auto"/>
        <w:rPr>
          <w:rFonts w:ascii="Arial" w:hAnsi="Arial" w:eastAsia="Arial" w:cs="Arial"/>
          <w:sz w:val="22"/>
          <w:szCs w:val="22"/>
        </w:rPr>
      </w:pPr>
    </w:p>
    <w:p w:rsidR="7C666552" w:rsidP="2527958C" w:rsidRDefault="7C666552" w14:paraId="45D042C8" w14:textId="744E6197">
      <w:pPr>
        <w:spacing w:before="195" w:beforeAutospacing="off" w:after="195" w:afterAutospacing="off" w:line="360" w:lineRule="auto"/>
        <w:rPr>
          <w:rFonts w:ascii="Arial" w:hAnsi="Arial" w:eastAsia="Arial" w:cs="Arial"/>
          <w:sz w:val="22"/>
          <w:szCs w:val="22"/>
        </w:rPr>
      </w:pPr>
      <w:r w:rsidRPr="2527958C" w:rsidR="7C666552">
        <w:rPr>
          <w:rFonts w:ascii="Arial" w:hAnsi="Arial" w:eastAsia="Arial" w:cs="Arial"/>
          <w:i w:val="0"/>
          <w:iCs w:val="0"/>
          <w:noProof w:val="0"/>
          <w:sz w:val="22"/>
          <w:szCs w:val="22"/>
          <w:lang w:val="en-US"/>
        </w:rPr>
        <w:t xml:space="preserve">Rich, S., Lamaro Haintz, G., McKenzie, H. &amp; Graham, M. (2021) ‘Factors that shape women’s reproductive decision‑making: A scoping review’, </w:t>
      </w:r>
      <w:r w:rsidRPr="2527958C" w:rsidR="7C666552">
        <w:rPr>
          <w:rFonts w:ascii="Arial" w:hAnsi="Arial" w:eastAsia="Arial" w:cs="Arial"/>
          <w:i w:val="1"/>
          <w:iCs w:val="1"/>
          <w:noProof w:val="0"/>
          <w:sz w:val="22"/>
          <w:szCs w:val="22"/>
          <w:lang w:val="en-US"/>
        </w:rPr>
        <w:t>Journal of Research in Gender Studies</w:t>
      </w:r>
      <w:r w:rsidRPr="2527958C" w:rsidR="7C666552">
        <w:rPr>
          <w:rFonts w:ascii="Arial" w:hAnsi="Arial" w:eastAsia="Arial" w:cs="Arial"/>
          <w:i w:val="0"/>
          <w:iCs w:val="0"/>
          <w:noProof w:val="0"/>
          <w:sz w:val="22"/>
          <w:szCs w:val="22"/>
          <w:lang w:val="en-US"/>
        </w:rPr>
        <w:t>, 11(2), pp. 9‑31. Available at:</w:t>
      </w:r>
      <w:r w:rsidRPr="2527958C" w:rsidR="52181E4A">
        <w:rPr>
          <w:rFonts w:ascii="Arial" w:hAnsi="Arial" w:eastAsia="Arial" w:cs="Arial"/>
          <w:i w:val="0"/>
          <w:iCs w:val="0"/>
          <w:noProof w:val="0"/>
          <w:sz w:val="22"/>
          <w:szCs w:val="22"/>
          <w:lang w:val="en-US"/>
        </w:rPr>
        <w:t xml:space="preserve">                                                                         </w:t>
      </w:r>
      <w:hyperlink r:id="R7457d0a729a04098">
        <w:r w:rsidRPr="2527958C" w:rsidR="7C666552">
          <w:rPr>
            <w:rStyle w:val="Hyperlink"/>
            <w:rFonts w:ascii="Arial" w:hAnsi="Arial" w:eastAsia="Arial" w:cs="Arial"/>
            <w:i w:val="0"/>
            <w:iCs w:val="0"/>
            <w:noProof w:val="0"/>
            <w:color w:val="0E2841" w:themeColor="text2" w:themeTint="FF" w:themeShade="FF"/>
            <w:sz w:val="22"/>
            <w:szCs w:val="22"/>
            <w:lang w:val="en-US"/>
          </w:rPr>
          <w:t>https://www.ceeol.com/search/article-detail?id=1013489</w:t>
        </w:r>
      </w:hyperlink>
    </w:p>
    <w:p w:rsidR="7C666552" w:rsidP="2527958C" w:rsidRDefault="7C666552" w14:paraId="6AD4F06D" w14:textId="1D317EAE">
      <w:pPr>
        <w:spacing w:before="195" w:beforeAutospacing="off" w:after="195" w:afterAutospacing="off" w:line="360" w:lineRule="auto"/>
        <w:rPr>
          <w:rFonts w:ascii="Arial" w:hAnsi="Arial" w:eastAsia="Arial" w:cs="Arial"/>
          <w:i w:val="0"/>
          <w:iCs w:val="0"/>
          <w:strike w:val="0"/>
          <w:dstrike w:val="0"/>
          <w:noProof w:val="0"/>
          <w:sz w:val="22"/>
          <w:szCs w:val="22"/>
          <w:u w:val="none"/>
          <w:lang w:val="en-US"/>
        </w:rPr>
      </w:pPr>
      <w:r w:rsidRPr="2527958C" w:rsidR="7C666552">
        <w:rPr>
          <w:rFonts w:ascii="Arial" w:hAnsi="Arial" w:eastAsia="Arial" w:cs="Arial"/>
          <w:i w:val="0"/>
          <w:iCs w:val="0"/>
          <w:strike w:val="0"/>
          <w:dstrike w:val="0"/>
          <w:noProof w:val="0"/>
          <w:sz w:val="22"/>
          <w:szCs w:val="22"/>
          <w:u w:val="none"/>
          <w:lang w:val="en-US"/>
        </w:rPr>
        <w:t>Accessed on: 27/10/2025</w:t>
      </w:r>
    </w:p>
    <w:p w:rsidR="2527958C" w:rsidP="2527958C" w:rsidRDefault="2527958C" w14:paraId="20A1D0A6" w14:textId="5AB3AE56">
      <w:pPr>
        <w:spacing w:before="195" w:beforeAutospacing="off" w:after="195" w:afterAutospacing="off" w:line="360" w:lineRule="auto"/>
        <w:rPr>
          <w:rFonts w:ascii="Arial" w:hAnsi="Arial" w:eastAsia="Arial" w:cs="Arial"/>
          <w:sz w:val="22"/>
          <w:szCs w:val="22"/>
        </w:rPr>
      </w:pPr>
    </w:p>
    <w:p w:rsidR="7C666552" w:rsidP="2527958C" w:rsidRDefault="7C666552" w14:paraId="0C4DEA92" w14:textId="27A12F10">
      <w:pPr>
        <w:spacing w:before="195" w:beforeAutospacing="off" w:after="195" w:afterAutospacing="off" w:line="360" w:lineRule="auto"/>
        <w:rPr>
          <w:rFonts w:ascii="Arial" w:hAnsi="Arial" w:eastAsia="Arial" w:cs="Arial"/>
          <w:sz w:val="22"/>
          <w:szCs w:val="22"/>
        </w:rPr>
      </w:pPr>
      <w:r w:rsidRPr="2527958C" w:rsidR="7C666552">
        <w:rPr>
          <w:rFonts w:ascii="Arial" w:hAnsi="Arial" w:eastAsia="Arial" w:cs="Arial"/>
          <w:i w:val="0"/>
          <w:iCs w:val="0"/>
          <w:noProof w:val="0"/>
          <w:sz w:val="22"/>
          <w:szCs w:val="22"/>
          <w:lang w:val="en-US"/>
        </w:rPr>
        <w:t xml:space="preserve">Scheidt, S., </w:t>
      </w:r>
      <w:r w:rsidRPr="2527958C" w:rsidR="7C666552">
        <w:rPr>
          <w:rFonts w:ascii="Arial" w:hAnsi="Arial" w:eastAsia="Arial" w:cs="Arial"/>
          <w:i w:val="0"/>
          <w:iCs w:val="0"/>
          <w:noProof w:val="0"/>
          <w:sz w:val="22"/>
          <w:szCs w:val="22"/>
          <w:lang w:val="en-US"/>
        </w:rPr>
        <w:t>Vavken</w:t>
      </w:r>
      <w:r w:rsidRPr="2527958C" w:rsidR="7C666552">
        <w:rPr>
          <w:rFonts w:ascii="Arial" w:hAnsi="Arial" w:eastAsia="Arial" w:cs="Arial"/>
          <w:i w:val="0"/>
          <w:iCs w:val="0"/>
          <w:noProof w:val="0"/>
          <w:sz w:val="22"/>
          <w:szCs w:val="22"/>
          <w:lang w:val="en-US"/>
        </w:rPr>
        <w:t xml:space="preserve">, P., Jacobs, C., Koob, S., Cucchi, D., </w:t>
      </w:r>
      <w:r w:rsidRPr="2527958C" w:rsidR="7C666552">
        <w:rPr>
          <w:rFonts w:ascii="Arial" w:hAnsi="Arial" w:eastAsia="Arial" w:cs="Arial"/>
          <w:i w:val="0"/>
          <w:iCs w:val="0"/>
          <w:noProof w:val="0"/>
          <w:sz w:val="22"/>
          <w:szCs w:val="22"/>
          <w:lang w:val="en-US"/>
        </w:rPr>
        <w:t>Kaup</w:t>
      </w:r>
      <w:r w:rsidRPr="2527958C" w:rsidR="7C666552">
        <w:rPr>
          <w:rFonts w:ascii="Arial" w:hAnsi="Arial" w:eastAsia="Arial" w:cs="Arial"/>
          <w:i w:val="0"/>
          <w:iCs w:val="0"/>
          <w:noProof w:val="0"/>
          <w:sz w:val="22"/>
          <w:szCs w:val="22"/>
          <w:lang w:val="en-US"/>
        </w:rPr>
        <w:t xml:space="preserve">, E., Wirtz, D.C. &amp; Wimmer, M.D. (2018) ‘Systematic reviews and meta‑analyses: reading, understanding, interpreting’, </w:t>
      </w:r>
      <w:r w:rsidRPr="2527958C" w:rsidR="7C666552">
        <w:rPr>
          <w:rFonts w:ascii="Arial" w:hAnsi="Arial" w:eastAsia="Arial" w:cs="Arial"/>
          <w:i w:val="1"/>
          <w:iCs w:val="1"/>
          <w:noProof w:val="0"/>
          <w:sz w:val="22"/>
          <w:szCs w:val="22"/>
          <w:lang w:val="en-US"/>
        </w:rPr>
        <w:t>Zeitschrift</w:t>
      </w:r>
      <w:r w:rsidRPr="2527958C" w:rsidR="7C666552">
        <w:rPr>
          <w:rFonts w:ascii="Arial" w:hAnsi="Arial" w:eastAsia="Arial" w:cs="Arial"/>
          <w:i w:val="1"/>
          <w:iCs w:val="1"/>
          <w:noProof w:val="0"/>
          <w:sz w:val="22"/>
          <w:szCs w:val="22"/>
          <w:lang w:val="en-US"/>
        </w:rPr>
        <w:t xml:space="preserve"> für </w:t>
      </w:r>
      <w:r w:rsidRPr="2527958C" w:rsidR="7C666552">
        <w:rPr>
          <w:rFonts w:ascii="Arial" w:hAnsi="Arial" w:eastAsia="Arial" w:cs="Arial"/>
          <w:i w:val="1"/>
          <w:iCs w:val="1"/>
          <w:noProof w:val="0"/>
          <w:sz w:val="22"/>
          <w:szCs w:val="22"/>
          <w:lang w:val="en-US"/>
        </w:rPr>
        <w:t>Orthopädie</w:t>
      </w:r>
      <w:r w:rsidRPr="2527958C" w:rsidR="7C666552">
        <w:rPr>
          <w:rFonts w:ascii="Arial" w:hAnsi="Arial" w:eastAsia="Arial" w:cs="Arial"/>
          <w:i w:val="1"/>
          <w:iCs w:val="1"/>
          <w:noProof w:val="0"/>
          <w:sz w:val="22"/>
          <w:szCs w:val="22"/>
          <w:lang w:val="en-US"/>
        </w:rPr>
        <w:t xml:space="preserve"> und </w:t>
      </w:r>
      <w:r w:rsidRPr="2527958C" w:rsidR="7C666552">
        <w:rPr>
          <w:rFonts w:ascii="Arial" w:hAnsi="Arial" w:eastAsia="Arial" w:cs="Arial"/>
          <w:i w:val="1"/>
          <w:iCs w:val="1"/>
          <w:noProof w:val="0"/>
          <w:sz w:val="22"/>
          <w:szCs w:val="22"/>
          <w:lang w:val="en-US"/>
        </w:rPr>
        <w:t>Unfallchirurgie</w:t>
      </w:r>
      <w:r w:rsidRPr="2527958C" w:rsidR="7C666552">
        <w:rPr>
          <w:rFonts w:ascii="Arial" w:hAnsi="Arial" w:eastAsia="Arial" w:cs="Arial"/>
          <w:i w:val="0"/>
          <w:iCs w:val="0"/>
          <w:noProof w:val="0"/>
          <w:sz w:val="22"/>
          <w:szCs w:val="22"/>
          <w:lang w:val="en-US"/>
        </w:rPr>
        <w:t xml:space="preserve">, 157(04), pp. 392‑399. </w:t>
      </w:r>
      <w:r w:rsidRPr="2527958C" w:rsidR="7C666552">
        <w:rPr>
          <w:rFonts w:ascii="Arial" w:hAnsi="Arial" w:eastAsia="Arial" w:cs="Arial"/>
          <w:i w:val="0"/>
          <w:iCs w:val="0"/>
          <w:noProof w:val="0"/>
          <w:sz w:val="22"/>
          <w:szCs w:val="22"/>
          <w:lang w:val="en-US"/>
        </w:rPr>
        <w:t>doi</w:t>
      </w:r>
      <w:r w:rsidRPr="2527958C" w:rsidR="7C666552">
        <w:rPr>
          <w:rFonts w:ascii="Arial" w:hAnsi="Arial" w:eastAsia="Arial" w:cs="Arial"/>
          <w:i w:val="0"/>
          <w:iCs w:val="0"/>
          <w:noProof w:val="0"/>
          <w:sz w:val="22"/>
          <w:szCs w:val="22"/>
          <w:lang w:val="en-US"/>
        </w:rPr>
        <w:t xml:space="preserve">: 10.1055/a‑0751‑3156. </w:t>
      </w:r>
      <w:r w:rsidRPr="2527958C" w:rsidR="0F75D296">
        <w:rPr>
          <w:rFonts w:ascii="Arial" w:hAnsi="Arial" w:eastAsia="Arial" w:cs="Arial"/>
          <w:i w:val="0"/>
          <w:iCs w:val="0"/>
          <w:noProof w:val="0"/>
          <w:sz w:val="22"/>
          <w:szCs w:val="22"/>
          <w:lang w:val="en-US"/>
        </w:rPr>
        <w:t xml:space="preserve">      </w:t>
      </w:r>
      <w:r w:rsidRPr="2527958C" w:rsidR="7C666552">
        <w:rPr>
          <w:rFonts w:ascii="Arial" w:hAnsi="Arial" w:eastAsia="Arial" w:cs="Arial"/>
          <w:i w:val="0"/>
          <w:iCs w:val="0"/>
          <w:noProof w:val="0"/>
          <w:sz w:val="22"/>
          <w:szCs w:val="22"/>
          <w:lang w:val="en-US"/>
        </w:rPr>
        <w:t xml:space="preserve">Available at: </w:t>
      </w:r>
      <w:hyperlink r:id="R2eaf2af1020d4813">
        <w:r w:rsidRPr="2527958C" w:rsidR="7C666552">
          <w:rPr>
            <w:rStyle w:val="Hyperlink"/>
            <w:rFonts w:ascii="Arial" w:hAnsi="Arial" w:eastAsia="Arial" w:cs="Arial"/>
            <w:i w:val="0"/>
            <w:iCs w:val="0"/>
            <w:noProof w:val="0"/>
            <w:color w:val="0E2841" w:themeColor="text2" w:themeTint="FF" w:themeShade="FF"/>
            <w:sz w:val="22"/>
            <w:szCs w:val="22"/>
            <w:lang w:val="en-US"/>
          </w:rPr>
          <w:t>https://pubmed.ncbi.nlm.nih.gov/30399626/</w:t>
        </w:r>
      </w:hyperlink>
    </w:p>
    <w:p w:rsidR="7C666552" w:rsidP="2527958C" w:rsidRDefault="7C666552" w14:paraId="4F85AFCA" w14:textId="060BB9D4">
      <w:pPr>
        <w:pStyle w:val="Normal"/>
        <w:spacing w:line="360" w:lineRule="auto"/>
        <w:rPr>
          <w:rFonts w:ascii="Arial" w:hAnsi="Arial" w:eastAsia="Arial" w:cs="Arial"/>
          <w:i w:val="0"/>
          <w:iCs w:val="0"/>
          <w:strike w:val="0"/>
          <w:dstrike w:val="0"/>
          <w:noProof w:val="0"/>
          <w:sz w:val="22"/>
          <w:szCs w:val="22"/>
          <w:u w:val="none"/>
          <w:lang w:val="en-US"/>
        </w:rPr>
      </w:pPr>
      <w:r w:rsidRPr="2527958C" w:rsidR="7C666552">
        <w:rPr>
          <w:rFonts w:ascii="Arial" w:hAnsi="Arial" w:eastAsia="Arial" w:cs="Arial"/>
          <w:i w:val="0"/>
          <w:iCs w:val="0"/>
          <w:strike w:val="0"/>
          <w:dstrike w:val="0"/>
          <w:noProof w:val="0"/>
          <w:sz w:val="22"/>
          <w:szCs w:val="22"/>
          <w:u w:val="none"/>
          <w:lang w:val="en-US"/>
        </w:rPr>
        <w:t>Accessed on: 02/11/2025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f570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05b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295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a6f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D31D6"/>
    <w:rsid w:val="028FDCA1"/>
    <w:rsid w:val="0B67891C"/>
    <w:rsid w:val="0F75D296"/>
    <w:rsid w:val="12408091"/>
    <w:rsid w:val="1C21EF2F"/>
    <w:rsid w:val="2527958C"/>
    <w:rsid w:val="2938C19E"/>
    <w:rsid w:val="32E91553"/>
    <w:rsid w:val="3571EE7D"/>
    <w:rsid w:val="370D31D6"/>
    <w:rsid w:val="4C8B0807"/>
    <w:rsid w:val="52181E4A"/>
    <w:rsid w:val="52308F44"/>
    <w:rsid w:val="6C09F828"/>
    <w:rsid w:val="6FE29919"/>
    <w:rsid w:val="793E3FB4"/>
    <w:rsid w:val="7C66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D31D6"/>
  <w15:chartTrackingRefBased/>
  <w15:docId w15:val="{42985F36-2C8E-458A-A3FE-0C7C64A18D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527958C"/>
    <w:rPr>
      <w:color w:val="467886"/>
      <w:u w:val="single"/>
    </w:rPr>
  </w:style>
  <w:style w:type="paragraph" w:styleId="ListParagraph">
    <w:uiPriority w:val="34"/>
    <w:name w:val="List Paragraph"/>
    <w:basedOn w:val="Normal"/>
    <w:qFormat/>
    <w:rsid w:val="2527958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ubmed.ncbi.nlm.nih.gov/36082451/" TargetMode="External" Id="R048690f8224b4622" /><Relationship Type="http://schemas.openxmlformats.org/officeDocument/2006/relationships/hyperlink" Target="https://www.proquest.com/docview/3194611325/819A3DF2409349B9PQ/2?sourcetype=Scholarly%20Journals" TargetMode="External" Id="R159fab3dfeb94e13" /><Relationship Type="http://schemas.openxmlformats.org/officeDocument/2006/relationships/hyperlink" Target="https://www.ceeol.com/search/article-detail?id=1013489" TargetMode="External" Id="R7457d0a729a04098" /><Relationship Type="http://schemas.openxmlformats.org/officeDocument/2006/relationships/hyperlink" Target="https://pubmed.ncbi.nlm.nih.gov/30399626/" TargetMode="External" Id="R2eaf2af1020d4813" /><Relationship Type="http://schemas.openxmlformats.org/officeDocument/2006/relationships/numbering" Target="numbering.xml" Id="R635ce00ec9704e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2025-11-06T12:45:59.6546954Z</dcterms:created>
  <dcterms:modified xsi:type="dcterms:W3CDTF">2025-11-06T12:52:00.0152342Z</dcterms:modified>
  <dc:creator>Sintia Ponta Garca Do Rosario (2316842)</dc:creator>
  <lastModifiedBy>Sintia Ponta Garca Do Rosario (2316842)</lastModifiedBy>
</coreProperties>
</file>