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both"/>
        <w:rPr>
          <w:rFonts w:ascii="Times New Roman" w:hAnsi="Times New Roman" w:cs="Times New Roman" w:eastAsia="Times New Roman"/>
          <w:b/>
          <w:color w:val="auto"/>
          <w:spacing w:val="0"/>
          <w:position w:val="0"/>
          <w:sz w:val="24"/>
          <w:u w:val="single"/>
          <w:shd w:fill="auto" w:val="clear"/>
        </w:rPr>
      </w:pPr>
    </w:p>
    <w:p>
      <w:pPr>
        <w:spacing w:before="0" w:after="0" w:line="240"/>
        <w:ind w:right="0" w:left="0" w:firstLine="0"/>
        <w:jc w:val="both"/>
        <w:rPr>
          <w:rFonts w:ascii="Times New Roman" w:hAnsi="Times New Roman" w:cs="Times New Roman" w:eastAsia="Times New Roman"/>
          <w:b/>
          <w:color w:val="auto"/>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u w:val="single"/>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LEVEL 4 </w:t>
      </w:r>
      <w:r>
        <w:rPr>
          <w:rFonts w:ascii="Times New Roman" w:hAnsi="Times New Roman" w:cs="Times New Roman" w:eastAsia="Times New Roman"/>
          <w:b/>
          <w:color w:val="auto"/>
          <w:spacing w:val="0"/>
          <w:position w:val="0"/>
          <w:sz w:val="24"/>
          <w:u w:val="single"/>
          <w:shd w:fill="auto" w:val="clear"/>
        </w:rPr>
        <w:t xml:space="preserve">–</w:t>
      </w:r>
      <w:r>
        <w:rPr>
          <w:rFonts w:ascii="Times New Roman" w:hAnsi="Times New Roman" w:cs="Times New Roman" w:eastAsia="Times New Roman"/>
          <w:b/>
          <w:color w:val="auto"/>
          <w:spacing w:val="0"/>
          <w:position w:val="0"/>
          <w:sz w:val="24"/>
          <w:u w:val="single"/>
          <w:shd w:fill="auto" w:val="clear"/>
        </w:rPr>
        <w:t xml:space="preserve"> Student Journal</w:t>
      </w:r>
    </w:p>
    <w:tbl>
      <w:tblPr/>
      <w:tblGrid>
        <w:gridCol w:w="3987"/>
        <w:gridCol w:w="7195"/>
      </w:tblGrid>
      <w:tr>
        <w:trPr>
          <w:trHeight w:val="977" w:hRule="auto"/>
          <w:jc w:val="left"/>
        </w:trPr>
        <w:tc>
          <w:tcPr>
            <w:tcW w:w="3987"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Maria Budnescu</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Student Number: 2119462</w:t>
            </w:r>
          </w:p>
        </w:tc>
        <w:tc>
          <w:tcPr>
            <w:tcW w:w="7195"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International Hotel Management </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Lecturer: food and beverage</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3983"/>
        <w:gridCol w:w="6902"/>
        <w:gridCol w:w="297"/>
        <w:gridCol w:w="72"/>
      </w:tblGrid>
      <w:tr>
        <w:trPr>
          <w:trHeight w:val="1" w:hRule="atLeast"/>
          <w:jc w:val="left"/>
        </w:trPr>
        <w:tc>
          <w:tcPr>
            <w:tcW w:w="3983"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The topic of choice: </w:t>
            </w:r>
          </w:p>
        </w:tc>
        <w:tc>
          <w:tcPr>
            <w:tcW w:w="7199" w:type="dxa"/>
            <w:gridSpan w:val="2"/>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Allergies and Intolerances and the importance within the Hotel Industry</w:t>
            </w:r>
          </w:p>
        </w:tc>
      </w:tr>
      <w:tr>
        <w:trPr>
          <w:trHeight w:val="6504" w:hRule="auto"/>
          <w:jc w:val="left"/>
        </w:trPr>
        <w:tc>
          <w:tcPr>
            <w:tcW w:w="11182"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part of the learning experience in this course, I can demonstrate food allergies as the reaction caused by the immune system to a food that the body considers harmful and, as a result, creates antibodies to fight against it. Besides, those who are allergic to nuts, eggs, or shellfish comprise a significant portion of the population. The symptoms might range from an enlargement of the throat or mouth to responses on the skin, an unpleasant sensation, difficulty in breathing, or even fainting (Winterová et al., 2021). On the contrary, I can also describe intolerance as the response that occurs when the body is unable to process or digest a certain genre of foodstuff because it does not create enough specific enzymes because it cannot make them. Besides, I have also learned that for lactose and gluten allergies, celiac disease is most frequent and w When a person's digestive system is unable to absorb several nutrients, which ultimately creates several symptoms including indigestion, swelling, periodic changes in gastrointestinal symptoms, for instances mild diarrhoea or constipation, decreased appetite, weight loss, or nausea (Willliam, 2017). Therefore, I think all of these symptoms need cautious monitoring as well as need high restrictions in day-to-day life.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 can see that many people suffer from food allergies and intolerances, therefore the hospitality and food service businesses must understand the significance of allergens and the issues they might bring with them for example, intolerances. My course module also depicted that food allergies affect around 4% of the population, according to a recent study of more than 15 million individuals (O Reilly, 2015). An average of two students per normal school classroom have a food allergy or one in every thirteen students.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Moreover, I have also seen in the learning module that the hotel and hospitality industries, restaurants, and other types of companies need to be aware of how to deal with customers who have food allergies as well as intolerances. Whenever one category of food touches another food as well as the proteins from both foods combine, this is an example of cross-contact. this cross-contact of food can be happened either directly for example, by using the same spoon to combine a burger that was just also used spread out peanut butter, or indirectly, for example, by using a separate dish to mix chocolate butter (Venter, 2018). However, we know that there is currently no treatment that can reverse the effects of food allergies and intolerances; the only solution is to avoid eating foods that trigger allergic reactions. Just before cooking food for those who have food allergies, it is important to be aware of the condiments that contain the allergen that causes the reaction. If you are unsure which ingredients contain the allergen, it is best to read the food products label. When preparing the food, it is also important to use cleaning materials, cutlery, as well as containers, and to serve the food on a dish that is clearly labelled before delivering it to the person who has the allergy.</w:t>
            </w:r>
          </w:p>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It’s also learned in my module that the hotel industry can remove the hazardous effect following Natasha's Law and using it, companies must now guarantee that all PPDS products are clearly labelled with a complete list of the contents. In a Food Safety Program to comply with Natasha's Law, every food company selling PPDS items will be required to display a complete ingredient list on the label, with the most common allergens highlighted. Allergies are estimated to affect about one in five persons in the United Kingdom. Besides, I can also say that businesses may benefit from digital food safety and allergy management by digitally recording all allergen and ingredient information for menu items, as well as supplier information, in a single central location that can be accessed anywhere and is ideal for monitoring and traceability (Guandalini and Newland, 2011). Additionally, it eliminates the possibility of human mistakes by automatically constructing labels depending on the information stored in the system. A digital allergy management system also retains a permanent record of all labels and provides an efficient and dependable solution for firms in the food and hospitality industry. I think today’s hotel industry must follow these above-mentioned recommendations to safely deal with allergies and intolerances that can affect the clients of this industry.</w:t>
            </w:r>
          </w:p>
        </w:tc>
      </w:tr>
      <w:tr>
        <w:trPr>
          <w:trHeight w:val="465" w:hRule="auto"/>
          <w:jc w:val="left"/>
        </w:trPr>
        <w:tc>
          <w:tcPr>
            <w:tcW w:w="10885" w:type="dxa"/>
            <w:gridSpan w:val="2"/>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0"/>
                <w:shd w:fill="auto" w:val="clear"/>
              </w:rPr>
              <w:t xml:space="preserve">REFERENCE LIST </w:t>
            </w:r>
          </w:p>
        </w:tc>
        <w:tc>
          <w:tcPr>
            <w:tcW w:w="369" w:type="dxa"/>
            <w:gridSpan w:val="2"/>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both"/>
              <w:rPr>
                <w:rFonts w:ascii="Times New Roman" w:hAnsi="Times New Roman" w:cs="Times New Roman" w:eastAsia="Times New Roman"/>
                <w:b/>
                <w:color w:val="auto"/>
                <w:spacing w:val="0"/>
                <w:position w:val="0"/>
                <w:sz w:val="20"/>
                <w:shd w:fill="auto" w:val="clear"/>
              </w:rPr>
            </w:pPr>
          </w:p>
          <w:p>
            <w:pPr>
              <w:spacing w:before="0" w:after="0" w:line="240"/>
              <w:ind w:right="0" w:left="0" w:firstLine="0"/>
              <w:jc w:val="both"/>
              <w:rPr>
                <w:color w:val="auto"/>
                <w:spacing w:val="0"/>
                <w:position w:val="0"/>
                <w:shd w:fill="auto" w:val="clear"/>
              </w:rPr>
            </w:pPr>
          </w:p>
        </w:tc>
      </w:tr>
      <w:tr>
        <w:trPr>
          <w:trHeight w:val="2908" w:hRule="auto"/>
          <w:jc w:val="left"/>
        </w:trPr>
        <w:tc>
          <w:tcPr>
            <w:tcW w:w="11254"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80" w:line="360"/>
              <w:ind w:right="0" w:left="90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Guandalini, S. and Newland, C., 2011. Differentiating Food Allergies from Food Intolerances. </w:t>
            </w:r>
            <w:r>
              <w:rPr>
                <w:rFonts w:ascii="Times New Roman" w:hAnsi="Times New Roman" w:cs="Times New Roman" w:eastAsia="Times New Roman"/>
                <w:i/>
                <w:color w:val="000000"/>
                <w:spacing w:val="0"/>
                <w:position w:val="0"/>
                <w:sz w:val="24"/>
                <w:shd w:fill="auto" w:val="clear"/>
              </w:rPr>
              <w:t xml:space="preserve">Current Gastroenterology Reports</w:t>
            </w:r>
            <w:r>
              <w:rPr>
                <w:rFonts w:ascii="Times New Roman" w:hAnsi="Times New Roman" w:cs="Times New Roman" w:eastAsia="Times New Roman"/>
                <w:color w:val="000000"/>
                <w:spacing w:val="0"/>
                <w:position w:val="0"/>
                <w:sz w:val="24"/>
                <w:shd w:fill="auto" w:val="clear"/>
              </w:rPr>
              <w:t xml:space="preserve">, 13(5), pp.426-434.</w:t>
            </w:r>
          </w:p>
          <w:p>
            <w:pPr>
              <w:spacing w:before="0" w:after="180" w:line="360"/>
              <w:ind w:right="0" w:left="90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 Reilly, L., 2015. Report on Food Allergies &amp;amp; Intolerances. </w:t>
            </w:r>
            <w:r>
              <w:rPr>
                <w:rFonts w:ascii="Times New Roman" w:hAnsi="Times New Roman" w:cs="Times New Roman" w:eastAsia="Times New Roman"/>
                <w:i/>
                <w:color w:val="000000"/>
                <w:spacing w:val="0"/>
                <w:position w:val="0"/>
                <w:sz w:val="24"/>
                <w:shd w:fill="auto" w:val="clear"/>
              </w:rPr>
              <w:t xml:space="preserve">Journal of Nutritional Health &amp;amp; Food Engineering</w:t>
            </w:r>
            <w:r>
              <w:rPr>
                <w:rFonts w:ascii="Times New Roman" w:hAnsi="Times New Roman" w:cs="Times New Roman" w:eastAsia="Times New Roman"/>
                <w:color w:val="000000"/>
                <w:spacing w:val="0"/>
                <w:position w:val="0"/>
                <w:sz w:val="24"/>
                <w:shd w:fill="auto" w:val="clear"/>
              </w:rPr>
              <w:t xml:space="preserve">, 2(4).</w:t>
            </w:r>
          </w:p>
          <w:p>
            <w:pPr>
              <w:spacing w:before="0" w:after="180" w:line="360"/>
              <w:ind w:right="0" w:left="90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Venter, C., 2018. Food Hypersensitivity: Diagnosing and Managing Food Allergies and Intolerances. </w:t>
            </w:r>
            <w:r>
              <w:rPr>
                <w:rFonts w:ascii="Times New Roman" w:hAnsi="Times New Roman" w:cs="Times New Roman" w:eastAsia="Times New Roman"/>
                <w:i/>
                <w:color w:val="000000"/>
                <w:spacing w:val="0"/>
                <w:position w:val="0"/>
                <w:sz w:val="24"/>
                <w:shd w:fill="auto" w:val="clear"/>
              </w:rPr>
              <w:t xml:space="preserve">Journal of Allergy</w:t>
            </w:r>
            <w:r>
              <w:rPr>
                <w:rFonts w:ascii="Times New Roman" w:hAnsi="Times New Roman" w:cs="Times New Roman" w:eastAsia="Times New Roman"/>
                <w:color w:val="000000"/>
                <w:spacing w:val="0"/>
                <w:position w:val="0"/>
                <w:sz w:val="24"/>
                <w:shd w:fill="auto" w:val="clear"/>
              </w:rPr>
              <w:t xml:space="preserve">, 2012, pp.1-2.</w:t>
            </w:r>
          </w:p>
          <w:p>
            <w:pPr>
              <w:spacing w:before="0" w:after="180" w:line="360"/>
              <w:ind w:right="0" w:left="90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Willliam, J., 2017. Food Allergies and Intolerances. </w:t>
            </w:r>
            <w:r>
              <w:rPr>
                <w:rFonts w:ascii="Times New Roman" w:hAnsi="Times New Roman" w:cs="Times New Roman" w:eastAsia="Times New Roman"/>
                <w:i/>
                <w:color w:val="000000"/>
                <w:spacing w:val="0"/>
                <w:position w:val="0"/>
                <w:sz w:val="24"/>
                <w:shd w:fill="auto" w:val="clear"/>
              </w:rPr>
              <w:t xml:space="preserve">Clinical Gastroenterology and Hepatology</w:t>
            </w:r>
            <w:r>
              <w:rPr>
                <w:rFonts w:ascii="Times New Roman" w:hAnsi="Times New Roman" w:cs="Times New Roman" w:eastAsia="Times New Roman"/>
                <w:color w:val="000000"/>
                <w:spacing w:val="0"/>
                <w:position w:val="0"/>
                <w:sz w:val="24"/>
                <w:shd w:fill="auto" w:val="clear"/>
              </w:rPr>
              <w:t xml:space="preserve">, 15(8), p.A24.</w:t>
            </w:r>
          </w:p>
          <w:p>
            <w:pPr>
              <w:spacing w:before="0" w:after="180" w:line="360"/>
              <w:ind w:right="0" w:left="900" w:hanging="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Winterová, R., Pokorná Barto</w:t>
            </w:r>
            <w:r>
              <w:rPr>
                <w:rFonts w:ascii="Times New Roman" w:hAnsi="Times New Roman" w:cs="Times New Roman" w:eastAsia="Times New Roman"/>
                <w:color w:val="000000"/>
                <w:spacing w:val="0"/>
                <w:position w:val="0"/>
                <w:sz w:val="24"/>
                <w:shd w:fill="auto" w:val="clear"/>
              </w:rPr>
              <w:t xml:space="preserve">škov</w:t>
            </w:r>
            <w:r>
              <w:rPr>
                <w:rFonts w:ascii="Times New Roman" w:hAnsi="Times New Roman" w:cs="Times New Roman" w:eastAsia="Times New Roman"/>
                <w:color w:val="000000"/>
                <w:spacing w:val="0"/>
                <w:position w:val="0"/>
                <w:sz w:val="24"/>
                <w:shd w:fill="auto" w:val="clear"/>
              </w:rPr>
              <w:t xml:space="preserve">á, M., Kejík, Z., Rysová, J., Laknerová, I., Urban, M. and </w:t>
            </w:r>
            <w:r>
              <w:rPr>
                <w:rFonts w:ascii="Times New Roman" w:hAnsi="Times New Roman" w:cs="Times New Roman" w:eastAsia="Times New Roman"/>
                <w:color w:val="000000"/>
                <w:spacing w:val="0"/>
                <w:position w:val="0"/>
                <w:sz w:val="24"/>
                <w:shd w:fill="auto" w:val="clear"/>
              </w:rPr>
              <w:t xml:space="preserve">Šm</w:t>
            </w:r>
            <w:r>
              <w:rPr>
                <w:rFonts w:ascii="Times New Roman" w:hAnsi="Times New Roman" w:cs="Times New Roman" w:eastAsia="Times New Roman"/>
                <w:color w:val="000000"/>
                <w:spacing w:val="0"/>
                <w:position w:val="0"/>
                <w:sz w:val="24"/>
                <w:shd w:fill="auto" w:val="clear"/>
              </w:rPr>
              <w:t xml:space="preserve">ídová, Z., 2021. Food allergies and intolerances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A</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review.</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Czech Journal of Food Sciences</w:t>
            </w:r>
            <w:r>
              <w:rPr>
                <w:rFonts w:ascii="Times New Roman" w:hAnsi="Times New Roman" w:cs="Times New Roman" w:eastAsia="Times New Roman"/>
                <w:color w:val="000000"/>
                <w:spacing w:val="0"/>
                <w:position w:val="0"/>
                <w:sz w:val="24"/>
                <w:shd w:fill="auto" w:val="clear"/>
              </w:rPr>
              <w:t xml:space="preserve">, 39(No. 5), pp.329-339.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spacing w:val="0"/>
                <w:position w:val="0"/>
                <w:shd w:fill="auto" w:val="clear"/>
              </w:rPr>
            </w:pPr>
          </w:p>
        </w:tc>
      </w:tr>
    </w:tbl>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24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