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8BD4B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232034">
              <w:rPr>
                <w:b/>
                <w:color w:val="auto"/>
                <w:sz w:val="32"/>
              </w:rPr>
              <w:t>Rikki Hall (PC 6396)</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5B90D28" w:rsidR="005A1BA3" w:rsidRDefault="005A1BA3" w:rsidP="00340E9A">
            <w:pPr>
              <w:overflowPunct/>
              <w:autoSpaceDE/>
              <w:autoSpaceDN/>
              <w:adjustRightInd/>
              <w:ind w:right="237"/>
              <w:textAlignment w:val="auto"/>
              <w:rPr>
                <w:b/>
                <w:color w:val="auto"/>
                <w:sz w:val="32"/>
              </w:rPr>
            </w:pPr>
            <w:r>
              <w:rPr>
                <w:b/>
                <w:color w:val="auto"/>
                <w:sz w:val="32"/>
              </w:rPr>
              <w:t>__</w:t>
            </w:r>
            <w:r w:rsidR="00232034">
              <w:rPr>
                <w:b/>
                <w:color w:val="auto"/>
                <w:sz w:val="32"/>
              </w:rPr>
              <w:t>1815887</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BD3B2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BD3B2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BD3B2B">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2C16E8"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44A6721" w:rsidR="00AA666E" w:rsidRDefault="00025650" w:rsidP="00340E9A">
      <w:pPr>
        <w:ind w:right="237"/>
        <w:jc w:val="both"/>
        <w:rPr>
          <w:b/>
          <w:sz w:val="24"/>
          <w:szCs w:val="24"/>
        </w:rPr>
      </w:pPr>
      <w:r w:rsidRPr="00025650">
        <w:rPr>
          <w:b/>
          <w:sz w:val="24"/>
          <w:szCs w:val="24"/>
        </w:rPr>
        <w:t>ANSWER:</w:t>
      </w:r>
    </w:p>
    <w:p w14:paraId="056307B4" w14:textId="77777777" w:rsidR="0045108F" w:rsidRPr="00025650" w:rsidRDefault="0045108F" w:rsidP="00340E9A">
      <w:pPr>
        <w:ind w:right="237"/>
        <w:jc w:val="both"/>
        <w:rPr>
          <w:b/>
          <w:sz w:val="24"/>
          <w:szCs w:val="24"/>
        </w:rPr>
      </w:pPr>
    </w:p>
    <w:p w14:paraId="3FBCAEC8"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The following essay will reflect on the impact of organisational justice on myself as a member of the South Wales Police service. This essay will consider the steps being taken in the Police organisation to help raise ethical standards amongst the officers and employees. I will be using Borton’s reflective tool for the following essay.</w:t>
      </w:r>
    </w:p>
    <w:p w14:paraId="4489F3DA"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Organisational justice is a term used to describe how fair employee’s actions within an organisation are. For example, “it is a judgement made by an employee about fairness […] and interpersonal relationships in the workplace” (Mengstie, M.M.-2020). However, I think that the term is actually broader and can be used to cover topics such as unfair dismissals and practice that may be deemed as unproportioned or unfair in the work place. As fairness is subjective, organisational justice will often only being brought into question when that justice has been imbalanced. </w:t>
      </w:r>
    </w:p>
    <w:p w14:paraId="7B5CD566"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Employee’s perception of organisational justice can influence that employee’s behaviour when they are undertaking their daily role. In South Wales Police, we use the Code of Ethics to enforce organisational justice.</w:t>
      </w:r>
    </w:p>
    <w:p w14:paraId="337396C7"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There are three main types of organisational justice. These are distributive, procedural, and interactional. </w:t>
      </w:r>
    </w:p>
    <w:p w14:paraId="746C1958"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Distributive justice is how fairly people feel their inputs, such as workloads and resources, equal into rewards such as pay and recognition for their work. The equity principle is the principle that rewards are equally distributed based on the input given. Inputs would be based around many factors such as effort, experience, training and education and the outcomes for these inputs would be promotions, career opportunities, job securities, promotion, social approval and wages- (Baldwin-2006) </w:t>
      </w:r>
    </w:p>
    <w:p w14:paraId="721548FD"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Procedural justice is a mix how employees perceive decisions being made by the organisation and if they are ethical, consistent, and impartial. It also relies on how open and honest the employee feels their senior staff are and how dignified and respectful they are- (Baldwin-2006)</w:t>
      </w:r>
    </w:p>
    <w:p w14:paraId="359E1436"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Interactional Justice is similar to procedural justice however it is the feeling that employees have an effect on the decision making procedure. Within this process employees must feel like all information given to them is accurate, there are discriminatory elements, and if a wrong decision is </w:t>
      </w:r>
      <w:r w:rsidRPr="00066BB2">
        <w:rPr>
          <w:rFonts w:ascii="Calibri" w:eastAsia="Calibri" w:hAnsi="Calibri" w:cs="Times New Roman"/>
          <w:color w:val="auto"/>
          <w:sz w:val="22"/>
          <w:szCs w:val="22"/>
          <w:lang w:eastAsia="en-US"/>
        </w:rPr>
        <w:lastRenderedPageBreak/>
        <w:t>made there should be some official accountability from the organisation. “Interactional justice is the standard applied to how employees relate to each other at work.” (Schofield-2020)</w:t>
      </w:r>
    </w:p>
    <w:p w14:paraId="0C7A30AA"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My own personal experience of organisational justice within South Wales Police has been a mostly positive one. The structure of organisational decision-making seems to be robust with many levels of input from different sectors within the police service. Certain responsibilities are clearly defined page department so each individual should know their role within the organisation. Career progression opportunities is also a positive aspect of the role inside of the South Wales police organisation as there are many options for progression in different fields based upon your positive attributes and, time and staff levels permitting, you may have the opportunity to participate in a short attachment with the chosen field to get the experience for you to decide whether this is a path you would be willing to take your career towards. </w:t>
      </w:r>
    </w:p>
    <w:p w14:paraId="46A9A374"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Job security has a mixed interpretation within my time with the South Wales police. On the positive side the police service will always be needed whatever state the country may find itself in as highlighted by the Covid-19 pandemic whereby I have known a lot of people lose their employment due to their place of work not being able to sustain their job role. On the other side there are strict protocols in place that are reviewed at many levels which can be overbearing to someone new to the job role whilst on top of this an extended three year probationary period creates more pressure in perceived job security causing unnecessary stress. Effort in one’s role is also a mixed perception of positive organisational justice as some tasks that you have put much effort in get unnoticed however other tasks which require less effort sometimes get great praise depending on the organisational focus of the task that you doing. For example if there is a push from higher management for effective stop searches in a certain area or Covid-19 fines this can be widely praised even though less time and effort is required for tasks such as putting together for crown court files and/or spending large amounts of time with a vulnerable person to maintain their welfare. </w:t>
      </w:r>
    </w:p>
    <w:p w14:paraId="74F06DBB"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South Wales Police has taken many steps to ensure organisational justice adhered to. One of the ways this integrity is kept is by doing regular performance reviews with your immediate supervisor whereby you can discuss your performance and your progression including what field you would like to pursue within the police service. South Wales Police also conduct daily management meetings whereby they discuss events that have taken place the day before and review/critique how these incidents were dealt with and create an action plan if they feel necessary. During these daily management meetings many levels within the service attend making sure that each level has an input into the desired outcome of the progression of the incident. </w:t>
      </w:r>
    </w:p>
    <w:p w14:paraId="46AEA1E8" w14:textId="77777777" w:rsidR="00066BB2" w:rsidRPr="00066BB2" w:rsidRDefault="00066BB2" w:rsidP="00066BB2">
      <w:pPr>
        <w:overflowPunct/>
        <w:autoSpaceDE/>
        <w:autoSpaceDN/>
        <w:adjustRightInd/>
        <w:spacing w:after="160" w:line="259" w:lineRule="auto"/>
        <w:textAlignment w:val="auto"/>
        <w:rPr>
          <w:rFonts w:ascii="Calibri" w:eastAsia="Calibri" w:hAnsi="Calibri" w:cs="Calibri"/>
          <w:sz w:val="22"/>
          <w:szCs w:val="22"/>
          <w:lang w:eastAsia="en-US"/>
        </w:rPr>
      </w:pPr>
      <w:r w:rsidRPr="00066BB2">
        <w:rPr>
          <w:rFonts w:ascii="Calibri" w:eastAsia="Calibri" w:hAnsi="Calibri" w:cs="Times New Roman"/>
          <w:color w:val="auto"/>
          <w:sz w:val="22"/>
          <w:szCs w:val="22"/>
          <w:lang w:eastAsia="en-US"/>
        </w:rPr>
        <w:t xml:space="preserve">South Wales Police are taking steps to raise the ethical standards in many ways. Random drug tests </w:t>
      </w:r>
      <w:r w:rsidRPr="00066BB2">
        <w:rPr>
          <w:rFonts w:ascii="Calibri" w:eastAsia="Calibri" w:hAnsi="Calibri" w:cs="Calibri"/>
          <w:color w:val="auto"/>
          <w:sz w:val="22"/>
          <w:szCs w:val="22"/>
          <w:lang w:eastAsia="en-US"/>
        </w:rPr>
        <w:t>are issued to officers to restrict the corruption of drugs use in Police after Police officers have been found to take controlled substances (</w:t>
      </w:r>
      <w:r w:rsidRPr="00066BB2">
        <w:rPr>
          <w:rFonts w:ascii="Calibri" w:eastAsia="Calibri" w:hAnsi="Calibri" w:cs="Calibri"/>
          <w:sz w:val="22"/>
          <w:szCs w:val="22"/>
          <w:lang w:eastAsia="en-US"/>
        </w:rPr>
        <w:t>L.Stephens-2021). Another topic South Wales Police are attempting to tackle is race relations with Police due to the Black Lives Matter movement. “Lets Talk About Race” online courses are being distributed throughout the service to allow Officers to openly talk about race issues with course providers</w:t>
      </w:r>
      <w:r w:rsidRPr="00066BB2">
        <w:rPr>
          <w:rFonts w:ascii="Verdana" w:eastAsia="Calibri" w:hAnsi="Verdana" w:cs="Times New Roman"/>
          <w:sz w:val="22"/>
          <w:szCs w:val="22"/>
          <w:lang w:eastAsia="en-US"/>
        </w:rPr>
        <w:t xml:space="preserve">. </w:t>
      </w:r>
    </w:p>
    <w:p w14:paraId="34862E9A"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t xml:space="preserve">In conclusion South Wales Police does adhere to organisational justice positively however there are some small aspects that need attending to if they were to make all employees feel their efforts are proportionately valued to the level of time and energy put into certain tasks. South Wales Police are raising their ethical standards by the use of effective Organisational Justice. At all levels the policing code of ethics is mostly conformed to making sure most decisions are proportionate, ethical, justified and legal. If the code of ethics is contemplated on each decision this should maintain organisational justice at every level within the South Wales Police. </w:t>
      </w:r>
    </w:p>
    <w:p w14:paraId="1AB6A450" w14:textId="77777777" w:rsidR="00066BB2" w:rsidRPr="00066BB2" w:rsidRDefault="00066BB2" w:rsidP="00066BB2">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BB2">
        <w:rPr>
          <w:rFonts w:ascii="Calibri" w:eastAsia="Calibri" w:hAnsi="Calibri" w:cs="Times New Roman"/>
          <w:color w:val="auto"/>
          <w:sz w:val="22"/>
          <w:szCs w:val="22"/>
          <w:lang w:eastAsia="en-US"/>
        </w:rPr>
        <w:lastRenderedPageBreak/>
        <w:t>As an employee of the South Wales Police I now must continue to put in the work ethic and complete tasks equal and above the rate of which I feel I am “rewarded” with pay, career opportunities, or moral boosts from my team to keep the balance of organisational justice active.</w:t>
      </w:r>
    </w:p>
    <w:p w14:paraId="616003F9" w14:textId="77777777" w:rsidR="00FF7784" w:rsidRPr="00270EEB" w:rsidRDefault="00FF7784" w:rsidP="00340E9A">
      <w:pPr>
        <w:ind w:right="237"/>
        <w:jc w:val="both"/>
        <w:rPr>
          <w:sz w:val="24"/>
          <w:szCs w:val="24"/>
        </w:rPr>
      </w:pPr>
    </w:p>
    <w:p w14:paraId="35769E52" w14:textId="641F03BD" w:rsidR="00232034" w:rsidRPr="00232034" w:rsidRDefault="00236B80" w:rsidP="00232034">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Pr>
          <w:rFonts w:ascii="Calibri" w:eastAsia="Calibri" w:hAnsi="Calibri" w:cs="Times New Roman"/>
          <w:b/>
          <w:color w:val="auto"/>
          <w:sz w:val="22"/>
          <w:szCs w:val="22"/>
          <w:lang w:eastAsia="en-US"/>
        </w:rPr>
        <w:t>108</w:t>
      </w:r>
      <w:bookmarkStart w:id="0" w:name="_GoBack"/>
      <w:bookmarkEnd w:id="0"/>
      <w:r w:rsidR="0045108F">
        <w:rPr>
          <w:rFonts w:ascii="Calibri" w:eastAsia="Calibri" w:hAnsi="Calibri" w:cs="Times New Roman"/>
          <w:b/>
          <w:color w:val="auto"/>
          <w:sz w:val="22"/>
          <w:szCs w:val="22"/>
          <w:lang w:eastAsia="en-US"/>
        </w:rPr>
        <w:t>8</w:t>
      </w:r>
      <w:r w:rsidR="00232034" w:rsidRPr="00232034">
        <w:rPr>
          <w:rFonts w:ascii="Calibri" w:eastAsia="Calibri" w:hAnsi="Calibri" w:cs="Times New Roman"/>
          <w:b/>
          <w:color w:val="auto"/>
          <w:sz w:val="22"/>
          <w:szCs w:val="22"/>
          <w:lang w:eastAsia="en-US"/>
        </w:rPr>
        <w:t xml:space="preserve"> Words</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F4C5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1F78E9C2" w:rsidR="00450C83" w:rsidRDefault="00450C83" w:rsidP="00340E9A">
      <w:pPr>
        <w:ind w:right="237"/>
        <w:jc w:val="both"/>
        <w:rPr>
          <w:b/>
          <w:sz w:val="24"/>
          <w:szCs w:val="24"/>
        </w:rPr>
      </w:pPr>
      <w:r w:rsidRPr="00450C83">
        <w:rPr>
          <w:b/>
          <w:sz w:val="24"/>
          <w:szCs w:val="24"/>
        </w:rPr>
        <w:t>ANSWER:</w:t>
      </w:r>
    </w:p>
    <w:p w14:paraId="7CAC7224" w14:textId="77777777" w:rsidR="00CB08A3" w:rsidRPr="00450C83" w:rsidRDefault="00CB08A3" w:rsidP="00340E9A">
      <w:pPr>
        <w:ind w:right="237"/>
        <w:jc w:val="both"/>
        <w:rPr>
          <w:b/>
          <w:sz w:val="24"/>
          <w:szCs w:val="24"/>
        </w:rPr>
      </w:pPr>
    </w:p>
    <w:p w14:paraId="3FBD046B"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The following essay will give a brief description of a policing incident whereby I have involved a partnership approach by which I have played a significant role with an offender/service user/victim and will reflect on what events have taken place. I will consider what options I had whilst using a multi-agency approach. I will explain how I decided on the most appropriate option to mitigate or resolve the problem and how I evaluated the available evidence. I will also justify my intervention and highlight the potential consequences of my options. For the following essay I will be using Borton’s reflective model.</w:t>
      </w:r>
    </w:p>
    <w:p w14:paraId="515F43AD"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My role as a uniformed response Police constable is not only to investigate crime but also for public protection. The reason for this is that is the job of a police constable to uphold article 2 of the European convention of human rights.</w:t>
      </w:r>
    </w:p>
    <w:p w14:paraId="4EB436A3"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Article 2 of the European convention of human rights is the Right to life. This states that life should not be taken from someone by use of force unless absolutely necessary when using self-defence from unlawful violence, in order to conduct a lawful arrest or prevent an escape of someone that is lawfully detained, or to stop a riot of social disturbance. (European Court of Human Rights-2010)</w:t>
      </w:r>
    </w:p>
    <w:p w14:paraId="72A0EF8B"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Therefore many times during my role I have to use a multi-agency approach to protect the public as a way of ultimately conforming to article 2 of the European Convention of Human rights. Although the threat to life may not be immediate, it is best practice to consider the future implications of whatever relevant threat to life there may be depending on the unique situation that the member of the public is in.</w:t>
      </w:r>
    </w:p>
    <w:p w14:paraId="231289A7"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lastRenderedPageBreak/>
        <w:t xml:space="preserve">In November of 2020 I was tasked to attend an address in the Moriston area after a report of a domestic incident between a son and his father. Before entering the address I checked warning markers on the individuals involved and could see that there were warning markers on the son for domestic violence against his father. Therefore I could pre-plan based on this information that there had been a history of domestic violence. I could also see that there was a warning marker on the son for using weapons. </w:t>
      </w:r>
    </w:p>
    <w:p w14:paraId="1937A3B6"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This provided me with both social and legislative context because it enabled me to see that the son had been in police contact previously and there was evidence to suggest he’d had weapons in his possession he may have used against police. This social context indicated to me that the son may be very anti-police and may be hostile. It was important I was mindful of this information before entering scene.</w:t>
      </w:r>
    </w:p>
    <w:p w14:paraId="06904102"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Upon entering the address there was a heated argument taking place between the son and the father. I noticed a knife close to the son at the time so made the decision to immediately remove it to eliminate the danger and stop a potential immediate threat to life.</w:t>
      </w:r>
    </w:p>
    <w:p w14:paraId="671A8C91"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 spoke to the father who told me they had an argument over the son asking to borrow £10 after already lending him money earlier that day. The father was woken up by his son whilst trying to sleep which has then caused an argument. The son was also intoxicated with alcohol at this time which added to the risk factors. Due to these factors the argument became very verbally aggressive and the father has decided it was necessary to call the police to avoid the situation escalating.</w:t>
      </w:r>
    </w:p>
    <w:p w14:paraId="008F8247"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Whilst speaking to the son I asked him what had caused him to have this argument in an empathetic way. The son opened up to me and decided to tell me about his ongoing depression and that mental health services were not helping him.</w:t>
      </w:r>
    </w:p>
    <w:p w14:paraId="1C858AFA"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 evaluated all of the evidence that was available to me at scene and came to the conclusion that no criminal offence had been committed. I then had to consider the most appropriate action I could take to mitigate the problem. I considered that safeguarding is the biggest part of my role and felt that it would not be safe to leave the two parties together in case the situation escalated when I left.</w:t>
      </w:r>
    </w:p>
    <w:p w14:paraId="4A31609A"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DE48AE">
        <w:rPr>
          <w:rFonts w:ascii="Calibri" w:eastAsia="Calibri" w:hAnsi="Calibri" w:cs="Times New Roman"/>
          <w:color w:val="auto"/>
          <w:sz w:val="22"/>
          <w:szCs w:val="22"/>
          <w:lang w:eastAsia="en-US"/>
        </w:rPr>
        <w:t>Therefore, I decided that it would be appropriate to remove the son from the address and convey him to an alternative address. He stated he could go to his mother’s address. However, in order to make sure that I was fulfilling my role to safeguard members of the public, I decided it was important I first ran background PNC checks on the son’s mother and address she lived in. My check returned showing that the son had warning makers for domestic violence against his mother. Therefore, it was not appropriate for me to take him here and put her at risk.</w:t>
      </w:r>
    </w:p>
    <w:p w14:paraId="6353D9BC"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From this experience I learned that it is best to check the background I learned that the consequences of not considering this option, if I did not check this data, could have been potentially taking the son to a worse situation that he was already in as it could have led to further Domestic violence. Therefore we decided to take the son to his sister’s address whereby there are no domestic warning markers. </w:t>
      </w:r>
    </w:p>
    <w:p w14:paraId="22D4E51A"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Whilst dealing with domestic incidents it is important to take into consideration the following danger factors:</w:t>
      </w:r>
    </w:p>
    <w:p w14:paraId="5C65EE2F"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lastRenderedPageBreak/>
        <w:t>“In 2009 to 2010, the British Crime Survey showed that domestic violence accounted for 14% of all violent incidents and affects both men and women. Domestic violence is frequently repeated by the perpetrator and the violence can escalate over time.” (Home Office-2013)</w:t>
      </w:r>
    </w:p>
    <w:p w14:paraId="4D6F75D0"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In most cases a death due to domestic violence is most likely not the first incident and often there was additional emotional and psychological abuse preceding this incident. Many third parties may have known about previous domestic violence such as Police being called to domestic incidents, doctors examining injuries caused by a previous domestic incident, or neighbours may have overheard a domestic incident taking place to them in a residence close by.</w:t>
      </w:r>
    </w:p>
    <w:p w14:paraId="48078640"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Policies and procedures are often put in place with local agencies to advise staff on how to intervene with domestic violence incidents. Therefore this should make death and serious injury from domestic violence incidents should be preventable if there is early intervention. (Home Office-2013)</w:t>
      </w:r>
    </w:p>
    <w:p w14:paraId="63B62F59"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After making sure the male was safe I decided that multi agency help was appropriate due to the domestic setting between family members and mental health factors. I therefore created a Public Protection Notification to notify the Public Protection Unit with the appropriate information so they can share this information with the appropriate agencies. A meeting was then held with the Public Protection Unit and other agencies such as the council and charities where it was decided the best action to take to best protect all that are involved. </w:t>
      </w:r>
    </w:p>
    <w:p w14:paraId="5F434AF6"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A lack of a multiagency approach can cause disaster such as the cause of the suicide of Fiona Pilkington who also took the life of her severely disabled daughter in 2007 after years of harassment and abuse. The prevention of further abuse and the protection of victims can be taken at the earliest opportunity by using a multiagency approach to safeguard the victim and attempting to prevent further abuse. (Bryant R, Bryant S-2018)</w:t>
      </w:r>
    </w:p>
    <w:p w14:paraId="339FB335"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 felt I resolved the situation by using my intervention and information sharing acceptably and was necessary in terms of safeguarding for the member of the public I was protecting. With this sharing with multiple agencies it will help protect vulnerable members of society so it is important to think about the dangers that are present not only during your attendance but also when you leave and be aware of the agencies that can help these members of society. This information sharing could potentially prevent further harm or potentially a homicide if agencies manage my first hand information correctly therefore it is vital I always submit this information.</w:t>
      </w:r>
    </w:p>
    <w:p w14:paraId="6A73DBDF" w14:textId="77777777" w:rsidR="00AA666E" w:rsidRPr="00270EEB" w:rsidRDefault="00AA666E" w:rsidP="00340E9A">
      <w:pPr>
        <w:ind w:right="237"/>
        <w:jc w:val="both"/>
        <w:rPr>
          <w:sz w:val="24"/>
          <w:szCs w:val="24"/>
        </w:rPr>
      </w:pPr>
    </w:p>
    <w:p w14:paraId="547CF08A" w14:textId="056D2D4D" w:rsidR="00BD3B2B" w:rsidRPr="00BD3B2B" w:rsidRDefault="00DE48AE"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Pr>
          <w:rFonts w:ascii="Calibri" w:eastAsia="Calibri" w:hAnsi="Calibri" w:cs="Times New Roman"/>
          <w:b/>
          <w:color w:val="auto"/>
          <w:sz w:val="22"/>
          <w:szCs w:val="22"/>
          <w:lang w:eastAsia="en-US"/>
        </w:rPr>
        <w:t>1317</w:t>
      </w:r>
      <w:r w:rsidR="00BD3B2B" w:rsidRPr="00BD3B2B">
        <w:rPr>
          <w:rFonts w:ascii="Calibri" w:eastAsia="Calibri" w:hAnsi="Calibri" w:cs="Times New Roman"/>
          <w:b/>
          <w:color w:val="auto"/>
          <w:sz w:val="22"/>
          <w:szCs w:val="22"/>
          <w:lang w:eastAsia="en-US"/>
        </w:rPr>
        <w:t xml:space="preserve">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14E962E4"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The following essay will describe a policing incident whereby I have played a significant role with a victim of crime or anti-social behaviour and reflect on what happened. I will describe the incident, including social and legislative contexts and any relevant cultural, ethnicity and language issues. I will evaluate the appropriateness of different approaches by professionals and police in supporting or managing vulnerable people or people at risk of harm. I will also evaluate what works in relation to tackling repeat victimisation and repeat offending. In the following essay I will be using Borton’s reflective tool.</w:t>
      </w:r>
    </w:p>
    <w:p w14:paraId="58838F28"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In October 2020 my role was to attend a block of flats in the Swansea city centre area after an emergency call had come in claiming that there were people fighting in the hallway of the block of flats. Whilst travelling to the block flats I took the opportunity to search people involved on police databases. While searching these databases I found that the individuals involved had been a part of a series of neighbour complaints including noise and other antisocial behaviour. This provided me with important social context because it showed me that there was clearly ongoing issues between parties in these flats.</w:t>
      </w:r>
    </w:p>
    <w:p w14:paraId="4A17D290"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Upon arriving at the block of flats there were two groups of people shouting at each other in the hallway of the fourth floor. As the reporting person was a neighbour who did not know why the two groups were arguing I decided to speak to one of the groups to investigate what had taken place. I spoke to a male who was shouting loudly in a different language that had bruises on his face. Although there was a language barrier I was able to communicate with him through non-verbal communication enough to convince him to follow me into his flat and discuss what events had taken place. This allowed me to drop the risk factors as I had separated the two parties to stop them antagonising each other. Again there was a communication barrier as the male spoke Romanian and did not have very strong English. However he was able to convey to me that he has had an ongoing issue with his next-door neighbour as many people come to the flat taking drugs, acting aggressively, </w:t>
      </w:r>
      <w:r w:rsidRPr="00DE48AE">
        <w:rPr>
          <w:rFonts w:ascii="Calibri" w:eastAsia="Calibri" w:hAnsi="Calibri" w:cs="Times New Roman"/>
          <w:color w:val="auto"/>
          <w:sz w:val="22"/>
          <w:szCs w:val="22"/>
          <w:lang w:eastAsia="en-US"/>
        </w:rPr>
        <w:lastRenderedPageBreak/>
        <w:t xml:space="preserve">and playing loud music which therefore disturbs his family. He went on to explain that earlier in the evening he confronted his neighbour who was standing in the hallway of the fourth floor about his behaviour. This then turned into an argument whereby his neighbour started to say racist things towards him which eventually led to his neighbour punching him in the face which caused the bruising that he currently had. </w:t>
      </w:r>
    </w:p>
    <w:p w14:paraId="0EF5C0C6"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With this information, I understood that it was important to take positive action due to the level of the offence so I made the decision to approach his neighbour, who was then standing in the hallway, and inform him that he was under arrest for a racially aggravated assault. After some verbal resistance, the neighbour compliantly put his hands behind his back and I applied handcuffs appropriately. I then cautioned the male with the “when questioned” caution to which he had no reply. I then conveyed the male to Swansea Central Custody where he was appropriately processed and his detention was authorised by the Custody Sergeant. I then created an arrest statement and completed the use of force form detailing the applicable information. I also added an arrest rationale to the custody record detailing the appropriate information.</w:t>
      </w:r>
    </w:p>
    <w:p w14:paraId="04F112F9"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After dealing with the suspect I then returned to the victim’s address to obtain a statement detailing the events that had transpired earlier that afternoon. To assist with this action I decided it was appropriate to use a third party organisation to help translate the words spoken by the victim as although he understood most information that was being said to him I was aware that certain words and phrases could be misinterpreted which could be vital when providing a statement that could potentially be used in court. Therefore I used language line which all South Wales Police officers have access to with a password to be used when appropriate. </w:t>
      </w:r>
    </w:p>
    <w:p w14:paraId="2F717FEC"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Language Line is a service that provides a solution to being able to communicate with members of the public who speak a different language, deaf or hard of hearing. When ringing language line you can request what language interpreter you require and you will be connected to an on call interpreter. </w:t>
      </w:r>
    </w:p>
    <w:p w14:paraId="304553AE"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“Over the past two years, we have invested nearly £40 million in engineering, research, and development – expanding our remote, digital language support services to provide even more opportunities to offer support when physical interaction is not possible.” (Language Line-2020) </w:t>
      </w:r>
    </w:p>
    <w:p w14:paraId="6EA816F8"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When evaluating the approach of the professionals at language line in this instance, it is clearly a well-rounded and professional service. The translator on the line used appropriate tone of voice when discussing the situation with the victim and asked me lots of questions that I felt helped them to get a better understanding of the situation and how it had made the victim feel. </w:t>
      </w:r>
    </w:p>
    <w:p w14:paraId="4186235A"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I noticed that the victim talked openly to the translator and seemed comforted by them, which further led me to believe that the professional here was acting very appropriately. </w:t>
      </w:r>
    </w:p>
    <w:p w14:paraId="520705E4"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 also believe that police approach here was appropriate because we recognised victim needs straight away and put things in place that helped us to achieve best evidence and support the victim as best we could.</w:t>
      </w:r>
    </w:p>
    <w:p w14:paraId="7279DFA1"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After obtaining a statement from the victim and completing Public Protection notification questions I decided to submit a victim support notification for the family of the victim due to the history of antisocial behaviour being displayed at the addresses. Victim support this is independent from the police and can help victims in the way that the police cannot. There are specific actions victim support can do to assist victims with antisocial behaviour. These include helping you contact other agencies and services that can also offer help, helping you understand the process of tackling crime </w:t>
      </w:r>
      <w:r w:rsidRPr="00DE48AE">
        <w:rPr>
          <w:rFonts w:ascii="Calibri" w:eastAsia="Calibri" w:hAnsi="Calibri" w:cs="Times New Roman"/>
          <w:color w:val="auto"/>
          <w:sz w:val="22"/>
          <w:szCs w:val="22"/>
          <w:lang w:eastAsia="en-US"/>
        </w:rPr>
        <w:lastRenderedPageBreak/>
        <w:t>and antisocial behaviour, reassuring you that they are listening to you and will take action if possible, keeping you up to date with what is being done. (VictimSupport.org-2020)</w:t>
      </w:r>
    </w:p>
    <w:p w14:paraId="48852198"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The use of victim support is appropriate as due to the circumstances the victim and his family are considered vulnerable as the victim has been subjected to a hate crime and his family that he lives with is potentially involved in the hate related antisocial behaviour dispute. </w:t>
      </w:r>
    </w:p>
    <w:p w14:paraId="366692AB"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After this incident I decided to inform certain agencies to prevent this behaviour happening again. For this I considered the principles of the Routine Activity Theory.  </w:t>
      </w:r>
    </w:p>
    <w:p w14:paraId="18158AC8"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 “Routine activity theory is, in short, an attempt to identify, at a macro-level, criminal activities and their patterns through explanation of changes in crime rate trends” (Cohen &amp; Felson, 1979). </w:t>
      </w:r>
    </w:p>
    <w:p w14:paraId="0D79DA46"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The principle of the Routine activity theory is based around reducing or eliminating the elements which make certain crimes possible therefore making the crime obsolete. The Routine activity theory is implemented by studying crimes and studying the elements that make up the crime such as where it takes place and who has been targeted instead or looking at criminal motives to therefore apply action plans and strategies to target these elements that make up these high volume crimes and analyse them. (J.Mitchel Miller-2014)</w:t>
      </w:r>
    </w:p>
    <w:p w14:paraId="16B76B13"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 xml:space="preserve">Within the principles of the Routine Activity Theory there are three elements that motivate an individual to commit a crime. These are a likely offender, a suitable target, and the absence of a Guardian. To prevent the offender committing this crime again I requested to the custody sergeant that bail conditions were to be put in place not to contact the victim directly or indirectly including the use of social media to help prevent any future contact with the victim until the criminal element of the offence had been dealt with. I helped prevent the address becoming a suitable target by advising the council to install CCTV covering the address from the corridor so all future interactions could potentially be visually recorded therefore creating target hardening. And finally I helped prevent there being a lack of a Guardian by tasking the local neighbourhood team to conduct regular patrols of the block of flats and also to check in with the victim’s family regularly and ask if there is any other antisocial behaviour such as loud music or drug taking happening inside or around the address next door. These steps are commonly taken to tackle repeat victimisation and have fairly high levels of success because they act as a deterrent for potential offenders. </w:t>
      </w:r>
    </w:p>
    <w:p w14:paraId="159381DC" w14:textId="77777777" w:rsidR="00DE48AE" w:rsidRPr="00DE48AE" w:rsidRDefault="00DE48AE" w:rsidP="00DE48AE">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E48AE">
        <w:rPr>
          <w:rFonts w:ascii="Calibri" w:eastAsia="Calibri" w:hAnsi="Calibri" w:cs="Times New Roman"/>
          <w:color w:val="auto"/>
          <w:sz w:val="22"/>
          <w:szCs w:val="22"/>
          <w:lang w:eastAsia="en-US"/>
        </w:rPr>
        <w:t>In conclusion, I have reflected on this incident and have decided using multiple agencies within and outside the police organisation can help vulnerable members of society in more than one way. Multi agency helps improve safeguarding “There was a strong feeling among those interviewed that multi-agency safeguarding hubs have led to an improved standard of safeguarding practice, ultimately leading to safer children and adults.”(Home Office-2014) This protection can prevent future offences from taking place which in turn should create a better living situation for all whereby vulnerable members of society are concerned. I will always remember this whilst attending future incidents.</w:t>
      </w:r>
    </w:p>
    <w:p w14:paraId="6A4248A1" w14:textId="77777777" w:rsidR="00BD3B2B" w:rsidRPr="00BD3B2B" w:rsidRDefault="00BD3B2B" w:rsidP="00BD3B2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BE9367D" w14:textId="33D5FBEF" w:rsidR="00BD3B2B" w:rsidRPr="00BD3B2B" w:rsidRDefault="00DE48AE"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Pr>
          <w:rFonts w:ascii="Calibri" w:eastAsia="Calibri" w:hAnsi="Calibri" w:cs="Times New Roman"/>
          <w:b/>
          <w:color w:val="auto"/>
          <w:sz w:val="22"/>
          <w:szCs w:val="22"/>
          <w:lang w:eastAsia="en-US"/>
        </w:rPr>
        <w:t>1536</w:t>
      </w:r>
      <w:r w:rsidR="00BD3B2B" w:rsidRPr="00BD3B2B">
        <w:rPr>
          <w:rFonts w:ascii="Calibri" w:eastAsia="Calibri" w:hAnsi="Calibri" w:cs="Times New Roman"/>
          <w:b/>
          <w:color w:val="auto"/>
          <w:sz w:val="22"/>
          <w:szCs w:val="22"/>
          <w:lang w:eastAsia="en-US"/>
        </w:rPr>
        <w:t xml:space="preserve"> Words</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52FA38B"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In the following essay I will describe a policing incident which is of a serious or complex nature in which I played a significant role with an offender/service user and reflect on what happened. I will give a brief description of the incident including social and legislative contexts and any relevant cultural, ethnicity and language issue. For the following essay I will be using Borton’s reflective model.</w:t>
      </w:r>
    </w:p>
    <w:p w14:paraId="4FA1F18C"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I will consider how I have gathered, analysed and evaluated relevant information or intelligence from a range of sources as appropriate to the policing incident. Additionally, I will identify how I have developed the information and intelligence for the purpose of informing the tasking and co-ordination process. I will then focus on how I have made use of the additional sources of intelligence obtained through the complex investigation and will explain how I have applied learning from previous serious and complex investigations. My reflection will illustrate my understanding and application of core principles of ethics, equality, diversity, and human rights, as well as any relevant Code of practice considerations culturally sensitive practice and language preference.</w:t>
      </w:r>
    </w:p>
    <w:p w14:paraId="12BC70D6"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 xml:space="preserve">In September of 2020 my role was to attend a block of flats on the Swansea City area and provide a satisfactory Police service, after multiple emergency calls had been made from the address. The first phone call was a female on the line crying stating that she had been penetrated by a penis. The second phone call was from a male telling the call operator that there was no issue at the address </w:t>
      </w:r>
      <w:r w:rsidRPr="002C16E8">
        <w:rPr>
          <w:rFonts w:ascii="Calibri" w:eastAsia="Calibri" w:hAnsi="Calibri" w:cs="Times New Roman"/>
          <w:color w:val="auto"/>
          <w:sz w:val="22"/>
          <w:szCs w:val="22"/>
          <w:lang w:eastAsia="en-US"/>
        </w:rPr>
        <w:lastRenderedPageBreak/>
        <w:t xml:space="preserve">although a female could be heard crying in the background. A further call was made to the control room by the victim’s husband who stated that his wife had called him saying that she needed help. Upon arriving at the flat I took the male into one room as my female colleague took the female into another room. This therefore allowed us to get separate first accounts from both the victim and the suspect without both interrupting each other. While speaking to the suspect he told me that he was an 18 year old Kurdish immigrant. He went on to say that while he was under 18 he lived in a supported housing complex for children and teenagers. Whilst living at the complex the victim had been a support worker assisting him in his day to day living. After turning 18 he has since moved out of the supported living complex and has moved into the flat that he now lives in. On this night he said that he went to Wind Street Swansea whereby he recognised his ex-support worker and they both began talking and having alcoholic drinks with each other. After having a few drinks and kissing a few times they then both agreed to come back to his flat. They both continued to kiss and eventually engaged in penetrative sex. </w:t>
      </w:r>
    </w:p>
    <w:p w14:paraId="62418793"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 xml:space="preserve">After leaving my colleague to talk to the victim for a while I then began to share information with my colleague in private. My colleague in summary told me that the victim had said the same events had taken place, however she said she was too drunk to consent to kissing him when they were both in town. The victim then went on to say that she didn’t agree to attend his flat and was drunk at the time. She then said that before sexual intercourse she was crying and told him to stop. She then called the police and later called her husband. With this information I then approached the suspect and told him that he was under arrest for suspicion of rape and then appropriately cautioned him. The suspect replied to caution saying that he didn’t do anything wrong. I then compliantly placed handcuffs on the suspect and conveyed him to Swansea Central Custody. </w:t>
      </w:r>
    </w:p>
    <w:p w14:paraId="06FAF756"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 xml:space="preserve">As dealing with the complex and serious offence of rape it is important that all of the relevant information and intelligence is preserved and handed to the corrected department (Criminal Investigation Department). Therefore as soon as the suspect was appropriately handcuffed I requested via my personal radio that the public service centre could inform the Rape and Serious Sexual Offences division and to request that one my colleagues on the response shift come to the address a crime scene. </w:t>
      </w:r>
    </w:p>
    <w:p w14:paraId="64EF450E"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In terms of information intelligence that could be gathered there are a range of sources. This could be down to evidence that I can see, touch, feel, smell, and here as well as information found on police databases such as the police national database (PNB) and local police databases such as Niche’. Although both this victim and the suspect were not present on these databases at this time, whilst attending previous serious and complex investigations I have found this to be a useful piece of intelligence to use when making decisions at the scene.</w:t>
      </w:r>
    </w:p>
    <w:p w14:paraId="4A39075F"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In this situation, I used many sources to gather and develop as much information and intelligence as I could. For example, I used open questions to ask the victim what had happened and then also used some more closed questions to develop this information to get more detail and clarify.</w:t>
      </w:r>
    </w:p>
    <w:p w14:paraId="08DCA6D3"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I also attempted to use our police systems to gather and develop information and intelligence. This would allow me to gather a more detailed picture of the scene. However, I was mindful that it was important I kept an open mind because it is my role as a police officer is to be impartial and I knew that I must not let my personal perception influence my evidence gathering at scene.</w:t>
      </w:r>
    </w:p>
    <w:p w14:paraId="13F8A1EE"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 xml:space="preserve">During the investigation I made sure that the appropriate divisions were tasked such as the CSI to attend the scene and to investigate the bed in which both the victim and the suspect said that the </w:t>
      </w:r>
      <w:r w:rsidRPr="002C16E8">
        <w:rPr>
          <w:rFonts w:ascii="Calibri" w:eastAsia="Calibri" w:hAnsi="Calibri" w:cs="Times New Roman"/>
          <w:color w:val="auto"/>
          <w:sz w:val="22"/>
          <w:szCs w:val="22"/>
          <w:lang w:eastAsia="en-US"/>
        </w:rPr>
        <w:lastRenderedPageBreak/>
        <w:t xml:space="preserve">sexual actions took place therefore relaying the appropriate intelligence to the appropriate organisation. </w:t>
      </w:r>
    </w:p>
    <w:p w14:paraId="4468E08E"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During this investigation I decided that this was an important an critical incident so I consider using the code of ethics whilst conducting investigations. The code of ethics is based around nine policing principles. These principles are Accountability, Integrity, Openness, Fairness, Leadership, Respect, Honesty, Objectivity and Selflessness. The Code of Ethic’s aim is to help members of the Police make the best possible decisions to the highest professional standards to help serve the public. (College of Policing-2014)</w:t>
      </w:r>
    </w:p>
    <w:p w14:paraId="067B912A"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Following the code of ethics is important when dealing with the crime of rape as a police officer as the subject is a sensitive one that requires the right ethical options to be dealt with efficiently. Examples of this was to make sure that taking intimate swabs from the victim was taken by a RASSO (Rape And Serious Sexual Offences) officer as they have had the proper training to do so. To remain ethical you must also think of the suspect and take into account their needs and the information that they have given. An example of this is that the suspect told me, whilst he was been conveyed to custody, that the victim had been kissing his neck at the time that he penetrated her therefore he believed this would help prove that the sexual act was consensual. I therefore advised the suspect not to touch his neck so the forensic evidence would not be damaged. I also made reference to this significant comment in my statement so swabs can be taken of his neck to provide a nonbiased investigation. This was learned from previous experiences when I have had CPS (Crown Prosecution Service) review my investigations and have been asked to make enquires to investigate a source which will support the suspect and not only the victim.</w:t>
      </w:r>
    </w:p>
    <w:p w14:paraId="4D7CA91C" w14:textId="77777777" w:rsidR="002C16E8" w:rsidRPr="002C16E8" w:rsidRDefault="002C16E8" w:rsidP="002C16E8">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2C16E8">
        <w:rPr>
          <w:rFonts w:ascii="Calibri" w:eastAsia="Calibri" w:hAnsi="Calibri" w:cs="Times New Roman"/>
          <w:color w:val="auto"/>
          <w:sz w:val="22"/>
          <w:szCs w:val="22"/>
          <w:lang w:eastAsia="en-US"/>
        </w:rPr>
        <w:t>In conclusion there are many ways an officer can take advantage of different forms of information intelligence and it is best practice to share this information with the necessary organisation to provide public protection and an effective investigation. It is also moral that the code of ethics is always adhered to while conducting investigations to provide an impartial outcome to reveal as close to the truth as practical. I feel that after dealing with this incident it will change my future practice as I will always think of the ethics and public perception whilst dealing with critical incidents.</w:t>
      </w:r>
    </w:p>
    <w:p w14:paraId="1967E2A8" w14:textId="77777777" w:rsidR="00025650" w:rsidRPr="00270EEB" w:rsidRDefault="00025650" w:rsidP="00340E9A">
      <w:pPr>
        <w:ind w:right="237"/>
        <w:jc w:val="both"/>
        <w:rPr>
          <w:sz w:val="24"/>
          <w:szCs w:val="24"/>
        </w:rPr>
      </w:pPr>
    </w:p>
    <w:p w14:paraId="040523C8" w14:textId="55EA223D" w:rsidR="00BD3B2B" w:rsidRPr="00BD3B2B" w:rsidRDefault="002C16E8"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Pr>
          <w:rFonts w:ascii="Calibri" w:eastAsia="Calibri" w:hAnsi="Calibri" w:cs="Times New Roman"/>
          <w:b/>
          <w:color w:val="auto"/>
          <w:sz w:val="22"/>
          <w:szCs w:val="22"/>
          <w:lang w:eastAsia="en-US"/>
        </w:rPr>
        <w:t>1372</w:t>
      </w:r>
      <w:r w:rsidR="00BD3B2B" w:rsidRPr="00BD3B2B">
        <w:rPr>
          <w:rFonts w:ascii="Calibri" w:eastAsia="Calibri" w:hAnsi="Calibri" w:cs="Times New Roman"/>
          <w:b/>
          <w:color w:val="auto"/>
          <w:sz w:val="22"/>
          <w:szCs w:val="22"/>
          <w:lang w:eastAsia="en-US"/>
        </w:rPr>
        <w:t xml:space="preserve">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9839778"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The following essay will reflect on a policing incident whereby it involved digital technologies and will reflect on how I provided an initial Police response. I will explain the immediate actions that I took to reduce the risk of harm caused by the incident. I will also detail who may be more vulnerable in an incident involving technology. For the following essay I will be using Borton’s reflective tool.</w:t>
      </w:r>
    </w:p>
    <w:p w14:paraId="4856C197"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In August of 2020 my role was to attend the address in the Swansea city centre area whereby there was a report of a male taking a female’s bank cards and leaving the address. Upon attendance to the flat I spoke to the victim who stated that she had met a male on an online dating site a week ago. Within that time the male had been staying at the flat with the victim, her mother and the mother’s boyfriend and had formed a Covid bubble with them. Upon the time of the male staying that the address the victim said that he displayed some odd behaviour. The male had told the victim along with her mother and her boyfriend that he had a lot of money that he had made via online crypto currency and also bragged that he had access to firearms by a friend that he would speak to regularly over a video conversation online. After a couple of days of staying at the address, the male had told the victim’s mother that he had filmed her daughter having sex with him on a laptop without her knowing and streamed it online. The mother then told the victim of this which led to an argument between the suspect and the victim. The victim then explained that the suspect climbed out of the bedroom window during the argument and left the address. A while later she realised her bank cards were missing. She then contacted the police to initiate me attending the address.</w:t>
      </w:r>
    </w:p>
    <w:p w14:paraId="434DA661"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0664C9">
        <w:rPr>
          <w:rFonts w:ascii="Calibri" w:eastAsia="Calibri" w:hAnsi="Calibri" w:cs="Times New Roman"/>
          <w:color w:val="auto"/>
          <w:sz w:val="22"/>
          <w:szCs w:val="22"/>
          <w:lang w:eastAsia="en-US"/>
        </w:rPr>
        <w:t>The first actions I initiated were to ask the victim contact her bank and to cancel her cards. I perceived that all victims are vulnerable to some extent because the impact of crime can be devastating. I thought that cancelling the victim’s bank cards would be an immediate action I can take to reduce the risk of harm to the victim because it would stop the perpetrator from using her cards and defrauding her of money. I noticed that this also provided the victim with great reassurance which enhanced her confidence in the police.</w:t>
      </w:r>
    </w:p>
    <w:p w14:paraId="14F4BFFE"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FF0000"/>
          <w:sz w:val="22"/>
          <w:szCs w:val="22"/>
          <w:lang w:eastAsia="en-US"/>
        </w:rPr>
      </w:pPr>
      <w:r w:rsidRPr="000664C9">
        <w:rPr>
          <w:rFonts w:ascii="Calibri" w:eastAsia="Calibri" w:hAnsi="Calibri" w:cs="Times New Roman"/>
          <w:color w:val="FF0000"/>
          <w:sz w:val="22"/>
          <w:szCs w:val="22"/>
          <w:lang w:eastAsia="en-US"/>
        </w:rPr>
        <w:t xml:space="preserve"> </w:t>
      </w:r>
      <w:r w:rsidRPr="000664C9">
        <w:rPr>
          <w:rFonts w:ascii="Calibri" w:eastAsia="Calibri" w:hAnsi="Calibri" w:cs="Times New Roman"/>
          <w:color w:val="auto"/>
          <w:sz w:val="22"/>
          <w:szCs w:val="22"/>
          <w:lang w:eastAsia="en-US"/>
        </w:rPr>
        <w:t>I then reached out to third party organisation run by the police by the name of Action Fraud.</w:t>
      </w:r>
    </w:p>
    <w:p w14:paraId="0C762435"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Action Fraud is controlled by the National Fraud Intelligence Bureau (NFIB) along with the City of London Police who are in charge of assessing fraud reports and make sure they are put in the relevant department. The UK’s national reporting centre for fraud and online crime is Action Fraud. If you are a victim of cyber-crime, fraud or being scammed in Wales, Northern-Ireland or England </w:t>
      </w:r>
      <w:r w:rsidRPr="000664C9">
        <w:rPr>
          <w:rFonts w:ascii="Calibri" w:eastAsia="Calibri" w:hAnsi="Calibri" w:cs="Times New Roman"/>
          <w:color w:val="auto"/>
          <w:sz w:val="22"/>
          <w:szCs w:val="22"/>
          <w:lang w:eastAsia="en-US"/>
        </w:rPr>
        <w:lastRenderedPageBreak/>
        <w:t>you should report this activity to Action Fraud. Action Fraud provided a single point of contact for data and updates on financial and online fraud cases. (Action Fraud-2020)</w:t>
      </w:r>
    </w:p>
    <w:p w14:paraId="2B57A9D2"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The victim had mild learning difficulties therefore an appropriate adult was necessary to take a victim statement which could potentially be used in court. Although the mother was present at the address she could not be used as an appropriate adult as she would be involved in the investigation due to the information that the suspect had told her. Therefore another family member attended the address to become her appropriate adult. The victim was able to give me the address of the suspect during the time I obtained a statement with her. </w:t>
      </w:r>
    </w:p>
    <w:p w14:paraId="5D1AA957"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With this information I attended the suspect’s address and immediately told him that he was under arrest for suspicion of theft and voyeurism. I then appropriately cautioned the suspect with the “When questioned” caution to which she replied with “OK.” I then handcuffed the suspect to the rear to which he was compliant.  I then conducted a section 32 P.A.C.E search of his flat whereby I searched for electronic devices which had the ability to film sexual acts and streamed online. I therefore seized two laptops and a mobile phone device. Whilst conveying the suspect to Swansea Central Custody Suite I asked the suspect for the passwords to his laptops and mobile phone device. Initially the suspect was not willing to give me his passwords. However I informed the suspect that if he did not provide his passwords he would be committing an offence based on RIPPA 2000 (Regulation of Investigatory Powers Act.) RIPPA 2000 is an act to help regulated and control the acquiring and intercepting of communications, the use of human intelligence and surveillance operations as well as the acquiring of information on electronic devices which are locked with a password or encryption. (RIPPA-2000) By having knowledge of this legislation I was able inform the suspect of this and he therefore told me the passwords to his devices. </w:t>
      </w:r>
    </w:p>
    <w:p w14:paraId="62DF5674"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The devices were sent to the appropriate digital services within the police so they could be investigated towards the offences of theft, voyeurism and potentially fraud ready for the suspect to be interviewed. </w:t>
      </w:r>
    </w:p>
    <w:p w14:paraId="2D0496E7"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After this investigation I learned that it was important to know and understand legislation surrounding involving digital technologies as it can help me complete a full investigation and to be aware of who is most affected by these types of crimes.</w:t>
      </w:r>
    </w:p>
    <w:p w14:paraId="241DF1F0"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Cybercrime such as fraud is more likely to target the older generation because they on average have more money sitting in the bank accounts and the online knowledge of safety is stereotypically less in the elderly. </w:t>
      </w:r>
    </w:p>
    <w:p w14:paraId="2BD74BBF"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“In 2018 alone:</w:t>
      </w:r>
    </w:p>
    <w:p w14:paraId="7D81A3C4"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.62,085 victims age 60 or older reported $649,227,724 in losses to cybercrime.</w:t>
      </w:r>
    </w:p>
    <w:p w14:paraId="71749E0C"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.An additional 48,642 victims ages 50-59 reported losses of $494,926,300 in the same year.</w:t>
      </w:r>
    </w:p>
    <w:p w14:paraId="21E01857"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That’s a combined amount of more than $1.14 billion in a single year between these two age groups” (C.Crane-2019)</w:t>
      </w:r>
    </w:p>
    <w:p w14:paraId="2D127D53"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Although online fraud is mainly targeted at older generations, crime such as harassment which are assisted by online digital technologies mostly affect younger generations and people who identify as a woman. Younger people are more likely to be exposed to the impacts of online harassment. “ 24% of 18 to 29 year olds have experienced mental or emotional stress as a result of online harassment, a further 15% report difficulties with friends and family, 14% state that their reputation has been </w:t>
      </w:r>
      <w:r w:rsidRPr="000664C9">
        <w:rPr>
          <w:rFonts w:ascii="Calibri" w:eastAsia="Calibri" w:hAnsi="Calibri" w:cs="Times New Roman"/>
          <w:color w:val="auto"/>
          <w:sz w:val="22"/>
          <w:szCs w:val="22"/>
          <w:lang w:eastAsia="en-US"/>
        </w:rPr>
        <w:lastRenderedPageBreak/>
        <w:t>damaged, 11% have had problems with relationships or at school and 7% have had problems at work.” (Prof J. Davidson)</w:t>
      </w:r>
    </w:p>
    <w:p w14:paraId="395EAA13"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 xml:space="preserve"> The demographic of Women are more expectedly to have a negative effect from harassment online. “Those who had fallen victim to harassment, 35% found their most recent experience to be “extremely” or “very” upsetting as opposed to 16% of men. 12% of those who had suffered online harassment feared for their personal safety” (Prof J. Davidson)</w:t>
      </w:r>
    </w:p>
    <w:p w14:paraId="7FAF7B55" w14:textId="77777777" w:rsidR="000664C9" w:rsidRPr="000664C9" w:rsidRDefault="000664C9" w:rsidP="000664C9">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664C9">
        <w:rPr>
          <w:rFonts w:ascii="Calibri" w:eastAsia="Calibri" w:hAnsi="Calibri" w:cs="Times New Roman"/>
          <w:color w:val="auto"/>
          <w:sz w:val="22"/>
          <w:szCs w:val="22"/>
          <w:lang w:eastAsia="en-US"/>
        </w:rPr>
        <w:t>In conclusion, I have learnt that,  it is very important to take the initial steps while dealing with crimes involving online technology as without taking fast action can lead to further loss or damage to property including finances in a bank account or explicit images been seen by more people. Also it is important to remember that at this current time it is elderly people who are more likely to be targeted by online fraudsters and that the young people and women are more likely to be targeted by online harassment. It is important to keep this in mind while doing investigations which rely on digital technology and to relay the appropriate information to digital services to make their investigations more effective. Therefore from learning from this investigation I will be more aware of crimes involving digital technologies which will help me with future investigations.</w:t>
      </w:r>
    </w:p>
    <w:p w14:paraId="341F3515" w14:textId="2FD7089D" w:rsidR="00E1100E" w:rsidRPr="00270EEB" w:rsidRDefault="00E1100E" w:rsidP="00340E9A">
      <w:pPr>
        <w:ind w:right="237"/>
        <w:jc w:val="both"/>
        <w:rPr>
          <w:sz w:val="24"/>
          <w:szCs w:val="24"/>
        </w:rPr>
      </w:pPr>
    </w:p>
    <w:p w14:paraId="46062244" w14:textId="33926CAE" w:rsidR="00BD3B2B" w:rsidRPr="00BD3B2B" w:rsidRDefault="000664C9" w:rsidP="00BD3B2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Pr>
          <w:rFonts w:ascii="Calibri" w:eastAsia="Calibri" w:hAnsi="Calibri" w:cs="Times New Roman"/>
          <w:b/>
          <w:color w:val="auto"/>
          <w:sz w:val="22"/>
          <w:szCs w:val="22"/>
          <w:lang w:eastAsia="en-US"/>
        </w:rPr>
        <w:t>1301</w:t>
      </w:r>
      <w:r w:rsidR="00E1100E">
        <w:rPr>
          <w:rFonts w:ascii="Calibri" w:eastAsia="Calibri" w:hAnsi="Calibri" w:cs="Times New Roman"/>
          <w:b/>
          <w:color w:val="auto"/>
          <w:sz w:val="22"/>
          <w:szCs w:val="22"/>
          <w:lang w:eastAsia="en-US"/>
        </w:rPr>
        <w:t xml:space="preserve"> </w:t>
      </w:r>
      <w:r w:rsidR="00BD3B2B" w:rsidRPr="00BD3B2B">
        <w:rPr>
          <w:rFonts w:ascii="Calibri" w:eastAsia="Calibri" w:hAnsi="Calibri" w:cs="Times New Roman"/>
          <w:b/>
          <w:color w:val="auto"/>
          <w:sz w:val="22"/>
          <w:szCs w:val="22"/>
          <w:lang w:eastAsia="en-US"/>
        </w:rPr>
        <w:t>Words</w:t>
      </w:r>
    </w:p>
    <w:p w14:paraId="592CAEBA" w14:textId="307D3281" w:rsidR="000F7ECD" w:rsidRPr="00270EEB" w:rsidRDefault="000F7ECD" w:rsidP="5B63D80E">
      <w:pPr>
        <w:ind w:right="237"/>
        <w:jc w:val="both"/>
        <w:rPr>
          <w:sz w:val="24"/>
          <w:szCs w:val="24"/>
        </w:rPr>
        <w:sectPr w:rsidR="000F7ECD" w:rsidRPr="00270EEB" w:rsidSect="00CF4C5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FDACD18"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Action Fraud. (2020). What is Action Fraud?. Available: https://www.actionfraud.police.uk/what-is-action-fraud. Last accessed 02 Dec 2020.</w:t>
      </w:r>
    </w:p>
    <w:p w14:paraId="54C15B27"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(2020). Anti-social Behaviour. Available: https://www.victimsupport.org.uk/crime-info/types-crime/antisocial-behaviour. Last accessed 02 Dec 2020.</w:t>
      </w:r>
    </w:p>
    <w:p w14:paraId="785AA3B1"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Bryant, R and Bryant, S (2018). Blackstone’s handbook for Policing Students. 13th ed. Oxford, UK: Oxford University Press. p492 (Apple Books Edition)</w:t>
      </w:r>
    </w:p>
    <w:p w14:paraId="3DE4E05F"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Casey Crane. (2019). 33 Alarming Cybercrime Statistics You Should Know in 2019. Available: https://www.thesslstore.com/blog/33-alarming-cybercrime-statistics-you-should-know/#cybercrime-statistics-who-are-the-victims. Last accessed 02 Dec 2020.</w:t>
      </w:r>
    </w:p>
    <w:p w14:paraId="08645651"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College of Policing (2014). Code of Ethics A Code of Practice for the Principles and Standards of Professional Behaviour for the Policing Profession of England and Wales. Ryton-on-Dunsmore Coventry: College of Policing Limited. P3.</w:t>
      </w:r>
    </w:p>
    <w:p w14:paraId="2065DE71" w14:textId="4FA30CFE" w:rsidR="00115403" w:rsidRDefault="00115403" w:rsidP="00115403">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European Court of Human Rights. (2010). </w:t>
      </w:r>
      <w:r w:rsidRPr="00BD3B2B">
        <w:rPr>
          <w:rFonts w:ascii="Verdana" w:hAnsi="Verdana" w:cs="Times New Roman"/>
          <w:i/>
          <w:iCs/>
        </w:rPr>
        <w:t>European Convention on Human Rights</w:t>
      </w:r>
      <w:r w:rsidRPr="00BD3B2B">
        <w:rPr>
          <w:rFonts w:ascii="Verdana" w:hAnsi="Verdana" w:cs="Times New Roman"/>
        </w:rPr>
        <w:t>. Protocol No. 14, p6.</w:t>
      </w:r>
    </w:p>
    <w:p w14:paraId="3D363B06" w14:textId="2D66B285" w:rsidR="00695678" w:rsidRPr="00BD3B2B" w:rsidRDefault="00695678" w:rsidP="00115403">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695678">
        <w:rPr>
          <w:rFonts w:ascii="Verdana" w:hAnsi="Verdana" w:cs="Times New Roman"/>
        </w:rPr>
        <w:t>Home Office. (2014). Multi Agency Working and Information</w:t>
      </w:r>
      <w:r>
        <w:rPr>
          <w:rFonts w:ascii="Verdana" w:hAnsi="Verdana" w:cs="Times New Roman"/>
        </w:rPr>
        <w:t xml:space="preserve"> Sharing Project Final report.</w:t>
      </w:r>
      <w:r w:rsidRPr="00695678">
        <w:rPr>
          <w:rFonts w:ascii="Verdana" w:hAnsi="Verdana" w:cs="Times New Roman"/>
        </w:rPr>
        <w:t>p8.</w:t>
      </w:r>
    </w:p>
    <w:p w14:paraId="69E9FCE1" w14:textId="77777777" w:rsidR="00115403" w:rsidRPr="00BD3B2B" w:rsidRDefault="00115403" w:rsidP="00115403">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Home Office. (2013). Conducting a domestic homicide review: online learning. Available: https://www.gov.uk/guidance/conducting-a-domestic-homicide-review-online-learning. Last accessed 29th Nov 2020.</w:t>
      </w:r>
    </w:p>
    <w:p w14:paraId="4CE93A84" w14:textId="5C130BBD" w:rsidR="00115403"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J. Mitchell Miller. (2014). The Encyclopaedia of Theoretical Criminology, Blackwell Publishing Ltd. Published 2014 First Edition</w:t>
      </w:r>
    </w:p>
    <w:p w14:paraId="61B64007" w14:textId="4EE442E9" w:rsidR="00066BB2" w:rsidRPr="00BD3B2B" w:rsidRDefault="00066BB2"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Pr>
          <w:rFonts w:ascii="Verdana" w:hAnsi="Verdana"/>
        </w:rPr>
        <w:t>Lydia Stephens. (2021). </w:t>
      </w:r>
      <w:r>
        <w:rPr>
          <w:rFonts w:ascii="Verdana" w:hAnsi="Verdana"/>
          <w:i/>
          <w:iCs/>
        </w:rPr>
        <w:t>Police officer barred for life after cocaine found in his system.</w:t>
      </w:r>
      <w:r>
        <w:rPr>
          <w:rFonts w:ascii="Verdana" w:hAnsi="Verdana"/>
        </w:rPr>
        <w:t> Available: https://www.walesonline.co.uk/news/wales-news/police-officer-barred-life-after-19751262. Last accessed 13/02/21.</w:t>
      </w:r>
    </w:p>
    <w:p w14:paraId="20FBC3E8" w14:textId="77777777" w:rsidR="00BD3B2B" w:rsidRPr="00BD3B2B" w:rsidRDefault="00BD3B2B" w:rsidP="00BD3B2B">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 xml:space="preserve">Mengstie, M.M. Perceived organizational justice and turnover intention among hospital healthcare workers. BMC Psychol 8, 19 (2020). </w:t>
      </w:r>
      <w:hyperlink r:id="rId26" w:history="1">
        <w:r w:rsidRPr="00BD3B2B">
          <w:rPr>
            <w:rFonts w:ascii="Calibri" w:eastAsia="Calibri" w:hAnsi="Calibri" w:cs="Times New Roman"/>
            <w:color w:val="0563C1"/>
            <w:sz w:val="22"/>
            <w:szCs w:val="22"/>
            <w:u w:val="single"/>
            <w:lang w:eastAsia="en-US"/>
          </w:rPr>
          <w:t>https://doi.org/10.1186/s40359-020-0387-8</w:t>
        </w:r>
      </w:hyperlink>
    </w:p>
    <w:p w14:paraId="5EBD1B88"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Prof Julia Davidson (2019). Adult Online Hate, Harassment and Abuse: A Rapid Evidence Assessment. London: University of East London.</w:t>
      </w:r>
    </w:p>
    <w:p w14:paraId="2629AFA1" w14:textId="77777777" w:rsidR="00115403" w:rsidRPr="00BD3B2B" w:rsidRDefault="00115403" w:rsidP="00115403">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Calibri" w:eastAsia="Calibri" w:hAnsi="Calibri" w:cs="Times New Roman"/>
          <w:color w:val="auto"/>
          <w:sz w:val="22"/>
          <w:szCs w:val="22"/>
          <w:lang w:eastAsia="en-US"/>
        </w:rPr>
        <w:t>(2000). Regulation of Investigatory Powers Act 2000. Available: https://www.legislation.gov.uk/ukpga/2000/23/introduction. Last accessed 02 Dec 2020.</w:t>
      </w:r>
    </w:p>
    <w:p w14:paraId="75975486" w14:textId="77777777" w:rsidR="00BD3B2B" w:rsidRPr="00BD3B2B" w:rsidRDefault="00BD3B2B" w:rsidP="00BD3B2B">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Susanna Baldwin. (2006). Organisational Justice. In: Institute of employment studies. Brighton: University of Sussex</w:t>
      </w:r>
    </w:p>
    <w:p w14:paraId="49929031" w14:textId="77777777" w:rsidR="00BD3B2B" w:rsidRPr="00BD3B2B" w:rsidRDefault="00BD3B2B" w:rsidP="00BD3B2B">
      <w:pPr>
        <w:numPr>
          <w:ilvl w:val="0"/>
          <w:numId w:val="6"/>
        </w:numPr>
        <w:overflowPunct/>
        <w:autoSpaceDE/>
        <w:autoSpaceDN/>
        <w:adjustRightInd/>
        <w:spacing w:before="100" w:beforeAutospacing="1" w:after="100" w:afterAutospacing="1" w:line="259" w:lineRule="auto"/>
        <w:textAlignment w:val="auto"/>
        <w:rPr>
          <w:rFonts w:ascii="Verdana" w:hAnsi="Verdana" w:cs="Times New Roman"/>
        </w:rPr>
      </w:pPr>
      <w:r w:rsidRPr="00BD3B2B">
        <w:rPr>
          <w:rFonts w:ascii="Verdana" w:hAnsi="Verdana" w:cs="Times New Roman"/>
        </w:rPr>
        <w:t>Tara Schofield. Interactional Justice in the Workplace: Definition &amp; Overview. Available: https://study.com/academy/lesson/interactional-justice-in-the-workplace-definition-lesson-quiz.html. Last accessed 02 Dec 2020.</w:t>
      </w:r>
    </w:p>
    <w:p w14:paraId="6C30C69A" w14:textId="4F8CDC3D" w:rsidR="00BD3B2B" w:rsidRPr="00BD3B2B" w:rsidRDefault="00BD3B2B" w:rsidP="00BD3B2B">
      <w:pPr>
        <w:numPr>
          <w:ilvl w:val="0"/>
          <w:numId w:val="6"/>
        </w:numPr>
        <w:overflowPunct/>
        <w:autoSpaceDE/>
        <w:autoSpaceDN/>
        <w:adjustRightInd/>
        <w:spacing w:after="160" w:line="259" w:lineRule="auto"/>
        <w:contextualSpacing/>
        <w:textAlignment w:val="auto"/>
        <w:rPr>
          <w:rFonts w:ascii="Calibri" w:eastAsia="Calibri" w:hAnsi="Calibri" w:cs="Times New Roman"/>
          <w:color w:val="auto"/>
          <w:sz w:val="22"/>
          <w:szCs w:val="22"/>
          <w:lang w:eastAsia="en-US"/>
        </w:rPr>
      </w:pPr>
      <w:r w:rsidRPr="00BD3B2B">
        <w:rPr>
          <w:rFonts w:ascii="Verdana" w:eastAsia="Calibri" w:hAnsi="Verdana" w:cs="Times New Roman"/>
          <w:lang w:eastAsia="en-US"/>
        </w:rPr>
        <w:lastRenderedPageBreak/>
        <w:t>(2020). </w:t>
      </w:r>
      <w:r w:rsidRPr="00BD3B2B">
        <w:rPr>
          <w:rFonts w:ascii="Verdana" w:eastAsia="Calibri" w:hAnsi="Verdana" w:cs="Times New Roman"/>
          <w:i/>
          <w:iCs/>
          <w:lang w:eastAsia="en-US"/>
        </w:rPr>
        <w:t>Why LanguageLine's Interpretation and Translation Services?.</w:t>
      </w:r>
      <w:r w:rsidRPr="00BD3B2B">
        <w:rPr>
          <w:rFonts w:ascii="Verdana" w:eastAsia="Calibri" w:hAnsi="Verdana" w:cs="Times New Roman"/>
          <w:lang w:eastAsia="en-US"/>
        </w:rPr>
        <w:t> Available: https://www.languageline.com/uk/wcu/. Last accessed 01 Dec 2020.</w:t>
      </w:r>
    </w:p>
    <w:p w14:paraId="62165D1A" w14:textId="07CFF7FC" w:rsidR="6E85A413" w:rsidRPr="00DD7FFD" w:rsidRDefault="6E85A413" w:rsidP="00DD7FFD">
      <w:pPr>
        <w:keepNext/>
        <w:ind w:right="237"/>
        <w:rPr>
          <w:b/>
          <w:sz w:val="24"/>
          <w:szCs w:val="24"/>
          <w:highlight w:val="yellow"/>
        </w:rPr>
      </w:pPr>
    </w:p>
    <w:sectPr w:rsidR="6E85A413" w:rsidRPr="00DD7FFD" w:rsidSect="00CF4C50">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4121D" w14:textId="77777777" w:rsidR="00066BB2" w:rsidRDefault="00066BB2">
      <w:r>
        <w:separator/>
      </w:r>
    </w:p>
  </w:endnote>
  <w:endnote w:type="continuationSeparator" w:id="0">
    <w:p w14:paraId="3C56B659" w14:textId="77777777" w:rsidR="00066BB2" w:rsidRDefault="00066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7B5AB" w14:textId="0C418919" w:rsidR="00066BB2" w:rsidRDefault="00C02EEE" w:rsidP="00C02EEE">
    <w:pPr>
      <w:pStyle w:val="Footer"/>
      <w:rPr>
        <w:sz w:val="17"/>
      </w:rPr>
    </w:pPr>
    <w:bookmarkStart w:id="3" w:name="TITUS1FooterEvenPages"/>
    <w:r>
      <w:rPr>
        <w:sz w:val="17"/>
      </w:rPr>
      <w:t> </w:t>
    </w:r>
  </w:p>
  <w:bookmarkEnd w:id="3"/>
  <w:p w14:paraId="644C33AC" w14:textId="217892EA" w:rsidR="00066BB2" w:rsidRDefault="00066BB2" w:rsidP="00CF4C50">
    <w:pPr>
      <w:pStyle w:val="Footer"/>
      <w:jc w:val="right"/>
    </w:pPr>
    <w:r>
      <w:fldChar w:fldCharType="begin"/>
    </w:r>
    <w:r>
      <w:instrText xml:space="preserve"> PAGE   \* MERGEFORMAT </w:instrText>
    </w:r>
    <w:r>
      <w:fldChar w:fldCharType="separate"/>
    </w:r>
    <w:r w:rsidR="00C02EEE">
      <w:rPr>
        <w:noProof/>
      </w:rPr>
      <w:t>2</w:t>
    </w:r>
    <w:r>
      <w:rPr>
        <w:noProof/>
      </w:rPr>
      <w:fldChar w:fldCharType="end"/>
    </w:r>
  </w:p>
  <w:p w14:paraId="5A6737BB" w14:textId="77777777" w:rsidR="00066BB2" w:rsidRPr="00BB5EAA" w:rsidRDefault="00066BB2" w:rsidP="00CF4C50">
    <w:pPr>
      <w:pStyle w:val="Footer"/>
      <w:ind w:right="360"/>
      <w:jc w:val="center"/>
    </w:pPr>
  </w:p>
  <w:p w14:paraId="6BFE3F75" w14:textId="77777777" w:rsidR="00066BB2" w:rsidRDefault="00066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A0513" w14:textId="6DF7211A" w:rsidR="00066BB2" w:rsidRDefault="00C02EEE" w:rsidP="00C02EEE">
    <w:pPr>
      <w:pStyle w:val="Footer"/>
      <w:rPr>
        <w:sz w:val="17"/>
      </w:rPr>
    </w:pPr>
    <w:bookmarkStart w:id="4" w:name="TITUS1FooterPrimary"/>
    <w:r>
      <w:rPr>
        <w:sz w:val="17"/>
      </w:rPr>
      <w:t> </w:t>
    </w:r>
  </w:p>
  <w:bookmarkEnd w:id="4"/>
  <w:p w14:paraId="50521BFA" w14:textId="62C4BC0A" w:rsidR="00066BB2" w:rsidRDefault="00066BB2">
    <w:pPr>
      <w:pStyle w:val="Footer"/>
      <w:jc w:val="right"/>
    </w:pPr>
    <w:r>
      <w:fldChar w:fldCharType="begin"/>
    </w:r>
    <w:r>
      <w:instrText xml:space="preserve"> PAGE   \* MERGEFORMAT </w:instrText>
    </w:r>
    <w:r>
      <w:fldChar w:fldCharType="separate"/>
    </w:r>
    <w:r w:rsidR="00C02EEE">
      <w:rPr>
        <w:noProof/>
      </w:rPr>
      <w:t>7</w:t>
    </w:r>
    <w:r>
      <w:rPr>
        <w:noProof/>
      </w:rPr>
      <w:fldChar w:fldCharType="end"/>
    </w:r>
  </w:p>
  <w:p w14:paraId="790812FF" w14:textId="77777777" w:rsidR="00066BB2" w:rsidRPr="00BB5EAA" w:rsidRDefault="00066BB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4572A" w14:textId="29144C32" w:rsidR="00066BB2" w:rsidRDefault="00C02EEE" w:rsidP="00C02EEE">
    <w:pPr>
      <w:pStyle w:val="Footer"/>
      <w:rPr>
        <w:sz w:val="17"/>
      </w:rPr>
    </w:pPr>
    <w:bookmarkStart w:id="6" w:name="TITUS1FooterFirstPage"/>
    <w:r>
      <w:rPr>
        <w:sz w:val="17"/>
      </w:rPr>
      <w:t> </w:t>
    </w:r>
  </w:p>
  <w:bookmarkEnd w:id="6"/>
  <w:p w14:paraId="71768FAB" w14:textId="3AAE04FD" w:rsidR="00066BB2" w:rsidRDefault="00066BB2" w:rsidP="00CF4C50">
    <w:pPr>
      <w:pStyle w:val="Footer"/>
      <w:jc w:val="right"/>
    </w:pPr>
    <w:r>
      <w:fldChar w:fldCharType="begin"/>
    </w:r>
    <w:r>
      <w:instrText xml:space="preserve"> PAGE   \* MERGEFORMAT </w:instrText>
    </w:r>
    <w:r>
      <w:fldChar w:fldCharType="separate"/>
    </w:r>
    <w:r w:rsidR="00C02EEE">
      <w:rPr>
        <w:noProof/>
      </w:rPr>
      <w:t>1</w:t>
    </w:r>
    <w:r>
      <w:rPr>
        <w:noProof/>
      </w:rPr>
      <w:fldChar w:fldCharType="end"/>
    </w:r>
  </w:p>
  <w:p w14:paraId="6C728FCD" w14:textId="77777777" w:rsidR="00066BB2" w:rsidRPr="00BB5EAA" w:rsidRDefault="00066BB2" w:rsidP="00CF4C50">
    <w:pPr>
      <w:pStyle w:val="Footer"/>
      <w:ind w:right="360"/>
      <w:jc w:val="center"/>
    </w:pPr>
  </w:p>
  <w:p w14:paraId="7BA58EB0" w14:textId="77777777" w:rsidR="00066BB2" w:rsidRDefault="00066BB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86174" w14:textId="62B0F476" w:rsidR="00066BB2" w:rsidRDefault="00C02EEE" w:rsidP="00C02EEE">
    <w:pPr>
      <w:pStyle w:val="Footer"/>
      <w:rPr>
        <w:sz w:val="17"/>
      </w:rPr>
    </w:pPr>
    <w:bookmarkStart w:id="9" w:name="TITUS2FooterEvenPages"/>
    <w:r>
      <w:rPr>
        <w:sz w:val="17"/>
      </w:rPr>
      <w:t> </w:t>
    </w:r>
  </w:p>
  <w:bookmarkEnd w:id="9"/>
  <w:p w14:paraId="09529EC4" w14:textId="77777777" w:rsidR="00066BB2" w:rsidRDefault="00066BB2" w:rsidP="00CF4C50">
    <w:pPr>
      <w:pStyle w:val="Footer"/>
      <w:jc w:val="right"/>
    </w:pPr>
  </w:p>
  <w:p w14:paraId="015F875F" w14:textId="26D86CAF" w:rsidR="00066BB2" w:rsidRDefault="00066BB2" w:rsidP="00CF4C50">
    <w:pPr>
      <w:pStyle w:val="Footer"/>
      <w:jc w:val="right"/>
    </w:pPr>
    <w:r>
      <w:fldChar w:fldCharType="begin"/>
    </w:r>
    <w:r>
      <w:instrText xml:space="preserve"> PAGE   \* MERGEFORMAT </w:instrText>
    </w:r>
    <w:r>
      <w:fldChar w:fldCharType="separate"/>
    </w:r>
    <w:r w:rsidR="00C02EEE">
      <w:rPr>
        <w:noProof/>
      </w:rPr>
      <w:t>20</w:t>
    </w:r>
    <w:r>
      <w:rPr>
        <w:noProof/>
      </w:rPr>
      <w:fldChar w:fldCharType="end"/>
    </w:r>
  </w:p>
  <w:p w14:paraId="48D8EE06" w14:textId="77777777" w:rsidR="00066BB2" w:rsidRPr="00BB5EAA" w:rsidRDefault="00066BB2" w:rsidP="00CF4C50">
    <w:pPr>
      <w:pStyle w:val="Footer"/>
      <w:ind w:right="360"/>
      <w:jc w:val="center"/>
    </w:pPr>
  </w:p>
  <w:p w14:paraId="453043F5" w14:textId="77777777" w:rsidR="00066BB2" w:rsidRDefault="00066BB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B576B" w14:textId="48A7F27E" w:rsidR="00066BB2" w:rsidRDefault="00C02EEE" w:rsidP="00C02EEE">
    <w:pPr>
      <w:pStyle w:val="Footer"/>
      <w:rPr>
        <w:sz w:val="17"/>
      </w:rPr>
    </w:pPr>
    <w:bookmarkStart w:id="10" w:name="TITUS2FooterPrimary"/>
    <w:r>
      <w:rPr>
        <w:sz w:val="17"/>
      </w:rPr>
      <w:t> </w:t>
    </w:r>
  </w:p>
  <w:bookmarkEnd w:id="10"/>
  <w:p w14:paraId="308AB0C9" w14:textId="77777777" w:rsidR="00066BB2" w:rsidRDefault="00066BB2">
    <w:pPr>
      <w:pStyle w:val="Footer"/>
      <w:jc w:val="right"/>
    </w:pPr>
  </w:p>
  <w:p w14:paraId="66F58CEB" w14:textId="33737F3E" w:rsidR="00066BB2" w:rsidRDefault="00066BB2">
    <w:pPr>
      <w:pStyle w:val="Footer"/>
      <w:jc w:val="right"/>
    </w:pPr>
    <w:r>
      <w:fldChar w:fldCharType="begin"/>
    </w:r>
    <w:r>
      <w:instrText xml:space="preserve"> PAGE   \* MERGEFORMAT </w:instrText>
    </w:r>
    <w:r>
      <w:fldChar w:fldCharType="separate"/>
    </w:r>
    <w:r w:rsidR="00C02EEE">
      <w:rPr>
        <w:noProof/>
      </w:rPr>
      <w:t>19</w:t>
    </w:r>
    <w:r>
      <w:rPr>
        <w:noProof/>
      </w:rPr>
      <w:fldChar w:fldCharType="end"/>
    </w:r>
  </w:p>
  <w:p w14:paraId="752C0688" w14:textId="77777777" w:rsidR="00066BB2" w:rsidRPr="00BB5EAA" w:rsidRDefault="00066BB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3529F" w14:textId="57791994" w:rsidR="00066BB2" w:rsidRDefault="00C02EEE" w:rsidP="00C02EEE">
    <w:pPr>
      <w:pStyle w:val="Footer"/>
      <w:rPr>
        <w:sz w:val="17"/>
      </w:rPr>
    </w:pPr>
    <w:bookmarkStart w:id="12" w:name="TITUS2FooterFirstPage"/>
    <w:r>
      <w:rPr>
        <w:sz w:val="17"/>
      </w:rPr>
      <w:t> </w:t>
    </w:r>
  </w:p>
  <w:bookmarkEnd w:id="12"/>
  <w:p w14:paraId="625A232D" w14:textId="77777777" w:rsidR="00066BB2" w:rsidRDefault="00066BB2" w:rsidP="00CF4C50">
    <w:pPr>
      <w:pStyle w:val="Footer"/>
      <w:jc w:val="right"/>
    </w:pPr>
  </w:p>
  <w:p w14:paraId="4C4582C4" w14:textId="58B69367" w:rsidR="00066BB2" w:rsidRDefault="00066BB2" w:rsidP="00CF4C50">
    <w:pPr>
      <w:pStyle w:val="Footer"/>
      <w:jc w:val="right"/>
    </w:pPr>
    <w:r>
      <w:fldChar w:fldCharType="begin"/>
    </w:r>
    <w:r>
      <w:instrText xml:space="preserve"> PAGE   \* MERGEFORMAT </w:instrText>
    </w:r>
    <w:r>
      <w:fldChar w:fldCharType="separate"/>
    </w:r>
    <w:r w:rsidR="00C02EEE">
      <w:rPr>
        <w:noProof/>
      </w:rPr>
      <w:t>9</w:t>
    </w:r>
    <w:r>
      <w:rPr>
        <w:noProof/>
      </w:rPr>
      <w:fldChar w:fldCharType="end"/>
    </w:r>
  </w:p>
  <w:p w14:paraId="21B66D5A" w14:textId="77777777" w:rsidR="00066BB2" w:rsidRPr="00BB5EAA" w:rsidRDefault="00066BB2" w:rsidP="00CF4C50">
    <w:pPr>
      <w:pStyle w:val="Footer"/>
      <w:ind w:right="360"/>
      <w:jc w:val="center"/>
    </w:pPr>
  </w:p>
  <w:p w14:paraId="2CB45A80" w14:textId="77777777" w:rsidR="00066BB2" w:rsidRDefault="00066B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1F76E" w14:textId="3383ACFB" w:rsidR="00066BB2" w:rsidRDefault="00C02EEE" w:rsidP="00C02EEE">
    <w:pPr>
      <w:pStyle w:val="Footer"/>
      <w:rPr>
        <w:sz w:val="17"/>
      </w:rPr>
    </w:pPr>
    <w:bookmarkStart w:id="15" w:name="TITUS3FooterEvenPages"/>
    <w:r>
      <w:rPr>
        <w:sz w:val="17"/>
      </w:rPr>
      <w:t> </w:t>
    </w:r>
  </w:p>
  <w:bookmarkEnd w:id="15"/>
  <w:p w14:paraId="6794D20C" w14:textId="77777777" w:rsidR="00066BB2" w:rsidRDefault="00066BB2" w:rsidP="00CF4C50">
    <w:pPr>
      <w:pStyle w:val="Footer"/>
      <w:jc w:val="right"/>
    </w:pPr>
  </w:p>
  <w:p w14:paraId="22DE1107" w14:textId="734D383B" w:rsidR="00066BB2" w:rsidRDefault="00066BB2" w:rsidP="00CF4C50">
    <w:pPr>
      <w:pStyle w:val="Footer"/>
      <w:jc w:val="right"/>
    </w:pPr>
    <w:r>
      <w:fldChar w:fldCharType="begin"/>
    </w:r>
    <w:r>
      <w:instrText xml:space="preserve"> PAGE   \* MERGEFORMAT </w:instrText>
    </w:r>
    <w:r>
      <w:fldChar w:fldCharType="separate"/>
    </w:r>
    <w:r w:rsidR="00C02EEE">
      <w:rPr>
        <w:noProof/>
      </w:rPr>
      <w:t>22</w:t>
    </w:r>
    <w:r>
      <w:rPr>
        <w:noProof/>
      </w:rPr>
      <w:fldChar w:fldCharType="end"/>
    </w:r>
  </w:p>
  <w:p w14:paraId="3C3FF9C2" w14:textId="77777777" w:rsidR="00066BB2" w:rsidRPr="00BB5EAA" w:rsidRDefault="00066BB2" w:rsidP="00CF4C50">
    <w:pPr>
      <w:pStyle w:val="Footer"/>
      <w:ind w:right="360"/>
      <w:jc w:val="center"/>
    </w:pPr>
  </w:p>
  <w:p w14:paraId="7D5D5480" w14:textId="77777777" w:rsidR="00066BB2" w:rsidRDefault="00066BB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056D6" w14:textId="445A17B8" w:rsidR="00066BB2" w:rsidRDefault="00C02EEE" w:rsidP="00C02EEE">
    <w:pPr>
      <w:pStyle w:val="Footer"/>
      <w:rPr>
        <w:sz w:val="17"/>
      </w:rPr>
    </w:pPr>
    <w:bookmarkStart w:id="16" w:name="TITUS3FooterPrimary"/>
    <w:r>
      <w:rPr>
        <w:sz w:val="17"/>
      </w:rPr>
      <w:t> </w:t>
    </w:r>
  </w:p>
  <w:bookmarkEnd w:id="16"/>
  <w:p w14:paraId="1CC79F67" w14:textId="77777777" w:rsidR="00066BB2" w:rsidRDefault="00066BB2">
    <w:pPr>
      <w:pStyle w:val="Footer"/>
      <w:jc w:val="right"/>
    </w:pPr>
  </w:p>
  <w:p w14:paraId="2C4031E6" w14:textId="77777777" w:rsidR="00066BB2" w:rsidRDefault="00066BB2">
    <w:pPr>
      <w:pStyle w:val="Footer"/>
      <w:jc w:val="right"/>
    </w:pPr>
    <w:r>
      <w:fldChar w:fldCharType="begin"/>
    </w:r>
    <w:r>
      <w:instrText xml:space="preserve"> PAGE   \* MERGEFORMAT </w:instrText>
    </w:r>
    <w:r>
      <w:fldChar w:fldCharType="separate"/>
    </w:r>
    <w:r>
      <w:rPr>
        <w:noProof/>
      </w:rPr>
      <w:t>5</w:t>
    </w:r>
    <w:r>
      <w:rPr>
        <w:noProof/>
      </w:rPr>
      <w:fldChar w:fldCharType="end"/>
    </w:r>
  </w:p>
  <w:p w14:paraId="35C71C99" w14:textId="77777777" w:rsidR="00066BB2" w:rsidRPr="00BB5EAA" w:rsidRDefault="00066BB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8E4A0" w14:textId="2866C7D7" w:rsidR="00066BB2" w:rsidRDefault="00C02EEE" w:rsidP="00C02EEE">
    <w:pPr>
      <w:pStyle w:val="Footer"/>
      <w:rPr>
        <w:sz w:val="17"/>
      </w:rPr>
    </w:pPr>
    <w:bookmarkStart w:id="18" w:name="TITUS3FooterFirstPage"/>
    <w:r>
      <w:rPr>
        <w:sz w:val="17"/>
      </w:rPr>
      <w:t> </w:t>
    </w:r>
  </w:p>
  <w:bookmarkEnd w:id="18"/>
  <w:p w14:paraId="002F40B3" w14:textId="77777777" w:rsidR="00066BB2" w:rsidRDefault="00066BB2" w:rsidP="00CF4C50">
    <w:pPr>
      <w:pStyle w:val="Footer"/>
      <w:jc w:val="right"/>
    </w:pPr>
  </w:p>
  <w:p w14:paraId="2767AF89" w14:textId="673B86BC" w:rsidR="00066BB2" w:rsidRDefault="00066BB2" w:rsidP="00CF4C50">
    <w:pPr>
      <w:pStyle w:val="Footer"/>
      <w:jc w:val="right"/>
    </w:pPr>
    <w:r>
      <w:fldChar w:fldCharType="begin"/>
    </w:r>
    <w:r>
      <w:instrText xml:space="preserve"> PAGE   \* MERGEFORMAT </w:instrText>
    </w:r>
    <w:r>
      <w:fldChar w:fldCharType="separate"/>
    </w:r>
    <w:r w:rsidR="00C02EEE">
      <w:rPr>
        <w:noProof/>
      </w:rPr>
      <w:t>21</w:t>
    </w:r>
    <w:r>
      <w:rPr>
        <w:noProof/>
      </w:rPr>
      <w:fldChar w:fldCharType="end"/>
    </w:r>
  </w:p>
  <w:p w14:paraId="4FC5D357" w14:textId="77777777" w:rsidR="00066BB2" w:rsidRPr="00BB5EAA" w:rsidRDefault="00066BB2" w:rsidP="00CF4C50">
    <w:pPr>
      <w:pStyle w:val="Footer"/>
      <w:ind w:right="360"/>
      <w:jc w:val="center"/>
    </w:pPr>
  </w:p>
  <w:p w14:paraId="6E7D0F29" w14:textId="77777777" w:rsidR="00066BB2" w:rsidRDefault="00066B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0EED7" w14:textId="77777777" w:rsidR="00066BB2" w:rsidRDefault="00066BB2">
      <w:r>
        <w:separator/>
      </w:r>
    </w:p>
  </w:footnote>
  <w:footnote w:type="continuationSeparator" w:id="0">
    <w:p w14:paraId="58F5E15C" w14:textId="77777777" w:rsidR="00066BB2" w:rsidRDefault="00066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67F5D" w14:textId="5F618675" w:rsidR="00066BB2" w:rsidRDefault="00C02EEE" w:rsidP="00C02EEE">
    <w:pPr>
      <w:pStyle w:val="Header"/>
      <w:rPr>
        <w:sz w:val="17"/>
      </w:rPr>
    </w:pPr>
    <w:bookmarkStart w:id="1" w:name="TITUS1HeaderEvenPages"/>
    <w:r>
      <w:rPr>
        <w:sz w:val="17"/>
      </w:rPr>
      <w:t> </w:t>
    </w:r>
  </w:p>
  <w:bookmarkEnd w:id="1"/>
  <w:p w14:paraId="5C8902B9" w14:textId="77777777" w:rsidR="00066BB2" w:rsidRDefault="00066BB2" w:rsidP="0000363F">
    <w:pPr>
      <w:pStyle w:val="Header"/>
    </w:pPr>
  </w:p>
  <w:p w14:paraId="2512D9E5" w14:textId="77777777" w:rsidR="00066BB2" w:rsidRDefault="00066B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2021F" w14:textId="7F66B42B" w:rsidR="00066BB2" w:rsidRDefault="00C02EEE" w:rsidP="00C02EEE">
    <w:pPr>
      <w:pStyle w:val="Header"/>
      <w:rPr>
        <w:sz w:val="17"/>
      </w:rPr>
    </w:pPr>
    <w:bookmarkStart w:id="2" w:name="TITUS1HeaderPrimary"/>
    <w:r>
      <w:rPr>
        <w:sz w:val="17"/>
      </w:rPr>
      <w:t> </w:t>
    </w:r>
  </w:p>
  <w:bookmarkEnd w:id="2"/>
  <w:p w14:paraId="0DB5E289" w14:textId="77777777" w:rsidR="00066BB2" w:rsidRDefault="00066B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85FAF" w14:textId="288DC98C" w:rsidR="00066BB2" w:rsidRDefault="00C02EEE" w:rsidP="00C02EEE">
    <w:pPr>
      <w:pStyle w:val="Header"/>
      <w:rPr>
        <w:sz w:val="17"/>
      </w:rPr>
    </w:pPr>
    <w:bookmarkStart w:id="5" w:name="TITUS1HeaderFirstPage"/>
    <w:r>
      <w:rPr>
        <w:sz w:val="17"/>
      </w:rPr>
      <w:t> </w:t>
    </w:r>
  </w:p>
  <w:bookmarkEnd w:id="5"/>
  <w:p w14:paraId="5670BCA8" w14:textId="77777777" w:rsidR="00066BB2" w:rsidRDefault="00066B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128B6" w14:textId="7EA7B811" w:rsidR="00066BB2" w:rsidRDefault="00C02EEE" w:rsidP="00C02EEE">
    <w:pPr>
      <w:pStyle w:val="Header"/>
      <w:rPr>
        <w:sz w:val="17"/>
      </w:rPr>
    </w:pPr>
    <w:bookmarkStart w:id="7" w:name="TITUS2HeaderEvenPages"/>
    <w:r>
      <w:rPr>
        <w:sz w:val="17"/>
      </w:rPr>
      <w:t> </w:t>
    </w:r>
  </w:p>
  <w:bookmarkEnd w:id="7"/>
  <w:p w14:paraId="79EEA6DD" w14:textId="77777777" w:rsidR="00066BB2" w:rsidRDefault="00066BB2" w:rsidP="00CF4C50">
    <w:pPr>
      <w:pStyle w:val="Header"/>
    </w:pPr>
  </w:p>
  <w:p w14:paraId="5CDC672F" w14:textId="77777777" w:rsidR="00066BB2" w:rsidRDefault="00066BB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48C8" w14:textId="4D0378C6" w:rsidR="00066BB2" w:rsidRDefault="00C02EEE" w:rsidP="00C02EEE">
    <w:pPr>
      <w:pStyle w:val="Header"/>
      <w:rPr>
        <w:sz w:val="17"/>
      </w:rPr>
    </w:pPr>
    <w:bookmarkStart w:id="8" w:name="TITUS2HeaderPrimary"/>
    <w:r>
      <w:rPr>
        <w:sz w:val="17"/>
      </w:rPr>
      <w:t> </w:t>
    </w:r>
  </w:p>
  <w:bookmarkEnd w:id="8"/>
  <w:p w14:paraId="7B11AC2C" w14:textId="77777777" w:rsidR="00066BB2" w:rsidRDefault="00066BB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A9623" w14:textId="404EE6B9" w:rsidR="00066BB2" w:rsidRDefault="00C02EEE" w:rsidP="00C02EEE">
    <w:pPr>
      <w:pStyle w:val="Header"/>
      <w:rPr>
        <w:sz w:val="17"/>
      </w:rPr>
    </w:pPr>
    <w:bookmarkStart w:id="11" w:name="TITUS2HeaderFirstPage"/>
    <w:r>
      <w:rPr>
        <w:sz w:val="17"/>
      </w:rPr>
      <w:t> </w:t>
    </w:r>
  </w:p>
  <w:bookmarkEnd w:id="11"/>
  <w:p w14:paraId="7B06054C" w14:textId="77777777" w:rsidR="00066BB2" w:rsidRDefault="00066BB2" w:rsidP="00CF4C50">
    <w:pPr>
      <w:pStyle w:val="Header"/>
    </w:pPr>
  </w:p>
  <w:p w14:paraId="264370C1" w14:textId="77777777" w:rsidR="00066BB2" w:rsidRDefault="00066BB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0EC58" w14:textId="03C7990D" w:rsidR="00066BB2" w:rsidRDefault="00C02EEE" w:rsidP="00C02EEE">
    <w:pPr>
      <w:pStyle w:val="Header"/>
      <w:rPr>
        <w:sz w:val="17"/>
      </w:rPr>
    </w:pPr>
    <w:bookmarkStart w:id="13" w:name="TITUS3HeaderEvenPages"/>
    <w:r>
      <w:rPr>
        <w:sz w:val="17"/>
      </w:rPr>
      <w:t> </w:t>
    </w:r>
  </w:p>
  <w:bookmarkEnd w:id="13"/>
  <w:p w14:paraId="3E7BD2A8" w14:textId="77777777" w:rsidR="00066BB2" w:rsidRDefault="00066BB2" w:rsidP="00CF4C50">
    <w:pPr>
      <w:pStyle w:val="Header"/>
    </w:pPr>
  </w:p>
  <w:p w14:paraId="79F7EA4B" w14:textId="77777777" w:rsidR="00066BB2" w:rsidRDefault="00066BB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512A5" w14:textId="20D28ECA" w:rsidR="00066BB2" w:rsidRDefault="00C02EEE" w:rsidP="00C02EEE">
    <w:pPr>
      <w:pStyle w:val="Header"/>
      <w:rPr>
        <w:sz w:val="17"/>
      </w:rPr>
    </w:pPr>
    <w:bookmarkStart w:id="14" w:name="TITUS3HeaderPrimary"/>
    <w:r>
      <w:rPr>
        <w:sz w:val="17"/>
      </w:rPr>
      <w:t> </w:t>
    </w:r>
  </w:p>
  <w:bookmarkEnd w:id="14"/>
  <w:p w14:paraId="432A2853" w14:textId="77777777" w:rsidR="00066BB2" w:rsidRDefault="00066BB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51E9F" w14:textId="10C05997" w:rsidR="00066BB2" w:rsidRDefault="00C02EEE" w:rsidP="00C02EEE">
    <w:pPr>
      <w:pStyle w:val="Header"/>
      <w:rPr>
        <w:sz w:val="17"/>
      </w:rPr>
    </w:pPr>
    <w:bookmarkStart w:id="17" w:name="TITUS3HeaderFirstPage"/>
    <w:r>
      <w:rPr>
        <w:sz w:val="17"/>
      </w:rPr>
      <w:t> </w:t>
    </w:r>
  </w:p>
  <w:bookmarkEnd w:id="17"/>
  <w:p w14:paraId="4263E0DC" w14:textId="77777777" w:rsidR="00066BB2" w:rsidRDefault="00066BB2" w:rsidP="00CF4C50">
    <w:pPr>
      <w:pStyle w:val="Header"/>
    </w:pPr>
  </w:p>
  <w:p w14:paraId="385BC746" w14:textId="77777777" w:rsidR="00066BB2" w:rsidRDefault="00066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15C277D8"/>
    <w:multiLevelType w:val="hybridMultilevel"/>
    <w:tmpl w:val="CE48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C59DF"/>
    <w:multiLevelType w:val="hybridMultilevel"/>
    <w:tmpl w:val="ED98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970EE"/>
    <w:multiLevelType w:val="hybridMultilevel"/>
    <w:tmpl w:val="5170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762D7BF3"/>
    <w:multiLevelType w:val="hybridMultilevel"/>
    <w:tmpl w:val="FF180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8"/>
  </w:num>
  <w:num w:numId="6">
    <w:abstractNumId w:val="7"/>
  </w:num>
  <w:num w:numId="7">
    <w:abstractNumId w:val="1"/>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97769F7-7354-48C7-87CD-5E7A79F81118}"/>
    <w:docVar w:name="dgnword-eventsink" w:val="555206912"/>
  </w:docVars>
  <w:rsids>
    <w:rsidRoot w:val="002B1701"/>
    <w:rsid w:val="0000363F"/>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64C9"/>
    <w:rsid w:val="00066BB2"/>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A4E5B"/>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15403"/>
    <w:rsid w:val="0012135C"/>
    <w:rsid w:val="001347F8"/>
    <w:rsid w:val="00137BB5"/>
    <w:rsid w:val="00137E05"/>
    <w:rsid w:val="001447F6"/>
    <w:rsid w:val="00147DE3"/>
    <w:rsid w:val="00150794"/>
    <w:rsid w:val="001608C4"/>
    <w:rsid w:val="00171418"/>
    <w:rsid w:val="00181D69"/>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2034"/>
    <w:rsid w:val="00235176"/>
    <w:rsid w:val="00236061"/>
    <w:rsid w:val="00236B80"/>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16E8"/>
    <w:rsid w:val="002C256A"/>
    <w:rsid w:val="002C496D"/>
    <w:rsid w:val="002D05EB"/>
    <w:rsid w:val="002D2F29"/>
    <w:rsid w:val="002D2FD3"/>
    <w:rsid w:val="002E3F6C"/>
    <w:rsid w:val="002E652C"/>
    <w:rsid w:val="002E7017"/>
    <w:rsid w:val="002F4F6E"/>
    <w:rsid w:val="003015C3"/>
    <w:rsid w:val="0030698D"/>
    <w:rsid w:val="0031350A"/>
    <w:rsid w:val="0031569E"/>
    <w:rsid w:val="00316815"/>
    <w:rsid w:val="003168CA"/>
    <w:rsid w:val="00321255"/>
    <w:rsid w:val="0032230D"/>
    <w:rsid w:val="00322A0B"/>
    <w:rsid w:val="00325759"/>
    <w:rsid w:val="003305DA"/>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08F"/>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2C25"/>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544"/>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444D"/>
    <w:rsid w:val="00585DA2"/>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5F3189"/>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22DF"/>
    <w:rsid w:val="00694C00"/>
    <w:rsid w:val="00695678"/>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34BE"/>
    <w:rsid w:val="0072678F"/>
    <w:rsid w:val="00727C4C"/>
    <w:rsid w:val="00733908"/>
    <w:rsid w:val="00734809"/>
    <w:rsid w:val="007373B4"/>
    <w:rsid w:val="007406E1"/>
    <w:rsid w:val="00742310"/>
    <w:rsid w:val="00743E40"/>
    <w:rsid w:val="00751263"/>
    <w:rsid w:val="0075704F"/>
    <w:rsid w:val="00761612"/>
    <w:rsid w:val="00763B2D"/>
    <w:rsid w:val="00770460"/>
    <w:rsid w:val="00770F54"/>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41ED"/>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13AA"/>
    <w:rsid w:val="008B28E7"/>
    <w:rsid w:val="008C14C7"/>
    <w:rsid w:val="008C2264"/>
    <w:rsid w:val="008C2FFB"/>
    <w:rsid w:val="008C6EEA"/>
    <w:rsid w:val="008D4CA3"/>
    <w:rsid w:val="008D5813"/>
    <w:rsid w:val="008D634E"/>
    <w:rsid w:val="008D778A"/>
    <w:rsid w:val="008F22BD"/>
    <w:rsid w:val="009079BD"/>
    <w:rsid w:val="00912BD9"/>
    <w:rsid w:val="00920E5B"/>
    <w:rsid w:val="00926436"/>
    <w:rsid w:val="00927355"/>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0C9B"/>
    <w:rsid w:val="009D4365"/>
    <w:rsid w:val="009D4E3B"/>
    <w:rsid w:val="009D6E87"/>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2F33"/>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0D31"/>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636"/>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D3B2B"/>
    <w:rsid w:val="00BE0F7B"/>
    <w:rsid w:val="00BE10C2"/>
    <w:rsid w:val="00BE4E31"/>
    <w:rsid w:val="00BF08F5"/>
    <w:rsid w:val="00C01D14"/>
    <w:rsid w:val="00C025B4"/>
    <w:rsid w:val="00C02EEE"/>
    <w:rsid w:val="00C11F61"/>
    <w:rsid w:val="00C161FD"/>
    <w:rsid w:val="00C21054"/>
    <w:rsid w:val="00C23F17"/>
    <w:rsid w:val="00C26D0D"/>
    <w:rsid w:val="00C27C95"/>
    <w:rsid w:val="00C27D28"/>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08A3"/>
    <w:rsid w:val="00CB258E"/>
    <w:rsid w:val="00CB3C8F"/>
    <w:rsid w:val="00CB75CE"/>
    <w:rsid w:val="00CC02F1"/>
    <w:rsid w:val="00CC11A6"/>
    <w:rsid w:val="00CC135E"/>
    <w:rsid w:val="00CC2F8D"/>
    <w:rsid w:val="00CD5D3F"/>
    <w:rsid w:val="00CF1E90"/>
    <w:rsid w:val="00CF3DB3"/>
    <w:rsid w:val="00CF4C50"/>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48AE"/>
    <w:rsid w:val="00DE556F"/>
    <w:rsid w:val="00DF4CF5"/>
    <w:rsid w:val="00E00A36"/>
    <w:rsid w:val="00E03B6D"/>
    <w:rsid w:val="00E1100E"/>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271B9"/>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77914"/>
    <w:rsid w:val="00F927A1"/>
    <w:rsid w:val="00F92E4D"/>
    <w:rsid w:val="00FA2E24"/>
    <w:rsid w:val="00FA3764"/>
    <w:rsid w:val="00FA4801"/>
    <w:rsid w:val="00FA56ED"/>
    <w:rsid w:val="00FB5FA6"/>
    <w:rsid w:val="00FB6367"/>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186/s40359-020-0387-8"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7454D3-2893-4C29-B75F-B05FD048A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8253</Words>
  <Characters>43960</Characters>
  <Application>Microsoft Office Word</Application>
  <DocSecurity>0</DocSecurity>
  <Lines>366</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Hall,Rikki swp6396</cp:lastModifiedBy>
  <cp:revision>4</cp:revision>
  <cp:lastPrinted>2014-08-26T08:55:00Z</cp:lastPrinted>
  <dcterms:created xsi:type="dcterms:W3CDTF">2021-02-14T16:31:00Z</dcterms:created>
  <dcterms:modified xsi:type="dcterms:W3CDTF">2021-02-14T22:43:00Z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00a2dd9e-c5dc-4147-81e2-3829dd029cc9</vt:lpwstr>
  </property>
  <property fmtid="{D5CDD505-2E9C-101B-9397-08002B2CF9AE}" pid="4" name="Classification">
    <vt:lpwstr>OFFICIAL</vt:lpwstr>
  </property>
  <property fmtid="{D5CDD505-2E9C-101B-9397-08002B2CF9AE}" pid="5" name="Visibility">
    <vt:lpwstr>NOT VISIBLE</vt:lpwstr>
  </property>
</Properties>
</file>