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33667" w14:textId="77777777" w:rsidR="00EC08D5" w:rsidRDefault="00EC08D5" w:rsidP="00EC08D5">
      <w:pPr>
        <w:spacing w:line="276" w:lineRule="auto"/>
        <w:jc w:val="both"/>
      </w:pPr>
      <w:r w:rsidRPr="00E80A7D">
        <w:t xml:space="preserve">I </w:t>
      </w:r>
      <w:r>
        <w:t>appreciate</w:t>
      </w:r>
      <w:r w:rsidRPr="00E80A7D">
        <w:t xml:space="preserve"> your frustration regarding the time spent dealing with employment regulations when you would prefer to focus on improving the employment experience within the Trust. </w:t>
      </w:r>
      <w:r w:rsidRPr="00B73142">
        <w:t>However, it's important to recognise that these regulations serve fundamental purposes that ultimately benefit both employees and employers.</w:t>
      </w:r>
    </w:p>
    <w:p w14:paraId="17CAF2E0" w14:textId="77777777" w:rsidR="00EC08D5" w:rsidRDefault="00EC08D5" w:rsidP="00EC08D5">
      <w:pPr>
        <w:spacing w:line="276" w:lineRule="auto"/>
        <w:jc w:val="both"/>
      </w:pPr>
      <w:r w:rsidRPr="00B73142">
        <w:t xml:space="preserve">Employment regulation aims to balance the power dynamics between employers and employees, ensuring fair treatment and preventing exploitation. </w:t>
      </w:r>
      <w:r>
        <w:t>Daniels (2022) explains that</w:t>
      </w:r>
      <w:r w:rsidRPr="00B73142">
        <w:t xml:space="preserve"> regulations are essential for maintaining equity in the workplace</w:t>
      </w:r>
      <w:r>
        <w:t xml:space="preserve"> - t</w:t>
      </w:r>
      <w:r w:rsidRPr="00B73142">
        <w:t>hey protect workers from unfair treatment, harm and discrimination, promoting a fair and inclusive environment.</w:t>
      </w:r>
      <w:r>
        <w:t xml:space="preserve"> </w:t>
      </w:r>
      <w:r w:rsidRPr="00D04FB6">
        <w:t>The CIPD (202</w:t>
      </w:r>
      <w:r>
        <w:t>4a</w:t>
      </w:r>
      <w:r w:rsidRPr="00D04FB6">
        <w:t>) supports this by explaining that UK employment laws help to create a fair balance between giving employers flexibility and ensuring employees have job security. This balance protects workers while also helping to build a stable and motivated workforce, which is essential for the Trust’s success.</w:t>
      </w:r>
      <w:r>
        <w:t xml:space="preserve"> </w:t>
      </w:r>
    </w:p>
    <w:p w14:paraId="5FD42CC0" w14:textId="77777777" w:rsidR="00EC08D5" w:rsidRDefault="00EC08D5" w:rsidP="00EC08D5">
      <w:pPr>
        <w:spacing w:line="276" w:lineRule="auto"/>
        <w:jc w:val="both"/>
      </w:pPr>
      <w:r w:rsidRPr="00534AE7">
        <w:t xml:space="preserve">The Equality Act 2010 provides vital protection against discrimination based on age, race, gender, and other protected characteristics, helping to create a fair and inclusive workplace. Similarly, the Working Time Regulations 1998 protect employees from excessive working hours by setting clear limits and ensuring adequate rest breaks, promoting safer working conditions. </w:t>
      </w:r>
      <w:r w:rsidRPr="00310FB5">
        <w:t>Employment law supports trade unions by providing legal protections that help negotiate fair pay and working conditions, ensuring employees' concerns are addressed and preventing disputes.</w:t>
      </w:r>
      <w:r>
        <w:t xml:space="preserve"> </w:t>
      </w:r>
      <w:r w:rsidRPr="001306AA">
        <w:t xml:space="preserve">Employment </w:t>
      </w:r>
      <w:r>
        <w:t>law also</w:t>
      </w:r>
      <w:r w:rsidRPr="001306AA">
        <w:t xml:space="preserve"> supports collective representation by enabling trade unions to negotiate fair pay and working conditions through legal protections</w:t>
      </w:r>
      <w:r>
        <w:t xml:space="preserve"> (CIPD, 2025a).</w:t>
      </w:r>
      <w:r w:rsidRPr="001306AA">
        <w:t xml:space="preserve"> Without this support, employees may struggle to have their concerns addressed, leading to dissatisfaction</w:t>
      </w:r>
      <w:r>
        <w:t xml:space="preserve">. </w:t>
      </w:r>
    </w:p>
    <w:p w14:paraId="69C5B67C" w14:textId="77777777" w:rsidR="00EC08D5" w:rsidRDefault="00EC08D5" w:rsidP="00EC08D5">
      <w:pPr>
        <w:spacing w:line="276" w:lineRule="auto"/>
        <w:jc w:val="both"/>
      </w:pPr>
      <w:r>
        <w:t>It is acknowledged that employment regulations can be seen as restrictive and time-consuming, as well as having the potential to create unnecessary bureaucracy and add costs (Daniels, 2022). W</w:t>
      </w:r>
      <w:r w:rsidRPr="002928C3">
        <w:t xml:space="preserve">hile legal compliance may sometimes feel like an administrative burden, these </w:t>
      </w:r>
      <w:r>
        <w:t xml:space="preserve">above </w:t>
      </w:r>
      <w:r w:rsidRPr="002928C3">
        <w:t xml:space="preserve">examples highlight how employment </w:t>
      </w:r>
      <w:r>
        <w:t>regulations</w:t>
      </w:r>
      <w:r w:rsidRPr="002928C3">
        <w:t xml:space="preserve"> are designed to safeguard employee well-being and job satisfaction. By</w:t>
      </w:r>
      <w:r>
        <w:t xml:space="preserve"> abiding by these laws and</w:t>
      </w:r>
      <w:r w:rsidRPr="002928C3">
        <w:t xml:space="preserve"> </w:t>
      </w:r>
      <w:r>
        <w:t>creating</w:t>
      </w:r>
      <w:r w:rsidRPr="002928C3">
        <w:t xml:space="preserve"> a workplace where employees feel valued and respected, </w:t>
      </w:r>
      <w:r>
        <w:t>we</w:t>
      </w:r>
      <w:r w:rsidRPr="002928C3">
        <w:t xml:space="preserve"> ultimately contribute to a more engaged and productive workforce, benefiting the Trust as a whole.</w:t>
      </w:r>
    </w:p>
    <w:p w14:paraId="181F0222" w14:textId="77777777" w:rsidR="00EC08D5" w:rsidRDefault="00EC08D5" w:rsidP="00EC08D5">
      <w:pPr>
        <w:spacing w:line="276" w:lineRule="auto"/>
        <w:jc w:val="both"/>
      </w:pPr>
    </w:p>
    <w:p w14:paraId="029AAEDD" w14:textId="77777777" w:rsidR="00EC08D5" w:rsidRDefault="00EC08D5" w:rsidP="00EC08D5">
      <w:pPr>
        <w:spacing w:line="276" w:lineRule="auto"/>
        <w:jc w:val="both"/>
      </w:pPr>
      <w:r w:rsidRPr="00DE6F77">
        <w:t xml:space="preserve">Following the UK’s departure from the European Union in 2020, judgments made by the European Court of Justice (ECJ) prior to this date </w:t>
      </w:r>
      <w:proofErr w:type="gramStart"/>
      <w:r w:rsidRPr="00DE6F77">
        <w:t>still remain</w:t>
      </w:r>
      <w:proofErr w:type="gramEnd"/>
      <w:r w:rsidRPr="00DE6F77">
        <w:t xml:space="preserve"> good law, meaning they continue to have legal effect in the UK, unless new UK laws change them. </w:t>
      </w:r>
      <w:r w:rsidRPr="000A1B14">
        <w:t xml:space="preserve">The European Union (Withdrawal) Act 2018 made sure that EU law was brought into UK law when the UK left the EU, meaning that ECJ rulings made before Brexit remain valid and </w:t>
      </w:r>
      <w:r>
        <w:t>binding</w:t>
      </w:r>
      <w:r w:rsidRPr="000A1B14">
        <w:t xml:space="preserve"> by UK courts</w:t>
      </w:r>
      <w:r>
        <w:t xml:space="preserve"> unless changed by UK legislation</w:t>
      </w:r>
      <w:r w:rsidRPr="000A1B14">
        <w:t xml:space="preserve"> (Daniels, 2022).</w:t>
      </w:r>
    </w:p>
    <w:p w14:paraId="0332F69B" w14:textId="77777777" w:rsidR="00EC08D5" w:rsidRDefault="00EC08D5" w:rsidP="00EC08D5">
      <w:pPr>
        <w:pStyle w:val="NoSpacing"/>
        <w:spacing w:line="276" w:lineRule="auto"/>
        <w:jc w:val="both"/>
      </w:pPr>
      <w:r w:rsidRPr="00DE6F77">
        <w:t>However, from 1</w:t>
      </w:r>
      <w:r>
        <w:t>st</w:t>
      </w:r>
      <w:r w:rsidRPr="00DE6F77">
        <w:t xml:space="preserve"> January 2021, UK courts are no longer required to follow new ECJ rulings. While pre-Brexit ECJ decisions still exist within UK law, they now hold persuasive rather than binding authority. UK courts may refer to them for guidance but are not obligated to follow them. The UK Supreme Court now has the final say on retained EU law (CIPD, 202</w:t>
      </w:r>
      <w:r>
        <w:t>4b</w:t>
      </w:r>
      <w:r w:rsidRPr="00DE6F77">
        <w:t>).</w:t>
      </w:r>
    </w:p>
    <w:p w14:paraId="552B5321" w14:textId="77777777" w:rsidR="00EC08D5" w:rsidRDefault="00EC08D5" w:rsidP="00EC08D5">
      <w:pPr>
        <w:pStyle w:val="NoSpacing"/>
        <w:spacing w:line="276" w:lineRule="auto"/>
        <w:jc w:val="both"/>
      </w:pPr>
    </w:p>
    <w:p w14:paraId="7A20FA03" w14:textId="77777777" w:rsidR="00EC08D5" w:rsidRDefault="00EC08D5" w:rsidP="00EC08D5">
      <w:pPr>
        <w:pStyle w:val="NoSpacing"/>
        <w:spacing w:line="276" w:lineRule="auto"/>
        <w:jc w:val="both"/>
      </w:pPr>
      <w:r w:rsidRPr="003A7127">
        <w:t>A key development in this area is the introduction of the Retained EU Law (Revocation and Reform) Act 2023, which has reclassified ‘retained EU law’ as ‘assimilated law’ from 1</w:t>
      </w:r>
      <w:r>
        <w:t>st</w:t>
      </w:r>
      <w:r w:rsidRPr="003A7127">
        <w:t xml:space="preserve"> January </w:t>
      </w:r>
      <w:r w:rsidRPr="003A7127">
        <w:lastRenderedPageBreak/>
        <w:t xml:space="preserve">2024. While this change does not immediately revoke or alter existing EU-derived laws, </w:t>
      </w:r>
      <w:r>
        <w:t xml:space="preserve">is does mark a shift of how these laws </w:t>
      </w:r>
      <w:proofErr w:type="gramStart"/>
      <w:r>
        <w:t>are</w:t>
      </w:r>
      <w:proofErr w:type="gramEnd"/>
      <w:r>
        <w:t xml:space="preserve"> handled in the UK</w:t>
      </w:r>
      <w:r w:rsidRPr="003A7127">
        <w:t>.</w:t>
      </w:r>
      <w:r>
        <w:t xml:space="preserve"> According to Gibson (2025), t</w:t>
      </w:r>
      <w:r w:rsidRPr="003A7127">
        <w:t xml:space="preserve">he government has stated that future reforms will focus on ensuring laws align with UK priorities, rather than simply removing EU-derived </w:t>
      </w:r>
      <w:r>
        <w:t>rules</w:t>
      </w:r>
      <w:r w:rsidRPr="003A7127">
        <w:t xml:space="preserve">. This approach allows the government to amend or repeal assimilated laws where necessary, without being bound by ECJ precedents, </w:t>
      </w:r>
      <w:r>
        <w:t>therefore giving the UK more control over its own laws</w:t>
      </w:r>
      <w:r w:rsidRPr="003A7127">
        <w:t xml:space="preserve"> while maintaining legal continuity where beneficial (</w:t>
      </w:r>
      <w:r>
        <w:t>Gibson, 2025</w:t>
      </w:r>
      <w:r w:rsidRPr="003A7127">
        <w:t>).</w:t>
      </w:r>
      <w:r>
        <w:br/>
      </w:r>
      <w:r>
        <w:br/>
        <w:t xml:space="preserve">The Retained EU Law (Revocation and Reform) Act 2023 (Revocation and Sunset Disapplication) Regulations 2023 (RUEL) reinforced that most existing EU law, including key areas of employment law, remains part of UK law unless a future government decides to amend or repeal them (CIPD, 2024b). </w:t>
      </w:r>
      <w:r w:rsidRPr="00010CEA">
        <w:t>For example, the Working Time Regulations 1998, introduced in the UK due to the EU Working Time Directive, set a 48-hour limit on the working week. While these regulations remain part of UK law, the key difference post-Brexit is that the UK government now has the option to amend these rules if it chooses, whereas it could not do so while a member of the EU (Daniels, 2022).</w:t>
      </w:r>
    </w:p>
    <w:p w14:paraId="685E3EC3" w14:textId="77777777" w:rsidR="00EC08D5" w:rsidRDefault="00EC08D5" w:rsidP="00EC08D5">
      <w:pPr>
        <w:spacing w:line="276" w:lineRule="auto"/>
        <w:jc w:val="both"/>
      </w:pPr>
    </w:p>
    <w:p w14:paraId="0327E843" w14:textId="77777777" w:rsidR="00EC08D5" w:rsidRPr="00F42DFD" w:rsidRDefault="00EC08D5" w:rsidP="00EC08D5">
      <w:pPr>
        <w:spacing w:line="276" w:lineRule="auto"/>
        <w:jc w:val="both"/>
      </w:pPr>
      <w:r w:rsidRPr="00F42DFD">
        <w:t>I understand you</w:t>
      </w:r>
      <w:r>
        <w:t xml:space="preserve"> a</w:t>
      </w:r>
      <w:r w:rsidRPr="00F42DFD">
        <w:t>re looking for guidance on when it is legally permissible to specify that a job in your directorate must be performed by either a man or a woman. Under the Equality Act 2010, discrimination based on protected characteristics, such as sex, is generally unlawful. However, there are circumstances where an occupational requirement (OR) can be applied, allowing an employer to specify a role must be carried out by someone of a particular sex, though this is rare. Discrimination can be justified if it serves a legitimate aim, such as a genuine business need, and is proportionate, appropriate, and necessary (ACAS, 202</w:t>
      </w:r>
      <w:r>
        <w:t>4a</w:t>
      </w:r>
      <w:r w:rsidRPr="00F42DFD">
        <w:t>). The requirement must be crucial to the role's main duties, not based on assumptions about what is ‘suitable’ for men or women.</w:t>
      </w:r>
    </w:p>
    <w:p w14:paraId="2D060D16" w14:textId="77777777" w:rsidR="00EC08D5" w:rsidRPr="00F42DFD" w:rsidRDefault="00EC08D5" w:rsidP="00EC08D5">
      <w:pPr>
        <w:spacing w:line="276" w:lineRule="auto"/>
        <w:jc w:val="both"/>
      </w:pPr>
      <w:r w:rsidRPr="00F42DFD">
        <w:t xml:space="preserve">An example is roles within Women’s Aid organisations supporting female survivors of domestic abuse. Requiring staff to be women can be justified because the service users may have experienced trauma involving men and need a safe, female-only environment. This is a legitimate and proportionate </w:t>
      </w:r>
      <w:r>
        <w:t>OR</w:t>
      </w:r>
      <w:r w:rsidRPr="00F42DFD">
        <w:t>, as it directly relates to the welfare of those receiving support.</w:t>
      </w:r>
    </w:p>
    <w:p w14:paraId="5C30C80E" w14:textId="77777777" w:rsidR="00EC08D5" w:rsidRPr="00F42DFD" w:rsidRDefault="00EC08D5" w:rsidP="00EC08D5">
      <w:pPr>
        <w:spacing w:line="276" w:lineRule="auto"/>
        <w:jc w:val="both"/>
      </w:pPr>
      <w:r w:rsidRPr="00F42DFD">
        <w:t>However, there are situations where an OR may not be lawfully applied. An employer cannot specify a gender for a role based on assumptions about physical strength or stereotypes about what men or women can do. For example, stating that a firefighter role must be filled by a man because of the physical strength required would be unlawful, as it’s based on gender stereotypes, not objective justification. The ability to perform tasks in such roles should be assessed based on individual capability, not gender.</w:t>
      </w:r>
    </w:p>
    <w:p w14:paraId="5677A15E" w14:textId="77777777" w:rsidR="00EC08D5" w:rsidRPr="00F42DFD" w:rsidRDefault="00EC08D5" w:rsidP="00EC08D5">
      <w:pPr>
        <w:spacing w:line="276" w:lineRule="auto"/>
        <w:jc w:val="both"/>
      </w:pPr>
      <w:r w:rsidRPr="00F42DFD">
        <w:t xml:space="preserve">In July 2024, the Equality and Human Rights Commission (EHRC) updated its guidance on job adverts and occupational requirements, clarifying how they apply to gender and transgender candidates. It states that if a job requires a specific gender, candidates must be considered based on their legal sex, as shown on their birth certificate or Gender Recognition Certificate (GRC). Women without a GRC are not legally recognised as women under the Equality Act 2010. In some cases, if there’s a strong, justifiable reason, employers may lawfully exclude transgender people, including those with a GRC. An example is a specialist rape counselling role for women (Equality and Human Rights Commission, </w:t>
      </w:r>
      <w:r>
        <w:t>2016</w:t>
      </w:r>
      <w:r w:rsidRPr="00F42DFD">
        <w:t>).</w:t>
      </w:r>
    </w:p>
    <w:p w14:paraId="46767CA6" w14:textId="77777777" w:rsidR="00EC08D5" w:rsidRDefault="00EC08D5" w:rsidP="00EC08D5">
      <w:pPr>
        <w:spacing w:line="276" w:lineRule="auto"/>
        <w:jc w:val="both"/>
      </w:pPr>
      <w:r w:rsidRPr="00F42DFD">
        <w:lastRenderedPageBreak/>
        <w:t>It’s important to exercise caution when applying an OR, as misuse could result in unlawful discrimination claims. Employers should document their justification thoroughly, outlining how the requirement meets legal criteria, as failure to do so may lead to challenges under employment law (CIPD, 202</w:t>
      </w:r>
      <w:r>
        <w:t>4c</w:t>
      </w:r>
      <w:r w:rsidRPr="00F42DFD">
        <w:t>).</w:t>
      </w:r>
    </w:p>
    <w:p w14:paraId="7D7B46AC" w14:textId="77777777" w:rsidR="00EC08D5" w:rsidRDefault="00EC08D5" w:rsidP="00EC08D5">
      <w:pPr>
        <w:spacing w:line="276" w:lineRule="auto"/>
        <w:jc w:val="both"/>
      </w:pPr>
      <w:r>
        <w:t>B</w:t>
      </w:r>
      <w:r w:rsidRPr="00B47B25">
        <w:t>efore proceeding</w:t>
      </w:r>
      <w:r>
        <w:t xml:space="preserve"> with a pay upgrade for the two male HCAs</w:t>
      </w:r>
      <w:r w:rsidRPr="00B47B25">
        <w:t>, it’s important to consider the legal requirements under the Equality Act 2010 regarding equal pay.</w:t>
      </w:r>
      <w:r>
        <w:t xml:space="preserve"> The law stipulates that</w:t>
      </w:r>
      <w:r w:rsidRPr="0059406B">
        <w:t xml:space="preserve"> employees must receive equal pay for doing equal work. Equal work means either </w:t>
      </w:r>
      <w:r>
        <w:t xml:space="preserve">doing like work, work rated as an equivalent, or work of equal value (Daniels, 2022). </w:t>
      </w:r>
      <w:r w:rsidRPr="0059406B">
        <w:t>This law ensures that gender cannot be a factor in pay differences for the same or similar roles, unless there is a justifiable reason for the discrepancy</w:t>
      </w:r>
      <w:r>
        <w:t xml:space="preserve">, for example the individual is better qualified, location of work or shift work (ACAS, 2024b). </w:t>
      </w:r>
      <w:r w:rsidRPr="00985A06">
        <w:t>Equal pay law applies to pay and contractual terms and conditions, including basic salary, wages, pension, working hours, annual leave, overtime pay, redundancy pay, sick pay, performance-related pay</w:t>
      </w:r>
      <w:r>
        <w:t xml:space="preserve">, </w:t>
      </w:r>
      <w:r w:rsidRPr="00985A06">
        <w:t>and benefits such as gym memberships or company cars</w:t>
      </w:r>
      <w:r>
        <w:t xml:space="preserve"> (ACAS, 2024).</w:t>
      </w:r>
    </w:p>
    <w:p w14:paraId="7D531D3B" w14:textId="77777777" w:rsidR="00EC08D5" w:rsidRDefault="00EC08D5" w:rsidP="00EC08D5">
      <w:pPr>
        <w:spacing w:line="276" w:lineRule="auto"/>
        <w:jc w:val="both"/>
      </w:pPr>
      <w:r w:rsidRPr="006820C4">
        <w:t xml:space="preserve">The </w:t>
      </w:r>
      <w:r w:rsidRPr="006820C4">
        <w:rPr>
          <w:i/>
          <w:iCs/>
        </w:rPr>
        <w:t>Next equal pay case</w:t>
      </w:r>
      <w:r w:rsidRPr="006820C4">
        <w:t xml:space="preserve"> reinforces the importance of ensuring pay decisions comply with the Equality Act 2010. In this case, female retail staff successfully argued that they were paid less than male warehouse workers, despite their roles being of equal value. Next attempted to justify the disparity by citing market rates, but the tribunal ruled that this was not a valid defence under equal pay law (</w:t>
      </w:r>
      <w:r>
        <w:t>Faragher</w:t>
      </w:r>
      <w:r w:rsidRPr="006820C4">
        <w:t xml:space="preserve">, 2024). This case </w:t>
      </w:r>
      <w:r>
        <w:t>reinforces</w:t>
      </w:r>
      <w:r w:rsidRPr="006820C4">
        <w:t xml:space="preserve"> that pay differences must be based on objective, role-related factors</w:t>
      </w:r>
      <w:r>
        <w:t>.</w:t>
      </w:r>
    </w:p>
    <w:p w14:paraId="78955E3C" w14:textId="77777777" w:rsidR="00EC08D5" w:rsidRPr="004C1697" w:rsidRDefault="00EC08D5" w:rsidP="00EC08D5">
      <w:pPr>
        <w:spacing w:line="276" w:lineRule="auto"/>
        <w:jc w:val="both"/>
      </w:pPr>
      <w:r w:rsidRPr="000E29E3">
        <w:t>Given that 80% of HCAs in the Trust are women, upgrading only two male HCAs without clear, justifiable criteria could expose the Trust to an equal pay claim.</w:t>
      </w:r>
      <w:r>
        <w:t xml:space="preserve"> </w:t>
      </w:r>
      <w:r w:rsidRPr="004C1697">
        <w:t>If their job roles and responsibilities are the same or of equal value to other HCAs still on A grade, this could be seen as unlawful discrimination. Female HCAs could challenge this decision, putting the Trust at risk of legal action, financial liabilities, and reputational damage.</w:t>
      </w:r>
    </w:p>
    <w:p w14:paraId="154D231A" w14:textId="77777777" w:rsidR="00EC08D5" w:rsidRDefault="00EC08D5" w:rsidP="00EC08D5">
      <w:pPr>
        <w:spacing w:line="276" w:lineRule="auto"/>
        <w:jc w:val="both"/>
      </w:pPr>
      <w:r w:rsidRPr="004C1697">
        <w:t xml:space="preserve">At this stage, I cannot approve the upgrade. I recommend conducting a formal job evaluation to determine whether these two HCAs have additional duties, skills, or qualifications that </w:t>
      </w:r>
      <w:r>
        <w:t>warrant</w:t>
      </w:r>
      <w:r w:rsidRPr="004C1697">
        <w:t xml:space="preserve"> the higher grade. If there is no clear justification, upgrading them could breach equal pay law</w:t>
      </w:r>
      <w:r>
        <w:t>.</w:t>
      </w:r>
    </w:p>
    <w:p w14:paraId="4EB640B3" w14:textId="77777777" w:rsidR="00EC08D5" w:rsidRDefault="00EC08D5" w:rsidP="00EC08D5">
      <w:pPr>
        <w:spacing w:line="276" w:lineRule="auto"/>
        <w:jc w:val="both"/>
      </w:pPr>
    </w:p>
    <w:p w14:paraId="5DB8C67B" w14:textId="77777777" w:rsidR="00EC08D5" w:rsidRDefault="00EC08D5" w:rsidP="00EC08D5">
      <w:pPr>
        <w:spacing w:line="276" w:lineRule="auto"/>
        <w:jc w:val="both"/>
      </w:pPr>
      <w:r w:rsidRPr="00404990">
        <w:t xml:space="preserve">Constructive dismissal occurs when an employer fundamentally breaches an employee’s contract, forcing them to resign (Daniels, 2022). For a claim to be successful, the breach must be serious enough to destroy the employment relationship, leaving the employee with no reasonable choice but to </w:t>
      </w:r>
      <w:r>
        <w:t xml:space="preserve">resign, and to leave in a timely manner (Ayling and </w:t>
      </w:r>
      <w:proofErr w:type="spellStart"/>
      <w:r>
        <w:t>Suff</w:t>
      </w:r>
      <w:proofErr w:type="spellEnd"/>
      <w:r>
        <w:t xml:space="preserve">, 2024a). </w:t>
      </w:r>
      <w:r w:rsidRPr="00850F61">
        <w:t xml:space="preserve">There are many examples where constructive dismissal can occur, such as a change to working conditions, but the most common is a breach of the implied term of ‘mutual trust and confidence’ between the employer and employee (Ayling and </w:t>
      </w:r>
      <w:proofErr w:type="spellStart"/>
      <w:r w:rsidRPr="00850F61">
        <w:t>Suff</w:t>
      </w:r>
      <w:proofErr w:type="spellEnd"/>
      <w:r w:rsidRPr="00850F61">
        <w:t>, 2024</w:t>
      </w:r>
      <w:r>
        <w:t>a</w:t>
      </w:r>
      <w:r w:rsidRPr="00850F61">
        <w:t>).</w:t>
      </w:r>
      <w:r>
        <w:t xml:space="preserve"> </w:t>
      </w:r>
    </w:p>
    <w:p w14:paraId="14A34FC7" w14:textId="77777777" w:rsidR="00EC08D5" w:rsidRDefault="00EC08D5" w:rsidP="00EC08D5">
      <w:pPr>
        <w:spacing w:line="276" w:lineRule="auto"/>
        <w:jc w:val="both"/>
      </w:pPr>
      <w:r w:rsidRPr="00F167F2">
        <w:t xml:space="preserve">A key case example is </w:t>
      </w:r>
      <w:r w:rsidRPr="00F167F2">
        <w:rPr>
          <w:i/>
          <w:iCs/>
        </w:rPr>
        <w:t>Western Excavating (ECC) Ltd v Sharp (1978)</w:t>
      </w:r>
      <w:r>
        <w:t xml:space="preserve"> where t</w:t>
      </w:r>
      <w:r w:rsidRPr="006C7A31">
        <w:t xml:space="preserve">he Employment Tribunal initially upheld </w:t>
      </w:r>
      <w:r>
        <w:t>the employees</w:t>
      </w:r>
      <w:r w:rsidRPr="006C7A31">
        <w:t xml:space="preserve"> claim, but the Court of Appeal overturned it, ruling there was no breach of contract.</w:t>
      </w:r>
      <w:r>
        <w:t xml:space="preserve"> </w:t>
      </w:r>
      <w:r w:rsidRPr="006C7A31">
        <w:t>The Court emphasised that in constructive dismissal cases, the key issue is whether the contract has been breached, rather than whether the employer’s conduct was unreasonable.</w:t>
      </w:r>
    </w:p>
    <w:p w14:paraId="583838C4" w14:textId="77777777" w:rsidR="00EC08D5" w:rsidRDefault="00EC08D5" w:rsidP="00EC08D5">
      <w:pPr>
        <w:spacing w:line="276" w:lineRule="auto"/>
        <w:jc w:val="both"/>
      </w:pPr>
      <w:r w:rsidRPr="00850F61">
        <w:lastRenderedPageBreak/>
        <w:t xml:space="preserve">Varying an employment contract, such as changing working hours, requires mutual consent from both the employer and employee. If an employer unilaterally imposes changes to the contract without agreement, it can lead to claims of constructive dismissal. According to </w:t>
      </w:r>
      <w:r>
        <w:t>Daniels (2022)</w:t>
      </w:r>
      <w:r w:rsidRPr="00850F61">
        <w:t>, a variation of contract must be handled carefully to ensure that employees are treated fairly and that their rights are upheld. This means that any significant changes should be discussed and agree</w:t>
      </w:r>
      <w:r>
        <w:t>d</w:t>
      </w:r>
      <w:r w:rsidRPr="00850F61">
        <w:t>, ideally in writing, to prevent misunderstandings and protect the relationship.</w:t>
      </w:r>
      <w:r>
        <w:t xml:space="preserve"> </w:t>
      </w:r>
    </w:p>
    <w:p w14:paraId="7FE6AF3C" w14:textId="77777777" w:rsidR="00EC08D5" w:rsidRDefault="00EC08D5" w:rsidP="00EC08D5">
      <w:pPr>
        <w:spacing w:line="276" w:lineRule="auto"/>
        <w:jc w:val="both"/>
      </w:pPr>
      <w:r w:rsidRPr="00F167F2">
        <w:t xml:space="preserve">If the radiographer in question had </w:t>
      </w:r>
      <w:r>
        <w:t>his</w:t>
      </w:r>
      <w:r w:rsidRPr="00F167F2">
        <w:t xml:space="preserve"> working hours changed without proper consultation and this alteration was significant enough to be considered a fundamental breach of contract, </w:t>
      </w:r>
      <w:r>
        <w:t>he</w:t>
      </w:r>
      <w:r w:rsidRPr="00F167F2">
        <w:t xml:space="preserve"> may argue </w:t>
      </w:r>
      <w:r>
        <w:t>he</w:t>
      </w:r>
      <w:r w:rsidRPr="00F167F2">
        <w:t xml:space="preserve"> had no option but to resign. It would be important to assess whether the change was imposed unilaterally, if discussions took place beforehand, and whether the employee raised any formal grievance before resigning.</w:t>
      </w:r>
      <w:r>
        <w:t xml:space="preserve"> </w:t>
      </w:r>
      <w:r w:rsidRPr="0017693C">
        <w:t xml:space="preserve">It is also </w:t>
      </w:r>
      <w:r>
        <w:t xml:space="preserve">important </w:t>
      </w:r>
      <w:r w:rsidRPr="0017693C">
        <w:t xml:space="preserve">to note that the </w:t>
      </w:r>
      <w:r>
        <w:t>Radiographer</w:t>
      </w:r>
      <w:r w:rsidRPr="0017693C">
        <w:t xml:space="preserve"> must bring the </w:t>
      </w:r>
      <w:r>
        <w:t xml:space="preserve">constructive dismissal </w:t>
      </w:r>
      <w:r w:rsidRPr="0017693C">
        <w:t>claim within a specific time frame</w:t>
      </w:r>
      <w:r>
        <w:t xml:space="preserve"> which is</w:t>
      </w:r>
      <w:r w:rsidRPr="0017693C">
        <w:t xml:space="preserve"> three months minus one day from the date of resignation</w:t>
      </w:r>
      <w:r>
        <w:t xml:space="preserve"> </w:t>
      </w:r>
      <w:r w:rsidRPr="0017693C">
        <w:t>(</w:t>
      </w:r>
      <w:r>
        <w:t>ACAS</w:t>
      </w:r>
      <w:r w:rsidRPr="0017693C">
        <w:t>, 2024</w:t>
      </w:r>
      <w:r>
        <w:t>c</w:t>
      </w:r>
      <w:r w:rsidRPr="0017693C">
        <w:t xml:space="preserve">). If </w:t>
      </w:r>
      <w:r>
        <w:t>he does</w:t>
      </w:r>
      <w:r w:rsidRPr="0017693C">
        <w:t xml:space="preserve"> not make a claim within this period, the Employment Tribunal is likely to deem the claim as out of time, and it will be dismissed. </w:t>
      </w:r>
    </w:p>
    <w:p w14:paraId="0488F08A" w14:textId="77777777" w:rsidR="00EC08D5" w:rsidRPr="00EF00A1" w:rsidRDefault="00EC08D5" w:rsidP="00EC08D5">
      <w:pPr>
        <w:spacing w:line="276" w:lineRule="auto"/>
        <w:jc w:val="both"/>
      </w:pPr>
      <w:r>
        <w:t>According to</w:t>
      </w:r>
      <w:r w:rsidRPr="00EF00A1">
        <w:t xml:space="preserve"> section 139(1) of the Employment Rights Act 1996</w:t>
      </w:r>
      <w:r>
        <w:t>, a</w:t>
      </w:r>
      <w:r w:rsidRPr="00EF00A1">
        <w:t>n employee is dismissed by reason of redundancy if the dismissal is wholly or mainly attributable to the fact that:</w:t>
      </w:r>
    </w:p>
    <w:p w14:paraId="14808B64" w14:textId="77777777" w:rsidR="00EC08D5" w:rsidRPr="00EF00A1" w:rsidRDefault="00EC08D5" w:rsidP="00EC08D5">
      <w:pPr>
        <w:numPr>
          <w:ilvl w:val="0"/>
          <w:numId w:val="1"/>
        </w:numPr>
        <w:spacing w:line="276" w:lineRule="auto"/>
        <w:jc w:val="both"/>
      </w:pPr>
      <w:r w:rsidRPr="00EF00A1">
        <w:t>The employer has ceased, or intends to cease, to carry on the business for the purposes of which the employee was employed; or</w:t>
      </w:r>
    </w:p>
    <w:p w14:paraId="22704A14" w14:textId="77777777" w:rsidR="00EC08D5" w:rsidRPr="00EF00A1" w:rsidRDefault="00EC08D5" w:rsidP="00EC08D5">
      <w:pPr>
        <w:numPr>
          <w:ilvl w:val="0"/>
          <w:numId w:val="1"/>
        </w:numPr>
        <w:spacing w:line="276" w:lineRule="auto"/>
        <w:jc w:val="both"/>
      </w:pPr>
      <w:r w:rsidRPr="00EF00A1">
        <w:t>The employer has ceased, or intends to cease, to carry on that business in the place where the employee was employed; or</w:t>
      </w:r>
    </w:p>
    <w:p w14:paraId="48D6B76F" w14:textId="77777777" w:rsidR="00EC08D5" w:rsidRDefault="00EC08D5" w:rsidP="00EC08D5">
      <w:pPr>
        <w:numPr>
          <w:ilvl w:val="0"/>
          <w:numId w:val="1"/>
        </w:numPr>
        <w:spacing w:line="276" w:lineRule="auto"/>
        <w:jc w:val="both"/>
      </w:pPr>
      <w:r w:rsidRPr="00EF00A1">
        <w:t>The employer’s requirements for employees to carry out work of a particular kind in the place where the employee was employed have ceased or diminished or are expected to cease or diminish.</w:t>
      </w:r>
    </w:p>
    <w:p w14:paraId="7047F2D1" w14:textId="77777777" w:rsidR="00EC08D5" w:rsidRPr="00B7627A" w:rsidRDefault="00EC08D5" w:rsidP="00EC08D5">
      <w:pPr>
        <w:spacing w:line="276" w:lineRule="auto"/>
        <w:jc w:val="both"/>
      </w:pPr>
      <w:r>
        <w:t xml:space="preserve">While the senior manager is keen to expedite the process, it is essential that legal requirements are followed to ensure fairness and compliance. Employers must ensure a fair selection process for redundancy which must be based on objective and non-discriminatory criteria including gender, age, disability or any other protected characteristic (Daniels, 2022).  Using performance as the sole basis for selection risks discrimination, particularly against employees on long-term sick leave or those with less experience. </w:t>
      </w:r>
      <w:r w:rsidRPr="00CD738D">
        <w:t>To minimise legal risks, the process must be fair, transparent, and based on factual evidence rather than personal opinions. While performance can be considered, it should be assessed alongside other fair selection criteria, such as skills and qualifications, absence record (excluding absences related to disability, pregnancy, or parental leave)</w:t>
      </w:r>
      <w:r>
        <w:t xml:space="preserve"> </w:t>
      </w:r>
      <w:r w:rsidRPr="00CD738D">
        <w:t>and disciplinary record (ACAS, 202</w:t>
      </w:r>
      <w:r>
        <w:t>5a</w:t>
      </w:r>
      <w:r w:rsidRPr="00CD738D">
        <w:t>).</w:t>
      </w:r>
    </w:p>
    <w:p w14:paraId="133B1F6F" w14:textId="77777777" w:rsidR="00EC08D5" w:rsidRDefault="00EC08D5" w:rsidP="00EC08D5">
      <w:pPr>
        <w:spacing w:line="276" w:lineRule="auto"/>
        <w:jc w:val="both"/>
      </w:pPr>
      <w:r>
        <w:t xml:space="preserve">As </w:t>
      </w:r>
      <w:r w:rsidRPr="001E200E">
        <w:t>50 posts are being cut, and redundancies affecting 20 or more employees within 90 days require collective consultation, the Trust must engage with trade unions or employee representatives.</w:t>
      </w:r>
      <w:r>
        <w:t xml:space="preserve"> </w:t>
      </w:r>
      <w:r w:rsidRPr="00590FB2">
        <w:t>This includes providing relevant information, exploring ways to reduce redundancies, and allowing sufficient time for responses (ACAS, 2024</w:t>
      </w:r>
      <w:r>
        <w:t>b</w:t>
      </w:r>
      <w:r w:rsidRPr="00590FB2">
        <w:t>). The Trust must also notify the UK Government’s Insolvency Service via a HR1 for</w:t>
      </w:r>
      <w:r>
        <w:t>m - f</w:t>
      </w:r>
      <w:r w:rsidRPr="00590FB2">
        <w:t>ailure to do so could result in criminal proceedings and a fine (CIPD, 2024</w:t>
      </w:r>
      <w:r>
        <w:t>d</w:t>
      </w:r>
      <w:r w:rsidRPr="00590FB2">
        <w:t>).</w:t>
      </w:r>
    </w:p>
    <w:p w14:paraId="5E31A131" w14:textId="77777777" w:rsidR="00EC08D5" w:rsidRDefault="00EC08D5" w:rsidP="00EC08D5">
      <w:pPr>
        <w:spacing w:line="276" w:lineRule="auto"/>
        <w:jc w:val="both"/>
      </w:pPr>
      <w:r w:rsidRPr="001D0C47">
        <w:t xml:space="preserve">Failure to conduct meaningful consultation can lead to claims of unfair dismissal. </w:t>
      </w:r>
      <w:r w:rsidRPr="001D0C47">
        <w:rPr>
          <w:i/>
          <w:iCs/>
        </w:rPr>
        <w:t>King and others v Eaton Ltd (1995)</w:t>
      </w:r>
      <w:r w:rsidRPr="001D0C47">
        <w:t xml:space="preserve"> highlights the risks of inadequate consultation, where redundancies </w:t>
      </w:r>
      <w:r w:rsidRPr="001D0C47">
        <w:lastRenderedPageBreak/>
        <w:t>were deemed unfair because the employer failed to discuss selection criteria. The ruling established that consultation must begin at a formative stage, provide adequate information and time for responses, and demonstrate that employee feedback has been properly considered.</w:t>
      </w:r>
    </w:p>
    <w:p w14:paraId="3101B3A9" w14:textId="77777777" w:rsidR="00EC08D5" w:rsidRDefault="00EC08D5" w:rsidP="00EC08D5">
      <w:pPr>
        <w:spacing w:line="276" w:lineRule="auto"/>
        <w:jc w:val="both"/>
      </w:pPr>
      <w:r w:rsidRPr="001D0C47">
        <w:t>In addition to collective consultation, individual discussions remain a legal requirement. Each affected employee must have the opportunity to discuss the redundancy process, selection criteria, and any alternative roles (CIPD, 2024</w:t>
      </w:r>
      <w:r>
        <w:t>d</w:t>
      </w:r>
      <w:r w:rsidRPr="001D0C47">
        <w:t>).</w:t>
      </w:r>
    </w:p>
    <w:p w14:paraId="29563296" w14:textId="77777777" w:rsidR="00EC08D5" w:rsidRDefault="00EC08D5" w:rsidP="00EC08D5">
      <w:pPr>
        <w:spacing w:line="276" w:lineRule="auto"/>
        <w:jc w:val="both"/>
      </w:pPr>
      <w:r w:rsidRPr="001E200E">
        <w:t xml:space="preserve">Failing to follow the correct redundancy procedures can lead to claims of unfair dismissal. If the process is rushed, not fully consultative, or discriminatory, it increases the risk of legal challenges, which could result in significant compensation and reputational damage for the Trust. </w:t>
      </w:r>
    </w:p>
    <w:p w14:paraId="2508CD4D" w14:textId="77777777" w:rsidR="00EC08D5" w:rsidRDefault="00EC08D5" w:rsidP="00EC08D5">
      <w:pPr>
        <w:spacing w:line="276" w:lineRule="auto"/>
        <w:jc w:val="both"/>
      </w:pPr>
    </w:p>
    <w:p w14:paraId="0A1C2C13" w14:textId="77777777" w:rsidR="00EC08D5" w:rsidRPr="003B78EA" w:rsidRDefault="00EC08D5" w:rsidP="00EC08D5">
      <w:pPr>
        <w:spacing w:line="276" w:lineRule="auto"/>
        <w:jc w:val="both"/>
      </w:pPr>
      <w:r w:rsidRPr="003B78EA">
        <w:t>The Transfer of Undertakings (Protection of Employment) Regulations 2006 (TUPE) will be a critical factor in the proposed merger of pharmacy operations between our Trust and the neighbouring hospital trust. TUPE is designed to protect employees when a business or service provision is transferred from one organisation to another, ensuring the continuity of their employment terms and safeguarding against unfair dismissal (CIPD, 2024</w:t>
      </w:r>
      <w:r>
        <w:t>e</w:t>
      </w:r>
      <w:r w:rsidRPr="003B78EA">
        <w:t xml:space="preserve">). </w:t>
      </w:r>
      <w:r w:rsidRPr="00C9227C">
        <w:t>If the merger moves forward, employees involved in the transferring pharmacy services will automatically move to our Trust, keeping their existing terms and conditions. This includes their salaries, holiday entitlements, redundancy rights, and other contractual benefits. Additionally, their length of service with the previous employer will be preserved (Daniels, 2022).</w:t>
      </w:r>
    </w:p>
    <w:p w14:paraId="75D39257" w14:textId="77777777" w:rsidR="00EC08D5" w:rsidRPr="003B78EA" w:rsidRDefault="00EC08D5" w:rsidP="00EC08D5">
      <w:pPr>
        <w:spacing w:line="276" w:lineRule="auto"/>
        <w:jc w:val="both"/>
      </w:pPr>
      <w:r w:rsidRPr="003B78EA">
        <w:t>It’s important to highlight that under TUPE, employees cannot have their terms and conditions altered simply because of the transfer, unless there is an Economic, Technical, or Organisational (ETO) reason that justifies such changes. This protection covers not only their contractual terms but also shields them from unfair dismissal related to the transfer itself (CIPD, 2024</w:t>
      </w:r>
      <w:r>
        <w:t>e</w:t>
      </w:r>
      <w:r w:rsidRPr="003B78EA">
        <w:t>).</w:t>
      </w:r>
    </w:p>
    <w:p w14:paraId="50A211B6" w14:textId="77777777" w:rsidR="00EC08D5" w:rsidRDefault="00EC08D5" w:rsidP="00EC08D5">
      <w:pPr>
        <w:spacing w:line="276" w:lineRule="auto"/>
        <w:jc w:val="both"/>
      </w:pPr>
      <w:r w:rsidRPr="00C9227C">
        <w:t xml:space="preserve">For example, in </w:t>
      </w:r>
      <w:r w:rsidRPr="00C9227C">
        <w:rPr>
          <w:i/>
          <w:iCs/>
        </w:rPr>
        <w:t xml:space="preserve">Taylor v Connex </w:t>
      </w:r>
      <w:proofErr w:type="gramStart"/>
      <w:r w:rsidRPr="00C9227C">
        <w:rPr>
          <w:i/>
          <w:iCs/>
        </w:rPr>
        <w:t>South Eastern</w:t>
      </w:r>
      <w:proofErr w:type="gramEnd"/>
      <w:r w:rsidRPr="00C9227C">
        <w:rPr>
          <w:i/>
          <w:iCs/>
        </w:rPr>
        <w:t xml:space="preserve"> Ltd</w:t>
      </w:r>
      <w:r w:rsidRPr="00C9227C">
        <w:t xml:space="preserve"> (2000), an employee was dismissed for refusing to accept minor changes to their terms, two years after the transfer. The dismissal was found to be unfair because there was no valid ETO reason for the changes. This case underlines that any changes to terms and conditions after a transfer must be clearly justified by ETO factors, such as organisational restructuring, workforce changes, or improvements in profitability (Daniels, 2022).</w:t>
      </w:r>
    </w:p>
    <w:p w14:paraId="748E4190" w14:textId="77777777" w:rsidR="00EC08D5" w:rsidRDefault="00EC08D5" w:rsidP="00EC08D5">
      <w:pPr>
        <w:spacing w:line="276" w:lineRule="auto"/>
        <w:jc w:val="both"/>
      </w:pPr>
      <w:r w:rsidRPr="00827CC6">
        <w:t>A</w:t>
      </w:r>
      <w:r>
        <w:t>nother</w:t>
      </w:r>
      <w:r w:rsidRPr="00827CC6">
        <w:t xml:space="preserve"> key requirement under TUPE is that all affected employees must be meaningfully consulted before the transfer takes place. This typically involves engaging with trade union representatives or employee representatives to inform staff of the reasons for the transfer, any anticipated impact, and whether changes are proposed. Failure to carry out proper consultation could result in legal claims, including protective awards of up to 13 weeks’ pay per affected employee (CIPD, 2024</w:t>
      </w:r>
      <w:r>
        <w:t>f</w:t>
      </w:r>
      <w:r w:rsidRPr="00827CC6">
        <w:t>). E</w:t>
      </w:r>
      <w:r w:rsidRPr="00C9227C">
        <w:t>ven after the transfer, changes to employee contracts must be carefully considered, as TUPE places strict limitations on altering terms and conditions unless there is a valid ETO reason (Daniels, 2022).</w:t>
      </w:r>
    </w:p>
    <w:p w14:paraId="10763856" w14:textId="77777777" w:rsidR="00EC08D5" w:rsidRPr="003B78EA" w:rsidRDefault="00EC08D5" w:rsidP="00EC08D5">
      <w:pPr>
        <w:spacing w:line="276" w:lineRule="auto"/>
        <w:jc w:val="both"/>
      </w:pPr>
      <w:r w:rsidRPr="00C9227C">
        <w:t xml:space="preserve">Given these legal obligations, it is essential that we take a proactive approach to TUPE compliance. This includes early engagement with employees and representatives to manage concerns, careful planning around operational changes, and ensuring any potential contract variations are legally sound. A clear communication strategy will be vital in mitigating uncertainty </w:t>
      </w:r>
      <w:r w:rsidRPr="00C9227C">
        <w:lastRenderedPageBreak/>
        <w:t>and maintaining staff morale throughout the process. Given the complexities involved, seeking legal guidance at an early stage will be crucial to ensuring compliance and minimising any potential challenges (CIPD, 2024</w:t>
      </w:r>
      <w:r>
        <w:t>e</w:t>
      </w:r>
      <w:r w:rsidRPr="00C9227C">
        <w:t>).</w:t>
      </w:r>
    </w:p>
    <w:p w14:paraId="28276360" w14:textId="77777777" w:rsidR="00EC08D5" w:rsidRDefault="00EC08D5" w:rsidP="00EC08D5">
      <w:pPr>
        <w:spacing w:line="276" w:lineRule="auto"/>
        <w:jc w:val="both"/>
      </w:pPr>
    </w:p>
    <w:p w14:paraId="51BFC9B5" w14:textId="77777777" w:rsidR="00EC08D5" w:rsidRPr="00764757" w:rsidRDefault="00EC08D5" w:rsidP="00EC08D5">
      <w:pPr>
        <w:spacing w:line="276" w:lineRule="auto"/>
        <w:jc w:val="both"/>
      </w:pPr>
      <w:r w:rsidRPr="00764757">
        <w:t>To ensure holiday pay is calculated correctly for our nurse bank staff, it is essential to follow UK employment law guidelines. All workers, including those on casual contracts, are entitled to 5.6 weeks of statutory annual leave per year. As these bank staff do not have fixed working hours and are employed on a casual basis to cover shifts for absent permanent colleagues, their holiday pay must be calculated based on their average weekly earnings over the previous 52 weeks, ensuring fairness and compliance (</w:t>
      </w:r>
      <w:r>
        <w:t>CIPD</w:t>
      </w:r>
      <w:r w:rsidRPr="00764757">
        <w:t>, 2024</w:t>
      </w:r>
      <w:r>
        <w:t>g</w:t>
      </w:r>
      <w:r w:rsidRPr="00764757">
        <w:t>). This calculation must include all earnings, including overtime, bonuses, and commission payments, as these form part of their regular pay.</w:t>
      </w:r>
    </w:p>
    <w:p w14:paraId="45AA0197" w14:textId="77777777" w:rsidR="00EC08D5" w:rsidRPr="00764757" w:rsidRDefault="00EC08D5" w:rsidP="00EC08D5">
      <w:pPr>
        <w:spacing w:line="276" w:lineRule="auto"/>
        <w:jc w:val="both"/>
      </w:pPr>
      <w:r w:rsidRPr="00764757">
        <w:t>For bank staff who have worked for fewer than 52 weeks, their holiday pay should be based on the average earnings over the number of full weeks they have been employed. For example, if a nurse has only worked for 21 weeks, their holiday pay must be calculated using their average earnings over that period.</w:t>
      </w:r>
    </w:p>
    <w:p w14:paraId="260BD9B8" w14:textId="77777777" w:rsidR="00EC08D5" w:rsidRPr="00764757" w:rsidRDefault="00EC08D5" w:rsidP="00EC08D5">
      <w:pPr>
        <w:spacing w:line="276" w:lineRule="auto"/>
        <w:jc w:val="both"/>
      </w:pPr>
      <w:r w:rsidRPr="00764757">
        <w:t>Since April 2024, the government has reintroduced rolled-up holiday pay for part-year and irregular</w:t>
      </w:r>
      <w:r>
        <w:t xml:space="preserve"> </w:t>
      </w:r>
      <w:r w:rsidRPr="00764757">
        <w:t>hours workers, including our bank staff. This allows holiday pay to be included in each payslip rather than being paid when leave is taken. Under this system, holiday pay must be calculated at a rate of 12.07% of the worker’s total earnings in each pay period and shown as a separate payment on the payslip (ACAS, 2024</w:t>
      </w:r>
      <w:r>
        <w:t>d</w:t>
      </w:r>
      <w:r w:rsidRPr="00764757">
        <w:t>). While this ensures that bank staff receive their holiday pay regularly, it remains the Trust’s legal responsibility to encourage them to take their statutory leave entitlement. This is vital not only for compliance but also to support staff wellbeing, improve retention, and reduce absenteeism (ACAS, 2024</w:t>
      </w:r>
      <w:r>
        <w:t>d</w:t>
      </w:r>
      <w:r w:rsidRPr="00764757">
        <w:t>).</w:t>
      </w:r>
    </w:p>
    <w:p w14:paraId="2FAC35D8" w14:textId="77777777" w:rsidR="00EC08D5" w:rsidRPr="00764757" w:rsidRDefault="00EC08D5" w:rsidP="00EC08D5">
      <w:pPr>
        <w:spacing w:line="276" w:lineRule="auto"/>
        <w:jc w:val="both"/>
      </w:pPr>
      <w:r w:rsidRPr="00764757">
        <w:t>By ensuring these principles are followed, we can calculate holiday pay in a fair and lawful manner for our nurse bank staff, while also maintaining compliance with statutory requirements and minimising any legal risks associated with incorrect holiday pay practices.</w:t>
      </w:r>
    </w:p>
    <w:p w14:paraId="7C9A7CAD" w14:textId="77777777" w:rsidR="00EC08D5" w:rsidRDefault="00EC08D5" w:rsidP="00EC08D5">
      <w:pPr>
        <w:spacing w:line="276" w:lineRule="auto"/>
        <w:jc w:val="both"/>
        <w:rPr>
          <w:b/>
          <w:bCs/>
        </w:rPr>
      </w:pPr>
    </w:p>
    <w:p w14:paraId="0FBAA6A2" w14:textId="77777777" w:rsidR="00EC08D5" w:rsidRPr="00823BC1" w:rsidRDefault="00EC08D5" w:rsidP="00EC08D5">
      <w:pPr>
        <w:spacing w:line="276" w:lineRule="auto"/>
        <w:jc w:val="both"/>
      </w:pPr>
      <w:r w:rsidRPr="00823BC1">
        <w:t>Maternity leave and Shared Parental Leave (SPL) offer different options for you and your partner, and the best choice will depend on your personal circumstances. Below is a breakdown of the key differences to help guide your decision.</w:t>
      </w:r>
    </w:p>
    <w:p w14:paraId="069742DD" w14:textId="77777777" w:rsidR="00EC08D5" w:rsidRPr="00823BC1" w:rsidRDefault="00EC08D5" w:rsidP="00EC08D5">
      <w:pPr>
        <w:spacing w:line="276" w:lineRule="auto"/>
        <w:jc w:val="both"/>
      </w:pPr>
      <w:r w:rsidRPr="00823BC1">
        <w:t>Maternity leave is a statutory entitlement for birth mothers, allowing up to 52 weeks of leave</w:t>
      </w:r>
      <w:r>
        <w:t xml:space="preserve"> - </w:t>
      </w:r>
      <w:r w:rsidRPr="00823BC1">
        <w:t>26 weeks of Ordinary Maternity Leave (OML) followed by 26 weeks of Additional Maternity Leave (AML). A minimum of two weeks off after giving birth is mandatory. Statutory Maternity Pay (SMP) is available for up to 39 weeks, covering 90% of your average earnings for the first six weeks, then 33 weeks at the statutory rate of £184.03 per week, increasing to £187.18 from April 2025 (or 90% of earnings if lower) (CIPD, 2024</w:t>
      </w:r>
      <w:r>
        <w:t>h</w:t>
      </w:r>
      <w:r w:rsidRPr="00823BC1">
        <w:t xml:space="preserve">). Maternity leave also comes with strong employment protections, including priority for suitable alternative roles in redundancy situations, the right to risk assessments and alternative work to avoid health risks, full pay during maternity suspension if risks cannot be mitigated, protection from unfair treatment or dismissal, and the option to take up to ten Keeping in Touch (KIT) days without affecting maternity pay (Ayling and </w:t>
      </w:r>
      <w:proofErr w:type="spellStart"/>
      <w:r w:rsidRPr="00823BC1">
        <w:t>Suff</w:t>
      </w:r>
      <w:proofErr w:type="spellEnd"/>
      <w:r w:rsidRPr="00823BC1">
        <w:t>, 2024</w:t>
      </w:r>
      <w:r>
        <w:t>b</w:t>
      </w:r>
      <w:r w:rsidRPr="00823BC1">
        <w:t>).</w:t>
      </w:r>
    </w:p>
    <w:p w14:paraId="73ECB9A0" w14:textId="77777777" w:rsidR="00EC08D5" w:rsidRPr="00823BC1" w:rsidRDefault="00EC08D5" w:rsidP="00EC08D5">
      <w:pPr>
        <w:spacing w:line="276" w:lineRule="auto"/>
        <w:jc w:val="both"/>
      </w:pPr>
      <w:r w:rsidRPr="00823BC1">
        <w:lastRenderedPageBreak/>
        <w:t>SPL, on the other hand, allows you and your partner to share up to 50 weeks of leave and 37 weeks of pay</w:t>
      </w:r>
      <w:r>
        <w:t>.</w:t>
      </w:r>
      <w:r w:rsidRPr="00823BC1">
        <w:t xml:space="preserve"> This flexibility means you could return to work sooner while your partner takes time off, or you could take leave in blocks rather than one continuous period. Statutory Shared Parental Pay (</w:t>
      </w:r>
      <w:proofErr w:type="spellStart"/>
      <w:r w:rsidRPr="00823BC1">
        <w:t>ShPP</w:t>
      </w:r>
      <w:proofErr w:type="spellEnd"/>
      <w:r w:rsidRPr="00823BC1">
        <w:t>) is paid at the same rate as SMP after the first six weeks; however, this entitlement is shared between you as a couple rather than individually (Maternity Action,</w:t>
      </w:r>
      <w:r>
        <w:t xml:space="preserve"> 2025</w:t>
      </w:r>
      <w:r w:rsidRPr="00823BC1">
        <w:t>). To be eligible, one parent must have worked for the same employer for at least 26 weeks by the end of the 15th week before the due date, while the other must have worked for 26 weeks in the previous 66 weeks and earned above the Maternity Allowance threshold in at least 13 of those weeks (Daniels, 2022).</w:t>
      </w:r>
    </w:p>
    <w:p w14:paraId="5B9A28CF" w14:textId="77777777" w:rsidR="00EC08D5" w:rsidRPr="00823BC1" w:rsidRDefault="00EC08D5" w:rsidP="00EC08D5">
      <w:pPr>
        <w:spacing w:line="276" w:lineRule="auto"/>
        <w:jc w:val="both"/>
      </w:pPr>
      <w:r w:rsidRPr="00823BC1">
        <w:t>If you choose to take maternity leave, you must notify us at least 15 weeks before your due date, providing your expected week of childbirth, your intended start date for maternity leave, and your MATB1 certificate (Maternity Action</w:t>
      </w:r>
      <w:r>
        <w:t>, 2025</w:t>
      </w:r>
      <w:r w:rsidRPr="00823BC1">
        <w:t xml:space="preserve">). If you’re considering SPL, you’ll need to first reduce your maternity leave and pay before your partner can take any leave. Both you and your partner must give at least eight weeks’ notice before taking any SPL (Ayling and </w:t>
      </w:r>
      <w:proofErr w:type="spellStart"/>
      <w:r w:rsidRPr="00823BC1">
        <w:t>Suff</w:t>
      </w:r>
      <w:proofErr w:type="spellEnd"/>
      <w:r w:rsidRPr="00823BC1">
        <w:t>, 2024</w:t>
      </w:r>
      <w:r>
        <w:t>b</w:t>
      </w:r>
      <w:r w:rsidRPr="00823BC1">
        <w:t>).</w:t>
      </w:r>
    </w:p>
    <w:p w14:paraId="441C6670" w14:textId="77777777" w:rsidR="00EC08D5" w:rsidRDefault="00EC08D5" w:rsidP="00EC08D5">
      <w:pPr>
        <w:spacing w:line="276" w:lineRule="auto"/>
        <w:jc w:val="both"/>
      </w:pPr>
      <w:r w:rsidRPr="00823BC1">
        <w:t>Ultimately, the decision comes down to what works best for you both</w:t>
      </w:r>
      <w:r>
        <w:t xml:space="preserve"> - </w:t>
      </w:r>
      <w:r w:rsidRPr="00823BC1">
        <w:t>whether you prefer the certainty of maternity leave or the flexibility of sharing leave. Consider financial implications, how much time you each want to take off, and whether splitting leave would be beneficial for your family.</w:t>
      </w:r>
    </w:p>
    <w:p w14:paraId="69DEF499" w14:textId="77777777" w:rsidR="00EC08D5" w:rsidRPr="002D10D8" w:rsidRDefault="00EC08D5" w:rsidP="00EC08D5">
      <w:pPr>
        <w:spacing w:line="276" w:lineRule="auto"/>
        <w:jc w:val="both"/>
      </w:pPr>
      <w:r w:rsidRPr="002D10D8">
        <w:t>The statutory right to request flexible working was introduced by the Flexible Working Regulations 2014 and initially required employees to have 26 weeks of continuous service. However, as of April 2024, this right applies from day one of employment, meaning the newly appointed administrative officer is entitled to submit a flexible working request (CIPD, 2024</w:t>
      </w:r>
      <w:r>
        <w:t>i</w:t>
      </w:r>
      <w:r w:rsidRPr="002D10D8">
        <w:t>). While employees have the right to request flexible working, there is no automatic right to have it granted. Employers must follow a fair process and provide a valid business reason if refusing the request.</w:t>
      </w:r>
    </w:p>
    <w:p w14:paraId="295A9083" w14:textId="77777777" w:rsidR="00EC08D5" w:rsidRPr="002D10D8" w:rsidRDefault="00EC08D5" w:rsidP="00EC08D5">
      <w:pPr>
        <w:spacing w:line="276" w:lineRule="auto"/>
        <w:jc w:val="both"/>
      </w:pPr>
      <w:r w:rsidRPr="002D10D8">
        <w:t>In this case, your main concern is that allowing this request may encourage similar requests from other administrative staff, potentially impacting service quality. However, it is important to note that concerns about setting a precedent alone are not a legally valid reason for refusal. Each request must be assessed individually, considering both the employee’s needs and the operational impact on the service. The ACAS Code of Practice on Flexible Working Requests (ACAS, 2024</w:t>
      </w:r>
      <w:r>
        <w:t>e</w:t>
      </w:r>
      <w:r w:rsidRPr="002D10D8">
        <w:t>) states that employers must handle requests in a reasonable manner, ensuring they are assessed on legitimate business grounds. You must provide a response within two months, allowing time for the employee to appeal if necessary.</w:t>
      </w:r>
    </w:p>
    <w:p w14:paraId="1266BFE5" w14:textId="77777777" w:rsidR="00EC08D5" w:rsidRPr="002D10D8" w:rsidRDefault="00EC08D5" w:rsidP="00EC08D5">
      <w:pPr>
        <w:spacing w:line="276" w:lineRule="auto"/>
        <w:jc w:val="both"/>
      </w:pPr>
      <w:r w:rsidRPr="002D10D8">
        <w:t>There are several statutory reasons for refusing a flexible working request, including a detrimental impact on service quality or performance, inability to reorganise work among existing staff, or the burden of additional costs (McCartney, 2024). If you believe that allowing this employee to work from home three days per week would negatively affect the service provided by the team, you can refuse the request on these grounds</w:t>
      </w:r>
      <w:r>
        <w:t>, ho</w:t>
      </w:r>
      <w:r w:rsidRPr="002D10D8">
        <w:t>wever, the reasoning must be evidence-based rather than speculative. It may be beneficial to explore whether</w:t>
      </w:r>
      <w:r>
        <w:t xml:space="preserve"> a</w:t>
      </w:r>
      <w:r w:rsidRPr="002D10D8">
        <w:t xml:space="preserve"> trial period could be considered before outright rejection</w:t>
      </w:r>
      <w:r>
        <w:t xml:space="preserve"> (ACAS, 2024e).</w:t>
      </w:r>
    </w:p>
    <w:p w14:paraId="0ADC608D" w14:textId="77777777" w:rsidR="00EC08D5" w:rsidRPr="002D10D8" w:rsidRDefault="00EC08D5" w:rsidP="00EC08D5">
      <w:pPr>
        <w:spacing w:line="276" w:lineRule="auto"/>
        <w:jc w:val="both"/>
      </w:pPr>
      <w:r w:rsidRPr="002D10D8">
        <w:t xml:space="preserve">Failure to follow the correct process can expose the Trust to legal risks, as demonstrated in </w:t>
      </w:r>
      <w:r w:rsidRPr="002D10D8">
        <w:rPr>
          <w:i/>
          <w:iCs/>
        </w:rPr>
        <w:t>Commotion Ltd v Rutty (2006) ICR 290</w:t>
      </w:r>
      <w:r w:rsidRPr="002D10D8">
        <w:t xml:space="preserve">. In this case, Rutty, who had been granted a residence order to care for her granddaughter, initially made an informal request to reduce her working week to three days, which was refused. She then submitted a formal request under the Flexible Working </w:t>
      </w:r>
      <w:r w:rsidRPr="002D10D8">
        <w:lastRenderedPageBreak/>
        <w:t xml:space="preserve">Regulations, which her employer also rejected, citing the need for all employees to work uniform hours and concerns about the impact on teamworking. However, the </w:t>
      </w:r>
      <w:r>
        <w:t>ET</w:t>
      </w:r>
      <w:r w:rsidRPr="002D10D8">
        <w:t>, upheld by the EAT, found that the employer had not provided reasonable grounds for refusal and had failed to prove its concerns</w:t>
      </w:r>
      <w:r>
        <w:t xml:space="preserve">, resulting in </w:t>
      </w:r>
      <w:r w:rsidRPr="002D10D8">
        <w:t xml:space="preserve">Rutty </w:t>
      </w:r>
      <w:r>
        <w:t>being</w:t>
      </w:r>
      <w:r w:rsidRPr="002D10D8">
        <w:t xml:space="preserve"> awarded compensation of £14,038.66. This case highlights the importance of ensuring that any refusal is based on genuine, evidenced business reasons rather than assumptions, as mishandling a request can lead to claims of unfair treatment, discrimination, or constructive dismissal.</w:t>
      </w:r>
    </w:p>
    <w:p w14:paraId="4370C914" w14:textId="77777777" w:rsidR="00EC08D5" w:rsidRPr="00EE6474" w:rsidRDefault="00EC08D5" w:rsidP="00EC08D5">
      <w:pPr>
        <w:spacing w:line="276" w:lineRule="auto"/>
        <w:jc w:val="both"/>
      </w:pPr>
      <w:r w:rsidRPr="002D10D8">
        <w:t>If you decide to reject the request, the employee must be given a clear explanation based on one or more of the statutory grounds for refusal, along with the right to appeal</w:t>
      </w:r>
      <w:r>
        <w:t xml:space="preserve"> (McCartney, 2024).</w:t>
      </w:r>
      <w:r w:rsidRPr="002D10D8">
        <w:t xml:space="preserve"> Following the correct process ensures fairness and minimises legal risk to the Trust</w:t>
      </w:r>
      <w:r>
        <w:t>.</w:t>
      </w:r>
    </w:p>
    <w:p w14:paraId="58DEE585" w14:textId="77777777" w:rsidR="00EC08D5" w:rsidRPr="000A1B14" w:rsidRDefault="00EC08D5" w:rsidP="00EC08D5">
      <w:pPr>
        <w:jc w:val="both"/>
        <w:rPr>
          <w:color w:val="FF0000"/>
        </w:rPr>
      </w:pPr>
    </w:p>
    <w:p w14:paraId="15D9708F" w14:textId="77777777" w:rsidR="00EC08D5" w:rsidRDefault="00EC08D5" w:rsidP="00EC08D5">
      <w:pPr>
        <w:spacing w:line="276" w:lineRule="auto"/>
        <w:jc w:val="both"/>
      </w:pPr>
    </w:p>
    <w:p w14:paraId="31009906" w14:textId="77777777" w:rsidR="00275661" w:rsidRDefault="00275661"/>
    <w:p w14:paraId="2E301B85" w14:textId="77777777" w:rsidR="00EC08D5" w:rsidRDefault="00EC08D5"/>
    <w:sectPr w:rsidR="00EC0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54329C"/>
    <w:multiLevelType w:val="multilevel"/>
    <w:tmpl w:val="AA58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251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8D5"/>
    <w:rsid w:val="001F1807"/>
    <w:rsid w:val="00275661"/>
    <w:rsid w:val="00C71CAD"/>
    <w:rsid w:val="00EC0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88D78"/>
  <w15:chartTrackingRefBased/>
  <w15:docId w15:val="{06704B49-8731-47F1-9399-444B9540E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8D5"/>
  </w:style>
  <w:style w:type="paragraph" w:styleId="Heading1">
    <w:name w:val="heading 1"/>
    <w:basedOn w:val="Normal"/>
    <w:next w:val="Normal"/>
    <w:link w:val="Heading1Char"/>
    <w:uiPriority w:val="9"/>
    <w:qFormat/>
    <w:rsid w:val="00EC08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8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8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8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8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8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8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8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8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8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8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8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8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8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8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8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8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8D5"/>
    <w:rPr>
      <w:rFonts w:eastAsiaTheme="majorEastAsia" w:cstheme="majorBidi"/>
      <w:color w:val="272727" w:themeColor="text1" w:themeTint="D8"/>
    </w:rPr>
  </w:style>
  <w:style w:type="paragraph" w:styleId="Title">
    <w:name w:val="Title"/>
    <w:basedOn w:val="Normal"/>
    <w:next w:val="Normal"/>
    <w:link w:val="TitleChar"/>
    <w:uiPriority w:val="10"/>
    <w:qFormat/>
    <w:rsid w:val="00EC08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8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8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8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8D5"/>
    <w:pPr>
      <w:spacing w:before="160"/>
      <w:jc w:val="center"/>
    </w:pPr>
    <w:rPr>
      <w:i/>
      <w:iCs/>
      <w:color w:val="404040" w:themeColor="text1" w:themeTint="BF"/>
    </w:rPr>
  </w:style>
  <w:style w:type="character" w:customStyle="1" w:styleId="QuoteChar">
    <w:name w:val="Quote Char"/>
    <w:basedOn w:val="DefaultParagraphFont"/>
    <w:link w:val="Quote"/>
    <w:uiPriority w:val="29"/>
    <w:rsid w:val="00EC08D5"/>
    <w:rPr>
      <w:i/>
      <w:iCs/>
      <w:color w:val="404040" w:themeColor="text1" w:themeTint="BF"/>
    </w:rPr>
  </w:style>
  <w:style w:type="paragraph" w:styleId="ListParagraph">
    <w:name w:val="List Paragraph"/>
    <w:basedOn w:val="Normal"/>
    <w:uiPriority w:val="34"/>
    <w:qFormat/>
    <w:rsid w:val="00EC08D5"/>
    <w:pPr>
      <w:ind w:left="720"/>
      <w:contextualSpacing/>
    </w:pPr>
  </w:style>
  <w:style w:type="character" w:styleId="IntenseEmphasis">
    <w:name w:val="Intense Emphasis"/>
    <w:basedOn w:val="DefaultParagraphFont"/>
    <w:uiPriority w:val="21"/>
    <w:qFormat/>
    <w:rsid w:val="00EC08D5"/>
    <w:rPr>
      <w:i/>
      <w:iCs/>
      <w:color w:val="0F4761" w:themeColor="accent1" w:themeShade="BF"/>
    </w:rPr>
  </w:style>
  <w:style w:type="paragraph" w:styleId="IntenseQuote">
    <w:name w:val="Intense Quote"/>
    <w:basedOn w:val="Normal"/>
    <w:next w:val="Normal"/>
    <w:link w:val="IntenseQuoteChar"/>
    <w:uiPriority w:val="30"/>
    <w:qFormat/>
    <w:rsid w:val="00EC08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8D5"/>
    <w:rPr>
      <w:i/>
      <w:iCs/>
      <w:color w:val="0F4761" w:themeColor="accent1" w:themeShade="BF"/>
    </w:rPr>
  </w:style>
  <w:style w:type="character" w:styleId="IntenseReference">
    <w:name w:val="Intense Reference"/>
    <w:basedOn w:val="DefaultParagraphFont"/>
    <w:uiPriority w:val="32"/>
    <w:qFormat/>
    <w:rsid w:val="00EC08D5"/>
    <w:rPr>
      <w:b/>
      <w:bCs/>
      <w:smallCaps/>
      <w:color w:val="0F4761" w:themeColor="accent1" w:themeShade="BF"/>
      <w:spacing w:val="5"/>
    </w:rPr>
  </w:style>
  <w:style w:type="paragraph" w:styleId="NoSpacing">
    <w:name w:val="No Spacing"/>
    <w:uiPriority w:val="1"/>
    <w:qFormat/>
    <w:rsid w:val="00EC08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3827</Words>
  <Characters>21817</Characters>
  <Application>Microsoft Office Word</Application>
  <DocSecurity>0</DocSecurity>
  <Lines>181</Lines>
  <Paragraphs>51</Paragraphs>
  <ScaleCrop>false</ScaleCrop>
  <Company/>
  <LinksUpToDate>false</LinksUpToDate>
  <CharactersWithSpaces>25593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Curtis</dc:creator>
  <cp:keywords/>
  <dc:description/>
  <cp:lastModifiedBy>Lucy Curtis</cp:lastModifiedBy>
  <cp:revision>1</cp:revision>
  <dcterms:created xsi:type="dcterms:W3CDTF">2025-03-16T16:44:00Z</dcterms:created>
  <dcterms:modified xsi:type="dcterms:W3CDTF">2025-03-16T16:45:00Z</dcterms:modified>
</cp:coreProperties>
</file>