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3E1677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23011">
              <w:rPr>
                <w:rFonts w:ascii="Times New Roman" w:hAnsi="Times New Roman" w:cs="Times New Roman"/>
                <w:b/>
                <w:color w:val="auto"/>
                <w:sz w:val="48"/>
              </w:rPr>
              <w:t>Hannah Vaughan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2E7524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23011">
              <w:rPr>
                <w:rFonts w:ascii="Times New Roman" w:hAnsi="Times New Roman" w:cs="Times New Roman"/>
                <w:b/>
                <w:color w:val="auto"/>
                <w:sz w:val="48"/>
              </w:rPr>
              <w:t xml:space="preserve"> 2421170@student.uwtsd.ac.uk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13B87A8"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3CFF268" w14:textId="08EF2F60" w:rsidR="00323011" w:rsidRPr="005D3F07" w:rsidRDefault="0032301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2421170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774095BD" w14:textId="1ECF6E1C"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5C87BF77" w14:textId="77777777" w:rsidR="007A628F" w:rsidRDefault="007A628F" w:rsidP="00FF7EBB">
            <w:pPr>
              <w:jc w:val="both"/>
              <w:rPr>
                <w:b/>
                <w:sz w:val="24"/>
                <w:szCs w:val="24"/>
              </w:rPr>
            </w:pPr>
          </w:p>
          <w:p w14:paraId="795C8C7E" w14:textId="36AF0E95" w:rsidR="00323011" w:rsidRDefault="00323011" w:rsidP="00FF7EBB">
            <w:pPr>
              <w:jc w:val="both"/>
              <w:rPr>
                <w:b/>
                <w:sz w:val="24"/>
                <w:szCs w:val="24"/>
              </w:rPr>
            </w:pPr>
          </w:p>
          <w:p w14:paraId="0E88DB29" w14:textId="65762F00" w:rsidR="00323011" w:rsidRPr="006438AB" w:rsidRDefault="00323011" w:rsidP="00323011">
            <w:pPr>
              <w:rPr>
                <w:rFonts w:asciiTheme="minorHAnsi" w:hAnsiTheme="minorHAnsi" w:cstheme="minorHAnsi"/>
                <w:sz w:val="22"/>
                <w:szCs w:val="22"/>
              </w:rPr>
            </w:pPr>
            <w:r w:rsidRPr="006438AB">
              <w:rPr>
                <w:rFonts w:asciiTheme="minorHAnsi" w:hAnsiTheme="minorHAnsi" w:cstheme="minorHAnsi"/>
                <w:sz w:val="22"/>
                <w:szCs w:val="22"/>
              </w:rPr>
              <w:t xml:space="preserve">My role within the looked after children’s team is to work closely with children and young people. </w:t>
            </w:r>
            <w:r w:rsidR="00FC180D">
              <w:rPr>
                <w:rFonts w:asciiTheme="minorHAnsi" w:hAnsiTheme="minorHAnsi" w:cstheme="minorHAnsi"/>
                <w:sz w:val="22"/>
                <w:szCs w:val="22"/>
              </w:rPr>
              <w:t>However,</w:t>
            </w:r>
            <w:r w:rsidRPr="006438AB">
              <w:rPr>
                <w:rFonts w:asciiTheme="minorHAnsi" w:hAnsiTheme="minorHAnsi" w:cstheme="minorHAnsi"/>
                <w:sz w:val="22"/>
                <w:szCs w:val="22"/>
              </w:rPr>
              <w:t xml:space="preserve"> it is imperative that I am able to consider and have a sound understanding of adult safeguarding. When working with children and young people, I am also often working with the families which include adults</w:t>
            </w:r>
            <w:r w:rsidR="00FC180D">
              <w:rPr>
                <w:rFonts w:asciiTheme="minorHAnsi" w:hAnsiTheme="minorHAnsi" w:cstheme="minorHAnsi"/>
                <w:sz w:val="22"/>
                <w:szCs w:val="22"/>
              </w:rPr>
              <w:t>. As per section 126(1) of the S</w:t>
            </w:r>
            <w:r w:rsidRPr="006438AB">
              <w:rPr>
                <w:rFonts w:asciiTheme="minorHAnsi" w:hAnsiTheme="minorHAnsi" w:cstheme="minorHAnsi"/>
                <w:sz w:val="22"/>
                <w:szCs w:val="22"/>
              </w:rPr>
              <w:t xml:space="preserve">ocial </w:t>
            </w:r>
            <w:r w:rsidR="00FC180D">
              <w:rPr>
                <w:rFonts w:asciiTheme="minorHAnsi" w:hAnsiTheme="minorHAnsi" w:cstheme="minorHAnsi"/>
                <w:sz w:val="22"/>
                <w:szCs w:val="22"/>
              </w:rPr>
              <w:t>Services and W</w:t>
            </w:r>
            <w:r w:rsidRPr="006438AB">
              <w:rPr>
                <w:rFonts w:asciiTheme="minorHAnsi" w:hAnsiTheme="minorHAnsi" w:cstheme="minorHAnsi"/>
                <w:sz w:val="22"/>
                <w:szCs w:val="22"/>
              </w:rPr>
              <w:t xml:space="preserve">ellbeing (Wales) </w:t>
            </w:r>
            <w:r w:rsidR="00FC180D">
              <w:rPr>
                <w:rFonts w:asciiTheme="minorHAnsi" w:hAnsiTheme="minorHAnsi" w:cstheme="minorHAnsi"/>
                <w:sz w:val="22"/>
                <w:szCs w:val="22"/>
              </w:rPr>
              <w:t>A</w:t>
            </w:r>
            <w:r w:rsidRPr="006438AB">
              <w:rPr>
                <w:rFonts w:asciiTheme="minorHAnsi" w:hAnsiTheme="minorHAnsi" w:cstheme="minorHAnsi"/>
                <w:sz w:val="22"/>
                <w:szCs w:val="22"/>
              </w:rPr>
              <w:t xml:space="preserve">ct </w:t>
            </w:r>
            <w:r w:rsidR="00FC180D">
              <w:rPr>
                <w:rFonts w:asciiTheme="minorHAnsi" w:hAnsiTheme="minorHAnsi" w:cstheme="minorHAnsi"/>
                <w:sz w:val="22"/>
                <w:szCs w:val="22"/>
              </w:rPr>
              <w:t>– (SSWA) (</w:t>
            </w:r>
            <w:r w:rsidRPr="006438AB">
              <w:rPr>
                <w:rFonts w:asciiTheme="minorHAnsi" w:hAnsiTheme="minorHAnsi" w:cstheme="minorHAnsi"/>
                <w:sz w:val="22"/>
                <w:szCs w:val="22"/>
              </w:rPr>
              <w:t>2014</w:t>
            </w:r>
            <w:r w:rsidR="00FC180D">
              <w:rPr>
                <w:rFonts w:asciiTheme="minorHAnsi" w:hAnsiTheme="minorHAnsi" w:cstheme="minorHAnsi"/>
                <w:sz w:val="22"/>
                <w:szCs w:val="22"/>
              </w:rPr>
              <w:t>)</w:t>
            </w:r>
            <w:r w:rsidRPr="006438AB">
              <w:rPr>
                <w:rFonts w:asciiTheme="minorHAnsi" w:hAnsiTheme="minorHAnsi" w:cstheme="minorHAnsi"/>
                <w:sz w:val="22"/>
                <w:szCs w:val="22"/>
              </w:rPr>
              <w:t>, an adult at risk is defined as an adult experiencing or at risk of experiencing abuse or neglect, an adult in need of care and support and an adult unable to protect themselves from possible abuse (Welsh government, 2025). Similarly to children’s social care, there is a duty for all relevant professionals to report an adult at risk. It is crucial that we as professionals ar</w:t>
            </w:r>
            <w:r w:rsidR="00387690">
              <w:rPr>
                <w:rFonts w:asciiTheme="minorHAnsi" w:hAnsiTheme="minorHAnsi" w:cstheme="minorHAnsi"/>
                <w:sz w:val="22"/>
                <w:szCs w:val="22"/>
              </w:rPr>
              <w:t xml:space="preserve">e able to identify possible signs </w:t>
            </w:r>
            <w:r w:rsidRPr="006438AB">
              <w:rPr>
                <w:rFonts w:asciiTheme="minorHAnsi" w:hAnsiTheme="minorHAnsi" w:cstheme="minorHAnsi"/>
                <w:sz w:val="22"/>
                <w:szCs w:val="22"/>
              </w:rPr>
              <w:t xml:space="preserve">of abuse and the Wales Safeguarding Procedures (2025) highlight a number of these, to include domestic violence, financial abuse, physical abuse and sexual abuse. </w:t>
            </w:r>
          </w:p>
          <w:p w14:paraId="334C6B6B" w14:textId="77777777" w:rsidR="00323011" w:rsidRPr="006438AB" w:rsidRDefault="00323011" w:rsidP="00323011">
            <w:pPr>
              <w:rPr>
                <w:rFonts w:asciiTheme="minorHAnsi" w:hAnsiTheme="minorHAnsi" w:cstheme="minorHAnsi"/>
                <w:sz w:val="22"/>
                <w:szCs w:val="22"/>
              </w:rPr>
            </w:pPr>
          </w:p>
          <w:p w14:paraId="15C1B234" w14:textId="217A0036" w:rsidR="00323011" w:rsidRPr="006438AB" w:rsidRDefault="00323011" w:rsidP="00323011">
            <w:pPr>
              <w:rPr>
                <w:rFonts w:asciiTheme="minorHAnsi" w:hAnsiTheme="minorHAnsi" w:cstheme="minorHAnsi"/>
                <w:sz w:val="22"/>
                <w:szCs w:val="22"/>
              </w:rPr>
            </w:pPr>
            <w:r w:rsidRPr="006438AB">
              <w:rPr>
                <w:rFonts w:asciiTheme="minorHAnsi" w:hAnsiTheme="minorHAnsi" w:cstheme="minorHAnsi"/>
                <w:sz w:val="22"/>
                <w:szCs w:val="22"/>
              </w:rPr>
              <w:t xml:space="preserve">Part 2 6(2) of the </w:t>
            </w:r>
            <w:r w:rsidR="003A0688">
              <w:rPr>
                <w:rFonts w:asciiTheme="minorHAnsi" w:hAnsiTheme="minorHAnsi" w:cstheme="minorHAnsi"/>
                <w:sz w:val="22"/>
                <w:szCs w:val="22"/>
              </w:rPr>
              <w:t>SSWA</w:t>
            </w:r>
            <w:r w:rsidR="003A0688">
              <w:rPr>
                <w:rFonts w:asciiTheme="minorHAnsi" w:hAnsiTheme="minorHAnsi" w:cstheme="minorHAnsi"/>
                <w:sz w:val="22"/>
                <w:szCs w:val="22"/>
              </w:rPr>
              <w:t xml:space="preserve"> </w:t>
            </w:r>
            <w:r w:rsidR="00611499">
              <w:rPr>
                <w:rFonts w:asciiTheme="minorHAnsi" w:hAnsiTheme="minorHAnsi" w:cstheme="minorHAnsi"/>
                <w:sz w:val="22"/>
                <w:szCs w:val="22"/>
              </w:rPr>
              <w:t>(W</w:t>
            </w:r>
            <w:r w:rsidR="003A0688">
              <w:rPr>
                <w:rFonts w:asciiTheme="minorHAnsi" w:hAnsiTheme="minorHAnsi" w:cstheme="minorHAnsi"/>
                <w:sz w:val="22"/>
                <w:szCs w:val="22"/>
              </w:rPr>
              <w:t>ales)</w:t>
            </w:r>
            <w:r w:rsidRPr="006438AB">
              <w:rPr>
                <w:rFonts w:asciiTheme="minorHAnsi" w:hAnsiTheme="minorHAnsi" w:cstheme="minorHAnsi"/>
                <w:sz w:val="22"/>
                <w:szCs w:val="22"/>
              </w:rPr>
              <w:t xml:space="preserve"> 2014 highlights the importance of a person-centred approach when working to safeguard adults. The rights of the adult should be considered and the adult’s wishes and feelings should be taken into account as far as </w:t>
            </w:r>
            <w:r w:rsidR="00FC180D">
              <w:rPr>
                <w:rFonts w:asciiTheme="minorHAnsi" w:hAnsiTheme="minorHAnsi" w:cstheme="minorHAnsi"/>
                <w:sz w:val="22"/>
                <w:szCs w:val="22"/>
              </w:rPr>
              <w:t>possible.</w:t>
            </w:r>
            <w:r w:rsidRPr="006438AB">
              <w:rPr>
                <w:rFonts w:asciiTheme="minorHAnsi" w:hAnsiTheme="minorHAnsi" w:cstheme="minorHAnsi"/>
                <w:sz w:val="22"/>
                <w:szCs w:val="22"/>
              </w:rPr>
              <w:t xml:space="preserve"> The Welsh safeguarding procedures also support our understanding of the steps taken within the safeguarding process. The legislation highlights the need to</w:t>
            </w:r>
            <w:r w:rsidR="00FC180D">
              <w:rPr>
                <w:rFonts w:asciiTheme="minorHAnsi" w:hAnsiTheme="minorHAnsi" w:cstheme="minorHAnsi"/>
                <w:sz w:val="22"/>
                <w:szCs w:val="22"/>
              </w:rPr>
              <w:t xml:space="preserve"> identify a concern, gather </w:t>
            </w:r>
            <w:r w:rsidRPr="006438AB">
              <w:rPr>
                <w:rFonts w:asciiTheme="minorHAnsi" w:hAnsiTheme="minorHAnsi" w:cstheme="minorHAnsi"/>
                <w:sz w:val="22"/>
                <w:szCs w:val="22"/>
              </w:rPr>
              <w:t>detail</w:t>
            </w:r>
            <w:r w:rsidR="00FC180D">
              <w:rPr>
                <w:rFonts w:asciiTheme="minorHAnsi" w:hAnsiTheme="minorHAnsi" w:cstheme="minorHAnsi"/>
                <w:sz w:val="22"/>
                <w:szCs w:val="22"/>
              </w:rPr>
              <w:t>s</w:t>
            </w:r>
            <w:r w:rsidRPr="006438AB">
              <w:rPr>
                <w:rFonts w:asciiTheme="minorHAnsi" w:hAnsiTheme="minorHAnsi" w:cstheme="minorHAnsi"/>
                <w:sz w:val="22"/>
                <w:szCs w:val="22"/>
              </w:rPr>
              <w:t xml:space="preserve">, assess and analyse, </w:t>
            </w:r>
            <w:r w:rsidR="00611499">
              <w:rPr>
                <w:rFonts w:asciiTheme="minorHAnsi" w:hAnsiTheme="minorHAnsi" w:cstheme="minorHAnsi"/>
                <w:sz w:val="22"/>
                <w:szCs w:val="22"/>
              </w:rPr>
              <w:t>make decisions</w:t>
            </w:r>
            <w:r w:rsidRPr="006438AB">
              <w:rPr>
                <w:rFonts w:asciiTheme="minorHAnsi" w:hAnsiTheme="minorHAnsi" w:cstheme="minorHAnsi"/>
                <w:sz w:val="22"/>
                <w:szCs w:val="22"/>
              </w:rPr>
              <w:t>, hig</w:t>
            </w:r>
            <w:r w:rsidR="00FC180D">
              <w:rPr>
                <w:rFonts w:asciiTheme="minorHAnsi" w:hAnsiTheme="minorHAnsi" w:cstheme="minorHAnsi"/>
                <w:sz w:val="22"/>
                <w:szCs w:val="22"/>
              </w:rPr>
              <w:t>hlight actions and assess</w:t>
            </w:r>
            <w:r w:rsidRPr="006438AB">
              <w:rPr>
                <w:rFonts w:asciiTheme="minorHAnsi" w:hAnsiTheme="minorHAnsi" w:cstheme="minorHAnsi"/>
                <w:sz w:val="22"/>
                <w:szCs w:val="22"/>
              </w:rPr>
              <w:t xml:space="preserve"> the appropriateness and success of the actions and interventions. Within my Local Authority, the single point of access team (SPOA) would be the appropriate service to report any concerns in relation to an adult at risk. This team receives referrals in the first instance and will assess whether further investigation is required and if threshold is met. </w:t>
            </w:r>
          </w:p>
          <w:p w14:paraId="42DE2F8F" w14:textId="77777777" w:rsidR="00323011" w:rsidRPr="006438AB" w:rsidRDefault="00323011" w:rsidP="00323011">
            <w:pPr>
              <w:rPr>
                <w:rFonts w:asciiTheme="minorHAnsi" w:hAnsiTheme="minorHAnsi" w:cstheme="minorHAnsi"/>
                <w:sz w:val="22"/>
                <w:szCs w:val="22"/>
              </w:rPr>
            </w:pPr>
          </w:p>
          <w:p w14:paraId="60D36367" w14:textId="1CFB2B41" w:rsidR="00323011" w:rsidRPr="006438AB" w:rsidRDefault="00323011" w:rsidP="00323011">
            <w:pPr>
              <w:rPr>
                <w:rFonts w:asciiTheme="minorHAnsi" w:hAnsiTheme="minorHAnsi" w:cstheme="minorHAnsi"/>
                <w:sz w:val="22"/>
                <w:szCs w:val="22"/>
              </w:rPr>
            </w:pPr>
            <w:r w:rsidRPr="006438AB">
              <w:rPr>
                <w:rFonts w:asciiTheme="minorHAnsi" w:hAnsiTheme="minorHAnsi" w:cstheme="minorHAnsi"/>
                <w:sz w:val="22"/>
                <w:szCs w:val="22"/>
              </w:rPr>
              <w:t xml:space="preserve">In a broader context and in areas such as England, the Care Act (2014) underpins safeguarding for adults. The Care Act (2014) puts emphasises on the local authorities responsibility to protect adults from any forms of abuse. In Wales, our regional safeguarding board was founded under the </w:t>
            </w:r>
            <w:r w:rsidR="003A0688">
              <w:rPr>
                <w:rFonts w:asciiTheme="minorHAnsi" w:hAnsiTheme="minorHAnsi" w:cstheme="minorHAnsi"/>
                <w:sz w:val="22"/>
                <w:szCs w:val="22"/>
              </w:rPr>
              <w:t>SSWA</w:t>
            </w:r>
            <w:r w:rsidR="003A0688" w:rsidRPr="006438AB">
              <w:rPr>
                <w:rFonts w:asciiTheme="minorHAnsi" w:hAnsiTheme="minorHAnsi" w:cstheme="minorHAnsi"/>
                <w:sz w:val="22"/>
                <w:szCs w:val="22"/>
              </w:rPr>
              <w:t xml:space="preserve"> </w:t>
            </w:r>
            <w:r w:rsidR="003A0688">
              <w:rPr>
                <w:rFonts w:asciiTheme="minorHAnsi" w:hAnsiTheme="minorHAnsi" w:cstheme="minorHAnsi"/>
                <w:sz w:val="22"/>
                <w:szCs w:val="22"/>
              </w:rPr>
              <w:t xml:space="preserve">(Wales) </w:t>
            </w:r>
            <w:r w:rsidRPr="006438AB">
              <w:rPr>
                <w:rFonts w:asciiTheme="minorHAnsi" w:hAnsiTheme="minorHAnsi" w:cstheme="minorHAnsi"/>
                <w:sz w:val="22"/>
                <w:szCs w:val="22"/>
              </w:rPr>
              <w:t>2014. The National Independent Safeguarding Board Wales highlight the role of the safeguarding board to ensure the effectiveness of the work completed in a</w:t>
            </w:r>
            <w:r w:rsidR="00FC180D">
              <w:rPr>
                <w:rFonts w:asciiTheme="minorHAnsi" w:hAnsiTheme="minorHAnsi" w:cstheme="minorHAnsi"/>
                <w:sz w:val="22"/>
                <w:szCs w:val="22"/>
              </w:rPr>
              <w:t>dults safeguarding and</w:t>
            </w:r>
            <w:r w:rsidRPr="006438AB">
              <w:rPr>
                <w:rFonts w:asciiTheme="minorHAnsi" w:hAnsiTheme="minorHAnsi" w:cstheme="minorHAnsi"/>
                <w:sz w:val="22"/>
                <w:szCs w:val="22"/>
              </w:rPr>
              <w:t xml:space="preserve"> areas of improvement within practice. </w:t>
            </w:r>
          </w:p>
          <w:p w14:paraId="28995A2F" w14:textId="77777777" w:rsidR="00323011" w:rsidRPr="006438AB" w:rsidRDefault="00323011" w:rsidP="00323011">
            <w:pPr>
              <w:rPr>
                <w:rFonts w:asciiTheme="minorHAnsi" w:hAnsiTheme="minorHAnsi" w:cstheme="minorHAnsi"/>
                <w:sz w:val="22"/>
                <w:szCs w:val="22"/>
              </w:rPr>
            </w:pPr>
            <w:bookmarkStart w:id="0" w:name="_GoBack"/>
            <w:bookmarkEnd w:id="0"/>
          </w:p>
          <w:p w14:paraId="1E2588E7" w14:textId="083F4DF7" w:rsidR="00323011" w:rsidRPr="006438AB" w:rsidRDefault="00323011" w:rsidP="00323011">
            <w:pPr>
              <w:rPr>
                <w:rFonts w:asciiTheme="minorHAnsi" w:hAnsiTheme="minorHAnsi" w:cstheme="minorHAnsi"/>
                <w:sz w:val="22"/>
                <w:szCs w:val="22"/>
              </w:rPr>
            </w:pPr>
            <w:r w:rsidRPr="006438AB">
              <w:rPr>
                <w:rFonts w:asciiTheme="minorHAnsi" w:hAnsiTheme="minorHAnsi" w:cstheme="minorHAnsi"/>
                <w:sz w:val="22"/>
                <w:szCs w:val="22"/>
              </w:rPr>
              <w:lastRenderedPageBreak/>
              <w:t>Practice within adult safeguarding is underpin</w:t>
            </w:r>
            <w:r w:rsidR="00FC180D">
              <w:rPr>
                <w:rFonts w:asciiTheme="minorHAnsi" w:hAnsiTheme="minorHAnsi" w:cstheme="minorHAnsi"/>
                <w:sz w:val="22"/>
                <w:szCs w:val="22"/>
              </w:rPr>
              <w:t xml:space="preserve">ned by an array of legislation, </w:t>
            </w:r>
            <w:r w:rsidRPr="006438AB">
              <w:rPr>
                <w:rFonts w:asciiTheme="minorHAnsi" w:hAnsiTheme="minorHAnsi" w:cstheme="minorHAnsi"/>
                <w:sz w:val="22"/>
                <w:szCs w:val="22"/>
              </w:rPr>
              <w:t xml:space="preserve">policies and procedures. The </w:t>
            </w:r>
            <w:r w:rsidR="00387690">
              <w:rPr>
                <w:rFonts w:asciiTheme="minorHAnsi" w:hAnsiTheme="minorHAnsi" w:cstheme="minorHAnsi"/>
                <w:sz w:val="22"/>
                <w:szCs w:val="22"/>
              </w:rPr>
              <w:t>M</w:t>
            </w:r>
            <w:r w:rsidRPr="006438AB">
              <w:rPr>
                <w:rFonts w:asciiTheme="minorHAnsi" w:hAnsiTheme="minorHAnsi" w:cstheme="minorHAnsi"/>
                <w:sz w:val="22"/>
                <w:szCs w:val="22"/>
              </w:rPr>
              <w:t>e</w:t>
            </w:r>
            <w:r w:rsidR="00387690">
              <w:rPr>
                <w:rFonts w:asciiTheme="minorHAnsi" w:hAnsiTheme="minorHAnsi" w:cstheme="minorHAnsi"/>
                <w:sz w:val="22"/>
                <w:szCs w:val="22"/>
              </w:rPr>
              <w:t>ntal Health Act (1983) and the M</w:t>
            </w:r>
            <w:r w:rsidRPr="006438AB">
              <w:rPr>
                <w:rFonts w:asciiTheme="minorHAnsi" w:hAnsiTheme="minorHAnsi" w:cstheme="minorHAnsi"/>
                <w:sz w:val="22"/>
                <w:szCs w:val="22"/>
              </w:rPr>
              <w:t xml:space="preserve">ental </w:t>
            </w:r>
            <w:r w:rsidR="00387690">
              <w:rPr>
                <w:rFonts w:asciiTheme="minorHAnsi" w:hAnsiTheme="minorHAnsi" w:cstheme="minorHAnsi"/>
                <w:sz w:val="22"/>
                <w:szCs w:val="22"/>
              </w:rPr>
              <w:t>C</w:t>
            </w:r>
            <w:r w:rsidRPr="006438AB">
              <w:rPr>
                <w:rFonts w:asciiTheme="minorHAnsi" w:hAnsiTheme="minorHAnsi" w:cstheme="minorHAnsi"/>
                <w:sz w:val="22"/>
                <w:szCs w:val="22"/>
              </w:rPr>
              <w:t>apacity</w:t>
            </w:r>
            <w:r w:rsidR="00387690">
              <w:rPr>
                <w:rFonts w:asciiTheme="minorHAnsi" w:hAnsiTheme="minorHAnsi" w:cstheme="minorHAnsi"/>
                <w:sz w:val="22"/>
                <w:szCs w:val="22"/>
              </w:rPr>
              <w:t xml:space="preserve"> A</w:t>
            </w:r>
            <w:r w:rsidRPr="006438AB">
              <w:rPr>
                <w:rFonts w:asciiTheme="minorHAnsi" w:hAnsiTheme="minorHAnsi" w:cstheme="minorHAnsi"/>
                <w:sz w:val="22"/>
                <w:szCs w:val="22"/>
              </w:rPr>
              <w:t xml:space="preserve">ct (2005) are common pieces of legislation adopted within adult services.  Both acts supports professionals to assess the capacity of an adult and therefore, is able to offer care, support and protection to vulnerable adults who may or may not lack capacity. </w:t>
            </w:r>
            <w:r w:rsidR="00387690">
              <w:rPr>
                <w:rFonts w:asciiTheme="minorHAnsi" w:hAnsiTheme="minorHAnsi" w:cstheme="minorHAnsi"/>
                <w:sz w:val="22"/>
                <w:szCs w:val="22"/>
              </w:rPr>
              <w:t>It is important to note that, an adult deemed to have capacity can refuse involvement and their consent must be given for care and support (Wales Safeguarding Procedures, 2025).</w:t>
            </w:r>
          </w:p>
          <w:p w14:paraId="2101D8DE" w14:textId="77777777" w:rsidR="00323011" w:rsidRPr="006438AB" w:rsidRDefault="00323011" w:rsidP="00323011">
            <w:pPr>
              <w:rPr>
                <w:rFonts w:asciiTheme="minorHAnsi" w:hAnsiTheme="minorHAnsi" w:cstheme="minorHAnsi"/>
                <w:sz w:val="22"/>
                <w:szCs w:val="22"/>
              </w:rPr>
            </w:pPr>
          </w:p>
          <w:p w14:paraId="5EE9730B" w14:textId="44A0C0A2" w:rsidR="00323011" w:rsidRDefault="00323011" w:rsidP="00323011">
            <w:pPr>
              <w:rPr>
                <w:rFonts w:asciiTheme="minorHAnsi" w:hAnsiTheme="minorHAnsi" w:cstheme="minorHAnsi"/>
                <w:sz w:val="22"/>
                <w:szCs w:val="22"/>
              </w:rPr>
            </w:pPr>
            <w:r w:rsidRPr="006438AB">
              <w:rPr>
                <w:rFonts w:asciiTheme="minorHAnsi" w:hAnsiTheme="minorHAnsi" w:cstheme="minorHAnsi"/>
                <w:sz w:val="22"/>
                <w:szCs w:val="22"/>
              </w:rPr>
              <w:t xml:space="preserve">Adult practice reviews play </w:t>
            </w:r>
            <w:r w:rsidR="00FC180D">
              <w:rPr>
                <w:rFonts w:asciiTheme="minorHAnsi" w:hAnsiTheme="minorHAnsi" w:cstheme="minorHAnsi"/>
                <w:sz w:val="22"/>
                <w:szCs w:val="22"/>
              </w:rPr>
              <w:t>a key role</w:t>
            </w:r>
            <w:r w:rsidRPr="006438AB">
              <w:rPr>
                <w:rFonts w:asciiTheme="minorHAnsi" w:hAnsiTheme="minorHAnsi" w:cstheme="minorHAnsi"/>
                <w:sz w:val="22"/>
                <w:szCs w:val="22"/>
              </w:rPr>
              <w:t xml:space="preserve"> in supporting services and individuals to identify the challenges faced </w:t>
            </w:r>
            <w:r w:rsidR="00FC180D">
              <w:rPr>
                <w:rFonts w:asciiTheme="minorHAnsi" w:hAnsiTheme="minorHAnsi" w:cstheme="minorHAnsi"/>
                <w:sz w:val="22"/>
                <w:szCs w:val="22"/>
              </w:rPr>
              <w:t>and learning opportunities.</w:t>
            </w:r>
            <w:r w:rsidRPr="006438AB">
              <w:rPr>
                <w:rFonts w:asciiTheme="minorHAnsi" w:hAnsiTheme="minorHAnsi" w:cstheme="minorHAnsi"/>
                <w:sz w:val="22"/>
                <w:szCs w:val="22"/>
              </w:rPr>
              <w:t xml:space="preserve"> McManus et al (2025)’ research discussing the strengthening of safeguarding in Wales outlines 5 areas that require improvement:</w:t>
            </w:r>
            <w:r w:rsidR="00611499">
              <w:rPr>
                <w:rFonts w:asciiTheme="minorHAnsi" w:hAnsiTheme="minorHAnsi" w:cstheme="minorHAnsi"/>
                <w:sz w:val="22"/>
                <w:szCs w:val="22"/>
              </w:rPr>
              <w:t xml:space="preserve"> a</w:t>
            </w:r>
            <w:r w:rsidRPr="006438AB">
              <w:rPr>
                <w:rFonts w:asciiTheme="minorHAnsi" w:hAnsiTheme="minorHAnsi" w:cstheme="minorHAnsi"/>
                <w:sz w:val="22"/>
                <w:szCs w:val="22"/>
              </w:rPr>
              <w:t xml:space="preserve"> person centred approach, collaborative working, recommendations, workforce support and advocacy/mental capacity. From this report, as with a number of services, there continue</w:t>
            </w:r>
            <w:r w:rsidR="00FC180D">
              <w:rPr>
                <w:rFonts w:asciiTheme="minorHAnsi" w:hAnsiTheme="minorHAnsi" w:cstheme="minorHAnsi"/>
                <w:sz w:val="22"/>
                <w:szCs w:val="22"/>
              </w:rPr>
              <w:t>s</w:t>
            </w:r>
            <w:r w:rsidRPr="006438AB">
              <w:rPr>
                <w:rFonts w:asciiTheme="minorHAnsi" w:hAnsiTheme="minorHAnsi" w:cstheme="minorHAnsi"/>
                <w:sz w:val="22"/>
                <w:szCs w:val="22"/>
              </w:rPr>
              <w:t xml:space="preserve"> to be areas for improvement to ensure the thorough and timely assessment in safeguarding adults at risk. </w:t>
            </w:r>
          </w:p>
          <w:p w14:paraId="3B1B50C1" w14:textId="449616EC" w:rsidR="00323011" w:rsidRDefault="00323011" w:rsidP="00323011">
            <w:pPr>
              <w:rPr>
                <w:rFonts w:asciiTheme="minorHAnsi" w:hAnsiTheme="minorHAnsi" w:cstheme="minorHAnsi"/>
                <w:sz w:val="22"/>
                <w:szCs w:val="22"/>
              </w:rPr>
            </w:pPr>
          </w:p>
          <w:p w14:paraId="4CFA3A85" w14:textId="3C8D14CF" w:rsidR="00323011" w:rsidRPr="00323011" w:rsidRDefault="003A0688" w:rsidP="00323011">
            <w:pPr>
              <w:rPr>
                <w:rFonts w:asciiTheme="minorHAnsi" w:hAnsiTheme="minorHAnsi" w:cstheme="minorHAnsi"/>
                <w:b/>
                <w:sz w:val="22"/>
                <w:szCs w:val="22"/>
              </w:rPr>
            </w:pPr>
            <w:r>
              <w:rPr>
                <w:rFonts w:asciiTheme="minorHAnsi" w:hAnsiTheme="minorHAnsi" w:cstheme="minorHAnsi"/>
                <w:b/>
                <w:sz w:val="22"/>
                <w:szCs w:val="22"/>
              </w:rPr>
              <w:t>Word count: 550</w:t>
            </w:r>
          </w:p>
          <w:p w14:paraId="3CEF6841" w14:textId="77777777" w:rsidR="00323011" w:rsidRPr="00323011" w:rsidRDefault="00323011" w:rsidP="00323011">
            <w:pPr>
              <w:rPr>
                <w:rFonts w:asciiTheme="minorHAnsi" w:hAnsiTheme="minorHAnsi" w:cstheme="minorHAnsi"/>
                <w:b/>
                <w:sz w:val="22"/>
                <w:szCs w:val="22"/>
              </w:rPr>
            </w:pPr>
          </w:p>
          <w:p w14:paraId="03BD6D93" w14:textId="5A89F3D8" w:rsidR="00323011" w:rsidRPr="008B28E7" w:rsidRDefault="00323011"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38BF787" w14:textId="4D57540A" w:rsidR="00FC0334" w:rsidRPr="006108C9" w:rsidRDefault="00FC0334" w:rsidP="00FC0334">
            <w:pPr>
              <w:jc w:val="both"/>
              <w:rPr>
                <w:sz w:val="24"/>
                <w:szCs w:val="24"/>
              </w:rPr>
            </w:pPr>
          </w:p>
          <w:p w14:paraId="11D76A88" w14:textId="1DDF61FC" w:rsidR="00323011"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326B6C92" w14:textId="666B528B" w:rsidR="00323011" w:rsidRDefault="00323011" w:rsidP="00FC0334">
            <w:pPr>
              <w:jc w:val="both"/>
              <w:rPr>
                <w:i/>
                <w:sz w:val="24"/>
                <w:szCs w:val="24"/>
              </w:rPr>
            </w:pPr>
          </w:p>
          <w:p w14:paraId="0231C85F" w14:textId="4BDBF6AF" w:rsidR="00323011" w:rsidRPr="006438AB" w:rsidRDefault="00323011" w:rsidP="00323011">
            <w:pPr>
              <w:rPr>
                <w:rFonts w:asciiTheme="minorHAnsi" w:hAnsiTheme="minorHAnsi" w:cstheme="minorHAnsi"/>
                <w:sz w:val="22"/>
                <w:szCs w:val="22"/>
              </w:rPr>
            </w:pPr>
            <w:r w:rsidRPr="006438AB">
              <w:rPr>
                <w:rFonts w:asciiTheme="minorHAnsi" w:hAnsiTheme="minorHAnsi" w:cstheme="minorHAnsi"/>
                <w:sz w:val="22"/>
                <w:szCs w:val="22"/>
              </w:rPr>
              <w:t>When reflecting on the differences between adults safeguarding and children’s safeguarding, one of the most prevalent differences is that of capacity. For adults, legislation allows adults the right to self-determine and therefore, the ability to make ‘unwise’ decisions.</w:t>
            </w:r>
            <w:r w:rsidR="00387690">
              <w:rPr>
                <w:rFonts w:asciiTheme="minorHAnsi" w:hAnsiTheme="minorHAnsi" w:cstheme="minorHAnsi"/>
                <w:sz w:val="22"/>
                <w:szCs w:val="22"/>
              </w:rPr>
              <w:t xml:space="preserve"> An ‘unwise’ decision would be considered as a choice not in the best interest of the person but based on their own beliefs</w:t>
            </w:r>
            <w:r w:rsidR="00FC180D">
              <w:rPr>
                <w:rFonts w:asciiTheme="minorHAnsi" w:hAnsiTheme="minorHAnsi" w:cstheme="minorHAnsi"/>
                <w:sz w:val="22"/>
                <w:szCs w:val="22"/>
              </w:rPr>
              <w:t xml:space="preserve"> (SCIE, 2022).</w:t>
            </w:r>
            <w:r w:rsidRPr="006438AB">
              <w:rPr>
                <w:rFonts w:asciiTheme="minorHAnsi" w:hAnsiTheme="minorHAnsi" w:cstheme="minorHAnsi"/>
                <w:sz w:val="22"/>
                <w:szCs w:val="22"/>
              </w:rPr>
              <w:t xml:space="preserve"> Under the mental capacity act (2005) an individual is assumed to have capacity to make their own decisions however, if there is proportionate reason to believe an individual does not have capacity, an assessment may be undertaken. In contrast to this, legislation relating to the safeguarding of a child understands a child’s capacity to grow and develop as they age. The social services and well-being (Wales) act 2014 shines emphasis on the duty of the local authority to intervene should it be felt that a child is or could be at risk of significant harm (Children’s act 1989). </w:t>
            </w:r>
          </w:p>
          <w:p w14:paraId="4AE09A3C" w14:textId="77777777" w:rsidR="00323011" w:rsidRPr="006438AB" w:rsidRDefault="00323011" w:rsidP="00323011">
            <w:pPr>
              <w:rPr>
                <w:rFonts w:asciiTheme="minorHAnsi" w:hAnsiTheme="minorHAnsi" w:cstheme="minorHAnsi"/>
                <w:sz w:val="22"/>
                <w:szCs w:val="22"/>
              </w:rPr>
            </w:pPr>
          </w:p>
          <w:p w14:paraId="2589D2B5" w14:textId="77777777" w:rsidR="00323011" w:rsidRPr="006438AB" w:rsidRDefault="00323011" w:rsidP="00323011">
            <w:pPr>
              <w:rPr>
                <w:rFonts w:asciiTheme="minorHAnsi" w:hAnsiTheme="minorHAnsi" w:cstheme="minorHAnsi"/>
                <w:sz w:val="22"/>
                <w:szCs w:val="22"/>
              </w:rPr>
            </w:pPr>
            <w:r w:rsidRPr="006438AB">
              <w:rPr>
                <w:rFonts w:asciiTheme="minorHAnsi" w:hAnsiTheme="minorHAnsi" w:cstheme="minorHAnsi"/>
                <w:sz w:val="22"/>
                <w:szCs w:val="22"/>
              </w:rPr>
              <w:t>It is worth noting that, in relation to medical treatment, within children’s legislation, Gillick competence is considered. A professional would adopt the Fraser guidelines and criteria when assessing if a child is Gillick competence. Gillick competence refers to a child being able to consent to their own medical treatment should it be deemed that they are fully understanding of the information shared and are therefore competent to make the appropriate and safe decision (NSPCC, 2022).</w:t>
            </w:r>
          </w:p>
          <w:p w14:paraId="33652B3E" w14:textId="77777777" w:rsidR="00323011" w:rsidRPr="006438AB" w:rsidRDefault="00323011" w:rsidP="00323011">
            <w:pPr>
              <w:rPr>
                <w:rFonts w:asciiTheme="minorHAnsi" w:hAnsiTheme="minorHAnsi" w:cstheme="minorHAnsi"/>
                <w:sz w:val="22"/>
                <w:szCs w:val="22"/>
              </w:rPr>
            </w:pPr>
          </w:p>
          <w:p w14:paraId="4B38B9EC" w14:textId="26E933F8" w:rsidR="00323011" w:rsidRPr="006438AB" w:rsidRDefault="00323011" w:rsidP="00323011">
            <w:pPr>
              <w:rPr>
                <w:rFonts w:asciiTheme="minorHAnsi" w:hAnsiTheme="minorHAnsi" w:cstheme="minorHAnsi"/>
                <w:sz w:val="22"/>
                <w:szCs w:val="22"/>
              </w:rPr>
            </w:pPr>
            <w:r w:rsidRPr="006438AB">
              <w:rPr>
                <w:rFonts w:asciiTheme="minorHAnsi" w:hAnsiTheme="minorHAnsi" w:cstheme="minorHAnsi"/>
                <w:sz w:val="22"/>
                <w:szCs w:val="22"/>
              </w:rPr>
              <w:t xml:space="preserve">In addition to capacity, consent is also a key difference between adult and children’s social care legislation and guidance. If a professional deems an adult to have capacity, then consent is required when providing care and support. If a professional was of the view that the adult lacked capacity, the professional would need to begin an assessment under the Mental Capacity Act (2005) and act in the adult’s best interest. The interventions and support available to adults must be discussed with adults and their wishes and feelings </w:t>
            </w:r>
            <w:r w:rsidRPr="006438AB">
              <w:rPr>
                <w:rFonts w:asciiTheme="minorHAnsi" w:hAnsiTheme="minorHAnsi" w:cstheme="minorHAnsi"/>
                <w:sz w:val="22"/>
                <w:szCs w:val="22"/>
              </w:rPr>
              <w:lastRenderedPageBreak/>
              <w:t>must be considered. This can be a challenging concept when an adult may clearly be at risk however, is refusing care and support. Conversely, with</w:t>
            </w:r>
            <w:r w:rsidR="00611499">
              <w:rPr>
                <w:rFonts w:asciiTheme="minorHAnsi" w:hAnsiTheme="minorHAnsi" w:cstheme="minorHAnsi"/>
                <w:sz w:val="22"/>
                <w:szCs w:val="22"/>
              </w:rPr>
              <w:t>in</w:t>
            </w:r>
            <w:r w:rsidRPr="006438AB">
              <w:rPr>
                <w:rFonts w:asciiTheme="minorHAnsi" w:hAnsiTheme="minorHAnsi" w:cstheme="minorHAnsi"/>
                <w:sz w:val="22"/>
                <w:szCs w:val="22"/>
              </w:rPr>
              <w:t xml:space="preserve"> children’s social care, the law can stipulate that the Local Authority has parental responsibility for a child when a full care order is granted under the Children’s Act (1989). This parental responsibility is shared with the parents of the child. When consent is necessary, this can be discussed with the parent however, if concerns are evident, the Local Authority can exercise their parental responsibility in order to protect the child from further significant harm. </w:t>
            </w:r>
          </w:p>
          <w:p w14:paraId="3E4A9BA0" w14:textId="1A79E739" w:rsidR="00323011" w:rsidRDefault="00323011" w:rsidP="00FC0334">
            <w:pPr>
              <w:jc w:val="both"/>
              <w:rPr>
                <w:i/>
                <w:sz w:val="24"/>
                <w:szCs w:val="24"/>
              </w:rPr>
            </w:pPr>
          </w:p>
          <w:p w14:paraId="51A82F2D" w14:textId="269C1EDC" w:rsidR="00323011" w:rsidRPr="00323011" w:rsidRDefault="00FC180D" w:rsidP="00FC0334">
            <w:pPr>
              <w:jc w:val="both"/>
              <w:rPr>
                <w:rFonts w:asciiTheme="minorHAnsi" w:hAnsiTheme="minorHAnsi" w:cstheme="minorHAnsi"/>
                <w:b/>
                <w:sz w:val="22"/>
                <w:szCs w:val="22"/>
              </w:rPr>
            </w:pPr>
            <w:r>
              <w:rPr>
                <w:rFonts w:asciiTheme="minorHAnsi" w:hAnsiTheme="minorHAnsi" w:cstheme="minorHAnsi"/>
                <w:b/>
                <w:sz w:val="22"/>
                <w:szCs w:val="22"/>
              </w:rPr>
              <w:t>Word count: 422</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4BB8F36" w16cex:dateUtc="2025-10-07T14:52:00Z"/>
  <w16cex:commentExtensible w16cex:durableId="2F0C643A" w16cex:dateUtc="2025-10-07T14:56:00Z"/>
  <w16cex:commentExtensible w16cex:durableId="5A1887C2" w16cex:dateUtc="2025-10-07T14:55:00Z"/>
  <w16cex:commentExtensible w16cex:durableId="46D32502" w16cex:dateUtc="2025-10-07T14: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26413FF" w16cid:durableId="64BB8F36"/>
  <w16cid:commentId w16cid:paraId="01E1C6DD" w16cid:durableId="2F0C643A"/>
  <w16cid:commentId w16cid:paraId="653AEEBB" w16cid:durableId="5A1887C2"/>
  <w16cid:commentId w16cid:paraId="04601B3B" w16cid:durableId="46D32502"/>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556CD1C" w:rsidR="00A5656A" w:rsidRDefault="00A5656A">
    <w:pPr>
      <w:pStyle w:val="Footer"/>
      <w:jc w:val="right"/>
    </w:pPr>
    <w:r>
      <w:fldChar w:fldCharType="begin"/>
    </w:r>
    <w:r>
      <w:instrText xml:space="preserve"> PAGE   \* MERGEFORMAT </w:instrText>
    </w:r>
    <w:r>
      <w:fldChar w:fldCharType="separate"/>
    </w:r>
    <w:r w:rsidR="003A0688">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722"/>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3011"/>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7690"/>
    <w:rsid w:val="00390074"/>
    <w:rsid w:val="00392F73"/>
    <w:rsid w:val="00393600"/>
    <w:rsid w:val="0039762B"/>
    <w:rsid w:val="003A0688"/>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50B3"/>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149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6F69"/>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4D9A"/>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16BA"/>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180D"/>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microsoft.com/office/2016/09/relationships/commentsIds" Target="commentsIds.xml"/><Relationship Id="rId2" Type="http://schemas.openxmlformats.org/officeDocument/2006/relationships/customXml" Target="../customXml/item2.xml"/><Relationship Id="rId16"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F6AD9820481C47915963A0E76EFC25" ma:contentTypeVersion="4" ma:contentTypeDescription="Create a new document." ma:contentTypeScope="" ma:versionID="060fc6f6b958a92ba1c7062474f7ca86">
  <xsd:schema xmlns:xsd="http://www.w3.org/2001/XMLSchema" xmlns:xs="http://www.w3.org/2001/XMLSchema" xmlns:p="http://schemas.microsoft.com/office/2006/metadata/properties" xmlns:ns3="5480b724-9f67-4efc-ba60-54e0abc06203" targetNamespace="http://schemas.microsoft.com/office/2006/metadata/properties" ma:root="true" ma:fieldsID="e110f491b0de66663e62aab167db3acc" ns3:_="">
    <xsd:import namespace="5480b724-9f67-4efc-ba60-54e0abc0620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80b724-9f67-4efc-ba60-54e0abc0620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53E13E-756E-47B5-8907-2E19C4C53E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80b724-9f67-4efc-ba60-54e0abc062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4A94D4D-998A-49AC-BEB1-FB73857F2E44}">
  <ds:schemaRef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purl.org/dc/terms/"/>
    <ds:schemaRef ds:uri="5480b724-9f67-4efc-ba60-54e0abc06203"/>
    <ds:schemaRef ds:uri="http://www.w3.org/XML/1998/namespace"/>
  </ds:schemaRefs>
</ds:datastoreItem>
</file>

<file path=customXml/itemProps4.xml><?xml version="1.0" encoding="utf-8"?>
<ds:datastoreItem xmlns:ds="http://schemas.openxmlformats.org/officeDocument/2006/customXml" ds:itemID="{76416DFF-B843-4A55-8025-F5712FC00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1178</Words>
  <Characters>6338</Characters>
  <Application>Microsoft Office Word</Application>
  <DocSecurity>4</DocSecurity>
  <Lines>52</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Vaughan</cp:lastModifiedBy>
  <cp:revision>2</cp:revision>
  <cp:lastPrinted>2020-02-11T19:20:00Z</cp:lastPrinted>
  <dcterms:created xsi:type="dcterms:W3CDTF">2025-10-07T15:34:00Z</dcterms:created>
  <dcterms:modified xsi:type="dcterms:W3CDTF">2025-10-07T15:34:00Z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0x010100A8F6AD9820481C47915963A0E76EFC25</vt:lpwstr>
  </property>
</Properties>
</file>