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0A8B5" w14:textId="77777777" w:rsidR="004C14B5" w:rsidRPr="00695EBE" w:rsidRDefault="004C14B5">
      <w:pPr>
        <w:rPr>
          <w:noProof/>
          <w:lang w:val="en-GB"/>
        </w:rPr>
      </w:pPr>
    </w:p>
    <w:p w14:paraId="1D55202B" w14:textId="77777777" w:rsidR="004C14B5" w:rsidRPr="00695EBE" w:rsidRDefault="004C14B5">
      <w:pPr>
        <w:rPr>
          <w:noProof/>
          <w:lang w:val="en-GB"/>
        </w:rPr>
      </w:pPr>
    </w:p>
    <w:p w14:paraId="65BFC133" w14:textId="77777777" w:rsidR="004C14B5" w:rsidRPr="00695EBE" w:rsidRDefault="004C14B5">
      <w:pPr>
        <w:rPr>
          <w:noProof/>
          <w:lang w:val="en-GB"/>
        </w:rPr>
      </w:pPr>
    </w:p>
    <w:p w14:paraId="0863A87C" w14:textId="77777777" w:rsidR="004C14B5" w:rsidRPr="00695EBE" w:rsidRDefault="004C14B5">
      <w:pPr>
        <w:rPr>
          <w:noProof/>
          <w:lang w:val="en-GB"/>
        </w:rPr>
      </w:pPr>
    </w:p>
    <w:p w14:paraId="7243402F" w14:textId="77777777" w:rsidR="004C14B5" w:rsidRPr="00695EBE" w:rsidRDefault="004C14B5">
      <w:pPr>
        <w:rPr>
          <w:noProof/>
          <w:lang w:val="en-GB"/>
        </w:rPr>
      </w:pPr>
    </w:p>
    <w:p w14:paraId="1902528C" w14:textId="77777777" w:rsidR="004C14B5" w:rsidRPr="00695EBE" w:rsidRDefault="004C14B5">
      <w:pPr>
        <w:rPr>
          <w:noProof/>
          <w:lang w:val="en-GB"/>
        </w:rPr>
      </w:pPr>
    </w:p>
    <w:p w14:paraId="2B8D7E98" w14:textId="77777777" w:rsidR="00981AAE" w:rsidRPr="006B2CBF" w:rsidRDefault="00981AAE" w:rsidP="00981AAE">
      <w:pPr>
        <w:spacing w:after="120" w:line="360" w:lineRule="auto"/>
        <w:jc w:val="center"/>
        <w:rPr>
          <w:b/>
          <w:bCs/>
          <w:color w:val="000000" w:themeColor="text1"/>
          <w:sz w:val="32"/>
          <w:szCs w:val="32"/>
        </w:rPr>
      </w:pPr>
      <w:r w:rsidRPr="006B2CBF">
        <w:rPr>
          <w:b/>
          <w:bCs/>
          <w:color w:val="000000" w:themeColor="text1"/>
          <w:sz w:val="32"/>
          <w:szCs w:val="32"/>
        </w:rPr>
        <w:t>Entrepreneurship</w:t>
      </w:r>
    </w:p>
    <w:p w14:paraId="6E3E4D5B" w14:textId="77777777" w:rsidR="00981AAE" w:rsidRPr="006B2CBF" w:rsidRDefault="00981AAE" w:rsidP="00981AAE">
      <w:pPr>
        <w:spacing w:after="120" w:line="360" w:lineRule="auto"/>
        <w:jc w:val="center"/>
        <w:rPr>
          <w:b/>
          <w:bCs/>
          <w:color w:val="000000" w:themeColor="text1"/>
          <w:sz w:val="32"/>
          <w:szCs w:val="32"/>
        </w:rPr>
      </w:pPr>
      <w:r w:rsidRPr="006B2CBF">
        <w:rPr>
          <w:b/>
          <w:bCs/>
          <w:color w:val="000000" w:themeColor="text1"/>
          <w:sz w:val="32"/>
          <w:szCs w:val="32"/>
        </w:rPr>
        <w:t>LCBB5013</w:t>
      </w:r>
    </w:p>
    <w:p w14:paraId="672A887A" w14:textId="77777777" w:rsidR="00981AAE" w:rsidRPr="006B2CBF" w:rsidRDefault="00981AAE" w:rsidP="00981AAE">
      <w:pPr>
        <w:spacing w:after="120" w:line="360" w:lineRule="auto"/>
        <w:jc w:val="center"/>
        <w:rPr>
          <w:b/>
          <w:bCs/>
          <w:color w:val="000000" w:themeColor="text1"/>
          <w:sz w:val="32"/>
          <w:szCs w:val="32"/>
        </w:rPr>
      </w:pPr>
      <w:r w:rsidRPr="006B2CBF">
        <w:rPr>
          <w:b/>
          <w:bCs/>
          <w:color w:val="000000" w:themeColor="text1"/>
          <w:sz w:val="32"/>
          <w:szCs w:val="32"/>
        </w:rPr>
        <w:t>Aso Abdullah</w:t>
      </w:r>
    </w:p>
    <w:p w14:paraId="65C2AA3A" w14:textId="77777777" w:rsidR="00981AAE" w:rsidRPr="006B2CBF" w:rsidRDefault="00981AAE" w:rsidP="00981AAE">
      <w:pPr>
        <w:spacing w:after="120" w:line="360" w:lineRule="auto"/>
        <w:jc w:val="center"/>
        <w:rPr>
          <w:b/>
          <w:bCs/>
          <w:color w:val="000000" w:themeColor="text1"/>
          <w:sz w:val="32"/>
          <w:szCs w:val="32"/>
        </w:rPr>
      </w:pPr>
      <w:r w:rsidRPr="006B2CBF">
        <w:rPr>
          <w:b/>
          <w:bCs/>
          <w:color w:val="000000" w:themeColor="text1"/>
          <w:sz w:val="32"/>
          <w:szCs w:val="32"/>
        </w:rPr>
        <w:t>Business Plan Development</w:t>
      </w:r>
    </w:p>
    <w:p w14:paraId="78096136" w14:textId="77777777" w:rsidR="00981AAE" w:rsidRDefault="00981AAE" w:rsidP="00981AAE">
      <w:pPr>
        <w:spacing w:after="120" w:line="360" w:lineRule="auto"/>
        <w:jc w:val="center"/>
        <w:rPr>
          <w:b/>
          <w:bCs/>
          <w:i/>
          <w:iCs/>
          <w:color w:val="000000" w:themeColor="text1"/>
          <w:sz w:val="32"/>
          <w:szCs w:val="32"/>
        </w:rPr>
      </w:pPr>
      <w:r w:rsidRPr="008807E0">
        <w:rPr>
          <w:b/>
          <w:bCs/>
          <w:color w:val="000000" w:themeColor="text1"/>
          <w:sz w:val="32"/>
          <w:szCs w:val="32"/>
        </w:rPr>
        <w:t xml:space="preserve">Too Good </w:t>
      </w:r>
      <w:proofErr w:type="gramStart"/>
      <w:r>
        <w:rPr>
          <w:b/>
          <w:bCs/>
          <w:color w:val="000000" w:themeColor="text1"/>
          <w:sz w:val="32"/>
          <w:szCs w:val="32"/>
        </w:rPr>
        <w:t>T</w:t>
      </w:r>
      <w:r w:rsidRPr="008807E0">
        <w:rPr>
          <w:b/>
          <w:bCs/>
          <w:color w:val="000000" w:themeColor="text1"/>
          <w:sz w:val="32"/>
          <w:szCs w:val="32"/>
        </w:rPr>
        <w:t>o</w:t>
      </w:r>
      <w:proofErr w:type="gramEnd"/>
      <w:r w:rsidRPr="008807E0">
        <w:rPr>
          <w:b/>
          <w:bCs/>
          <w:color w:val="000000" w:themeColor="text1"/>
          <w:sz w:val="32"/>
          <w:szCs w:val="32"/>
        </w:rPr>
        <w:t xml:space="preserve"> Go </w:t>
      </w:r>
      <w:proofErr w:type="spellStart"/>
      <w:r w:rsidRPr="008807E0">
        <w:rPr>
          <w:b/>
          <w:bCs/>
          <w:color w:val="000000" w:themeColor="text1"/>
          <w:sz w:val="32"/>
          <w:szCs w:val="32"/>
        </w:rPr>
        <w:t>ApS</w:t>
      </w:r>
      <w:proofErr w:type="spellEnd"/>
      <w:r w:rsidRPr="008807E0">
        <w:rPr>
          <w:b/>
          <w:bCs/>
          <w:i/>
          <w:iCs/>
          <w:color w:val="000000" w:themeColor="text1"/>
          <w:sz w:val="32"/>
          <w:szCs w:val="32"/>
        </w:rPr>
        <w:t xml:space="preserve"> </w:t>
      </w:r>
    </w:p>
    <w:p w14:paraId="1E4B0D43" w14:textId="77777777" w:rsidR="00981AAE" w:rsidRPr="006B2CBF" w:rsidRDefault="00981AAE" w:rsidP="00981AAE">
      <w:pPr>
        <w:spacing w:after="120" w:line="360" w:lineRule="auto"/>
        <w:jc w:val="center"/>
        <w:rPr>
          <w:b/>
          <w:bCs/>
          <w:color w:val="000000" w:themeColor="text1"/>
          <w:sz w:val="32"/>
          <w:szCs w:val="32"/>
        </w:rPr>
      </w:pPr>
      <w:r w:rsidRPr="006B2CBF">
        <w:rPr>
          <w:b/>
          <w:bCs/>
          <w:color w:val="000000" w:themeColor="text1"/>
          <w:sz w:val="32"/>
          <w:szCs w:val="32"/>
        </w:rPr>
        <w:t>Dragos Nedelcu</w:t>
      </w:r>
    </w:p>
    <w:p w14:paraId="40488AF9" w14:textId="77777777" w:rsidR="00981AAE" w:rsidRDefault="00981AAE" w:rsidP="00981AAE">
      <w:pPr>
        <w:spacing w:after="120" w:line="360" w:lineRule="auto"/>
        <w:jc w:val="center"/>
        <w:rPr>
          <w:b/>
          <w:bCs/>
          <w:color w:val="000000" w:themeColor="text1"/>
          <w:sz w:val="32"/>
          <w:szCs w:val="32"/>
        </w:rPr>
      </w:pPr>
      <w:r w:rsidRPr="006B2CBF">
        <w:rPr>
          <w:b/>
          <w:bCs/>
          <w:color w:val="000000" w:themeColor="text1"/>
          <w:sz w:val="32"/>
          <w:szCs w:val="32"/>
        </w:rPr>
        <w:t>2323249</w:t>
      </w:r>
    </w:p>
    <w:p w14:paraId="79257D6B" w14:textId="77777777" w:rsidR="00981AAE" w:rsidRDefault="00981AAE" w:rsidP="00981AAE">
      <w:pPr>
        <w:spacing w:after="120" w:line="360" w:lineRule="auto"/>
        <w:jc w:val="center"/>
        <w:rPr>
          <w:b/>
          <w:bCs/>
          <w:color w:val="000000" w:themeColor="text1"/>
          <w:sz w:val="32"/>
          <w:szCs w:val="32"/>
        </w:rPr>
      </w:pPr>
    </w:p>
    <w:p w14:paraId="29FBA0D5" w14:textId="77777777" w:rsidR="00981AAE" w:rsidRDefault="00981AAE" w:rsidP="00981AAE">
      <w:pPr>
        <w:spacing w:after="120" w:line="360" w:lineRule="auto"/>
        <w:jc w:val="center"/>
        <w:rPr>
          <w:b/>
          <w:bCs/>
          <w:color w:val="000000" w:themeColor="text1"/>
          <w:sz w:val="32"/>
          <w:szCs w:val="32"/>
        </w:rPr>
      </w:pPr>
    </w:p>
    <w:p w14:paraId="500C52DB" w14:textId="77777777" w:rsidR="00981AAE" w:rsidRDefault="00981AAE" w:rsidP="00981AAE">
      <w:pPr>
        <w:spacing w:after="120" w:line="360" w:lineRule="auto"/>
        <w:jc w:val="center"/>
        <w:rPr>
          <w:b/>
          <w:bCs/>
          <w:color w:val="000000" w:themeColor="text1"/>
          <w:sz w:val="32"/>
          <w:szCs w:val="32"/>
        </w:rPr>
      </w:pPr>
    </w:p>
    <w:p w14:paraId="647C2282" w14:textId="77777777" w:rsidR="00981AAE" w:rsidRDefault="00981AAE" w:rsidP="00981AAE">
      <w:pPr>
        <w:spacing w:after="120" w:line="360" w:lineRule="auto"/>
        <w:jc w:val="center"/>
        <w:rPr>
          <w:b/>
          <w:bCs/>
          <w:color w:val="000000" w:themeColor="text1"/>
          <w:sz w:val="32"/>
          <w:szCs w:val="32"/>
        </w:rPr>
      </w:pPr>
    </w:p>
    <w:p w14:paraId="2B394E22" w14:textId="77777777" w:rsidR="00981AAE" w:rsidRDefault="00981AAE" w:rsidP="00981AAE">
      <w:pPr>
        <w:spacing w:after="120" w:line="360" w:lineRule="auto"/>
        <w:jc w:val="center"/>
        <w:rPr>
          <w:b/>
          <w:bCs/>
          <w:color w:val="000000" w:themeColor="text1"/>
          <w:sz w:val="32"/>
          <w:szCs w:val="32"/>
        </w:rPr>
      </w:pPr>
    </w:p>
    <w:p w14:paraId="098F8332" w14:textId="77777777" w:rsidR="00981AAE" w:rsidRPr="006B2CBF" w:rsidRDefault="00981AAE" w:rsidP="00981AAE">
      <w:pPr>
        <w:spacing w:after="120" w:line="360" w:lineRule="auto"/>
        <w:jc w:val="center"/>
        <w:rPr>
          <w:b/>
          <w:bCs/>
          <w:color w:val="000000" w:themeColor="text1"/>
          <w:sz w:val="32"/>
          <w:szCs w:val="32"/>
        </w:rPr>
      </w:pPr>
    </w:p>
    <w:p w14:paraId="2A707975" w14:textId="77777777" w:rsidR="004C14B5" w:rsidRPr="00695EBE" w:rsidRDefault="00B355DF">
      <w:pPr>
        <w:pStyle w:val="Heading1"/>
        <w:spacing w:before="240" w:after="160" w:line="360" w:lineRule="auto"/>
        <w:rPr>
          <w:noProof/>
          <w:lang w:val="en-GB"/>
        </w:rPr>
      </w:pPr>
      <w:r w:rsidRPr="00695EBE">
        <w:rPr>
          <w:rFonts w:ascii="Arial" w:hAnsi="Arial"/>
          <w:noProof/>
          <w:color w:val="1B5E20"/>
          <w:sz w:val="32"/>
          <w:lang w:val="en-GB"/>
        </w:rPr>
        <w:lastRenderedPageBreak/>
        <w:t>Element 6: Reflection</w:t>
      </w:r>
    </w:p>
    <w:p w14:paraId="0CC898D2" w14:textId="1CE324A9" w:rsidR="008638CE" w:rsidRPr="00695EBE" w:rsidRDefault="008638CE" w:rsidP="008638CE">
      <w:pPr>
        <w:spacing w:after="160" w:line="360" w:lineRule="auto"/>
        <w:jc w:val="both"/>
        <w:rPr>
          <w:noProof/>
          <w:lang w:val="en-GB"/>
        </w:rPr>
      </w:pPr>
      <w:r w:rsidRPr="00695EBE">
        <w:rPr>
          <w:noProof/>
          <w:lang w:val="en-GB"/>
        </w:rPr>
        <w:t>The reflection is based on Kolb's (1984) Experiential Learning Cycle, a model with four stages that is commonly used in business education and passes through concrete experience, reflective observation, abstract conceptualisation and, finally, active experimentation. Kolb's framework is ideal for entrepreneurial reflection, as it suggests that learning is a process, a continuous cycle, and not a one-time event, thus making the experience of analysing Too Good To Go (TGTG) an entrepreneurial learning experience that we can apply to other contexts.</w:t>
      </w:r>
    </w:p>
    <w:p w14:paraId="15997317" w14:textId="77777777" w:rsidR="004C14B5" w:rsidRPr="00695EBE" w:rsidRDefault="00B355DF" w:rsidP="008638CE">
      <w:pPr>
        <w:pStyle w:val="Heading2"/>
        <w:spacing w:before="160" w:after="80" w:line="360" w:lineRule="auto"/>
        <w:jc w:val="both"/>
        <w:rPr>
          <w:noProof/>
          <w:lang w:val="en-GB"/>
        </w:rPr>
      </w:pPr>
      <w:r w:rsidRPr="00695EBE">
        <w:rPr>
          <w:rFonts w:ascii="Arial" w:hAnsi="Arial"/>
          <w:noProof/>
          <w:color w:val="4A7C2A"/>
          <w:sz w:val="28"/>
          <w:lang w:val="en-GB"/>
        </w:rPr>
        <w:t>6.1 Concrete Experience</w:t>
      </w:r>
    </w:p>
    <w:p w14:paraId="62151017" w14:textId="50D1DCF1" w:rsidR="006F3E41" w:rsidRPr="00695EBE" w:rsidRDefault="006F3E41" w:rsidP="008638CE">
      <w:pPr>
        <w:spacing w:after="160" w:line="360" w:lineRule="auto"/>
        <w:jc w:val="both"/>
        <w:rPr>
          <w:noProof/>
          <w:lang w:val="en-GB"/>
        </w:rPr>
      </w:pPr>
      <w:r w:rsidRPr="00695EBE">
        <w:rPr>
          <w:noProof/>
          <w:lang w:val="en-GB"/>
        </w:rPr>
        <w:t xml:space="preserve">In this portfolio I have investigated the social enterprise Too Good To Go ApS, founded by the five Copenhagen-based individuals Brian Christensen, Thomas Bjørn Momsen, Klaus Bagge Pedersen, Adam Sigbrand and Stian Olesen in 2015. Created a detailed business plan including business overview, products, goal setting, USP, PESTEL analysis, SWOT analysis, competitor analysis, 7Ps marketing mix, segmentation and online marketing strategy and financial planning. The amount of work involved was to have to deal </w:t>
      </w:r>
      <w:r w:rsidRPr="00695EBE">
        <w:rPr>
          <w:noProof/>
          <w:color w:val="000000" w:themeColor="text1"/>
          <w:lang w:val="en-GB"/>
        </w:rPr>
        <w:t xml:space="preserve">with the annual report of the Danish entity (Too Good To Go ApS, 2025), funding databases (Bhide, 2000), critical journalism (CNBC, 2024), and then a host of academic papers on entrepreneurship theory, platform economics and social enterprise. During the project, I faced multiple tensions </w:t>
      </w:r>
      <w:r w:rsidRPr="00695EBE">
        <w:rPr>
          <w:noProof/>
          <w:lang w:val="en-GB"/>
        </w:rPr>
        <w:t>typical of mission-driven businesses that I hadn't been aware of before, especially the structural dichotomy between speeding up the commercial scale and keeping true to the social-mission credibility.</w:t>
      </w:r>
    </w:p>
    <w:p w14:paraId="6323CAF4" w14:textId="77777777" w:rsidR="004C14B5" w:rsidRPr="00695EBE" w:rsidRDefault="00B355DF" w:rsidP="008638CE">
      <w:pPr>
        <w:pStyle w:val="Heading2"/>
        <w:spacing w:before="160" w:after="80" w:line="360" w:lineRule="auto"/>
        <w:jc w:val="both"/>
        <w:rPr>
          <w:noProof/>
          <w:lang w:val="en-GB"/>
        </w:rPr>
      </w:pPr>
      <w:r w:rsidRPr="00695EBE">
        <w:rPr>
          <w:rFonts w:ascii="Arial" w:hAnsi="Arial"/>
          <w:noProof/>
          <w:color w:val="4A7C2A"/>
          <w:sz w:val="28"/>
          <w:lang w:val="en-GB"/>
        </w:rPr>
        <w:t>6.2 Reflective Observation</w:t>
      </w:r>
    </w:p>
    <w:p w14:paraId="3E390BB2" w14:textId="3550C6CF" w:rsidR="00982704" w:rsidRPr="00695EBE" w:rsidRDefault="00982704" w:rsidP="008638CE">
      <w:pPr>
        <w:spacing w:after="160" w:line="360" w:lineRule="auto"/>
        <w:jc w:val="both"/>
        <w:rPr>
          <w:noProof/>
          <w:color w:val="000000" w:themeColor="text1"/>
          <w:lang w:val="en-GB"/>
        </w:rPr>
      </w:pPr>
      <w:r w:rsidRPr="00695EBE">
        <w:rPr>
          <w:noProof/>
          <w:color w:val="000000" w:themeColor="text1"/>
          <w:lang w:val="en-GB"/>
        </w:rPr>
        <w:t xml:space="preserve">Looking back on the experience, I noticed that there were three patterns that were contrary to my original thinking. The first thing I'd hoped for with social enterprises was either that they were good but not profitable or that they were profitable but not good. In TGTG, it has been shown that both aspects are possible in a well-designed hybrid model, but this requires ongoing strategic manoeuvring, not just a single choice, as Mair and Marti (2006) suggest. Second, I noticed that the founders wouldn't start with a formal business plan but rather with moral outrage at observed buffet food waste in </w:t>
      </w:r>
      <w:r w:rsidRPr="00695EBE">
        <w:rPr>
          <w:noProof/>
          <w:color w:val="000000" w:themeColor="text1"/>
          <w:lang w:val="en-GB"/>
        </w:rPr>
        <w:lastRenderedPageBreak/>
        <w:t>Copenhagen, as Sarasvathy (2001) defines 'effectuation' – that is, working backwards from available means instead of looking for a market opportunity by formal research. Third, and most telling, is not a product launch but a shift in leadership—the founders' 2017 decision to pass the baton to Mette Lykke as CEO is evidence of the founder transition challenge discussed by Burns (2022), where putting mission over personal control is also an act of leadership.</w:t>
      </w:r>
    </w:p>
    <w:p w14:paraId="4CA569DD" w14:textId="77777777" w:rsidR="004C14B5" w:rsidRPr="00695EBE" w:rsidRDefault="00B355DF" w:rsidP="008638CE">
      <w:pPr>
        <w:pStyle w:val="Heading2"/>
        <w:spacing w:before="160" w:after="80" w:line="360" w:lineRule="auto"/>
        <w:jc w:val="both"/>
        <w:rPr>
          <w:noProof/>
          <w:lang w:val="en-GB"/>
        </w:rPr>
      </w:pPr>
      <w:r w:rsidRPr="00695EBE">
        <w:rPr>
          <w:rFonts w:ascii="Arial" w:hAnsi="Arial"/>
          <w:noProof/>
          <w:color w:val="4A7C2A"/>
          <w:sz w:val="28"/>
          <w:lang w:val="en-GB"/>
        </w:rPr>
        <w:t>6.3 Abstract Conceptualisation</w:t>
      </w:r>
    </w:p>
    <w:p w14:paraId="28593FC9" w14:textId="6B769DF7" w:rsidR="00902709" w:rsidRPr="00695EBE" w:rsidRDefault="00902709" w:rsidP="008638CE">
      <w:pPr>
        <w:spacing w:after="160" w:line="360" w:lineRule="auto"/>
        <w:jc w:val="both"/>
        <w:rPr>
          <w:noProof/>
          <w:color w:val="000000" w:themeColor="text1"/>
          <w:lang w:val="en-GB"/>
        </w:rPr>
      </w:pPr>
      <w:r w:rsidRPr="00695EBE">
        <w:rPr>
          <w:noProof/>
          <w:color w:val="000000" w:themeColor="text1"/>
          <w:lang w:val="en-GB"/>
        </w:rPr>
        <w:t>From these observations emerged a few general principles. The first relates to the structural power of network effects in two-sided marketplaces (Rochet and Tirole, 2003): This reinforces the notion that platform ventures should first concentrate before expanding to geographic markets due to the local density they can create among their partners and users, with 180,000 partners and 130 million users. The second is that the credibility itself of the mission is a competitive moat but a fragile one: B Corp certification and impact reporting (Bocken et al., 2014; CNBC, 2024) are what Porter and Kramer (2011) call 'shared value' and a worthy measure, as shown by the greenwashing critique. The third is the capital efficiency of mission-based businesses: TGTG has raised a little under USD 145 million for a 21-country platform, compared with USD 200 million raised by its US competitor Imperfect Foods for a much smaller footprint, indicating that purpose-led businesses attract ‘patient capital’ that enables longer-term thinking (Bhide, 2000).</w:t>
      </w:r>
    </w:p>
    <w:p w14:paraId="6ED6FEDE" w14:textId="77777777" w:rsidR="004C14B5" w:rsidRPr="00695EBE" w:rsidRDefault="00B355DF" w:rsidP="008638CE">
      <w:pPr>
        <w:pStyle w:val="Heading2"/>
        <w:spacing w:before="160" w:after="80" w:line="360" w:lineRule="auto"/>
        <w:jc w:val="both"/>
        <w:rPr>
          <w:noProof/>
          <w:lang w:val="en-GB"/>
        </w:rPr>
      </w:pPr>
      <w:r w:rsidRPr="00695EBE">
        <w:rPr>
          <w:rFonts w:ascii="Arial" w:hAnsi="Arial"/>
          <w:noProof/>
          <w:color w:val="4A7C2A"/>
          <w:sz w:val="28"/>
          <w:lang w:val="en-GB"/>
        </w:rPr>
        <w:t>6.4 Active Experimentation</w:t>
      </w:r>
    </w:p>
    <w:p w14:paraId="67F66C20" w14:textId="196E04F5" w:rsidR="00700251" w:rsidRPr="00695EBE" w:rsidRDefault="002F4FC3" w:rsidP="008638CE">
      <w:pPr>
        <w:spacing w:after="160" w:line="360" w:lineRule="auto"/>
        <w:jc w:val="both"/>
        <w:rPr>
          <w:noProof/>
          <w:color w:val="000000" w:themeColor="text1"/>
          <w:lang w:val="en-GB"/>
        </w:rPr>
      </w:pPr>
      <w:r w:rsidRPr="00695EBE">
        <w:rPr>
          <w:noProof/>
          <w:color w:val="000000" w:themeColor="text1"/>
          <w:lang w:val="en-GB"/>
        </w:rPr>
        <w:t xml:space="preserve">If I started a business, I would apply five key practices. </w:t>
      </w:r>
      <w:r w:rsidR="00700251" w:rsidRPr="00695EBE">
        <w:rPr>
          <w:noProof/>
          <w:color w:val="000000" w:themeColor="text1"/>
          <w:lang w:val="en-GB"/>
        </w:rPr>
        <w:t xml:space="preserve">First, I would focus the business on a real social issue, one that I have seen in action, not an artificial market opportunity, because what is ethical, moral and has a “lived experience” cannot be manufactured after the fact (Dees, 2001). Second, I would raise money first and wait to get outside funding until product-market fit was achieved, along the lines of Bhide's (2000) "Wait until PMF is proven" pattern. Third, I would go for B Corp certification or third-party verification early, as that is a differentiator that a pure-profit competitor can't copy. Fourth, I would look at transparency proactively from the beginning, with a variety of levels for scaling the addressable market without complexity in operations. Fifth, I would </w:t>
      </w:r>
      <w:r w:rsidR="00700251" w:rsidRPr="00695EBE">
        <w:rPr>
          <w:noProof/>
          <w:color w:val="000000" w:themeColor="text1"/>
          <w:lang w:val="en-GB"/>
        </w:rPr>
        <w:lastRenderedPageBreak/>
        <w:t>diversify income streams ASAP, knowing that single commission-based income is a fragility (Too Good To Go ApS, 2025) and that recurring B2B SaaS income provides more sustainable margin economics. These practices would be evaluated through a process of iteration, as new concrete experiences would lead to additional learning and further practice and development.</w:t>
      </w:r>
    </w:p>
    <w:p w14:paraId="17F25251" w14:textId="77777777" w:rsidR="004C14B5" w:rsidRPr="00695EBE" w:rsidRDefault="00B355DF">
      <w:pPr>
        <w:rPr>
          <w:noProof/>
          <w:lang w:val="en-GB"/>
        </w:rPr>
      </w:pPr>
      <w:r w:rsidRPr="00695EBE">
        <w:rPr>
          <w:noProof/>
          <w:lang w:val="en-GB"/>
        </w:rPr>
        <w:br w:type="page"/>
      </w:r>
    </w:p>
    <w:p w14:paraId="464CA9AB" w14:textId="77777777" w:rsidR="004C14B5" w:rsidRPr="00695EBE" w:rsidRDefault="00B355DF">
      <w:pPr>
        <w:pStyle w:val="Heading1"/>
        <w:spacing w:before="240" w:after="160" w:line="360" w:lineRule="auto"/>
        <w:rPr>
          <w:noProof/>
          <w:lang w:val="en-GB"/>
        </w:rPr>
      </w:pPr>
      <w:r w:rsidRPr="00695EBE">
        <w:rPr>
          <w:rFonts w:ascii="Arial" w:hAnsi="Arial"/>
          <w:noProof/>
          <w:color w:val="1B5E20"/>
          <w:sz w:val="32"/>
          <w:lang w:val="en-GB"/>
        </w:rPr>
        <w:lastRenderedPageBreak/>
        <w:t>Reference List</w:t>
      </w:r>
    </w:p>
    <w:p w14:paraId="29384A57"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Bhide, A.V. (2000) </w:t>
      </w:r>
      <w:r w:rsidRPr="00695EBE">
        <w:rPr>
          <w:rStyle w:val="Emphasis"/>
          <w:rFonts w:ascii="Arial" w:hAnsi="Arial" w:cs="Arial"/>
          <w:noProof/>
          <w:lang w:val="en-GB"/>
        </w:rPr>
        <w:t>The Origin and Evolution of New Businesses</w:t>
      </w:r>
      <w:r w:rsidRPr="00695EBE">
        <w:rPr>
          <w:rFonts w:ascii="Arial" w:hAnsi="Arial" w:cs="Arial"/>
          <w:noProof/>
          <w:lang w:val="en-GB"/>
        </w:rPr>
        <w:t>. New York: Oxford University Press.</w:t>
      </w:r>
    </w:p>
    <w:p w14:paraId="6F88AD77"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Bocken, N.M.P., Short, S.W., Rana, P. and Evans, S. (2014) 'A literature and practice review to develop sustainable business model archetypes', </w:t>
      </w:r>
      <w:r w:rsidRPr="00695EBE">
        <w:rPr>
          <w:rStyle w:val="Emphasis"/>
          <w:rFonts w:ascii="Arial" w:hAnsi="Arial" w:cs="Arial"/>
          <w:noProof/>
          <w:lang w:val="en-GB"/>
        </w:rPr>
        <w:t>Journal of Cleaner Production</w:t>
      </w:r>
      <w:r w:rsidRPr="00695EBE">
        <w:rPr>
          <w:rFonts w:ascii="Arial" w:hAnsi="Arial" w:cs="Arial"/>
          <w:noProof/>
          <w:lang w:val="en-GB"/>
        </w:rPr>
        <w:t>, 65, pp. 42–56. doi: 10.1016/j.jclepro.2013.11.039.</w:t>
      </w:r>
    </w:p>
    <w:p w14:paraId="6973A178"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Burns, P. (2022) </w:t>
      </w:r>
      <w:r w:rsidRPr="00695EBE">
        <w:rPr>
          <w:rStyle w:val="Emphasis"/>
          <w:rFonts w:ascii="Arial" w:hAnsi="Arial" w:cs="Arial"/>
          <w:noProof/>
          <w:lang w:val="en-GB"/>
        </w:rPr>
        <w:t>Entrepreneurship and Small Business: Start-up, Growth and Maturity</w:t>
      </w:r>
      <w:r w:rsidRPr="00695EBE">
        <w:rPr>
          <w:rFonts w:ascii="Arial" w:hAnsi="Arial" w:cs="Arial"/>
          <w:noProof/>
          <w:lang w:val="en-GB"/>
        </w:rPr>
        <w:t>. 5th edn. London: Red Globe Press.</w:t>
      </w:r>
    </w:p>
    <w:p w14:paraId="14066086"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CNBC (2024) 'How Too Good To Go brings in $162 million/year selling leftovers', </w:t>
      </w:r>
      <w:r w:rsidRPr="00695EBE">
        <w:rPr>
          <w:rStyle w:val="Emphasis"/>
          <w:rFonts w:ascii="Arial" w:hAnsi="Arial" w:cs="Arial"/>
          <w:noProof/>
          <w:lang w:val="en-GB"/>
        </w:rPr>
        <w:t>CNBC</w:t>
      </w:r>
      <w:r w:rsidRPr="00695EBE">
        <w:rPr>
          <w:rFonts w:ascii="Arial" w:hAnsi="Arial" w:cs="Arial"/>
          <w:noProof/>
          <w:lang w:val="en-GB"/>
        </w:rPr>
        <w:t xml:space="preserve">, 16 November. Available at: </w:t>
      </w:r>
      <w:hyperlink r:id="rId6" w:history="1">
        <w:r w:rsidRPr="00695EBE">
          <w:rPr>
            <w:rStyle w:val="Hyperlink"/>
            <w:rFonts w:ascii="Arial" w:hAnsi="Arial" w:cs="Arial"/>
            <w:noProof/>
            <w:lang w:val="en-GB"/>
          </w:rPr>
          <w:t>https://www.cnbc.com/video/2024/11/16/how-too-good-to-go-brings-in-162-millionyear-selling-leftovers.html</w:t>
        </w:r>
      </w:hyperlink>
      <w:r w:rsidRPr="00695EBE">
        <w:rPr>
          <w:rFonts w:ascii="Arial" w:hAnsi="Arial" w:cs="Arial"/>
          <w:noProof/>
          <w:lang w:val="en-GB"/>
        </w:rPr>
        <w:t xml:space="preserve"> (Accessed: 22 June 2026).</w:t>
      </w:r>
    </w:p>
    <w:p w14:paraId="53B1A5AF"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Dees, J.G. (2001) </w:t>
      </w:r>
      <w:r w:rsidRPr="00695EBE">
        <w:rPr>
          <w:rStyle w:val="Emphasis"/>
          <w:rFonts w:ascii="Arial" w:hAnsi="Arial" w:cs="Arial"/>
          <w:noProof/>
          <w:lang w:val="en-GB"/>
        </w:rPr>
        <w:t>The Meaning of 'Social Entrepreneurship'</w:t>
      </w:r>
      <w:r w:rsidRPr="00695EBE">
        <w:rPr>
          <w:rFonts w:ascii="Arial" w:hAnsi="Arial" w:cs="Arial"/>
          <w:noProof/>
          <w:lang w:val="en-GB"/>
        </w:rPr>
        <w:t xml:space="preserve">, revised edn. Durham, NC: Center for the Advancement of Social Entrepreneurship (CASE), Fuqua School of Business, Duke University. Available at: </w:t>
      </w:r>
      <w:hyperlink r:id="rId7" w:history="1">
        <w:r w:rsidRPr="00695EBE">
          <w:rPr>
            <w:rStyle w:val="Hyperlink"/>
            <w:rFonts w:ascii="Arial" w:hAnsi="Arial" w:cs="Arial"/>
            <w:noProof/>
            <w:lang w:val="en-GB"/>
          </w:rPr>
          <w:t>https://centers.fuqua.duke.edu/case/knowledge_items/the-meaning-of-social-entrepreneurship/</w:t>
        </w:r>
      </w:hyperlink>
      <w:r w:rsidRPr="00695EBE">
        <w:rPr>
          <w:rFonts w:ascii="Arial" w:hAnsi="Arial" w:cs="Arial"/>
          <w:noProof/>
          <w:lang w:val="en-GB"/>
        </w:rPr>
        <w:t xml:space="preserve"> (Accessed: 23 June 2026).</w:t>
      </w:r>
    </w:p>
    <w:p w14:paraId="612DFC78"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Kolb, D.A. (1984) </w:t>
      </w:r>
      <w:r w:rsidRPr="00695EBE">
        <w:rPr>
          <w:rStyle w:val="Emphasis"/>
          <w:rFonts w:ascii="Arial" w:hAnsi="Arial" w:cs="Arial"/>
          <w:noProof/>
          <w:lang w:val="en-GB"/>
        </w:rPr>
        <w:t>Experiential Learning: Experience as the Source of Learning and Development</w:t>
      </w:r>
      <w:r w:rsidRPr="00695EBE">
        <w:rPr>
          <w:rFonts w:ascii="Arial" w:hAnsi="Arial" w:cs="Arial"/>
          <w:noProof/>
          <w:lang w:val="en-GB"/>
        </w:rPr>
        <w:t>. Englewood Cliffs, NJ: Prentice-Hall.</w:t>
      </w:r>
    </w:p>
    <w:p w14:paraId="3C3B75E4"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Mair, J. and Marti, I. (2006) 'Social entrepreneurship research: a source of explanation, prediction, and delight', </w:t>
      </w:r>
      <w:r w:rsidRPr="00695EBE">
        <w:rPr>
          <w:rStyle w:val="Emphasis"/>
          <w:rFonts w:ascii="Arial" w:hAnsi="Arial" w:cs="Arial"/>
          <w:noProof/>
          <w:lang w:val="en-GB"/>
        </w:rPr>
        <w:t>Journal of World Business</w:t>
      </w:r>
      <w:r w:rsidRPr="00695EBE">
        <w:rPr>
          <w:rFonts w:ascii="Arial" w:hAnsi="Arial" w:cs="Arial"/>
          <w:noProof/>
          <w:lang w:val="en-GB"/>
        </w:rPr>
        <w:t>, 41(1), pp. 36–44. doi: 10.1016/j.jwb.2005.09.002.</w:t>
      </w:r>
    </w:p>
    <w:p w14:paraId="6D4AEC2D"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Porter, M.E. and Kramer, M.R. (2011) 'Creating shared value', </w:t>
      </w:r>
      <w:r w:rsidRPr="00695EBE">
        <w:rPr>
          <w:rStyle w:val="Emphasis"/>
          <w:rFonts w:ascii="Arial" w:hAnsi="Arial" w:cs="Arial"/>
          <w:noProof/>
          <w:lang w:val="en-GB"/>
        </w:rPr>
        <w:t>Harvard Business Review</w:t>
      </w:r>
      <w:r w:rsidRPr="00695EBE">
        <w:rPr>
          <w:rFonts w:ascii="Arial" w:hAnsi="Arial" w:cs="Arial"/>
          <w:noProof/>
          <w:lang w:val="en-GB"/>
        </w:rPr>
        <w:t>, 89(1–2), pp. 62–77.</w:t>
      </w:r>
    </w:p>
    <w:p w14:paraId="6E53621F"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lastRenderedPageBreak/>
        <w:t xml:space="preserve">Rochet, J.-C. and Tirole, J. (2003) 'Platform competition in two-sided markets', </w:t>
      </w:r>
      <w:r w:rsidRPr="00695EBE">
        <w:rPr>
          <w:rStyle w:val="Emphasis"/>
          <w:rFonts w:ascii="Arial" w:hAnsi="Arial" w:cs="Arial"/>
          <w:noProof/>
          <w:lang w:val="en-GB"/>
        </w:rPr>
        <w:t>Journal of the European Economic Association</w:t>
      </w:r>
      <w:r w:rsidRPr="00695EBE">
        <w:rPr>
          <w:rFonts w:ascii="Arial" w:hAnsi="Arial" w:cs="Arial"/>
          <w:noProof/>
          <w:lang w:val="en-GB"/>
        </w:rPr>
        <w:t>, 1(4), pp. 990–1029. doi: 10.1162/154247603322493212.</w:t>
      </w:r>
    </w:p>
    <w:p w14:paraId="0FE82F22"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Sarasvathy, S.D. (2001) 'Causation and effectuation: toward a theoretical shift from economic inevitability to entrepreneurial contingency', </w:t>
      </w:r>
      <w:r w:rsidRPr="00695EBE">
        <w:rPr>
          <w:rStyle w:val="Emphasis"/>
          <w:rFonts w:ascii="Arial" w:hAnsi="Arial" w:cs="Arial"/>
          <w:noProof/>
          <w:lang w:val="en-GB"/>
        </w:rPr>
        <w:t>Academy of Management Review</w:t>
      </w:r>
      <w:r w:rsidRPr="00695EBE">
        <w:rPr>
          <w:rFonts w:ascii="Arial" w:hAnsi="Arial" w:cs="Arial"/>
          <w:noProof/>
          <w:lang w:val="en-GB"/>
        </w:rPr>
        <w:t>, 26(2), pp. 243–263. doi: 10.5465/amr.2001.4378020.</w:t>
      </w:r>
    </w:p>
    <w:p w14:paraId="5964E62B" w14:textId="77777777" w:rsidR="002809E8" w:rsidRPr="00695EBE" w:rsidRDefault="002809E8" w:rsidP="002809E8">
      <w:pPr>
        <w:pStyle w:val="font-claude-response-body"/>
        <w:spacing w:line="360" w:lineRule="auto"/>
        <w:jc w:val="both"/>
        <w:rPr>
          <w:rFonts w:ascii="Arial" w:hAnsi="Arial" w:cs="Arial"/>
          <w:noProof/>
          <w:lang w:val="en-GB"/>
        </w:rPr>
      </w:pPr>
      <w:r w:rsidRPr="00695EBE">
        <w:rPr>
          <w:rFonts w:ascii="Arial" w:hAnsi="Arial" w:cs="Arial"/>
          <w:noProof/>
          <w:lang w:val="en-GB"/>
        </w:rPr>
        <w:t xml:space="preserve">Too Good To Go ApS (2025) </w:t>
      </w:r>
      <w:r w:rsidRPr="00695EBE">
        <w:rPr>
          <w:rStyle w:val="Emphasis"/>
          <w:rFonts w:ascii="Arial" w:hAnsi="Arial" w:cs="Arial"/>
          <w:noProof/>
          <w:lang w:val="en-GB"/>
        </w:rPr>
        <w:t>Annual Report 2024</w:t>
      </w:r>
      <w:r w:rsidRPr="00695EBE">
        <w:rPr>
          <w:rFonts w:ascii="Arial" w:hAnsi="Arial" w:cs="Arial"/>
          <w:noProof/>
          <w:lang w:val="en-GB"/>
        </w:rPr>
        <w:t xml:space="preserve">. Copenhagen: Too Good To Go ApS. Available at: </w:t>
      </w:r>
      <w:hyperlink r:id="rId8" w:history="1">
        <w:r w:rsidRPr="00695EBE">
          <w:rPr>
            <w:rStyle w:val="Hyperlink"/>
            <w:rFonts w:ascii="Arial" w:hAnsi="Arial" w:cs="Arial"/>
            <w:noProof/>
            <w:lang w:val="en-GB"/>
          </w:rPr>
          <w:t>https://regnskaber.cvrapi.dk/</w:t>
        </w:r>
      </w:hyperlink>
      <w:r w:rsidRPr="00695EBE">
        <w:rPr>
          <w:rFonts w:ascii="Arial" w:hAnsi="Arial" w:cs="Arial"/>
          <w:noProof/>
          <w:lang w:val="en-GB"/>
        </w:rPr>
        <w:t xml:space="preserve"> (Accessed: 21 June 2026).</w:t>
      </w:r>
    </w:p>
    <w:p w14:paraId="7CB2FD47" w14:textId="749F9587" w:rsidR="004C14B5" w:rsidRPr="00695EBE" w:rsidRDefault="004C14B5" w:rsidP="002809E8">
      <w:pPr>
        <w:spacing w:after="80" w:line="360" w:lineRule="auto"/>
        <w:rPr>
          <w:noProof/>
          <w:lang w:val="en-GB"/>
        </w:rPr>
      </w:pPr>
    </w:p>
    <w:sectPr w:rsidR="004C14B5" w:rsidRPr="00695EBE"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15487096">
    <w:abstractNumId w:val="8"/>
  </w:num>
  <w:num w:numId="2" w16cid:durableId="1124227610">
    <w:abstractNumId w:val="6"/>
  </w:num>
  <w:num w:numId="3" w16cid:durableId="1883051444">
    <w:abstractNumId w:val="5"/>
  </w:num>
  <w:num w:numId="4" w16cid:durableId="1777945479">
    <w:abstractNumId w:val="4"/>
  </w:num>
  <w:num w:numId="5" w16cid:durableId="1513297606">
    <w:abstractNumId w:val="7"/>
  </w:num>
  <w:num w:numId="6" w16cid:durableId="1955364266">
    <w:abstractNumId w:val="3"/>
  </w:num>
  <w:num w:numId="7" w16cid:durableId="267398308">
    <w:abstractNumId w:val="2"/>
  </w:num>
  <w:num w:numId="8" w16cid:durableId="1510558028">
    <w:abstractNumId w:val="1"/>
  </w:num>
  <w:num w:numId="9" w16cid:durableId="1352537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0DE5"/>
    <w:rsid w:val="0015074B"/>
    <w:rsid w:val="002809E8"/>
    <w:rsid w:val="0029639D"/>
    <w:rsid w:val="002F4FC3"/>
    <w:rsid w:val="00326F90"/>
    <w:rsid w:val="004C14B5"/>
    <w:rsid w:val="00695EBE"/>
    <w:rsid w:val="006F3E41"/>
    <w:rsid w:val="00700251"/>
    <w:rsid w:val="008638CE"/>
    <w:rsid w:val="00902709"/>
    <w:rsid w:val="00915E58"/>
    <w:rsid w:val="00981AAE"/>
    <w:rsid w:val="00982704"/>
    <w:rsid w:val="00AA1D8D"/>
    <w:rsid w:val="00B355DF"/>
    <w:rsid w:val="00B47730"/>
    <w:rsid w:val="00C158EC"/>
    <w:rsid w:val="00CB0664"/>
    <w:rsid w:val="00D72329"/>
    <w:rsid w:val="00DB7D21"/>
    <w:rsid w:val="00E94E8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9A5562"/>
  <w14:defaultImageDpi w14:val="300"/>
  <w15:docId w15:val="{354B8C68-BD28-48FB-80EA-550508B7C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nt-claude-response-body">
    <w:name w:val="font-claude-response-body"/>
    <w:basedOn w:val="Normal"/>
    <w:rsid w:val="002809E8"/>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DefaultParagraphFont"/>
    <w:uiPriority w:val="99"/>
    <w:semiHidden/>
    <w:unhideWhenUsed/>
    <w:rsid w:val="002809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4294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nskaber.cvrapi.dk/" TargetMode="External"/><Relationship Id="rId3" Type="http://schemas.openxmlformats.org/officeDocument/2006/relationships/styles" Target="styles.xml"/><Relationship Id="rId7" Type="http://schemas.openxmlformats.org/officeDocument/2006/relationships/hyperlink" Target="https://centers.fuqua.duke.edu/case/knowledge_items/the-meaning-of-social-entrepreneurshi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nbc.com/video/2024/11/16/how-too-good-to-go-brings-in-162-millionyear-selling-leftovers.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1099</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Dragos Nedelcu (2323249)</cp:lastModifiedBy>
  <cp:revision>3</cp:revision>
  <dcterms:created xsi:type="dcterms:W3CDTF">2013-12-23T23:15:00Z</dcterms:created>
  <dcterms:modified xsi:type="dcterms:W3CDTF">2026-07-31T12:25:00Z</dcterms:modified>
  <cp:category/>
</cp:coreProperties>
</file>