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69778049"/>
        <w:docPartObj>
          <w:docPartGallery w:val="Cover Pages"/>
          <w:docPartUnique/>
        </w:docPartObj>
      </w:sdtPr>
      <w:sdtContent>
        <w:p w:rsidR="00E134AD" w:rsidRDefault="00E134AD">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1="http://schemas.microsoft.com/office/drawing/2015/9/8/chartex">
                <w:pict>
                  <v:group w14:anchorId="05AD884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9B2F2C" w:rsidRDefault="009B2F2C">
                                    <w:pPr>
                                      <w:pStyle w:val="NoSpacing"/>
                                      <w:jc w:val="right"/>
                                      <w:rPr>
                                        <w:color w:val="595959" w:themeColor="text1" w:themeTint="A6"/>
                                        <w:sz w:val="28"/>
                                        <w:szCs w:val="28"/>
                                      </w:rPr>
                                    </w:pPr>
                                    <w:r>
                                      <w:rPr>
                                        <w:color w:val="595959" w:themeColor="text1" w:themeTint="A6"/>
                                        <w:sz w:val="28"/>
                                        <w:szCs w:val="28"/>
                                        <w:lang w:val="en-GB"/>
                                      </w:rPr>
                                      <w:t>Luke Pinkham</w:t>
                                    </w:r>
                                  </w:p>
                                </w:sdtContent>
                              </w:sdt>
                              <w:p w:rsidR="009B2F2C" w:rsidRDefault="009B2F2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P151970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9B2F2C" w:rsidRDefault="009B2F2C">
                              <w:pPr>
                                <w:pStyle w:val="NoSpacing"/>
                                <w:jc w:val="right"/>
                                <w:rPr>
                                  <w:color w:val="595959" w:themeColor="text1" w:themeTint="A6"/>
                                  <w:sz w:val="28"/>
                                  <w:szCs w:val="28"/>
                                </w:rPr>
                              </w:pPr>
                              <w:r>
                                <w:rPr>
                                  <w:color w:val="595959" w:themeColor="text1" w:themeTint="A6"/>
                                  <w:sz w:val="28"/>
                                  <w:szCs w:val="28"/>
                                  <w:lang w:val="en-GB"/>
                                </w:rPr>
                                <w:t>Luke Pinkham</w:t>
                              </w:r>
                            </w:p>
                          </w:sdtContent>
                        </w:sdt>
                        <w:p w:rsidR="009B2F2C" w:rsidRDefault="009B2F2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P151970</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B2F2C" w:rsidRDefault="009B2F2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9B2F2C" w:rsidRDefault="009B2F2C">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B2F2C" w:rsidRDefault="009B2F2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Engineering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9B2F2C" w:rsidRDefault="009B2F2C">
                                    <w:pPr>
                                      <w:jc w:val="right"/>
                                      <w:rPr>
                                        <w:smallCaps/>
                                        <w:color w:val="404040" w:themeColor="text1" w:themeTint="BF"/>
                                        <w:sz w:val="36"/>
                                        <w:szCs w:val="36"/>
                                      </w:rPr>
                                    </w:pPr>
                                    <w:r>
                                      <w:rPr>
                                        <w:color w:val="404040" w:themeColor="text1" w:themeTint="BF"/>
                                        <w:sz w:val="36"/>
                                        <w:szCs w:val="36"/>
                                      </w:rPr>
                                      <w:t>Drill Press Redesign and Reflective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9B2F2C" w:rsidRDefault="009B2F2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Engineering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9B2F2C" w:rsidRDefault="009B2F2C">
                              <w:pPr>
                                <w:jc w:val="right"/>
                                <w:rPr>
                                  <w:smallCaps/>
                                  <w:color w:val="404040" w:themeColor="text1" w:themeTint="BF"/>
                                  <w:sz w:val="36"/>
                                  <w:szCs w:val="36"/>
                                </w:rPr>
                              </w:pPr>
                              <w:r>
                                <w:rPr>
                                  <w:color w:val="404040" w:themeColor="text1" w:themeTint="BF"/>
                                  <w:sz w:val="36"/>
                                  <w:szCs w:val="36"/>
                                </w:rPr>
                                <w:t>Drill Press Redesign and Reflective Report</w:t>
                              </w:r>
                            </w:p>
                          </w:sdtContent>
                        </w:sdt>
                      </w:txbxContent>
                    </v:textbox>
                    <w10:wrap type="square" anchorx="page" anchory="page"/>
                  </v:shape>
                </w:pict>
              </mc:Fallback>
            </mc:AlternateContent>
          </w:r>
        </w:p>
        <w:p w:rsidR="00784FAD" w:rsidRDefault="00E134AD" w:rsidP="00784FAD">
          <w:r>
            <w:br w:type="page"/>
          </w:r>
        </w:p>
      </w:sdtContent>
    </w:sdt>
    <w:sdt>
      <w:sdtPr>
        <w:id w:val="1182851908"/>
        <w:docPartObj>
          <w:docPartGallery w:val="Table of Contents"/>
          <w:docPartUnique/>
        </w:docPartObj>
      </w:sdtPr>
      <w:sdtEndPr>
        <w:rPr>
          <w:b/>
          <w:bCs/>
          <w:noProof/>
        </w:rPr>
      </w:sdtEndPr>
      <w:sdtContent>
        <w:p w:rsidR="00E134AD" w:rsidRDefault="00E134AD" w:rsidP="00784FAD">
          <w:r>
            <w:t>Table of Contents</w:t>
          </w:r>
        </w:p>
        <w:p w:rsidR="00FA28CF" w:rsidRDefault="00E134A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2934528" w:history="1">
            <w:r w:rsidR="00FA28CF" w:rsidRPr="00C21B12">
              <w:rPr>
                <w:rStyle w:val="Hyperlink"/>
                <w:noProof/>
              </w:rPr>
              <w:t>1.</w:t>
            </w:r>
            <w:r w:rsidR="00FA28CF">
              <w:rPr>
                <w:rFonts w:eastAsiaTheme="minorEastAsia"/>
                <w:noProof/>
                <w:lang w:eastAsia="en-GB"/>
              </w:rPr>
              <w:tab/>
            </w:r>
            <w:r w:rsidR="00FA28CF" w:rsidRPr="00C21B12">
              <w:rPr>
                <w:rStyle w:val="Hyperlink"/>
                <w:noProof/>
              </w:rPr>
              <w:t>Concept Design &amp; Functional Requirements</w:t>
            </w:r>
            <w:r w:rsidR="00FA28CF">
              <w:rPr>
                <w:noProof/>
                <w:webHidden/>
              </w:rPr>
              <w:tab/>
            </w:r>
            <w:r w:rsidR="00FA28CF">
              <w:rPr>
                <w:noProof/>
                <w:webHidden/>
              </w:rPr>
              <w:fldChar w:fldCharType="begin"/>
            </w:r>
            <w:r w:rsidR="00FA28CF">
              <w:rPr>
                <w:noProof/>
                <w:webHidden/>
              </w:rPr>
              <w:instrText xml:space="preserve"> PAGEREF _Toc502934528 \h </w:instrText>
            </w:r>
            <w:r w:rsidR="00FA28CF">
              <w:rPr>
                <w:noProof/>
                <w:webHidden/>
              </w:rPr>
            </w:r>
            <w:r w:rsidR="00FA28CF">
              <w:rPr>
                <w:noProof/>
                <w:webHidden/>
              </w:rPr>
              <w:fldChar w:fldCharType="separate"/>
            </w:r>
            <w:r w:rsidR="004E2EE6">
              <w:rPr>
                <w:noProof/>
                <w:webHidden/>
              </w:rPr>
              <w:t>1</w:t>
            </w:r>
            <w:r w:rsidR="00FA28CF">
              <w:rPr>
                <w:noProof/>
                <w:webHidden/>
              </w:rPr>
              <w:fldChar w:fldCharType="end"/>
            </w:r>
          </w:hyperlink>
        </w:p>
        <w:p w:rsidR="00FA28CF" w:rsidRDefault="00FA28CF">
          <w:pPr>
            <w:pStyle w:val="TOC1"/>
            <w:tabs>
              <w:tab w:val="left" w:pos="440"/>
              <w:tab w:val="right" w:leader="dot" w:pos="9016"/>
            </w:tabs>
            <w:rPr>
              <w:rFonts w:eastAsiaTheme="minorEastAsia"/>
              <w:noProof/>
              <w:lang w:eastAsia="en-GB"/>
            </w:rPr>
          </w:pPr>
          <w:hyperlink w:anchor="_Toc502934529" w:history="1">
            <w:r w:rsidRPr="00C21B12">
              <w:rPr>
                <w:rStyle w:val="Hyperlink"/>
                <w:noProof/>
              </w:rPr>
              <w:t>2.</w:t>
            </w:r>
            <w:r>
              <w:rPr>
                <w:rFonts w:eastAsiaTheme="minorEastAsia"/>
                <w:noProof/>
                <w:lang w:eastAsia="en-GB"/>
              </w:rPr>
              <w:tab/>
            </w:r>
            <w:r w:rsidRPr="00C21B12">
              <w:rPr>
                <w:rStyle w:val="Hyperlink"/>
                <w:noProof/>
              </w:rPr>
              <w:t>Manufacturing method and material</w:t>
            </w:r>
            <w:r>
              <w:rPr>
                <w:noProof/>
                <w:webHidden/>
              </w:rPr>
              <w:tab/>
            </w:r>
            <w:r>
              <w:rPr>
                <w:noProof/>
                <w:webHidden/>
              </w:rPr>
              <w:fldChar w:fldCharType="begin"/>
            </w:r>
            <w:r>
              <w:rPr>
                <w:noProof/>
                <w:webHidden/>
              </w:rPr>
              <w:instrText xml:space="preserve"> PAGEREF _Toc502934529 \h </w:instrText>
            </w:r>
            <w:r>
              <w:rPr>
                <w:noProof/>
                <w:webHidden/>
              </w:rPr>
            </w:r>
            <w:r>
              <w:rPr>
                <w:noProof/>
                <w:webHidden/>
              </w:rPr>
              <w:fldChar w:fldCharType="separate"/>
            </w:r>
            <w:r w:rsidR="004E2EE6">
              <w:rPr>
                <w:noProof/>
                <w:webHidden/>
              </w:rPr>
              <w:t>1</w:t>
            </w:r>
            <w:r>
              <w:rPr>
                <w:noProof/>
                <w:webHidden/>
              </w:rPr>
              <w:fldChar w:fldCharType="end"/>
            </w:r>
          </w:hyperlink>
        </w:p>
        <w:p w:rsidR="00FA28CF" w:rsidRDefault="00FA28CF">
          <w:pPr>
            <w:pStyle w:val="TOC2"/>
            <w:tabs>
              <w:tab w:val="right" w:leader="dot" w:pos="9016"/>
            </w:tabs>
            <w:rPr>
              <w:rFonts w:eastAsiaTheme="minorEastAsia"/>
              <w:noProof/>
              <w:lang w:eastAsia="en-GB"/>
            </w:rPr>
          </w:pPr>
          <w:hyperlink w:anchor="_Toc502934530" w:history="1">
            <w:r w:rsidRPr="00C21B12">
              <w:rPr>
                <w:rStyle w:val="Hyperlink"/>
                <w:noProof/>
              </w:rPr>
              <w:t>2.1 Benefits of injection moulding</w:t>
            </w:r>
            <w:r>
              <w:rPr>
                <w:noProof/>
                <w:webHidden/>
              </w:rPr>
              <w:tab/>
            </w:r>
            <w:r>
              <w:rPr>
                <w:noProof/>
                <w:webHidden/>
              </w:rPr>
              <w:fldChar w:fldCharType="begin"/>
            </w:r>
            <w:r>
              <w:rPr>
                <w:noProof/>
                <w:webHidden/>
              </w:rPr>
              <w:instrText xml:space="preserve"> PAGEREF _Toc502934530 \h </w:instrText>
            </w:r>
            <w:r>
              <w:rPr>
                <w:noProof/>
                <w:webHidden/>
              </w:rPr>
            </w:r>
            <w:r>
              <w:rPr>
                <w:noProof/>
                <w:webHidden/>
              </w:rPr>
              <w:fldChar w:fldCharType="separate"/>
            </w:r>
            <w:r w:rsidR="004E2EE6">
              <w:rPr>
                <w:noProof/>
                <w:webHidden/>
              </w:rPr>
              <w:t>1</w:t>
            </w:r>
            <w:r>
              <w:rPr>
                <w:noProof/>
                <w:webHidden/>
              </w:rPr>
              <w:fldChar w:fldCharType="end"/>
            </w:r>
          </w:hyperlink>
        </w:p>
        <w:p w:rsidR="00FA28CF" w:rsidRDefault="00FA28CF">
          <w:pPr>
            <w:pStyle w:val="TOC1"/>
            <w:tabs>
              <w:tab w:val="left" w:pos="440"/>
              <w:tab w:val="right" w:leader="dot" w:pos="9016"/>
            </w:tabs>
            <w:rPr>
              <w:rFonts w:eastAsiaTheme="minorEastAsia"/>
              <w:noProof/>
              <w:lang w:eastAsia="en-GB"/>
            </w:rPr>
          </w:pPr>
          <w:hyperlink w:anchor="_Toc502934531" w:history="1">
            <w:r w:rsidRPr="00C21B12">
              <w:rPr>
                <w:rStyle w:val="Hyperlink"/>
                <w:noProof/>
              </w:rPr>
              <w:t>3.</w:t>
            </w:r>
            <w:r>
              <w:rPr>
                <w:rFonts w:eastAsiaTheme="minorEastAsia"/>
                <w:noProof/>
                <w:lang w:eastAsia="en-GB"/>
              </w:rPr>
              <w:tab/>
            </w:r>
            <w:r w:rsidRPr="00C21B12">
              <w:rPr>
                <w:rStyle w:val="Hyperlink"/>
                <w:noProof/>
              </w:rPr>
              <w:t>Redesign for manufacture</w:t>
            </w:r>
            <w:r>
              <w:rPr>
                <w:noProof/>
                <w:webHidden/>
              </w:rPr>
              <w:tab/>
            </w:r>
            <w:r>
              <w:rPr>
                <w:noProof/>
                <w:webHidden/>
              </w:rPr>
              <w:fldChar w:fldCharType="begin"/>
            </w:r>
            <w:r>
              <w:rPr>
                <w:noProof/>
                <w:webHidden/>
              </w:rPr>
              <w:instrText xml:space="preserve"> PAGEREF _Toc502934531 \h </w:instrText>
            </w:r>
            <w:r>
              <w:rPr>
                <w:noProof/>
                <w:webHidden/>
              </w:rPr>
            </w:r>
            <w:r>
              <w:rPr>
                <w:noProof/>
                <w:webHidden/>
              </w:rPr>
              <w:fldChar w:fldCharType="separate"/>
            </w:r>
            <w:r w:rsidR="004E2EE6">
              <w:rPr>
                <w:noProof/>
                <w:webHidden/>
              </w:rPr>
              <w:t>1</w:t>
            </w:r>
            <w:r>
              <w:rPr>
                <w:noProof/>
                <w:webHidden/>
              </w:rPr>
              <w:fldChar w:fldCharType="end"/>
            </w:r>
          </w:hyperlink>
        </w:p>
        <w:p w:rsidR="00FA28CF" w:rsidRDefault="00FA28CF">
          <w:pPr>
            <w:pStyle w:val="TOC1"/>
            <w:tabs>
              <w:tab w:val="left" w:pos="440"/>
              <w:tab w:val="right" w:leader="dot" w:pos="9016"/>
            </w:tabs>
            <w:rPr>
              <w:rFonts w:eastAsiaTheme="minorEastAsia"/>
              <w:noProof/>
              <w:lang w:eastAsia="en-GB"/>
            </w:rPr>
          </w:pPr>
          <w:hyperlink w:anchor="_Toc502934532" w:history="1">
            <w:r w:rsidRPr="00C21B12">
              <w:rPr>
                <w:rStyle w:val="Hyperlink"/>
                <w:noProof/>
              </w:rPr>
              <w:t>4.</w:t>
            </w:r>
            <w:r>
              <w:rPr>
                <w:rFonts w:eastAsiaTheme="minorEastAsia"/>
                <w:noProof/>
                <w:lang w:eastAsia="en-GB"/>
              </w:rPr>
              <w:tab/>
            </w:r>
            <w:r w:rsidRPr="00C21B12">
              <w:rPr>
                <w:rStyle w:val="Hyperlink"/>
                <w:noProof/>
              </w:rPr>
              <w:t>Conclusion</w:t>
            </w:r>
            <w:r>
              <w:rPr>
                <w:noProof/>
                <w:webHidden/>
              </w:rPr>
              <w:tab/>
            </w:r>
            <w:r>
              <w:rPr>
                <w:noProof/>
                <w:webHidden/>
              </w:rPr>
              <w:fldChar w:fldCharType="begin"/>
            </w:r>
            <w:r>
              <w:rPr>
                <w:noProof/>
                <w:webHidden/>
              </w:rPr>
              <w:instrText xml:space="preserve"> PAGEREF _Toc502934532 \h </w:instrText>
            </w:r>
            <w:r>
              <w:rPr>
                <w:noProof/>
                <w:webHidden/>
              </w:rPr>
            </w:r>
            <w:r>
              <w:rPr>
                <w:noProof/>
                <w:webHidden/>
              </w:rPr>
              <w:fldChar w:fldCharType="separate"/>
            </w:r>
            <w:r w:rsidR="004E2EE6">
              <w:rPr>
                <w:noProof/>
                <w:webHidden/>
              </w:rPr>
              <w:t>1</w:t>
            </w:r>
            <w:r>
              <w:rPr>
                <w:noProof/>
                <w:webHidden/>
              </w:rPr>
              <w:fldChar w:fldCharType="end"/>
            </w:r>
          </w:hyperlink>
        </w:p>
        <w:p w:rsidR="00FA28CF" w:rsidRDefault="00FA28CF">
          <w:pPr>
            <w:pStyle w:val="TOC1"/>
            <w:tabs>
              <w:tab w:val="left" w:pos="440"/>
              <w:tab w:val="right" w:leader="dot" w:pos="9016"/>
            </w:tabs>
            <w:rPr>
              <w:rFonts w:eastAsiaTheme="minorEastAsia"/>
              <w:noProof/>
              <w:lang w:eastAsia="en-GB"/>
            </w:rPr>
          </w:pPr>
          <w:hyperlink w:anchor="_Toc502934533" w:history="1">
            <w:r w:rsidRPr="00C21B12">
              <w:rPr>
                <w:rStyle w:val="Hyperlink"/>
                <w:noProof/>
              </w:rPr>
              <w:t>5.</w:t>
            </w:r>
            <w:r>
              <w:rPr>
                <w:rFonts w:eastAsiaTheme="minorEastAsia"/>
                <w:noProof/>
                <w:lang w:eastAsia="en-GB"/>
              </w:rPr>
              <w:tab/>
            </w:r>
            <w:r w:rsidRPr="00C21B12">
              <w:rPr>
                <w:rStyle w:val="Hyperlink"/>
                <w:noProof/>
              </w:rPr>
              <w:t>Reference List</w:t>
            </w:r>
            <w:r>
              <w:rPr>
                <w:noProof/>
                <w:webHidden/>
              </w:rPr>
              <w:tab/>
            </w:r>
            <w:r>
              <w:rPr>
                <w:noProof/>
                <w:webHidden/>
              </w:rPr>
              <w:fldChar w:fldCharType="begin"/>
            </w:r>
            <w:r>
              <w:rPr>
                <w:noProof/>
                <w:webHidden/>
              </w:rPr>
              <w:instrText xml:space="preserve"> PAGEREF _Toc502934533 \h </w:instrText>
            </w:r>
            <w:r>
              <w:rPr>
                <w:noProof/>
                <w:webHidden/>
              </w:rPr>
            </w:r>
            <w:r>
              <w:rPr>
                <w:noProof/>
                <w:webHidden/>
              </w:rPr>
              <w:fldChar w:fldCharType="separate"/>
            </w:r>
            <w:r w:rsidR="004E2EE6">
              <w:rPr>
                <w:noProof/>
                <w:webHidden/>
              </w:rPr>
              <w:t>1</w:t>
            </w:r>
            <w:r>
              <w:rPr>
                <w:noProof/>
                <w:webHidden/>
              </w:rPr>
              <w:fldChar w:fldCharType="end"/>
            </w:r>
          </w:hyperlink>
        </w:p>
        <w:p w:rsidR="00E134AD" w:rsidRDefault="00E134AD">
          <w:r>
            <w:rPr>
              <w:b/>
              <w:bCs/>
              <w:noProof/>
            </w:rPr>
            <w:fldChar w:fldCharType="end"/>
          </w:r>
        </w:p>
      </w:sdtContent>
    </w:sdt>
    <w:p w:rsidR="00E134AD" w:rsidRDefault="00E134AD"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784FAD" w:rsidRDefault="00784FAD" w:rsidP="00E134AD"/>
    <w:p w:rsidR="00784FAD" w:rsidRDefault="00784FAD" w:rsidP="00E134AD"/>
    <w:p w:rsidR="00F96FF4" w:rsidRDefault="00F96FF4" w:rsidP="00E134AD"/>
    <w:p w:rsidR="00784FAD" w:rsidRDefault="00784FAD" w:rsidP="00080433">
      <w:pPr>
        <w:pStyle w:val="Heading1"/>
        <w:numPr>
          <w:ilvl w:val="0"/>
          <w:numId w:val="1"/>
        </w:numPr>
      </w:pPr>
      <w:bookmarkStart w:id="0" w:name="_Toc502934528"/>
      <w:r>
        <w:t>Concept Design &amp; Functional Requirements</w:t>
      </w:r>
      <w:bookmarkEnd w:id="0"/>
    </w:p>
    <w:p w:rsidR="00784FAD" w:rsidRDefault="00784FAD" w:rsidP="00784FAD"/>
    <w:p w:rsidR="00784FAD" w:rsidRDefault="000F3DE9" w:rsidP="00784FAD">
      <w:r>
        <w:rPr>
          <w:noProof/>
          <w:lang w:eastAsia="en-GB"/>
        </w:rPr>
        <w:drawing>
          <wp:anchor distT="0" distB="0" distL="114300" distR="114300" simplePos="0" relativeHeight="251663360" behindDoc="0" locked="0" layoutInCell="1" allowOverlap="1" wp14:anchorId="4F2FEA63" wp14:editId="7C3FAA9B">
            <wp:simplePos x="0" y="0"/>
            <wp:positionH relativeFrom="margin">
              <wp:align>right</wp:align>
            </wp:positionH>
            <wp:positionV relativeFrom="margin">
              <wp:posOffset>556895</wp:posOffset>
            </wp:positionV>
            <wp:extent cx="1957070" cy="2478405"/>
            <wp:effectExtent l="0" t="0" r="508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rill assy.jpg"/>
                    <pic:cNvPicPr/>
                  </pic:nvPicPr>
                  <pic:blipFill>
                    <a:blip r:embed="rId11">
                      <a:extLst>
                        <a:ext uri="{28A0092B-C50C-407E-A947-70E740481C1C}">
                          <a14:useLocalDpi xmlns:a14="http://schemas.microsoft.com/office/drawing/2010/main" val="0"/>
                        </a:ext>
                      </a:extLst>
                    </a:blip>
                    <a:stretch>
                      <a:fillRect/>
                    </a:stretch>
                  </pic:blipFill>
                  <pic:spPr>
                    <a:xfrm>
                      <a:off x="0" y="0"/>
                      <a:ext cx="1957070" cy="2478405"/>
                    </a:xfrm>
                    <a:prstGeom prst="rect">
                      <a:avLst/>
                    </a:prstGeom>
                  </pic:spPr>
                </pic:pic>
              </a:graphicData>
            </a:graphic>
            <wp14:sizeRelH relativeFrom="margin">
              <wp14:pctWidth>0</wp14:pctWidth>
            </wp14:sizeRelH>
            <wp14:sizeRelV relativeFrom="margin">
              <wp14:pctHeight>0</wp14:pctHeight>
            </wp14:sizeRelV>
          </wp:anchor>
        </w:drawing>
      </w:r>
      <w:r w:rsidR="007A1EDD">
        <w:t>The Drill Press is made up of eight components:</w:t>
      </w:r>
    </w:p>
    <w:p w:rsidR="007A1EDD" w:rsidRDefault="007A1EDD" w:rsidP="007A1EDD">
      <w:pPr>
        <w:pStyle w:val="ListParagraph"/>
        <w:numPr>
          <w:ilvl w:val="0"/>
          <w:numId w:val="7"/>
        </w:numPr>
      </w:pPr>
      <w:r>
        <w:t>Base</w:t>
      </w:r>
      <w:r w:rsidR="0064105B">
        <w:t xml:space="preserve">                                                                           </w:t>
      </w:r>
    </w:p>
    <w:p w:rsidR="007A1EDD" w:rsidRDefault="007A1EDD" w:rsidP="007A1EDD">
      <w:pPr>
        <w:pStyle w:val="ListParagraph"/>
        <w:numPr>
          <w:ilvl w:val="0"/>
          <w:numId w:val="7"/>
        </w:numPr>
      </w:pPr>
      <w:r>
        <w:t>Guide Shaft</w:t>
      </w:r>
    </w:p>
    <w:p w:rsidR="007A1EDD" w:rsidRDefault="007A1EDD" w:rsidP="007A1EDD">
      <w:pPr>
        <w:pStyle w:val="ListParagraph"/>
        <w:numPr>
          <w:ilvl w:val="0"/>
          <w:numId w:val="7"/>
        </w:numPr>
      </w:pPr>
      <w:r>
        <w:t>Lever Arm</w:t>
      </w:r>
    </w:p>
    <w:p w:rsidR="007A1EDD" w:rsidRDefault="007A1EDD" w:rsidP="007A1EDD">
      <w:pPr>
        <w:pStyle w:val="ListParagraph"/>
        <w:numPr>
          <w:ilvl w:val="0"/>
          <w:numId w:val="7"/>
        </w:numPr>
      </w:pPr>
      <w:r>
        <w:t>Link Arm</w:t>
      </w:r>
    </w:p>
    <w:p w:rsidR="007A1EDD" w:rsidRDefault="007A1EDD" w:rsidP="007A1EDD">
      <w:pPr>
        <w:pStyle w:val="ListParagraph"/>
        <w:numPr>
          <w:ilvl w:val="0"/>
          <w:numId w:val="7"/>
        </w:numPr>
      </w:pPr>
      <w:r>
        <w:t>Main Shaft</w:t>
      </w:r>
    </w:p>
    <w:p w:rsidR="007A1EDD" w:rsidRDefault="007A1EDD" w:rsidP="007A1EDD">
      <w:pPr>
        <w:pStyle w:val="ListParagraph"/>
        <w:numPr>
          <w:ilvl w:val="0"/>
          <w:numId w:val="7"/>
        </w:numPr>
      </w:pPr>
      <w:r>
        <w:t>Main Sliding Unit</w:t>
      </w:r>
    </w:p>
    <w:p w:rsidR="007A1EDD" w:rsidRDefault="007A1EDD" w:rsidP="007A1EDD">
      <w:pPr>
        <w:pStyle w:val="ListParagraph"/>
        <w:numPr>
          <w:ilvl w:val="0"/>
          <w:numId w:val="7"/>
        </w:numPr>
      </w:pPr>
      <w:r>
        <w:t>Support Clamp</w:t>
      </w:r>
    </w:p>
    <w:p w:rsidR="007A1EDD" w:rsidRDefault="007A1EDD" w:rsidP="007A1EDD">
      <w:pPr>
        <w:pStyle w:val="ListParagraph"/>
        <w:numPr>
          <w:ilvl w:val="0"/>
          <w:numId w:val="7"/>
        </w:numPr>
      </w:pPr>
      <w:r>
        <w:t>Top Brace Clamp</w:t>
      </w:r>
    </w:p>
    <w:p w:rsidR="0064105B" w:rsidRDefault="0064105B" w:rsidP="0064105B"/>
    <w:p w:rsidR="00B55854" w:rsidRDefault="00B55854" w:rsidP="0064105B"/>
    <w:p w:rsidR="00A702D3" w:rsidRDefault="00BD4C3B" w:rsidP="0064105B">
      <w:r>
        <w:rPr>
          <w:noProof/>
          <w:lang w:eastAsia="en-GB"/>
        </w:rPr>
        <mc:AlternateContent>
          <mc:Choice Requires="wps">
            <w:drawing>
              <wp:anchor distT="45720" distB="45720" distL="114300" distR="114300" simplePos="0" relativeHeight="251666432" behindDoc="0" locked="0" layoutInCell="1" allowOverlap="1" wp14:anchorId="318109ED" wp14:editId="3E668843">
                <wp:simplePos x="0" y="0"/>
                <wp:positionH relativeFrom="column">
                  <wp:posOffset>3607435</wp:posOffset>
                </wp:positionH>
                <wp:positionV relativeFrom="paragraph">
                  <wp:posOffset>199390</wp:posOffset>
                </wp:positionV>
                <wp:extent cx="2360930" cy="4572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57200"/>
                        </a:xfrm>
                        <a:prstGeom prst="rect">
                          <a:avLst/>
                        </a:prstGeom>
                        <a:solidFill>
                          <a:srgbClr val="FFFFFF"/>
                        </a:solidFill>
                        <a:ln w="9525">
                          <a:solidFill>
                            <a:srgbClr val="000000"/>
                          </a:solidFill>
                          <a:miter lim="800000"/>
                          <a:headEnd/>
                          <a:tailEnd/>
                        </a:ln>
                      </wps:spPr>
                      <wps:txbx>
                        <w:txbxContent>
                          <w:p w:rsidR="00BD4C3B" w:rsidRDefault="00BD4C3B">
                            <w:r>
                              <w:t>Figure 1 – Original Drill Press (Solidworks)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18109ED" id="Text Box 2" o:spid="_x0000_s1029" type="#_x0000_t202" style="position:absolute;margin-left:284.05pt;margin-top:15.7pt;width:185.9pt;height:36pt;z-index:2516664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">
                <v:textbox>
                  <w:txbxContent>
                    <w:p w:rsidR="00BD4C3B" w:rsidRDefault="00BD4C3B">
                      <w:r>
                        <w:t>Figure 1 – Original Drill Press (Solidworks)</w:t>
                      </w:r>
                    </w:p>
                  </w:txbxContent>
                </v:textbox>
                <w10:wrap type="square"/>
              </v:shape>
            </w:pict>
          </mc:Fallback>
        </mc:AlternateContent>
      </w:r>
    </w:p>
    <w:p w:rsidR="00BD4C3B" w:rsidRDefault="00BD4C3B" w:rsidP="0064105B"/>
    <w:p w:rsidR="00BD4C3B" w:rsidRDefault="00BD4C3B" w:rsidP="0064105B"/>
    <w:p w:rsidR="001E50F1" w:rsidRDefault="00C47EA2" w:rsidP="0064105B">
      <w:r>
        <w:t>The wood, metal or other material would be clamped to the base. Drilling tool inserted into the main sliding un</w:t>
      </w:r>
      <w:r w:rsidR="00FE525B">
        <w:t>it and fastened in securely using</w:t>
      </w:r>
      <w:r>
        <w:t xml:space="preserve"> a small screw. Lever arm then raised resulting in the main sliding unit moving up the main shaft to required height. Lever arm may then be lowered down with pressure so the drilling tool cuts the desired hole into the material.</w:t>
      </w:r>
    </w:p>
    <w:p w:rsidR="00B55854" w:rsidRDefault="001E50F1" w:rsidP="0064105B">
      <w:r>
        <w:t xml:space="preserve">The key component under observation for redesign in the report is the ‘main sliding unit’. The material </w:t>
      </w:r>
      <w:r w:rsidR="00C11653">
        <w:t>used for the part must be stiff</w:t>
      </w:r>
      <w:bookmarkStart w:id="1" w:name="_GoBack"/>
      <w:bookmarkEnd w:id="1"/>
      <w:r>
        <w:t xml:space="preserve"> and sturd</w:t>
      </w:r>
      <w:r w:rsidR="006266B0">
        <w:t xml:space="preserve">y so the part does not </w:t>
      </w:r>
      <w:r>
        <w:t xml:space="preserve">fail when pressure is exerted </w:t>
      </w:r>
      <w:r w:rsidR="00BE3B9F">
        <w:t>on the lever arm</w:t>
      </w:r>
      <w:r w:rsidR="006643E3">
        <w:t>,</w:t>
      </w:r>
      <w:r w:rsidR="00BE3B9F">
        <w:t xml:space="preserve"> allowing</w:t>
      </w:r>
      <w:r>
        <w:t xml:space="preserve"> the drilling tool </w:t>
      </w:r>
      <w:r w:rsidR="00BE3B9F">
        <w:t>to penetrate</w:t>
      </w:r>
      <w:r>
        <w:t xml:space="preserve"> the material.</w:t>
      </w:r>
      <w:r w:rsidR="008F0142">
        <w:t xml:space="preserve"> The sliding unit contains two holes that travel all the way through. One allows the unit to travel along the main shaft while the other allows the guide shaft to direct the sliding unit.</w:t>
      </w:r>
      <w:r w:rsidR="006266B0">
        <w:t xml:space="preserve"> On the side of the sliding unit there is a </w:t>
      </w:r>
      <w:r w:rsidR="00082563">
        <w:t>small extruded cylindrical boss</w:t>
      </w:r>
      <w:r w:rsidR="006266B0">
        <w:t xml:space="preserve"> which </w:t>
      </w:r>
      <w:r w:rsidR="006D45B0">
        <w:t xml:space="preserve">allows the </w:t>
      </w:r>
      <w:r w:rsidR="00A41B88">
        <w:t>link arm</w:t>
      </w:r>
      <w:r w:rsidR="00463BF8">
        <w:t xml:space="preserve"> to</w:t>
      </w:r>
      <w:r w:rsidR="006D45B0">
        <w:t xml:space="preserve"> connect</w:t>
      </w:r>
      <w:r w:rsidR="00A41B88">
        <w:t xml:space="preserve"> to the lever arm.</w:t>
      </w:r>
    </w:p>
    <w:p w:rsidR="00A41B88" w:rsidRDefault="00BD4C3B" w:rsidP="0064105B">
      <w:r>
        <w:rPr>
          <w:noProof/>
          <w:lang w:eastAsia="en-GB"/>
        </w:rPr>
        <w:drawing>
          <wp:inline distT="0" distB="0" distL="0" distR="0" wp14:anchorId="7E8650E5" wp14:editId="01DA6A3D">
            <wp:extent cx="2557463" cy="142113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rill assy2.png"/>
                    <pic:cNvPicPr/>
                  </pic:nvPicPr>
                  <pic:blipFill>
                    <a:blip r:embed="rId12">
                      <a:extLst>
                        <a:ext uri="{28A0092B-C50C-407E-A947-70E740481C1C}">
                          <a14:useLocalDpi xmlns:a14="http://schemas.microsoft.com/office/drawing/2010/main" val="0"/>
                        </a:ext>
                      </a:extLst>
                    </a:blip>
                    <a:stretch>
                      <a:fillRect/>
                    </a:stretch>
                  </pic:blipFill>
                  <pic:spPr>
                    <a:xfrm>
                      <a:off x="0" y="0"/>
                      <a:ext cx="2609215" cy="1449888"/>
                    </a:xfrm>
                    <a:prstGeom prst="rect">
                      <a:avLst/>
                    </a:prstGeom>
                  </pic:spPr>
                </pic:pic>
              </a:graphicData>
            </a:graphic>
          </wp:inline>
        </w:drawing>
      </w:r>
    </w:p>
    <w:p w:rsidR="00A41B88" w:rsidRDefault="00BD4C3B" w:rsidP="0064105B">
      <w:r>
        <w:rPr>
          <w:noProof/>
          <w:lang w:eastAsia="en-GB"/>
        </w:rPr>
        <mc:AlternateContent>
          <mc:Choice Requires="wps">
            <w:drawing>
              <wp:anchor distT="45720" distB="45720" distL="114300" distR="114300" simplePos="0" relativeHeight="251670528" behindDoc="0" locked="0" layoutInCell="1" allowOverlap="1" wp14:anchorId="332A622E" wp14:editId="7C054524">
                <wp:simplePos x="0" y="0"/>
                <wp:positionH relativeFrom="margin">
                  <wp:align>right</wp:align>
                </wp:positionH>
                <wp:positionV relativeFrom="paragraph">
                  <wp:posOffset>5715</wp:posOffset>
                </wp:positionV>
                <wp:extent cx="2414270" cy="521335"/>
                <wp:effectExtent l="0" t="0" r="24130" b="1206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4270" cy="521335"/>
                        </a:xfrm>
                        <a:prstGeom prst="rect">
                          <a:avLst/>
                        </a:prstGeom>
                        <a:solidFill>
                          <a:srgbClr val="FFFFFF"/>
                        </a:solidFill>
                        <a:ln w="9525">
                          <a:solidFill>
                            <a:srgbClr val="000000"/>
                          </a:solidFill>
                          <a:miter lim="800000"/>
                          <a:headEnd/>
                          <a:tailEnd/>
                        </a:ln>
                      </wps:spPr>
                      <wps:txbx>
                        <w:txbxContent>
                          <w:p w:rsidR="00BD4C3B" w:rsidRDefault="00BD4C3B">
                            <w:r>
                              <w:t>Figure 3 – Side view of ‘main sliding unit’ (Solidworks)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2A622E" id="_x0000_s1030" type="#_x0000_t202" style="position:absolute;margin-left:138.9pt;margin-top:.45pt;width:190.1pt;height:41.05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">
                <v:textbox>
                  <w:txbxContent>
                    <w:p w:rsidR="00BD4C3B" w:rsidRDefault="00BD4C3B">
                      <w:r>
                        <w:t>Figure 3 – Side view of ‘main sliding unit’ (Solidworks)</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8480" behindDoc="0" locked="0" layoutInCell="1" allowOverlap="1" wp14:anchorId="713A8364" wp14:editId="6CCF8358">
                <wp:simplePos x="0" y="0"/>
                <wp:positionH relativeFrom="column">
                  <wp:posOffset>13970</wp:posOffset>
                </wp:positionH>
                <wp:positionV relativeFrom="paragraph">
                  <wp:posOffset>19685</wp:posOffset>
                </wp:positionV>
                <wp:extent cx="2335530" cy="521335"/>
                <wp:effectExtent l="0" t="0" r="26670" b="1206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5530" cy="521335"/>
                        </a:xfrm>
                        <a:prstGeom prst="rect">
                          <a:avLst/>
                        </a:prstGeom>
                        <a:solidFill>
                          <a:srgbClr val="FFFFFF"/>
                        </a:solidFill>
                        <a:ln w="9525">
                          <a:solidFill>
                            <a:srgbClr val="000000"/>
                          </a:solidFill>
                          <a:miter lim="800000"/>
                          <a:headEnd/>
                          <a:tailEnd/>
                        </a:ln>
                      </wps:spPr>
                      <wps:txbx>
                        <w:txbxContent>
                          <w:p w:rsidR="00BD4C3B" w:rsidRDefault="00BD4C3B">
                            <w:r>
                              <w:t>Figure 2 – Underneath of ‘main sliding unit’ (Solidworks)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3A8364" id="_x0000_s1031" type="#_x0000_t202" style="position:absolute;margin-left:1.1pt;margin-top:1.55pt;width:183.9pt;height:41.0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">
                <v:textbox>
                  <w:txbxContent>
                    <w:p w:rsidR="00BD4C3B" w:rsidRDefault="00BD4C3B">
                      <w:r>
                        <w:t>Figure 2 – Underneath of ‘main sliding unit’ (Solidworks)</w:t>
                      </w:r>
                    </w:p>
                  </w:txbxContent>
                </v:textbox>
                <w10:wrap type="square"/>
              </v:shape>
            </w:pict>
          </mc:Fallback>
        </mc:AlternateContent>
      </w:r>
    </w:p>
    <w:p w:rsidR="008F0142" w:rsidRDefault="00EE187A" w:rsidP="0064105B">
      <w:r>
        <w:rPr>
          <w:noProof/>
          <w:lang w:eastAsia="en-GB"/>
        </w:rPr>
        <w:drawing>
          <wp:anchor distT="0" distB="0" distL="114300" distR="114300" simplePos="0" relativeHeight="251664384" behindDoc="0" locked="0" layoutInCell="1" allowOverlap="1" wp14:anchorId="6FEEB616" wp14:editId="33CC5238">
            <wp:simplePos x="0" y="0"/>
            <wp:positionH relativeFrom="margin">
              <wp:posOffset>3114040</wp:posOffset>
            </wp:positionH>
            <wp:positionV relativeFrom="margin">
              <wp:posOffset>5949950</wp:posOffset>
            </wp:positionV>
            <wp:extent cx="2892425" cy="1335405"/>
            <wp:effectExtent l="0" t="0" r="317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rill assy3.png"/>
                    <pic:cNvPicPr/>
                  </pic:nvPicPr>
                  <pic:blipFill>
                    <a:blip r:embed="rId13">
                      <a:extLst>
                        <a:ext uri="{28A0092B-C50C-407E-A947-70E740481C1C}">
                          <a14:useLocalDpi xmlns:a14="http://schemas.microsoft.com/office/drawing/2010/main" val="0"/>
                        </a:ext>
                      </a:extLst>
                    </a:blip>
                    <a:stretch>
                      <a:fillRect/>
                    </a:stretch>
                  </pic:blipFill>
                  <pic:spPr>
                    <a:xfrm>
                      <a:off x="0" y="0"/>
                      <a:ext cx="2892425" cy="1335405"/>
                    </a:xfrm>
                    <a:prstGeom prst="rect">
                      <a:avLst/>
                    </a:prstGeom>
                  </pic:spPr>
                </pic:pic>
              </a:graphicData>
            </a:graphic>
            <wp14:sizeRelV relativeFrom="margin">
              <wp14:pctHeight>0</wp14:pctHeight>
            </wp14:sizeRelV>
          </wp:anchor>
        </w:drawing>
      </w:r>
    </w:p>
    <w:p w:rsidR="00B55854" w:rsidRDefault="00B55854" w:rsidP="0064105B"/>
    <w:p w:rsidR="0064105B" w:rsidRPr="00784FAD" w:rsidRDefault="0064105B" w:rsidP="0064105B"/>
    <w:p w:rsidR="00C70899" w:rsidRDefault="00784FAD" w:rsidP="00C70899">
      <w:r>
        <w:t xml:space="preserve"> </w:t>
      </w:r>
    </w:p>
    <w:p w:rsidR="00C70899" w:rsidRDefault="00EE187A" w:rsidP="00080433">
      <w:pPr>
        <w:pStyle w:val="Heading1"/>
        <w:numPr>
          <w:ilvl w:val="0"/>
          <w:numId w:val="1"/>
        </w:numPr>
      </w:pPr>
      <w:bookmarkStart w:id="2" w:name="_Toc502934529"/>
      <w:r>
        <w:t>Manufacturing method and material</w:t>
      </w:r>
      <w:bookmarkEnd w:id="2"/>
      <w:r>
        <w:t xml:space="preserve"> </w:t>
      </w:r>
    </w:p>
    <w:p w:rsidR="00DF47CF" w:rsidRDefault="00DF47CF" w:rsidP="00DF47CF"/>
    <w:p w:rsidR="00DF47CF" w:rsidRDefault="005F38CE" w:rsidP="00DF47CF">
      <w:r>
        <w:t>A suitable manufacturing method for production of the main sliding arm component would be polymer injection moulding.</w:t>
      </w:r>
      <w:r w:rsidR="006153B4">
        <w:t xml:space="preserve"> Injection moulding is a process in which a polymer is heated to a highly plastic state and forced to flow under high pressure into a molten cavity, where it solidifies </w:t>
      </w:r>
      <w:r w:rsidR="00353DA5">
        <w:t>(Groover, 2010</w:t>
      </w:r>
      <w:r w:rsidR="00AB280D">
        <w:t>, p286</w:t>
      </w:r>
      <w:r w:rsidR="00C616D1">
        <w:t xml:space="preserve">). </w:t>
      </w:r>
    </w:p>
    <w:p w:rsidR="00C33FB7" w:rsidRDefault="004E72E3" w:rsidP="004E72E3">
      <w:r>
        <w:t xml:space="preserve">The chosen polymeric material for the production of the part is Polyoxymethylene (POM). </w:t>
      </w:r>
      <w:r w:rsidR="00EE1EC2">
        <w:t>POM</w:t>
      </w:r>
      <w:r>
        <w:t>, also known as acetal, polyacetal and polyformaldehyde, is an engineering thermoplastic used in precision parts which require high stiffness, low friction and excellent dimensional stability. As a tough, solvent and fuel resistant plastic it is used for gears, bearings, window guides, speaker grills, zips, lighters, aerosol valves, fasteners and furniture components (</w:t>
      </w:r>
      <w:r w:rsidR="00EE1EC2">
        <w:t>plasticseurope.org, 2017).</w:t>
      </w:r>
      <w:r w:rsidR="000C55AB">
        <w:t xml:space="preserve"> </w:t>
      </w:r>
    </w:p>
    <w:p w:rsidR="00713154" w:rsidRDefault="00864544" w:rsidP="004E72E3">
      <w:r>
        <w:t>Polymer injection moulding allows for the production of complex and intricate shapes</w:t>
      </w:r>
      <w:r w:rsidR="00AB0FED">
        <w:t>. Part size</w:t>
      </w:r>
      <w:r>
        <w:t xml:space="preserve"> may range from </w:t>
      </w:r>
      <w:r w:rsidR="00AB0FED">
        <w:t>50g up to 25kg. The mould is the custom made tool and determines the part shape, size, dimensions and tolerances (Groover, 2010, p286). When production run for a specific part is finished the mould can be replaced with another for the next part</w:t>
      </w:r>
      <w:r w:rsidR="006C6850">
        <w:t>.</w:t>
      </w:r>
      <w:r w:rsidR="00AB0FED">
        <w:t xml:space="preserve"> For the production of the main sliding unit, two</w:t>
      </w:r>
      <w:r w:rsidR="006C6850">
        <w:t xml:space="preserve"> steel</w:t>
      </w:r>
      <w:r w:rsidR="00AB0FED">
        <w:t xml:space="preserve"> moulds would be required.</w:t>
      </w:r>
      <w:r w:rsidR="006C6850">
        <w:t xml:space="preserve"> Enabling for the production of 500 units per week.</w:t>
      </w:r>
      <w:r w:rsidR="00AB0FED">
        <w:t xml:space="preserve"> </w:t>
      </w:r>
      <w:r w:rsidR="00DF22CE">
        <w:t>The component split down the centre into two separate parts</w:t>
      </w:r>
      <w:r w:rsidR="005275BE">
        <w:t xml:space="preserve"> (left &amp; right)</w:t>
      </w:r>
      <w:r w:rsidR="00DF22CE">
        <w:t xml:space="preserve"> for production, then joined together to form the</w:t>
      </w:r>
      <w:r w:rsidR="003847F3">
        <w:t xml:space="preserve"> completed</w:t>
      </w:r>
      <w:r w:rsidR="00DF22CE">
        <w:t xml:space="preserve"> sliding arm unit. </w:t>
      </w:r>
    </w:p>
    <w:p w:rsidR="00E43081" w:rsidRDefault="00E43081" w:rsidP="004E72E3"/>
    <w:p w:rsidR="00713154" w:rsidRDefault="00713154" w:rsidP="004E72E3">
      <w:r>
        <w:rPr>
          <w:noProof/>
          <w:lang w:eastAsia="en-GB"/>
        </w:rPr>
        <w:drawing>
          <wp:inline distT="0" distB="0" distL="0" distR="0" wp14:anchorId="407AFB4C" wp14:editId="49075AFD">
            <wp:extent cx="2691540" cy="145716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rill assy4.png"/>
                    <pic:cNvPicPr/>
                  </pic:nvPicPr>
                  <pic:blipFill>
                    <a:blip r:embed="rId14">
                      <a:extLst>
                        <a:ext uri="{28A0092B-C50C-407E-A947-70E740481C1C}">
                          <a14:useLocalDpi xmlns:a14="http://schemas.microsoft.com/office/drawing/2010/main" val="0"/>
                        </a:ext>
                      </a:extLst>
                    </a:blip>
                    <a:stretch>
                      <a:fillRect/>
                    </a:stretch>
                  </pic:blipFill>
                  <pic:spPr>
                    <a:xfrm>
                      <a:off x="0" y="0"/>
                      <a:ext cx="2691540" cy="1457166"/>
                    </a:xfrm>
                    <a:prstGeom prst="rect">
                      <a:avLst/>
                    </a:prstGeom>
                  </pic:spPr>
                </pic:pic>
              </a:graphicData>
            </a:graphic>
          </wp:inline>
        </w:drawing>
      </w:r>
      <w:r>
        <w:rPr>
          <w:noProof/>
          <w:lang w:eastAsia="en-GB"/>
        </w:rPr>
        <w:drawing>
          <wp:inline distT="0" distB="0" distL="0" distR="0" wp14:anchorId="3A3A8795" wp14:editId="727039A4">
            <wp:extent cx="2705735" cy="1535906"/>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rill assy5.png"/>
                    <pic:cNvPicPr/>
                  </pic:nvPicPr>
                  <pic:blipFill>
                    <a:blip r:embed="rId15">
                      <a:extLst>
                        <a:ext uri="{28A0092B-C50C-407E-A947-70E740481C1C}">
                          <a14:useLocalDpi xmlns:a14="http://schemas.microsoft.com/office/drawing/2010/main" val="0"/>
                        </a:ext>
                      </a:extLst>
                    </a:blip>
                    <a:stretch>
                      <a:fillRect/>
                    </a:stretch>
                  </pic:blipFill>
                  <pic:spPr>
                    <a:xfrm>
                      <a:off x="0" y="0"/>
                      <a:ext cx="2763544" cy="1568721"/>
                    </a:xfrm>
                    <a:prstGeom prst="rect">
                      <a:avLst/>
                    </a:prstGeom>
                  </pic:spPr>
                </pic:pic>
              </a:graphicData>
            </a:graphic>
          </wp:inline>
        </w:drawing>
      </w:r>
    </w:p>
    <w:p w:rsidR="00964862" w:rsidRDefault="00964862" w:rsidP="004E72E3">
      <w:r>
        <w:rPr>
          <w:noProof/>
          <w:lang w:eastAsia="en-GB"/>
        </w:rPr>
        <mc:AlternateContent>
          <mc:Choice Requires="wps">
            <w:drawing>
              <wp:anchor distT="45720" distB="45720" distL="114300" distR="114300" simplePos="0" relativeHeight="251674624" behindDoc="0" locked="0" layoutInCell="1" allowOverlap="1" wp14:anchorId="5660329A" wp14:editId="438218AF">
                <wp:simplePos x="0" y="0"/>
                <wp:positionH relativeFrom="column">
                  <wp:posOffset>2835910</wp:posOffset>
                </wp:positionH>
                <wp:positionV relativeFrom="paragraph">
                  <wp:posOffset>3810</wp:posOffset>
                </wp:positionV>
                <wp:extent cx="2514600" cy="45720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457200"/>
                        </a:xfrm>
                        <a:prstGeom prst="rect">
                          <a:avLst/>
                        </a:prstGeom>
                        <a:solidFill>
                          <a:srgbClr val="FFFFFF"/>
                        </a:solidFill>
                        <a:ln w="9525">
                          <a:solidFill>
                            <a:srgbClr val="000000"/>
                          </a:solidFill>
                          <a:miter lim="800000"/>
                          <a:headEnd/>
                          <a:tailEnd/>
                        </a:ln>
                      </wps:spPr>
                      <wps:txbx>
                        <w:txbxContent>
                          <w:p w:rsidR="00964862" w:rsidRDefault="00964862">
                            <w:r>
                              <w:t>Figure 5 – Interior view of part 2 of ‘main sliding unit’ (Solidworks)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60329A" id="_x0000_s1032" type="#_x0000_t202" style="position:absolute;margin-left:223.3pt;margin-top:.3pt;width:198pt;height:36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">
                <v:textbox>
                  <w:txbxContent>
                    <w:p w:rsidR="00964862" w:rsidRDefault="00964862">
                      <w:r>
                        <w:t>Figure 5 – Interior view of part 2 of ‘main sliding unit’ (Solidworks)</w:t>
                      </w:r>
                    </w:p>
                  </w:txbxContent>
                </v:textbox>
                <w10:wrap type="square"/>
              </v:shape>
            </w:pict>
          </mc:Fallback>
        </mc:AlternateContent>
      </w:r>
      <w:r>
        <w:rPr>
          <w:noProof/>
          <w:lang w:eastAsia="en-GB"/>
        </w:rPr>
        <mc:AlternateContent>
          <mc:Choice Requires="wps">
            <w:drawing>
              <wp:anchor distT="45720" distB="45720" distL="114300" distR="114300" simplePos="0" relativeHeight="251672576" behindDoc="0" locked="0" layoutInCell="1" allowOverlap="1" wp14:anchorId="70F9CA23" wp14:editId="39CC9561">
                <wp:simplePos x="0" y="0"/>
                <wp:positionH relativeFrom="margin">
                  <wp:align>left</wp:align>
                </wp:positionH>
                <wp:positionV relativeFrom="paragraph">
                  <wp:posOffset>3810</wp:posOffset>
                </wp:positionV>
                <wp:extent cx="2693035" cy="449580"/>
                <wp:effectExtent l="0" t="0" r="12065" b="266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3035" cy="449580"/>
                        </a:xfrm>
                        <a:prstGeom prst="rect">
                          <a:avLst/>
                        </a:prstGeom>
                        <a:solidFill>
                          <a:srgbClr val="FFFFFF"/>
                        </a:solidFill>
                        <a:ln w="9525">
                          <a:solidFill>
                            <a:srgbClr val="000000"/>
                          </a:solidFill>
                          <a:miter lim="800000"/>
                          <a:headEnd/>
                          <a:tailEnd/>
                        </a:ln>
                      </wps:spPr>
                      <wps:txbx>
                        <w:txbxContent>
                          <w:p w:rsidR="00964862" w:rsidRDefault="00964862">
                            <w:r>
                              <w:t xml:space="preserve">Figure 4 – Interior view of part 1 of ‘main sliding unit’ </w:t>
                            </w:r>
                            <w:r w:rsidR="00135211">
                              <w:t>(</w:t>
                            </w:r>
                            <w:r>
                              <w:t>Solidworks)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F9CA23" id="_x0000_s1033" type="#_x0000_t202" style="position:absolute;margin-left:0;margin-top:.3pt;width:212.05pt;height:35.4pt;z-index:2516725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">
                <v:textbox>
                  <w:txbxContent>
                    <w:p w:rsidR="00964862" w:rsidRDefault="00964862">
                      <w:r>
                        <w:t xml:space="preserve">Figure 4 – Interior view of part 1 of ‘main sliding unit’ </w:t>
                      </w:r>
                      <w:r w:rsidR="00135211">
                        <w:t>(</w:t>
                      </w:r>
                      <w:r>
                        <w:t>Solidworks)</w:t>
                      </w:r>
                    </w:p>
                  </w:txbxContent>
                </v:textbox>
                <w10:wrap type="square" anchorx="margin"/>
              </v:shape>
            </w:pict>
          </mc:Fallback>
        </mc:AlternateContent>
      </w:r>
    </w:p>
    <w:p w:rsidR="00964862" w:rsidRDefault="00964862" w:rsidP="004E72E3"/>
    <w:p w:rsidR="00284217" w:rsidRDefault="00284217" w:rsidP="004E72E3"/>
    <w:p w:rsidR="00713154" w:rsidRDefault="00117853" w:rsidP="004E72E3">
      <w:r>
        <w:t xml:space="preserve">The process required for injection moulding would involve the POM pellets being inserted into the hopper of an injection moulding machine. The machine consists of two main parts, the plastic injection unit and the mould clamping unit. The injection unit is much like an extruder. It contains a barrel fed from one end containing the pellets. Inside the barrel is a reciprocating screw that mixes and heats the polymer, while also acting as a ram that moves forward to inject the molten POM into the steel mould (Groover, 2010, p286). </w:t>
      </w:r>
    </w:p>
    <w:p w:rsidR="00E43081" w:rsidRDefault="00E43081" w:rsidP="004E72E3"/>
    <w:p w:rsidR="00E43081" w:rsidRDefault="00E43081" w:rsidP="004E72E3"/>
    <w:p w:rsidR="00E43081" w:rsidRDefault="00E43081" w:rsidP="004E72E3"/>
    <w:p w:rsidR="00E43081" w:rsidRDefault="00E43081" w:rsidP="004E72E3"/>
    <w:p w:rsidR="001907DC" w:rsidRDefault="001907DC" w:rsidP="001907DC">
      <w:pPr>
        <w:pStyle w:val="Heading2"/>
      </w:pPr>
      <w:bookmarkStart w:id="3" w:name="_Toc502934530"/>
      <w:r>
        <w:t>2.1 Benefits of injection moulding</w:t>
      </w:r>
      <w:bookmarkEnd w:id="3"/>
    </w:p>
    <w:p w:rsidR="001907DC" w:rsidRDefault="001907DC" w:rsidP="001907DC"/>
    <w:p w:rsidR="001907DC" w:rsidRDefault="001907DC" w:rsidP="001907DC">
      <w:pPr>
        <w:pStyle w:val="ListParagraph"/>
        <w:numPr>
          <w:ilvl w:val="0"/>
          <w:numId w:val="8"/>
        </w:numPr>
      </w:pPr>
      <w:r>
        <w:t>Fast production – (15-30) seconds each cycle time.</w:t>
      </w:r>
    </w:p>
    <w:p w:rsidR="001907DC" w:rsidRDefault="001907DC" w:rsidP="001907DC">
      <w:pPr>
        <w:pStyle w:val="ListParagraph"/>
        <w:numPr>
          <w:ilvl w:val="0"/>
          <w:numId w:val="8"/>
        </w:numPr>
      </w:pPr>
      <w:r>
        <w:t>Accurate – moulds allow a very precise finished product.</w:t>
      </w:r>
    </w:p>
    <w:p w:rsidR="001907DC" w:rsidRDefault="001907DC" w:rsidP="001907DC">
      <w:pPr>
        <w:pStyle w:val="ListParagraph"/>
        <w:numPr>
          <w:ilvl w:val="0"/>
          <w:numId w:val="8"/>
        </w:numPr>
      </w:pPr>
      <w:r>
        <w:t>Low labour cost – self gating, automatic tool, ongoing requires minimum supervision.</w:t>
      </w:r>
    </w:p>
    <w:p w:rsidR="001907DC" w:rsidRDefault="001907DC" w:rsidP="001907DC">
      <w:pPr>
        <w:pStyle w:val="ListParagraph"/>
        <w:numPr>
          <w:ilvl w:val="0"/>
          <w:numId w:val="8"/>
        </w:numPr>
      </w:pPr>
      <w:r>
        <w:t>Flexible – type of material and colour can be changed easily.</w:t>
      </w:r>
    </w:p>
    <w:p w:rsidR="001907DC" w:rsidRDefault="001907DC" w:rsidP="001907DC">
      <w:pPr>
        <w:pStyle w:val="ListParagraph"/>
        <w:numPr>
          <w:ilvl w:val="0"/>
          <w:numId w:val="8"/>
        </w:numPr>
      </w:pPr>
      <w:r>
        <w:t>Low wastage – most plastics recycle and mould tools can be refurbished or recycled.</w:t>
      </w:r>
    </w:p>
    <w:p w:rsidR="002B1CDA" w:rsidRDefault="00ED61E2" w:rsidP="002B1CDA">
      <w:pPr>
        <w:pStyle w:val="ListParagraph"/>
        <w:numPr>
          <w:ilvl w:val="0"/>
          <w:numId w:val="8"/>
        </w:numPr>
      </w:pPr>
      <w:r>
        <w:t>Large output – each injection mould tool will have a different guarantee. Some up to 1,000,000 mouldings, refurbished every 250,000 moulds.</w:t>
      </w:r>
    </w:p>
    <w:p w:rsidR="002B1CDA" w:rsidRDefault="00463BF8" w:rsidP="00080433">
      <w:pPr>
        <w:pStyle w:val="Heading1"/>
        <w:numPr>
          <w:ilvl w:val="0"/>
          <w:numId w:val="1"/>
        </w:numPr>
      </w:pPr>
      <w:bookmarkStart w:id="4" w:name="_Toc502934531"/>
      <w:r>
        <w:t>Redesign for manufacture</w:t>
      </w:r>
      <w:bookmarkEnd w:id="4"/>
    </w:p>
    <w:p w:rsidR="00463BF8" w:rsidRDefault="00463BF8" w:rsidP="00463BF8"/>
    <w:p w:rsidR="009B2F2C" w:rsidRDefault="0029784A" w:rsidP="00463BF8">
      <w:r>
        <w:t>Having selected polymer injection moulding as the process and polyoxymethylene for the polymeric material, redesign of the original component may begin.</w:t>
      </w:r>
      <w:r w:rsidR="00221C5D">
        <w:t xml:space="preserve"> The component will be split into two separate parts for the production phase, requiring two</w:t>
      </w:r>
      <w:r w:rsidR="008B496A">
        <w:t xml:space="preserve"> steel</w:t>
      </w:r>
      <w:r w:rsidR="00221C5D">
        <w:t xml:space="preserve"> mould tools.</w:t>
      </w:r>
      <w:r w:rsidR="008B496A">
        <w:t xml:space="preserve"> Features redesigned for each part will be the same, with the exception of the small cylindrical boss that only appears on one of the parts. The tool used to redesign the features will be solidworks CAD software.</w:t>
      </w:r>
    </w:p>
    <w:p w:rsidR="008B496A" w:rsidRDefault="008B496A" w:rsidP="00463BF8">
      <w:r>
        <w:t xml:space="preserve">First feature redesigned will be the wall thickness. The wall thickness for the part 16.5mm is decreased </w:t>
      </w:r>
      <w:r w:rsidR="00AC667B">
        <w:t xml:space="preserve">to 10.5mm, using the ‘shell’ feature on solidworks. Decreasing the wall thickness will result </w:t>
      </w:r>
      <w:r w:rsidR="006C4031">
        <w:t>in a decrease in stiffness, however the part will weigh less, have a shorter cycle time and save on material costs (Bayer, 2000</w:t>
      </w:r>
      <w:r w:rsidR="0017621E">
        <w:t>, p19</w:t>
      </w:r>
      <w:r w:rsidR="006C4031">
        <w:t>).</w:t>
      </w:r>
    </w:p>
    <w:p w:rsidR="006C4031" w:rsidRDefault="0017621E" w:rsidP="00463BF8">
      <w:r>
        <w:t xml:space="preserve">In order to counteract the decrease in stiffness from altering the wall thickness, ribs will be added to the hollowed out section. Ribs provide a means to economically augment stiffness and strength in moulded parts without increasing overall wall thickness. Other uses for ribs include locating and captivating components of an assembly, providing alignment in mating parts and acting as stops or guides for mechanisms (Bayer,2000, p24). </w:t>
      </w:r>
    </w:p>
    <w:p w:rsidR="00E81A44" w:rsidRDefault="00E81A44" w:rsidP="00463BF8">
      <w:r>
        <w:t>All sharp corners are removed using the ‘fillet’ or ‘chamfer’ tool in solidworks.</w:t>
      </w:r>
      <w:r w:rsidR="00DA2D55">
        <w:t xml:space="preserve"> Sharp inside corners concentrate stresses from mechanical loading, substantially reducing mechanical performance (Bayer, 2000).</w:t>
      </w:r>
    </w:p>
    <w:p w:rsidR="00DA2D55" w:rsidRDefault="00DA2D55" w:rsidP="00463BF8">
      <w:r>
        <w:t>The long straight e</w:t>
      </w:r>
      <w:r w:rsidR="00284217">
        <w:t>dge along the side of the part will have a</w:t>
      </w:r>
      <w:r>
        <w:t xml:space="preserve"> draft angle of </w:t>
      </w:r>
      <w:r w:rsidR="00284217">
        <w:t>1 degree added to it</w:t>
      </w:r>
      <w:r>
        <w:t>. The reason for this is to ease part ejection from the mould. Less draft increases</w:t>
      </w:r>
      <w:r w:rsidR="00557E78">
        <w:t xml:space="preserve"> the chance of damaging the part during ejection from the mould. Additionally, moulders may have to apply mould release or special mould surface coatings or treatments, ultimately leading to longer cycle times and higher part costs (Bayer, 2000, p32).</w:t>
      </w:r>
    </w:p>
    <w:p w:rsidR="004E77C3" w:rsidRDefault="004E026E" w:rsidP="002B1CDA">
      <w:r>
        <w:t>The part with the cylindrical boss will be altered by adding a recess around the base of the boss to reduce the severity of the sink.</w:t>
      </w:r>
    </w:p>
    <w:p w:rsidR="00127663" w:rsidRPr="00127663" w:rsidRDefault="00501D50" w:rsidP="00127663">
      <w:pPr>
        <w:pStyle w:val="Heading1"/>
        <w:numPr>
          <w:ilvl w:val="0"/>
          <w:numId w:val="1"/>
        </w:numPr>
      </w:pPr>
      <w:bookmarkStart w:id="5" w:name="_Toc502934532"/>
      <w:r>
        <w:t>Conclusion</w:t>
      </w:r>
      <w:bookmarkEnd w:id="5"/>
    </w:p>
    <w:p w:rsidR="004E77C3" w:rsidRDefault="00FA28CF" w:rsidP="00F54346">
      <w:r>
        <w:t>The original design concept was very basic and had plenty of room for improvement. The redesigned part can be mass produced via polymer injection moulding, using POM thermoplastic and meet the 500 units per week requirement. The alterations made should lower production costs and improve the functionality of the part.</w:t>
      </w:r>
    </w:p>
    <w:p w:rsidR="00F54346" w:rsidRDefault="00F54346" w:rsidP="00080433">
      <w:pPr>
        <w:pStyle w:val="Heading1"/>
        <w:numPr>
          <w:ilvl w:val="0"/>
          <w:numId w:val="1"/>
        </w:numPr>
      </w:pPr>
      <w:bookmarkStart w:id="6" w:name="_Toc502934533"/>
      <w:r>
        <w:t>Reference List</w:t>
      </w:r>
      <w:bookmarkEnd w:id="6"/>
    </w:p>
    <w:p w:rsidR="00C616D1" w:rsidRDefault="00C616D1" w:rsidP="00C616D1"/>
    <w:p w:rsidR="00353DA5" w:rsidRDefault="00353DA5" w:rsidP="00353DA5">
      <w:r>
        <w:t xml:space="preserve">Groover, M. (2010). </w:t>
      </w:r>
      <w:r>
        <w:rPr>
          <w:rFonts w:ascii="&amp;quot" w:hAnsi="&amp;quot"/>
          <w:i/>
          <w:iCs/>
        </w:rPr>
        <w:t>Fundamentals of modern manufacturing</w:t>
      </w:r>
      <w:r>
        <w:t>. Hoboken, NJ: J. Wiley &amp; Sons.</w:t>
      </w:r>
      <w:r w:rsidR="00AB280D">
        <w:t xml:space="preserve"> </w:t>
      </w:r>
    </w:p>
    <w:p w:rsidR="004E72E3" w:rsidRDefault="004E72E3" w:rsidP="004E72E3">
      <w:pPr>
        <w:rPr>
          <w:rFonts w:cstheme="minorHAnsi"/>
        </w:rPr>
      </w:pPr>
      <w:r w:rsidRPr="004E72E3">
        <w:rPr>
          <w:rFonts w:cstheme="minorHAnsi"/>
        </w:rPr>
        <w:t xml:space="preserve">PlasticsEurope - Polyoxymethylene (POM) - PlasticsEurope . 2018. </w:t>
      </w:r>
      <w:r w:rsidRPr="004E72E3">
        <w:rPr>
          <w:rFonts w:cstheme="minorHAnsi"/>
          <w:i/>
          <w:iCs/>
        </w:rPr>
        <w:t xml:space="preserve">PlasticsEurope - Polyoxymethylene (POM) - PlasticsEurope </w:t>
      </w:r>
      <w:r w:rsidRPr="004E72E3">
        <w:rPr>
          <w:rFonts w:cstheme="minorHAnsi"/>
        </w:rPr>
        <w:t xml:space="preserve">. [ONLINE] Available at: </w:t>
      </w:r>
      <w:hyperlink r:id="rId16" w:history="1">
        <w:r w:rsidRPr="004E72E3">
          <w:rPr>
            <w:rFonts w:cstheme="minorHAnsi"/>
            <w:color w:val="1779BA"/>
            <w:u w:val="single"/>
          </w:rPr>
          <w:t>http://www.plasticseurope.org/what-is-plastic/types-of-plastics-11148/engineering-plastics/pom.aspx</w:t>
        </w:r>
      </w:hyperlink>
      <w:r w:rsidRPr="004E72E3">
        <w:rPr>
          <w:rFonts w:cstheme="minorHAnsi"/>
        </w:rPr>
        <w:t>. [Accessed 04 January 2018].</w:t>
      </w:r>
    </w:p>
    <w:p w:rsidR="00535397" w:rsidRDefault="00535397" w:rsidP="004E72E3">
      <w:pPr>
        <w:rPr>
          <w:rFonts w:cstheme="minorHAnsi"/>
        </w:rPr>
      </w:pPr>
      <w:r>
        <w:rPr>
          <w:rFonts w:cstheme="minorHAnsi"/>
        </w:rPr>
        <w:t xml:space="preserve">Bayer. (2000). </w:t>
      </w:r>
      <w:r>
        <w:rPr>
          <w:rFonts w:cstheme="minorHAnsi"/>
          <w:i/>
        </w:rPr>
        <w:t xml:space="preserve">Part and Mold Design. </w:t>
      </w:r>
      <w:r>
        <w:rPr>
          <w:rFonts w:cstheme="minorHAnsi"/>
        </w:rPr>
        <w:t>Pittsburgh: Bayer Corporation.</w:t>
      </w:r>
    </w:p>
    <w:p w:rsidR="00343ED8" w:rsidRPr="00535397" w:rsidRDefault="00343ED8" w:rsidP="004E72E3">
      <w:pPr>
        <w:rPr>
          <w:rFonts w:cstheme="minorHAnsi"/>
        </w:rPr>
      </w:pPr>
      <w:r>
        <w:rPr>
          <w:rFonts w:cstheme="minorHAnsi"/>
        </w:rPr>
        <w:t>Figures 1-5 – All accessed on solidworks [5.10.2018]</w:t>
      </w:r>
    </w:p>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p w:rsidR="00F54346" w:rsidRDefault="00F54346" w:rsidP="00F54346"/>
    <w:sectPr w:rsidR="00F54346" w:rsidSect="00E134AD">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2F2C" w:rsidRDefault="009B2F2C" w:rsidP="007977DD">
      <w:pPr>
        <w:spacing w:after="0" w:line="240" w:lineRule="auto"/>
      </w:pPr>
      <w:r>
        <w:separator/>
      </w:r>
    </w:p>
  </w:endnote>
  <w:endnote w:type="continuationSeparator" w:id="0">
    <w:p w:rsidR="009B2F2C" w:rsidRDefault="009B2F2C" w:rsidP="00797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9399573"/>
      <w:docPartObj>
        <w:docPartGallery w:val="Page Numbers (Bottom of Page)"/>
        <w:docPartUnique/>
      </w:docPartObj>
    </w:sdtPr>
    <w:sdtEndPr>
      <w:rPr>
        <w:noProof/>
      </w:rPr>
    </w:sdtEndPr>
    <w:sdtContent>
      <w:p w:rsidR="009B2F2C" w:rsidRDefault="009B2F2C">
        <w:pPr>
          <w:pStyle w:val="Footer"/>
          <w:jc w:val="center"/>
        </w:pPr>
        <w:r>
          <w:fldChar w:fldCharType="begin"/>
        </w:r>
        <w:r>
          <w:instrText xml:space="preserve"> PAGE   \* MERGEFORMAT </w:instrText>
        </w:r>
        <w:r>
          <w:fldChar w:fldCharType="separate"/>
        </w:r>
        <w:r w:rsidR="00C93EE3">
          <w:rPr>
            <w:noProof/>
          </w:rPr>
          <w:t>5</w:t>
        </w:r>
        <w:r>
          <w:rPr>
            <w:noProof/>
          </w:rPr>
          <w:fldChar w:fldCharType="end"/>
        </w:r>
      </w:p>
    </w:sdtContent>
  </w:sdt>
  <w:p w:rsidR="009B2F2C" w:rsidRDefault="009B2F2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2F2C" w:rsidRDefault="009B2F2C" w:rsidP="007977DD">
      <w:pPr>
        <w:spacing w:after="0" w:line="240" w:lineRule="auto"/>
      </w:pPr>
      <w:r>
        <w:separator/>
      </w:r>
    </w:p>
  </w:footnote>
  <w:footnote w:type="continuationSeparator" w:id="0">
    <w:p w:rsidR="009B2F2C" w:rsidRDefault="009B2F2C" w:rsidP="007977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2F2C" w:rsidRDefault="009B2F2C">
    <w:pPr>
      <w:pStyle w:val="Header"/>
    </w:pPr>
    <w:r>
      <w:t>Luke Pinkham – P151970</w:t>
    </w:r>
  </w:p>
  <w:p w:rsidR="009B2F2C" w:rsidRDefault="009B2F2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8511C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08A4B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9451E1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D2B25D0"/>
    <w:multiLevelType w:val="hybridMultilevel"/>
    <w:tmpl w:val="C0D40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364D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26E344F"/>
    <w:multiLevelType w:val="hybridMultilevel"/>
    <w:tmpl w:val="EC4CC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D0251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4DB380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6"/>
  </w:num>
  <w:num w:numId="3">
    <w:abstractNumId w:val="0"/>
  </w:num>
  <w:num w:numId="4">
    <w:abstractNumId w:val="1"/>
  </w:num>
  <w:num w:numId="5">
    <w:abstractNumId w:val="4"/>
  </w:num>
  <w:num w:numId="6">
    <w:abstractNumId w:val="7"/>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4AD"/>
    <w:rsid w:val="00080433"/>
    <w:rsid w:val="00082563"/>
    <w:rsid w:val="000C55AB"/>
    <w:rsid w:val="000F3DE9"/>
    <w:rsid w:val="00117853"/>
    <w:rsid w:val="00127663"/>
    <w:rsid w:val="001336EB"/>
    <w:rsid w:val="00135211"/>
    <w:rsid w:val="00155579"/>
    <w:rsid w:val="0017621E"/>
    <w:rsid w:val="001907DC"/>
    <w:rsid w:val="001E50F1"/>
    <w:rsid w:val="00212C43"/>
    <w:rsid w:val="00221C5D"/>
    <w:rsid w:val="00240E61"/>
    <w:rsid w:val="00284217"/>
    <w:rsid w:val="00284CB3"/>
    <w:rsid w:val="0029784A"/>
    <w:rsid w:val="002A73C8"/>
    <w:rsid w:val="002B1CDA"/>
    <w:rsid w:val="00343ED8"/>
    <w:rsid w:val="00353DA5"/>
    <w:rsid w:val="003847F3"/>
    <w:rsid w:val="00463BF8"/>
    <w:rsid w:val="004A47F2"/>
    <w:rsid w:val="004E026E"/>
    <w:rsid w:val="004E2EE6"/>
    <w:rsid w:val="004E72E3"/>
    <w:rsid w:val="004E77C3"/>
    <w:rsid w:val="00501D50"/>
    <w:rsid w:val="005275BE"/>
    <w:rsid w:val="00532BD6"/>
    <w:rsid w:val="00535397"/>
    <w:rsid w:val="00557E78"/>
    <w:rsid w:val="005F38CE"/>
    <w:rsid w:val="006153B4"/>
    <w:rsid w:val="006266B0"/>
    <w:rsid w:val="0064105B"/>
    <w:rsid w:val="00645069"/>
    <w:rsid w:val="006643E3"/>
    <w:rsid w:val="006C4031"/>
    <w:rsid w:val="006C6850"/>
    <w:rsid w:val="006D45B0"/>
    <w:rsid w:val="00713154"/>
    <w:rsid w:val="0072392F"/>
    <w:rsid w:val="00784FAD"/>
    <w:rsid w:val="007977DD"/>
    <w:rsid w:val="007A1EDD"/>
    <w:rsid w:val="007B6F48"/>
    <w:rsid w:val="007F67D0"/>
    <w:rsid w:val="008150C9"/>
    <w:rsid w:val="00864544"/>
    <w:rsid w:val="008B496A"/>
    <w:rsid w:val="008F0142"/>
    <w:rsid w:val="00902CC8"/>
    <w:rsid w:val="00964862"/>
    <w:rsid w:val="00967C9F"/>
    <w:rsid w:val="009B2F2C"/>
    <w:rsid w:val="009B7D5A"/>
    <w:rsid w:val="00A24932"/>
    <w:rsid w:val="00A41B88"/>
    <w:rsid w:val="00A702D3"/>
    <w:rsid w:val="00AB0FED"/>
    <w:rsid w:val="00AB280D"/>
    <w:rsid w:val="00AC667B"/>
    <w:rsid w:val="00B55854"/>
    <w:rsid w:val="00B60D6F"/>
    <w:rsid w:val="00B72C87"/>
    <w:rsid w:val="00B93A36"/>
    <w:rsid w:val="00BA5007"/>
    <w:rsid w:val="00BD4C3B"/>
    <w:rsid w:val="00BE3B9F"/>
    <w:rsid w:val="00C11653"/>
    <w:rsid w:val="00C33FB7"/>
    <w:rsid w:val="00C47EA2"/>
    <w:rsid w:val="00C616D1"/>
    <w:rsid w:val="00C70899"/>
    <w:rsid w:val="00C93EE3"/>
    <w:rsid w:val="00C96597"/>
    <w:rsid w:val="00D92D53"/>
    <w:rsid w:val="00DA2D55"/>
    <w:rsid w:val="00DB7A17"/>
    <w:rsid w:val="00DF22CE"/>
    <w:rsid w:val="00DF47CF"/>
    <w:rsid w:val="00E134AD"/>
    <w:rsid w:val="00E43081"/>
    <w:rsid w:val="00E56031"/>
    <w:rsid w:val="00E778D3"/>
    <w:rsid w:val="00E81A44"/>
    <w:rsid w:val="00E90B0E"/>
    <w:rsid w:val="00ED61E2"/>
    <w:rsid w:val="00ED730E"/>
    <w:rsid w:val="00EE187A"/>
    <w:rsid w:val="00EE1EC2"/>
    <w:rsid w:val="00F034D8"/>
    <w:rsid w:val="00F54346"/>
    <w:rsid w:val="00F96FF4"/>
    <w:rsid w:val="00FA28CF"/>
    <w:rsid w:val="00FE5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A0D22"/>
  <w15:chartTrackingRefBased/>
  <w15:docId w15:val="{183BB5B7-2E57-4929-91DD-6261CD9EA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34A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7089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7089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34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34AD"/>
    <w:rPr>
      <w:rFonts w:eastAsiaTheme="minorEastAsia"/>
      <w:lang w:val="en-US"/>
    </w:rPr>
  </w:style>
  <w:style w:type="character" w:customStyle="1" w:styleId="Heading1Char">
    <w:name w:val="Heading 1 Char"/>
    <w:basedOn w:val="DefaultParagraphFont"/>
    <w:link w:val="Heading1"/>
    <w:uiPriority w:val="9"/>
    <w:rsid w:val="00E134A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134AD"/>
    <w:pPr>
      <w:outlineLvl w:val="9"/>
    </w:pPr>
    <w:rPr>
      <w:lang w:val="en-US"/>
    </w:rPr>
  </w:style>
  <w:style w:type="paragraph" w:styleId="TOC1">
    <w:name w:val="toc 1"/>
    <w:basedOn w:val="Normal"/>
    <w:next w:val="Normal"/>
    <w:autoRedefine/>
    <w:uiPriority w:val="39"/>
    <w:unhideWhenUsed/>
    <w:rsid w:val="00E134AD"/>
    <w:pPr>
      <w:spacing w:after="100"/>
    </w:pPr>
  </w:style>
  <w:style w:type="character" w:styleId="Hyperlink">
    <w:name w:val="Hyperlink"/>
    <w:basedOn w:val="DefaultParagraphFont"/>
    <w:uiPriority w:val="99"/>
    <w:unhideWhenUsed/>
    <w:rsid w:val="00E134AD"/>
    <w:rPr>
      <w:color w:val="0563C1" w:themeColor="hyperlink"/>
      <w:u w:val="single"/>
    </w:rPr>
  </w:style>
  <w:style w:type="paragraph" w:styleId="Header">
    <w:name w:val="header"/>
    <w:basedOn w:val="Normal"/>
    <w:link w:val="HeaderChar"/>
    <w:uiPriority w:val="99"/>
    <w:unhideWhenUsed/>
    <w:rsid w:val="007977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7DD"/>
  </w:style>
  <w:style w:type="paragraph" w:styleId="Footer">
    <w:name w:val="footer"/>
    <w:basedOn w:val="Normal"/>
    <w:link w:val="FooterChar"/>
    <w:uiPriority w:val="99"/>
    <w:unhideWhenUsed/>
    <w:rsid w:val="007977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7DD"/>
  </w:style>
  <w:style w:type="character" w:customStyle="1" w:styleId="Heading2Char">
    <w:name w:val="Heading 2 Char"/>
    <w:basedOn w:val="DefaultParagraphFont"/>
    <w:link w:val="Heading2"/>
    <w:uiPriority w:val="9"/>
    <w:rsid w:val="00C7089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70899"/>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902CC8"/>
    <w:pPr>
      <w:spacing w:after="100"/>
      <w:ind w:left="220"/>
    </w:pPr>
  </w:style>
  <w:style w:type="paragraph" w:styleId="TOC3">
    <w:name w:val="toc 3"/>
    <w:basedOn w:val="Normal"/>
    <w:next w:val="Normal"/>
    <w:autoRedefine/>
    <w:uiPriority w:val="39"/>
    <w:unhideWhenUsed/>
    <w:rsid w:val="00902CC8"/>
    <w:pPr>
      <w:spacing w:after="100"/>
      <w:ind w:left="440"/>
    </w:pPr>
  </w:style>
  <w:style w:type="paragraph" w:styleId="ListParagraph">
    <w:name w:val="List Paragraph"/>
    <w:basedOn w:val="Normal"/>
    <w:uiPriority w:val="34"/>
    <w:qFormat/>
    <w:rsid w:val="007A1EDD"/>
    <w:pPr>
      <w:ind w:left="720"/>
      <w:contextualSpacing/>
    </w:pPr>
  </w:style>
  <w:style w:type="character" w:styleId="CommentReference">
    <w:name w:val="annotation reference"/>
    <w:basedOn w:val="DefaultParagraphFont"/>
    <w:uiPriority w:val="99"/>
    <w:semiHidden/>
    <w:unhideWhenUsed/>
    <w:rsid w:val="00BD4C3B"/>
    <w:rPr>
      <w:sz w:val="16"/>
      <w:szCs w:val="16"/>
    </w:rPr>
  </w:style>
  <w:style w:type="paragraph" w:styleId="CommentText">
    <w:name w:val="annotation text"/>
    <w:basedOn w:val="Normal"/>
    <w:link w:val="CommentTextChar"/>
    <w:uiPriority w:val="99"/>
    <w:semiHidden/>
    <w:unhideWhenUsed/>
    <w:rsid w:val="00BD4C3B"/>
    <w:pPr>
      <w:spacing w:line="240" w:lineRule="auto"/>
    </w:pPr>
    <w:rPr>
      <w:sz w:val="20"/>
      <w:szCs w:val="20"/>
    </w:rPr>
  </w:style>
  <w:style w:type="character" w:customStyle="1" w:styleId="CommentTextChar">
    <w:name w:val="Comment Text Char"/>
    <w:basedOn w:val="DefaultParagraphFont"/>
    <w:link w:val="CommentText"/>
    <w:uiPriority w:val="99"/>
    <w:semiHidden/>
    <w:rsid w:val="00BD4C3B"/>
    <w:rPr>
      <w:sz w:val="20"/>
      <w:szCs w:val="20"/>
    </w:rPr>
  </w:style>
  <w:style w:type="paragraph" w:styleId="CommentSubject">
    <w:name w:val="annotation subject"/>
    <w:basedOn w:val="CommentText"/>
    <w:next w:val="CommentText"/>
    <w:link w:val="CommentSubjectChar"/>
    <w:uiPriority w:val="99"/>
    <w:semiHidden/>
    <w:unhideWhenUsed/>
    <w:rsid w:val="00BD4C3B"/>
    <w:rPr>
      <w:b/>
      <w:bCs/>
    </w:rPr>
  </w:style>
  <w:style w:type="character" w:customStyle="1" w:styleId="CommentSubjectChar">
    <w:name w:val="Comment Subject Char"/>
    <w:basedOn w:val="CommentTextChar"/>
    <w:link w:val="CommentSubject"/>
    <w:uiPriority w:val="99"/>
    <w:semiHidden/>
    <w:rsid w:val="00BD4C3B"/>
    <w:rPr>
      <w:b/>
      <w:bCs/>
      <w:sz w:val="20"/>
      <w:szCs w:val="20"/>
    </w:rPr>
  </w:style>
  <w:style w:type="paragraph" w:styleId="BalloonText">
    <w:name w:val="Balloon Text"/>
    <w:basedOn w:val="Normal"/>
    <w:link w:val="BalloonTextChar"/>
    <w:uiPriority w:val="99"/>
    <w:semiHidden/>
    <w:unhideWhenUsed/>
    <w:rsid w:val="00BD4C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4C3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plasticseurope.org/what-is-plastic/types-of-plastics-11148/engineering-plastics/pom.aspx"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P151970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50BA22-3F21-44C2-AD63-64DA0A3FE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865</TotalTime>
  <Pages>6</Pages>
  <Words>1112</Words>
  <Characters>6342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Engineering design</vt:lpstr>
    </vt:vector>
  </TitlesOfParts>
  <Company>University of Wales Trinity Saint David</Company>
  <LinksUpToDate>false</LinksUpToDate>
  <CharactersWithSpaces>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design</dc:title>
  <dc:subject>Drill Press Redesign and Reflective Report</dc:subject>
  <dc:creator>Luke Pinkham</dc:creator>
  <cp:keywords/>
  <dc:description/>
  <cp:lastModifiedBy>Luke Pinkham</cp:lastModifiedBy>
  <cp:revision>79</cp:revision>
  <dcterms:created xsi:type="dcterms:W3CDTF">2017-11-03T17:33:00Z</dcterms:created>
  <dcterms:modified xsi:type="dcterms:W3CDTF">2018-01-05T17:36:00Z</dcterms:modified>
</cp:coreProperties>
</file>