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D0A385" w14:textId="77777777" w:rsidR="00A75856" w:rsidRDefault="00A75856" w:rsidP="00A75856">
      <w:pPr>
        <w:spacing w:line="360" w:lineRule="auto"/>
      </w:pPr>
      <w:r>
        <w:t xml:space="preserve">The concept of ‘quality’ in early years is widely discussed but remains difficult to define. Despite its frequent use in policy, research and practice, there is no single, universal agreed definition of what constitutes quality in early years.  The Welsh Government (2023) </w:t>
      </w:r>
      <w:r w:rsidRPr="00683641">
        <w:rPr>
          <w:i/>
          <w:iCs/>
        </w:rPr>
        <w:t>Early Childhood Play, Learning and Care Quality framework</w:t>
      </w:r>
      <w:r>
        <w:t xml:space="preserve"> defines high-quality provision as a child-centred, rights-based approach grounded in holistic development and reflective, evidence-based practice, positioning quality as essential in ensuring children have the best possible start in life. This aligns with international research which identifies early childhood as a critical developmental period, and highlights high-quality provision is a key determinant of later-life outcomes</w:t>
      </w:r>
      <w:r w:rsidRPr="001F4545">
        <w:t xml:space="preserve"> (</w:t>
      </w:r>
      <w:proofErr w:type="spellStart"/>
      <w:r w:rsidRPr="007B3D67">
        <w:t>Bucelli</w:t>
      </w:r>
      <w:proofErr w:type="spellEnd"/>
      <w:r w:rsidRPr="007B3D67">
        <w:t xml:space="preserve"> and McKnight, </w:t>
      </w:r>
      <w:r>
        <w:t xml:space="preserve">2022; </w:t>
      </w:r>
      <w:r w:rsidRPr="001F4545">
        <w:t>OECD, 2018</w:t>
      </w:r>
      <w:r>
        <w:t xml:space="preserve">; </w:t>
      </w:r>
      <w:r w:rsidRPr="00DF79AD">
        <w:t xml:space="preserve">Taggart </w:t>
      </w:r>
      <w:r w:rsidRPr="00DF79AD">
        <w:rPr>
          <w:i/>
          <w:iCs/>
        </w:rPr>
        <w:t>et al.</w:t>
      </w:r>
      <w:r w:rsidRPr="00DF79AD">
        <w:t xml:space="preserve">, </w:t>
      </w:r>
      <w:r>
        <w:t xml:space="preserve">2015; </w:t>
      </w:r>
      <w:r w:rsidRPr="0086791D">
        <w:t xml:space="preserve">Hall </w:t>
      </w:r>
      <w:r w:rsidRPr="0086791D">
        <w:rPr>
          <w:i/>
          <w:iCs/>
        </w:rPr>
        <w:t>et al.</w:t>
      </w:r>
      <w:r w:rsidRPr="0086791D">
        <w:t>, 2013</w:t>
      </w:r>
      <w:r w:rsidRPr="00DF79AD">
        <w:t>)</w:t>
      </w:r>
      <w:r>
        <w:t>.</w:t>
      </w:r>
      <w:r w:rsidRPr="00685C50">
        <w:t xml:space="preserve"> </w:t>
      </w:r>
    </w:p>
    <w:p w14:paraId="231DEA1A" w14:textId="77777777" w:rsidR="00A75856" w:rsidRPr="00C21685" w:rsidRDefault="00A75856" w:rsidP="00A75856">
      <w:pPr>
        <w:spacing w:line="360" w:lineRule="auto"/>
        <w:rPr>
          <w:b/>
          <w:bCs/>
        </w:rPr>
      </w:pPr>
      <w:r>
        <w:t xml:space="preserve">However, </w:t>
      </w:r>
      <w:r w:rsidRPr="007A6871">
        <w:t xml:space="preserve">the relationship between childcare quality and long-term outcomes is complex and influenced by </w:t>
      </w:r>
      <w:r>
        <w:t>a range of</w:t>
      </w:r>
      <w:r w:rsidRPr="007A6871">
        <w:t xml:space="preserve"> factors</w:t>
      </w:r>
      <w:r>
        <w:t>, including the type and duration of provision,</w:t>
      </w:r>
      <w:r w:rsidRPr="00017CFF">
        <w:t xml:space="preserve"> </w:t>
      </w:r>
      <w:r>
        <w:t>funding, workforce capacity, socioeconomic background and home environment</w:t>
      </w:r>
      <w:r w:rsidRPr="00AE20E4">
        <w:rPr>
          <w:b/>
          <w:bCs/>
        </w:rPr>
        <w:t xml:space="preserve"> </w:t>
      </w:r>
      <w:r w:rsidRPr="00012038">
        <w:t>(</w:t>
      </w:r>
      <w:r>
        <w:t xml:space="preserve">OECD, 2025; </w:t>
      </w:r>
      <w:r w:rsidRPr="00C6020B">
        <w:t xml:space="preserve">Hart </w:t>
      </w:r>
      <w:r w:rsidRPr="00C6020B">
        <w:rPr>
          <w:i/>
          <w:iCs/>
        </w:rPr>
        <w:t>et al.</w:t>
      </w:r>
      <w:r w:rsidRPr="00C6020B">
        <w:t>, 2023</w:t>
      </w:r>
      <w:r>
        <w:t xml:space="preserve">; </w:t>
      </w:r>
      <w:r w:rsidRPr="00012038">
        <w:t xml:space="preserve">Melhuish </w:t>
      </w:r>
      <w:r w:rsidRPr="00012038">
        <w:rPr>
          <w:i/>
          <w:iCs/>
        </w:rPr>
        <w:t>et al.</w:t>
      </w:r>
      <w:r w:rsidRPr="00012038">
        <w:t>, 2015)</w:t>
      </w:r>
      <w:r>
        <w:t xml:space="preserve">. Furthermore, the broad and aspirational nature of the Welsh framework makes quality difficult to define, measure and implement consistently across settings.  This lack of conceptual clarity is evident in the Welsh Government (Alma Economics, 2024) report, which uses both “good quality” and “high quality” interchangeably, suggesting ambiguity in the operationalisation of quality. Such inconsistencies may create tensions between policy aspirations and practical delivery, particularly given constraints related to affordability, workforce capability and variation across provision </w:t>
      </w:r>
      <w:r w:rsidRPr="008F60EF">
        <w:t>(Herbst, 2025</w:t>
      </w:r>
      <w:r>
        <w:t xml:space="preserve">; </w:t>
      </w:r>
      <w:r w:rsidRPr="0031547F">
        <w:t>Lewis and West, 2017)</w:t>
      </w:r>
      <w:r>
        <w:t>.</w:t>
      </w:r>
    </w:p>
    <w:p w14:paraId="4DAAB78B" w14:textId="77777777" w:rsidR="00A75856" w:rsidRDefault="00A75856" w:rsidP="00A75856">
      <w:pPr>
        <w:spacing w:line="360" w:lineRule="auto"/>
      </w:pPr>
      <w:r>
        <w:t xml:space="preserve">Eadie </w:t>
      </w:r>
      <w:r w:rsidRPr="006338BE">
        <w:rPr>
          <w:i/>
          <w:iCs/>
        </w:rPr>
        <w:t>et al.,</w:t>
      </w:r>
      <w:r>
        <w:t xml:space="preserve"> (2024) conceptualise quality as complex and multidimensional, encompassing structural, process and systems dimensions, and shaped by the perspectives of policy makers, practitioners, parents, and children. This reinforces the view that quality is not fixed, but socially and culturally constructed. In Wales, organisations such as Care Inspectorate Wales and Estyn tend to frame quality in terms of standards, outcomes and accountability, whereas international bodies such as UNICEF emphasise children’s rights, well-being and holistic development. These differing perspectives further complicate efforts to consistently define and measure quality. </w:t>
      </w:r>
    </w:p>
    <w:p w14:paraId="29503001" w14:textId="77777777" w:rsidR="00A75856" w:rsidRDefault="00A75856" w:rsidP="00A75856">
      <w:pPr>
        <w:spacing w:line="360" w:lineRule="auto"/>
      </w:pPr>
      <w:r>
        <w:lastRenderedPageBreak/>
        <w:t xml:space="preserve">Within the literature, quality is commonly divided into structural, process and systems components.  Structural quality refers to measurable features such as staff-to-child ratios, practitioner qualifications, resources and the physical environment. Process quality, by contract, relates to </w:t>
      </w:r>
      <w:proofErr w:type="gramStart"/>
      <w:r>
        <w:t>children’s</w:t>
      </w:r>
      <w:proofErr w:type="gramEnd"/>
      <w:r>
        <w:t xml:space="preserve"> lived experiences, including the quality of interactions, emotional warmth and opportunities for play and learning. </w:t>
      </w:r>
      <w:r w:rsidRPr="00F14248">
        <w:t xml:space="preserve">(Sluiter, </w:t>
      </w:r>
      <w:proofErr w:type="spellStart"/>
      <w:r w:rsidRPr="00F14248">
        <w:t>Fukkink</w:t>
      </w:r>
      <w:proofErr w:type="spellEnd"/>
      <w:r w:rsidRPr="00F14248">
        <w:t xml:space="preserve"> and </w:t>
      </w:r>
      <w:proofErr w:type="spellStart"/>
      <w:r w:rsidRPr="00F14248">
        <w:t>Fekkes</w:t>
      </w:r>
      <w:proofErr w:type="spellEnd"/>
      <w:r w:rsidRPr="00F14248">
        <w:t>, 2025</w:t>
      </w:r>
      <w:r>
        <w:t>; Edwards, 2021</w:t>
      </w:r>
      <w:r w:rsidRPr="00F14248">
        <w:t>)</w:t>
      </w:r>
      <w:r>
        <w:t>. Systems quality encompasses wider factors such as governance, funding, policy frameworks and inspection systems. While these dimensions are often discussed separately, they are highly interdependent. For example, improved structural quality, such as lower ratios and access to continuous professional development, may support higher process quality through more meaningful adult-child interactions, although such improvements depend on sufficient investment at a systems level.</w:t>
      </w:r>
    </w:p>
    <w:p w14:paraId="044E6E68" w14:textId="77777777" w:rsidR="00A75856" w:rsidRPr="003764F4" w:rsidRDefault="00A75856" w:rsidP="00A75856">
      <w:pPr>
        <w:spacing w:line="360" w:lineRule="auto"/>
      </w:pPr>
      <w:r>
        <w:t xml:space="preserve">The importance of high-quality early years provision is closely linked to evidence on early childhood development. The first five years of life are a critical period for brain development, during which foundations for future learning, behaviour and health are established. High-quality provision can support cognitive development, including language acquisition and early literacy, as well as social and emotional skills such as self-regulation and resilience. Conversely, low-quality provision may hinder development through limited stimulation or inconsistent care. Longitudinal research, including the EPPE study, demonstrates that children who attend high-quality settings achieve better outcomes, both in the short and long term (Sylva </w:t>
      </w:r>
      <w:r>
        <w:rPr>
          <w:i/>
          <w:iCs/>
        </w:rPr>
        <w:t>et al</w:t>
      </w:r>
      <w:r>
        <w:t>., 2004).</w:t>
      </w:r>
    </w:p>
    <w:p w14:paraId="4FEE4FAA" w14:textId="77777777" w:rsidR="00A75856" w:rsidRDefault="00A75856" w:rsidP="00A75856">
      <w:pPr>
        <w:spacing w:line="360" w:lineRule="auto"/>
      </w:pPr>
      <w:r>
        <w:t xml:space="preserve">Access to high-quality childcare is also associated with reducing inequalities. Research suggests that children from disadvantaged backgrounds benefit particularly from high-quality early years provision. </w:t>
      </w:r>
      <w:r w:rsidRPr="006E7E01">
        <w:t xml:space="preserve">(Hynes and </w:t>
      </w:r>
      <w:proofErr w:type="spellStart"/>
      <w:r w:rsidRPr="006E7E01">
        <w:t>Habasevich</w:t>
      </w:r>
      <w:proofErr w:type="spellEnd"/>
      <w:r w:rsidRPr="006E7E01">
        <w:t>-Brooks, 2008</w:t>
      </w:r>
      <w:r>
        <w:t>; Sutton Trust Early Years, 2024; OECD, 2025</w:t>
      </w:r>
      <w:r w:rsidRPr="006E7E01">
        <w:t>)</w:t>
      </w:r>
      <w:r>
        <w:t>. Such provision can help narrow attainment gaps by providing enriched learning environments and supportive relationships that may not be available at home (FIND REF). In Wales, this has informed policy initiatives such as Flying Start, which aim to increase access to quality provision for disadvantaged families.</w:t>
      </w:r>
    </w:p>
    <w:p w14:paraId="04731C54" w14:textId="77777777" w:rsidR="00A75856" w:rsidRDefault="00A75856" w:rsidP="00A75856">
      <w:pPr>
        <w:spacing w:line="360" w:lineRule="auto"/>
      </w:pPr>
      <w:r>
        <w:lastRenderedPageBreak/>
        <w:t>Despite this, determining what constitutes “high quality” and how to measure it remains challenging. In Wales, quality is evaluated through inspection and regulation, including those implemented by Care Inspectorate Wales and Estyn, as well as observational tools designed to assess interactions and learning environments. While these approaches provide structured benchmarks, they have been criticised for prioritising measurable aspects of provision over less tangible elements, such as children’s emotional experiences and culturally responsive practice. Additionally, the pressure to meet inspection criteria may lead to a focus on compliance rather than on responsiveness to individual children's needs.</w:t>
      </w:r>
    </w:p>
    <w:p w14:paraId="4F1287C0" w14:textId="77777777" w:rsidR="00A75856" w:rsidRDefault="00A75856" w:rsidP="00A75856">
      <w:pPr>
        <w:spacing w:line="360" w:lineRule="auto"/>
      </w:pPr>
      <w:r>
        <w:t xml:space="preserve">There are also broader critiques of the concept of quality itself. Some researchers suggest that definitions of quality are often rooted in Western perspectives on childhood, which may not be universally applicable (Dahlberg, Moss and Pence, 2013). Furthermore, the relationship between childcare quality and child outcomes is not always consistent, as the influence of the home learning environment and family context can be equally, if not more, significant (Melhuish </w:t>
      </w:r>
      <w:r>
        <w:rPr>
          <w:i/>
          <w:iCs/>
        </w:rPr>
        <w:t>et al.</w:t>
      </w:r>
      <w:r>
        <w:t xml:space="preserve"> 2015). While many studies demonstrate positive associations between high-quality provision and developmental outcomes, findings are not uniform, and the scale of impact varies. These debates highlight that quality may be better understood as a dynamic, evolving process rather than a fixed set of standards, encompassing measurable indicators, </w:t>
      </w:r>
      <w:proofErr w:type="gramStart"/>
      <w:r>
        <w:t>children’s</w:t>
      </w:r>
      <w:proofErr w:type="gramEnd"/>
      <w:r>
        <w:t xml:space="preserve"> lived experiences, and the broader ethos of the provision.</w:t>
      </w:r>
    </w:p>
    <w:p w14:paraId="06C14F4F" w14:textId="77777777" w:rsidR="001403D0" w:rsidRDefault="001403D0"/>
    <w:sectPr w:rsidR="001403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3D8"/>
    <w:rsid w:val="001403D0"/>
    <w:rsid w:val="001B37DF"/>
    <w:rsid w:val="00282A12"/>
    <w:rsid w:val="00332E8B"/>
    <w:rsid w:val="00343827"/>
    <w:rsid w:val="006413D8"/>
    <w:rsid w:val="006F2A13"/>
    <w:rsid w:val="00774FB5"/>
    <w:rsid w:val="0092720E"/>
    <w:rsid w:val="00A5587F"/>
    <w:rsid w:val="00A758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38542"/>
  <w15:chartTrackingRefBased/>
  <w15:docId w15:val="{8D4659FD-2DB1-451C-A65E-41D24A24B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856"/>
    <w:rPr>
      <w:lang w:val="en-GB"/>
    </w:rPr>
  </w:style>
  <w:style w:type="paragraph" w:styleId="Heading1">
    <w:name w:val="heading 1"/>
    <w:basedOn w:val="Normal"/>
    <w:next w:val="Normal"/>
    <w:link w:val="Heading1Char"/>
    <w:uiPriority w:val="9"/>
    <w:qFormat/>
    <w:rsid w:val="006413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13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13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13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13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13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3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3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3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3D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6413D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6413D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413D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413D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413D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413D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413D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413D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413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3D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413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3D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413D8"/>
    <w:pPr>
      <w:spacing w:before="160"/>
      <w:jc w:val="center"/>
    </w:pPr>
    <w:rPr>
      <w:i/>
      <w:iCs/>
      <w:color w:val="404040" w:themeColor="text1" w:themeTint="BF"/>
    </w:rPr>
  </w:style>
  <w:style w:type="character" w:customStyle="1" w:styleId="QuoteChar">
    <w:name w:val="Quote Char"/>
    <w:basedOn w:val="DefaultParagraphFont"/>
    <w:link w:val="Quote"/>
    <w:uiPriority w:val="29"/>
    <w:rsid w:val="006413D8"/>
    <w:rPr>
      <w:i/>
      <w:iCs/>
      <w:color w:val="404040" w:themeColor="text1" w:themeTint="BF"/>
      <w:lang w:val="en-GB"/>
    </w:rPr>
  </w:style>
  <w:style w:type="paragraph" w:styleId="ListParagraph">
    <w:name w:val="List Paragraph"/>
    <w:basedOn w:val="Normal"/>
    <w:uiPriority w:val="34"/>
    <w:qFormat/>
    <w:rsid w:val="006413D8"/>
    <w:pPr>
      <w:ind w:left="720"/>
      <w:contextualSpacing/>
    </w:pPr>
  </w:style>
  <w:style w:type="character" w:styleId="IntenseEmphasis">
    <w:name w:val="Intense Emphasis"/>
    <w:basedOn w:val="DefaultParagraphFont"/>
    <w:uiPriority w:val="21"/>
    <w:qFormat/>
    <w:rsid w:val="006413D8"/>
    <w:rPr>
      <w:i/>
      <w:iCs/>
      <w:color w:val="0F4761" w:themeColor="accent1" w:themeShade="BF"/>
    </w:rPr>
  </w:style>
  <w:style w:type="paragraph" w:styleId="IntenseQuote">
    <w:name w:val="Intense Quote"/>
    <w:basedOn w:val="Normal"/>
    <w:next w:val="Normal"/>
    <w:link w:val="IntenseQuoteChar"/>
    <w:uiPriority w:val="30"/>
    <w:qFormat/>
    <w:rsid w:val="006413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13D8"/>
    <w:rPr>
      <w:i/>
      <w:iCs/>
      <w:color w:val="0F4761" w:themeColor="accent1" w:themeShade="BF"/>
      <w:lang w:val="en-GB"/>
    </w:rPr>
  </w:style>
  <w:style w:type="character" w:styleId="IntenseReference">
    <w:name w:val="Intense Reference"/>
    <w:basedOn w:val="DefaultParagraphFont"/>
    <w:uiPriority w:val="32"/>
    <w:qFormat/>
    <w:rsid w:val="006413D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945</Words>
  <Characters>5390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Sullivan</dc:creator>
  <cp:keywords/>
  <dc:description/>
  <cp:lastModifiedBy>Natasha Sullivan</cp:lastModifiedBy>
  <cp:revision>1</cp:revision>
  <dcterms:created xsi:type="dcterms:W3CDTF">2026-03-31T05:35:00Z</dcterms:created>
  <dcterms:modified xsi:type="dcterms:W3CDTF">2026-03-31T06:37:00Z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f9897b80-75c8-4767-b413-22842176fccb</vt:lpwstr>
  </property>
</Properties>
</file>