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10D3F6" w14:textId="0958D0CA" w:rsidR="00B2728E" w:rsidRDefault="00B2728E" w:rsidP="00DA246A">
      <w:pPr>
        <w:spacing w:line="360" w:lineRule="auto"/>
        <w:jc w:val="center"/>
        <w:rPr>
          <w:rFonts w:ascii="Arial Black" w:hAnsi="Arial Black"/>
          <w:b/>
          <w:bCs/>
          <w:u w:val="single"/>
        </w:rPr>
      </w:pPr>
      <w:r w:rsidRPr="00B2728E">
        <w:rPr>
          <w:rFonts w:ascii="Arial Black" w:hAnsi="Arial Black"/>
          <w:b/>
          <w:bCs/>
          <w:u w:val="single"/>
        </w:rPr>
        <w:t xml:space="preserve">Evaluate how community policing and community engagement can help to prevent terrorism and support counter-terrorism </w:t>
      </w:r>
      <w:r w:rsidR="003B4F69" w:rsidRPr="00B2728E">
        <w:rPr>
          <w:rFonts w:ascii="Arial Black" w:hAnsi="Arial Black"/>
          <w:b/>
          <w:bCs/>
          <w:u w:val="single"/>
        </w:rPr>
        <w:t>policing.</w:t>
      </w:r>
    </w:p>
    <w:p w14:paraId="2DAB0572" w14:textId="47D13D01" w:rsidR="00A61019" w:rsidRDefault="00B2728E" w:rsidP="00DA246A">
      <w:pPr>
        <w:spacing w:line="360" w:lineRule="auto"/>
        <w:jc w:val="both"/>
        <w:rPr>
          <w:rFonts w:ascii="Arial" w:hAnsi="Arial" w:cs="Arial"/>
        </w:rPr>
      </w:pPr>
      <w:r w:rsidRPr="00B2728E">
        <w:rPr>
          <w:rFonts w:ascii="Arial" w:hAnsi="Arial" w:cs="Arial"/>
        </w:rPr>
        <w:t xml:space="preserve">In this report the aspects being looked at </w:t>
      </w:r>
      <w:r>
        <w:rPr>
          <w:rFonts w:ascii="Arial" w:hAnsi="Arial" w:cs="Arial"/>
        </w:rPr>
        <w:t>are</w:t>
      </w:r>
      <w:r w:rsidRPr="00B2728E">
        <w:rPr>
          <w:rFonts w:ascii="Arial" w:hAnsi="Arial" w:cs="Arial"/>
        </w:rPr>
        <w:t xml:space="preserve"> the advantages of community policing in preventing terrorism and supporting counter terrorism. </w:t>
      </w:r>
      <w:r w:rsidR="0059599C">
        <w:rPr>
          <w:rFonts w:ascii="Arial" w:hAnsi="Arial" w:cs="Arial"/>
        </w:rPr>
        <w:t xml:space="preserve">The report will consider how police interacting with the community and supporting </w:t>
      </w:r>
      <w:r w:rsidR="003B4F69">
        <w:rPr>
          <w:rFonts w:ascii="Arial" w:hAnsi="Arial" w:cs="Arial"/>
        </w:rPr>
        <w:t>members of the public helps prevent terrorism.</w:t>
      </w:r>
    </w:p>
    <w:p w14:paraId="50485F75" w14:textId="2F608D04" w:rsidR="00E754B8" w:rsidRDefault="00A61019" w:rsidP="00DA246A">
      <w:pPr>
        <w:spacing w:line="360" w:lineRule="auto"/>
        <w:jc w:val="both"/>
        <w:rPr>
          <w:rFonts w:ascii="Arial" w:hAnsi="Arial" w:cs="Arial"/>
        </w:rPr>
      </w:pPr>
      <w:r>
        <w:rPr>
          <w:rFonts w:ascii="Arial" w:hAnsi="Arial" w:cs="Arial"/>
        </w:rPr>
        <w:t>To begin with in any relationship between people and services is the need to build trust in order to have cooperation between both parties</w:t>
      </w:r>
      <w:r w:rsidR="008D3E87">
        <w:rPr>
          <w:rFonts w:ascii="Arial" w:hAnsi="Arial" w:cs="Arial"/>
        </w:rPr>
        <w:t>. In order for the police to gain the trust of members of the public they must gain public confidence, and this is th</w:t>
      </w:r>
      <w:r w:rsidR="002A575C">
        <w:rPr>
          <w:rFonts w:ascii="Arial" w:hAnsi="Arial" w:cs="Arial"/>
        </w:rPr>
        <w:t>e</w:t>
      </w:r>
      <w:r w:rsidR="008D3E87">
        <w:rPr>
          <w:rFonts w:ascii="Arial" w:hAnsi="Arial" w:cs="Arial"/>
        </w:rPr>
        <w:t xml:space="preserve"> key factor of ‘trust, legitimacy and consent in policing’ (Merry et al, 2012). If the public do not feel </w:t>
      </w:r>
      <w:r w:rsidR="00F16A13">
        <w:rPr>
          <w:rFonts w:ascii="Arial" w:hAnsi="Arial" w:cs="Arial"/>
        </w:rPr>
        <w:t xml:space="preserve">confident </w:t>
      </w:r>
      <w:r w:rsidR="008D3E87">
        <w:rPr>
          <w:rFonts w:ascii="Arial" w:hAnsi="Arial" w:cs="Arial"/>
        </w:rPr>
        <w:t>in the service, the police provide and that they cannot confide in the police for help then it is less likely for crime to be reported. It also prevents potential victims of crime such as terrorism coming forward</w:t>
      </w:r>
      <w:r w:rsidR="002D5915">
        <w:rPr>
          <w:rFonts w:ascii="Arial" w:hAnsi="Arial" w:cs="Arial"/>
        </w:rPr>
        <w:t xml:space="preserve">. </w:t>
      </w:r>
    </w:p>
    <w:p w14:paraId="03D17DD8" w14:textId="2E4B6149" w:rsidR="00E754B8" w:rsidRDefault="008D3E87" w:rsidP="00DA246A">
      <w:pPr>
        <w:spacing w:line="360" w:lineRule="auto"/>
        <w:jc w:val="both"/>
        <w:rPr>
          <w:rFonts w:ascii="Arial" w:hAnsi="Arial" w:cs="Arial"/>
        </w:rPr>
      </w:pPr>
      <w:r>
        <w:rPr>
          <w:rFonts w:ascii="Arial" w:hAnsi="Arial" w:cs="Arial"/>
        </w:rPr>
        <w:t>There are certain groups in society who have more difficulty trusting the police</w:t>
      </w:r>
      <w:r w:rsidR="009B0F40">
        <w:rPr>
          <w:rFonts w:ascii="Arial" w:hAnsi="Arial" w:cs="Arial"/>
        </w:rPr>
        <w:t xml:space="preserve"> especially </w:t>
      </w:r>
      <w:r w:rsidR="002D5915">
        <w:rPr>
          <w:rFonts w:ascii="Arial" w:hAnsi="Arial" w:cs="Arial"/>
        </w:rPr>
        <w:t>Black</w:t>
      </w:r>
      <w:r w:rsidR="009B0F40">
        <w:rPr>
          <w:rFonts w:ascii="Arial" w:hAnsi="Arial" w:cs="Arial"/>
        </w:rPr>
        <w:t xml:space="preserve"> and minority ethnics</w:t>
      </w:r>
      <w:r>
        <w:rPr>
          <w:rFonts w:ascii="Arial" w:hAnsi="Arial" w:cs="Arial"/>
        </w:rPr>
        <w:t xml:space="preserve"> due to past events in history which is why community engagement is vital to regain that trust. In 2022 </w:t>
      </w:r>
      <w:r w:rsidR="000E4C72">
        <w:rPr>
          <w:rFonts w:ascii="Arial" w:hAnsi="Arial" w:cs="Arial"/>
        </w:rPr>
        <w:t>‘</w:t>
      </w:r>
      <w:r w:rsidRPr="008D3E87">
        <w:rPr>
          <w:rFonts w:ascii="Arial" w:hAnsi="Arial" w:cs="Arial"/>
        </w:rPr>
        <w:t>The Police Foundation</w:t>
      </w:r>
      <w:r w:rsidR="000E4C72">
        <w:rPr>
          <w:rFonts w:ascii="Arial" w:hAnsi="Arial" w:cs="Arial"/>
        </w:rPr>
        <w:t xml:space="preserve">’ </w:t>
      </w:r>
      <w:r w:rsidRPr="008D3E87">
        <w:rPr>
          <w:rFonts w:ascii="Arial" w:hAnsi="Arial" w:cs="Arial"/>
        </w:rPr>
        <w:t>strategic review</w:t>
      </w:r>
      <w:r>
        <w:rPr>
          <w:rFonts w:ascii="Arial" w:hAnsi="Arial" w:cs="Arial"/>
        </w:rPr>
        <w:t xml:space="preserve"> set up a </w:t>
      </w:r>
      <w:r w:rsidR="009B0F40">
        <w:rPr>
          <w:rFonts w:ascii="Arial" w:hAnsi="Arial" w:cs="Arial"/>
        </w:rPr>
        <w:t>strategy of new police recruits to be put in community polic</w:t>
      </w:r>
      <w:r w:rsidR="00F16A13">
        <w:rPr>
          <w:rFonts w:ascii="Arial" w:hAnsi="Arial" w:cs="Arial"/>
        </w:rPr>
        <w:t xml:space="preserve">ing </w:t>
      </w:r>
      <w:r w:rsidR="009B0F40">
        <w:rPr>
          <w:rFonts w:ascii="Arial" w:hAnsi="Arial" w:cs="Arial"/>
        </w:rPr>
        <w:t>in order for them to build trust and improve relationships with the communities they support (Hobbs and Brown, 2023).</w:t>
      </w:r>
      <w:r w:rsidR="00CB2279">
        <w:rPr>
          <w:rFonts w:ascii="Arial" w:hAnsi="Arial" w:cs="Arial"/>
        </w:rPr>
        <w:t xml:space="preserve"> </w:t>
      </w:r>
      <w:r w:rsidR="00CB2279" w:rsidRPr="00CB2279">
        <w:rPr>
          <w:rFonts w:ascii="Arial" w:hAnsi="Arial" w:cs="Arial"/>
        </w:rPr>
        <w:t>Introducing new officers to the community allows both the police and public to build a positive relationship from the start and for the community to know what officers will be working around them</w:t>
      </w:r>
      <w:r w:rsidR="002D5915" w:rsidRPr="00CB2279">
        <w:rPr>
          <w:rFonts w:ascii="Arial" w:hAnsi="Arial" w:cs="Arial"/>
        </w:rPr>
        <w:t xml:space="preserve">. </w:t>
      </w:r>
      <w:r w:rsidR="009B0F40">
        <w:rPr>
          <w:rFonts w:ascii="Arial" w:hAnsi="Arial" w:cs="Arial"/>
        </w:rPr>
        <w:t>Both the police and the public need to work together in order to report and tackle crime</w:t>
      </w:r>
      <w:r w:rsidR="00B96C49">
        <w:rPr>
          <w:rFonts w:ascii="Arial" w:hAnsi="Arial" w:cs="Arial"/>
        </w:rPr>
        <w:t xml:space="preserve"> </w:t>
      </w:r>
    </w:p>
    <w:p w14:paraId="43F608C6" w14:textId="35E56817" w:rsidR="009B0F40" w:rsidRDefault="009B0F40" w:rsidP="00DA246A">
      <w:pPr>
        <w:spacing w:line="360" w:lineRule="auto"/>
        <w:jc w:val="both"/>
        <w:rPr>
          <w:rFonts w:ascii="Arial" w:hAnsi="Arial" w:cs="Arial"/>
        </w:rPr>
      </w:pPr>
      <w:r>
        <w:rPr>
          <w:rFonts w:ascii="Arial" w:hAnsi="Arial" w:cs="Arial"/>
        </w:rPr>
        <w:t>Police presence in the community allows the public the ability to approach officers and report crime if needed</w:t>
      </w:r>
      <w:r w:rsidR="00116268">
        <w:rPr>
          <w:rFonts w:ascii="Arial" w:hAnsi="Arial" w:cs="Arial"/>
        </w:rPr>
        <w:t xml:space="preserve"> this is seen as democratic mandate (College of Policing, 2013)</w:t>
      </w:r>
      <w:r>
        <w:rPr>
          <w:rFonts w:ascii="Arial" w:hAnsi="Arial" w:cs="Arial"/>
        </w:rPr>
        <w:t xml:space="preserve">. It allows officers to gather information and </w:t>
      </w:r>
      <w:r w:rsidR="00116268">
        <w:rPr>
          <w:rFonts w:ascii="Arial" w:hAnsi="Arial" w:cs="Arial"/>
        </w:rPr>
        <w:t>intelligence</w:t>
      </w:r>
      <w:r>
        <w:rPr>
          <w:rFonts w:ascii="Arial" w:hAnsi="Arial" w:cs="Arial"/>
        </w:rPr>
        <w:t xml:space="preserve"> by speaking to the public and patrolling different arears to see what is happening.</w:t>
      </w:r>
      <w:r w:rsidR="00B96C49">
        <w:rPr>
          <w:rFonts w:ascii="Arial" w:hAnsi="Arial" w:cs="Arial"/>
        </w:rPr>
        <w:t xml:space="preserve"> The public are seen as the ‘eyes and ears of the police’ and both work hand in hand to prevent and report crime building that community partnership (Balcioglu and Pala, 2016).</w:t>
      </w:r>
      <w:r>
        <w:rPr>
          <w:rFonts w:ascii="Arial" w:hAnsi="Arial" w:cs="Arial"/>
        </w:rPr>
        <w:t xml:space="preserve"> </w:t>
      </w:r>
      <w:r w:rsidR="00116268">
        <w:rPr>
          <w:rFonts w:ascii="Arial" w:hAnsi="Arial" w:cs="Arial"/>
        </w:rPr>
        <w:t>Community engagement allows for officers to identify issues and come up with solutions and help with early detection of potential terrorism activity</w:t>
      </w:r>
      <w:r w:rsidR="004F66C5">
        <w:rPr>
          <w:rFonts w:ascii="Arial" w:hAnsi="Arial" w:cs="Arial"/>
        </w:rPr>
        <w:t xml:space="preserve"> allowing for earlier intervention</w:t>
      </w:r>
      <w:r w:rsidR="00116268">
        <w:rPr>
          <w:rFonts w:ascii="Arial" w:hAnsi="Arial" w:cs="Arial"/>
        </w:rPr>
        <w:t xml:space="preserve">. If the police </w:t>
      </w:r>
      <w:r w:rsidR="002D5915">
        <w:rPr>
          <w:rFonts w:ascii="Arial" w:hAnsi="Arial" w:cs="Arial"/>
        </w:rPr>
        <w:t xml:space="preserve">did </w:t>
      </w:r>
      <w:r w:rsidR="002D5915">
        <w:rPr>
          <w:rFonts w:ascii="Arial" w:hAnsi="Arial" w:cs="Arial"/>
        </w:rPr>
        <w:lastRenderedPageBreak/>
        <w:t>not</w:t>
      </w:r>
      <w:r w:rsidR="00116268">
        <w:rPr>
          <w:rFonts w:ascii="Arial" w:hAnsi="Arial" w:cs="Arial"/>
        </w:rPr>
        <w:t xml:space="preserve"> engage with the community and only responded to 999 calls it would result in later detection of </w:t>
      </w:r>
      <w:r w:rsidR="002A575C">
        <w:rPr>
          <w:rFonts w:ascii="Arial" w:hAnsi="Arial" w:cs="Arial"/>
        </w:rPr>
        <w:t>terrorism.</w:t>
      </w:r>
      <w:r w:rsidR="004F66C5">
        <w:rPr>
          <w:rFonts w:ascii="Arial" w:hAnsi="Arial" w:cs="Arial"/>
        </w:rPr>
        <w:t xml:space="preserve"> </w:t>
      </w:r>
    </w:p>
    <w:p w14:paraId="72CBAEDA" w14:textId="56178DAB" w:rsidR="00F16A13" w:rsidRDefault="00F16A13" w:rsidP="00DA246A">
      <w:pPr>
        <w:spacing w:line="360" w:lineRule="auto"/>
        <w:jc w:val="both"/>
        <w:rPr>
          <w:rFonts w:ascii="Arial" w:hAnsi="Arial" w:cs="Arial"/>
        </w:rPr>
      </w:pPr>
      <w:r>
        <w:rPr>
          <w:rFonts w:ascii="Arial" w:hAnsi="Arial" w:cs="Arial"/>
        </w:rPr>
        <w:t>Certain areas and groups in society may need more support and information regarding crime and how to prevent them from being involved in crime due to their vulnerability. Police engaging</w:t>
      </w:r>
      <w:r w:rsidR="00D21C05">
        <w:rPr>
          <w:rFonts w:ascii="Arial" w:hAnsi="Arial" w:cs="Arial"/>
        </w:rPr>
        <w:t xml:space="preserve"> and speaking to the community they serve allows them to identify those who are vulnerable of being involved in acts of terrorism and prevent them from being so</w:t>
      </w:r>
      <w:r w:rsidR="002D5915">
        <w:rPr>
          <w:rFonts w:ascii="Arial" w:hAnsi="Arial" w:cs="Arial"/>
        </w:rPr>
        <w:t xml:space="preserve">. </w:t>
      </w:r>
      <w:r w:rsidR="00D21C05">
        <w:rPr>
          <w:rFonts w:ascii="Arial" w:hAnsi="Arial" w:cs="Arial"/>
        </w:rPr>
        <w:t xml:space="preserve">Identifying those vulnerable individuals allows the police to contact and work with other multi partnership agencies to come up with a strategy to ensure that those at more risk do not become radicalised (College of Policing, 2023). </w:t>
      </w:r>
      <w:r w:rsidR="00E01ABD">
        <w:rPr>
          <w:rFonts w:ascii="Arial" w:hAnsi="Arial" w:cs="Arial"/>
        </w:rPr>
        <w:t>It</w:t>
      </w:r>
      <w:r w:rsidR="00CB2279">
        <w:rPr>
          <w:rFonts w:ascii="Arial" w:hAnsi="Arial" w:cs="Arial"/>
        </w:rPr>
        <w:t xml:space="preserve"> is</w:t>
      </w:r>
      <w:r w:rsidR="00E01ABD">
        <w:rPr>
          <w:rFonts w:ascii="Arial" w:hAnsi="Arial" w:cs="Arial"/>
        </w:rPr>
        <w:t xml:space="preserve"> important that the police know what kind of people are in the communities they support</w:t>
      </w:r>
      <w:r w:rsidR="002A575C">
        <w:rPr>
          <w:rFonts w:ascii="Arial" w:hAnsi="Arial" w:cs="Arial"/>
        </w:rPr>
        <w:t xml:space="preserve"> and educate themselves on the different ways others live their lives and what they believe in. </w:t>
      </w:r>
      <w:r w:rsidR="00A15AE9">
        <w:rPr>
          <w:rFonts w:ascii="Arial" w:hAnsi="Arial" w:cs="Arial"/>
        </w:rPr>
        <w:t>If police officers are well placed it allow for the identification of grievances and negative perceptions within the community and how to prevent potential extremist ideology being shared (Stuart, 2015).</w:t>
      </w:r>
    </w:p>
    <w:p w14:paraId="0C2C6F18" w14:textId="5E30BC05" w:rsidR="00D21C05" w:rsidRDefault="00D21C05" w:rsidP="00DA246A">
      <w:pPr>
        <w:spacing w:line="360" w:lineRule="auto"/>
        <w:jc w:val="both"/>
        <w:rPr>
          <w:rFonts w:ascii="Arial" w:hAnsi="Arial" w:cs="Arial"/>
        </w:rPr>
      </w:pPr>
      <w:r>
        <w:rPr>
          <w:rFonts w:ascii="Arial" w:hAnsi="Arial" w:cs="Arial"/>
        </w:rPr>
        <w:t xml:space="preserve">The </w:t>
      </w:r>
      <w:r w:rsidR="00A14536">
        <w:rPr>
          <w:rFonts w:ascii="Arial" w:hAnsi="Arial" w:cs="Arial"/>
        </w:rPr>
        <w:t>UK Government counter terrorism strategy is known as CONTEST and within is</w:t>
      </w:r>
      <w:r>
        <w:rPr>
          <w:rFonts w:ascii="Arial" w:hAnsi="Arial" w:cs="Arial"/>
        </w:rPr>
        <w:t xml:space="preserve"> a programme called ‘The Prevent Programme’ which </w:t>
      </w:r>
      <w:r w:rsidR="005C1A41">
        <w:rPr>
          <w:rFonts w:ascii="Arial" w:hAnsi="Arial" w:cs="Arial"/>
        </w:rPr>
        <w:t>h</w:t>
      </w:r>
      <w:r>
        <w:rPr>
          <w:rFonts w:ascii="Arial" w:hAnsi="Arial" w:cs="Arial"/>
        </w:rPr>
        <w:t>as four main points Protect, Pursue, Prevent and Prepare (Counter Terrorism Policing, 2024).</w:t>
      </w:r>
      <w:r w:rsidR="005C1A41">
        <w:rPr>
          <w:rFonts w:ascii="Arial" w:hAnsi="Arial" w:cs="Arial"/>
        </w:rPr>
        <w:t xml:space="preserve"> This programme allows those identified as vulnerable of being drawn to extremism can be referred to the programme where they will work with multiple agencies to</w:t>
      </w:r>
      <w:r w:rsidR="006D31DF">
        <w:rPr>
          <w:rFonts w:ascii="Arial" w:hAnsi="Arial" w:cs="Arial"/>
        </w:rPr>
        <w:t xml:space="preserve"> receive</w:t>
      </w:r>
      <w:r w:rsidR="005C1A41">
        <w:rPr>
          <w:rFonts w:ascii="Arial" w:hAnsi="Arial" w:cs="Arial"/>
        </w:rPr>
        <w:t xml:space="preserve"> support and protect</w:t>
      </w:r>
      <w:r w:rsidR="002A575C">
        <w:rPr>
          <w:rFonts w:ascii="Arial" w:hAnsi="Arial" w:cs="Arial"/>
        </w:rPr>
        <w:t xml:space="preserve"> them. </w:t>
      </w:r>
      <w:r w:rsidR="006D31DF">
        <w:rPr>
          <w:rFonts w:ascii="Arial" w:hAnsi="Arial" w:cs="Arial"/>
        </w:rPr>
        <w:t>The police and other public authorities have a duty under Section 26 (1) of the C</w:t>
      </w:r>
      <w:r w:rsidR="006D31DF" w:rsidRPr="006D31DF">
        <w:rPr>
          <w:rFonts w:ascii="Arial" w:hAnsi="Arial" w:cs="Arial"/>
        </w:rPr>
        <w:t xml:space="preserve">ounter-Terrorism and Security Act </w:t>
      </w:r>
      <w:r w:rsidR="006D31DF">
        <w:rPr>
          <w:rFonts w:ascii="Arial" w:hAnsi="Arial" w:cs="Arial"/>
        </w:rPr>
        <w:t>(2</w:t>
      </w:r>
      <w:r w:rsidR="006D31DF" w:rsidRPr="006D31DF">
        <w:rPr>
          <w:rFonts w:ascii="Arial" w:hAnsi="Arial" w:cs="Arial"/>
        </w:rPr>
        <w:t>015</w:t>
      </w:r>
      <w:r w:rsidR="006D31DF">
        <w:rPr>
          <w:rFonts w:ascii="Arial" w:hAnsi="Arial" w:cs="Arial"/>
        </w:rPr>
        <w:t xml:space="preserve">) to prevent people from being drawn into terrorism and refer those involved or vulnerable to. </w:t>
      </w:r>
      <w:r w:rsidR="006D31DF" w:rsidRPr="006D31DF">
        <w:rPr>
          <w:rFonts w:ascii="Arial" w:hAnsi="Arial" w:cs="Arial"/>
        </w:rPr>
        <w:t xml:space="preserve">If police </w:t>
      </w:r>
      <w:r w:rsidR="002D5915" w:rsidRPr="006D31DF">
        <w:rPr>
          <w:rFonts w:ascii="Arial" w:hAnsi="Arial" w:cs="Arial"/>
        </w:rPr>
        <w:t>did not</w:t>
      </w:r>
      <w:r w:rsidR="006D31DF" w:rsidRPr="006D31DF">
        <w:rPr>
          <w:rFonts w:ascii="Arial" w:hAnsi="Arial" w:cs="Arial"/>
        </w:rPr>
        <w:t xml:space="preserve"> engage with the community, then those vulnerable individuals would not be identified nor referred.</w:t>
      </w:r>
    </w:p>
    <w:p w14:paraId="5563DD06" w14:textId="5B0FC516" w:rsidR="00642800" w:rsidRDefault="00E01ABD" w:rsidP="00DA246A">
      <w:pPr>
        <w:spacing w:line="360" w:lineRule="auto"/>
        <w:jc w:val="both"/>
        <w:rPr>
          <w:rFonts w:ascii="Arial" w:hAnsi="Arial" w:cs="Arial"/>
        </w:rPr>
      </w:pPr>
      <w:r>
        <w:rPr>
          <w:rFonts w:ascii="Arial" w:hAnsi="Arial" w:cs="Arial"/>
        </w:rPr>
        <w:t>The sharing of information and educating the public by the police on terrorism and what potential terrorism activity looks like will help prevent acts of terrorism occurring.</w:t>
      </w:r>
      <w:r w:rsidR="001702AC">
        <w:rPr>
          <w:rFonts w:ascii="Arial" w:hAnsi="Arial" w:cs="Arial"/>
        </w:rPr>
        <w:t xml:space="preserve"> The police working with local businesses, security and organisations allows for sharing of any information regarding terrorism activity and everyone collaborating together helps keep people safe and the more people able to identify terrorism activity and report it. </w:t>
      </w:r>
      <w:r w:rsidR="004858CF">
        <w:rPr>
          <w:rFonts w:ascii="Arial" w:hAnsi="Arial" w:cs="Arial"/>
        </w:rPr>
        <w:t>The police sharing information and keeping communities updated on issues that affect them helps enhance public confidence and demonstrates the police taking actions on community issues (Aston et al, 2021).</w:t>
      </w:r>
    </w:p>
    <w:p w14:paraId="3FAE0D73" w14:textId="05D898A5" w:rsidR="00C5473C" w:rsidRDefault="00C5473C" w:rsidP="00DA246A">
      <w:pPr>
        <w:spacing w:line="360" w:lineRule="auto"/>
        <w:jc w:val="both"/>
        <w:rPr>
          <w:rFonts w:ascii="Arial" w:hAnsi="Arial" w:cs="Arial"/>
          <w:b/>
          <w:bCs/>
          <w:sz w:val="52"/>
          <w:szCs w:val="52"/>
          <w:u w:val="single"/>
        </w:rPr>
      </w:pPr>
      <w:r>
        <w:rPr>
          <w:rFonts w:ascii="Arial" w:hAnsi="Arial" w:cs="Arial"/>
        </w:rPr>
        <w:lastRenderedPageBreak/>
        <w:t>In conclusion there are numerous advantages to community polic</w:t>
      </w:r>
      <w:r w:rsidR="00CA032B">
        <w:rPr>
          <w:rFonts w:ascii="Arial" w:hAnsi="Arial" w:cs="Arial"/>
        </w:rPr>
        <w:t>ing</w:t>
      </w:r>
      <w:r>
        <w:rPr>
          <w:rFonts w:ascii="Arial" w:hAnsi="Arial" w:cs="Arial"/>
        </w:rPr>
        <w:t xml:space="preserve"> and engagement in helping preventing terrorism and supporting counter-terrorism from </w:t>
      </w:r>
      <w:r w:rsidR="00CA032B">
        <w:rPr>
          <w:rFonts w:ascii="Arial" w:hAnsi="Arial" w:cs="Arial"/>
        </w:rPr>
        <w:t>t</w:t>
      </w:r>
      <w:r>
        <w:rPr>
          <w:rFonts w:ascii="Arial" w:hAnsi="Arial" w:cs="Arial"/>
        </w:rPr>
        <w:t xml:space="preserve">he police being active in the community and building stronger and positive relationships which builds trust and cooperation. </w:t>
      </w:r>
      <w:r w:rsidR="00CA032B">
        <w:rPr>
          <w:rFonts w:ascii="Arial" w:hAnsi="Arial" w:cs="Arial"/>
        </w:rPr>
        <w:t>The more present police are and engaging within communities helps deter crime a</w:t>
      </w:r>
      <w:r w:rsidR="004438AA">
        <w:rPr>
          <w:rFonts w:ascii="Arial" w:hAnsi="Arial" w:cs="Arial"/>
        </w:rPr>
        <w:t>n</w:t>
      </w:r>
      <w:r w:rsidR="00CA032B">
        <w:rPr>
          <w:rFonts w:ascii="Arial" w:hAnsi="Arial" w:cs="Arial"/>
        </w:rPr>
        <w:t xml:space="preserve">d allows police to know the people of the community better making it easier to gather information and intelligence. </w:t>
      </w:r>
      <w:r w:rsidR="004438AA">
        <w:rPr>
          <w:rFonts w:ascii="Arial" w:hAnsi="Arial" w:cs="Arial"/>
        </w:rPr>
        <w:t xml:space="preserve">If police did not engage with the community, it would make it easier for criminals to plan and commit acts of terrorism and would mean less vulnerable people are saved from being involved in these acts. </w:t>
      </w:r>
      <w:r w:rsidR="00CB2279">
        <w:rPr>
          <w:rFonts w:ascii="Arial" w:hAnsi="Arial" w:cs="Arial"/>
        </w:rPr>
        <w:t xml:space="preserve">Overall public safety is increased and likelihood of acts of terrorism being committed can be prevented. </w:t>
      </w:r>
    </w:p>
    <w:p w14:paraId="2609095B" w14:textId="77777777" w:rsidR="00642800" w:rsidRDefault="00642800" w:rsidP="008D3E87">
      <w:pPr>
        <w:jc w:val="center"/>
        <w:rPr>
          <w:rFonts w:ascii="Arial" w:hAnsi="Arial" w:cs="Arial"/>
          <w:b/>
          <w:bCs/>
          <w:sz w:val="52"/>
          <w:szCs w:val="52"/>
          <w:u w:val="single"/>
        </w:rPr>
      </w:pPr>
    </w:p>
    <w:p w14:paraId="0BCCFE48" w14:textId="77777777" w:rsidR="00380999" w:rsidRDefault="00380999" w:rsidP="008D3E87">
      <w:pPr>
        <w:jc w:val="center"/>
        <w:rPr>
          <w:rFonts w:ascii="Arial" w:hAnsi="Arial" w:cs="Arial"/>
          <w:b/>
          <w:bCs/>
          <w:sz w:val="52"/>
          <w:szCs w:val="52"/>
          <w:u w:val="single"/>
        </w:rPr>
      </w:pPr>
    </w:p>
    <w:p w14:paraId="1F138756" w14:textId="77777777" w:rsidR="00642800" w:rsidRDefault="00642800" w:rsidP="008D3E87">
      <w:pPr>
        <w:jc w:val="center"/>
        <w:rPr>
          <w:rFonts w:ascii="Arial" w:hAnsi="Arial" w:cs="Arial"/>
          <w:b/>
          <w:bCs/>
          <w:sz w:val="52"/>
          <w:szCs w:val="52"/>
          <w:u w:val="single"/>
        </w:rPr>
      </w:pPr>
    </w:p>
    <w:p w14:paraId="61A51399" w14:textId="77777777" w:rsidR="002A575C" w:rsidRDefault="002A575C" w:rsidP="002A575C">
      <w:pPr>
        <w:rPr>
          <w:rFonts w:ascii="Arial" w:hAnsi="Arial" w:cs="Arial"/>
          <w:b/>
          <w:bCs/>
          <w:sz w:val="52"/>
          <w:szCs w:val="52"/>
          <w:u w:val="single"/>
        </w:rPr>
      </w:pPr>
    </w:p>
    <w:p w14:paraId="17669E65" w14:textId="77777777" w:rsidR="00DA246A" w:rsidRDefault="00DA246A" w:rsidP="002A575C">
      <w:pPr>
        <w:rPr>
          <w:rFonts w:ascii="Arial" w:hAnsi="Arial" w:cs="Arial"/>
          <w:b/>
          <w:bCs/>
          <w:sz w:val="52"/>
          <w:szCs w:val="52"/>
          <w:u w:val="single"/>
        </w:rPr>
      </w:pPr>
    </w:p>
    <w:p w14:paraId="1D792946" w14:textId="77777777" w:rsidR="00DA246A" w:rsidRDefault="00DA246A" w:rsidP="002A575C">
      <w:pPr>
        <w:rPr>
          <w:rFonts w:ascii="Arial" w:hAnsi="Arial" w:cs="Arial"/>
          <w:b/>
          <w:bCs/>
          <w:sz w:val="52"/>
          <w:szCs w:val="52"/>
          <w:u w:val="single"/>
        </w:rPr>
      </w:pPr>
    </w:p>
    <w:p w14:paraId="14781C0E" w14:textId="77777777" w:rsidR="00DA246A" w:rsidRDefault="00DA246A" w:rsidP="002A575C">
      <w:pPr>
        <w:rPr>
          <w:rFonts w:ascii="Arial" w:hAnsi="Arial" w:cs="Arial"/>
          <w:b/>
          <w:bCs/>
          <w:sz w:val="52"/>
          <w:szCs w:val="52"/>
          <w:u w:val="single"/>
        </w:rPr>
      </w:pPr>
    </w:p>
    <w:p w14:paraId="4879134E" w14:textId="77777777" w:rsidR="00DA246A" w:rsidRDefault="00DA246A" w:rsidP="002A575C">
      <w:pPr>
        <w:rPr>
          <w:rFonts w:ascii="Arial" w:hAnsi="Arial" w:cs="Arial"/>
          <w:b/>
          <w:bCs/>
          <w:sz w:val="52"/>
          <w:szCs w:val="52"/>
          <w:u w:val="single"/>
        </w:rPr>
      </w:pPr>
    </w:p>
    <w:p w14:paraId="11A9F954" w14:textId="77777777" w:rsidR="00DA246A" w:rsidRDefault="00DA246A" w:rsidP="002A575C">
      <w:pPr>
        <w:rPr>
          <w:rFonts w:ascii="Arial" w:hAnsi="Arial" w:cs="Arial"/>
          <w:b/>
          <w:bCs/>
          <w:sz w:val="52"/>
          <w:szCs w:val="52"/>
          <w:u w:val="single"/>
        </w:rPr>
      </w:pPr>
    </w:p>
    <w:p w14:paraId="58761171" w14:textId="77777777" w:rsidR="00DA246A" w:rsidRDefault="00DA246A" w:rsidP="002A575C">
      <w:pPr>
        <w:rPr>
          <w:rFonts w:ascii="Arial" w:hAnsi="Arial" w:cs="Arial"/>
          <w:b/>
          <w:bCs/>
          <w:sz w:val="52"/>
          <w:szCs w:val="52"/>
          <w:u w:val="single"/>
        </w:rPr>
      </w:pPr>
    </w:p>
    <w:p w14:paraId="7547616B" w14:textId="77777777" w:rsidR="00DA246A" w:rsidRDefault="00DA246A" w:rsidP="002A575C">
      <w:pPr>
        <w:rPr>
          <w:rFonts w:ascii="Arial" w:hAnsi="Arial" w:cs="Arial"/>
          <w:b/>
          <w:bCs/>
          <w:sz w:val="52"/>
          <w:szCs w:val="52"/>
          <w:u w:val="single"/>
        </w:rPr>
      </w:pPr>
    </w:p>
    <w:p w14:paraId="1382800A" w14:textId="22EBE8D4" w:rsidR="008D3E87" w:rsidRDefault="008D3E87" w:rsidP="00642800">
      <w:pPr>
        <w:jc w:val="center"/>
        <w:rPr>
          <w:rFonts w:ascii="Arial" w:hAnsi="Arial" w:cs="Arial"/>
          <w:b/>
          <w:bCs/>
          <w:sz w:val="52"/>
          <w:szCs w:val="52"/>
          <w:u w:val="single"/>
        </w:rPr>
      </w:pPr>
      <w:r w:rsidRPr="008D3E87">
        <w:rPr>
          <w:rFonts w:ascii="Arial" w:hAnsi="Arial" w:cs="Arial"/>
          <w:b/>
          <w:bCs/>
          <w:sz w:val="52"/>
          <w:szCs w:val="52"/>
          <w:u w:val="single"/>
        </w:rPr>
        <w:lastRenderedPageBreak/>
        <w:t>References</w:t>
      </w:r>
    </w:p>
    <w:p w14:paraId="1C00DA8A" w14:textId="42A225C1" w:rsidR="006D31DF" w:rsidRPr="006D31DF" w:rsidRDefault="006D31DF" w:rsidP="00DA246A">
      <w:pPr>
        <w:spacing w:line="360" w:lineRule="auto"/>
        <w:rPr>
          <w:rFonts w:ascii="Arial" w:hAnsi="Arial" w:cs="Arial"/>
          <w:b/>
          <w:bCs/>
          <w:sz w:val="28"/>
          <w:szCs w:val="28"/>
          <w:u w:val="single"/>
        </w:rPr>
      </w:pPr>
      <w:r w:rsidRPr="006D31DF">
        <w:rPr>
          <w:rFonts w:ascii="Arial" w:hAnsi="Arial" w:cs="Arial"/>
          <w:b/>
          <w:bCs/>
          <w:sz w:val="28"/>
          <w:szCs w:val="28"/>
          <w:u w:val="single"/>
        </w:rPr>
        <w:t>Legislation</w:t>
      </w:r>
    </w:p>
    <w:p w14:paraId="27B1C239" w14:textId="76FB267F" w:rsidR="006D31DF" w:rsidRPr="006D31DF" w:rsidRDefault="006D31DF" w:rsidP="00DA246A">
      <w:pPr>
        <w:spacing w:line="360" w:lineRule="auto"/>
        <w:rPr>
          <w:rFonts w:ascii="Arial" w:hAnsi="Arial" w:cs="Arial"/>
        </w:rPr>
      </w:pPr>
      <w:r w:rsidRPr="006D31DF">
        <w:rPr>
          <w:rFonts w:ascii="Arial" w:hAnsi="Arial" w:cs="Arial"/>
        </w:rPr>
        <w:t>Section 26 (1) of the Counter-Terrorism and Security Act (2015)</w:t>
      </w:r>
    </w:p>
    <w:p w14:paraId="78E9B254" w14:textId="08CE8CC5" w:rsidR="006D31DF" w:rsidRDefault="006D31DF" w:rsidP="00DA246A">
      <w:pPr>
        <w:spacing w:line="360" w:lineRule="auto"/>
        <w:rPr>
          <w:rFonts w:ascii="Arial" w:hAnsi="Arial" w:cs="Arial"/>
          <w:b/>
          <w:bCs/>
          <w:sz w:val="28"/>
          <w:szCs w:val="28"/>
          <w:u w:val="single"/>
        </w:rPr>
      </w:pPr>
      <w:r w:rsidRPr="006D31DF">
        <w:rPr>
          <w:rFonts w:ascii="Arial" w:hAnsi="Arial" w:cs="Arial"/>
          <w:b/>
          <w:bCs/>
          <w:sz w:val="28"/>
          <w:szCs w:val="28"/>
          <w:u w:val="single"/>
        </w:rPr>
        <w:t>Academic References</w:t>
      </w:r>
    </w:p>
    <w:p w14:paraId="718D705E" w14:textId="27048097" w:rsidR="004858CF" w:rsidRPr="004858CF" w:rsidRDefault="004858CF" w:rsidP="00DA246A">
      <w:pPr>
        <w:spacing w:line="360" w:lineRule="auto"/>
        <w:rPr>
          <w:rFonts w:ascii="Arial" w:hAnsi="Arial" w:cs="Arial"/>
        </w:rPr>
      </w:pPr>
      <w:r w:rsidRPr="004858CF">
        <w:rPr>
          <w:rFonts w:ascii="Arial" w:hAnsi="Arial" w:cs="Arial"/>
        </w:rPr>
        <w:t>Aston</w:t>
      </w:r>
      <w:r>
        <w:rPr>
          <w:rFonts w:ascii="Arial" w:hAnsi="Arial" w:cs="Arial"/>
        </w:rPr>
        <w:t>, EV.</w:t>
      </w:r>
      <w:r w:rsidRPr="004858CF">
        <w:rPr>
          <w:rFonts w:ascii="Arial" w:hAnsi="Arial" w:cs="Arial"/>
        </w:rPr>
        <w:t>, O’Neill</w:t>
      </w:r>
      <w:r>
        <w:rPr>
          <w:rFonts w:ascii="Arial" w:hAnsi="Arial" w:cs="Arial"/>
        </w:rPr>
        <w:t xml:space="preserve">, </w:t>
      </w:r>
      <w:r w:rsidRPr="004858CF">
        <w:rPr>
          <w:rFonts w:ascii="Arial" w:hAnsi="Arial" w:cs="Arial"/>
        </w:rPr>
        <w:t>M</w:t>
      </w:r>
      <w:r>
        <w:rPr>
          <w:rFonts w:ascii="Arial" w:hAnsi="Arial" w:cs="Arial"/>
        </w:rPr>
        <w:t>.</w:t>
      </w:r>
      <w:r w:rsidRPr="004858CF">
        <w:rPr>
          <w:rFonts w:ascii="Arial" w:hAnsi="Arial" w:cs="Arial"/>
        </w:rPr>
        <w:t>, Hail</w:t>
      </w:r>
      <w:r>
        <w:rPr>
          <w:rFonts w:ascii="Arial" w:hAnsi="Arial" w:cs="Arial"/>
        </w:rPr>
        <w:t>,</w:t>
      </w:r>
      <w:r w:rsidRPr="004858CF">
        <w:rPr>
          <w:rFonts w:ascii="Arial" w:hAnsi="Arial" w:cs="Arial"/>
        </w:rPr>
        <w:t xml:space="preserve"> Y</w:t>
      </w:r>
      <w:r>
        <w:rPr>
          <w:rFonts w:ascii="Arial" w:hAnsi="Arial" w:cs="Arial"/>
        </w:rPr>
        <w:t xml:space="preserve">. </w:t>
      </w:r>
      <w:r w:rsidRPr="004858CF">
        <w:rPr>
          <w:rFonts w:ascii="Arial" w:hAnsi="Arial" w:cs="Arial"/>
        </w:rPr>
        <w:t>&amp; Wooff A</w:t>
      </w:r>
      <w:r>
        <w:rPr>
          <w:rFonts w:ascii="Arial" w:hAnsi="Arial" w:cs="Arial"/>
        </w:rPr>
        <w:t xml:space="preserve">. </w:t>
      </w:r>
      <w:r w:rsidRPr="004858CF">
        <w:rPr>
          <w:rFonts w:ascii="Arial" w:hAnsi="Arial" w:cs="Arial"/>
        </w:rPr>
        <w:t xml:space="preserve">(2021) </w:t>
      </w:r>
      <w:r>
        <w:rPr>
          <w:rFonts w:ascii="Arial" w:hAnsi="Arial" w:cs="Arial"/>
        </w:rPr>
        <w:t>‘</w:t>
      </w:r>
      <w:r w:rsidRPr="004858CF">
        <w:rPr>
          <w:rFonts w:ascii="Arial" w:hAnsi="Arial" w:cs="Arial"/>
        </w:rPr>
        <w:t>Information sharing in community policing in Europe: Building public confidence</w:t>
      </w:r>
      <w:r>
        <w:rPr>
          <w:rFonts w:ascii="Arial" w:hAnsi="Arial" w:cs="Arial"/>
        </w:rPr>
        <w:t xml:space="preserve">’, </w:t>
      </w:r>
      <w:r w:rsidRPr="004858CF">
        <w:rPr>
          <w:rFonts w:ascii="Arial" w:hAnsi="Arial" w:cs="Arial"/>
          <w:i/>
          <w:iCs/>
        </w:rPr>
        <w:t>European Journal of Criminology</w:t>
      </w:r>
      <w:r>
        <w:rPr>
          <w:rFonts w:ascii="Arial" w:hAnsi="Arial" w:cs="Arial"/>
          <w:i/>
          <w:iCs/>
        </w:rPr>
        <w:t xml:space="preserve">, </w:t>
      </w:r>
      <w:r w:rsidRPr="004858CF">
        <w:rPr>
          <w:rFonts w:ascii="Arial" w:hAnsi="Arial" w:cs="Arial"/>
        </w:rPr>
        <w:t xml:space="preserve">Vol 20 (4). Available at: </w:t>
      </w:r>
      <w:hyperlink r:id="rId7" w:history="1">
        <w:r w:rsidRPr="004858CF">
          <w:rPr>
            <w:rStyle w:val="Hyperlink"/>
            <w:rFonts w:ascii="Arial" w:hAnsi="Arial" w:cs="Arial"/>
          </w:rPr>
          <w:t>https://do</w:t>
        </w:r>
        <w:r w:rsidRPr="004858CF">
          <w:rPr>
            <w:rStyle w:val="Hyperlink"/>
            <w:rFonts w:ascii="Arial" w:hAnsi="Arial" w:cs="Arial"/>
          </w:rPr>
          <w:t>i.org/10.1177/1477370821103790</w:t>
        </w:r>
        <w:r w:rsidRPr="004858CF">
          <w:rPr>
            <w:rStyle w:val="Hyperlink"/>
            <w:rFonts w:ascii="Arial" w:hAnsi="Arial" w:cs="Arial"/>
          </w:rPr>
          <w:t>2</w:t>
        </w:r>
      </w:hyperlink>
      <w:r w:rsidRPr="004858CF">
        <w:rPr>
          <w:rFonts w:ascii="Arial" w:hAnsi="Arial" w:cs="Arial"/>
        </w:rPr>
        <w:t xml:space="preserve"> </w:t>
      </w:r>
      <w:r w:rsidR="001E0424">
        <w:rPr>
          <w:rFonts w:ascii="Arial" w:hAnsi="Arial" w:cs="Arial"/>
        </w:rPr>
        <w:t>(Accessed: 17</w:t>
      </w:r>
      <w:r w:rsidR="001E0424" w:rsidRPr="001E0424">
        <w:rPr>
          <w:rFonts w:ascii="Arial" w:hAnsi="Arial" w:cs="Arial"/>
          <w:vertAlign w:val="superscript"/>
        </w:rPr>
        <w:t>th</w:t>
      </w:r>
      <w:r w:rsidR="001E0424">
        <w:rPr>
          <w:rFonts w:ascii="Arial" w:hAnsi="Arial" w:cs="Arial"/>
        </w:rPr>
        <w:t xml:space="preserve"> April 2024)</w:t>
      </w:r>
    </w:p>
    <w:p w14:paraId="7E5D4620" w14:textId="759BB576" w:rsidR="00B96C49" w:rsidRPr="00B96C49" w:rsidRDefault="00B96C49" w:rsidP="00DA246A">
      <w:pPr>
        <w:spacing w:line="360" w:lineRule="auto"/>
        <w:rPr>
          <w:rFonts w:ascii="Arial" w:hAnsi="Arial" w:cs="Arial"/>
        </w:rPr>
      </w:pPr>
      <w:r w:rsidRPr="00B96C49">
        <w:rPr>
          <w:rFonts w:ascii="Arial" w:hAnsi="Arial" w:cs="Arial"/>
        </w:rPr>
        <w:t>Balciogu, E. and Pala, E. (2016)</w:t>
      </w:r>
      <w:r w:rsidR="00380999">
        <w:rPr>
          <w:rFonts w:ascii="Arial" w:hAnsi="Arial" w:cs="Arial"/>
        </w:rPr>
        <w:t xml:space="preserve"> </w:t>
      </w:r>
      <w:r w:rsidR="00380999" w:rsidRPr="00380999">
        <w:rPr>
          <w:rFonts w:ascii="Arial" w:hAnsi="Arial" w:cs="Arial"/>
        </w:rPr>
        <w:t>‘</w:t>
      </w:r>
      <w:r w:rsidRPr="00380999">
        <w:rPr>
          <w:rFonts w:ascii="Arial" w:hAnsi="Arial" w:cs="Arial"/>
        </w:rPr>
        <w:t>Community Policing in England, Wales, and European Union: past, present and future</w:t>
      </w:r>
      <w:r w:rsidR="00380999" w:rsidRPr="00380999">
        <w:rPr>
          <w:rFonts w:ascii="Arial" w:hAnsi="Arial" w:cs="Arial"/>
        </w:rPr>
        <w:t>’</w:t>
      </w:r>
      <w:r w:rsidR="00380999">
        <w:rPr>
          <w:rFonts w:ascii="Arial" w:hAnsi="Arial" w:cs="Arial"/>
          <w:i/>
          <w:iCs/>
        </w:rPr>
        <w:t xml:space="preserve">, </w:t>
      </w:r>
      <w:r w:rsidR="00380999" w:rsidRPr="00380999">
        <w:rPr>
          <w:rFonts w:ascii="Arial" w:hAnsi="Arial" w:cs="Arial"/>
          <w:i/>
          <w:iCs/>
        </w:rPr>
        <w:t>Ankara Avrupa Çalışmaları Dergisi</w:t>
      </w:r>
      <w:r w:rsidR="00380999" w:rsidRPr="00380999">
        <w:rPr>
          <w:rFonts w:ascii="Arial" w:hAnsi="Arial" w:cs="Arial"/>
          <w:i/>
          <w:iCs/>
        </w:rPr>
        <w:t>,</w:t>
      </w:r>
      <w:r w:rsidR="00380999" w:rsidRPr="00380999">
        <w:rPr>
          <w:rFonts w:ascii="Arial" w:hAnsi="Arial" w:cs="Arial"/>
        </w:rPr>
        <w:t xml:space="preserve"> Vol 15(1), </w:t>
      </w:r>
      <w:r w:rsidR="00380999">
        <w:rPr>
          <w:rFonts w:ascii="Arial" w:hAnsi="Arial" w:cs="Arial"/>
        </w:rPr>
        <w:t xml:space="preserve">pp. </w:t>
      </w:r>
      <w:r w:rsidR="00380999" w:rsidRPr="00380999">
        <w:rPr>
          <w:rFonts w:ascii="Arial" w:hAnsi="Arial" w:cs="Arial"/>
        </w:rPr>
        <w:t>173-199.</w:t>
      </w:r>
      <w:r w:rsidR="00380999">
        <w:rPr>
          <w:rFonts w:ascii="Arial" w:hAnsi="Arial" w:cs="Arial"/>
          <w:i/>
          <w:iCs/>
        </w:rPr>
        <w:t xml:space="preserve"> </w:t>
      </w:r>
    </w:p>
    <w:p w14:paraId="341C7A22" w14:textId="4D81DDC5" w:rsidR="00116268" w:rsidRDefault="00116268" w:rsidP="00DA246A">
      <w:pPr>
        <w:spacing w:line="360" w:lineRule="auto"/>
        <w:rPr>
          <w:rFonts w:ascii="Arial" w:hAnsi="Arial" w:cs="Arial"/>
        </w:rPr>
      </w:pPr>
      <w:r>
        <w:rPr>
          <w:rFonts w:ascii="Arial" w:hAnsi="Arial" w:cs="Arial"/>
        </w:rPr>
        <w:t>College of Policing</w:t>
      </w:r>
      <w:r w:rsidR="00D21C05">
        <w:rPr>
          <w:rFonts w:ascii="Arial" w:hAnsi="Arial" w:cs="Arial"/>
        </w:rPr>
        <w:t>.</w:t>
      </w:r>
      <w:r>
        <w:rPr>
          <w:rFonts w:ascii="Arial" w:hAnsi="Arial" w:cs="Arial"/>
        </w:rPr>
        <w:t xml:space="preserve"> (2013) </w:t>
      </w:r>
      <w:r w:rsidRPr="00116268">
        <w:rPr>
          <w:rFonts w:ascii="Arial" w:hAnsi="Arial" w:cs="Arial"/>
          <w:i/>
          <w:iCs/>
        </w:rPr>
        <w:t>‘Engagement’</w:t>
      </w:r>
      <w:r>
        <w:rPr>
          <w:rFonts w:ascii="Arial" w:hAnsi="Arial" w:cs="Arial"/>
        </w:rPr>
        <w:t>. Available at:</w:t>
      </w:r>
      <w:r w:rsidRPr="00116268">
        <w:t xml:space="preserve"> </w:t>
      </w:r>
      <w:hyperlink r:id="rId8" w:history="1">
        <w:r w:rsidRPr="00C94A53">
          <w:rPr>
            <w:rStyle w:val="Hyperlink"/>
            <w:rFonts w:ascii="Arial" w:hAnsi="Arial" w:cs="Arial"/>
          </w:rPr>
          <w:t>https://www.college.police.uk/app/engagement-and-communication/engagement</w:t>
        </w:r>
      </w:hyperlink>
      <w:r>
        <w:rPr>
          <w:rFonts w:ascii="Arial" w:hAnsi="Arial" w:cs="Arial"/>
        </w:rPr>
        <w:t xml:space="preserve">  (Accessed: 16</w:t>
      </w:r>
      <w:r w:rsidRPr="00116268">
        <w:rPr>
          <w:rFonts w:ascii="Arial" w:hAnsi="Arial" w:cs="Arial"/>
          <w:vertAlign w:val="superscript"/>
        </w:rPr>
        <w:t>th</w:t>
      </w:r>
      <w:r>
        <w:rPr>
          <w:rFonts w:ascii="Arial" w:hAnsi="Arial" w:cs="Arial"/>
        </w:rPr>
        <w:t xml:space="preserve"> April</w:t>
      </w:r>
      <w:r w:rsidR="001E0424">
        <w:rPr>
          <w:rFonts w:ascii="Arial" w:hAnsi="Arial" w:cs="Arial"/>
        </w:rPr>
        <w:t xml:space="preserve"> </w:t>
      </w:r>
      <w:r>
        <w:rPr>
          <w:rFonts w:ascii="Arial" w:hAnsi="Arial" w:cs="Arial"/>
        </w:rPr>
        <w:t>2024).</w:t>
      </w:r>
    </w:p>
    <w:p w14:paraId="06A656A6" w14:textId="71D8F483" w:rsidR="00D21C05" w:rsidRDefault="00D21C05" w:rsidP="00DA246A">
      <w:pPr>
        <w:spacing w:line="360" w:lineRule="auto"/>
        <w:rPr>
          <w:rFonts w:ascii="Arial" w:hAnsi="Arial" w:cs="Arial"/>
        </w:rPr>
      </w:pPr>
      <w:r>
        <w:rPr>
          <w:rFonts w:ascii="Arial" w:hAnsi="Arial" w:cs="Arial"/>
        </w:rPr>
        <w:t xml:space="preserve">College of Policing. (2023) </w:t>
      </w:r>
      <w:r w:rsidRPr="00D21C05">
        <w:rPr>
          <w:rFonts w:ascii="Arial" w:hAnsi="Arial" w:cs="Arial"/>
        </w:rPr>
        <w:t>‘</w:t>
      </w:r>
      <w:r w:rsidRPr="00D21C05">
        <w:rPr>
          <w:rFonts w:ascii="Arial" w:hAnsi="Arial" w:cs="Arial"/>
          <w:i/>
          <w:iCs/>
        </w:rPr>
        <w:t>Multi-agency interventions to address radicalisation</w:t>
      </w:r>
      <w:r w:rsidRPr="00D21C05">
        <w:rPr>
          <w:rFonts w:ascii="Arial" w:hAnsi="Arial" w:cs="Arial"/>
          <w:i/>
          <w:iCs/>
        </w:rPr>
        <w:t>’.</w:t>
      </w:r>
      <w:r>
        <w:rPr>
          <w:rFonts w:ascii="Arial" w:hAnsi="Arial" w:cs="Arial"/>
        </w:rPr>
        <w:t xml:space="preserve"> Available at: </w:t>
      </w:r>
      <w:hyperlink r:id="rId9" w:history="1">
        <w:r w:rsidRPr="00C94A53">
          <w:rPr>
            <w:rStyle w:val="Hyperlink"/>
            <w:rFonts w:ascii="Arial" w:hAnsi="Arial" w:cs="Arial"/>
          </w:rPr>
          <w:t>https://www.college.police.uk/research/crime-reduction-toolkit/multi-agency-interventions-address-radicalisation</w:t>
        </w:r>
      </w:hyperlink>
      <w:r>
        <w:rPr>
          <w:rFonts w:ascii="Arial" w:hAnsi="Arial" w:cs="Arial"/>
        </w:rPr>
        <w:t xml:space="preserve"> (Accessed: 16</w:t>
      </w:r>
      <w:r w:rsidRPr="00D21C05">
        <w:rPr>
          <w:rFonts w:ascii="Arial" w:hAnsi="Arial" w:cs="Arial"/>
          <w:vertAlign w:val="superscript"/>
        </w:rPr>
        <w:t>th</w:t>
      </w:r>
      <w:r>
        <w:rPr>
          <w:rFonts w:ascii="Arial" w:hAnsi="Arial" w:cs="Arial"/>
        </w:rPr>
        <w:t xml:space="preserve"> April 2024). </w:t>
      </w:r>
    </w:p>
    <w:p w14:paraId="1D88FC5E" w14:textId="04F84F14" w:rsidR="00D21C05" w:rsidRPr="00116268" w:rsidRDefault="00D21C05" w:rsidP="00DA246A">
      <w:pPr>
        <w:spacing w:line="360" w:lineRule="auto"/>
        <w:rPr>
          <w:rFonts w:ascii="Arial" w:hAnsi="Arial" w:cs="Arial"/>
        </w:rPr>
      </w:pPr>
      <w:r>
        <w:rPr>
          <w:rFonts w:ascii="Arial" w:hAnsi="Arial" w:cs="Arial"/>
        </w:rPr>
        <w:t xml:space="preserve">Counter Terorism Policing. (2024) </w:t>
      </w:r>
      <w:r w:rsidR="00642800" w:rsidRPr="00642800">
        <w:rPr>
          <w:rFonts w:ascii="Arial" w:hAnsi="Arial" w:cs="Arial"/>
          <w:i/>
          <w:iCs/>
        </w:rPr>
        <w:t>‘What we do</w:t>
      </w:r>
      <w:r w:rsidR="00642800">
        <w:rPr>
          <w:rFonts w:ascii="Arial" w:hAnsi="Arial" w:cs="Arial"/>
          <w:i/>
          <w:iCs/>
        </w:rPr>
        <w:t>’</w:t>
      </w:r>
      <w:r w:rsidR="00642800" w:rsidRPr="00642800">
        <w:rPr>
          <w:rFonts w:ascii="Arial" w:hAnsi="Arial" w:cs="Arial"/>
          <w:i/>
          <w:iCs/>
        </w:rPr>
        <w:t>.</w:t>
      </w:r>
      <w:r w:rsidR="00642800">
        <w:rPr>
          <w:rFonts w:ascii="Arial" w:hAnsi="Arial" w:cs="Arial"/>
        </w:rPr>
        <w:t xml:space="preserve"> Available at: </w:t>
      </w:r>
      <w:hyperlink r:id="rId10" w:history="1">
        <w:r w:rsidR="00642800" w:rsidRPr="00C94A53">
          <w:rPr>
            <w:rStyle w:val="Hyperlink"/>
            <w:rFonts w:ascii="Arial" w:hAnsi="Arial" w:cs="Arial"/>
          </w:rPr>
          <w:t>https://www.counterterrorism.police.uk/what-we-do/prevent/</w:t>
        </w:r>
      </w:hyperlink>
      <w:r w:rsidR="00642800">
        <w:rPr>
          <w:rFonts w:ascii="Arial" w:hAnsi="Arial" w:cs="Arial"/>
        </w:rPr>
        <w:t xml:space="preserve"> (Accessed: 16</w:t>
      </w:r>
      <w:r w:rsidR="00642800" w:rsidRPr="00642800">
        <w:rPr>
          <w:rFonts w:ascii="Arial" w:hAnsi="Arial" w:cs="Arial"/>
          <w:vertAlign w:val="superscript"/>
        </w:rPr>
        <w:t>th</w:t>
      </w:r>
      <w:r w:rsidR="00642800">
        <w:rPr>
          <w:rFonts w:ascii="Arial" w:hAnsi="Arial" w:cs="Arial"/>
        </w:rPr>
        <w:t xml:space="preserve"> April 2024).</w:t>
      </w:r>
    </w:p>
    <w:p w14:paraId="3A784ED6" w14:textId="5BE96259" w:rsidR="009B0F40" w:rsidRPr="009B0F40" w:rsidRDefault="009B0F40" w:rsidP="00DA246A">
      <w:pPr>
        <w:spacing w:line="360" w:lineRule="auto"/>
        <w:rPr>
          <w:rFonts w:ascii="Arial" w:hAnsi="Arial" w:cs="Arial"/>
        </w:rPr>
      </w:pPr>
      <w:r w:rsidRPr="009B0F40">
        <w:rPr>
          <w:rFonts w:ascii="Arial" w:hAnsi="Arial" w:cs="Arial"/>
        </w:rPr>
        <w:t>Hobbs, A and Brown, R. (2023)</w:t>
      </w:r>
      <w:r>
        <w:rPr>
          <w:rFonts w:ascii="Arial" w:hAnsi="Arial" w:cs="Arial"/>
        </w:rPr>
        <w:t xml:space="preserve"> ‘</w:t>
      </w:r>
      <w:r w:rsidRPr="009B0F40">
        <w:rPr>
          <w:rFonts w:ascii="Arial" w:hAnsi="Arial" w:cs="Arial"/>
        </w:rPr>
        <w:t>Trust in the Police’</w:t>
      </w:r>
      <w:r>
        <w:rPr>
          <w:rFonts w:ascii="Arial" w:hAnsi="Arial" w:cs="Arial"/>
          <w:i/>
          <w:iCs/>
        </w:rPr>
        <w:t>, UK Parliament POST</w:t>
      </w:r>
      <w:r w:rsidR="002D5915">
        <w:rPr>
          <w:rFonts w:ascii="Arial" w:hAnsi="Arial" w:cs="Arial"/>
          <w:i/>
          <w:iCs/>
        </w:rPr>
        <w:t xml:space="preserve">. </w:t>
      </w:r>
      <w:r w:rsidRPr="009B0F40">
        <w:rPr>
          <w:rFonts w:ascii="Arial" w:hAnsi="Arial" w:cs="Arial"/>
        </w:rPr>
        <w:t xml:space="preserve">Available at: </w:t>
      </w:r>
      <w:hyperlink r:id="rId11" w:history="1">
        <w:r w:rsidRPr="00C94A53">
          <w:rPr>
            <w:rStyle w:val="Hyperlink"/>
            <w:rFonts w:ascii="Arial" w:hAnsi="Arial" w:cs="Arial"/>
          </w:rPr>
          <w:t>https://researchbriefings.files.parliament.uk/documents/POST-PN-0693/POST-PN-0693.pdf</w:t>
        </w:r>
      </w:hyperlink>
      <w:r>
        <w:rPr>
          <w:rFonts w:ascii="Arial" w:hAnsi="Arial" w:cs="Arial"/>
        </w:rPr>
        <w:t xml:space="preserve"> </w:t>
      </w:r>
      <w:r w:rsidR="001E0424">
        <w:rPr>
          <w:rFonts w:ascii="Arial" w:hAnsi="Arial" w:cs="Arial"/>
        </w:rPr>
        <w:t>(Accessed: 16</w:t>
      </w:r>
      <w:r w:rsidR="001E0424" w:rsidRPr="001E0424">
        <w:rPr>
          <w:rFonts w:ascii="Arial" w:hAnsi="Arial" w:cs="Arial"/>
          <w:vertAlign w:val="superscript"/>
        </w:rPr>
        <w:t>th</w:t>
      </w:r>
      <w:r w:rsidR="001E0424">
        <w:rPr>
          <w:rFonts w:ascii="Arial" w:hAnsi="Arial" w:cs="Arial"/>
        </w:rPr>
        <w:t xml:space="preserve"> April 2024).</w:t>
      </w:r>
    </w:p>
    <w:p w14:paraId="28786253" w14:textId="07ACD0F8" w:rsidR="008D3E87" w:rsidRDefault="008D3E87" w:rsidP="00DA246A">
      <w:pPr>
        <w:spacing w:line="360" w:lineRule="auto"/>
        <w:rPr>
          <w:rFonts w:ascii="Arial" w:hAnsi="Arial" w:cs="Arial"/>
        </w:rPr>
      </w:pPr>
      <w:r w:rsidRPr="008D3E87">
        <w:rPr>
          <w:rFonts w:ascii="Arial" w:hAnsi="Arial" w:cs="Arial"/>
        </w:rPr>
        <w:t xml:space="preserve">Merry, S., Power, N., McManus, M. &amp; Alison, L. (2012). </w:t>
      </w:r>
      <w:r w:rsidRPr="008D3E87">
        <w:rPr>
          <w:rFonts w:ascii="Arial" w:hAnsi="Arial" w:cs="Arial"/>
        </w:rPr>
        <w:t>‘</w:t>
      </w:r>
      <w:r w:rsidRPr="008D3E87">
        <w:rPr>
          <w:rFonts w:ascii="Arial" w:hAnsi="Arial" w:cs="Arial"/>
        </w:rPr>
        <w:t>Drivers of Public Trust and Confidence in Police in the UK</w:t>
      </w:r>
      <w:r w:rsidR="002D5915" w:rsidRPr="008D3E87">
        <w:rPr>
          <w:rFonts w:ascii="Arial" w:hAnsi="Arial" w:cs="Arial"/>
        </w:rPr>
        <w:t>,’</w:t>
      </w:r>
      <w:r w:rsidRPr="008D3E87">
        <w:rPr>
          <w:rFonts w:ascii="Arial" w:hAnsi="Arial" w:cs="Arial"/>
        </w:rPr>
        <w:t xml:space="preserve"> </w:t>
      </w:r>
      <w:r w:rsidRPr="008D3E87">
        <w:rPr>
          <w:rFonts w:ascii="Arial" w:hAnsi="Arial" w:cs="Arial"/>
          <w:i/>
          <w:iCs/>
        </w:rPr>
        <w:t>International Journal of Police Science &amp; Management,</w:t>
      </w:r>
      <w:r w:rsidRPr="008D3E87">
        <w:rPr>
          <w:rFonts w:ascii="Arial" w:hAnsi="Arial" w:cs="Arial"/>
        </w:rPr>
        <w:t xml:space="preserve"> 14(2), </w:t>
      </w:r>
      <w:r w:rsidR="00380999">
        <w:rPr>
          <w:rFonts w:ascii="Arial" w:hAnsi="Arial" w:cs="Arial"/>
        </w:rPr>
        <w:t xml:space="preserve">pp. </w:t>
      </w:r>
      <w:r w:rsidRPr="008D3E87">
        <w:rPr>
          <w:rFonts w:ascii="Arial" w:hAnsi="Arial" w:cs="Arial"/>
        </w:rPr>
        <w:t xml:space="preserve">118-135. </w:t>
      </w:r>
    </w:p>
    <w:p w14:paraId="235486B0" w14:textId="72DA4AEE" w:rsidR="00A15AE9" w:rsidRPr="00A15AE9" w:rsidRDefault="00A15AE9" w:rsidP="00DA246A">
      <w:pPr>
        <w:spacing w:line="360" w:lineRule="auto"/>
        <w:rPr>
          <w:rFonts w:ascii="Arial" w:hAnsi="Arial" w:cs="Arial"/>
          <w:i/>
          <w:iCs/>
        </w:rPr>
      </w:pPr>
      <w:r>
        <w:rPr>
          <w:rFonts w:ascii="Arial" w:hAnsi="Arial" w:cs="Arial"/>
        </w:rPr>
        <w:t>Stuart, H. (2015) ‘</w:t>
      </w:r>
      <w:r w:rsidRPr="00A15AE9">
        <w:rPr>
          <w:rFonts w:ascii="Arial" w:hAnsi="Arial" w:cs="Arial"/>
        </w:rPr>
        <w:t>Community Policing and Preventing Extremism: Lessons from Bradfor</w:t>
      </w:r>
      <w:r w:rsidRPr="00A15AE9">
        <w:rPr>
          <w:rFonts w:ascii="Arial" w:hAnsi="Arial" w:cs="Arial"/>
        </w:rPr>
        <w:t>d</w:t>
      </w:r>
      <w:r>
        <w:rPr>
          <w:rFonts w:ascii="Arial" w:hAnsi="Arial" w:cs="Arial"/>
        </w:rPr>
        <w:t>’,</w:t>
      </w:r>
      <w:r w:rsidRPr="00A15AE9">
        <w:rPr>
          <w:rFonts w:ascii="Arial" w:hAnsi="Arial" w:cs="Arial"/>
        </w:rPr>
        <w:t xml:space="preserve"> </w:t>
      </w:r>
      <w:r w:rsidRPr="00A15AE9">
        <w:rPr>
          <w:rFonts w:ascii="Arial" w:hAnsi="Arial" w:cs="Arial"/>
          <w:i/>
          <w:iCs/>
        </w:rPr>
        <w:t>Centre for the Response to Radicalisation and Terrorism Policy Paper</w:t>
      </w:r>
      <w:r w:rsidRPr="00A15AE9">
        <w:rPr>
          <w:rFonts w:ascii="Arial" w:hAnsi="Arial" w:cs="Arial"/>
          <w:i/>
          <w:iCs/>
        </w:rPr>
        <w:t>,</w:t>
      </w:r>
      <w:r w:rsidRPr="00A15AE9">
        <w:rPr>
          <w:rFonts w:ascii="Arial" w:hAnsi="Arial" w:cs="Arial"/>
        </w:rPr>
        <w:t xml:space="preserve"> </w:t>
      </w:r>
      <w:r w:rsidRPr="00A15AE9">
        <w:rPr>
          <w:rFonts w:ascii="Arial" w:hAnsi="Arial" w:cs="Arial"/>
        </w:rPr>
        <w:t xml:space="preserve">No. </w:t>
      </w:r>
      <w:r w:rsidRPr="00A15AE9">
        <w:rPr>
          <w:rFonts w:ascii="Arial" w:hAnsi="Arial" w:cs="Arial"/>
        </w:rPr>
        <w:lastRenderedPageBreak/>
        <w:t>4</w:t>
      </w:r>
      <w:r>
        <w:rPr>
          <w:rFonts w:ascii="Arial" w:hAnsi="Arial" w:cs="Arial"/>
        </w:rPr>
        <w:t xml:space="preserve">. Available at: </w:t>
      </w:r>
      <w:hyperlink r:id="rId12" w:history="1">
        <w:r w:rsidRPr="00C94A53">
          <w:rPr>
            <w:rStyle w:val="Hyperlink"/>
            <w:rFonts w:ascii="Arial" w:hAnsi="Arial" w:cs="Arial"/>
          </w:rPr>
          <w:t>https://henryjacksonsociety.org/wp</w:t>
        </w:r>
        <w:r w:rsidRPr="00C94A53">
          <w:rPr>
            <w:rStyle w:val="Hyperlink"/>
            <w:rFonts w:ascii="Arial" w:hAnsi="Arial" w:cs="Arial"/>
          </w:rPr>
          <w:t xml:space="preserve"> </w:t>
        </w:r>
        <w:r w:rsidRPr="00C94A53">
          <w:rPr>
            <w:rStyle w:val="Hyperlink"/>
            <w:rFonts w:ascii="Arial" w:hAnsi="Arial" w:cs="Arial"/>
          </w:rPr>
          <w:t>content/uploads/2015/02/Community-Policing-and-Preventing-Extremism.pdf</w:t>
        </w:r>
      </w:hyperlink>
      <w:r>
        <w:rPr>
          <w:rFonts w:ascii="Arial" w:hAnsi="Arial" w:cs="Arial"/>
        </w:rPr>
        <w:t xml:space="preserve"> </w:t>
      </w:r>
      <w:r w:rsidR="001E0424">
        <w:rPr>
          <w:rFonts w:ascii="Arial" w:hAnsi="Arial" w:cs="Arial"/>
        </w:rPr>
        <w:t>(Accessed: 17</w:t>
      </w:r>
      <w:r w:rsidR="001E0424" w:rsidRPr="001E0424">
        <w:rPr>
          <w:rFonts w:ascii="Arial" w:hAnsi="Arial" w:cs="Arial"/>
          <w:vertAlign w:val="superscript"/>
        </w:rPr>
        <w:t>th</w:t>
      </w:r>
      <w:r w:rsidR="001E0424">
        <w:rPr>
          <w:rFonts w:ascii="Arial" w:hAnsi="Arial" w:cs="Arial"/>
        </w:rPr>
        <w:t xml:space="preserve"> April 2024).</w:t>
      </w:r>
    </w:p>
    <w:sectPr w:rsidR="00A15AE9" w:rsidRPr="00A15AE9">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9766BA" w14:textId="77777777" w:rsidR="00F2210C" w:rsidRDefault="00F2210C" w:rsidP="00B2728E">
      <w:pPr>
        <w:spacing w:after="0" w:line="240" w:lineRule="auto"/>
      </w:pPr>
      <w:r>
        <w:separator/>
      </w:r>
    </w:p>
  </w:endnote>
  <w:endnote w:type="continuationSeparator" w:id="0">
    <w:p w14:paraId="635C2CD8" w14:textId="77777777" w:rsidR="00F2210C" w:rsidRDefault="00F2210C" w:rsidP="00B27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0178240"/>
      <w:docPartObj>
        <w:docPartGallery w:val="Page Numbers (Bottom of Page)"/>
        <w:docPartUnique/>
      </w:docPartObj>
    </w:sdtPr>
    <w:sdtEndPr>
      <w:rPr>
        <w:rFonts w:ascii="Arial Black" w:hAnsi="Arial Black"/>
        <w:noProof/>
        <w:sz w:val="28"/>
        <w:szCs w:val="28"/>
      </w:rPr>
    </w:sdtEndPr>
    <w:sdtContent>
      <w:p w14:paraId="0B0AFF30" w14:textId="5BF80B72" w:rsidR="00BF4E9C" w:rsidRPr="00BF4E9C" w:rsidRDefault="00BF4E9C">
        <w:pPr>
          <w:pStyle w:val="Footer"/>
          <w:jc w:val="right"/>
          <w:rPr>
            <w:rFonts w:ascii="Arial Black" w:hAnsi="Arial Black"/>
            <w:sz w:val="28"/>
            <w:szCs w:val="28"/>
          </w:rPr>
        </w:pPr>
        <w:r w:rsidRPr="00BF4E9C">
          <w:rPr>
            <w:rFonts w:ascii="Arial Black" w:hAnsi="Arial Black"/>
            <w:sz w:val="28"/>
            <w:szCs w:val="28"/>
          </w:rPr>
          <w:fldChar w:fldCharType="begin"/>
        </w:r>
        <w:r w:rsidRPr="00BF4E9C">
          <w:rPr>
            <w:rFonts w:ascii="Arial Black" w:hAnsi="Arial Black"/>
            <w:sz w:val="28"/>
            <w:szCs w:val="28"/>
          </w:rPr>
          <w:instrText xml:space="preserve"> PAGE   \* MERGEFORMAT </w:instrText>
        </w:r>
        <w:r w:rsidRPr="00BF4E9C">
          <w:rPr>
            <w:rFonts w:ascii="Arial Black" w:hAnsi="Arial Black"/>
            <w:sz w:val="28"/>
            <w:szCs w:val="28"/>
          </w:rPr>
          <w:fldChar w:fldCharType="separate"/>
        </w:r>
        <w:r w:rsidRPr="00BF4E9C">
          <w:rPr>
            <w:rFonts w:ascii="Arial Black" w:hAnsi="Arial Black"/>
            <w:noProof/>
            <w:sz w:val="28"/>
            <w:szCs w:val="28"/>
          </w:rPr>
          <w:t>2</w:t>
        </w:r>
        <w:r w:rsidRPr="00BF4E9C">
          <w:rPr>
            <w:rFonts w:ascii="Arial Black" w:hAnsi="Arial Black"/>
            <w:noProof/>
            <w:sz w:val="28"/>
            <w:szCs w:val="28"/>
          </w:rPr>
          <w:fldChar w:fldCharType="end"/>
        </w:r>
      </w:p>
    </w:sdtContent>
  </w:sdt>
  <w:p w14:paraId="07FFC1E3" w14:textId="77777777" w:rsidR="00BF4E9C" w:rsidRPr="00BF4E9C" w:rsidRDefault="00BF4E9C">
    <w:pPr>
      <w:pStyle w:val="Footer"/>
      <w:rPr>
        <w:rFonts w:ascii="Arial Black" w:hAnsi="Arial Black"/>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6011CC" w14:textId="77777777" w:rsidR="00F2210C" w:rsidRDefault="00F2210C" w:rsidP="00B2728E">
      <w:pPr>
        <w:spacing w:after="0" w:line="240" w:lineRule="auto"/>
      </w:pPr>
      <w:r>
        <w:separator/>
      </w:r>
    </w:p>
  </w:footnote>
  <w:footnote w:type="continuationSeparator" w:id="0">
    <w:p w14:paraId="7AD90854" w14:textId="77777777" w:rsidR="00F2210C" w:rsidRDefault="00F2210C" w:rsidP="00B272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A0B0DF" w14:textId="6C948DBA" w:rsidR="00B2728E" w:rsidRPr="00B2728E" w:rsidRDefault="00B2728E">
    <w:pPr>
      <w:pStyle w:val="Header"/>
      <w:rPr>
        <w:rFonts w:ascii="Arial Black" w:hAnsi="Arial Black"/>
        <w:sz w:val="32"/>
        <w:szCs w:val="32"/>
      </w:rPr>
    </w:pPr>
    <w:r w:rsidRPr="00B2728E">
      <w:rPr>
        <w:rFonts w:ascii="Arial Black" w:hAnsi="Arial Black"/>
        <w:sz w:val="32"/>
        <w:szCs w:val="32"/>
      </w:rPr>
      <w:t>Lara Davies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1973178"/>
    <w:multiLevelType w:val="hybridMultilevel"/>
    <w:tmpl w:val="EAA2CDE8"/>
    <w:lvl w:ilvl="0" w:tplc="D27EBEA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7365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411"/>
    <w:rsid w:val="000E4C72"/>
    <w:rsid w:val="00116268"/>
    <w:rsid w:val="001702AC"/>
    <w:rsid w:val="001D1738"/>
    <w:rsid w:val="001E0424"/>
    <w:rsid w:val="00241B47"/>
    <w:rsid w:val="002A575C"/>
    <w:rsid w:val="002D5915"/>
    <w:rsid w:val="00375411"/>
    <w:rsid w:val="00380999"/>
    <w:rsid w:val="003B4F69"/>
    <w:rsid w:val="004438AA"/>
    <w:rsid w:val="004858CF"/>
    <w:rsid w:val="004F66C5"/>
    <w:rsid w:val="0059599C"/>
    <w:rsid w:val="005C1A41"/>
    <w:rsid w:val="00642800"/>
    <w:rsid w:val="006D31DF"/>
    <w:rsid w:val="006D59A1"/>
    <w:rsid w:val="00702E54"/>
    <w:rsid w:val="007D4D75"/>
    <w:rsid w:val="008848D2"/>
    <w:rsid w:val="008D3E87"/>
    <w:rsid w:val="008F7C29"/>
    <w:rsid w:val="009B0F40"/>
    <w:rsid w:val="00A14536"/>
    <w:rsid w:val="00A15AE9"/>
    <w:rsid w:val="00A61019"/>
    <w:rsid w:val="00B2728E"/>
    <w:rsid w:val="00B96C49"/>
    <w:rsid w:val="00BB2969"/>
    <w:rsid w:val="00BF4E9C"/>
    <w:rsid w:val="00C5473C"/>
    <w:rsid w:val="00CA032B"/>
    <w:rsid w:val="00CB2279"/>
    <w:rsid w:val="00D21C05"/>
    <w:rsid w:val="00DA246A"/>
    <w:rsid w:val="00E01ABD"/>
    <w:rsid w:val="00E754B8"/>
    <w:rsid w:val="00F16A13"/>
    <w:rsid w:val="00F22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6C41D"/>
  <w15:chartTrackingRefBased/>
  <w15:docId w15:val="{E604D2AE-6894-4BA4-BEF6-73AD6BAC6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54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54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54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54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54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54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54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54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54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4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54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54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54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54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54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54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54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5411"/>
    <w:rPr>
      <w:rFonts w:eastAsiaTheme="majorEastAsia" w:cstheme="majorBidi"/>
      <w:color w:val="272727" w:themeColor="text1" w:themeTint="D8"/>
    </w:rPr>
  </w:style>
  <w:style w:type="paragraph" w:styleId="Title">
    <w:name w:val="Title"/>
    <w:basedOn w:val="Normal"/>
    <w:next w:val="Normal"/>
    <w:link w:val="TitleChar"/>
    <w:uiPriority w:val="10"/>
    <w:qFormat/>
    <w:rsid w:val="003754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54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54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54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5411"/>
    <w:pPr>
      <w:spacing w:before="160"/>
      <w:jc w:val="center"/>
    </w:pPr>
    <w:rPr>
      <w:i/>
      <w:iCs/>
      <w:color w:val="404040" w:themeColor="text1" w:themeTint="BF"/>
    </w:rPr>
  </w:style>
  <w:style w:type="character" w:customStyle="1" w:styleId="QuoteChar">
    <w:name w:val="Quote Char"/>
    <w:basedOn w:val="DefaultParagraphFont"/>
    <w:link w:val="Quote"/>
    <w:uiPriority w:val="29"/>
    <w:rsid w:val="00375411"/>
    <w:rPr>
      <w:i/>
      <w:iCs/>
      <w:color w:val="404040" w:themeColor="text1" w:themeTint="BF"/>
    </w:rPr>
  </w:style>
  <w:style w:type="paragraph" w:styleId="ListParagraph">
    <w:name w:val="List Paragraph"/>
    <w:basedOn w:val="Normal"/>
    <w:uiPriority w:val="34"/>
    <w:qFormat/>
    <w:rsid w:val="00375411"/>
    <w:pPr>
      <w:ind w:left="720"/>
      <w:contextualSpacing/>
    </w:pPr>
  </w:style>
  <w:style w:type="character" w:styleId="IntenseEmphasis">
    <w:name w:val="Intense Emphasis"/>
    <w:basedOn w:val="DefaultParagraphFont"/>
    <w:uiPriority w:val="21"/>
    <w:qFormat/>
    <w:rsid w:val="00375411"/>
    <w:rPr>
      <w:i/>
      <w:iCs/>
      <w:color w:val="0F4761" w:themeColor="accent1" w:themeShade="BF"/>
    </w:rPr>
  </w:style>
  <w:style w:type="paragraph" w:styleId="IntenseQuote">
    <w:name w:val="Intense Quote"/>
    <w:basedOn w:val="Normal"/>
    <w:next w:val="Normal"/>
    <w:link w:val="IntenseQuoteChar"/>
    <w:uiPriority w:val="30"/>
    <w:qFormat/>
    <w:rsid w:val="003754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5411"/>
    <w:rPr>
      <w:i/>
      <w:iCs/>
      <w:color w:val="0F4761" w:themeColor="accent1" w:themeShade="BF"/>
    </w:rPr>
  </w:style>
  <w:style w:type="character" w:styleId="IntenseReference">
    <w:name w:val="Intense Reference"/>
    <w:basedOn w:val="DefaultParagraphFont"/>
    <w:uiPriority w:val="32"/>
    <w:qFormat/>
    <w:rsid w:val="00375411"/>
    <w:rPr>
      <w:b/>
      <w:bCs/>
      <w:smallCaps/>
      <w:color w:val="0F4761" w:themeColor="accent1" w:themeShade="BF"/>
      <w:spacing w:val="5"/>
    </w:rPr>
  </w:style>
  <w:style w:type="paragraph" w:styleId="Header">
    <w:name w:val="header"/>
    <w:basedOn w:val="Normal"/>
    <w:link w:val="HeaderChar"/>
    <w:uiPriority w:val="99"/>
    <w:unhideWhenUsed/>
    <w:rsid w:val="00B272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728E"/>
  </w:style>
  <w:style w:type="paragraph" w:styleId="Footer">
    <w:name w:val="footer"/>
    <w:basedOn w:val="Normal"/>
    <w:link w:val="FooterChar"/>
    <w:uiPriority w:val="99"/>
    <w:unhideWhenUsed/>
    <w:rsid w:val="00B272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728E"/>
  </w:style>
  <w:style w:type="character" w:styleId="Hyperlink">
    <w:name w:val="Hyperlink"/>
    <w:basedOn w:val="DefaultParagraphFont"/>
    <w:uiPriority w:val="99"/>
    <w:unhideWhenUsed/>
    <w:rsid w:val="008D3E87"/>
    <w:rPr>
      <w:color w:val="467886" w:themeColor="hyperlink"/>
      <w:u w:val="single"/>
    </w:rPr>
  </w:style>
  <w:style w:type="character" w:styleId="UnresolvedMention">
    <w:name w:val="Unresolved Mention"/>
    <w:basedOn w:val="DefaultParagraphFont"/>
    <w:uiPriority w:val="99"/>
    <w:semiHidden/>
    <w:unhideWhenUsed/>
    <w:rsid w:val="008D3E87"/>
    <w:rPr>
      <w:color w:val="605E5C"/>
      <w:shd w:val="clear" w:color="auto" w:fill="E1DFDD"/>
    </w:rPr>
  </w:style>
  <w:style w:type="character" w:styleId="FollowedHyperlink">
    <w:name w:val="FollowedHyperlink"/>
    <w:basedOn w:val="DefaultParagraphFont"/>
    <w:uiPriority w:val="99"/>
    <w:semiHidden/>
    <w:unhideWhenUsed/>
    <w:rsid w:val="004858C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engagement-and-communication/engagement"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1177/14773708211037902" TargetMode="External"/><Relationship Id="rId12" Type="http://schemas.openxmlformats.org/officeDocument/2006/relationships/hyperlink" Target="https://henryjacksonsociety.org/wp%20content/uploads/2015/02/Community-Policing-and-Preventing-Extremism.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searchbriefings.files.parliament.uk/documents/POST-PN-0693/POST-PN-0693.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ounterterrorism.police.uk/what-we-do/prevent/" TargetMode="External"/><Relationship Id="rId4" Type="http://schemas.openxmlformats.org/officeDocument/2006/relationships/webSettings" Target="webSettings.xml"/><Relationship Id="rId9" Type="http://schemas.openxmlformats.org/officeDocument/2006/relationships/hyperlink" Target="https://www.college.police.uk/research/crime-reduction-toolkit/multi-agency-interventions-address-radicalisatio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1204</Words>
  <Characters>6866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Davies (2204824)</dc:creator>
  <cp:keywords/>
  <dc:description/>
  <cp:lastModifiedBy>Lara Davies (2204824)</cp:lastModifiedBy>
  <cp:revision>2</cp:revision>
  <dcterms:created xsi:type="dcterms:W3CDTF">2024-04-17T21:29:00Z</dcterms:created>
  <dcterms:modified xsi:type="dcterms:W3CDTF">2024-04-17T21:29:00Z</dcterms:modified>
</cp:coreProperties>
</file>