
<file path=[Content_Types].xml><?xml version="1.0" encoding="utf-8"?>
<Types xmlns="http://schemas.openxmlformats.org/package/2006/content-types">
  <Override PartName="/word/footnotes.xml" ContentType="application/vnd.openxmlformats-officedocument.wordprocessingml.footnotes+xml"/>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2C46DE" w:rsidRPr="00CD33A8" w:rsidRDefault="00074402" w:rsidP="00CD33A8">
      <w:pPr>
        <w:spacing w:line="360" w:lineRule="auto"/>
        <w:rPr>
          <w:rFonts w:asciiTheme="minorBidi" w:hAnsiTheme="minorBidi"/>
          <w:sz w:val="22"/>
        </w:rPr>
      </w:pPr>
      <w:r w:rsidRPr="00CD33A8">
        <w:rPr>
          <w:rFonts w:asciiTheme="minorBidi" w:hAnsiTheme="minorBidi"/>
          <w:noProof/>
          <w:sz w:val="22"/>
          <w:lang w:eastAsia="en-GB"/>
        </w:rPr>
        <w:drawing>
          <wp:anchor distT="0" distB="0" distL="114300" distR="114300" simplePos="0" relativeHeight="251659264" behindDoc="0" locked="0" layoutInCell="1" allowOverlap="1">
            <wp:simplePos x="0" y="0"/>
            <wp:positionH relativeFrom="column">
              <wp:posOffset>0</wp:posOffset>
            </wp:positionH>
            <wp:positionV relativeFrom="paragraph">
              <wp:posOffset>292100</wp:posOffset>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6" r:link="rId7">
                      <a:extLst>
                        <a:ext uri="{28A0092B-C50C-407E-A947-70E740481C1C}">
                          <a14:useLocalDpi xmln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v="urn:schemas-microsoft-com:vml" xmlns:wp14="http://schemas.microsoft.com/office/word/2010/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ps="http://schemas.microsoft.com/office/word/2010/wordprocessingShape"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p>
    <w:p w:rsidR="00074402" w:rsidRPr="00CD33A8" w:rsidRDefault="00074402" w:rsidP="00CD33A8">
      <w:pPr>
        <w:spacing w:line="360" w:lineRule="auto"/>
        <w:rPr>
          <w:rFonts w:asciiTheme="minorBidi" w:hAnsiTheme="minorBidi"/>
          <w:sz w:val="22"/>
        </w:rPr>
      </w:pPr>
    </w:p>
    <w:p w:rsidR="00074402" w:rsidRPr="00CD33A8" w:rsidRDefault="00074402" w:rsidP="00CD33A8">
      <w:pPr>
        <w:spacing w:line="360" w:lineRule="auto"/>
        <w:rPr>
          <w:rFonts w:asciiTheme="minorBidi" w:hAnsiTheme="minorBidi"/>
          <w:sz w:val="22"/>
        </w:rPr>
      </w:pPr>
    </w:p>
    <w:p w:rsidR="00074402" w:rsidRPr="00CD33A8" w:rsidRDefault="00074402" w:rsidP="00CD33A8">
      <w:pPr>
        <w:spacing w:line="360" w:lineRule="auto"/>
        <w:rPr>
          <w:rFonts w:asciiTheme="minorBidi" w:hAnsiTheme="minorBidi"/>
          <w:sz w:val="22"/>
        </w:rPr>
      </w:pPr>
    </w:p>
    <w:p w:rsidR="00074402" w:rsidRPr="00CD33A8" w:rsidRDefault="00074402" w:rsidP="00CD33A8">
      <w:pPr>
        <w:tabs>
          <w:tab w:val="left" w:pos="6540"/>
        </w:tabs>
        <w:spacing w:line="360" w:lineRule="auto"/>
        <w:rPr>
          <w:rFonts w:asciiTheme="minorBidi" w:hAnsiTheme="minorBidi"/>
          <w:sz w:val="22"/>
        </w:rPr>
      </w:pPr>
    </w:p>
    <w:p w:rsidR="00CD33A8" w:rsidRPr="00CD33A8" w:rsidRDefault="00CD33A8" w:rsidP="00CD33A8">
      <w:pPr>
        <w:tabs>
          <w:tab w:val="left" w:pos="6540"/>
        </w:tabs>
        <w:spacing w:line="360" w:lineRule="auto"/>
        <w:rPr>
          <w:rFonts w:ascii="Arial" w:hAnsi="Arial" w:cs="Arial"/>
          <w:sz w:val="28"/>
          <w:szCs w:val="28"/>
          <w:lang w:val="nl-NL"/>
        </w:rPr>
      </w:pPr>
      <w:r w:rsidRPr="00CD33A8">
        <w:rPr>
          <w:rFonts w:ascii="Arial" w:hAnsi="Arial" w:cs="Arial"/>
          <w:b/>
          <w:bCs/>
          <w:sz w:val="28"/>
          <w:szCs w:val="28"/>
          <w:lang w:val="nl-NL"/>
        </w:rPr>
        <w:t>Module name</w:t>
      </w:r>
      <w:r w:rsidRPr="00CD33A8">
        <w:rPr>
          <w:rFonts w:ascii="Arial" w:hAnsi="Arial" w:cs="Arial"/>
          <w:sz w:val="28"/>
          <w:szCs w:val="28"/>
          <w:lang w:val="nl-NL"/>
        </w:rPr>
        <w:t xml:space="preserve">: </w:t>
      </w:r>
      <w:r w:rsidR="005A3EF0" w:rsidRPr="005A3EF0">
        <w:rPr>
          <w:rFonts w:ascii="Arial" w:hAnsi="Arial" w:cs="Arial"/>
          <w:sz w:val="28"/>
          <w:szCs w:val="28"/>
          <w:lang w:val="nl-NL"/>
        </w:rPr>
        <w:t>Introduction</w:t>
      </w:r>
      <w:r w:rsidR="005A3EF0">
        <w:rPr>
          <w:rFonts w:ascii="Arial" w:hAnsi="Arial" w:cs="Arial"/>
          <w:sz w:val="28"/>
          <w:szCs w:val="28"/>
          <w:lang w:val="nl-NL"/>
        </w:rPr>
        <w:t xml:space="preserve"> to Public Health </w:t>
      </w:r>
    </w:p>
    <w:p w:rsidR="00CD33A8" w:rsidRPr="00CD33A8" w:rsidRDefault="00CD33A8" w:rsidP="00CD33A8">
      <w:pPr>
        <w:tabs>
          <w:tab w:val="left" w:pos="6540"/>
        </w:tabs>
        <w:spacing w:line="360" w:lineRule="auto"/>
        <w:rPr>
          <w:rFonts w:ascii="Arial" w:hAnsi="Arial" w:cs="Arial"/>
          <w:sz w:val="28"/>
          <w:szCs w:val="28"/>
        </w:rPr>
      </w:pPr>
      <w:r w:rsidRPr="00CD33A8">
        <w:rPr>
          <w:rFonts w:ascii="Arial" w:hAnsi="Arial" w:cs="Arial"/>
          <w:b/>
          <w:bCs/>
          <w:sz w:val="28"/>
          <w:szCs w:val="28"/>
        </w:rPr>
        <w:t>Module code</w:t>
      </w:r>
      <w:r w:rsidRPr="00CD33A8">
        <w:rPr>
          <w:rFonts w:ascii="Arial" w:hAnsi="Arial" w:cs="Arial"/>
          <w:sz w:val="28"/>
          <w:szCs w:val="28"/>
        </w:rPr>
        <w:t>:</w:t>
      </w:r>
      <w:r w:rsidR="005A3EF0" w:rsidRPr="005A3EF0">
        <w:rPr>
          <w:rFonts w:ascii="Arial" w:hAnsi="Arial" w:cs="Arial"/>
          <w:sz w:val="28"/>
          <w:szCs w:val="28"/>
          <w:lang w:val="nl-NL"/>
        </w:rPr>
        <w:t xml:space="preserve"> (LCHS4008_LON)</w:t>
      </w:r>
    </w:p>
    <w:p w:rsidR="00CD33A8" w:rsidRPr="00CD33A8" w:rsidRDefault="00CD33A8" w:rsidP="00CD33A8">
      <w:pPr>
        <w:tabs>
          <w:tab w:val="left" w:pos="6540"/>
        </w:tabs>
        <w:spacing w:line="360" w:lineRule="auto"/>
        <w:rPr>
          <w:rFonts w:ascii="Arial" w:hAnsi="Arial" w:cs="Arial"/>
          <w:b/>
          <w:bCs/>
          <w:sz w:val="28"/>
          <w:szCs w:val="28"/>
          <w:lang w:val="nl-NL"/>
        </w:rPr>
      </w:pPr>
    </w:p>
    <w:p w:rsidR="00074402" w:rsidRPr="00CD33A8" w:rsidRDefault="00074402" w:rsidP="00CD33A8">
      <w:pPr>
        <w:tabs>
          <w:tab w:val="left" w:pos="6540"/>
        </w:tabs>
        <w:spacing w:line="360" w:lineRule="auto"/>
        <w:rPr>
          <w:rFonts w:ascii="Arial" w:hAnsi="Arial" w:cs="Arial"/>
          <w:sz w:val="28"/>
          <w:szCs w:val="28"/>
          <w:lang w:val="nl-NL"/>
        </w:rPr>
      </w:pPr>
      <w:r w:rsidRPr="00CD33A8">
        <w:rPr>
          <w:rFonts w:ascii="Arial" w:hAnsi="Arial" w:cs="Arial"/>
          <w:b/>
          <w:bCs/>
          <w:sz w:val="28"/>
          <w:szCs w:val="28"/>
          <w:lang w:val="nl-NL"/>
        </w:rPr>
        <w:t>Student name</w:t>
      </w:r>
      <w:r w:rsidRPr="00CD33A8">
        <w:rPr>
          <w:rFonts w:ascii="Arial" w:hAnsi="Arial" w:cs="Arial"/>
          <w:sz w:val="28"/>
          <w:szCs w:val="28"/>
          <w:lang w:val="nl-NL"/>
        </w:rPr>
        <w:t>:</w:t>
      </w:r>
      <w:r w:rsidR="005A3EF0">
        <w:rPr>
          <w:rFonts w:ascii="Arial" w:hAnsi="Arial" w:cs="Arial"/>
          <w:sz w:val="28"/>
          <w:szCs w:val="28"/>
          <w:lang w:val="nl-NL"/>
        </w:rPr>
        <w:t>Nida Jamil</w:t>
      </w:r>
    </w:p>
    <w:p w:rsidR="00074402" w:rsidRPr="00CD33A8" w:rsidRDefault="00074402" w:rsidP="00CD33A8">
      <w:pPr>
        <w:tabs>
          <w:tab w:val="left" w:pos="6540"/>
        </w:tabs>
        <w:spacing w:line="360" w:lineRule="auto"/>
        <w:rPr>
          <w:rFonts w:ascii="Arial" w:hAnsi="Arial" w:cs="Arial"/>
          <w:sz w:val="28"/>
          <w:szCs w:val="28"/>
          <w:lang w:val="nl-NL"/>
        </w:rPr>
      </w:pPr>
      <w:r w:rsidRPr="00CD33A8">
        <w:rPr>
          <w:rFonts w:ascii="Arial" w:hAnsi="Arial" w:cs="Arial"/>
          <w:b/>
          <w:bCs/>
          <w:sz w:val="28"/>
          <w:szCs w:val="28"/>
          <w:lang w:val="nl-NL"/>
        </w:rPr>
        <w:t>Student ID</w:t>
      </w:r>
      <w:r w:rsidRPr="00CD33A8">
        <w:rPr>
          <w:rFonts w:ascii="Arial" w:hAnsi="Arial" w:cs="Arial"/>
          <w:sz w:val="28"/>
          <w:szCs w:val="28"/>
          <w:lang w:val="nl-NL"/>
        </w:rPr>
        <w:t>:</w:t>
      </w:r>
      <w:r w:rsidR="005A3EF0">
        <w:rPr>
          <w:rFonts w:ascii="Arial" w:hAnsi="Arial" w:cs="Arial"/>
          <w:sz w:val="28"/>
          <w:szCs w:val="28"/>
          <w:lang w:val="nl-NL"/>
        </w:rPr>
        <w:t>2516924</w:t>
      </w:r>
    </w:p>
    <w:p w:rsidR="00074402" w:rsidRPr="00CD33A8" w:rsidRDefault="00074402" w:rsidP="00CD33A8">
      <w:pPr>
        <w:tabs>
          <w:tab w:val="left" w:pos="6540"/>
        </w:tabs>
        <w:spacing w:line="360" w:lineRule="auto"/>
        <w:rPr>
          <w:rFonts w:ascii="Arial" w:hAnsi="Arial" w:cs="Arial"/>
          <w:sz w:val="28"/>
          <w:szCs w:val="28"/>
          <w:lang w:val="nl-NL"/>
        </w:rPr>
      </w:pPr>
    </w:p>
    <w:p w:rsidR="00074402" w:rsidRPr="00CD33A8" w:rsidRDefault="008E3943" w:rsidP="00CD33A8">
      <w:pPr>
        <w:tabs>
          <w:tab w:val="left" w:pos="6540"/>
        </w:tabs>
        <w:spacing w:line="360" w:lineRule="auto"/>
        <w:rPr>
          <w:rFonts w:ascii="Arial" w:hAnsi="Arial" w:cs="Arial"/>
          <w:sz w:val="28"/>
          <w:szCs w:val="28"/>
        </w:rPr>
      </w:pPr>
      <w:r>
        <w:rPr>
          <w:rFonts w:ascii="Arial" w:hAnsi="Arial" w:cs="Arial"/>
          <w:b/>
          <w:bCs/>
          <w:sz w:val="28"/>
          <w:szCs w:val="28"/>
        </w:rPr>
        <w:t>Lecturer’s name</w:t>
      </w:r>
      <w:r w:rsidR="00074402" w:rsidRPr="00CD33A8">
        <w:rPr>
          <w:rFonts w:ascii="Arial" w:hAnsi="Arial" w:cs="Arial"/>
          <w:sz w:val="28"/>
          <w:szCs w:val="28"/>
        </w:rPr>
        <w:t>:</w:t>
      </w:r>
      <w:r w:rsidR="005A3EF0">
        <w:rPr>
          <w:rFonts w:ascii="Arial" w:hAnsi="Arial" w:cs="Arial"/>
          <w:sz w:val="28"/>
          <w:szCs w:val="28"/>
        </w:rPr>
        <w:t xml:space="preserve"> Caroline Salami</w:t>
      </w:r>
    </w:p>
    <w:p w:rsidR="00074402" w:rsidRPr="00CD33A8" w:rsidRDefault="00074402" w:rsidP="00CD33A8">
      <w:pPr>
        <w:tabs>
          <w:tab w:val="left" w:pos="6540"/>
        </w:tabs>
        <w:spacing w:line="360" w:lineRule="auto"/>
        <w:rPr>
          <w:rFonts w:asciiTheme="minorBidi" w:hAnsiTheme="minorBidi"/>
          <w:sz w:val="22"/>
        </w:rPr>
      </w:pPr>
    </w:p>
    <w:p w:rsidR="00074402" w:rsidRPr="00CD33A8" w:rsidRDefault="00074402" w:rsidP="00CD33A8">
      <w:pPr>
        <w:tabs>
          <w:tab w:val="left" w:pos="6540"/>
        </w:tabs>
        <w:spacing w:line="360" w:lineRule="auto"/>
        <w:rPr>
          <w:rFonts w:asciiTheme="minorBidi" w:hAnsiTheme="minorBidi"/>
          <w:sz w:val="22"/>
        </w:rPr>
      </w:pPr>
    </w:p>
    <w:p w:rsidR="00074402" w:rsidRPr="00CD33A8" w:rsidRDefault="00074402" w:rsidP="00CD33A8">
      <w:pPr>
        <w:tabs>
          <w:tab w:val="left" w:pos="6540"/>
        </w:tabs>
        <w:spacing w:line="360" w:lineRule="auto"/>
        <w:rPr>
          <w:rFonts w:asciiTheme="minorBidi" w:hAnsiTheme="minorBidi"/>
          <w:sz w:val="22"/>
        </w:rPr>
      </w:pPr>
    </w:p>
    <w:p w:rsidR="00B87E75" w:rsidRPr="00CD33A8" w:rsidRDefault="00B87E75" w:rsidP="00CD33A8">
      <w:pPr>
        <w:tabs>
          <w:tab w:val="left" w:pos="6540"/>
        </w:tabs>
        <w:spacing w:line="360" w:lineRule="auto"/>
        <w:rPr>
          <w:rFonts w:asciiTheme="minorBidi" w:hAnsiTheme="minorBidi"/>
          <w:sz w:val="22"/>
        </w:rPr>
      </w:pPr>
    </w:p>
    <w:p w:rsidR="00B87E75" w:rsidRPr="00CD33A8" w:rsidRDefault="00B87E75" w:rsidP="00CD33A8">
      <w:pPr>
        <w:spacing w:line="360" w:lineRule="auto"/>
        <w:rPr>
          <w:rFonts w:asciiTheme="minorBidi" w:hAnsiTheme="minorBidi"/>
          <w:sz w:val="22"/>
        </w:rPr>
      </w:pPr>
      <w:r w:rsidRPr="00CD33A8">
        <w:rPr>
          <w:rFonts w:asciiTheme="minorBidi" w:hAnsiTheme="minorBidi"/>
          <w:sz w:val="22"/>
        </w:rPr>
        <w:br w:type="page"/>
      </w:r>
    </w:p>
    <w:p w:rsidR="00473835" w:rsidRPr="00473835" w:rsidRDefault="00473835" w:rsidP="00F423F5">
      <w:pPr>
        <w:pStyle w:val="Heading1"/>
      </w:pPr>
      <w:r w:rsidRPr="00473835">
        <w:lastRenderedPageBreak/>
        <w:t>Dementia</w:t>
      </w:r>
    </w:p>
    <w:p w:rsidR="00473835" w:rsidRPr="00473835" w:rsidRDefault="00473835" w:rsidP="00821DB8">
      <w:pPr>
        <w:tabs>
          <w:tab w:val="left" w:pos="6540"/>
        </w:tabs>
        <w:spacing w:line="360" w:lineRule="auto"/>
        <w:rPr>
          <w:rFonts w:ascii="Arial" w:hAnsi="Arial" w:cs="Arial"/>
          <w:b/>
          <w:szCs w:val="24"/>
        </w:rPr>
      </w:pPr>
    </w:p>
    <w:p w:rsidR="00821DB8" w:rsidRPr="00473835" w:rsidRDefault="00821DB8" w:rsidP="00821DB8">
      <w:pPr>
        <w:tabs>
          <w:tab w:val="left" w:pos="6540"/>
        </w:tabs>
        <w:spacing w:line="360" w:lineRule="auto"/>
        <w:rPr>
          <w:rFonts w:ascii="Arial" w:hAnsi="Arial" w:cs="Arial"/>
          <w:b/>
          <w:szCs w:val="24"/>
        </w:rPr>
      </w:pPr>
      <w:r w:rsidRPr="00473835">
        <w:rPr>
          <w:rFonts w:ascii="Arial" w:hAnsi="Arial" w:cs="Arial"/>
          <w:b/>
          <w:szCs w:val="24"/>
        </w:rPr>
        <w:t>Introduction</w:t>
      </w:r>
    </w:p>
    <w:p w:rsidR="005D2526" w:rsidRDefault="00821DB8" w:rsidP="00821DB8">
      <w:pPr>
        <w:tabs>
          <w:tab w:val="left" w:pos="6540"/>
        </w:tabs>
        <w:spacing w:line="360" w:lineRule="auto"/>
        <w:rPr>
          <w:rFonts w:ascii="Arial" w:hAnsi="Arial" w:cs="Arial"/>
          <w:sz w:val="22"/>
        </w:rPr>
      </w:pPr>
      <w:r w:rsidRPr="00821DB8">
        <w:rPr>
          <w:rFonts w:ascii="Arial" w:hAnsi="Arial" w:cs="Arial"/>
          <w:sz w:val="22"/>
        </w:rPr>
        <w:t>Dementia is an umbrella term used to describe a group of progressive neurological symptoms caused by damage to brain cells (Alzheimer’s Society, 2023). Symptoms include deterioration of memory, reasoning, behaviour, and ability to perform everyday activities (World Health Organization [WHO], 2023). There are several types including Alzheimer’s disease, vascular dementia, and Lewy body dementia.</w:t>
      </w:r>
      <w:r w:rsidR="005A3EF0">
        <w:rPr>
          <w:rFonts w:ascii="Arial" w:hAnsi="Arial" w:cs="Arial"/>
          <w:sz w:val="22"/>
        </w:rPr>
        <w:t xml:space="preserve"> </w:t>
      </w:r>
      <w:r w:rsidRPr="00821DB8">
        <w:rPr>
          <w:rFonts w:ascii="Arial" w:hAnsi="Arial" w:cs="Arial"/>
          <w:sz w:val="22"/>
        </w:rPr>
        <w:t>Dementia is a major public</w:t>
      </w:r>
      <w:r w:rsidRPr="00821DB8">
        <w:rPr>
          <w:rFonts w:ascii="Arial" w:hAnsi="Cambria Math" w:cs="Arial"/>
          <w:sz w:val="22"/>
        </w:rPr>
        <w:t>‑</w:t>
      </w:r>
      <w:r w:rsidRPr="00821DB8">
        <w:rPr>
          <w:rFonts w:ascii="Arial" w:hAnsi="Arial" w:cs="Arial"/>
          <w:sz w:val="22"/>
        </w:rPr>
        <w:t>health concern worldwide. The WHO estimates 55 million people are living with dementia, with 10 million new cases every year (WHO, 2023). In the United Kingdom alone, there are currently 944,000 cases and this is expected to rise to over 1.6 million by 2040 due to our ageing population (Alzheimer’s Society, 2023).</w:t>
      </w:r>
      <w:r w:rsidR="005A3EF0">
        <w:rPr>
          <w:rFonts w:ascii="Arial" w:hAnsi="Arial" w:cs="Arial"/>
          <w:sz w:val="22"/>
        </w:rPr>
        <w:t xml:space="preserve"> </w:t>
      </w:r>
      <w:r w:rsidRPr="00821DB8">
        <w:rPr>
          <w:rFonts w:ascii="Arial" w:hAnsi="Arial" w:cs="Arial"/>
          <w:sz w:val="22"/>
        </w:rPr>
        <w:t xml:space="preserve">Symptoms vary according to individual </w:t>
      </w:r>
      <w:r w:rsidR="005A3EF0">
        <w:rPr>
          <w:rFonts w:ascii="Arial" w:hAnsi="Arial" w:cs="Arial"/>
          <w:sz w:val="22"/>
        </w:rPr>
        <w:t xml:space="preserve">experience but usually include: </w:t>
      </w:r>
      <w:r w:rsidRPr="00821DB8">
        <w:rPr>
          <w:rFonts w:ascii="Arial" w:hAnsi="Arial" w:cs="Arial"/>
          <w:sz w:val="22"/>
        </w:rPr>
        <w:t>Memory loss</w:t>
      </w:r>
      <w:r w:rsidR="005A3EF0">
        <w:rPr>
          <w:rFonts w:ascii="Arial" w:hAnsi="Arial" w:cs="Arial"/>
          <w:sz w:val="22"/>
        </w:rPr>
        <w:t xml:space="preserve">, Confusion, Language difficulties, Disorientation, </w:t>
      </w:r>
      <w:r w:rsidRPr="00821DB8">
        <w:rPr>
          <w:rFonts w:ascii="Arial" w:hAnsi="Arial" w:cs="Arial"/>
          <w:sz w:val="22"/>
        </w:rPr>
        <w:t>Personality change</w:t>
      </w:r>
      <w:r w:rsidR="005A3EF0">
        <w:rPr>
          <w:rFonts w:ascii="Arial" w:hAnsi="Arial" w:cs="Arial"/>
          <w:sz w:val="22"/>
        </w:rPr>
        <w:t>, Loss of independence.</w:t>
      </w:r>
    </w:p>
    <w:p w:rsidR="00821DB8" w:rsidRPr="00821DB8" w:rsidRDefault="00821DB8" w:rsidP="00821DB8">
      <w:pPr>
        <w:tabs>
          <w:tab w:val="left" w:pos="6540"/>
        </w:tabs>
        <w:spacing w:line="360" w:lineRule="auto"/>
        <w:rPr>
          <w:rFonts w:ascii="Arial" w:hAnsi="Arial" w:cs="Arial"/>
          <w:sz w:val="22"/>
        </w:rPr>
      </w:pPr>
      <w:r w:rsidRPr="00821DB8">
        <w:rPr>
          <w:rFonts w:ascii="Arial" w:hAnsi="Arial" w:cs="Arial"/>
          <w:sz w:val="22"/>
        </w:rPr>
        <w:t>This report aims to explore how dementia can be measured, monitored, and controlled, discuss key determinants and risk factors, highlight short</w:t>
      </w:r>
      <w:r w:rsidRPr="00821DB8">
        <w:rPr>
          <w:rFonts w:ascii="Arial" w:hAnsi="Cambria Math" w:cs="Arial"/>
          <w:sz w:val="22"/>
        </w:rPr>
        <w:t>‑</w:t>
      </w:r>
      <w:r w:rsidRPr="00821DB8">
        <w:rPr>
          <w:rFonts w:ascii="Arial" w:hAnsi="Arial" w:cs="Arial"/>
          <w:sz w:val="22"/>
        </w:rPr>
        <w:t xml:space="preserve"> and </w:t>
      </w:r>
      <w:r w:rsidR="005D2526" w:rsidRPr="00821DB8">
        <w:rPr>
          <w:rFonts w:ascii="Arial" w:hAnsi="Arial" w:cs="Arial"/>
          <w:sz w:val="22"/>
        </w:rPr>
        <w:t>long</w:t>
      </w:r>
      <w:r w:rsidR="005D2526" w:rsidRPr="00821DB8">
        <w:rPr>
          <w:rFonts w:ascii="Arial" w:hAnsi="Cambria Math" w:cs="Arial"/>
          <w:sz w:val="22"/>
        </w:rPr>
        <w:t>-</w:t>
      </w:r>
      <w:r w:rsidR="005D2526" w:rsidRPr="00821DB8">
        <w:rPr>
          <w:rFonts w:ascii="Arial" w:hAnsi="Arial" w:cs="Arial"/>
          <w:sz w:val="22"/>
        </w:rPr>
        <w:t>term</w:t>
      </w:r>
      <w:r w:rsidRPr="00821DB8">
        <w:rPr>
          <w:rFonts w:ascii="Arial" w:hAnsi="Arial" w:cs="Arial"/>
          <w:sz w:val="22"/>
        </w:rPr>
        <w:t xml:space="preserve"> </w:t>
      </w:r>
      <w:r w:rsidR="005D2526" w:rsidRPr="00821DB8">
        <w:rPr>
          <w:rFonts w:ascii="Arial" w:hAnsi="Arial" w:cs="Arial"/>
          <w:sz w:val="22"/>
        </w:rPr>
        <w:t>public</w:t>
      </w:r>
      <w:r w:rsidR="005D2526" w:rsidRPr="00821DB8">
        <w:rPr>
          <w:rFonts w:ascii="Arial" w:hAnsi="Cambria Math" w:cs="Arial"/>
          <w:sz w:val="22"/>
        </w:rPr>
        <w:t xml:space="preserve"> </w:t>
      </w:r>
      <w:r w:rsidR="005D2526" w:rsidRPr="00821DB8">
        <w:rPr>
          <w:rFonts w:ascii="Arial" w:hAnsi="Arial" w:cs="Arial"/>
          <w:sz w:val="22"/>
        </w:rPr>
        <w:t>health</w:t>
      </w:r>
      <w:r w:rsidRPr="00821DB8">
        <w:rPr>
          <w:rFonts w:ascii="Arial" w:hAnsi="Arial" w:cs="Arial"/>
          <w:sz w:val="22"/>
        </w:rPr>
        <w:t xml:space="preserve"> impacts and discuss ways to promote health and wellbeing within individuals and communities affected by dementia.</w:t>
      </w:r>
    </w:p>
    <w:p w:rsidR="00821DB8" w:rsidRPr="00821DB8" w:rsidRDefault="00821DB8" w:rsidP="00821DB8">
      <w:pPr>
        <w:tabs>
          <w:tab w:val="left" w:pos="6540"/>
        </w:tabs>
        <w:spacing w:line="360" w:lineRule="auto"/>
        <w:rPr>
          <w:rFonts w:ascii="Arial" w:hAnsi="Arial" w:cs="Arial"/>
          <w:sz w:val="22"/>
        </w:rPr>
      </w:pPr>
    </w:p>
    <w:p w:rsidR="005D2526" w:rsidRDefault="005D2526" w:rsidP="00821DB8">
      <w:pPr>
        <w:tabs>
          <w:tab w:val="left" w:pos="6540"/>
        </w:tabs>
        <w:spacing w:line="360" w:lineRule="auto"/>
        <w:rPr>
          <w:rFonts w:ascii="Arial" w:hAnsi="Arial" w:cs="Arial"/>
          <w:sz w:val="22"/>
        </w:rPr>
      </w:pPr>
    </w:p>
    <w:p w:rsidR="005D2526" w:rsidRDefault="005D2526" w:rsidP="00821DB8">
      <w:pPr>
        <w:tabs>
          <w:tab w:val="left" w:pos="6540"/>
        </w:tabs>
        <w:spacing w:line="360" w:lineRule="auto"/>
        <w:rPr>
          <w:rFonts w:ascii="Arial" w:hAnsi="Arial" w:cs="Arial"/>
          <w:sz w:val="22"/>
        </w:rPr>
      </w:pPr>
    </w:p>
    <w:p w:rsidR="005D2526" w:rsidRDefault="005D2526" w:rsidP="00821DB8">
      <w:pPr>
        <w:tabs>
          <w:tab w:val="left" w:pos="6540"/>
        </w:tabs>
        <w:spacing w:line="360" w:lineRule="auto"/>
        <w:rPr>
          <w:rFonts w:ascii="Arial" w:hAnsi="Arial" w:cs="Arial"/>
          <w:sz w:val="22"/>
        </w:rPr>
      </w:pPr>
    </w:p>
    <w:p w:rsidR="005D2526" w:rsidRDefault="005D2526" w:rsidP="00821DB8">
      <w:pPr>
        <w:tabs>
          <w:tab w:val="left" w:pos="6540"/>
        </w:tabs>
        <w:spacing w:line="360" w:lineRule="auto"/>
        <w:rPr>
          <w:rFonts w:ascii="Arial" w:hAnsi="Arial" w:cs="Arial"/>
          <w:sz w:val="22"/>
        </w:rPr>
      </w:pPr>
    </w:p>
    <w:p w:rsidR="005D2526" w:rsidRDefault="005D2526" w:rsidP="00821DB8">
      <w:pPr>
        <w:tabs>
          <w:tab w:val="left" w:pos="6540"/>
        </w:tabs>
        <w:spacing w:line="360" w:lineRule="auto"/>
        <w:rPr>
          <w:rFonts w:ascii="Arial" w:hAnsi="Arial" w:cs="Arial"/>
          <w:sz w:val="22"/>
        </w:rPr>
      </w:pPr>
    </w:p>
    <w:p w:rsidR="005D2526" w:rsidRDefault="005D2526" w:rsidP="00821DB8">
      <w:pPr>
        <w:tabs>
          <w:tab w:val="left" w:pos="6540"/>
        </w:tabs>
        <w:spacing w:line="360" w:lineRule="auto"/>
        <w:rPr>
          <w:rFonts w:ascii="Arial" w:hAnsi="Arial" w:cs="Arial"/>
          <w:sz w:val="22"/>
        </w:rPr>
      </w:pPr>
    </w:p>
    <w:p w:rsidR="005D2526" w:rsidRDefault="005D2526" w:rsidP="00821DB8">
      <w:pPr>
        <w:tabs>
          <w:tab w:val="left" w:pos="6540"/>
        </w:tabs>
        <w:spacing w:line="360" w:lineRule="auto"/>
        <w:rPr>
          <w:rFonts w:ascii="Arial" w:hAnsi="Arial" w:cs="Arial"/>
          <w:sz w:val="22"/>
        </w:rPr>
      </w:pPr>
    </w:p>
    <w:p w:rsidR="005D2526" w:rsidRDefault="005D2526" w:rsidP="00821DB8">
      <w:pPr>
        <w:tabs>
          <w:tab w:val="left" w:pos="6540"/>
        </w:tabs>
        <w:spacing w:line="360" w:lineRule="auto"/>
        <w:rPr>
          <w:rFonts w:ascii="Arial" w:hAnsi="Arial" w:cs="Arial"/>
          <w:sz w:val="22"/>
        </w:rPr>
      </w:pPr>
    </w:p>
    <w:p w:rsidR="005D2526" w:rsidRDefault="005D2526" w:rsidP="00821DB8">
      <w:pPr>
        <w:tabs>
          <w:tab w:val="left" w:pos="6540"/>
        </w:tabs>
        <w:spacing w:line="360" w:lineRule="auto"/>
        <w:rPr>
          <w:rFonts w:ascii="Arial" w:hAnsi="Arial" w:cs="Arial"/>
          <w:sz w:val="22"/>
        </w:rPr>
      </w:pPr>
    </w:p>
    <w:p w:rsidR="005D2526" w:rsidRDefault="005D2526" w:rsidP="00821DB8">
      <w:pPr>
        <w:tabs>
          <w:tab w:val="left" w:pos="6540"/>
        </w:tabs>
        <w:spacing w:line="360" w:lineRule="auto"/>
        <w:rPr>
          <w:rFonts w:ascii="Arial" w:hAnsi="Arial" w:cs="Arial"/>
          <w:sz w:val="22"/>
        </w:rPr>
      </w:pPr>
    </w:p>
    <w:p w:rsidR="005D2526" w:rsidRDefault="005D2526" w:rsidP="00821DB8">
      <w:pPr>
        <w:tabs>
          <w:tab w:val="left" w:pos="6540"/>
        </w:tabs>
        <w:spacing w:line="360" w:lineRule="auto"/>
        <w:rPr>
          <w:rFonts w:ascii="Arial" w:hAnsi="Arial" w:cs="Arial"/>
          <w:sz w:val="22"/>
        </w:rPr>
      </w:pPr>
    </w:p>
    <w:p w:rsidR="00821DB8" w:rsidRPr="005D2526" w:rsidRDefault="00821DB8" w:rsidP="00821DB8">
      <w:pPr>
        <w:tabs>
          <w:tab w:val="left" w:pos="6540"/>
        </w:tabs>
        <w:spacing w:line="360" w:lineRule="auto"/>
        <w:rPr>
          <w:rFonts w:ascii="Arial" w:hAnsi="Arial" w:cs="Arial"/>
          <w:b/>
          <w:sz w:val="22"/>
        </w:rPr>
      </w:pPr>
      <w:r w:rsidRPr="005D2526">
        <w:rPr>
          <w:rFonts w:ascii="Arial" w:hAnsi="Arial" w:cs="Arial"/>
          <w:b/>
          <w:sz w:val="22"/>
        </w:rPr>
        <w:lastRenderedPageBreak/>
        <w:t>Measuring, moni</w:t>
      </w:r>
      <w:r w:rsidR="005D2526" w:rsidRPr="005D2526">
        <w:rPr>
          <w:rFonts w:ascii="Arial" w:hAnsi="Arial" w:cs="Arial"/>
          <w:b/>
          <w:sz w:val="22"/>
        </w:rPr>
        <w:t>toring and controlling dementia</w:t>
      </w:r>
    </w:p>
    <w:p w:rsidR="00821DB8" w:rsidRPr="00821DB8" w:rsidRDefault="00821DB8" w:rsidP="00821DB8">
      <w:pPr>
        <w:tabs>
          <w:tab w:val="left" w:pos="6540"/>
        </w:tabs>
        <w:spacing w:line="360" w:lineRule="auto"/>
        <w:rPr>
          <w:rFonts w:ascii="Arial" w:hAnsi="Arial" w:cs="Arial"/>
          <w:sz w:val="22"/>
        </w:rPr>
      </w:pPr>
      <w:r w:rsidRPr="00821DB8">
        <w:rPr>
          <w:rFonts w:ascii="Arial" w:hAnsi="Arial" w:cs="Arial"/>
          <w:sz w:val="22"/>
        </w:rPr>
        <w:t>Clinical and population</w:t>
      </w:r>
      <w:r w:rsidRPr="00821DB8">
        <w:rPr>
          <w:rFonts w:ascii="Arial" w:hAnsi="Cambria Math" w:cs="Arial"/>
          <w:sz w:val="22"/>
        </w:rPr>
        <w:t>‑</w:t>
      </w:r>
      <w:r w:rsidRPr="00821DB8">
        <w:rPr>
          <w:rFonts w:ascii="Arial" w:hAnsi="Arial" w:cs="Arial"/>
          <w:sz w:val="22"/>
        </w:rPr>
        <w:t>level measures for controlling dementia combine traditional epidemiological and public</w:t>
      </w:r>
      <w:r w:rsidRPr="00821DB8">
        <w:rPr>
          <w:rFonts w:ascii="Arial" w:hAnsi="Cambria Math" w:cs="Arial"/>
          <w:sz w:val="22"/>
        </w:rPr>
        <w:t>‑</w:t>
      </w:r>
      <w:r w:rsidRPr="00821DB8">
        <w:rPr>
          <w:rFonts w:ascii="Arial" w:hAnsi="Arial" w:cs="Arial"/>
          <w:sz w:val="22"/>
        </w:rPr>
        <w:t>health tactics. Following the 3 Ps of public health (prevention, protection and promotion) can help inform appropriate strategies.</w:t>
      </w:r>
    </w:p>
    <w:p w:rsidR="00821DB8" w:rsidRPr="00821DB8" w:rsidRDefault="00821DB8" w:rsidP="00821DB8">
      <w:pPr>
        <w:tabs>
          <w:tab w:val="left" w:pos="6540"/>
        </w:tabs>
        <w:spacing w:line="360" w:lineRule="auto"/>
        <w:rPr>
          <w:rFonts w:ascii="Arial" w:hAnsi="Arial" w:cs="Arial"/>
          <w:sz w:val="22"/>
        </w:rPr>
      </w:pPr>
    </w:p>
    <w:p w:rsidR="00821DB8" w:rsidRPr="005D2526" w:rsidRDefault="00821DB8" w:rsidP="00821DB8">
      <w:pPr>
        <w:tabs>
          <w:tab w:val="left" w:pos="6540"/>
        </w:tabs>
        <w:spacing w:line="360" w:lineRule="auto"/>
        <w:rPr>
          <w:rFonts w:ascii="Arial" w:hAnsi="Arial" w:cs="Arial"/>
          <w:b/>
          <w:sz w:val="22"/>
        </w:rPr>
      </w:pPr>
      <w:r w:rsidRPr="005D2526">
        <w:rPr>
          <w:rFonts w:ascii="Arial" w:hAnsi="Arial" w:cs="Arial"/>
          <w:b/>
          <w:sz w:val="22"/>
        </w:rPr>
        <w:t>Measurement/Monitoring</w:t>
      </w:r>
    </w:p>
    <w:p w:rsidR="00821DB8" w:rsidRPr="00821DB8" w:rsidRDefault="00821DB8" w:rsidP="00821DB8">
      <w:pPr>
        <w:tabs>
          <w:tab w:val="left" w:pos="6540"/>
        </w:tabs>
        <w:spacing w:line="360" w:lineRule="auto"/>
        <w:rPr>
          <w:rFonts w:ascii="Arial" w:hAnsi="Arial" w:cs="Arial"/>
          <w:sz w:val="22"/>
        </w:rPr>
      </w:pPr>
      <w:r w:rsidRPr="00821DB8">
        <w:rPr>
          <w:rFonts w:ascii="Arial" w:hAnsi="Arial" w:cs="Arial"/>
          <w:sz w:val="22"/>
        </w:rPr>
        <w:t>Diagnosis of dementia occurs primarily in clinical settings via cognitive testing and diagnostic imagery. Tools such as the Mini</w:t>
      </w:r>
      <w:r w:rsidRPr="00821DB8">
        <w:rPr>
          <w:rFonts w:ascii="Arial" w:hAnsi="Cambria Math" w:cs="Arial"/>
          <w:sz w:val="22"/>
        </w:rPr>
        <w:t>‑</w:t>
      </w:r>
      <w:r w:rsidRPr="00821DB8">
        <w:rPr>
          <w:rFonts w:ascii="Arial" w:hAnsi="Arial" w:cs="Arial"/>
          <w:sz w:val="22"/>
        </w:rPr>
        <w:t>Mental State Examination (MMSE) and Montreal Cognitive Assessment (MoCA) ask participants to perform tasks that measure memory, concentration and problem</w:t>
      </w:r>
      <w:r w:rsidRPr="00821DB8">
        <w:rPr>
          <w:rFonts w:ascii="Arial" w:hAnsi="Cambria Math" w:cs="Arial"/>
          <w:sz w:val="22"/>
        </w:rPr>
        <w:t>‑</w:t>
      </w:r>
      <w:r w:rsidRPr="00821DB8">
        <w:rPr>
          <w:rFonts w:ascii="Arial" w:hAnsi="Arial" w:cs="Arial"/>
          <w:sz w:val="22"/>
        </w:rPr>
        <w:t>solving abilities (Nasreddine et al., 2005). CT or MRI imagery can then be used to confirm any observed changes in brain structure. PET scans can also detect amyloid protein build</w:t>
      </w:r>
      <w:r w:rsidRPr="00821DB8">
        <w:rPr>
          <w:rFonts w:ascii="Arial" w:hAnsi="Cambria Math" w:cs="Arial"/>
          <w:sz w:val="22"/>
        </w:rPr>
        <w:t>‑</w:t>
      </w:r>
      <w:r w:rsidRPr="00821DB8">
        <w:rPr>
          <w:rFonts w:ascii="Arial" w:hAnsi="Arial" w:cs="Arial"/>
          <w:sz w:val="22"/>
        </w:rPr>
        <w:t>up in patients with Alzheimer’s disease (National Institute for Health and Care Excellence [NICE], 2022).</w:t>
      </w:r>
    </w:p>
    <w:p w:rsidR="00821DB8" w:rsidRPr="00821DB8" w:rsidRDefault="00821DB8" w:rsidP="00821DB8">
      <w:pPr>
        <w:tabs>
          <w:tab w:val="left" w:pos="6540"/>
        </w:tabs>
        <w:spacing w:line="360" w:lineRule="auto"/>
        <w:rPr>
          <w:rFonts w:ascii="Arial" w:hAnsi="Arial" w:cs="Arial"/>
          <w:sz w:val="22"/>
        </w:rPr>
      </w:pPr>
      <w:r w:rsidRPr="00821DB8">
        <w:rPr>
          <w:rFonts w:ascii="Arial" w:hAnsi="Arial" w:cs="Arial"/>
          <w:sz w:val="22"/>
        </w:rPr>
        <w:t xml:space="preserve">Monitoring </w:t>
      </w:r>
      <w:r w:rsidR="005D2526" w:rsidRPr="00821DB8">
        <w:rPr>
          <w:rFonts w:ascii="Arial" w:hAnsi="Arial" w:cs="Arial"/>
          <w:sz w:val="22"/>
        </w:rPr>
        <w:t>population</w:t>
      </w:r>
      <w:r w:rsidR="005D2526" w:rsidRPr="00821DB8">
        <w:rPr>
          <w:rFonts w:ascii="Arial" w:hAnsi="Cambria Math" w:cs="Arial"/>
          <w:sz w:val="22"/>
        </w:rPr>
        <w:t xml:space="preserve"> </w:t>
      </w:r>
      <w:r w:rsidR="005D2526" w:rsidRPr="00821DB8">
        <w:rPr>
          <w:rFonts w:ascii="Arial" w:hAnsi="Arial" w:cs="Arial"/>
          <w:sz w:val="22"/>
        </w:rPr>
        <w:t>level</w:t>
      </w:r>
      <w:r w:rsidRPr="00821DB8">
        <w:rPr>
          <w:rFonts w:ascii="Arial" w:hAnsi="Arial" w:cs="Arial"/>
          <w:sz w:val="22"/>
        </w:rPr>
        <w:t xml:space="preserve"> prevalence is largely carried out by surveillance systems and national audits. NHS Digital Quality and Outcomes Framework (QOF) monitors diagnosis rates in primary care whilst mortality and morbidity trends can be found in reports from the Office for National Statistics (ONS) (NHS Digital, 2023; ONS, 2023). Internationally, the WHO’s Global Dementia Observatory (GDO) publishes data on prevalence rates, care coverage, and policy implementation to allow international comparison (WHO, 2023).</w:t>
      </w:r>
    </w:p>
    <w:p w:rsidR="00821DB8" w:rsidRPr="00821DB8" w:rsidRDefault="00684A2D" w:rsidP="00821DB8">
      <w:pPr>
        <w:tabs>
          <w:tab w:val="left" w:pos="6540"/>
        </w:tabs>
        <w:spacing w:line="360" w:lineRule="auto"/>
        <w:rPr>
          <w:rFonts w:ascii="Arial" w:hAnsi="Arial" w:cs="Arial"/>
          <w:sz w:val="22"/>
        </w:rPr>
      </w:pPr>
      <w:r>
        <w:rPr>
          <w:rFonts w:ascii="Arial" w:hAnsi="Arial" w:cs="Arial"/>
          <w:sz w:val="22"/>
        </w:rPr>
        <w:t>Measures used include:</w:t>
      </w:r>
    </w:p>
    <w:p w:rsidR="00821DB8" w:rsidRPr="00821DB8" w:rsidRDefault="00821DB8" w:rsidP="00821DB8">
      <w:pPr>
        <w:tabs>
          <w:tab w:val="left" w:pos="6540"/>
        </w:tabs>
        <w:spacing w:line="360" w:lineRule="auto"/>
        <w:rPr>
          <w:rFonts w:ascii="Arial" w:hAnsi="Arial" w:cs="Arial"/>
          <w:sz w:val="22"/>
        </w:rPr>
      </w:pPr>
      <w:r w:rsidRPr="00821DB8">
        <w:rPr>
          <w:rFonts w:ascii="Arial" w:hAnsi="Arial" w:cs="Arial"/>
          <w:sz w:val="22"/>
        </w:rPr>
        <w:t>Incidence – number of newly diagnosed cases each year</w:t>
      </w:r>
    </w:p>
    <w:p w:rsidR="00821DB8" w:rsidRPr="00821DB8" w:rsidRDefault="00821DB8" w:rsidP="00821DB8">
      <w:pPr>
        <w:tabs>
          <w:tab w:val="left" w:pos="6540"/>
        </w:tabs>
        <w:spacing w:line="360" w:lineRule="auto"/>
        <w:rPr>
          <w:rFonts w:ascii="Arial" w:hAnsi="Arial" w:cs="Arial"/>
          <w:sz w:val="22"/>
        </w:rPr>
      </w:pPr>
      <w:r w:rsidRPr="00821DB8">
        <w:rPr>
          <w:rFonts w:ascii="Arial" w:hAnsi="Arial" w:cs="Arial"/>
          <w:sz w:val="22"/>
        </w:rPr>
        <w:t>Prevalence – total number of people living with dementia</w:t>
      </w:r>
    </w:p>
    <w:p w:rsidR="00821DB8" w:rsidRPr="00821DB8" w:rsidRDefault="00821DB8" w:rsidP="00821DB8">
      <w:pPr>
        <w:tabs>
          <w:tab w:val="left" w:pos="6540"/>
        </w:tabs>
        <w:spacing w:line="360" w:lineRule="auto"/>
        <w:rPr>
          <w:rFonts w:ascii="Arial" w:hAnsi="Arial" w:cs="Arial"/>
          <w:sz w:val="22"/>
        </w:rPr>
      </w:pPr>
      <w:r w:rsidRPr="00821DB8">
        <w:rPr>
          <w:rFonts w:ascii="Arial" w:hAnsi="Arial" w:cs="Arial"/>
          <w:sz w:val="22"/>
        </w:rPr>
        <w:t>Mortality rates – number of deaths where dementia is cited as the underlying cause</w:t>
      </w:r>
    </w:p>
    <w:p w:rsidR="00821DB8" w:rsidRPr="00821DB8" w:rsidRDefault="00821DB8" w:rsidP="00821DB8">
      <w:pPr>
        <w:tabs>
          <w:tab w:val="left" w:pos="6540"/>
        </w:tabs>
        <w:spacing w:line="360" w:lineRule="auto"/>
        <w:rPr>
          <w:rFonts w:ascii="Arial" w:hAnsi="Arial" w:cs="Arial"/>
          <w:sz w:val="22"/>
        </w:rPr>
      </w:pPr>
      <w:r w:rsidRPr="00821DB8">
        <w:rPr>
          <w:rFonts w:ascii="Arial" w:hAnsi="Arial" w:cs="Arial"/>
          <w:sz w:val="22"/>
        </w:rPr>
        <w:t>Morbidity statistics – prevalence accounting for years lived with disability/support needs</w:t>
      </w:r>
    </w:p>
    <w:p w:rsidR="00821DB8" w:rsidRPr="00821DB8" w:rsidRDefault="00821DB8" w:rsidP="00821DB8">
      <w:pPr>
        <w:tabs>
          <w:tab w:val="left" w:pos="6540"/>
        </w:tabs>
        <w:spacing w:line="360" w:lineRule="auto"/>
        <w:rPr>
          <w:rFonts w:ascii="Arial" w:hAnsi="Arial" w:cs="Arial"/>
          <w:sz w:val="22"/>
        </w:rPr>
      </w:pPr>
      <w:r w:rsidRPr="00821DB8">
        <w:rPr>
          <w:rFonts w:ascii="Arial" w:hAnsi="Arial" w:cs="Arial"/>
          <w:sz w:val="22"/>
        </w:rPr>
        <w:t xml:space="preserve">National audits such as the Sentinel Stroke and Dementia Audit Programme provide information on the quality of care patients are receiving, as well as identifying gaps in </w:t>
      </w:r>
      <w:r w:rsidR="00684A2D" w:rsidRPr="00821DB8">
        <w:rPr>
          <w:rFonts w:ascii="Arial" w:hAnsi="Arial" w:cs="Arial"/>
          <w:sz w:val="22"/>
        </w:rPr>
        <w:t>health</w:t>
      </w:r>
      <w:r w:rsidR="00684A2D" w:rsidRPr="00821DB8">
        <w:rPr>
          <w:rFonts w:ascii="Arial" w:hAnsi="Cambria Math" w:cs="Arial"/>
          <w:sz w:val="22"/>
        </w:rPr>
        <w:t xml:space="preserve"> </w:t>
      </w:r>
      <w:r w:rsidR="00684A2D" w:rsidRPr="00821DB8">
        <w:rPr>
          <w:rFonts w:ascii="Arial" w:hAnsi="Arial" w:cs="Arial"/>
          <w:sz w:val="22"/>
        </w:rPr>
        <w:t>service</w:t>
      </w:r>
      <w:r w:rsidRPr="00821DB8">
        <w:rPr>
          <w:rFonts w:ascii="Arial" w:hAnsi="Arial" w:cs="Arial"/>
          <w:sz w:val="22"/>
        </w:rPr>
        <w:t xml:space="preserve"> provision such as delays in diagnosis.</w:t>
      </w:r>
    </w:p>
    <w:p w:rsidR="00821DB8" w:rsidRPr="00821DB8" w:rsidRDefault="00821DB8" w:rsidP="00821DB8">
      <w:pPr>
        <w:tabs>
          <w:tab w:val="left" w:pos="6540"/>
        </w:tabs>
        <w:spacing w:line="360" w:lineRule="auto"/>
        <w:rPr>
          <w:rFonts w:ascii="Arial" w:hAnsi="Arial" w:cs="Arial"/>
          <w:sz w:val="22"/>
        </w:rPr>
      </w:pPr>
    </w:p>
    <w:p w:rsidR="00684A2D" w:rsidRDefault="00684A2D" w:rsidP="00821DB8">
      <w:pPr>
        <w:tabs>
          <w:tab w:val="left" w:pos="6540"/>
        </w:tabs>
        <w:spacing w:line="360" w:lineRule="auto"/>
        <w:rPr>
          <w:rFonts w:ascii="Arial" w:hAnsi="Arial" w:cs="Arial"/>
          <w:sz w:val="22"/>
        </w:rPr>
      </w:pPr>
    </w:p>
    <w:p w:rsidR="00473835" w:rsidRDefault="00473835" w:rsidP="00821DB8">
      <w:pPr>
        <w:tabs>
          <w:tab w:val="left" w:pos="6540"/>
        </w:tabs>
        <w:spacing w:line="360" w:lineRule="auto"/>
        <w:rPr>
          <w:rFonts w:ascii="Arial" w:hAnsi="Arial" w:cs="Arial"/>
          <w:b/>
          <w:sz w:val="22"/>
        </w:rPr>
      </w:pPr>
    </w:p>
    <w:p w:rsidR="00821DB8" w:rsidRPr="00684A2D" w:rsidRDefault="00821DB8" w:rsidP="00821DB8">
      <w:pPr>
        <w:tabs>
          <w:tab w:val="left" w:pos="6540"/>
        </w:tabs>
        <w:spacing w:line="360" w:lineRule="auto"/>
        <w:rPr>
          <w:rFonts w:ascii="Arial" w:hAnsi="Arial" w:cs="Arial"/>
          <w:b/>
          <w:sz w:val="22"/>
        </w:rPr>
      </w:pPr>
      <w:r w:rsidRPr="00684A2D">
        <w:rPr>
          <w:rFonts w:ascii="Arial" w:hAnsi="Arial" w:cs="Arial"/>
          <w:b/>
          <w:sz w:val="22"/>
        </w:rPr>
        <w:lastRenderedPageBreak/>
        <w:t>Prevention, Protection and Promotion</w:t>
      </w:r>
    </w:p>
    <w:p w:rsidR="00821DB8" w:rsidRPr="00821DB8" w:rsidRDefault="00821DB8" w:rsidP="00821DB8">
      <w:pPr>
        <w:tabs>
          <w:tab w:val="left" w:pos="6540"/>
        </w:tabs>
        <w:spacing w:line="360" w:lineRule="auto"/>
        <w:rPr>
          <w:rFonts w:ascii="Arial" w:hAnsi="Arial" w:cs="Arial"/>
          <w:sz w:val="22"/>
        </w:rPr>
      </w:pPr>
      <w:r w:rsidRPr="00821DB8">
        <w:rPr>
          <w:rFonts w:ascii="Arial" w:hAnsi="Arial" w:cs="Arial"/>
          <w:sz w:val="22"/>
        </w:rPr>
        <w:t>a. Prevention</w:t>
      </w:r>
    </w:p>
    <w:p w:rsidR="00821DB8" w:rsidRPr="00821DB8" w:rsidRDefault="00821DB8" w:rsidP="00821DB8">
      <w:pPr>
        <w:tabs>
          <w:tab w:val="left" w:pos="6540"/>
        </w:tabs>
        <w:spacing w:line="360" w:lineRule="auto"/>
        <w:rPr>
          <w:rFonts w:ascii="Arial" w:hAnsi="Arial" w:cs="Arial"/>
          <w:sz w:val="22"/>
        </w:rPr>
      </w:pPr>
      <w:r w:rsidRPr="00821DB8">
        <w:rPr>
          <w:rFonts w:ascii="Arial" w:hAnsi="Arial" w:cs="Arial"/>
          <w:sz w:val="22"/>
        </w:rPr>
        <w:t xml:space="preserve">Primary prevention seeks to reduce incidence or delay onset. Like cardiovascular disease, dementia has several metabolic risk factors including obesity, smoking, and hypertension (Livingston et al., 2020). Measures that support better cardiovascular health will therefore aid prevention efforts. The UK government recommends physical activity, healthy eating, and social activity through their Better Health </w:t>
      </w:r>
      <w:r w:rsidR="00684A2D">
        <w:rPr>
          <w:rFonts w:ascii="Arial" w:hAnsi="Arial" w:cs="Arial"/>
          <w:sz w:val="22"/>
        </w:rPr>
        <w:t>and Healthy Ageing initiatives.</w:t>
      </w:r>
    </w:p>
    <w:p w:rsidR="00821DB8" w:rsidRPr="00821DB8" w:rsidRDefault="00684A2D" w:rsidP="00821DB8">
      <w:pPr>
        <w:tabs>
          <w:tab w:val="left" w:pos="6540"/>
        </w:tabs>
        <w:spacing w:line="360" w:lineRule="auto"/>
        <w:rPr>
          <w:rFonts w:ascii="Arial" w:hAnsi="Arial" w:cs="Arial"/>
          <w:sz w:val="22"/>
        </w:rPr>
      </w:pPr>
      <w:r>
        <w:rPr>
          <w:rFonts w:ascii="Arial" w:hAnsi="Arial" w:cs="Arial"/>
          <w:sz w:val="22"/>
        </w:rPr>
        <w:t>b. Protection</w:t>
      </w:r>
    </w:p>
    <w:p w:rsidR="00821DB8" w:rsidRPr="00821DB8" w:rsidRDefault="00821DB8" w:rsidP="00821DB8">
      <w:pPr>
        <w:tabs>
          <w:tab w:val="left" w:pos="6540"/>
        </w:tabs>
        <w:spacing w:line="360" w:lineRule="auto"/>
        <w:rPr>
          <w:rFonts w:ascii="Arial" w:hAnsi="Arial" w:cs="Arial"/>
          <w:sz w:val="22"/>
        </w:rPr>
      </w:pPr>
      <w:r w:rsidRPr="00821DB8">
        <w:rPr>
          <w:rFonts w:ascii="Arial" w:hAnsi="Arial" w:cs="Arial"/>
          <w:sz w:val="22"/>
        </w:rPr>
        <w:t xml:space="preserve">Protective strategies begin once a diagnosis has been made. They involve minimising risk for individuals with dementia and include protecting adults through the Care Act 2014, safe prescribing practices, and </w:t>
      </w:r>
      <w:r w:rsidR="00684A2D" w:rsidRPr="00821DB8">
        <w:rPr>
          <w:rFonts w:ascii="Arial" w:hAnsi="Arial" w:cs="Arial"/>
          <w:sz w:val="22"/>
        </w:rPr>
        <w:t>mental</w:t>
      </w:r>
      <w:r w:rsidR="00684A2D" w:rsidRPr="00821DB8">
        <w:rPr>
          <w:rFonts w:ascii="Arial" w:hAnsi="Cambria Math" w:cs="Arial"/>
          <w:sz w:val="22"/>
        </w:rPr>
        <w:t xml:space="preserve"> </w:t>
      </w:r>
      <w:r w:rsidR="00684A2D" w:rsidRPr="00821DB8">
        <w:rPr>
          <w:rFonts w:ascii="Arial" w:hAnsi="Arial" w:cs="Arial"/>
          <w:sz w:val="22"/>
        </w:rPr>
        <w:t>capacity</w:t>
      </w:r>
      <w:r w:rsidRPr="00821DB8">
        <w:rPr>
          <w:rFonts w:ascii="Arial" w:hAnsi="Arial" w:cs="Arial"/>
          <w:sz w:val="22"/>
        </w:rPr>
        <w:t xml:space="preserve"> assessments to protect autonomy where necessary (NICE, 2022). Carer mental health should also be considered to protect against depression and burnout. Providing access to respite care and funded support will reduce health</w:t>
      </w:r>
      <w:r w:rsidRPr="00821DB8">
        <w:rPr>
          <w:rFonts w:ascii="Arial" w:hAnsi="Cambria Math" w:cs="Arial"/>
          <w:sz w:val="22"/>
        </w:rPr>
        <w:t>‑</w:t>
      </w:r>
      <w:r w:rsidRPr="00821DB8">
        <w:rPr>
          <w:rFonts w:ascii="Arial" w:hAnsi="Arial" w:cs="Arial"/>
          <w:sz w:val="22"/>
        </w:rPr>
        <w:t>care costs in the long term.</w:t>
      </w:r>
    </w:p>
    <w:p w:rsidR="00821DB8" w:rsidRPr="00821DB8" w:rsidRDefault="00684A2D" w:rsidP="00821DB8">
      <w:pPr>
        <w:tabs>
          <w:tab w:val="left" w:pos="6540"/>
        </w:tabs>
        <w:spacing w:line="360" w:lineRule="auto"/>
        <w:rPr>
          <w:rFonts w:ascii="Arial" w:hAnsi="Arial" w:cs="Arial"/>
          <w:sz w:val="22"/>
        </w:rPr>
      </w:pPr>
      <w:r>
        <w:rPr>
          <w:rFonts w:ascii="Arial" w:hAnsi="Arial" w:cs="Arial"/>
          <w:sz w:val="22"/>
        </w:rPr>
        <w:t>c. Health Promotion</w:t>
      </w:r>
    </w:p>
    <w:p w:rsidR="00821DB8" w:rsidRPr="00821DB8" w:rsidRDefault="00821DB8" w:rsidP="00821DB8">
      <w:pPr>
        <w:tabs>
          <w:tab w:val="left" w:pos="6540"/>
        </w:tabs>
        <w:spacing w:line="360" w:lineRule="auto"/>
        <w:rPr>
          <w:rFonts w:ascii="Arial" w:hAnsi="Arial" w:cs="Arial"/>
          <w:sz w:val="22"/>
        </w:rPr>
      </w:pPr>
      <w:r w:rsidRPr="00821DB8">
        <w:rPr>
          <w:rFonts w:ascii="Arial" w:hAnsi="Arial" w:cs="Arial"/>
          <w:sz w:val="22"/>
        </w:rPr>
        <w:t>Health promotion strategies for dementia primarily focus on reducing stigma and supporting communities to improve life for patients with dementia. Initiatives such as Dementia Friends and Dementia Action Alliances help to educate the public on symptoms of dementia and how to make daily activities more inclusive (Alzheimer’s Society, 2023).</w:t>
      </w:r>
    </w:p>
    <w:p w:rsidR="00821DB8" w:rsidRPr="00821DB8" w:rsidRDefault="00821DB8" w:rsidP="00821DB8">
      <w:pPr>
        <w:tabs>
          <w:tab w:val="left" w:pos="6540"/>
        </w:tabs>
        <w:spacing w:line="360" w:lineRule="auto"/>
        <w:rPr>
          <w:rFonts w:ascii="Arial" w:hAnsi="Arial" w:cs="Arial"/>
          <w:sz w:val="22"/>
        </w:rPr>
      </w:pPr>
    </w:p>
    <w:p w:rsidR="00821DB8" w:rsidRPr="00684A2D" w:rsidRDefault="00821DB8" w:rsidP="00821DB8">
      <w:pPr>
        <w:tabs>
          <w:tab w:val="left" w:pos="6540"/>
        </w:tabs>
        <w:spacing w:line="360" w:lineRule="auto"/>
        <w:rPr>
          <w:rFonts w:ascii="Arial" w:hAnsi="Arial" w:cs="Arial"/>
          <w:b/>
          <w:sz w:val="22"/>
        </w:rPr>
      </w:pPr>
      <w:r w:rsidRPr="00684A2D">
        <w:rPr>
          <w:rFonts w:ascii="Arial" w:hAnsi="Arial" w:cs="Arial"/>
          <w:b/>
          <w:sz w:val="22"/>
        </w:rPr>
        <w:t>Ke</w:t>
      </w:r>
      <w:r w:rsidR="00684A2D" w:rsidRPr="00684A2D">
        <w:rPr>
          <w:rFonts w:ascii="Arial" w:hAnsi="Arial" w:cs="Arial"/>
          <w:b/>
          <w:sz w:val="22"/>
        </w:rPr>
        <w:t>y determinants and risk factors</w:t>
      </w:r>
    </w:p>
    <w:p w:rsidR="00821DB8" w:rsidRPr="00821DB8" w:rsidRDefault="00821DB8" w:rsidP="00821DB8">
      <w:pPr>
        <w:tabs>
          <w:tab w:val="left" w:pos="6540"/>
        </w:tabs>
        <w:spacing w:line="360" w:lineRule="auto"/>
        <w:rPr>
          <w:rFonts w:ascii="Arial" w:hAnsi="Arial" w:cs="Arial"/>
          <w:sz w:val="22"/>
        </w:rPr>
      </w:pPr>
      <w:r w:rsidRPr="00821DB8">
        <w:rPr>
          <w:rFonts w:ascii="Arial" w:hAnsi="Arial" w:cs="Arial"/>
          <w:sz w:val="22"/>
        </w:rPr>
        <w:t>Both environmental and genetic risk factors can cause dementia. Some factors such as age and genetics cannot be modified but others can be addressed through behavioural</w:t>
      </w:r>
      <w:r w:rsidR="00684A2D">
        <w:rPr>
          <w:rFonts w:ascii="Arial" w:hAnsi="Arial" w:cs="Arial"/>
          <w:sz w:val="22"/>
        </w:rPr>
        <w:t xml:space="preserve"> change or protective policies.</w:t>
      </w:r>
    </w:p>
    <w:p w:rsidR="00821DB8" w:rsidRPr="00821DB8" w:rsidRDefault="00821DB8" w:rsidP="00821DB8">
      <w:pPr>
        <w:tabs>
          <w:tab w:val="left" w:pos="6540"/>
        </w:tabs>
        <w:spacing w:line="360" w:lineRule="auto"/>
        <w:rPr>
          <w:rFonts w:ascii="Arial" w:hAnsi="Arial" w:cs="Arial"/>
          <w:sz w:val="22"/>
        </w:rPr>
      </w:pPr>
      <w:r w:rsidRPr="00821DB8">
        <w:rPr>
          <w:rFonts w:ascii="Arial" w:hAnsi="Arial" w:cs="Arial"/>
          <w:sz w:val="22"/>
        </w:rPr>
        <w:t>Non</w:t>
      </w:r>
      <w:r w:rsidRPr="00821DB8">
        <w:rPr>
          <w:rFonts w:ascii="Arial" w:hAnsi="Cambria Math" w:cs="Arial"/>
          <w:sz w:val="22"/>
        </w:rPr>
        <w:t>‑</w:t>
      </w:r>
      <w:r w:rsidRPr="00821DB8">
        <w:rPr>
          <w:rFonts w:ascii="Arial" w:hAnsi="Arial" w:cs="Arial"/>
          <w:sz w:val="22"/>
        </w:rPr>
        <w:t>modifiable risk factors</w:t>
      </w:r>
    </w:p>
    <w:p w:rsidR="00821DB8" w:rsidRPr="00821DB8" w:rsidRDefault="00821DB8" w:rsidP="00821DB8">
      <w:pPr>
        <w:tabs>
          <w:tab w:val="left" w:pos="6540"/>
        </w:tabs>
        <w:spacing w:line="360" w:lineRule="auto"/>
        <w:rPr>
          <w:rFonts w:ascii="Arial" w:hAnsi="Arial" w:cs="Arial"/>
          <w:sz w:val="22"/>
        </w:rPr>
      </w:pPr>
      <w:r w:rsidRPr="00821DB8">
        <w:rPr>
          <w:rFonts w:ascii="Arial" w:hAnsi="Arial" w:cs="Arial"/>
          <w:sz w:val="22"/>
        </w:rPr>
        <w:t>Age: While rare, dementia can occur at any age. However, the risk increases significantly in people over 65 years old (WHO, 2023).</w:t>
      </w:r>
    </w:p>
    <w:p w:rsidR="00821DB8" w:rsidRPr="00821DB8" w:rsidRDefault="00821DB8" w:rsidP="00821DB8">
      <w:pPr>
        <w:tabs>
          <w:tab w:val="left" w:pos="6540"/>
        </w:tabs>
        <w:spacing w:line="360" w:lineRule="auto"/>
        <w:rPr>
          <w:rFonts w:ascii="Arial" w:hAnsi="Arial" w:cs="Arial"/>
          <w:sz w:val="22"/>
        </w:rPr>
      </w:pPr>
      <w:r w:rsidRPr="00821DB8">
        <w:rPr>
          <w:rFonts w:ascii="Arial" w:hAnsi="Arial" w:cs="Arial"/>
          <w:sz w:val="22"/>
        </w:rPr>
        <w:t>Genetics: Having a close relative with dementia increases risk. Certain genes also increase susceptibility such as mutation of the APOE</w:t>
      </w:r>
      <w:r w:rsidRPr="00821DB8">
        <w:rPr>
          <w:rFonts w:ascii="Arial" w:hAnsi="Cambria Math" w:cs="Arial"/>
          <w:sz w:val="22"/>
        </w:rPr>
        <w:t>‑</w:t>
      </w:r>
      <w:r w:rsidRPr="00821DB8">
        <w:rPr>
          <w:rFonts w:ascii="Arial" w:hAnsi="Arial" w:cs="Arial"/>
          <w:sz w:val="22"/>
        </w:rPr>
        <w:t>ε4 gene.</w:t>
      </w:r>
    </w:p>
    <w:p w:rsidR="00821DB8" w:rsidRPr="00821DB8" w:rsidRDefault="00821DB8" w:rsidP="00821DB8">
      <w:pPr>
        <w:tabs>
          <w:tab w:val="left" w:pos="6540"/>
        </w:tabs>
        <w:spacing w:line="360" w:lineRule="auto"/>
        <w:rPr>
          <w:rFonts w:ascii="Arial" w:hAnsi="Arial" w:cs="Arial"/>
          <w:sz w:val="22"/>
        </w:rPr>
      </w:pPr>
      <w:r w:rsidRPr="00821DB8">
        <w:rPr>
          <w:rFonts w:ascii="Arial" w:hAnsi="Arial" w:cs="Arial"/>
          <w:sz w:val="22"/>
        </w:rPr>
        <w:t>Ethnicity and gender: Prevalence is slightly higher in women and in individuals of South Asian or Black African origin.</w:t>
      </w:r>
    </w:p>
    <w:p w:rsidR="00821DB8" w:rsidRPr="00821DB8" w:rsidRDefault="00684A2D" w:rsidP="00821DB8">
      <w:pPr>
        <w:tabs>
          <w:tab w:val="left" w:pos="6540"/>
        </w:tabs>
        <w:spacing w:line="360" w:lineRule="auto"/>
        <w:rPr>
          <w:rFonts w:ascii="Arial" w:hAnsi="Arial" w:cs="Arial"/>
          <w:sz w:val="22"/>
        </w:rPr>
      </w:pPr>
      <w:r>
        <w:rPr>
          <w:rFonts w:ascii="Arial" w:hAnsi="Arial" w:cs="Arial"/>
          <w:sz w:val="22"/>
        </w:rPr>
        <w:lastRenderedPageBreak/>
        <w:t>Modifiable risk factors</w:t>
      </w:r>
    </w:p>
    <w:p w:rsidR="00821DB8" w:rsidRPr="00821DB8" w:rsidRDefault="00821DB8" w:rsidP="00821DB8">
      <w:pPr>
        <w:tabs>
          <w:tab w:val="left" w:pos="6540"/>
        </w:tabs>
        <w:spacing w:line="360" w:lineRule="auto"/>
        <w:rPr>
          <w:rFonts w:ascii="Arial" w:hAnsi="Arial" w:cs="Arial"/>
          <w:sz w:val="22"/>
        </w:rPr>
      </w:pPr>
      <w:r w:rsidRPr="00821DB8">
        <w:rPr>
          <w:rFonts w:ascii="Arial" w:hAnsi="Arial" w:cs="Arial"/>
          <w:sz w:val="22"/>
        </w:rPr>
        <w:t>Cardiovascular disease: High blood pressure, diabetes, obesity, and smoking increase your risk of dementia.</w:t>
      </w:r>
    </w:p>
    <w:p w:rsidR="00821DB8" w:rsidRPr="00821DB8" w:rsidRDefault="00821DB8" w:rsidP="00821DB8">
      <w:pPr>
        <w:tabs>
          <w:tab w:val="left" w:pos="6540"/>
        </w:tabs>
        <w:spacing w:line="360" w:lineRule="auto"/>
        <w:rPr>
          <w:rFonts w:ascii="Arial" w:hAnsi="Arial" w:cs="Arial"/>
          <w:sz w:val="22"/>
        </w:rPr>
      </w:pPr>
      <w:r w:rsidRPr="00821DB8">
        <w:rPr>
          <w:rFonts w:ascii="Arial" w:hAnsi="Arial" w:cs="Arial"/>
          <w:sz w:val="22"/>
        </w:rPr>
        <w:t>Education and cognition: Leads hypothesis suggests that jobs or activities requiring lower cognitive activity may increase risk. Similarly, fewer years of education can also increase risk.</w:t>
      </w:r>
    </w:p>
    <w:p w:rsidR="00821DB8" w:rsidRPr="00821DB8" w:rsidRDefault="00821DB8" w:rsidP="00821DB8">
      <w:pPr>
        <w:tabs>
          <w:tab w:val="left" w:pos="6540"/>
        </w:tabs>
        <w:spacing w:line="360" w:lineRule="auto"/>
        <w:rPr>
          <w:rFonts w:ascii="Arial" w:hAnsi="Arial" w:cs="Arial"/>
          <w:sz w:val="22"/>
        </w:rPr>
      </w:pPr>
      <w:r w:rsidRPr="00821DB8">
        <w:rPr>
          <w:rFonts w:ascii="Arial" w:hAnsi="Arial" w:cs="Arial"/>
          <w:sz w:val="22"/>
        </w:rPr>
        <w:t>Social activity and depression: Social isolation or loneliness can cause depression which is thought to increase dementia risk.</w:t>
      </w:r>
    </w:p>
    <w:p w:rsidR="00821DB8" w:rsidRPr="00821DB8" w:rsidRDefault="00684A2D" w:rsidP="00821DB8">
      <w:pPr>
        <w:tabs>
          <w:tab w:val="left" w:pos="6540"/>
        </w:tabs>
        <w:spacing w:line="360" w:lineRule="auto"/>
        <w:rPr>
          <w:rFonts w:ascii="Arial" w:hAnsi="Arial" w:cs="Arial"/>
          <w:sz w:val="22"/>
        </w:rPr>
      </w:pPr>
      <w:r>
        <w:rPr>
          <w:rFonts w:ascii="Arial" w:hAnsi="Arial" w:cs="Arial"/>
          <w:sz w:val="22"/>
        </w:rPr>
        <w:t xml:space="preserve">Other factors include: </w:t>
      </w:r>
      <w:r w:rsidR="00821DB8" w:rsidRPr="00821DB8">
        <w:rPr>
          <w:rFonts w:ascii="Arial" w:hAnsi="Arial" w:cs="Arial"/>
          <w:sz w:val="22"/>
        </w:rPr>
        <w:t>Alcohol misuse</w:t>
      </w:r>
      <w:r>
        <w:rPr>
          <w:rFonts w:ascii="Arial" w:hAnsi="Arial" w:cs="Arial"/>
          <w:sz w:val="22"/>
        </w:rPr>
        <w:t>, p</w:t>
      </w:r>
      <w:r w:rsidR="00821DB8" w:rsidRPr="00821DB8">
        <w:rPr>
          <w:rFonts w:ascii="Arial" w:hAnsi="Arial" w:cs="Arial"/>
          <w:sz w:val="22"/>
        </w:rPr>
        <w:t>hysical inactivity</w:t>
      </w:r>
      <w:r>
        <w:rPr>
          <w:rFonts w:ascii="Arial" w:hAnsi="Arial" w:cs="Arial"/>
          <w:sz w:val="22"/>
        </w:rPr>
        <w:t>, a</w:t>
      </w:r>
      <w:r w:rsidR="00821DB8" w:rsidRPr="00821DB8">
        <w:rPr>
          <w:rFonts w:ascii="Arial" w:hAnsi="Arial" w:cs="Arial"/>
          <w:sz w:val="22"/>
        </w:rPr>
        <w:t>ir pollution</w:t>
      </w:r>
      <w:r>
        <w:rPr>
          <w:rFonts w:ascii="Arial" w:hAnsi="Arial" w:cs="Arial"/>
          <w:sz w:val="22"/>
        </w:rPr>
        <w:t>, s</w:t>
      </w:r>
      <w:r w:rsidR="00821DB8" w:rsidRPr="00821DB8">
        <w:rPr>
          <w:rFonts w:ascii="Arial" w:hAnsi="Arial" w:cs="Arial"/>
          <w:sz w:val="22"/>
        </w:rPr>
        <w:t>hort</w:t>
      </w:r>
      <w:r w:rsidR="00821DB8" w:rsidRPr="00821DB8">
        <w:rPr>
          <w:rFonts w:ascii="Arial" w:hAnsi="Cambria Math" w:cs="Arial"/>
          <w:sz w:val="22"/>
        </w:rPr>
        <w:t>‑</w:t>
      </w:r>
      <w:r w:rsidR="00821DB8" w:rsidRPr="00821DB8">
        <w:rPr>
          <w:rFonts w:ascii="Arial" w:hAnsi="Arial" w:cs="Arial"/>
          <w:sz w:val="22"/>
        </w:rPr>
        <w:t xml:space="preserve"> and </w:t>
      </w:r>
      <w:r w:rsidRPr="00821DB8">
        <w:rPr>
          <w:rFonts w:ascii="Arial" w:hAnsi="Arial" w:cs="Arial"/>
          <w:sz w:val="22"/>
        </w:rPr>
        <w:t>long</w:t>
      </w:r>
      <w:r w:rsidRPr="00821DB8">
        <w:rPr>
          <w:rFonts w:ascii="Arial" w:hAnsi="Cambria Math" w:cs="Arial"/>
          <w:sz w:val="22"/>
        </w:rPr>
        <w:t>-</w:t>
      </w:r>
      <w:r w:rsidRPr="00821DB8">
        <w:rPr>
          <w:rFonts w:ascii="Arial" w:hAnsi="Arial" w:cs="Arial"/>
          <w:sz w:val="22"/>
        </w:rPr>
        <w:t>term</w:t>
      </w:r>
      <w:r>
        <w:rPr>
          <w:rFonts w:ascii="Arial" w:hAnsi="Arial" w:cs="Arial"/>
          <w:sz w:val="22"/>
        </w:rPr>
        <w:t>,</w:t>
      </w:r>
      <w:r w:rsidR="00821DB8" w:rsidRPr="00821DB8">
        <w:rPr>
          <w:rFonts w:ascii="Arial" w:hAnsi="Arial" w:cs="Arial"/>
          <w:sz w:val="22"/>
        </w:rPr>
        <w:t xml:space="preserve"> </w:t>
      </w:r>
      <w:r w:rsidRPr="00821DB8">
        <w:rPr>
          <w:rFonts w:ascii="Arial" w:hAnsi="Arial" w:cs="Arial"/>
          <w:sz w:val="22"/>
        </w:rPr>
        <w:t>public</w:t>
      </w:r>
      <w:r w:rsidRPr="00821DB8">
        <w:rPr>
          <w:rFonts w:ascii="Arial" w:hAnsi="Cambria Math" w:cs="Arial"/>
          <w:sz w:val="22"/>
        </w:rPr>
        <w:t xml:space="preserve"> </w:t>
      </w:r>
      <w:r w:rsidRPr="00821DB8">
        <w:rPr>
          <w:rFonts w:ascii="Arial" w:hAnsi="Arial" w:cs="Arial"/>
          <w:sz w:val="22"/>
        </w:rPr>
        <w:t>health</w:t>
      </w:r>
      <w:r w:rsidR="00821DB8" w:rsidRPr="00821DB8">
        <w:rPr>
          <w:rFonts w:ascii="Arial" w:hAnsi="Arial" w:cs="Arial"/>
          <w:sz w:val="22"/>
        </w:rPr>
        <w:t xml:space="preserve"> consequences</w:t>
      </w:r>
      <w:r>
        <w:rPr>
          <w:rFonts w:ascii="Arial" w:hAnsi="Arial" w:cs="Arial"/>
          <w:sz w:val="22"/>
        </w:rPr>
        <w:t>.</w:t>
      </w:r>
    </w:p>
    <w:p w:rsidR="00821DB8" w:rsidRPr="00821DB8" w:rsidRDefault="00684A2D" w:rsidP="00821DB8">
      <w:pPr>
        <w:tabs>
          <w:tab w:val="left" w:pos="6540"/>
        </w:tabs>
        <w:spacing w:line="360" w:lineRule="auto"/>
        <w:rPr>
          <w:rFonts w:ascii="Arial" w:hAnsi="Arial" w:cs="Arial"/>
          <w:sz w:val="22"/>
        </w:rPr>
      </w:pPr>
      <w:r w:rsidRPr="00821DB8">
        <w:rPr>
          <w:rFonts w:ascii="Arial" w:hAnsi="Arial" w:cs="Arial"/>
          <w:sz w:val="22"/>
        </w:rPr>
        <w:t>Short</w:t>
      </w:r>
      <w:r w:rsidRPr="00821DB8">
        <w:rPr>
          <w:rFonts w:ascii="Arial" w:hAnsi="Cambria Math" w:cs="Arial"/>
          <w:sz w:val="22"/>
        </w:rPr>
        <w:t>-</w:t>
      </w:r>
      <w:r w:rsidRPr="00821DB8">
        <w:rPr>
          <w:rFonts w:ascii="Arial" w:hAnsi="Arial" w:cs="Arial"/>
          <w:sz w:val="22"/>
        </w:rPr>
        <w:t>term</w:t>
      </w:r>
      <w:r w:rsidR="00821DB8" w:rsidRPr="00821DB8">
        <w:rPr>
          <w:rFonts w:ascii="Arial" w:hAnsi="Arial" w:cs="Arial"/>
          <w:sz w:val="22"/>
        </w:rPr>
        <w:t xml:space="preserve"> consequences</w:t>
      </w:r>
    </w:p>
    <w:p w:rsidR="00821DB8" w:rsidRPr="00821DB8" w:rsidRDefault="00821DB8" w:rsidP="00821DB8">
      <w:pPr>
        <w:tabs>
          <w:tab w:val="left" w:pos="6540"/>
        </w:tabs>
        <w:spacing w:line="360" w:lineRule="auto"/>
        <w:rPr>
          <w:rFonts w:ascii="Arial" w:hAnsi="Arial" w:cs="Arial"/>
          <w:sz w:val="22"/>
        </w:rPr>
      </w:pPr>
      <w:r w:rsidRPr="00821DB8">
        <w:rPr>
          <w:rFonts w:ascii="Arial" w:hAnsi="Arial" w:cs="Arial"/>
          <w:sz w:val="22"/>
        </w:rPr>
        <w:t>Dementia typically begins with mild symptoms that require more GP appointments and support for daily living. As someone’s condition progresses they may forget appointments or take the wrong medication. Therefore interventions tend to take place in the community through increased nursing support and therapy services.</w:t>
      </w:r>
    </w:p>
    <w:p w:rsidR="00821DB8" w:rsidRPr="00821DB8" w:rsidRDefault="00684A2D" w:rsidP="00821DB8">
      <w:pPr>
        <w:tabs>
          <w:tab w:val="left" w:pos="6540"/>
        </w:tabs>
        <w:spacing w:line="360" w:lineRule="auto"/>
        <w:rPr>
          <w:rFonts w:ascii="Arial" w:hAnsi="Arial" w:cs="Arial"/>
          <w:sz w:val="22"/>
        </w:rPr>
      </w:pPr>
      <w:r w:rsidRPr="00821DB8">
        <w:rPr>
          <w:rFonts w:ascii="Arial" w:hAnsi="Arial" w:cs="Arial"/>
          <w:sz w:val="22"/>
        </w:rPr>
        <w:t>Long</w:t>
      </w:r>
      <w:r w:rsidRPr="00821DB8">
        <w:rPr>
          <w:rFonts w:ascii="Arial" w:hAnsi="Cambria Math" w:cs="Arial"/>
          <w:sz w:val="22"/>
        </w:rPr>
        <w:t>-</w:t>
      </w:r>
      <w:r w:rsidRPr="00821DB8">
        <w:rPr>
          <w:rFonts w:ascii="Arial" w:hAnsi="Arial" w:cs="Arial"/>
          <w:sz w:val="22"/>
        </w:rPr>
        <w:t>term</w:t>
      </w:r>
      <w:r w:rsidR="00821DB8" w:rsidRPr="00821DB8">
        <w:rPr>
          <w:rFonts w:ascii="Arial" w:hAnsi="Arial" w:cs="Arial"/>
          <w:sz w:val="22"/>
        </w:rPr>
        <w:t xml:space="preserve"> consequences</w:t>
      </w:r>
    </w:p>
    <w:p w:rsidR="00821DB8" w:rsidRPr="00821DB8" w:rsidRDefault="00684A2D" w:rsidP="00821DB8">
      <w:pPr>
        <w:tabs>
          <w:tab w:val="left" w:pos="6540"/>
        </w:tabs>
        <w:spacing w:line="360" w:lineRule="auto"/>
        <w:rPr>
          <w:rFonts w:ascii="Arial" w:hAnsi="Arial" w:cs="Arial"/>
          <w:sz w:val="22"/>
        </w:rPr>
      </w:pPr>
      <w:r w:rsidRPr="00821DB8">
        <w:rPr>
          <w:rFonts w:ascii="Arial" w:hAnsi="Arial" w:cs="Arial"/>
          <w:sz w:val="22"/>
        </w:rPr>
        <w:t>Long</w:t>
      </w:r>
      <w:r w:rsidRPr="00821DB8">
        <w:rPr>
          <w:rFonts w:ascii="Arial" w:hAnsi="Cambria Math" w:cs="Arial"/>
          <w:sz w:val="22"/>
        </w:rPr>
        <w:t>-</w:t>
      </w:r>
      <w:r w:rsidRPr="00821DB8">
        <w:rPr>
          <w:rFonts w:ascii="Arial" w:hAnsi="Arial" w:cs="Arial"/>
          <w:sz w:val="22"/>
        </w:rPr>
        <w:t>term</w:t>
      </w:r>
      <w:r w:rsidR="00821DB8" w:rsidRPr="00821DB8">
        <w:rPr>
          <w:rFonts w:ascii="Arial" w:hAnsi="Arial" w:cs="Arial"/>
          <w:sz w:val="22"/>
        </w:rPr>
        <w:t xml:space="preserve"> effects include loss of quality of life for the individual, their family income (if the individual can no longer work), and additional burden on carers. Caregivers may experience emotional distress and </w:t>
      </w:r>
      <w:r w:rsidRPr="00821DB8">
        <w:rPr>
          <w:rFonts w:ascii="Arial" w:hAnsi="Arial" w:cs="Arial"/>
          <w:sz w:val="22"/>
        </w:rPr>
        <w:t>mental</w:t>
      </w:r>
      <w:r w:rsidRPr="00821DB8">
        <w:rPr>
          <w:rFonts w:ascii="Arial" w:hAnsi="Cambria Math" w:cs="Arial"/>
          <w:sz w:val="22"/>
        </w:rPr>
        <w:t xml:space="preserve"> </w:t>
      </w:r>
      <w:r w:rsidRPr="00821DB8">
        <w:rPr>
          <w:rFonts w:ascii="Arial" w:hAnsi="Arial" w:cs="Arial"/>
          <w:sz w:val="22"/>
        </w:rPr>
        <w:t>health</w:t>
      </w:r>
      <w:r w:rsidR="00821DB8" w:rsidRPr="00821DB8">
        <w:rPr>
          <w:rFonts w:ascii="Arial" w:hAnsi="Arial" w:cs="Arial"/>
          <w:sz w:val="22"/>
        </w:rPr>
        <w:t xml:space="preserve"> problems themselves (Pinquart and Sörensen, 2007). There are additional economic effects from losing productivity and healthcare costs which exceed £34.7 billion per year in the UK alone (Alzheimer’s Society, 2022).</w:t>
      </w:r>
    </w:p>
    <w:p w:rsidR="00821DB8" w:rsidRPr="00821DB8" w:rsidRDefault="00821DB8" w:rsidP="00821DB8">
      <w:pPr>
        <w:tabs>
          <w:tab w:val="left" w:pos="6540"/>
        </w:tabs>
        <w:spacing w:line="360" w:lineRule="auto"/>
        <w:rPr>
          <w:rFonts w:ascii="Arial" w:hAnsi="Arial" w:cs="Arial"/>
          <w:sz w:val="22"/>
        </w:rPr>
      </w:pPr>
      <w:r w:rsidRPr="00821DB8">
        <w:rPr>
          <w:rFonts w:ascii="Arial" w:hAnsi="Arial" w:cs="Arial"/>
          <w:sz w:val="22"/>
        </w:rPr>
        <w:t>Many of these impacts place huge strain on health</w:t>
      </w:r>
      <w:r w:rsidRPr="00821DB8">
        <w:rPr>
          <w:rFonts w:ascii="Arial" w:hAnsi="Cambria Math" w:cs="Arial"/>
          <w:sz w:val="22"/>
        </w:rPr>
        <w:t>‑</w:t>
      </w:r>
      <w:r w:rsidRPr="00821DB8">
        <w:rPr>
          <w:rFonts w:ascii="Arial" w:hAnsi="Arial" w:cs="Arial"/>
          <w:sz w:val="22"/>
        </w:rPr>
        <w:t>care services, patients, families and working caregivers.</w:t>
      </w:r>
    </w:p>
    <w:p w:rsidR="00821DB8" w:rsidRPr="00821DB8" w:rsidRDefault="00821DB8" w:rsidP="00821DB8">
      <w:pPr>
        <w:tabs>
          <w:tab w:val="left" w:pos="6540"/>
        </w:tabs>
        <w:spacing w:line="360" w:lineRule="auto"/>
        <w:rPr>
          <w:rFonts w:ascii="Arial" w:hAnsi="Arial" w:cs="Arial"/>
          <w:sz w:val="22"/>
        </w:rPr>
      </w:pPr>
      <w:r w:rsidRPr="00821DB8">
        <w:rPr>
          <w:rFonts w:ascii="Arial" w:hAnsi="Arial" w:cs="Arial"/>
          <w:sz w:val="22"/>
        </w:rPr>
        <w:t>Impa</w:t>
      </w:r>
      <w:r w:rsidR="00684A2D">
        <w:rPr>
          <w:rFonts w:ascii="Arial" w:hAnsi="Arial" w:cs="Arial"/>
          <w:sz w:val="22"/>
        </w:rPr>
        <w:t>cts on health-service provision;</w:t>
      </w:r>
    </w:p>
    <w:p w:rsidR="00821DB8" w:rsidRPr="00821DB8" w:rsidRDefault="00821DB8" w:rsidP="00821DB8">
      <w:pPr>
        <w:tabs>
          <w:tab w:val="left" w:pos="6540"/>
        </w:tabs>
        <w:spacing w:line="360" w:lineRule="auto"/>
        <w:rPr>
          <w:rFonts w:ascii="Arial" w:hAnsi="Arial" w:cs="Arial"/>
          <w:sz w:val="22"/>
        </w:rPr>
      </w:pPr>
      <w:r w:rsidRPr="00821DB8">
        <w:rPr>
          <w:rFonts w:ascii="Arial" w:hAnsi="Arial" w:cs="Arial"/>
          <w:sz w:val="22"/>
        </w:rPr>
        <w:t xml:space="preserve">The NHS continues to recruit for dementia-specific wards, memory clinics and residential care houses to accommodate rising demand. </w:t>
      </w:r>
      <w:r w:rsidR="00684A2D" w:rsidRPr="00821DB8">
        <w:rPr>
          <w:rFonts w:ascii="Arial" w:hAnsi="Arial" w:cs="Arial"/>
          <w:sz w:val="22"/>
        </w:rPr>
        <w:t>Staffs across the health service are</w:t>
      </w:r>
      <w:r w:rsidRPr="00821DB8">
        <w:rPr>
          <w:rFonts w:ascii="Arial" w:hAnsi="Arial" w:cs="Arial"/>
          <w:sz w:val="22"/>
        </w:rPr>
        <w:t xml:space="preserve"> trained to recognise dementia, and Health and Social Care Act (2012) sought to integrate the two systems via statutory care boards. ICBs allow health</w:t>
      </w:r>
      <w:r w:rsidRPr="00821DB8">
        <w:rPr>
          <w:rFonts w:ascii="Arial" w:hAnsi="Cambria Math" w:cs="Arial"/>
          <w:sz w:val="22"/>
        </w:rPr>
        <w:t>‑</w:t>
      </w:r>
      <w:r w:rsidRPr="00821DB8">
        <w:rPr>
          <w:rFonts w:ascii="Arial" w:hAnsi="Arial" w:cs="Arial"/>
          <w:sz w:val="22"/>
        </w:rPr>
        <w:t>care professionals to refer patients directly to local authority support to minimise hospital admissions where possible.</w:t>
      </w:r>
    </w:p>
    <w:p w:rsidR="00821DB8" w:rsidRPr="00821DB8" w:rsidRDefault="00821DB8" w:rsidP="00821DB8">
      <w:pPr>
        <w:tabs>
          <w:tab w:val="left" w:pos="6540"/>
        </w:tabs>
        <w:spacing w:line="360" w:lineRule="auto"/>
        <w:rPr>
          <w:rFonts w:ascii="Arial" w:hAnsi="Arial" w:cs="Arial"/>
          <w:sz w:val="22"/>
        </w:rPr>
      </w:pPr>
    </w:p>
    <w:p w:rsidR="00684A2D" w:rsidRDefault="00684A2D" w:rsidP="00821DB8">
      <w:pPr>
        <w:tabs>
          <w:tab w:val="left" w:pos="6540"/>
        </w:tabs>
        <w:spacing w:line="360" w:lineRule="auto"/>
        <w:rPr>
          <w:rFonts w:ascii="Arial" w:hAnsi="Arial" w:cs="Arial"/>
          <w:sz w:val="22"/>
        </w:rPr>
      </w:pPr>
    </w:p>
    <w:p w:rsidR="00821DB8" w:rsidRPr="00821DB8" w:rsidRDefault="00821DB8" w:rsidP="00821DB8">
      <w:pPr>
        <w:tabs>
          <w:tab w:val="left" w:pos="6540"/>
        </w:tabs>
        <w:spacing w:line="360" w:lineRule="auto"/>
        <w:rPr>
          <w:rFonts w:ascii="Arial" w:hAnsi="Arial" w:cs="Arial"/>
          <w:sz w:val="22"/>
        </w:rPr>
      </w:pPr>
      <w:r w:rsidRPr="00821DB8">
        <w:rPr>
          <w:rFonts w:ascii="Arial" w:hAnsi="Arial" w:cs="Arial"/>
          <w:sz w:val="22"/>
        </w:rPr>
        <w:lastRenderedPageBreak/>
        <w:t>Factors influencing health and well</w:t>
      </w:r>
      <w:r w:rsidRPr="00821DB8">
        <w:rPr>
          <w:rFonts w:ascii="Arial" w:hAnsi="Cambria Math" w:cs="Arial"/>
          <w:sz w:val="22"/>
        </w:rPr>
        <w:t>‑</w:t>
      </w:r>
      <w:r w:rsidRPr="00821DB8">
        <w:rPr>
          <w:rFonts w:ascii="Arial" w:hAnsi="Arial" w:cs="Arial"/>
          <w:sz w:val="22"/>
        </w:rPr>
        <w:t>being of individuals with dementia</w:t>
      </w:r>
    </w:p>
    <w:p w:rsidR="00821DB8" w:rsidRPr="00821DB8" w:rsidRDefault="00821DB8" w:rsidP="00821DB8">
      <w:pPr>
        <w:tabs>
          <w:tab w:val="left" w:pos="6540"/>
        </w:tabs>
        <w:spacing w:line="360" w:lineRule="auto"/>
        <w:rPr>
          <w:rFonts w:ascii="Arial" w:hAnsi="Arial" w:cs="Arial"/>
          <w:sz w:val="22"/>
        </w:rPr>
      </w:pPr>
      <w:r w:rsidRPr="00821DB8">
        <w:rPr>
          <w:rFonts w:ascii="Arial" w:hAnsi="Arial" w:cs="Arial"/>
          <w:sz w:val="22"/>
        </w:rPr>
        <w:t>Remaining independent for as long as possible promotes a good quality of life for people with dementia. Factors t</w:t>
      </w:r>
      <w:r w:rsidR="00022168">
        <w:rPr>
          <w:rFonts w:ascii="Arial" w:hAnsi="Arial" w:cs="Arial"/>
          <w:sz w:val="22"/>
        </w:rPr>
        <w:t>hat can influence this include:</w:t>
      </w:r>
    </w:p>
    <w:p w:rsidR="00821DB8" w:rsidRPr="00821DB8" w:rsidRDefault="00821DB8" w:rsidP="00821DB8">
      <w:pPr>
        <w:tabs>
          <w:tab w:val="left" w:pos="6540"/>
        </w:tabs>
        <w:spacing w:line="360" w:lineRule="auto"/>
        <w:rPr>
          <w:rFonts w:ascii="Arial" w:hAnsi="Arial" w:cs="Arial"/>
          <w:sz w:val="22"/>
        </w:rPr>
      </w:pPr>
      <w:r w:rsidRPr="00821DB8">
        <w:rPr>
          <w:rFonts w:ascii="Arial" w:hAnsi="Arial" w:cs="Arial"/>
          <w:sz w:val="22"/>
        </w:rPr>
        <w:t>Early diagnosis and support planning. Allows someone to remain in work or pursue activities they enjoy, if possible.</w:t>
      </w:r>
    </w:p>
    <w:p w:rsidR="00821DB8" w:rsidRPr="00821DB8" w:rsidRDefault="00821DB8" w:rsidP="00821DB8">
      <w:pPr>
        <w:tabs>
          <w:tab w:val="left" w:pos="6540"/>
        </w:tabs>
        <w:spacing w:line="360" w:lineRule="auto"/>
        <w:rPr>
          <w:rFonts w:ascii="Arial" w:hAnsi="Arial" w:cs="Arial"/>
          <w:sz w:val="22"/>
        </w:rPr>
      </w:pPr>
      <w:r w:rsidRPr="00821DB8">
        <w:rPr>
          <w:rFonts w:ascii="Arial" w:hAnsi="Arial" w:cs="Arial"/>
          <w:sz w:val="22"/>
        </w:rPr>
        <w:t>Your socioeconomic status: You may not be able to afford professional care or modifications to your home (eg. Assistive technology)</w:t>
      </w:r>
    </w:p>
    <w:p w:rsidR="00821DB8" w:rsidRPr="00821DB8" w:rsidRDefault="00821DB8" w:rsidP="00821DB8">
      <w:pPr>
        <w:tabs>
          <w:tab w:val="left" w:pos="6540"/>
        </w:tabs>
        <w:spacing w:line="360" w:lineRule="auto"/>
        <w:rPr>
          <w:rFonts w:ascii="Arial" w:hAnsi="Arial" w:cs="Arial"/>
          <w:sz w:val="22"/>
        </w:rPr>
      </w:pPr>
      <w:r w:rsidRPr="00821DB8">
        <w:rPr>
          <w:rFonts w:ascii="Arial" w:hAnsi="Arial" w:cs="Arial"/>
          <w:sz w:val="22"/>
        </w:rPr>
        <w:t>Your Carer’s health and wellbeing: The person providing care has a huge impact on your quality of life.</w:t>
      </w:r>
    </w:p>
    <w:p w:rsidR="00821DB8" w:rsidRPr="00821DB8" w:rsidRDefault="00821DB8" w:rsidP="00821DB8">
      <w:pPr>
        <w:tabs>
          <w:tab w:val="left" w:pos="6540"/>
        </w:tabs>
        <w:spacing w:line="360" w:lineRule="auto"/>
        <w:rPr>
          <w:rFonts w:ascii="Arial" w:hAnsi="Arial" w:cs="Arial"/>
          <w:sz w:val="22"/>
        </w:rPr>
      </w:pPr>
      <w:r w:rsidRPr="00821DB8">
        <w:rPr>
          <w:rFonts w:ascii="Arial" w:hAnsi="Arial" w:cs="Arial"/>
          <w:sz w:val="22"/>
        </w:rPr>
        <w:t>Access to activities that reduce loneliness: Keeping occupied can help slow progression and prevent depression (Goldsmith et al., 2021).</w:t>
      </w:r>
    </w:p>
    <w:p w:rsidR="00821DB8" w:rsidRPr="00821DB8" w:rsidRDefault="00821DB8" w:rsidP="00821DB8">
      <w:pPr>
        <w:tabs>
          <w:tab w:val="left" w:pos="6540"/>
        </w:tabs>
        <w:spacing w:line="360" w:lineRule="auto"/>
        <w:rPr>
          <w:rFonts w:ascii="Arial" w:hAnsi="Arial" w:cs="Arial"/>
          <w:sz w:val="22"/>
        </w:rPr>
      </w:pPr>
      <w:r w:rsidRPr="00821DB8">
        <w:rPr>
          <w:rFonts w:ascii="Arial" w:hAnsi="Arial" w:cs="Arial"/>
          <w:sz w:val="22"/>
        </w:rPr>
        <w:t>Language and cultural barriers: Ability to understand information given to you by health or social care professionals and ensuring they can accommodate your needs.</w:t>
      </w:r>
    </w:p>
    <w:p w:rsidR="00821DB8" w:rsidRPr="00821DB8" w:rsidRDefault="00821DB8" w:rsidP="00821DB8">
      <w:pPr>
        <w:tabs>
          <w:tab w:val="left" w:pos="6540"/>
        </w:tabs>
        <w:spacing w:line="360" w:lineRule="auto"/>
        <w:rPr>
          <w:rFonts w:ascii="Arial" w:hAnsi="Arial" w:cs="Arial"/>
          <w:sz w:val="22"/>
        </w:rPr>
      </w:pPr>
    </w:p>
    <w:p w:rsidR="00821DB8" w:rsidRPr="00022168" w:rsidRDefault="00473835" w:rsidP="00821DB8">
      <w:pPr>
        <w:tabs>
          <w:tab w:val="left" w:pos="6540"/>
        </w:tabs>
        <w:spacing w:line="360" w:lineRule="auto"/>
        <w:rPr>
          <w:rFonts w:ascii="Arial" w:hAnsi="Arial" w:cs="Arial"/>
          <w:b/>
          <w:szCs w:val="24"/>
        </w:rPr>
      </w:pPr>
      <w:r>
        <w:rPr>
          <w:rFonts w:ascii="Arial" w:hAnsi="Arial" w:cs="Arial"/>
          <w:b/>
          <w:szCs w:val="24"/>
        </w:rPr>
        <w:t>Conclusion</w:t>
      </w:r>
    </w:p>
    <w:p w:rsidR="00821DB8" w:rsidRPr="00821DB8" w:rsidRDefault="00821DB8" w:rsidP="00821DB8">
      <w:pPr>
        <w:tabs>
          <w:tab w:val="left" w:pos="6540"/>
        </w:tabs>
        <w:spacing w:line="360" w:lineRule="auto"/>
        <w:rPr>
          <w:rFonts w:ascii="Arial" w:hAnsi="Arial" w:cs="Arial"/>
          <w:sz w:val="22"/>
        </w:rPr>
      </w:pPr>
      <w:r w:rsidRPr="00821DB8">
        <w:rPr>
          <w:rFonts w:ascii="Arial" w:hAnsi="Arial" w:cs="Arial"/>
          <w:sz w:val="22"/>
        </w:rPr>
        <w:t xml:space="preserve">Dementia is a serious </w:t>
      </w:r>
      <w:r w:rsidR="00022168" w:rsidRPr="00821DB8">
        <w:rPr>
          <w:rFonts w:ascii="Arial" w:hAnsi="Arial" w:cs="Arial"/>
          <w:sz w:val="22"/>
        </w:rPr>
        <w:t>long</w:t>
      </w:r>
      <w:r w:rsidR="00022168" w:rsidRPr="00821DB8">
        <w:rPr>
          <w:rFonts w:ascii="Arial" w:hAnsi="Cambria Math" w:cs="Arial"/>
          <w:sz w:val="22"/>
        </w:rPr>
        <w:t>-</w:t>
      </w:r>
      <w:r w:rsidR="00022168" w:rsidRPr="00821DB8">
        <w:rPr>
          <w:rFonts w:ascii="Arial" w:hAnsi="Arial" w:cs="Arial"/>
          <w:sz w:val="22"/>
        </w:rPr>
        <w:t>term</w:t>
      </w:r>
      <w:r w:rsidRPr="00821DB8">
        <w:rPr>
          <w:rFonts w:ascii="Arial" w:hAnsi="Arial" w:cs="Arial"/>
          <w:sz w:val="22"/>
        </w:rPr>
        <w:t xml:space="preserve"> condition affecting people all over the world. Although we can measure it through MMSE </w:t>
      </w:r>
      <w:r w:rsidR="00022168" w:rsidRPr="00821DB8">
        <w:rPr>
          <w:rFonts w:ascii="Arial" w:hAnsi="Arial" w:cs="Arial"/>
          <w:sz w:val="22"/>
        </w:rPr>
        <w:t>testing, incidence</w:t>
      </w:r>
      <w:r w:rsidRPr="00821DB8">
        <w:rPr>
          <w:rFonts w:ascii="Arial" w:hAnsi="Arial" w:cs="Arial"/>
          <w:sz w:val="22"/>
        </w:rPr>
        <w:t xml:space="preserve"> and prevalence rates, many risk factors are modifiable through preventive interventions. </w:t>
      </w:r>
      <w:r w:rsidR="00022168" w:rsidRPr="00821DB8">
        <w:rPr>
          <w:rFonts w:ascii="Arial" w:hAnsi="Arial" w:cs="Arial"/>
          <w:sz w:val="22"/>
        </w:rPr>
        <w:t>Public</w:t>
      </w:r>
      <w:r w:rsidR="00022168" w:rsidRPr="00821DB8">
        <w:rPr>
          <w:rFonts w:ascii="Arial" w:hAnsi="Cambria Math" w:cs="Arial"/>
          <w:sz w:val="22"/>
        </w:rPr>
        <w:t xml:space="preserve"> </w:t>
      </w:r>
      <w:r w:rsidR="00022168" w:rsidRPr="00821DB8">
        <w:rPr>
          <w:rFonts w:ascii="Arial" w:hAnsi="Arial" w:cs="Arial"/>
          <w:sz w:val="22"/>
        </w:rPr>
        <w:t>health</w:t>
      </w:r>
      <w:r w:rsidRPr="00821DB8">
        <w:rPr>
          <w:rFonts w:ascii="Arial" w:hAnsi="Arial" w:cs="Arial"/>
          <w:sz w:val="22"/>
        </w:rPr>
        <w:t xml:space="preserve"> consequences include additional burden on primary and secondary care services and GP appointments, as well as cost to the NHS and social services.</w:t>
      </w:r>
    </w:p>
    <w:p w:rsidR="00821DB8" w:rsidRPr="00821DB8" w:rsidRDefault="00821DB8" w:rsidP="00821DB8">
      <w:pPr>
        <w:tabs>
          <w:tab w:val="left" w:pos="6540"/>
        </w:tabs>
        <w:spacing w:line="360" w:lineRule="auto"/>
        <w:rPr>
          <w:rFonts w:ascii="Arial" w:hAnsi="Arial" w:cs="Arial"/>
          <w:sz w:val="22"/>
        </w:rPr>
      </w:pPr>
      <w:r w:rsidRPr="00821DB8">
        <w:rPr>
          <w:rFonts w:ascii="Arial" w:hAnsi="Arial" w:cs="Arial"/>
          <w:sz w:val="22"/>
        </w:rPr>
        <w:t>Although dementia is not curable, we can slow progression through cognitive exercises, activity programmes and promoting broader public health. Recommendations to address the</w:t>
      </w:r>
      <w:r w:rsidR="00022168">
        <w:rPr>
          <w:rFonts w:ascii="Arial" w:hAnsi="Arial" w:cs="Arial"/>
          <w:sz w:val="22"/>
        </w:rPr>
        <w:t xml:space="preserve"> issue include:</w:t>
      </w:r>
    </w:p>
    <w:p w:rsidR="00821DB8" w:rsidRPr="00821DB8" w:rsidRDefault="00821DB8" w:rsidP="00821DB8">
      <w:pPr>
        <w:tabs>
          <w:tab w:val="left" w:pos="6540"/>
        </w:tabs>
        <w:spacing w:line="360" w:lineRule="auto"/>
        <w:rPr>
          <w:rFonts w:ascii="Arial" w:hAnsi="Arial" w:cs="Arial"/>
          <w:sz w:val="22"/>
        </w:rPr>
      </w:pPr>
      <w:r w:rsidRPr="00821DB8">
        <w:rPr>
          <w:rFonts w:ascii="Arial" w:hAnsi="Arial" w:cs="Arial"/>
          <w:sz w:val="22"/>
        </w:rPr>
        <w:t xml:space="preserve">Maximise uptake of </w:t>
      </w:r>
      <w:r w:rsidR="00022168" w:rsidRPr="00821DB8">
        <w:rPr>
          <w:rFonts w:ascii="Arial" w:hAnsi="Arial" w:cs="Arial"/>
          <w:sz w:val="22"/>
        </w:rPr>
        <w:t>early</w:t>
      </w:r>
      <w:r w:rsidR="00022168" w:rsidRPr="00821DB8">
        <w:rPr>
          <w:rFonts w:ascii="Arial" w:hAnsi="Cambria Math" w:cs="Arial"/>
          <w:sz w:val="22"/>
        </w:rPr>
        <w:t xml:space="preserve"> </w:t>
      </w:r>
      <w:r w:rsidR="00022168" w:rsidRPr="00821DB8">
        <w:rPr>
          <w:rFonts w:ascii="Arial" w:hAnsi="Arial" w:cs="Arial"/>
          <w:sz w:val="22"/>
        </w:rPr>
        <w:t>diagnosis</w:t>
      </w:r>
      <w:r w:rsidRPr="00821DB8">
        <w:rPr>
          <w:rFonts w:ascii="Arial" w:hAnsi="Arial" w:cs="Arial"/>
          <w:sz w:val="22"/>
        </w:rPr>
        <w:t xml:space="preserve"> programmes via GPs and community services</w:t>
      </w:r>
    </w:p>
    <w:p w:rsidR="00821DB8" w:rsidRPr="00821DB8" w:rsidRDefault="00821DB8" w:rsidP="00821DB8">
      <w:pPr>
        <w:tabs>
          <w:tab w:val="left" w:pos="6540"/>
        </w:tabs>
        <w:spacing w:line="360" w:lineRule="auto"/>
        <w:rPr>
          <w:rFonts w:ascii="Arial" w:hAnsi="Arial" w:cs="Arial"/>
          <w:sz w:val="22"/>
        </w:rPr>
      </w:pPr>
      <w:r w:rsidRPr="00821DB8">
        <w:rPr>
          <w:rFonts w:ascii="Arial" w:hAnsi="Arial" w:cs="Arial"/>
          <w:sz w:val="22"/>
        </w:rPr>
        <w:t xml:space="preserve">Promote exercise, healthy diet and activities to prevent dementia in </w:t>
      </w:r>
      <w:r w:rsidR="00022168" w:rsidRPr="00821DB8">
        <w:rPr>
          <w:rFonts w:ascii="Arial" w:hAnsi="Arial" w:cs="Arial"/>
          <w:sz w:val="22"/>
        </w:rPr>
        <w:t>at</w:t>
      </w:r>
      <w:r w:rsidR="00022168" w:rsidRPr="00821DB8">
        <w:rPr>
          <w:rFonts w:ascii="Arial" w:hAnsi="Cambria Math" w:cs="Arial"/>
          <w:sz w:val="22"/>
        </w:rPr>
        <w:t xml:space="preserve"> </w:t>
      </w:r>
      <w:r w:rsidR="00022168" w:rsidRPr="00821DB8">
        <w:rPr>
          <w:rFonts w:ascii="Arial" w:hAnsi="Arial" w:cs="Arial"/>
          <w:sz w:val="22"/>
        </w:rPr>
        <w:t>risk</w:t>
      </w:r>
      <w:r w:rsidRPr="00821DB8">
        <w:rPr>
          <w:rFonts w:ascii="Arial" w:hAnsi="Arial" w:cs="Arial"/>
          <w:sz w:val="22"/>
        </w:rPr>
        <w:t xml:space="preserve"> groups</w:t>
      </w:r>
    </w:p>
    <w:p w:rsidR="00821DB8" w:rsidRPr="00821DB8" w:rsidRDefault="00821DB8" w:rsidP="00821DB8">
      <w:pPr>
        <w:tabs>
          <w:tab w:val="left" w:pos="6540"/>
        </w:tabs>
        <w:spacing w:line="360" w:lineRule="auto"/>
        <w:rPr>
          <w:rFonts w:ascii="Arial" w:hAnsi="Arial" w:cs="Arial"/>
          <w:sz w:val="22"/>
        </w:rPr>
      </w:pPr>
      <w:r w:rsidRPr="00821DB8">
        <w:rPr>
          <w:rFonts w:ascii="Arial" w:hAnsi="Arial" w:cs="Arial"/>
          <w:sz w:val="22"/>
        </w:rPr>
        <w:t xml:space="preserve">Support carers to prevent burnout and ensure they can continue to provide unpaid care. Options include respite care and </w:t>
      </w:r>
      <w:r w:rsidR="00473835" w:rsidRPr="00821DB8">
        <w:rPr>
          <w:rFonts w:ascii="Arial" w:hAnsi="Arial" w:cs="Arial"/>
          <w:sz w:val="22"/>
        </w:rPr>
        <w:t>mental</w:t>
      </w:r>
      <w:r w:rsidR="00473835" w:rsidRPr="00821DB8">
        <w:rPr>
          <w:rFonts w:ascii="Arial" w:hAnsi="Cambria Math" w:cs="Arial"/>
          <w:sz w:val="22"/>
        </w:rPr>
        <w:t xml:space="preserve"> </w:t>
      </w:r>
      <w:r w:rsidR="00473835" w:rsidRPr="00821DB8">
        <w:rPr>
          <w:rFonts w:ascii="Arial" w:hAnsi="Arial" w:cs="Arial"/>
          <w:sz w:val="22"/>
        </w:rPr>
        <w:t>health</w:t>
      </w:r>
      <w:r w:rsidRPr="00821DB8">
        <w:rPr>
          <w:rFonts w:ascii="Arial" w:hAnsi="Arial" w:cs="Arial"/>
          <w:sz w:val="22"/>
        </w:rPr>
        <w:t xml:space="preserve"> check</w:t>
      </w:r>
      <w:r w:rsidRPr="00821DB8">
        <w:rPr>
          <w:rFonts w:ascii="Arial" w:hAnsi="Cambria Math" w:cs="Arial"/>
          <w:sz w:val="22"/>
        </w:rPr>
        <w:t>‑</w:t>
      </w:r>
      <w:r w:rsidRPr="00821DB8">
        <w:rPr>
          <w:rFonts w:ascii="Arial" w:hAnsi="Arial" w:cs="Arial"/>
          <w:sz w:val="22"/>
        </w:rPr>
        <w:t>ups</w:t>
      </w:r>
    </w:p>
    <w:p w:rsidR="00821DB8" w:rsidRPr="00821DB8" w:rsidRDefault="00821DB8" w:rsidP="00821DB8">
      <w:pPr>
        <w:tabs>
          <w:tab w:val="left" w:pos="6540"/>
        </w:tabs>
        <w:spacing w:line="360" w:lineRule="auto"/>
        <w:rPr>
          <w:rFonts w:ascii="Arial" w:hAnsi="Arial" w:cs="Arial"/>
          <w:sz w:val="22"/>
        </w:rPr>
      </w:pPr>
      <w:r w:rsidRPr="00821DB8">
        <w:rPr>
          <w:rFonts w:ascii="Arial" w:hAnsi="Arial" w:cs="Arial"/>
          <w:sz w:val="22"/>
        </w:rPr>
        <w:t>Increase funding into workforce training an</w:t>
      </w:r>
      <w:r w:rsidR="00022168">
        <w:rPr>
          <w:rFonts w:ascii="Arial" w:hAnsi="Arial" w:cs="Arial"/>
          <w:sz w:val="22"/>
        </w:rPr>
        <w:t>d dementia friendly initiatives</w:t>
      </w:r>
    </w:p>
    <w:p w:rsidR="00821DB8" w:rsidRPr="00821DB8" w:rsidRDefault="00821DB8" w:rsidP="00821DB8">
      <w:pPr>
        <w:tabs>
          <w:tab w:val="left" w:pos="6540"/>
        </w:tabs>
        <w:spacing w:line="360" w:lineRule="auto"/>
        <w:rPr>
          <w:rFonts w:ascii="Arial" w:hAnsi="Arial" w:cs="Arial"/>
          <w:sz w:val="22"/>
        </w:rPr>
      </w:pPr>
      <w:r w:rsidRPr="00821DB8">
        <w:rPr>
          <w:rFonts w:ascii="Arial" w:hAnsi="Arial" w:cs="Arial"/>
          <w:sz w:val="22"/>
        </w:rPr>
        <w:t>Support prevention research into modifiable risk factors and biomarkers for early diagnosis.</w:t>
      </w:r>
    </w:p>
    <w:p w:rsidR="00821DB8" w:rsidRPr="00821DB8" w:rsidRDefault="00821DB8" w:rsidP="00821DB8">
      <w:pPr>
        <w:tabs>
          <w:tab w:val="left" w:pos="6540"/>
        </w:tabs>
        <w:spacing w:line="360" w:lineRule="auto"/>
        <w:rPr>
          <w:rFonts w:ascii="Arial" w:hAnsi="Arial" w:cs="Arial"/>
          <w:sz w:val="22"/>
        </w:rPr>
      </w:pPr>
    </w:p>
    <w:p w:rsidR="00821DB8" w:rsidRPr="00022168" w:rsidRDefault="00821DB8" w:rsidP="00821DB8">
      <w:pPr>
        <w:tabs>
          <w:tab w:val="left" w:pos="6540"/>
        </w:tabs>
        <w:spacing w:line="360" w:lineRule="auto"/>
        <w:rPr>
          <w:rFonts w:ascii="Arial" w:hAnsi="Arial" w:cs="Arial"/>
          <w:b/>
          <w:szCs w:val="24"/>
        </w:rPr>
      </w:pPr>
      <w:r w:rsidRPr="00022168">
        <w:rPr>
          <w:rFonts w:ascii="Arial" w:hAnsi="Arial" w:cs="Arial"/>
          <w:b/>
          <w:szCs w:val="24"/>
        </w:rPr>
        <w:lastRenderedPageBreak/>
        <w:t>References</w:t>
      </w:r>
    </w:p>
    <w:p w:rsidR="00821DB8" w:rsidRPr="00821DB8" w:rsidRDefault="00821DB8" w:rsidP="00821DB8">
      <w:pPr>
        <w:tabs>
          <w:tab w:val="left" w:pos="6540"/>
        </w:tabs>
        <w:spacing w:line="360" w:lineRule="auto"/>
        <w:rPr>
          <w:rFonts w:ascii="Arial" w:hAnsi="Arial" w:cs="Arial"/>
          <w:sz w:val="22"/>
        </w:rPr>
      </w:pPr>
    </w:p>
    <w:p w:rsidR="00821DB8" w:rsidRPr="00821DB8" w:rsidRDefault="00821DB8" w:rsidP="00821DB8">
      <w:pPr>
        <w:tabs>
          <w:tab w:val="left" w:pos="6540"/>
        </w:tabs>
        <w:spacing w:line="360" w:lineRule="auto"/>
        <w:rPr>
          <w:rFonts w:ascii="Arial" w:hAnsi="Arial" w:cs="Arial"/>
          <w:sz w:val="22"/>
        </w:rPr>
      </w:pPr>
      <w:r w:rsidRPr="00821DB8">
        <w:rPr>
          <w:rFonts w:ascii="Arial" w:hAnsi="Arial" w:cs="Arial"/>
          <w:sz w:val="22"/>
        </w:rPr>
        <w:t xml:space="preserve">Alzheimer’s Society. (2023). </w:t>
      </w:r>
      <w:r w:rsidRPr="00473835">
        <w:rPr>
          <w:rFonts w:ascii="Arial" w:hAnsi="Arial" w:cs="Arial"/>
          <w:i/>
          <w:sz w:val="22"/>
        </w:rPr>
        <w:t>Types of dementia</w:t>
      </w:r>
      <w:r w:rsidRPr="00821DB8">
        <w:rPr>
          <w:rFonts w:ascii="Arial" w:hAnsi="Arial" w:cs="Arial"/>
          <w:sz w:val="22"/>
        </w:rPr>
        <w:t xml:space="preserve"> . Retrieved October 25, 2023, from https://www.alzheimers.org.uk/a</w:t>
      </w:r>
      <w:r w:rsidR="00022168">
        <w:rPr>
          <w:rFonts w:ascii="Arial" w:hAnsi="Arial" w:cs="Arial"/>
          <w:sz w:val="22"/>
        </w:rPr>
        <w:t>bout-dementia/types-of-dementia</w:t>
      </w:r>
    </w:p>
    <w:p w:rsidR="00821DB8" w:rsidRPr="00821DB8" w:rsidRDefault="00821DB8" w:rsidP="00821DB8">
      <w:pPr>
        <w:tabs>
          <w:tab w:val="left" w:pos="6540"/>
        </w:tabs>
        <w:spacing w:line="360" w:lineRule="auto"/>
        <w:rPr>
          <w:rFonts w:ascii="Arial" w:hAnsi="Arial" w:cs="Arial"/>
          <w:sz w:val="22"/>
        </w:rPr>
      </w:pPr>
      <w:r w:rsidRPr="00821DB8">
        <w:rPr>
          <w:rFonts w:ascii="Arial" w:hAnsi="Arial" w:cs="Arial"/>
          <w:sz w:val="22"/>
        </w:rPr>
        <w:t xml:space="preserve">Goldsmith, N., Gould, C., Livingston, G., Torrisi, S., &amp; Evans, J. J. (2021). </w:t>
      </w:r>
      <w:r w:rsidRPr="00473835">
        <w:rPr>
          <w:rFonts w:ascii="Arial" w:hAnsi="Arial" w:cs="Arial"/>
          <w:i/>
          <w:sz w:val="22"/>
        </w:rPr>
        <w:t>Cognitive stimulation therapy fo</w:t>
      </w:r>
      <w:r w:rsidR="00022168" w:rsidRPr="00473835">
        <w:rPr>
          <w:rFonts w:ascii="Arial" w:hAnsi="Arial" w:cs="Arial"/>
          <w:i/>
          <w:sz w:val="22"/>
        </w:rPr>
        <w:t>r dementia</w:t>
      </w:r>
      <w:r w:rsidR="00022168">
        <w:rPr>
          <w:rFonts w:ascii="Arial" w:hAnsi="Arial" w:cs="Arial"/>
          <w:sz w:val="22"/>
        </w:rPr>
        <w:t xml:space="preserve"> . Cochrane Library.</w:t>
      </w:r>
    </w:p>
    <w:p w:rsidR="00821DB8" w:rsidRPr="00821DB8" w:rsidRDefault="00821DB8" w:rsidP="00821DB8">
      <w:pPr>
        <w:tabs>
          <w:tab w:val="left" w:pos="6540"/>
        </w:tabs>
        <w:spacing w:line="360" w:lineRule="auto"/>
        <w:rPr>
          <w:rFonts w:ascii="Arial" w:hAnsi="Arial" w:cs="Arial"/>
          <w:sz w:val="22"/>
        </w:rPr>
      </w:pPr>
      <w:r w:rsidRPr="00821DB8">
        <w:rPr>
          <w:rFonts w:ascii="Arial" w:hAnsi="Arial" w:cs="Arial"/>
          <w:sz w:val="22"/>
        </w:rPr>
        <w:t xml:space="preserve">Livingston, G., Huntley, J., Sommerlad, A., Ames, D., Ballard, C., Banerjee, S., Burns, A., Cohen, N., Davies, S., Edwards, N., et al. (2020). </w:t>
      </w:r>
      <w:r w:rsidRPr="00473835">
        <w:rPr>
          <w:rFonts w:ascii="Arial" w:hAnsi="Arial" w:cs="Arial"/>
          <w:i/>
          <w:sz w:val="22"/>
        </w:rPr>
        <w:t>Dementia prevention, intervention, and care . Th</w:t>
      </w:r>
      <w:r w:rsidR="00022168" w:rsidRPr="00473835">
        <w:rPr>
          <w:rFonts w:ascii="Arial" w:hAnsi="Arial" w:cs="Arial"/>
          <w:i/>
          <w:sz w:val="22"/>
        </w:rPr>
        <w:t>e Lancet</w:t>
      </w:r>
      <w:r w:rsidR="00022168">
        <w:rPr>
          <w:rFonts w:ascii="Arial" w:hAnsi="Arial" w:cs="Arial"/>
          <w:sz w:val="22"/>
        </w:rPr>
        <w:t xml:space="preserve"> . (20)61641-X/fulltext</w:t>
      </w:r>
    </w:p>
    <w:p w:rsidR="00821DB8" w:rsidRPr="00821DB8" w:rsidRDefault="00821DB8" w:rsidP="00821DB8">
      <w:pPr>
        <w:tabs>
          <w:tab w:val="left" w:pos="6540"/>
        </w:tabs>
        <w:spacing w:line="360" w:lineRule="auto"/>
        <w:rPr>
          <w:rFonts w:ascii="Arial" w:hAnsi="Arial" w:cs="Arial"/>
          <w:sz w:val="22"/>
        </w:rPr>
      </w:pPr>
      <w:r w:rsidRPr="00821DB8">
        <w:rPr>
          <w:rFonts w:ascii="Arial" w:hAnsi="Arial" w:cs="Arial"/>
          <w:sz w:val="22"/>
        </w:rPr>
        <w:t xml:space="preserve">Nasreddine, Z., Phillips, N., Bedirhan, U., Charbonneau, S., Whitehead, V., Collin, I., &amp; Hogan,DB. (2005). The Montreal Cognitive Assessment, MoCA: A brief screening tool for mild cognitive impairment. Journal of the American Geriatrics Society , 53 (4), </w:t>
      </w:r>
      <w:r w:rsidR="00022168">
        <w:rPr>
          <w:rFonts w:ascii="Arial" w:hAnsi="Arial" w:cs="Arial"/>
          <w:sz w:val="22"/>
        </w:rPr>
        <w:t>695-699.</w:t>
      </w:r>
    </w:p>
    <w:p w:rsidR="00821DB8" w:rsidRPr="00821DB8" w:rsidRDefault="00821DB8" w:rsidP="00821DB8">
      <w:pPr>
        <w:tabs>
          <w:tab w:val="left" w:pos="6540"/>
        </w:tabs>
        <w:spacing w:line="360" w:lineRule="auto"/>
        <w:rPr>
          <w:rFonts w:ascii="Arial" w:hAnsi="Arial" w:cs="Arial"/>
          <w:sz w:val="22"/>
        </w:rPr>
      </w:pPr>
      <w:r w:rsidRPr="00821DB8">
        <w:rPr>
          <w:rFonts w:ascii="Arial" w:hAnsi="Arial" w:cs="Arial"/>
          <w:sz w:val="22"/>
        </w:rPr>
        <w:t xml:space="preserve">National Institute for Health and Care Excellence. (2022). </w:t>
      </w:r>
      <w:r w:rsidRPr="00473835">
        <w:rPr>
          <w:rFonts w:ascii="Arial" w:hAnsi="Arial" w:cs="Arial"/>
          <w:i/>
          <w:sz w:val="22"/>
        </w:rPr>
        <w:t>Dementia: assessment, management and support for people living with dementia .</w:t>
      </w:r>
      <w:r w:rsidRPr="00821DB8">
        <w:rPr>
          <w:rFonts w:ascii="Arial" w:hAnsi="Arial" w:cs="Arial"/>
          <w:sz w:val="22"/>
        </w:rPr>
        <w:t xml:space="preserve"> NICE Guidelines [NG183]. https://www.nice.org.uk/guidanc</w:t>
      </w:r>
      <w:r w:rsidR="00022168">
        <w:rPr>
          <w:rFonts w:ascii="Arial" w:hAnsi="Arial" w:cs="Arial"/>
          <w:sz w:val="22"/>
        </w:rPr>
        <w:t>e/ng183/chapter/Recommendations</w:t>
      </w:r>
    </w:p>
    <w:p w:rsidR="00821DB8" w:rsidRPr="00821DB8" w:rsidRDefault="00821DB8" w:rsidP="00821DB8">
      <w:pPr>
        <w:tabs>
          <w:tab w:val="left" w:pos="6540"/>
        </w:tabs>
        <w:spacing w:line="360" w:lineRule="auto"/>
        <w:rPr>
          <w:rFonts w:ascii="Arial" w:hAnsi="Arial" w:cs="Arial"/>
          <w:sz w:val="22"/>
        </w:rPr>
      </w:pPr>
      <w:r w:rsidRPr="00821DB8">
        <w:rPr>
          <w:rFonts w:ascii="Arial" w:hAnsi="Arial" w:cs="Arial"/>
          <w:sz w:val="22"/>
        </w:rPr>
        <w:t xml:space="preserve">NHS Digital. (2023). </w:t>
      </w:r>
      <w:r w:rsidRPr="00473835">
        <w:rPr>
          <w:rFonts w:ascii="Arial" w:hAnsi="Arial" w:cs="Arial"/>
          <w:i/>
          <w:sz w:val="22"/>
        </w:rPr>
        <w:t>Quality outcomes framework</w:t>
      </w:r>
      <w:r w:rsidRPr="00821DB8">
        <w:rPr>
          <w:rFonts w:ascii="Arial" w:hAnsi="Arial" w:cs="Arial"/>
          <w:sz w:val="22"/>
        </w:rPr>
        <w:t xml:space="preserve"> (QOF) profiles: indicators and data tables . NHS Digital. Retrieved October 25, 2023, from https://digital.nhs.uk/data-and-information/publications/statistical/quality-outcomes-framework-qof/profiles/alzheimer-s-disease-and-dem</w:t>
      </w:r>
      <w:r w:rsidR="00022168">
        <w:rPr>
          <w:rFonts w:ascii="Arial" w:hAnsi="Arial" w:cs="Arial"/>
          <w:sz w:val="22"/>
        </w:rPr>
        <w:t>entia</w:t>
      </w:r>
    </w:p>
    <w:p w:rsidR="00821DB8" w:rsidRPr="00821DB8" w:rsidRDefault="00821DB8" w:rsidP="00821DB8">
      <w:pPr>
        <w:tabs>
          <w:tab w:val="left" w:pos="6540"/>
        </w:tabs>
        <w:spacing w:line="360" w:lineRule="auto"/>
        <w:rPr>
          <w:rFonts w:ascii="Arial" w:hAnsi="Arial" w:cs="Arial"/>
          <w:sz w:val="22"/>
        </w:rPr>
      </w:pPr>
      <w:r w:rsidRPr="00821DB8">
        <w:rPr>
          <w:rFonts w:ascii="Arial" w:hAnsi="Arial" w:cs="Arial"/>
          <w:sz w:val="22"/>
        </w:rPr>
        <w:t>Office for National Statistics. (2023). Causes of death in the UK . Office for National Statistics . Retrieved October 25, 2023, from https://www.ons.gov.uk/peoplepopulationandcommunity/birthsdeathsandmarriages/deaths/causesofdeath#dementia-and-alzh</w:t>
      </w:r>
      <w:r w:rsidR="00022168">
        <w:rPr>
          <w:rFonts w:ascii="Arial" w:hAnsi="Arial" w:cs="Arial"/>
          <w:sz w:val="22"/>
        </w:rPr>
        <w:t>eimers-disease</w:t>
      </w:r>
    </w:p>
    <w:p w:rsidR="00821DB8" w:rsidRPr="00821DB8" w:rsidRDefault="00821DB8" w:rsidP="00821DB8">
      <w:pPr>
        <w:tabs>
          <w:tab w:val="left" w:pos="6540"/>
        </w:tabs>
        <w:spacing w:line="360" w:lineRule="auto"/>
        <w:rPr>
          <w:rFonts w:ascii="Arial" w:hAnsi="Arial" w:cs="Arial"/>
          <w:sz w:val="22"/>
        </w:rPr>
      </w:pPr>
      <w:r w:rsidRPr="00821DB8">
        <w:rPr>
          <w:rFonts w:ascii="Arial" w:hAnsi="Arial" w:cs="Arial"/>
          <w:sz w:val="22"/>
        </w:rPr>
        <w:t>Pinquart, M., &amp; Sörensen, S. (2007). Associations of loneliness with risk factors, health behaviors, and health outcomes in older adults: A meta-analysis. Aging and mental health , 11 (1), 44-66. https://do</w:t>
      </w:r>
      <w:r w:rsidR="00022168">
        <w:rPr>
          <w:rFonts w:ascii="Arial" w:hAnsi="Arial" w:cs="Arial"/>
          <w:sz w:val="22"/>
        </w:rPr>
        <w:t>i.org/10.1080/13607860600665325</w:t>
      </w:r>
    </w:p>
    <w:p w:rsidR="0026393A" w:rsidRPr="00821DB8" w:rsidRDefault="00821DB8" w:rsidP="00821DB8">
      <w:pPr>
        <w:tabs>
          <w:tab w:val="left" w:pos="6540"/>
        </w:tabs>
        <w:spacing w:line="360" w:lineRule="auto"/>
        <w:rPr>
          <w:rFonts w:ascii="Arial" w:hAnsi="Arial" w:cs="Arial"/>
          <w:sz w:val="22"/>
        </w:rPr>
      </w:pPr>
      <w:r w:rsidRPr="00821DB8">
        <w:rPr>
          <w:rFonts w:ascii="Arial" w:hAnsi="Arial" w:cs="Arial"/>
          <w:sz w:val="22"/>
        </w:rPr>
        <w:t xml:space="preserve">World Health Organization. (2023). </w:t>
      </w:r>
      <w:r w:rsidRPr="00473835">
        <w:rPr>
          <w:rFonts w:ascii="Arial" w:hAnsi="Arial" w:cs="Arial"/>
          <w:i/>
          <w:sz w:val="22"/>
        </w:rPr>
        <w:t>Fact sheet: Dementia</w:t>
      </w:r>
      <w:r w:rsidRPr="00821DB8">
        <w:rPr>
          <w:rFonts w:ascii="Arial" w:hAnsi="Arial" w:cs="Arial"/>
          <w:sz w:val="22"/>
        </w:rPr>
        <w:t xml:space="preserve"> . World Health Organization . Retrieved October 25, 2023, from https://www.who.int/news-room/fact-sheets/detail/dementia</w:t>
      </w:r>
    </w:p>
    <w:p w:rsidR="008E3943" w:rsidRPr="00821DB8" w:rsidRDefault="008E3943" w:rsidP="00CD33A8">
      <w:pPr>
        <w:tabs>
          <w:tab w:val="left" w:pos="6540"/>
        </w:tabs>
        <w:spacing w:line="360" w:lineRule="auto"/>
        <w:rPr>
          <w:rFonts w:ascii="Arial" w:hAnsi="Arial" w:cs="Arial"/>
          <w:sz w:val="22"/>
        </w:rPr>
      </w:pPr>
    </w:p>
    <w:p w:rsidR="008E3943" w:rsidRPr="00821DB8" w:rsidRDefault="008E3943" w:rsidP="00CD33A8">
      <w:pPr>
        <w:tabs>
          <w:tab w:val="left" w:pos="6540"/>
        </w:tabs>
        <w:spacing w:line="360" w:lineRule="auto"/>
        <w:rPr>
          <w:rFonts w:ascii="Arial" w:hAnsi="Arial" w:cs="Arial"/>
          <w:sz w:val="22"/>
        </w:rPr>
      </w:pPr>
    </w:p>
    <w:sectPr w:rsidR="008E3943" w:rsidRPr="00821DB8" w:rsidSect="00E620E7">
      <w:footerReference w:type="default" r:id="rId8"/>
      <w:pgSz w:w="11906" w:h="16838"/>
      <w:pgMar w:top="1440" w:right="1440" w:bottom="1440" w:left="1440" w:header="708" w:footer="708" w:gutter="0"/>
      <w:cols w:space="708"/>
      <w:titlePg/>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723D2C" w:rsidRDefault="00723D2C" w:rsidP="003E4ECF">
      <w:pPr>
        <w:spacing w:after="0" w:line="240" w:lineRule="auto"/>
      </w:pPr>
      <w:r>
        <w:separator/>
      </w:r>
    </w:p>
  </w:endnote>
  <w:endnote w:type="continuationSeparator" w:id="1">
    <w:p w:rsidR="00723D2C" w:rsidRDefault="00723D2C" w:rsidP="003E4ECF">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1267988516"/>
      <w:docPartObj>
        <w:docPartGallery w:val="Page Numbers (Bottom of Page)"/>
        <w:docPartUnique/>
      </w:docPartObj>
    </w:sdtPr>
    <w:sdtEndPr>
      <w:rPr>
        <w:rFonts w:asciiTheme="minorBidi" w:hAnsiTheme="minorBidi"/>
        <w:noProof/>
        <w:sz w:val="22"/>
      </w:rPr>
    </w:sdtEndPr>
    <w:sdtContent>
      <w:p w:rsidR="003E4ECF" w:rsidRPr="00E620E7" w:rsidRDefault="00F32E84">
        <w:pPr>
          <w:pStyle w:val="Footer"/>
          <w:jc w:val="center"/>
          <w:rPr>
            <w:rFonts w:asciiTheme="minorBidi" w:hAnsiTheme="minorBidi"/>
            <w:sz w:val="22"/>
          </w:rPr>
        </w:pPr>
        <w:r w:rsidRPr="00E620E7">
          <w:rPr>
            <w:rFonts w:asciiTheme="minorBidi" w:hAnsiTheme="minorBidi"/>
            <w:sz w:val="22"/>
          </w:rPr>
          <w:fldChar w:fldCharType="begin"/>
        </w:r>
        <w:r w:rsidR="003E4ECF" w:rsidRPr="00E620E7">
          <w:rPr>
            <w:rFonts w:asciiTheme="minorBidi" w:hAnsiTheme="minorBidi"/>
            <w:sz w:val="22"/>
          </w:rPr>
          <w:instrText xml:space="preserve"> PAGE   \* MERGEFORMAT </w:instrText>
        </w:r>
        <w:r w:rsidRPr="00E620E7">
          <w:rPr>
            <w:rFonts w:asciiTheme="minorBidi" w:hAnsiTheme="minorBidi"/>
            <w:sz w:val="22"/>
          </w:rPr>
          <w:fldChar w:fldCharType="separate"/>
        </w:r>
        <w:r w:rsidR="00F423F5">
          <w:rPr>
            <w:rFonts w:asciiTheme="minorBidi" w:hAnsiTheme="minorBidi"/>
            <w:noProof/>
            <w:sz w:val="22"/>
          </w:rPr>
          <w:t>7</w:t>
        </w:r>
        <w:r w:rsidRPr="00E620E7">
          <w:rPr>
            <w:rFonts w:asciiTheme="minorBidi" w:hAnsiTheme="minorBidi"/>
            <w:noProof/>
            <w:sz w:val="22"/>
          </w:rPr>
          <w:fldChar w:fldCharType="end"/>
        </w:r>
      </w:p>
    </w:sdtContent>
  </w:sdt>
  <w:p w:rsidR="003E4ECF" w:rsidRDefault="003E4ECF">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723D2C" w:rsidRDefault="00723D2C" w:rsidP="003E4ECF">
      <w:pPr>
        <w:spacing w:after="0" w:line="240" w:lineRule="auto"/>
      </w:pPr>
      <w:r>
        <w:separator/>
      </w:r>
    </w:p>
  </w:footnote>
  <w:footnote w:type="continuationSeparator" w:id="1">
    <w:p w:rsidR="00723D2C" w:rsidRDefault="00723D2C" w:rsidP="003E4ECF">
      <w:pPr>
        <w:spacing w:after="0" w:line="240" w:lineRule="auto"/>
      </w:pPr>
      <w:r>
        <w:continuationSeparator/>
      </w:r>
    </w:p>
  </w:footnote>
</w:footnotes>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defaultTabStop w:val="720"/>
  <w:characterSpacingControl w:val="doNotCompress"/>
  <w:hdrShapeDefaults>
    <o:shapedefaults v:ext="edit" spidmax="6146"/>
  </w:hdrShapeDefaults>
  <w:footnotePr>
    <w:footnote w:id="0"/>
    <w:footnote w:id="1"/>
  </w:footnotePr>
  <w:endnotePr>
    <w:endnote w:id="0"/>
    <w:endnote w:id="1"/>
  </w:endnotePr>
  <w:compat/>
  <w:rsids>
    <w:rsidRoot w:val="00074402"/>
    <w:rsid w:val="00022168"/>
    <w:rsid w:val="000572BF"/>
    <w:rsid w:val="00074402"/>
    <w:rsid w:val="001B7852"/>
    <w:rsid w:val="001D7C03"/>
    <w:rsid w:val="00216C85"/>
    <w:rsid w:val="0026393A"/>
    <w:rsid w:val="00273EDD"/>
    <w:rsid w:val="00280644"/>
    <w:rsid w:val="002C3965"/>
    <w:rsid w:val="002C46DE"/>
    <w:rsid w:val="00321C4C"/>
    <w:rsid w:val="00392BBC"/>
    <w:rsid w:val="003E4ECF"/>
    <w:rsid w:val="00473835"/>
    <w:rsid w:val="004A736E"/>
    <w:rsid w:val="005A3EF0"/>
    <w:rsid w:val="005D2526"/>
    <w:rsid w:val="00684A2D"/>
    <w:rsid w:val="006925AA"/>
    <w:rsid w:val="00723D2C"/>
    <w:rsid w:val="00725177"/>
    <w:rsid w:val="007A1B8D"/>
    <w:rsid w:val="00814A9E"/>
    <w:rsid w:val="00821DB8"/>
    <w:rsid w:val="008E3943"/>
    <w:rsid w:val="0090040D"/>
    <w:rsid w:val="009D052C"/>
    <w:rsid w:val="009D1D1E"/>
    <w:rsid w:val="00A035FD"/>
    <w:rsid w:val="00AD23A0"/>
    <w:rsid w:val="00B87E75"/>
    <w:rsid w:val="00CD33A8"/>
    <w:rsid w:val="00E569FD"/>
    <w:rsid w:val="00E620E7"/>
    <w:rsid w:val="00F32E84"/>
    <w:rsid w:val="00F423F5"/>
    <w:rsid w:val="00F66E1B"/>
    <w:rsid w:val="00FA604D"/>
  </w:rsids>
  <m:mathPr>
    <m:mathFont m:val="Cambria Math"/>
    <m:brkBin m:val="before"/>
    <m:brkBinSub m:val="--"/>
    <m:smallFrac/>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6146"/>
    <o:shapelayout v:ext="edit">
      <o:idmap v:ext="edit" data="2"/>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imes New Roman" w:eastAsiaTheme="minorHAnsi" w:hAnsi="Times New Roman" w:cstheme="minorBidi"/>
        <w:sz w:val="24"/>
        <w:szCs w:val="22"/>
        <w:lang w:val="en-GB"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2C46DE"/>
  </w:style>
  <w:style w:type="paragraph" w:styleId="Heading1">
    <w:name w:val="heading 1"/>
    <w:basedOn w:val="Normal"/>
    <w:next w:val="Normal"/>
    <w:link w:val="Heading1Char"/>
    <w:autoRedefine/>
    <w:uiPriority w:val="9"/>
    <w:qFormat/>
    <w:rsid w:val="00F423F5"/>
    <w:pPr>
      <w:keepNext/>
      <w:keepLines/>
      <w:spacing w:before="240" w:after="0" w:line="360" w:lineRule="auto"/>
      <w:jc w:val="center"/>
      <w:outlineLvl w:val="0"/>
    </w:pPr>
    <w:rPr>
      <w:rFonts w:ascii="Arial" w:eastAsiaTheme="majorEastAsia" w:hAnsi="Arial"/>
      <w:b/>
      <w:sz w:val="32"/>
    </w:rPr>
  </w:style>
  <w:style w:type="paragraph" w:styleId="Heading2">
    <w:name w:val="heading 2"/>
    <w:basedOn w:val="Normal"/>
    <w:next w:val="Normal"/>
    <w:link w:val="Heading2Char"/>
    <w:autoRedefine/>
    <w:uiPriority w:val="9"/>
    <w:unhideWhenUsed/>
    <w:qFormat/>
    <w:rsid w:val="00A035FD"/>
    <w:pPr>
      <w:keepNext/>
      <w:keepLines/>
      <w:spacing w:before="40" w:after="0"/>
      <w:outlineLvl w:val="1"/>
    </w:pPr>
    <w:rPr>
      <w:rFonts w:ascii="Arial" w:eastAsiaTheme="majorEastAsia" w:hAnsi="Arial" w:cstheme="majorBidi"/>
      <w:b/>
      <w:i/>
      <w:color w:val="2F5496" w:themeColor="accent1" w:themeShade="BF"/>
      <w:sz w:val="26"/>
      <w:szCs w:val="26"/>
    </w:rPr>
  </w:style>
  <w:style w:type="paragraph" w:styleId="Heading3">
    <w:name w:val="heading 3"/>
    <w:basedOn w:val="Normal"/>
    <w:link w:val="Heading3Char"/>
    <w:autoRedefine/>
    <w:uiPriority w:val="9"/>
    <w:qFormat/>
    <w:rsid w:val="002C3965"/>
    <w:pPr>
      <w:spacing w:before="100" w:beforeAutospacing="1" w:after="100" w:afterAutospacing="1" w:line="240" w:lineRule="auto"/>
      <w:outlineLvl w:val="2"/>
    </w:pPr>
    <w:rPr>
      <w:rFonts w:ascii="Arial" w:eastAsia="Times New Roman" w:hAnsi="Arial" w:cs="Times New Roman"/>
      <w:b/>
      <w:bCs/>
      <w:szCs w:val="27"/>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423F5"/>
    <w:rPr>
      <w:rFonts w:ascii="Arial" w:eastAsiaTheme="majorEastAsia" w:hAnsi="Arial"/>
      <w:b/>
      <w:sz w:val="32"/>
    </w:rPr>
  </w:style>
  <w:style w:type="character" w:customStyle="1" w:styleId="Heading2Char">
    <w:name w:val="Heading 2 Char"/>
    <w:basedOn w:val="DefaultParagraphFont"/>
    <w:link w:val="Heading2"/>
    <w:uiPriority w:val="9"/>
    <w:rsid w:val="00A035FD"/>
    <w:rPr>
      <w:rFonts w:ascii="Arial" w:eastAsiaTheme="majorEastAsia" w:hAnsi="Arial" w:cstheme="majorBidi"/>
      <w:b/>
      <w:i/>
      <w:color w:val="2F5496" w:themeColor="accent1" w:themeShade="BF"/>
      <w:sz w:val="26"/>
      <w:szCs w:val="26"/>
    </w:rPr>
  </w:style>
  <w:style w:type="character" w:customStyle="1" w:styleId="Heading3Char">
    <w:name w:val="Heading 3 Char"/>
    <w:basedOn w:val="DefaultParagraphFont"/>
    <w:link w:val="Heading3"/>
    <w:uiPriority w:val="9"/>
    <w:rsid w:val="002C3965"/>
    <w:rPr>
      <w:rFonts w:ascii="Arial" w:eastAsia="Times New Roman" w:hAnsi="Arial" w:cs="Times New Roman"/>
      <w:b/>
      <w:bCs/>
      <w:szCs w:val="27"/>
      <w:lang w:eastAsia="en-GB"/>
    </w:rPr>
  </w:style>
  <w:style w:type="paragraph" w:styleId="Header">
    <w:name w:val="header"/>
    <w:basedOn w:val="Normal"/>
    <w:link w:val="HeaderChar"/>
    <w:uiPriority w:val="99"/>
    <w:unhideWhenUsed/>
    <w:rsid w:val="003E4ECF"/>
    <w:pPr>
      <w:tabs>
        <w:tab w:val="center" w:pos="4513"/>
        <w:tab w:val="right" w:pos="9026"/>
      </w:tabs>
      <w:spacing w:after="0" w:line="240" w:lineRule="auto"/>
    </w:pPr>
  </w:style>
  <w:style w:type="character" w:customStyle="1" w:styleId="HeaderChar">
    <w:name w:val="Header Char"/>
    <w:basedOn w:val="DefaultParagraphFont"/>
    <w:link w:val="Header"/>
    <w:uiPriority w:val="99"/>
    <w:rsid w:val="003E4ECF"/>
  </w:style>
  <w:style w:type="paragraph" w:styleId="Footer">
    <w:name w:val="footer"/>
    <w:basedOn w:val="Normal"/>
    <w:link w:val="FooterChar"/>
    <w:uiPriority w:val="99"/>
    <w:unhideWhenUsed/>
    <w:rsid w:val="003E4ECF"/>
    <w:pPr>
      <w:tabs>
        <w:tab w:val="center" w:pos="4513"/>
        <w:tab w:val="right" w:pos="9026"/>
      </w:tabs>
      <w:spacing w:after="0" w:line="240" w:lineRule="auto"/>
    </w:pPr>
  </w:style>
  <w:style w:type="character" w:customStyle="1" w:styleId="FooterChar">
    <w:name w:val="Footer Char"/>
    <w:basedOn w:val="DefaultParagraphFont"/>
    <w:link w:val="Footer"/>
    <w:uiPriority w:val="99"/>
    <w:rsid w:val="003E4ECF"/>
  </w:style>
  <w:style w:type="paragraph" w:styleId="Title">
    <w:name w:val="Title"/>
    <w:basedOn w:val="Normal"/>
    <w:next w:val="Normal"/>
    <w:link w:val="TitleChar"/>
    <w:uiPriority w:val="10"/>
    <w:qFormat/>
    <w:rsid w:val="00473835"/>
    <w:pPr>
      <w:pBdr>
        <w:bottom w:val="single" w:sz="8" w:space="4" w:color="4472C4" w:themeColor="accent1"/>
      </w:pBdr>
      <w:spacing w:after="300" w:line="240" w:lineRule="auto"/>
      <w:contextualSpacing/>
    </w:pPr>
    <w:rPr>
      <w:rFonts w:asciiTheme="majorHAnsi" w:eastAsiaTheme="majorEastAsia" w:hAnsiTheme="majorHAnsi" w:cstheme="majorBidi"/>
      <w:color w:val="323E4F" w:themeColor="text2" w:themeShade="BF"/>
      <w:spacing w:val="5"/>
      <w:kern w:val="28"/>
      <w:sz w:val="52"/>
      <w:szCs w:val="52"/>
    </w:rPr>
  </w:style>
  <w:style w:type="character" w:customStyle="1" w:styleId="TitleChar">
    <w:name w:val="Title Char"/>
    <w:basedOn w:val="DefaultParagraphFont"/>
    <w:link w:val="Title"/>
    <w:uiPriority w:val="10"/>
    <w:rsid w:val="00473835"/>
    <w:rPr>
      <w:rFonts w:asciiTheme="majorHAnsi" w:eastAsiaTheme="majorEastAsia" w:hAnsiTheme="majorHAnsi" w:cstheme="majorBidi"/>
      <w:color w:val="323E4F" w:themeColor="text2" w:themeShade="BF"/>
      <w:spacing w:val="5"/>
      <w:kern w:val="28"/>
      <w:sz w:val="52"/>
      <w:szCs w:val="52"/>
    </w:rPr>
  </w:style>
</w:styles>
</file>

<file path=word/webSettings.xml><?xml version="1.0" encoding="utf-8"?>
<w:webSettings xmlns:r="http://schemas.openxmlformats.org/officeDocument/2006/relationships" xmlns:w="http://schemas.openxmlformats.org/wordprocessingml/2006/main">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webSettings" Target="webSettings.xml"/><Relationship Id="rId7" Type="http://schemas.openxmlformats.org/officeDocument/2006/relationships/image" Target="cid:image001.png@01D0EA4A.2BD679A0"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png"/><Relationship Id="rId5" Type="http://schemas.openxmlformats.org/officeDocument/2006/relationships/endnotes" Target="endnotes.xml"/><Relationship Id="rId10" Type="http://schemas.openxmlformats.org/officeDocument/2006/relationships/theme" Target="theme/theme1.xml"/><Relationship Id="rId4" Type="http://schemas.openxmlformats.org/officeDocument/2006/relationships/footnotes" Target="footnote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7</TotalTime>
  <Pages>7</Pages>
  <Words>1674</Words>
  <Characters>9542</Characters>
  <Application>Microsoft Office Word</Application>
  <DocSecurity>0</DocSecurity>
  <Lines>79</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11194</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Eleni Koutsogeorgou</dc:creator>
  <cp:lastModifiedBy>PC</cp:lastModifiedBy>
  <cp:revision>2</cp:revision>
  <dcterms:created xsi:type="dcterms:W3CDTF">2026-04-19T15:49:00Z</dcterms:created>
  <dcterms:modified xsi:type="dcterms:W3CDTF">2026-04-19T15:49:00Z</dcterms:modified>
</cp:coreProperties>
</file>