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0" w:before="0" w:line="360" w:lineRule="auto"/>
      </w:pPr>
      <w:r>
        <w:rPr>
          <w:rFonts w:ascii="Arial" w:cs="Arial" w:eastAsia="Arial" w:hAnsi="Arial"/>
          <w:sz w:val="22"/>
          <w:szCs w:val="22"/>
        </w:rPr>
        <w:t xml:space="preserve"/>
      </w:r>
    </w:p>
    <w:p>
      <w:pPr>
        <w:spacing w:after="0" w:before="0" w:line="360" w:lineRule="auto"/>
      </w:pPr>
      <w:r>
        <w:rPr>
          <w:rFonts w:ascii="Arial" w:cs="Arial" w:eastAsia="Arial" w:hAnsi="Arial"/>
          <w:sz w:val="22"/>
          <w:szCs w:val="22"/>
        </w:rPr>
        <w:t xml:space="preserve"/>
      </w:r>
    </w:p>
    <w:p>
      <w:pPr>
        <w:spacing w:after="0" w:before="0" w:line="360" w:lineRule="auto"/>
      </w:pPr>
      <w:r>
        <w:rPr>
          <w:rFonts w:ascii="Arial" w:cs="Arial" w:eastAsia="Arial" w:hAnsi="Arial"/>
          <w:sz w:val="22"/>
          <w:szCs w:val="22"/>
        </w:rPr>
        <w:t xml:space="preserve"/>
      </w:r>
    </w:p>
    <w:p>
      <w:pPr>
        <w:spacing w:after="300" w:before="0" w:line="360" w:lineRule="auto"/>
        <w:jc w:val="center"/>
      </w:pPr>
      <w:r>
        <w:rPr>
          <w:rFonts w:ascii="Arial" w:cs="Arial" w:eastAsia="Arial" w:hAnsi="Arial"/>
          <w:sz w:val="22"/>
          <w:szCs w:val="22"/>
        </w:rPr>
        <w:t xml:space="preserve">University of Wales Trinity Saint David</w:t>
      </w:r>
    </w:p>
    <w:p>
      <w:pPr>
        <w:spacing w:after="600" w:before="0" w:line="360" w:lineRule="auto"/>
        <w:jc w:val="center"/>
      </w:pPr>
      <w:r>
        <w:rPr>
          <w:rFonts w:ascii="Arial" w:cs="Arial" w:eastAsia="Arial" w:hAnsi="Arial"/>
          <w:sz w:val="22"/>
          <w:szCs w:val="22"/>
        </w:rPr>
        <w:t xml:space="preserve">Certificate of Higher Education: Skills for the Workplace (Health &amp; Social Care)</w:t>
      </w:r>
    </w:p>
    <w:p>
      <w:pPr>
        <w:spacing w:after="0" w:before="0" w:line="360" w:lineRule="auto"/>
      </w:pPr>
      <w:r>
        <w:rPr>
          <w:rFonts w:ascii="Arial" w:cs="Arial" w:eastAsia="Arial" w:hAnsi="Arial"/>
          <w:sz w:val="22"/>
          <w:szCs w:val="22"/>
        </w:rPr>
        <w:t xml:space="preserve"/>
      </w:r>
    </w:p>
    <w:p>
      <w:pPr>
        <w:spacing w:after="0" w:before="0" w:line="360" w:lineRule="auto"/>
      </w:pPr>
      <w:r>
        <w:rPr>
          <w:rFonts w:ascii="Arial" w:cs="Arial" w:eastAsia="Arial" w:hAnsi="Arial"/>
          <w:sz w:val="22"/>
          <w:szCs w:val="22"/>
        </w:rPr>
        <w:t xml:space="preserve"/>
      </w:r>
    </w:p>
    <w:p>
      <w:pPr>
        <w:spacing w:after="300" w:before="0" w:line="360" w:lineRule="auto"/>
        <w:jc w:val="center"/>
      </w:pPr>
      <w:r>
        <w:rPr>
          <w:rFonts w:ascii="Arial" w:cs="Arial" w:eastAsia="Arial" w:hAnsi="Arial"/>
          <w:b/>
          <w:bCs/>
          <w:sz w:val="26"/>
          <w:szCs w:val="26"/>
        </w:rPr>
        <w:t xml:space="preserve">LCHS4007 – Digital Skills and Research Methods</w:t>
      </w:r>
    </w:p>
    <w:p>
      <w:pPr>
        <w:spacing w:after="600" w:before="0" w:line="360" w:lineRule="auto"/>
        <w:jc w:val="center"/>
      </w:pPr>
      <w:r>
        <w:rPr>
          <w:rFonts w:ascii="Arial" w:cs="Arial" w:eastAsia="Arial" w:hAnsi="Arial"/>
          <w:b/>
          <w:bCs/>
          <w:sz w:val="28"/>
          <w:szCs w:val="28"/>
        </w:rPr>
        <w:t xml:space="preserve">Component 2 – Research Report</w:t>
      </w:r>
    </w:p>
    <w:p>
      <w:pPr>
        <w:spacing w:after="0" w:before="0" w:line="360" w:lineRule="auto"/>
      </w:pPr>
      <w:r>
        <w:rPr>
          <w:rFonts w:ascii="Arial" w:cs="Arial" w:eastAsia="Arial" w:hAnsi="Arial"/>
          <w:sz w:val="22"/>
          <w:szCs w:val="22"/>
        </w:rPr>
        <w:t xml:space="preserve"/>
      </w:r>
    </w:p>
    <w:p>
      <w:pPr>
        <w:spacing w:after="0" w:before="0" w:line="360" w:lineRule="auto"/>
      </w:pPr>
      <w:r>
        <w:rPr>
          <w:rFonts w:ascii="Arial" w:cs="Arial" w:eastAsia="Arial" w:hAnsi="Arial"/>
          <w:sz w:val="22"/>
          <w:szCs w:val="22"/>
        </w:rPr>
        <w:t xml:space="preserve"/>
      </w:r>
    </w:p>
    <w:p>
      <w:pPr>
        <w:spacing w:after="200" w:before="0" w:line="360" w:lineRule="auto"/>
        <w:jc w:val="center"/>
      </w:pPr>
      <w:r>
        <w:rPr>
          <w:rFonts w:ascii="Arial" w:cs="Arial" w:eastAsia="Arial" w:hAnsi="Arial"/>
          <w:b/>
          <w:bCs/>
          <w:sz w:val="24"/>
          <w:szCs w:val="24"/>
        </w:rPr>
        <w:t xml:space="preserve">Title: Staff Burnout in the NHS: A Research Report</w:t>
      </w:r>
    </w:p>
    <w:p>
      <w:pPr>
        <w:spacing w:after="0" w:before="0" w:line="360" w:lineRule="auto"/>
      </w:pPr>
      <w:r>
        <w:rPr>
          <w:rFonts w:ascii="Arial" w:cs="Arial" w:eastAsia="Arial" w:hAnsi="Arial"/>
          <w:sz w:val="22"/>
          <w:szCs w:val="22"/>
        </w:rPr>
        <w:t xml:space="preserve"/>
      </w:r>
    </w:p>
    <w:p>
      <w:pPr>
        <w:spacing w:after="0" w:before="0" w:line="360" w:lineRule="auto"/>
      </w:pPr>
      <w:r>
        <w:rPr>
          <w:rFonts w:ascii="Arial" w:cs="Arial" w:eastAsia="Arial" w:hAnsi="Arial"/>
          <w:sz w:val="22"/>
          <w:szCs w:val="22"/>
        </w:rPr>
        <w:t xml:space="preserve"/>
      </w:r>
    </w:p>
    <w:p>
      <w:pPr>
        <w:spacing w:after="0" w:before="0" w:line="360" w:lineRule="auto"/>
      </w:pPr>
      <w:r>
        <w:rPr>
          <w:rFonts w:ascii="Arial" w:cs="Arial" w:eastAsia="Arial" w:hAnsi="Arial"/>
          <w:sz w:val="22"/>
          <w:szCs w:val="22"/>
        </w:rPr>
        <w:t xml:space="preserve"/>
      </w:r>
    </w:p>
    <w:p>
      <w:pPr>
        <w:spacing w:after="160" w:before="0" w:line="360" w:lineRule="auto"/>
        <w:jc w:val="center"/>
      </w:pPr>
      <w:r>
        <w:rPr>
          <w:rFonts w:ascii="Arial" w:cs="Arial" w:eastAsia="Arial" w:hAnsi="Arial"/>
          <w:sz w:val="22"/>
          <w:szCs w:val="22"/>
        </w:rPr>
        <w:t xml:space="preserve">Student Name: Oladimeji Joshua Majolagbe</w:t>
      </w:r>
    </w:p>
    <w:p>
      <w:pPr>
        <w:spacing w:after="160" w:before="0" w:line="360" w:lineRule="auto"/>
        <w:jc w:val="center"/>
      </w:pPr>
      <w:r>
        <w:rPr>
          <w:rFonts w:ascii="Arial" w:cs="Arial" w:eastAsia="Arial" w:hAnsi="Arial"/>
          <w:sz w:val="22"/>
          <w:szCs w:val="22"/>
        </w:rPr>
        <w:t xml:space="preserve">Student ID Number: 2533086</w:t>
      </w:r>
    </w:p>
    <w:p>
      <w:pPr>
        <w:spacing w:after="160" w:before="0" w:line="360" w:lineRule="auto"/>
        <w:jc w:val="center"/>
      </w:pPr>
      <w:r>
        <w:rPr>
          <w:rFonts w:ascii="Arial" w:cs="Arial" w:eastAsia="Arial" w:hAnsi="Arial"/>
          <w:sz w:val="22"/>
          <w:szCs w:val="22"/>
        </w:rPr>
        <w:t xml:space="preserve">Lecturer: Kwame Assa-Agyei</w:t>
      </w:r>
    </w:p>
    <w:p>
      <w:pPr>
        <w:spacing w:after="160" w:before="0" w:line="360" w:lineRule="auto"/>
        <w:jc w:val="center"/>
      </w:pPr>
      <w:r>
        <w:rPr>
          <w:rFonts w:ascii="Arial" w:cs="Arial" w:eastAsia="Arial" w:hAnsi="Arial"/>
          <w:sz w:val="22"/>
          <w:szCs w:val="22"/>
        </w:rPr>
        <w:t xml:space="preserve">Submission Date: 21st April 2026</w:t>
      </w:r>
    </w:p>
    <w:p>
      <w:pPr>
        <w:sectPr>
          <w:pgSz w:w="11906" w:h="16838" w:orient="portrait"/>
          <w:pgMar w:top="1440" w:right="1440" w:bottom="1440" w:left="1440" w:header="708" w:footer="708" w:gutter="0"/>
          <w:pgNumType/>
          <w:docGrid w:linePitch="360"/>
        </w:sectPr>
      </w:pPr>
    </w:p>
    <w:p>
      <w:pPr>
        <w:spacing w:after="400" w:before="0" w:line="360" w:lineRule="auto"/>
        <w:jc w:val="center"/>
      </w:pPr>
      <w:r>
        <w:rPr>
          <w:rFonts w:ascii="Arial" w:cs="Arial" w:eastAsia="Arial" w:hAnsi="Arial"/>
          <w:b/>
          <w:bCs/>
          <w:sz w:val="28"/>
          <w:szCs w:val="28"/>
        </w:rPr>
        <w:t xml:space="preserve">Table of Contents</w:t>
      </w:r>
    </w:p>
    <w:p>
      <w:pPr>
        <w:tabs>
          <w:tab w:val="right" w:pos="9000"/>
        </w:tabs>
        <w:spacing w:after="160" w:before="0" w:line="360" w:lineRule="auto"/>
        <w:jc w:val="left"/>
      </w:pPr>
      <w:r>
        <w:rPr>
          <w:rFonts w:ascii="Arial" w:cs="Arial" w:eastAsia="Arial" w:hAnsi="Arial"/>
          <w:sz w:val="22"/>
          <w:szCs w:val="22"/>
        </w:rPr>
        <w:t xml:space="preserve">Introduction	3</w:t>
      </w:r>
    </w:p>
    <w:p>
      <w:pPr>
        <w:tabs>
          <w:tab w:val="right" w:pos="9000"/>
        </w:tabs>
        <w:spacing w:after="160" w:before="0" w:line="360" w:lineRule="auto"/>
        <w:jc w:val="left"/>
      </w:pPr>
      <w:r>
        <w:rPr>
          <w:rFonts w:ascii="Arial" w:cs="Arial" w:eastAsia="Arial" w:hAnsi="Arial"/>
          <w:sz w:val="22"/>
          <w:szCs w:val="22"/>
        </w:rPr>
        <w:t xml:space="preserve">Task 1: Selection of a Research Topic	3</w:t>
      </w:r>
    </w:p>
    <w:p>
      <w:pPr>
        <w:tabs>
          <w:tab w:val="right" w:pos="9000"/>
        </w:tabs>
        <w:spacing w:after="160" w:before="0" w:line="360" w:lineRule="auto"/>
        <w:jc w:val="left"/>
      </w:pPr>
      <w:r>
        <w:rPr>
          <w:rFonts w:ascii="Arial" w:cs="Arial" w:eastAsia="Arial" w:hAnsi="Arial"/>
          <w:sz w:val="22"/>
          <w:szCs w:val="22"/>
        </w:rPr>
        <w:t xml:space="preserve">Task 2: Evaluating Information Sources	4</w:t>
      </w:r>
    </w:p>
    <w:p>
      <w:pPr>
        <w:tabs>
          <w:tab w:val="right" w:pos="9000"/>
        </w:tabs>
        <w:spacing w:after="160" w:before="0" w:line="360" w:lineRule="auto"/>
        <w:jc w:val="left"/>
      </w:pPr>
      <w:r>
        <w:rPr>
          <w:rFonts w:ascii="Arial" w:cs="Arial" w:eastAsia="Arial" w:hAnsi="Arial"/>
          <w:sz w:val="22"/>
          <w:szCs w:val="22"/>
        </w:rPr>
        <w:t xml:space="preserve">Task 3: Research Methodologies	5</w:t>
      </w:r>
    </w:p>
    <w:p>
      <w:pPr>
        <w:tabs>
          <w:tab w:val="right" w:pos="9000"/>
        </w:tabs>
        <w:spacing w:after="160" w:before="0" w:line="360" w:lineRule="auto"/>
        <w:jc w:val="left"/>
      </w:pPr>
      <w:r>
        <w:rPr>
          <w:rFonts w:ascii="Arial" w:cs="Arial" w:eastAsia="Arial" w:hAnsi="Arial"/>
          <w:sz w:val="22"/>
          <w:szCs w:val="22"/>
        </w:rPr>
        <w:t xml:space="preserve">Task 4: Data Collection	6</w:t>
      </w:r>
    </w:p>
    <w:p>
      <w:pPr>
        <w:tabs>
          <w:tab w:val="right" w:pos="9000"/>
        </w:tabs>
        <w:spacing w:after="160" w:before="0" w:line="360" w:lineRule="auto"/>
        <w:jc w:val="left"/>
      </w:pPr>
      <w:r>
        <w:rPr>
          <w:rFonts w:ascii="Arial" w:cs="Arial" w:eastAsia="Arial" w:hAnsi="Arial"/>
          <w:sz w:val="22"/>
          <w:szCs w:val="22"/>
        </w:rPr>
        <w:t xml:space="preserve">Conclusion	7</w:t>
      </w:r>
    </w:p>
    <w:p>
      <w:pPr>
        <w:tabs>
          <w:tab w:val="right" w:pos="9000"/>
        </w:tabs>
        <w:spacing w:after="160" w:before="0" w:line="360" w:lineRule="auto"/>
        <w:jc w:val="left"/>
      </w:pPr>
      <w:r>
        <w:rPr>
          <w:rFonts w:ascii="Arial" w:cs="Arial" w:eastAsia="Arial" w:hAnsi="Arial"/>
          <w:sz w:val="22"/>
          <w:szCs w:val="22"/>
        </w:rPr>
        <w:t xml:space="preserve">Reference List	7</w:t>
      </w:r>
    </w:p>
    <w:p>
      <w:pPr>
        <w:sectPr>
          <w:pgSz w:w="11906" w:h="16838" w:orient="portrait"/>
          <w:pgMar w:top="1440" w:right="1440" w:bottom="1440" w:left="1440" w:header="708" w:footer="708" w:gutter="0"/>
          <w:pgNumType/>
          <w:docGrid w:linePitch="360"/>
        </w:sectPr>
      </w:pPr>
    </w:p>
    <w:p>
      <w:pPr>
        <w:spacing w:after="120" w:before="300" w:line="360" w:lineRule="auto"/>
      </w:pPr>
      <w:r>
        <w:rPr>
          <w:rFonts w:ascii="Arial" w:cs="Arial" w:eastAsia="Arial" w:hAnsi="Arial"/>
          <w:b/>
          <w:bCs/>
          <w:sz w:val="24"/>
          <w:szCs w:val="24"/>
          <w:u w:val="single"/>
        </w:rPr>
        <w:t xml:space="preserve">Introduction</w:t>
      </w:r>
    </w:p>
    <w:p>
      <w:pPr>
        <w:spacing w:after="160" w:before="0" w:line="360" w:lineRule="auto"/>
        <w:jc w:val="both"/>
      </w:pPr>
      <w:r>
        <w:rPr>
          <w:rFonts w:ascii="Arial" w:cs="Arial" w:eastAsia="Arial" w:hAnsi="Arial"/>
          <w:b w:val="false"/>
          <w:bCs w:val="false"/>
          <w:i w:val="false"/>
          <w:iCs w:val="false"/>
          <w:sz w:val="22"/>
          <w:szCs w:val="22"/>
        </w:rPr>
        <w:t xml:space="preserve">This report examines staff burnout in the National Health Service (NHS) as a significant and pressing current issue within the UK health and social care sector. Staff burnout refers to a state of chronic workplace stress that has not been successfully managed, leading to exhaustion, detachment, and reduced professional efficacy (World Health Organization, 2019). The NHS workforce, comprising over 1.4 million staff in England alone, is central to the delivery of health and care services across the country. This report will identify the scale of the problem, evaluate three credible research sources, explore appropriate research methodologies, and discuss suitable data collection methods for investigating this topic further.</w:t>
      </w:r>
    </w:p>
    <w:p>
      <w:pPr>
        <w:spacing w:after="0" w:before="0" w:line="360" w:lineRule="auto"/>
      </w:pPr>
      <w:r>
        <w:rPr>
          <w:rFonts w:ascii="Arial" w:cs="Arial" w:eastAsia="Arial" w:hAnsi="Arial"/>
          <w:sz w:val="22"/>
          <w:szCs w:val="22"/>
        </w:rPr>
        <w:t xml:space="preserve"/>
      </w:r>
    </w:p>
    <w:p>
      <w:pPr>
        <w:spacing w:after="120" w:before="300" w:line="360" w:lineRule="auto"/>
      </w:pPr>
      <w:r>
        <w:rPr>
          <w:rFonts w:ascii="Arial" w:cs="Arial" w:eastAsia="Arial" w:hAnsi="Arial"/>
          <w:b/>
          <w:bCs/>
          <w:sz w:val="24"/>
          <w:szCs w:val="24"/>
          <w:u w:val="single"/>
        </w:rPr>
        <w:t xml:space="preserve">Task 1 of 4 – Selection of a Research Topic</w:t>
      </w:r>
    </w:p>
    <w:p>
      <w:pPr>
        <w:spacing w:after="160" w:before="0" w:line="360" w:lineRule="auto"/>
        <w:jc w:val="both"/>
      </w:pPr>
      <w:r>
        <w:rPr>
          <w:rFonts w:ascii="Arial" w:cs="Arial" w:eastAsia="Arial" w:hAnsi="Arial"/>
          <w:b w:val="false"/>
          <w:bCs w:val="false"/>
          <w:i w:val="false"/>
          <w:iCs w:val="false"/>
          <w:sz w:val="22"/>
          <w:szCs w:val="22"/>
        </w:rPr>
        <w:t xml:space="preserve">Staff burnout among NHS workers has emerged as one of the most critical challenges facing the UK health and social care sector in recent years. The COVID-19 pandemic significantly exacerbated pre-existing pressures on healthcare staff, resulting in widespread reports of emotional exhaustion, reduced motivation, and increased rates of sickness absence (NHS Staff Survey, 2023). The World Health Organization (2019) formally classified burnout as an occupational phenomenon, describing it as a syndrome resulting from chronic workplace stress characterised by three dimensions: feelings of energy depletion or exhaustion, increased mental distance from one's job, and reduced professional efficacy.</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NHS staff across all roles and disciplines are affected, including nurses, doctors, allied health professionals, and administrative workers. However, frontline clinical staff — particularly nurses and midwives — are disproportionately affected (The King's Fund, 2022). Burnout does not only affect individual workers; it has profound implications for care organisations, patients, and the wider health system. High levels of burnout are associated with increased staff turnover, greater sickness absence, reduced quality of patient care, and higher risk of medical errors (Maslach and Leiter, 2016). For service users, this translates into longer waiting times, reduced continuity of care, and lower patient satisfaction.</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The issue matters enormously for the sustainability of the NHS. According to NHS England (2023), the health service currently faces a significant and growing workforce gap, and burnout is a key driver of experienced staff choosing to leave the profession entirely. Without addressing this issue, the NHS risks an accelerating cycle of understaffing, increased pressure, and further burnout.</w:t>
      </w:r>
    </w:p>
    <w:p>
      <w:pPr>
        <w:spacing w:after="0" w:before="0" w:line="360" w:lineRule="auto"/>
      </w:pPr>
      <w:r>
        <w:rPr>
          <w:rFonts w:ascii="Arial" w:cs="Arial" w:eastAsia="Arial" w:hAnsi="Arial"/>
          <w:sz w:val="22"/>
          <w:szCs w:val="22"/>
        </w:rPr>
        <w:t xml:space="preserve"/>
      </w:r>
    </w:p>
    <w:p>
      <w:pPr>
        <w:spacing w:after="80" w:before="200" w:line="360" w:lineRule="auto"/>
      </w:pPr>
      <w:r>
        <w:rPr>
          <w:rFonts w:ascii="Arial" w:cs="Arial" w:eastAsia="Arial" w:hAnsi="Arial"/>
          <w:b/>
          <w:bCs/>
          <w:sz w:val="22"/>
          <w:szCs w:val="22"/>
        </w:rPr>
        <w:t xml:space="preserve">Personal Reflection</w:t>
      </w:r>
    </w:p>
    <w:p>
      <w:pPr>
        <w:spacing w:after="160" w:before="0" w:line="360" w:lineRule="auto"/>
        <w:jc w:val="both"/>
      </w:pPr>
      <w:r>
        <w:rPr>
          <w:rFonts w:ascii="Arial" w:cs="Arial" w:eastAsia="Arial" w:hAnsi="Arial"/>
          <w:b w:val="false"/>
          <w:bCs w:val="false"/>
          <w:i w:val="false"/>
          <w:iCs w:val="false"/>
          <w:sz w:val="22"/>
          <w:szCs w:val="22"/>
        </w:rPr>
        <w:t xml:space="preserve">I chose this topic because, as a student who is studying to enter the health and social care sector, I believe it is essential to understand the challenges facing the workforce I aspire to join. I have witnessed the dedication that healthcare workers demonstrate, and it is important to me to understand the factors that can affect their wellbeing. Researching staff burnout will not only inform my understanding of the workplace environment I will soon enter, but will also equip me to support colleagues and manage my own professional wellbeing effectively in what can be a highly demanding field.</w:t>
      </w:r>
    </w:p>
    <w:p>
      <w:pPr>
        <w:spacing w:after="0" w:before="0" w:line="360" w:lineRule="auto"/>
      </w:pPr>
      <w:r>
        <w:rPr>
          <w:rFonts w:ascii="Arial" w:cs="Arial" w:eastAsia="Arial" w:hAnsi="Arial"/>
          <w:sz w:val="22"/>
          <w:szCs w:val="22"/>
        </w:rPr>
        <w:t xml:space="preserve"/>
      </w:r>
    </w:p>
    <w:p>
      <w:pPr>
        <w:spacing w:after="120" w:before="300" w:line="360" w:lineRule="auto"/>
      </w:pPr>
      <w:r>
        <w:rPr>
          <w:rFonts w:ascii="Arial" w:cs="Arial" w:eastAsia="Arial" w:hAnsi="Arial"/>
          <w:b/>
          <w:bCs/>
          <w:sz w:val="24"/>
          <w:szCs w:val="24"/>
          <w:u w:val="single"/>
        </w:rPr>
        <w:t xml:space="preserve">Task 2 of 4 – Evaluating Information Sources</w:t>
      </w:r>
    </w:p>
    <w:p>
      <w:pPr>
        <w:spacing w:after="160" w:before="0" w:line="360" w:lineRule="auto"/>
        <w:jc w:val="both"/>
      </w:pPr>
      <w:r>
        <w:rPr>
          <w:rFonts w:ascii="Arial" w:cs="Arial" w:eastAsia="Arial" w:hAnsi="Arial"/>
          <w:b w:val="false"/>
          <w:bCs w:val="false"/>
          <w:i w:val="false"/>
          <w:iCs w:val="false"/>
          <w:sz w:val="22"/>
          <w:szCs w:val="22"/>
        </w:rPr>
        <w:t xml:space="preserve">To explore the issue of staff burnout in the NHS, three credible sources have been identified and evaluated below.</w:t>
      </w:r>
    </w:p>
    <w:p>
      <w:pPr>
        <w:spacing w:after="0" w:before="0" w:line="360" w:lineRule="auto"/>
      </w:pPr>
      <w:r>
        <w:rPr>
          <w:rFonts w:ascii="Arial" w:cs="Arial" w:eastAsia="Arial" w:hAnsi="Arial"/>
          <w:sz w:val="22"/>
          <w:szCs w:val="22"/>
        </w:rPr>
        <w:t xml:space="preserve"/>
      </w:r>
    </w:p>
    <w:p>
      <w:pPr>
        <w:spacing w:after="80" w:before="200" w:line="360" w:lineRule="auto"/>
      </w:pPr>
      <w:r>
        <w:rPr>
          <w:rFonts w:ascii="Arial" w:cs="Arial" w:eastAsia="Arial" w:hAnsi="Arial"/>
          <w:b/>
          <w:bCs/>
          <w:sz w:val="22"/>
          <w:szCs w:val="22"/>
        </w:rPr>
        <w:t xml:space="preserve">Source 1: NHS Staff Survey (2023) National Results</w:t>
      </w:r>
    </w:p>
    <w:p>
      <w:pPr>
        <w:spacing w:after="160" w:before="0" w:line="360" w:lineRule="auto"/>
        <w:jc w:val="both"/>
      </w:pPr>
      <w:r>
        <w:rPr>
          <w:rFonts w:ascii="Arial" w:cs="Arial" w:eastAsia="Arial" w:hAnsi="Arial"/>
          <w:b w:val="false"/>
          <w:bCs w:val="false"/>
          <w:i w:val="false"/>
          <w:iCs w:val="false"/>
          <w:sz w:val="22"/>
          <w:szCs w:val="22"/>
        </w:rPr>
        <w:t xml:space="preserve">The NHS Staff Survey is conducted annually and gathers data from NHS employees across England on a wide range of workplace experience indicators, including staff wellbeing, engagement, morale, and stress. The 2023 results indicated that 32.3% of NHS staff reported feeling unwell due to work-related stress in the previous twelve months, and over one quarter of respondents had attended work despite feeling too unwell to perform their duties effectively. This source is highly credible because it is produced directly by NHS England and draws on responses from over 650,000 members of staff, making it one of the largest workforce surveys in the world. It is directly relevant to this research topic because it provides large-scale quantitative data on the prevalence and impact of burnout across the NHS workforce.</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However, a limitation of this source is that it relies on self-reported data, meaning that responses may be subject to social desirability bias, where staff underreport their difficulties for fear of professional repercussions. Additionally, while the survey effectively measures the scale of the problem, it does not explore the deeper underlying causes of stress in sufficient depth. This represents a notable gap in the research, as understanding why burnout occurs is equally important to understanding how widespread it is.</w:t>
      </w:r>
    </w:p>
    <w:p>
      <w:pPr>
        <w:spacing w:after="0" w:before="0" w:line="360" w:lineRule="auto"/>
      </w:pPr>
      <w:r>
        <w:rPr>
          <w:rFonts w:ascii="Arial" w:cs="Arial" w:eastAsia="Arial" w:hAnsi="Arial"/>
          <w:sz w:val="22"/>
          <w:szCs w:val="22"/>
        </w:rPr>
        <w:t xml:space="preserve"/>
      </w:r>
    </w:p>
    <w:p>
      <w:pPr>
        <w:spacing w:after="80" w:before="200" w:line="360" w:lineRule="auto"/>
      </w:pPr>
      <w:r>
        <w:rPr>
          <w:rFonts w:ascii="Arial" w:cs="Arial" w:eastAsia="Arial" w:hAnsi="Arial"/>
          <w:b/>
          <w:bCs/>
          <w:sz w:val="22"/>
          <w:szCs w:val="22"/>
        </w:rPr>
        <w:t xml:space="preserve">Source 2: The King's Fund (2022) NHS Workforce: Our Position</w:t>
      </w:r>
    </w:p>
    <w:p>
      <w:pPr>
        <w:spacing w:after="160" w:before="0" w:line="360" w:lineRule="auto"/>
        <w:jc w:val="both"/>
      </w:pPr>
      <w:r>
        <w:rPr>
          <w:rFonts w:ascii="Arial" w:cs="Arial" w:eastAsia="Arial" w:hAnsi="Arial"/>
          <w:b w:val="false"/>
          <w:bCs w:val="false"/>
          <w:i w:val="false"/>
          <w:iCs w:val="false"/>
          <w:sz w:val="22"/>
          <w:szCs w:val="22"/>
        </w:rPr>
        <w:t xml:space="preserve">The King's Fund is an independent health policy think-tank based in the UK. Their position paper on the NHS workforce examines the structural pressures facing healthcare staff, including workforce shortages and the cascading impact on staff health and wellbeing. The report highlights that workforce shortages create a dangerous cycle: as staff leave due to burnout, remaining staff face greater workloads, which in turn drives further burnout and attrition. This source is particularly valuable because it provides an analytical, policy-oriented perspective on the issue, moving beyond simply documenting the problem to examining its structural causes and systemic consequences. It draws on a synthesis of multiple data sources, which enhances its reliability and comprehensiveness.</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A gap in this source is that it focuses predominantly on system-level factors and workforce statistics, and does not extensively explore the individual psychological experience of burnout. This limits its usefulness for understanding the personal impact on workers' mental health and wellbeing, which is an important dimension of the issue that requires exploration through additional sources.</w:t>
      </w:r>
    </w:p>
    <w:p>
      <w:pPr>
        <w:spacing w:after="0" w:before="0" w:line="360" w:lineRule="auto"/>
      </w:pPr>
      <w:r>
        <w:rPr>
          <w:rFonts w:ascii="Arial" w:cs="Arial" w:eastAsia="Arial" w:hAnsi="Arial"/>
          <w:sz w:val="22"/>
          <w:szCs w:val="22"/>
        </w:rPr>
        <w:t xml:space="preserve"/>
      </w:r>
    </w:p>
    <w:p>
      <w:pPr>
        <w:spacing w:after="80" w:before="200" w:line="360" w:lineRule="auto"/>
      </w:pPr>
      <w:r>
        <w:rPr>
          <w:rFonts w:ascii="Arial" w:cs="Arial" w:eastAsia="Arial" w:hAnsi="Arial"/>
          <w:b/>
          <w:bCs/>
          <w:sz w:val="22"/>
          <w:szCs w:val="22"/>
        </w:rPr>
        <w:t xml:space="preserve">Source 3: Maslach, C. and Leiter, M.P. (2016) 'Understanding the Burnout Experience'</w:t>
      </w:r>
    </w:p>
    <w:p>
      <w:pPr>
        <w:spacing w:after="160" w:before="0" w:line="360" w:lineRule="auto"/>
        <w:jc w:val="both"/>
      </w:pPr>
      <w:r>
        <w:rPr>
          <w:rFonts w:ascii="Arial" w:cs="Arial" w:eastAsia="Arial" w:hAnsi="Arial"/>
          <w:b w:val="false"/>
          <w:bCs w:val="false"/>
          <w:i w:val="false"/>
          <w:iCs w:val="false"/>
          <w:sz w:val="22"/>
          <w:szCs w:val="22"/>
        </w:rPr>
        <w:t xml:space="preserve">This peer-reviewed academic article, published in the journal World Psychiatry, is a foundational text in burnout research. Maslach and Leiter explore the three core dimensions of burnout — exhaustion, cynicism, and reduced professional efficacy — and review a substantial body of evidence on its causes and consequences across healthcare settings internationally. This source is particularly credible because it is published in a high-impact, peer-reviewed journal and is authored by Christina Maslach, who is widely regarded as a leading international expert on occupational burnout. The source is relevant to this research because it provides the theoretical framework necessary for understanding burnout as a psychological phenomenon, grounding any proposed research in established academic thinking.</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A gap identified in this source is that it draws primarily on international evidence and does not specifically address the unique operational context of the NHS. This means that additional NHS-specific sources are required to contextualise the theoretical findings within the UK setting. Furthermore, as the article was published in 2016, some of its findings may not fully reflect developments since the COVID-19 pandemic, which fundamentally altered the scale and nature of burnout in healthcare.</w:t>
      </w:r>
    </w:p>
    <w:p>
      <w:pPr>
        <w:spacing w:after="0" w:before="0" w:line="360" w:lineRule="auto"/>
      </w:pPr>
      <w:r>
        <w:rPr>
          <w:rFonts w:ascii="Arial" w:cs="Arial" w:eastAsia="Arial" w:hAnsi="Arial"/>
          <w:sz w:val="22"/>
          <w:szCs w:val="22"/>
        </w:rPr>
        <w:t xml:space="preserve"/>
      </w:r>
    </w:p>
    <w:p>
      <w:pPr>
        <w:spacing w:after="120" w:before="300" w:line="360" w:lineRule="auto"/>
      </w:pPr>
      <w:r>
        <w:rPr>
          <w:rFonts w:ascii="Arial" w:cs="Arial" w:eastAsia="Arial" w:hAnsi="Arial"/>
          <w:b/>
          <w:bCs/>
          <w:sz w:val="24"/>
          <w:szCs w:val="24"/>
          <w:u w:val="single"/>
        </w:rPr>
        <w:t xml:space="preserve">Task 3 of 4 – Research Methodologies</w:t>
      </w:r>
    </w:p>
    <w:p>
      <w:pPr>
        <w:spacing w:after="160" w:before="0" w:line="360" w:lineRule="auto"/>
        <w:jc w:val="both"/>
      </w:pPr>
      <w:r>
        <w:rPr>
          <w:rFonts w:ascii="Arial" w:cs="Arial" w:eastAsia="Arial" w:hAnsi="Arial"/>
          <w:b w:val="false"/>
          <w:bCs w:val="false"/>
          <w:i w:val="false"/>
          <w:iCs w:val="false"/>
          <w:sz w:val="22"/>
          <w:szCs w:val="22"/>
        </w:rPr>
        <w:t xml:space="preserve">Research methodology refers to the systematic strategy a researcher adopts to collect, analyse, and interpret data in order to answer a research question. There are three primary types of research methodology: quantitative, qualitative, and mixed-methods.</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Quantitative research involves the collection and analysis of numerical data to identify patterns, measure variables, and test hypotheses. For example, a quantitative study on NHS burnout might deploy a large-scale survey measuring stress levels, hours worked, and rates of absenteeism across different departments, with results analysed using statistical methods. Quantitative research is particularly useful for establishing the scale and prevalence of a problem and for enabling comparisons across groups.</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Qualitative research, by contrast, focuses on gathering non-numerical data such as personal opinions, lived experiences, and subjective perspectives. Common methods include in-depth interviews, focus groups, and observations. A qualitative study on burnout might involve semi-structured interviews with NHS nurses to explore how burnout affects their daily working lives, relationships, and professional identity. Qualitative methods are especially valuable for understanding the meaning behind experiences and for exploring complex human phenomena that cannot be easily quantified.</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Mixed-methods research combines both quantitative and qualitative approaches to provide a more comprehensive understanding of a research problem. For example, a mixed-methods study might first survey a large sample of NHS workers to measure burnout rates across the organisation and then conduct follow-up interviews to explore the reasons behind the findings in greater depth.</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For this research, a qualitative methodology would be the most appropriate choice. The primary aim of the proposed study is to understand the lived experience of NHS staff and explore the personal, emotional, and professional impact of burnout. This requires rich, descriptive data that reflects the complexity of individual experience, which quantitative methods alone cannot adequately capture. Semi-structured interviews would allow participants to share their experiences in their own words while also enabling the researcher to probe for deeper understanding, making this methodology particularly well suited to the research topic.</w:t>
      </w:r>
    </w:p>
    <w:p>
      <w:pPr>
        <w:spacing w:after="0" w:before="0" w:line="360" w:lineRule="auto"/>
      </w:pPr>
      <w:r>
        <w:rPr>
          <w:rFonts w:ascii="Arial" w:cs="Arial" w:eastAsia="Arial" w:hAnsi="Arial"/>
          <w:sz w:val="22"/>
          <w:szCs w:val="22"/>
        </w:rPr>
        <w:t xml:space="preserve"/>
      </w:r>
    </w:p>
    <w:p>
      <w:pPr>
        <w:spacing w:after="120" w:before="300" w:line="360" w:lineRule="auto"/>
      </w:pPr>
      <w:r>
        <w:rPr>
          <w:rFonts w:ascii="Arial" w:cs="Arial" w:eastAsia="Arial" w:hAnsi="Arial"/>
          <w:b/>
          <w:bCs/>
          <w:sz w:val="24"/>
          <w:szCs w:val="24"/>
          <w:u w:val="single"/>
        </w:rPr>
        <w:t xml:space="preserve">Task 4 of 4 – Data Collection</w:t>
      </w:r>
    </w:p>
    <w:p>
      <w:pPr>
        <w:spacing w:after="160" w:before="0" w:line="360" w:lineRule="auto"/>
        <w:jc w:val="both"/>
      </w:pPr>
      <w:r>
        <w:rPr>
          <w:rFonts w:ascii="Arial" w:cs="Arial" w:eastAsia="Arial" w:hAnsi="Arial"/>
          <w:b w:val="false"/>
          <w:bCs w:val="false"/>
          <w:i w:val="false"/>
          <w:iCs w:val="false"/>
          <w:sz w:val="22"/>
          <w:szCs w:val="22"/>
        </w:rPr>
        <w:t xml:space="preserve">Data collection refers to the process by which a researcher gathers information in order to answer their research question. There are two fundamental categories: primary data collection and secondary data collection.</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Primary data is original information collected directly by the researcher for the specific purpose of the study. Examples include surveys, interviews, observations, and focus groups. Secondary data, in contrast, refers to information that has already been collected by others for a different purpose, which the researcher then uses in their own study. Examples include published government statistics, academic journal articles, NHS reports, and national survey datasets such as the NHS Staff Survey (2023).</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For this research, primary data collection — specifically through semi-structured interviews — would be the most appropriate method. This is justified by the qualitative methodology chosen in Task 3. Semi-structured interviews would be conducted with a purposive sample of NHS staff across different clinical roles to explore their personal experiences of burnout. This approach allows the researcher to design questions specifically tailored to the research topic and to respond flexibly to participants' answers with targeted follow-up questions, generating in-depth and contextually relevant data that secondary sources alone could not provide.</w:t>
      </w:r>
    </w:p>
    <w:p>
      <w:pPr>
        <w:spacing w:after="0" w:before="0" w:line="360" w:lineRule="auto"/>
      </w:pPr>
      <w:r>
        <w:rPr>
          <w:rFonts w:ascii="Arial" w:cs="Arial" w:eastAsia="Arial" w:hAnsi="Arial"/>
          <w:sz w:val="22"/>
          <w:szCs w:val="22"/>
        </w:rPr>
        <w:t xml:space="preserve"/>
      </w:r>
    </w:p>
    <w:p>
      <w:pPr>
        <w:spacing w:after="160" w:before="0" w:line="360" w:lineRule="auto"/>
        <w:jc w:val="both"/>
      </w:pPr>
      <w:r>
        <w:rPr>
          <w:rFonts w:ascii="Arial" w:cs="Arial" w:eastAsia="Arial" w:hAnsi="Arial"/>
          <w:b w:val="false"/>
          <w:bCs w:val="false"/>
          <w:i w:val="false"/>
          <w:iCs w:val="false"/>
          <w:sz w:val="22"/>
          <w:szCs w:val="22"/>
        </w:rPr>
        <w:t xml:space="preserve">The advantages of this approach include the ability to gather rich, detailed, and highly relevant data directly from those most affected by the issue. Interviews also allow the development of rapport with participants, which can encourage honest and candid responses on what can be a sensitive topic. However, there are notable challenges associated with this method. Interviews are time-consuming to conduct, transcribe, and analyse. There is also a risk of interviewer bias, whereby the researcher's presence or phrasing of questions inadvertently influences participants' responses. Furthermore, recruiting NHS staff for interviews may prove difficult given the demanding nature of their working environments and the significant time pressures they face, which is itself a reflection of the very issue under investigation.</w:t>
      </w:r>
    </w:p>
    <w:p>
      <w:pPr>
        <w:spacing w:after="0" w:before="0" w:line="360" w:lineRule="auto"/>
      </w:pPr>
      <w:r>
        <w:rPr>
          <w:rFonts w:ascii="Arial" w:cs="Arial" w:eastAsia="Arial" w:hAnsi="Arial"/>
          <w:sz w:val="22"/>
          <w:szCs w:val="22"/>
        </w:rPr>
        <w:t xml:space="preserve"/>
      </w:r>
    </w:p>
    <w:p>
      <w:pPr>
        <w:spacing w:after="120" w:before="300" w:line="360" w:lineRule="auto"/>
      </w:pPr>
      <w:r>
        <w:rPr>
          <w:rFonts w:ascii="Arial" w:cs="Arial" w:eastAsia="Arial" w:hAnsi="Arial"/>
          <w:b/>
          <w:bCs/>
          <w:sz w:val="24"/>
          <w:szCs w:val="24"/>
          <w:u w:val="single"/>
        </w:rPr>
        <w:t xml:space="preserve">Conclusion</w:t>
      </w:r>
    </w:p>
    <w:p>
      <w:pPr>
        <w:spacing w:after="160" w:before="0" w:line="360" w:lineRule="auto"/>
        <w:jc w:val="both"/>
      </w:pPr>
      <w:r>
        <w:rPr>
          <w:rFonts w:ascii="Arial" w:cs="Arial" w:eastAsia="Arial" w:hAnsi="Arial"/>
          <w:b w:val="false"/>
          <w:bCs w:val="false"/>
          <w:i w:val="false"/>
          <w:iCs w:val="false"/>
          <w:sz w:val="22"/>
          <w:szCs w:val="22"/>
        </w:rPr>
        <w:t xml:space="preserve">This report has examined staff burnout in the NHS as a critical and growing issue within the UK health and social care sector. The evidence demonstrates that burnout affects a significant proportion of NHS workers and carries serious consequences for both individual staff wellbeing and the quality of patient care delivered. Three credible sources were evaluated, highlighting the scale of the problem and identifying gaps in existing research, particularly around the lived individual experience of burnout. A qualitative methodology using semi-structured interviews was identified as the most appropriate research approach, with primary data collection offering the richest and most contextually meaningful insights. Addressing staff burnout is not only essential for the wellbeing of NHS workers but is fundamental to the long-term sustainability of health and care services in the United Kingdom.</w:t>
      </w:r>
    </w:p>
    <w:p>
      <w:pPr>
        <w:spacing w:after="0" w:before="0" w:line="360" w:lineRule="auto"/>
      </w:pPr>
      <w:r>
        <w:rPr>
          <w:rFonts w:ascii="Arial" w:cs="Arial" w:eastAsia="Arial" w:hAnsi="Arial"/>
          <w:sz w:val="22"/>
          <w:szCs w:val="22"/>
        </w:rPr>
        <w:t xml:space="preserve"/>
      </w:r>
    </w:p>
    <w:p>
      <w:pPr>
        <w:spacing w:after="120" w:before="300" w:line="360" w:lineRule="auto"/>
      </w:pPr>
      <w:r>
        <w:rPr>
          <w:rFonts w:ascii="Arial" w:cs="Arial" w:eastAsia="Arial" w:hAnsi="Arial"/>
          <w:b/>
          <w:bCs/>
          <w:sz w:val="24"/>
          <w:szCs w:val="24"/>
          <w:u w:val="single"/>
        </w:rPr>
        <w:t xml:space="preserve">Reference List</w:t>
      </w:r>
    </w:p>
    <w:p>
      <w:pPr>
        <w:spacing w:after="240" w:before="0" w:line="360" w:lineRule="auto"/>
        <w:jc w:val="both"/>
      </w:pPr>
      <w:r>
        <w:rPr>
          <w:rFonts w:ascii="Arial" w:cs="Arial" w:eastAsia="Arial" w:hAnsi="Arial"/>
          <w:b w:val="false"/>
          <w:bCs w:val="false"/>
          <w:i w:val="false"/>
          <w:iCs w:val="false"/>
          <w:sz w:val="22"/>
          <w:szCs w:val="22"/>
        </w:rPr>
        <w:t xml:space="preserve">Maslach, C. and Leiter, M.P. (2016) 'Understanding the burnout experience: recent research and its implications for psychiatry', World Psychiatry, 15(2), pp. 103–111.</w:t>
      </w:r>
    </w:p>
    <w:p>
      <w:pPr>
        <w:spacing w:after="240" w:before="0" w:line="360" w:lineRule="auto"/>
        <w:jc w:val="both"/>
      </w:pPr>
      <w:r>
        <w:rPr>
          <w:rFonts w:ascii="Arial" w:cs="Arial" w:eastAsia="Arial" w:hAnsi="Arial"/>
          <w:b w:val="false"/>
          <w:bCs w:val="false"/>
          <w:i w:val="false"/>
          <w:iCs w:val="false"/>
          <w:sz w:val="22"/>
          <w:szCs w:val="22"/>
        </w:rPr>
        <w:t xml:space="preserve">NHS England (2023) NHS Long Term Workforce Plan. Available at: https://www.england.nhs.uk/publication/nhs-long-term-workforce-plan/ (Accessed: 21 April 2026).</w:t>
      </w:r>
    </w:p>
    <w:p>
      <w:pPr>
        <w:spacing w:after="240" w:before="0" w:line="360" w:lineRule="auto"/>
        <w:jc w:val="both"/>
      </w:pPr>
      <w:r>
        <w:rPr>
          <w:rFonts w:ascii="Arial" w:cs="Arial" w:eastAsia="Arial" w:hAnsi="Arial"/>
          <w:b w:val="false"/>
          <w:bCs w:val="false"/>
          <w:i w:val="false"/>
          <w:iCs w:val="false"/>
          <w:sz w:val="22"/>
          <w:szCs w:val="22"/>
        </w:rPr>
        <w:t xml:space="preserve">NHS Staff Survey (2023) NHS Staff Survey 2023 National Results. Available at: https://www.nhsstaffsurveys.com/results/national-results/ (Accessed: 21 April 2026).</w:t>
      </w:r>
    </w:p>
    <w:p>
      <w:pPr>
        <w:spacing w:after="240" w:before="0" w:line="360" w:lineRule="auto"/>
        <w:jc w:val="both"/>
      </w:pPr>
      <w:r>
        <w:rPr>
          <w:rFonts w:ascii="Arial" w:cs="Arial" w:eastAsia="Arial" w:hAnsi="Arial"/>
          <w:b w:val="false"/>
          <w:bCs w:val="false"/>
          <w:i w:val="false"/>
          <w:iCs w:val="false"/>
          <w:sz w:val="22"/>
          <w:szCs w:val="22"/>
        </w:rPr>
        <w:t xml:space="preserve">Nuffield Trust (2023) The NHS workforce in numbers. Available at: https://www.nuffieldtrust.org.uk/resource/the-nhs-workforce-in-numbers (Accessed: 21 April 2026).</w:t>
      </w:r>
    </w:p>
    <w:p>
      <w:pPr>
        <w:spacing w:after="240" w:before="0" w:line="360" w:lineRule="auto"/>
        <w:jc w:val="both"/>
      </w:pPr>
      <w:r>
        <w:rPr>
          <w:rFonts w:ascii="Arial" w:cs="Arial" w:eastAsia="Arial" w:hAnsi="Arial"/>
          <w:b w:val="false"/>
          <w:bCs w:val="false"/>
          <w:i w:val="false"/>
          <w:iCs w:val="false"/>
          <w:sz w:val="22"/>
          <w:szCs w:val="22"/>
        </w:rPr>
        <w:t xml:space="preserve">The King's Fund (2022) NHS workforce: our position. Available at: https://www.kingsfund.org.uk/projects/positions/nhs-workforce (Accessed: 21 April 2026).</w:t>
      </w:r>
    </w:p>
    <w:p>
      <w:pPr>
        <w:spacing w:after="240" w:before="0" w:line="360" w:lineRule="auto"/>
        <w:jc w:val="both"/>
      </w:pPr>
      <w:r>
        <w:rPr>
          <w:rFonts w:ascii="Arial" w:cs="Arial" w:eastAsia="Arial" w:hAnsi="Arial"/>
          <w:b w:val="false"/>
          <w:bCs w:val="false"/>
          <w:i w:val="false"/>
          <w:iCs w:val="false"/>
          <w:sz w:val="22"/>
          <w:szCs w:val="22"/>
        </w:rPr>
        <w:t xml:space="preserve">World Health Organization (2019) Burn-out an "occupational phenomenon": International Classification of Diseases. Available at: https://www.who.int/news/item/28-05-2019-burn-out-an-occupational-phenomenon-international-classification-of-diseases (Accessed: 21 April 2026).</w:t>
      </w:r>
    </w:p>
    <w:sectPr>
      <w:footerReference w:type="default" r:id="rId7"/>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Arial" w:cs="Arial" w:eastAsia="Arial" w:hAnsi="Arial"/>
        <w:sz w:val="20"/>
        <w:szCs w:val="20"/>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oter" Target="footer1.xml"/><Relationship Id="rId8"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2026-04-21T09:12:17.693Z</dcterms:created>
  <dcterms:modified xsi:type="dcterms:W3CDTF">2026-04-21T09:12:17.695Z</dcterms:modified>
</cp:coreProperties>
</file>

<file path=docProps/custom.xml><?xml version="1.0" encoding="utf-8"?>
<Properties xmlns="http://schemas.openxmlformats.org/officeDocument/2006/custom-properties" xmlns:vt="http://schemas.openxmlformats.org/officeDocument/2006/docPropsVTypes"/>
</file>