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87B09" w14:textId="77777777" w:rsidR="00513BF5" w:rsidRDefault="00513BF5" w:rsidP="00AB6114">
      <w:pPr>
        <w:spacing w:after="0" w:line="360" w:lineRule="auto"/>
        <w:rPr>
          <w:rFonts w:ascii="Arial" w:hAnsi="Arial" w:cs="Arial"/>
          <w:b/>
          <w:sz w:val="22"/>
          <w:szCs w:val="22"/>
        </w:rPr>
      </w:pPr>
    </w:p>
    <w:p w14:paraId="7594BE7D" w14:textId="77777777" w:rsidR="00513BF5" w:rsidRDefault="00513BF5" w:rsidP="00AB6114">
      <w:pPr>
        <w:spacing w:after="0" w:line="360" w:lineRule="auto"/>
        <w:rPr>
          <w:rFonts w:ascii="Arial" w:hAnsi="Arial" w:cs="Arial"/>
          <w:b/>
          <w:sz w:val="22"/>
          <w:szCs w:val="22"/>
        </w:rPr>
      </w:pPr>
    </w:p>
    <w:p w14:paraId="0CC1F523" w14:textId="77777777" w:rsidR="00513BF5" w:rsidRDefault="00513BF5" w:rsidP="00AB6114">
      <w:pPr>
        <w:spacing w:after="0" w:line="360" w:lineRule="auto"/>
        <w:rPr>
          <w:rFonts w:ascii="Arial" w:hAnsi="Arial" w:cs="Arial"/>
          <w:b/>
          <w:sz w:val="22"/>
          <w:szCs w:val="22"/>
        </w:rPr>
      </w:pPr>
    </w:p>
    <w:p w14:paraId="57F896E3" w14:textId="07E5F6B7" w:rsidR="0073075E" w:rsidRPr="00AB6114" w:rsidRDefault="00A62715" w:rsidP="00AB6114">
      <w:pPr>
        <w:spacing w:after="0" w:line="360" w:lineRule="auto"/>
        <w:rPr>
          <w:rFonts w:ascii="Arial" w:hAnsi="Arial" w:cs="Arial"/>
          <w:bCs/>
          <w:sz w:val="22"/>
          <w:szCs w:val="22"/>
        </w:rPr>
      </w:pPr>
      <w:r w:rsidRPr="00AB6114">
        <w:rPr>
          <w:rFonts w:ascii="Arial" w:hAnsi="Arial" w:cs="Arial"/>
          <w:b/>
          <w:sz w:val="22"/>
          <w:szCs w:val="22"/>
        </w:rPr>
        <w:t>Module:</w:t>
      </w:r>
      <w:r w:rsidR="00C939E5" w:rsidRPr="00AB6114">
        <w:rPr>
          <w:rFonts w:ascii="Arial" w:hAnsi="Arial" w:cs="Arial"/>
          <w:b/>
          <w:sz w:val="22"/>
          <w:szCs w:val="22"/>
        </w:rPr>
        <w:t xml:space="preserve"> </w:t>
      </w:r>
      <w:r w:rsidR="00C939E5" w:rsidRPr="00AB6114">
        <w:rPr>
          <w:rFonts w:ascii="Arial" w:hAnsi="Arial" w:cs="Arial"/>
          <w:bCs/>
          <w:sz w:val="22"/>
          <w:szCs w:val="22"/>
        </w:rPr>
        <w:t>Changemakers: Creativity and Value Creation</w:t>
      </w:r>
    </w:p>
    <w:p w14:paraId="73386B6B" w14:textId="167E8231" w:rsidR="0073075E" w:rsidRPr="00AB6114" w:rsidRDefault="00B36468" w:rsidP="00AB6114">
      <w:pPr>
        <w:spacing w:after="0" w:line="360" w:lineRule="auto"/>
        <w:rPr>
          <w:rFonts w:ascii="Arial" w:hAnsi="Arial" w:cs="Arial"/>
          <w:bCs/>
          <w:sz w:val="22"/>
          <w:szCs w:val="22"/>
        </w:rPr>
      </w:pPr>
      <w:r w:rsidRPr="00AB6114">
        <w:rPr>
          <w:rFonts w:ascii="Arial" w:hAnsi="Arial" w:cs="Arial"/>
          <w:b/>
          <w:sz w:val="22"/>
          <w:szCs w:val="22"/>
        </w:rPr>
        <w:t>Module code:</w:t>
      </w:r>
      <w:r w:rsidR="00283331" w:rsidRPr="00AB6114">
        <w:rPr>
          <w:rFonts w:ascii="Arial" w:hAnsi="Arial" w:cs="Arial"/>
          <w:b/>
          <w:sz w:val="22"/>
          <w:szCs w:val="22"/>
        </w:rPr>
        <w:t xml:space="preserve"> </w:t>
      </w:r>
      <w:r w:rsidR="00283331" w:rsidRPr="00AB6114">
        <w:rPr>
          <w:rFonts w:ascii="Arial" w:hAnsi="Arial" w:cs="Arial"/>
          <w:bCs/>
          <w:sz w:val="22"/>
          <w:szCs w:val="22"/>
        </w:rPr>
        <w:t>BMHP5014</w:t>
      </w:r>
    </w:p>
    <w:p w14:paraId="0018B193" w14:textId="6F8DB89E" w:rsidR="0003457F" w:rsidRPr="00AB6114" w:rsidRDefault="0003457F" w:rsidP="00AB6114">
      <w:pPr>
        <w:spacing w:after="0" w:line="360" w:lineRule="auto"/>
        <w:rPr>
          <w:rFonts w:ascii="Arial" w:hAnsi="Arial" w:cs="Arial"/>
          <w:sz w:val="22"/>
          <w:szCs w:val="22"/>
        </w:rPr>
      </w:pPr>
      <w:r w:rsidRPr="00AB6114">
        <w:rPr>
          <w:rFonts w:ascii="Arial" w:hAnsi="Arial" w:cs="Arial"/>
          <w:b/>
          <w:sz w:val="22"/>
          <w:szCs w:val="22"/>
        </w:rPr>
        <w:t>Assignment Title:</w:t>
      </w:r>
      <w:r w:rsidR="00D472F1" w:rsidRPr="00AB6114">
        <w:rPr>
          <w:rFonts w:ascii="Arial" w:hAnsi="Arial" w:cs="Arial"/>
          <w:b/>
          <w:bCs/>
          <w:sz w:val="22"/>
          <w:szCs w:val="22"/>
        </w:rPr>
        <w:t xml:space="preserve"> </w:t>
      </w:r>
      <w:r w:rsidR="00D472F1" w:rsidRPr="00AB6114">
        <w:rPr>
          <w:rFonts w:ascii="Arial" w:hAnsi="Arial" w:cs="Arial"/>
          <w:sz w:val="22"/>
          <w:szCs w:val="22"/>
        </w:rPr>
        <w:t>Component 2: Written Assignment (Report)</w:t>
      </w:r>
    </w:p>
    <w:p w14:paraId="7D626C69" w14:textId="76C15DCD" w:rsidR="005D00C2" w:rsidRPr="00AB6114" w:rsidRDefault="00721836" w:rsidP="00AB6114">
      <w:pPr>
        <w:spacing w:after="0" w:line="360" w:lineRule="auto"/>
        <w:rPr>
          <w:rFonts w:ascii="Arial" w:hAnsi="Arial" w:cs="Arial"/>
          <w:sz w:val="22"/>
          <w:szCs w:val="22"/>
        </w:rPr>
      </w:pPr>
      <w:r w:rsidRPr="00AB6114">
        <w:rPr>
          <w:rFonts w:ascii="Arial" w:hAnsi="Arial" w:cs="Arial"/>
          <w:b/>
          <w:bCs/>
          <w:sz w:val="22"/>
          <w:szCs w:val="22"/>
        </w:rPr>
        <w:t xml:space="preserve">Student Name: </w:t>
      </w:r>
      <w:r w:rsidRPr="00AB6114">
        <w:rPr>
          <w:rFonts w:ascii="Arial" w:hAnsi="Arial" w:cs="Arial"/>
          <w:sz w:val="22"/>
          <w:szCs w:val="22"/>
        </w:rPr>
        <w:t>Saiset Trigueiros</w:t>
      </w:r>
    </w:p>
    <w:p w14:paraId="76D8CDF5" w14:textId="4A454976" w:rsidR="00721836" w:rsidRPr="00AB6114" w:rsidRDefault="00721836" w:rsidP="00AB6114">
      <w:pPr>
        <w:spacing w:after="0" w:line="360" w:lineRule="auto"/>
        <w:rPr>
          <w:rFonts w:ascii="Arial" w:hAnsi="Arial" w:cs="Arial"/>
          <w:b/>
          <w:bCs/>
          <w:sz w:val="22"/>
          <w:szCs w:val="22"/>
        </w:rPr>
      </w:pPr>
      <w:r w:rsidRPr="00AB6114">
        <w:rPr>
          <w:rFonts w:ascii="Arial" w:hAnsi="Arial" w:cs="Arial"/>
          <w:b/>
          <w:bCs/>
          <w:sz w:val="22"/>
          <w:szCs w:val="22"/>
        </w:rPr>
        <w:t>Student Number:</w:t>
      </w:r>
      <w:r w:rsidRPr="00AB6114">
        <w:rPr>
          <w:rFonts w:ascii="Arial" w:hAnsi="Arial" w:cs="Arial"/>
          <w:sz w:val="22"/>
          <w:szCs w:val="22"/>
        </w:rPr>
        <w:t xml:space="preserve"> 2</w:t>
      </w:r>
      <w:r w:rsidR="008C5546" w:rsidRPr="00AB6114">
        <w:rPr>
          <w:rFonts w:ascii="Arial" w:hAnsi="Arial" w:cs="Arial"/>
          <w:sz w:val="22"/>
          <w:szCs w:val="22"/>
        </w:rPr>
        <w:t>331396</w:t>
      </w:r>
    </w:p>
    <w:p w14:paraId="539B3274" w14:textId="77777777" w:rsidR="00721836" w:rsidRDefault="00721836" w:rsidP="00AB6114">
      <w:pPr>
        <w:spacing w:after="0" w:line="360" w:lineRule="auto"/>
        <w:rPr>
          <w:rFonts w:ascii="Arial" w:hAnsi="Arial" w:cs="Arial"/>
          <w:b/>
          <w:bCs/>
          <w:sz w:val="22"/>
          <w:szCs w:val="22"/>
        </w:rPr>
      </w:pPr>
    </w:p>
    <w:p w14:paraId="37D839D9" w14:textId="77777777" w:rsidR="00BA1058" w:rsidRDefault="00BA1058" w:rsidP="00AB6114">
      <w:pPr>
        <w:spacing w:after="0" w:line="360" w:lineRule="auto"/>
        <w:rPr>
          <w:rFonts w:ascii="Arial" w:hAnsi="Arial" w:cs="Arial"/>
          <w:b/>
          <w:bCs/>
          <w:sz w:val="22"/>
          <w:szCs w:val="22"/>
        </w:rPr>
      </w:pPr>
    </w:p>
    <w:p w14:paraId="35B21EB6" w14:textId="77777777" w:rsidR="00BA1058" w:rsidRDefault="00BA1058" w:rsidP="00AB6114">
      <w:pPr>
        <w:spacing w:after="0" w:line="360" w:lineRule="auto"/>
        <w:rPr>
          <w:rFonts w:ascii="Arial" w:hAnsi="Arial" w:cs="Arial"/>
          <w:b/>
          <w:bCs/>
          <w:sz w:val="22"/>
          <w:szCs w:val="22"/>
        </w:rPr>
      </w:pPr>
    </w:p>
    <w:p w14:paraId="4C036E9F" w14:textId="77777777" w:rsidR="00FE60AD" w:rsidRDefault="00FE60AD" w:rsidP="00AB6114">
      <w:pPr>
        <w:spacing w:after="0" w:line="360" w:lineRule="auto"/>
        <w:rPr>
          <w:rFonts w:ascii="Arial" w:hAnsi="Arial" w:cs="Arial"/>
          <w:b/>
          <w:bCs/>
          <w:sz w:val="22"/>
          <w:szCs w:val="22"/>
        </w:rPr>
      </w:pPr>
    </w:p>
    <w:p w14:paraId="34D4FC8C" w14:textId="77777777" w:rsidR="00FE60AD" w:rsidRDefault="00FE60AD" w:rsidP="00AB6114">
      <w:pPr>
        <w:spacing w:after="0" w:line="360" w:lineRule="auto"/>
        <w:rPr>
          <w:rFonts w:ascii="Arial" w:hAnsi="Arial" w:cs="Arial"/>
          <w:b/>
          <w:bCs/>
          <w:sz w:val="22"/>
          <w:szCs w:val="22"/>
        </w:rPr>
      </w:pPr>
    </w:p>
    <w:p w14:paraId="356F6FE5" w14:textId="77777777" w:rsidR="00FE60AD" w:rsidRDefault="00FE60AD" w:rsidP="00AB6114">
      <w:pPr>
        <w:spacing w:after="0" w:line="360" w:lineRule="auto"/>
        <w:rPr>
          <w:rFonts w:ascii="Arial" w:hAnsi="Arial" w:cs="Arial"/>
          <w:b/>
          <w:bCs/>
          <w:sz w:val="22"/>
          <w:szCs w:val="22"/>
        </w:rPr>
      </w:pPr>
    </w:p>
    <w:p w14:paraId="05405360" w14:textId="77777777" w:rsidR="00FE60AD" w:rsidRDefault="00FE60AD" w:rsidP="00AB6114">
      <w:pPr>
        <w:spacing w:after="0" w:line="360" w:lineRule="auto"/>
        <w:rPr>
          <w:rFonts w:ascii="Arial" w:hAnsi="Arial" w:cs="Arial"/>
          <w:b/>
          <w:bCs/>
          <w:sz w:val="22"/>
          <w:szCs w:val="22"/>
        </w:rPr>
      </w:pPr>
    </w:p>
    <w:p w14:paraId="04ACA3F9" w14:textId="77777777" w:rsidR="00FE60AD" w:rsidRDefault="00FE60AD" w:rsidP="00AB6114">
      <w:pPr>
        <w:spacing w:after="0" w:line="360" w:lineRule="auto"/>
        <w:rPr>
          <w:rFonts w:ascii="Arial" w:hAnsi="Arial" w:cs="Arial"/>
          <w:b/>
          <w:bCs/>
          <w:sz w:val="22"/>
          <w:szCs w:val="22"/>
        </w:rPr>
      </w:pPr>
    </w:p>
    <w:p w14:paraId="24F8BCC6" w14:textId="77777777" w:rsidR="00FE60AD" w:rsidRDefault="00FE60AD" w:rsidP="00AB6114">
      <w:pPr>
        <w:spacing w:after="0" w:line="360" w:lineRule="auto"/>
        <w:rPr>
          <w:rFonts w:ascii="Arial" w:hAnsi="Arial" w:cs="Arial"/>
          <w:b/>
          <w:bCs/>
          <w:sz w:val="22"/>
          <w:szCs w:val="22"/>
        </w:rPr>
      </w:pPr>
    </w:p>
    <w:p w14:paraId="36AECD09" w14:textId="77777777" w:rsidR="00FE60AD" w:rsidRDefault="00FE60AD" w:rsidP="00AB6114">
      <w:pPr>
        <w:spacing w:after="0" w:line="360" w:lineRule="auto"/>
        <w:rPr>
          <w:rFonts w:ascii="Arial" w:hAnsi="Arial" w:cs="Arial"/>
          <w:b/>
          <w:bCs/>
          <w:sz w:val="22"/>
          <w:szCs w:val="22"/>
        </w:rPr>
      </w:pPr>
    </w:p>
    <w:p w14:paraId="7658AE66" w14:textId="77777777" w:rsidR="00FE60AD" w:rsidRDefault="00FE60AD" w:rsidP="00AB6114">
      <w:pPr>
        <w:spacing w:after="0" w:line="360" w:lineRule="auto"/>
        <w:rPr>
          <w:rFonts w:ascii="Arial" w:hAnsi="Arial" w:cs="Arial"/>
          <w:b/>
          <w:bCs/>
          <w:sz w:val="22"/>
          <w:szCs w:val="22"/>
        </w:rPr>
      </w:pPr>
    </w:p>
    <w:p w14:paraId="5B5B6EF7" w14:textId="77777777" w:rsidR="00FE60AD" w:rsidRDefault="00FE60AD" w:rsidP="00AB6114">
      <w:pPr>
        <w:spacing w:after="0" w:line="360" w:lineRule="auto"/>
        <w:rPr>
          <w:rFonts w:ascii="Arial" w:hAnsi="Arial" w:cs="Arial"/>
          <w:b/>
          <w:bCs/>
          <w:sz w:val="22"/>
          <w:szCs w:val="22"/>
        </w:rPr>
      </w:pPr>
    </w:p>
    <w:p w14:paraId="33C4CEE8" w14:textId="77777777" w:rsidR="00FE60AD" w:rsidRDefault="00FE60AD" w:rsidP="00AB6114">
      <w:pPr>
        <w:spacing w:after="0" w:line="360" w:lineRule="auto"/>
        <w:rPr>
          <w:rFonts w:ascii="Arial" w:hAnsi="Arial" w:cs="Arial"/>
          <w:b/>
          <w:bCs/>
          <w:sz w:val="22"/>
          <w:szCs w:val="22"/>
        </w:rPr>
      </w:pPr>
    </w:p>
    <w:p w14:paraId="2D292092" w14:textId="77777777" w:rsidR="00FE60AD" w:rsidRDefault="00FE60AD" w:rsidP="00AB6114">
      <w:pPr>
        <w:spacing w:after="0" w:line="360" w:lineRule="auto"/>
        <w:rPr>
          <w:rFonts w:ascii="Arial" w:hAnsi="Arial" w:cs="Arial"/>
          <w:b/>
          <w:bCs/>
          <w:sz w:val="22"/>
          <w:szCs w:val="22"/>
        </w:rPr>
      </w:pPr>
    </w:p>
    <w:p w14:paraId="4BFF8D33" w14:textId="77777777" w:rsidR="00FE60AD" w:rsidRDefault="00FE60AD" w:rsidP="00AB6114">
      <w:pPr>
        <w:spacing w:after="0" w:line="360" w:lineRule="auto"/>
        <w:rPr>
          <w:rFonts w:ascii="Arial" w:hAnsi="Arial" w:cs="Arial"/>
          <w:b/>
          <w:bCs/>
          <w:sz w:val="22"/>
          <w:szCs w:val="22"/>
        </w:rPr>
      </w:pPr>
    </w:p>
    <w:p w14:paraId="07FC2BEF" w14:textId="77777777" w:rsidR="00FE60AD" w:rsidRDefault="00FE60AD" w:rsidP="00AB6114">
      <w:pPr>
        <w:spacing w:after="0" w:line="360" w:lineRule="auto"/>
        <w:rPr>
          <w:rFonts w:ascii="Arial" w:hAnsi="Arial" w:cs="Arial"/>
          <w:b/>
          <w:bCs/>
          <w:sz w:val="22"/>
          <w:szCs w:val="22"/>
        </w:rPr>
      </w:pPr>
    </w:p>
    <w:p w14:paraId="58882F30" w14:textId="77777777" w:rsidR="00667C9A" w:rsidRDefault="00667C9A" w:rsidP="00AB6114">
      <w:pPr>
        <w:spacing w:after="0" w:line="360" w:lineRule="auto"/>
        <w:rPr>
          <w:rFonts w:ascii="Arial" w:hAnsi="Arial" w:cs="Arial"/>
          <w:b/>
          <w:bCs/>
          <w:sz w:val="22"/>
          <w:szCs w:val="22"/>
        </w:rPr>
      </w:pPr>
    </w:p>
    <w:p w14:paraId="09A9FB15" w14:textId="77777777" w:rsidR="00667C9A" w:rsidRDefault="00667C9A" w:rsidP="00AB6114">
      <w:pPr>
        <w:spacing w:after="0" w:line="360" w:lineRule="auto"/>
        <w:rPr>
          <w:rFonts w:ascii="Arial" w:hAnsi="Arial" w:cs="Arial"/>
          <w:b/>
          <w:bCs/>
          <w:sz w:val="22"/>
          <w:szCs w:val="22"/>
        </w:rPr>
      </w:pPr>
    </w:p>
    <w:p w14:paraId="21E51B78" w14:textId="77777777" w:rsidR="00667C9A" w:rsidRDefault="00667C9A" w:rsidP="00AB6114">
      <w:pPr>
        <w:spacing w:after="0" w:line="360" w:lineRule="auto"/>
        <w:rPr>
          <w:rFonts w:ascii="Arial" w:hAnsi="Arial" w:cs="Arial"/>
          <w:b/>
          <w:bCs/>
          <w:sz w:val="22"/>
          <w:szCs w:val="22"/>
        </w:rPr>
      </w:pPr>
    </w:p>
    <w:p w14:paraId="6B7039A8" w14:textId="77777777" w:rsidR="00667C9A" w:rsidRDefault="00667C9A" w:rsidP="00AB6114">
      <w:pPr>
        <w:spacing w:after="0" w:line="360" w:lineRule="auto"/>
        <w:rPr>
          <w:rFonts w:ascii="Arial" w:hAnsi="Arial" w:cs="Arial"/>
          <w:b/>
          <w:bCs/>
          <w:sz w:val="22"/>
          <w:szCs w:val="22"/>
        </w:rPr>
      </w:pPr>
    </w:p>
    <w:p w14:paraId="79894C39" w14:textId="22DE538A" w:rsidR="00BA1058" w:rsidRDefault="002E077F" w:rsidP="00AB6114">
      <w:pPr>
        <w:spacing w:after="0" w:line="360" w:lineRule="auto"/>
        <w:rPr>
          <w:rFonts w:ascii="Arial" w:hAnsi="Arial" w:cs="Arial"/>
          <w:b/>
          <w:bCs/>
          <w:sz w:val="22"/>
          <w:szCs w:val="22"/>
        </w:rPr>
      </w:pPr>
      <w:r>
        <w:rPr>
          <w:noProof/>
        </w:rPr>
        <w:lastRenderedPageBreak/>
        <w:drawing>
          <wp:inline distT="0" distB="0" distL="0" distR="0" wp14:anchorId="46378A68" wp14:editId="56CE6BAE">
            <wp:extent cx="5731510" cy="3223895"/>
            <wp:effectExtent l="0" t="0" r="2540" b="0"/>
            <wp:docPr id="7415968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96854"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2159568D" w14:textId="77777777" w:rsidR="00BA1058" w:rsidRDefault="00BA1058" w:rsidP="00AB6114">
      <w:pPr>
        <w:spacing w:after="0" w:line="360" w:lineRule="auto"/>
        <w:rPr>
          <w:rFonts w:ascii="Arial" w:hAnsi="Arial" w:cs="Arial"/>
          <w:b/>
          <w:bCs/>
          <w:sz w:val="22"/>
          <w:szCs w:val="22"/>
        </w:rPr>
      </w:pPr>
    </w:p>
    <w:p w14:paraId="4B15FCFB" w14:textId="77777777" w:rsidR="00BA1058" w:rsidRDefault="00BA1058" w:rsidP="00AB6114">
      <w:pPr>
        <w:spacing w:after="0" w:line="360" w:lineRule="auto"/>
        <w:rPr>
          <w:rFonts w:ascii="Arial" w:hAnsi="Arial" w:cs="Arial"/>
          <w:b/>
          <w:bCs/>
          <w:sz w:val="22"/>
          <w:szCs w:val="22"/>
        </w:rPr>
      </w:pPr>
    </w:p>
    <w:p w14:paraId="2EEE3CBF" w14:textId="77777777" w:rsidR="00BA1058" w:rsidRDefault="00BA1058" w:rsidP="00AB6114">
      <w:pPr>
        <w:spacing w:after="0" w:line="360" w:lineRule="auto"/>
        <w:rPr>
          <w:rFonts w:ascii="Arial" w:hAnsi="Arial" w:cs="Arial"/>
          <w:b/>
          <w:bCs/>
          <w:sz w:val="22"/>
          <w:szCs w:val="22"/>
        </w:rPr>
      </w:pPr>
    </w:p>
    <w:p w14:paraId="202AD71B" w14:textId="50CC408E" w:rsidR="00BA1058" w:rsidRDefault="00FE60AD" w:rsidP="00AB6114">
      <w:pPr>
        <w:spacing w:after="0" w:line="360" w:lineRule="auto"/>
        <w:rPr>
          <w:rFonts w:ascii="Arial" w:hAnsi="Arial" w:cs="Arial"/>
          <w:b/>
          <w:bCs/>
          <w:sz w:val="22"/>
          <w:szCs w:val="22"/>
        </w:rPr>
      </w:pPr>
      <w:r>
        <w:rPr>
          <w:noProof/>
        </w:rPr>
        <w:drawing>
          <wp:inline distT="0" distB="0" distL="0" distR="0" wp14:anchorId="46D5634C" wp14:editId="5F627868">
            <wp:extent cx="5731510" cy="3223895"/>
            <wp:effectExtent l="0" t="0" r="2540" b="0"/>
            <wp:docPr id="20699064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0648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3C62C076" w14:textId="77777777" w:rsidR="00BA1058" w:rsidRDefault="00BA1058" w:rsidP="00AB6114">
      <w:pPr>
        <w:spacing w:after="0" w:line="360" w:lineRule="auto"/>
        <w:rPr>
          <w:rFonts w:ascii="Arial" w:hAnsi="Arial" w:cs="Arial"/>
          <w:b/>
          <w:bCs/>
          <w:sz w:val="22"/>
          <w:szCs w:val="22"/>
        </w:rPr>
      </w:pPr>
    </w:p>
    <w:p w14:paraId="37D41B6F" w14:textId="77777777" w:rsidR="00FE60AD" w:rsidRDefault="00FE60AD" w:rsidP="00AB6114">
      <w:pPr>
        <w:spacing w:after="0" w:line="360" w:lineRule="auto"/>
        <w:rPr>
          <w:rFonts w:ascii="Arial" w:hAnsi="Arial" w:cs="Arial"/>
          <w:b/>
          <w:bCs/>
          <w:sz w:val="22"/>
          <w:szCs w:val="22"/>
        </w:rPr>
      </w:pPr>
    </w:p>
    <w:p w14:paraId="0ED4D823" w14:textId="77777777" w:rsidR="00BA1058" w:rsidRDefault="00BA1058" w:rsidP="00AB6114">
      <w:pPr>
        <w:spacing w:after="0" w:line="360" w:lineRule="auto"/>
        <w:rPr>
          <w:rFonts w:ascii="Arial" w:hAnsi="Arial" w:cs="Arial"/>
          <w:b/>
          <w:bCs/>
          <w:sz w:val="22"/>
          <w:szCs w:val="22"/>
        </w:rPr>
      </w:pPr>
    </w:p>
    <w:p w14:paraId="0A9C312B" w14:textId="77777777" w:rsidR="00BA1058" w:rsidRDefault="00BA1058" w:rsidP="00AB6114">
      <w:pPr>
        <w:spacing w:after="0" w:line="360" w:lineRule="auto"/>
        <w:rPr>
          <w:rFonts w:ascii="Arial" w:hAnsi="Arial" w:cs="Arial"/>
          <w:b/>
          <w:bCs/>
          <w:sz w:val="22"/>
          <w:szCs w:val="22"/>
        </w:rPr>
      </w:pPr>
    </w:p>
    <w:p w14:paraId="7AAECDA2" w14:textId="77777777" w:rsidR="00BA1058" w:rsidRDefault="00BA1058" w:rsidP="00AB6114">
      <w:pPr>
        <w:spacing w:after="0" w:line="360" w:lineRule="auto"/>
        <w:rPr>
          <w:rFonts w:ascii="Arial" w:hAnsi="Arial" w:cs="Arial"/>
          <w:b/>
          <w:bCs/>
          <w:sz w:val="22"/>
          <w:szCs w:val="22"/>
        </w:rPr>
      </w:pPr>
    </w:p>
    <w:p w14:paraId="70A6CBC8" w14:textId="77777777" w:rsidR="00513BF5" w:rsidRDefault="00513BF5" w:rsidP="00AB6114">
      <w:pPr>
        <w:spacing w:after="0" w:line="360" w:lineRule="auto"/>
        <w:rPr>
          <w:rFonts w:ascii="Arial" w:hAnsi="Arial" w:cs="Arial"/>
          <w:b/>
          <w:bCs/>
          <w:sz w:val="22"/>
          <w:szCs w:val="22"/>
        </w:rPr>
      </w:pPr>
    </w:p>
    <w:p w14:paraId="2D148547" w14:textId="77777777" w:rsidR="00BA1058" w:rsidRDefault="00BA1058" w:rsidP="00AB6114">
      <w:pPr>
        <w:spacing w:after="0" w:line="360" w:lineRule="auto"/>
        <w:rPr>
          <w:rFonts w:ascii="Arial" w:hAnsi="Arial" w:cs="Arial"/>
          <w:b/>
          <w:bCs/>
          <w:sz w:val="22"/>
          <w:szCs w:val="22"/>
        </w:rPr>
      </w:pPr>
    </w:p>
    <w:p w14:paraId="330ACB3C" w14:textId="74BCA090" w:rsidR="00BA1058" w:rsidRDefault="00CC0046" w:rsidP="00AB6114">
      <w:pPr>
        <w:spacing w:after="0" w:line="360" w:lineRule="auto"/>
        <w:rPr>
          <w:rFonts w:ascii="Arial" w:hAnsi="Arial" w:cs="Arial"/>
          <w:b/>
          <w:bCs/>
          <w:sz w:val="22"/>
          <w:szCs w:val="22"/>
        </w:rPr>
      </w:pPr>
      <w:r>
        <w:rPr>
          <w:rFonts w:ascii="Arial" w:hAnsi="Arial" w:cs="Arial"/>
          <w:b/>
          <w:bCs/>
          <w:sz w:val="22"/>
          <w:szCs w:val="22"/>
        </w:rPr>
        <w:t>Pi</w:t>
      </w:r>
      <w:r w:rsidR="0066703C">
        <w:rPr>
          <w:rFonts w:ascii="Arial" w:hAnsi="Arial" w:cs="Arial"/>
          <w:b/>
          <w:bCs/>
          <w:sz w:val="22"/>
          <w:szCs w:val="22"/>
        </w:rPr>
        <w:t>t</w:t>
      </w:r>
      <w:r>
        <w:rPr>
          <w:rFonts w:ascii="Arial" w:hAnsi="Arial" w:cs="Arial"/>
          <w:b/>
          <w:bCs/>
          <w:sz w:val="22"/>
          <w:szCs w:val="22"/>
        </w:rPr>
        <w:t xml:space="preserve">ch </w:t>
      </w:r>
    </w:p>
    <w:p w14:paraId="2F6547C0" w14:textId="77777777" w:rsidR="00BA1058" w:rsidRPr="00AB6114" w:rsidRDefault="00BA1058" w:rsidP="00AB6114">
      <w:pPr>
        <w:spacing w:after="0" w:line="360" w:lineRule="auto"/>
        <w:rPr>
          <w:rFonts w:ascii="Arial" w:hAnsi="Arial" w:cs="Arial"/>
          <w:b/>
          <w:bCs/>
          <w:sz w:val="22"/>
          <w:szCs w:val="22"/>
        </w:rPr>
      </w:pPr>
    </w:p>
    <w:p w14:paraId="1C79A2CD" w14:textId="77777777" w:rsidR="008C5647" w:rsidRPr="00AB6114" w:rsidRDefault="00A22731" w:rsidP="00AB6114">
      <w:pPr>
        <w:spacing w:after="0" w:line="360" w:lineRule="auto"/>
        <w:rPr>
          <w:rFonts w:ascii="Arial" w:hAnsi="Arial" w:cs="Arial"/>
          <w:b/>
          <w:bCs/>
          <w:sz w:val="22"/>
          <w:szCs w:val="22"/>
        </w:rPr>
      </w:pPr>
      <w:r w:rsidRPr="00AB6114">
        <w:rPr>
          <w:rFonts w:ascii="Arial" w:hAnsi="Arial" w:cs="Arial"/>
          <w:b/>
          <w:bCs/>
          <w:sz w:val="22"/>
          <w:szCs w:val="22"/>
        </w:rPr>
        <w:t>Prevention and Management of Type 2 Diabetes</w:t>
      </w:r>
      <w:r w:rsidR="004748DA" w:rsidRPr="00AB6114">
        <w:rPr>
          <w:rFonts w:ascii="Arial" w:hAnsi="Arial" w:cs="Arial"/>
          <w:sz w:val="22"/>
          <w:szCs w:val="22"/>
        </w:rPr>
        <w:t xml:space="preserve"> </w:t>
      </w:r>
      <w:r w:rsidR="004748DA" w:rsidRPr="00AB6114">
        <w:rPr>
          <w:rFonts w:ascii="Arial" w:hAnsi="Arial" w:cs="Arial"/>
          <w:b/>
          <w:bCs/>
          <w:sz w:val="22"/>
          <w:szCs w:val="22"/>
        </w:rPr>
        <w:t>Mellitus</w:t>
      </w:r>
    </w:p>
    <w:p w14:paraId="676B3949" w14:textId="4E1E45FB" w:rsidR="00513BF5" w:rsidRDefault="00A22731" w:rsidP="00AB6114">
      <w:pPr>
        <w:spacing w:after="0" w:line="360" w:lineRule="auto"/>
        <w:rPr>
          <w:rFonts w:ascii="Arial" w:hAnsi="Arial" w:cs="Arial"/>
          <w:b/>
          <w:bCs/>
          <w:sz w:val="22"/>
          <w:szCs w:val="22"/>
        </w:rPr>
      </w:pPr>
      <w:r w:rsidRPr="00AB6114">
        <w:rPr>
          <w:rFonts w:ascii="Arial" w:hAnsi="Arial" w:cs="Arial"/>
          <w:b/>
          <w:bCs/>
          <w:sz w:val="22"/>
          <w:szCs w:val="22"/>
        </w:rPr>
        <w:t xml:space="preserve"> A Comprehensive Guide</w:t>
      </w:r>
    </w:p>
    <w:p w14:paraId="425335E1" w14:textId="77777777" w:rsidR="00513BF5" w:rsidRPr="00AB6114" w:rsidRDefault="00513BF5" w:rsidP="00AB6114">
      <w:pPr>
        <w:spacing w:after="0" w:line="360" w:lineRule="auto"/>
        <w:rPr>
          <w:rFonts w:ascii="Arial" w:hAnsi="Arial" w:cs="Arial"/>
          <w:b/>
          <w:bCs/>
          <w:sz w:val="22"/>
          <w:szCs w:val="22"/>
        </w:rPr>
      </w:pPr>
    </w:p>
    <w:p w14:paraId="1FF95BEB" w14:textId="6DE4C33F" w:rsidR="00FB425E" w:rsidRPr="00AB6114" w:rsidRDefault="002E6FC2" w:rsidP="00AB6114">
      <w:pPr>
        <w:spacing w:after="0" w:line="360" w:lineRule="auto"/>
        <w:rPr>
          <w:rFonts w:ascii="Arial" w:hAnsi="Arial" w:cs="Arial"/>
          <w:b/>
          <w:bCs/>
          <w:sz w:val="22"/>
          <w:szCs w:val="22"/>
        </w:rPr>
      </w:pPr>
      <w:r w:rsidRPr="00AB6114">
        <w:rPr>
          <w:rFonts w:ascii="Arial" w:hAnsi="Arial" w:cs="Arial"/>
          <w:b/>
          <w:bCs/>
          <w:sz w:val="22"/>
          <w:szCs w:val="22"/>
        </w:rPr>
        <w:t>Introduction</w:t>
      </w:r>
      <w:r w:rsidR="00FB425E" w:rsidRPr="00AB6114">
        <w:rPr>
          <w:rFonts w:ascii="Arial" w:hAnsi="Arial" w:cs="Arial"/>
          <w:b/>
          <w:bCs/>
          <w:sz w:val="22"/>
          <w:szCs w:val="22"/>
        </w:rPr>
        <w:t xml:space="preserve">  </w:t>
      </w:r>
    </w:p>
    <w:p w14:paraId="7559CD6D" w14:textId="27FE320E" w:rsidR="00FB425E" w:rsidRPr="00AB6114" w:rsidRDefault="008D400C" w:rsidP="00AB6114">
      <w:pPr>
        <w:spacing w:after="0" w:line="360" w:lineRule="auto"/>
        <w:rPr>
          <w:rFonts w:ascii="Arial" w:hAnsi="Arial" w:cs="Arial"/>
          <w:sz w:val="22"/>
          <w:szCs w:val="22"/>
        </w:rPr>
      </w:pPr>
      <w:r w:rsidRPr="00AB6114">
        <w:rPr>
          <w:rFonts w:ascii="Arial" w:hAnsi="Arial" w:cs="Arial"/>
          <w:sz w:val="22"/>
          <w:szCs w:val="22"/>
        </w:rPr>
        <w:t>Type 2 Diabetes Mellitus (T2DM) is a progressive chronic metabolic disorder marked by insulin resistance and relative insulin deficiency, leading to sustained hyperglycaemia and, if inadequately managed, a range of serious long</w:t>
      </w:r>
      <w:r w:rsidRPr="00AB6114">
        <w:rPr>
          <w:rFonts w:ascii="Arial" w:hAnsi="Arial" w:cs="Arial"/>
          <w:sz w:val="22"/>
          <w:szCs w:val="22"/>
        </w:rPr>
        <w:noBreakHyphen/>
        <w:t>term complications (McVeigh, 2009). In the United Kingdom, an estimated 4.9 million individuals have been diagnosed with diabetes, of which approximately 90% represent Type 2 cases. Furthermore, an additional 1.3 million people</w:t>
      </w:r>
      <w:r w:rsidR="00250CAA" w:rsidRPr="00AB6114">
        <w:rPr>
          <w:rFonts w:ascii="Arial" w:eastAsia="Times New Roman" w:hAnsi="Arial" w:cs="Arial"/>
          <w:kern w:val="0"/>
          <w:sz w:val="22"/>
          <w:szCs w:val="22"/>
          <w:lang w:eastAsia="en-GB"/>
          <w14:ligatures w14:val="none"/>
        </w:rPr>
        <w:t xml:space="preserve"> </w:t>
      </w:r>
      <w:r w:rsidR="00250CAA" w:rsidRPr="00AB6114">
        <w:rPr>
          <w:rFonts w:ascii="Arial" w:hAnsi="Arial" w:cs="Arial"/>
          <w:sz w:val="22"/>
          <w:szCs w:val="22"/>
        </w:rPr>
        <w:t>are understood</w:t>
      </w:r>
      <w:r w:rsidRPr="00AB6114">
        <w:rPr>
          <w:rFonts w:ascii="Arial" w:hAnsi="Arial" w:cs="Arial"/>
          <w:sz w:val="22"/>
          <w:szCs w:val="22"/>
        </w:rPr>
        <w:t xml:space="preserve"> to be living with undiagnosed diabetes, highlighting the considerable and growing public health burden (Diabetes UK, 2023; DRWF, 2020</w:t>
      </w:r>
      <w:r w:rsidRPr="00AB6114">
        <w:rPr>
          <w:rFonts w:ascii="Arial" w:hAnsi="Arial" w:cs="Arial"/>
          <w:b/>
          <w:bCs/>
          <w:sz w:val="22"/>
          <w:szCs w:val="22"/>
        </w:rPr>
        <w:t>).</w:t>
      </w:r>
    </w:p>
    <w:p w14:paraId="3EDA96E2" w14:textId="6F8B94AF" w:rsidR="00A22731" w:rsidRPr="00AB6114" w:rsidRDefault="00A22731" w:rsidP="00AB6114">
      <w:pPr>
        <w:spacing w:after="0" w:line="360" w:lineRule="auto"/>
        <w:rPr>
          <w:rFonts w:ascii="Arial" w:hAnsi="Arial" w:cs="Arial"/>
          <w:sz w:val="22"/>
          <w:szCs w:val="22"/>
        </w:rPr>
      </w:pPr>
      <w:r w:rsidRPr="00AB6114">
        <w:rPr>
          <w:rFonts w:ascii="Arial" w:hAnsi="Arial" w:cs="Arial"/>
          <w:sz w:val="22"/>
          <w:szCs w:val="22"/>
        </w:rPr>
        <w:t xml:space="preserve">The </w:t>
      </w:r>
      <w:r w:rsidR="00B45C00" w:rsidRPr="00AB6114">
        <w:rPr>
          <w:rFonts w:ascii="Arial" w:hAnsi="Arial" w:cs="Arial"/>
          <w:sz w:val="22"/>
          <w:szCs w:val="22"/>
        </w:rPr>
        <w:t>vogue</w:t>
      </w:r>
      <w:r w:rsidR="00080102" w:rsidRPr="00AB6114">
        <w:rPr>
          <w:rFonts w:ascii="Arial" w:hAnsi="Arial" w:cs="Arial"/>
          <w:sz w:val="22"/>
          <w:szCs w:val="22"/>
        </w:rPr>
        <w:t xml:space="preserve"> </w:t>
      </w:r>
      <w:r w:rsidRPr="00AB6114">
        <w:rPr>
          <w:rFonts w:ascii="Arial" w:hAnsi="Arial" w:cs="Arial"/>
          <w:sz w:val="22"/>
          <w:szCs w:val="22"/>
        </w:rPr>
        <w:t xml:space="preserve">of T2DM has risen dramatically in recent decades due to </w:t>
      </w:r>
      <w:r w:rsidR="00DA6622" w:rsidRPr="00AB6114">
        <w:rPr>
          <w:rFonts w:ascii="Arial" w:hAnsi="Arial" w:cs="Arial"/>
          <w:sz w:val="22"/>
          <w:szCs w:val="22"/>
        </w:rPr>
        <w:t>growing</w:t>
      </w:r>
      <w:r w:rsidRPr="00AB6114">
        <w:rPr>
          <w:rFonts w:ascii="Arial" w:hAnsi="Arial" w:cs="Arial"/>
          <w:sz w:val="22"/>
          <w:szCs w:val="22"/>
        </w:rPr>
        <w:t xml:space="preserve"> obesity rates,</w:t>
      </w:r>
      <w:r w:rsidR="00CA4E29" w:rsidRPr="00AB6114">
        <w:rPr>
          <w:rFonts w:ascii="Arial" w:hAnsi="Arial" w:cs="Arial"/>
          <w:sz w:val="22"/>
          <w:szCs w:val="22"/>
        </w:rPr>
        <w:t xml:space="preserve"> poor dietary habits and</w:t>
      </w:r>
      <w:r w:rsidRPr="00AB6114">
        <w:rPr>
          <w:rFonts w:ascii="Arial" w:hAnsi="Arial" w:cs="Arial"/>
          <w:sz w:val="22"/>
          <w:szCs w:val="22"/>
        </w:rPr>
        <w:t xml:space="preserve"> sedentary lifestyles, (Tait et al., 2022). This growing </w:t>
      </w:r>
      <w:r w:rsidR="005C7DA2" w:rsidRPr="00AB6114">
        <w:rPr>
          <w:rFonts w:ascii="Arial" w:hAnsi="Arial" w:cs="Arial"/>
          <w:sz w:val="22"/>
          <w:szCs w:val="22"/>
        </w:rPr>
        <w:t xml:space="preserve">concern </w:t>
      </w:r>
      <w:r w:rsidR="00261D47" w:rsidRPr="00AB6114">
        <w:rPr>
          <w:rFonts w:ascii="Arial" w:hAnsi="Arial" w:cs="Arial"/>
          <w:sz w:val="22"/>
          <w:szCs w:val="22"/>
        </w:rPr>
        <w:t>highlights</w:t>
      </w:r>
      <w:r w:rsidR="00074C86" w:rsidRPr="00AB6114">
        <w:rPr>
          <w:rFonts w:ascii="Arial" w:hAnsi="Arial" w:cs="Arial"/>
          <w:sz w:val="22"/>
          <w:szCs w:val="22"/>
        </w:rPr>
        <w:t xml:space="preserve"> the</w:t>
      </w:r>
      <w:r w:rsidRPr="00AB6114">
        <w:rPr>
          <w:rFonts w:ascii="Arial" w:hAnsi="Arial" w:cs="Arial"/>
          <w:sz w:val="22"/>
          <w:szCs w:val="22"/>
        </w:rPr>
        <w:t xml:space="preserve"> critical need for effective public health education on prevention and management</w:t>
      </w:r>
      <w:r w:rsidR="00246988" w:rsidRPr="00AB6114">
        <w:rPr>
          <w:rFonts w:ascii="Arial" w:hAnsi="Arial" w:cs="Arial"/>
          <w:sz w:val="22"/>
          <w:szCs w:val="22"/>
        </w:rPr>
        <w:t>.</w:t>
      </w:r>
    </w:p>
    <w:p w14:paraId="62DB2B13" w14:textId="77777777" w:rsidR="00A22731" w:rsidRPr="00AB6114" w:rsidRDefault="00A22731" w:rsidP="00AB6114">
      <w:pPr>
        <w:spacing w:after="0" w:line="360" w:lineRule="auto"/>
        <w:rPr>
          <w:rFonts w:ascii="Arial" w:hAnsi="Arial" w:cs="Arial"/>
          <w:b/>
          <w:bCs/>
          <w:sz w:val="22"/>
          <w:szCs w:val="22"/>
        </w:rPr>
      </w:pPr>
      <w:r w:rsidRPr="00AB6114">
        <w:rPr>
          <w:rFonts w:ascii="Arial" w:hAnsi="Arial" w:cs="Arial"/>
          <w:b/>
          <w:bCs/>
          <w:sz w:val="22"/>
          <w:szCs w:val="22"/>
        </w:rPr>
        <w:t>Risk Factors for Type 2 Diabetes</w:t>
      </w:r>
    </w:p>
    <w:p w14:paraId="716A4E97" w14:textId="16D46234" w:rsidR="00E54BE3" w:rsidRPr="00AB6114" w:rsidRDefault="00DF6887" w:rsidP="00AB6114">
      <w:pPr>
        <w:spacing w:after="0" w:line="360" w:lineRule="auto"/>
        <w:rPr>
          <w:rFonts w:ascii="Arial" w:hAnsi="Arial" w:cs="Arial"/>
          <w:sz w:val="22"/>
          <w:szCs w:val="22"/>
        </w:rPr>
      </w:pPr>
      <w:r w:rsidRPr="00AB6114">
        <w:rPr>
          <w:rFonts w:ascii="Arial" w:hAnsi="Arial" w:cs="Arial"/>
          <w:sz w:val="22"/>
          <w:szCs w:val="22"/>
        </w:rPr>
        <w:t>T</w:t>
      </w:r>
      <w:r w:rsidR="000C52B6" w:rsidRPr="00AB6114">
        <w:rPr>
          <w:rFonts w:ascii="Arial" w:hAnsi="Arial" w:cs="Arial"/>
          <w:sz w:val="22"/>
          <w:szCs w:val="22"/>
        </w:rPr>
        <w:t xml:space="preserve">he </w:t>
      </w:r>
      <w:r w:rsidR="00A22731" w:rsidRPr="00AB6114">
        <w:rPr>
          <w:rFonts w:ascii="Arial" w:hAnsi="Arial" w:cs="Arial"/>
          <w:sz w:val="22"/>
          <w:szCs w:val="22"/>
        </w:rPr>
        <w:t>combination of modifiable and non-modifiable risk factors</w:t>
      </w:r>
      <w:r w:rsidR="00777BC0" w:rsidRPr="00AB6114">
        <w:rPr>
          <w:rFonts w:ascii="Arial" w:hAnsi="Arial" w:cs="Arial"/>
          <w:sz w:val="22"/>
          <w:szCs w:val="22"/>
        </w:rPr>
        <w:t xml:space="preserve"> that form</w:t>
      </w:r>
      <w:r w:rsidR="009C53A6" w:rsidRPr="00AB6114">
        <w:rPr>
          <w:rFonts w:ascii="Arial" w:hAnsi="Arial" w:cs="Arial"/>
          <w:sz w:val="22"/>
          <w:szCs w:val="22"/>
        </w:rPr>
        <w:t xml:space="preserve">s type 2 </w:t>
      </w:r>
      <w:r w:rsidR="008C3AB4" w:rsidRPr="00AB6114">
        <w:rPr>
          <w:rFonts w:ascii="Arial" w:hAnsi="Arial" w:cs="Arial"/>
          <w:sz w:val="22"/>
          <w:szCs w:val="22"/>
        </w:rPr>
        <w:t>Diabetes Mellitus</w:t>
      </w:r>
      <w:r w:rsidR="00A22731" w:rsidRPr="00AB6114">
        <w:rPr>
          <w:rFonts w:ascii="Arial" w:hAnsi="Arial" w:cs="Arial"/>
          <w:sz w:val="22"/>
          <w:szCs w:val="22"/>
        </w:rPr>
        <w:t xml:space="preserve">. Lifestyle-related factors include poor diet, physical inactivity, being overweight or obese, and smoking (NICE, 2022). </w:t>
      </w:r>
    </w:p>
    <w:p w14:paraId="46D21BC8" w14:textId="4F832AD1" w:rsidR="00626342" w:rsidRPr="00AB6114" w:rsidRDefault="00A5146D" w:rsidP="00AB6114">
      <w:pPr>
        <w:spacing w:after="0" w:line="360" w:lineRule="auto"/>
        <w:rPr>
          <w:rFonts w:ascii="Arial" w:hAnsi="Arial" w:cs="Arial"/>
          <w:sz w:val="22"/>
          <w:szCs w:val="22"/>
        </w:rPr>
      </w:pPr>
      <w:r w:rsidRPr="00AB6114">
        <w:rPr>
          <w:rFonts w:ascii="Arial" w:hAnsi="Arial" w:cs="Arial"/>
          <w:sz w:val="22"/>
          <w:szCs w:val="22"/>
        </w:rPr>
        <w:t>These factors make the body less responsive to insulin and raise the risk of high blood</w:t>
      </w:r>
      <w:r w:rsidR="0009470D" w:rsidRPr="00AB6114">
        <w:rPr>
          <w:rFonts w:ascii="Arial" w:eastAsia="Times New Roman" w:hAnsi="Arial" w:cs="Arial"/>
          <w:kern w:val="0"/>
          <w:sz w:val="22"/>
          <w:szCs w:val="22"/>
          <w:lang w:eastAsia="en-GB"/>
          <w14:ligatures w14:val="none"/>
        </w:rPr>
        <w:t xml:space="preserve"> </w:t>
      </w:r>
      <w:r w:rsidR="0009470D" w:rsidRPr="00AB6114">
        <w:rPr>
          <w:rFonts w:ascii="Arial" w:hAnsi="Arial" w:cs="Arial"/>
          <w:sz w:val="22"/>
          <w:szCs w:val="22"/>
        </w:rPr>
        <w:t xml:space="preserve">sugar. </w:t>
      </w:r>
      <w:r w:rsidR="00E2126E" w:rsidRPr="00AB6114">
        <w:rPr>
          <w:rFonts w:ascii="Arial" w:hAnsi="Arial" w:cs="Arial"/>
          <w:sz w:val="22"/>
          <w:szCs w:val="22"/>
        </w:rPr>
        <w:t>In contrast, fixed factors like age, ethnicity, and genetics also raise the risk but cannot changed</w:t>
      </w:r>
      <w:r w:rsidR="000460B3" w:rsidRPr="00AB6114">
        <w:rPr>
          <w:rFonts w:ascii="Arial" w:hAnsi="Arial" w:cs="Arial"/>
          <w:sz w:val="22"/>
          <w:szCs w:val="22"/>
        </w:rPr>
        <w:t>.</w:t>
      </w:r>
      <w:r w:rsidR="005D5E8F" w:rsidRPr="00AB6114">
        <w:rPr>
          <w:rFonts w:ascii="Arial" w:eastAsia="Times New Roman" w:hAnsi="Arial" w:cs="Arial"/>
          <w:b/>
          <w:bCs/>
          <w:kern w:val="0"/>
          <w:sz w:val="22"/>
          <w:szCs w:val="22"/>
          <w:lang w:eastAsia="en-GB"/>
          <w14:ligatures w14:val="none"/>
        </w:rPr>
        <w:t xml:space="preserve"> </w:t>
      </w:r>
      <w:r w:rsidR="002B6AE2" w:rsidRPr="00AB6114">
        <w:rPr>
          <w:rFonts w:ascii="Arial" w:hAnsi="Arial" w:cs="Arial"/>
          <w:sz w:val="22"/>
          <w:szCs w:val="22"/>
        </w:rPr>
        <w:t>Groups</w:t>
      </w:r>
      <w:r w:rsidR="002B15F2" w:rsidRPr="00AB6114">
        <w:rPr>
          <w:rFonts w:ascii="Arial" w:hAnsi="Arial" w:cs="Arial"/>
          <w:sz w:val="22"/>
          <w:szCs w:val="22"/>
        </w:rPr>
        <w:t xml:space="preserve"> </w:t>
      </w:r>
      <w:r w:rsidR="005D5E8F" w:rsidRPr="00AB6114">
        <w:rPr>
          <w:rFonts w:ascii="Arial" w:hAnsi="Arial" w:cs="Arial"/>
          <w:sz w:val="22"/>
          <w:szCs w:val="22"/>
        </w:rPr>
        <w:t>such as South Asian, Afro</w:t>
      </w:r>
      <w:r w:rsidR="005D5E8F" w:rsidRPr="00AB6114">
        <w:rPr>
          <w:rFonts w:ascii="Arial" w:hAnsi="Arial" w:cs="Arial"/>
          <w:sz w:val="22"/>
          <w:szCs w:val="22"/>
        </w:rPr>
        <w:noBreakHyphen/>
        <w:t>Caribbean, and Middle Eastern populations</w:t>
      </w:r>
      <w:r w:rsidR="002B15F2" w:rsidRPr="00AB6114">
        <w:rPr>
          <w:rFonts w:ascii="Arial" w:hAnsi="Arial" w:cs="Arial"/>
          <w:sz w:val="22"/>
          <w:szCs w:val="22"/>
        </w:rPr>
        <w:t xml:space="preserve"> </w:t>
      </w:r>
      <w:r w:rsidR="005D5E8F" w:rsidRPr="00AB6114">
        <w:rPr>
          <w:rFonts w:ascii="Arial" w:hAnsi="Arial" w:cs="Arial"/>
          <w:sz w:val="22"/>
          <w:szCs w:val="22"/>
        </w:rPr>
        <w:t>are more likely to develop T2</w:t>
      </w:r>
      <w:r w:rsidR="008D04DD" w:rsidRPr="00AB6114">
        <w:rPr>
          <w:rFonts w:ascii="Arial" w:hAnsi="Arial" w:cs="Arial"/>
          <w:sz w:val="22"/>
          <w:szCs w:val="22"/>
        </w:rPr>
        <w:t>DM (NHS England, 2023).</w:t>
      </w:r>
      <w:r w:rsidR="00FA7FE1" w:rsidRPr="00AB6114">
        <w:rPr>
          <w:rFonts w:ascii="Arial" w:hAnsi="Arial" w:cs="Arial"/>
          <w:sz w:val="22"/>
          <w:szCs w:val="22"/>
        </w:rPr>
        <w:t xml:space="preserve"> </w:t>
      </w:r>
      <w:r w:rsidR="005D5E8F" w:rsidRPr="00AB6114">
        <w:rPr>
          <w:rFonts w:ascii="Arial" w:hAnsi="Arial" w:cs="Arial"/>
          <w:sz w:val="22"/>
          <w:szCs w:val="22"/>
        </w:rPr>
        <w:t>Recognising these risks helps guide effective prevention efforts.</w:t>
      </w:r>
    </w:p>
    <w:p w14:paraId="7B2A29E2" w14:textId="264D1764" w:rsidR="00626342" w:rsidRPr="00AB6114" w:rsidRDefault="00A22731" w:rsidP="00AB6114">
      <w:pPr>
        <w:spacing w:after="0" w:line="360" w:lineRule="auto"/>
        <w:rPr>
          <w:rFonts w:ascii="Arial" w:hAnsi="Arial" w:cs="Arial"/>
          <w:b/>
          <w:bCs/>
          <w:sz w:val="22"/>
          <w:szCs w:val="22"/>
        </w:rPr>
      </w:pPr>
      <w:r w:rsidRPr="00AB6114">
        <w:rPr>
          <w:rFonts w:ascii="Arial" w:hAnsi="Arial" w:cs="Arial"/>
          <w:b/>
          <w:bCs/>
          <w:sz w:val="22"/>
          <w:szCs w:val="22"/>
        </w:rPr>
        <w:t>Prevention Strategies</w:t>
      </w:r>
      <w:r w:rsidR="002B6AE2" w:rsidRPr="00AB6114">
        <w:rPr>
          <w:rFonts w:ascii="Arial" w:hAnsi="Arial" w:cs="Arial"/>
          <w:b/>
          <w:bCs/>
          <w:sz w:val="22"/>
          <w:szCs w:val="22"/>
        </w:rPr>
        <w:t xml:space="preserve"> </w:t>
      </w:r>
    </w:p>
    <w:p w14:paraId="6D9C7103" w14:textId="2DD51BA0" w:rsidR="00406E91" w:rsidRPr="00AB6114" w:rsidRDefault="00206C30" w:rsidP="00AB6114">
      <w:pPr>
        <w:spacing w:after="0" w:line="360" w:lineRule="auto"/>
        <w:rPr>
          <w:rFonts w:ascii="Arial" w:hAnsi="Arial" w:cs="Arial"/>
          <w:sz w:val="22"/>
          <w:szCs w:val="22"/>
        </w:rPr>
      </w:pPr>
      <w:r w:rsidRPr="00AB6114">
        <w:rPr>
          <w:rFonts w:ascii="Arial" w:hAnsi="Arial" w:cs="Arial"/>
          <w:sz w:val="22"/>
          <w:szCs w:val="22"/>
        </w:rPr>
        <w:t>Generally,</w:t>
      </w:r>
      <w:r w:rsidR="00835C99" w:rsidRPr="00AB6114">
        <w:rPr>
          <w:rFonts w:ascii="Arial" w:hAnsi="Arial" w:cs="Arial"/>
          <w:b/>
          <w:bCs/>
          <w:sz w:val="22"/>
          <w:szCs w:val="22"/>
        </w:rPr>
        <w:t xml:space="preserve"> </w:t>
      </w:r>
      <w:r w:rsidR="008907F5" w:rsidRPr="00AB6114">
        <w:rPr>
          <w:rFonts w:ascii="Arial" w:hAnsi="Arial" w:cs="Arial"/>
          <w:sz w:val="22"/>
          <w:szCs w:val="22"/>
        </w:rPr>
        <w:t xml:space="preserve">focuses on lifestyle modification can prevent </w:t>
      </w:r>
      <w:r w:rsidR="00B93735" w:rsidRPr="00AB6114">
        <w:rPr>
          <w:rFonts w:ascii="Arial" w:hAnsi="Arial" w:cs="Arial"/>
          <w:sz w:val="22"/>
          <w:szCs w:val="22"/>
        </w:rPr>
        <w:t xml:space="preserve">Type 2 </w:t>
      </w:r>
      <w:r w:rsidR="003D1F72" w:rsidRPr="00AB6114">
        <w:rPr>
          <w:rFonts w:ascii="Arial" w:hAnsi="Arial" w:cs="Arial"/>
          <w:sz w:val="22"/>
          <w:szCs w:val="22"/>
        </w:rPr>
        <w:t>diabetes.</w:t>
      </w:r>
      <w:r w:rsidR="000A6A37" w:rsidRPr="00AB6114">
        <w:rPr>
          <w:rFonts w:ascii="Arial" w:eastAsia="Times New Roman" w:hAnsi="Arial" w:cs="Arial"/>
          <w:kern w:val="0"/>
          <w:sz w:val="22"/>
          <w:szCs w:val="22"/>
          <w:lang w:eastAsia="en-GB"/>
          <w14:ligatures w14:val="none"/>
        </w:rPr>
        <w:t xml:space="preserve"> </w:t>
      </w:r>
      <w:r w:rsidR="000A6A37" w:rsidRPr="00AB6114">
        <w:rPr>
          <w:rFonts w:ascii="Arial" w:hAnsi="Arial" w:cs="Arial"/>
          <w:sz w:val="22"/>
          <w:szCs w:val="22"/>
        </w:rPr>
        <w:t>NHS and NICE advise a balanced diet rich in fruits, vegetables, whole grains, and lean proteins, with reduced sugar, salt, and saturated fats. Engaging in at least 150 minutes of moderate</w:t>
      </w:r>
      <w:r w:rsidR="000A6A37" w:rsidRPr="00AB6114">
        <w:rPr>
          <w:rFonts w:ascii="Arial" w:hAnsi="Arial" w:cs="Arial"/>
          <w:sz w:val="22"/>
          <w:szCs w:val="22"/>
        </w:rPr>
        <w:noBreakHyphen/>
        <w:t xml:space="preserve">intensity activity weekly </w:t>
      </w:r>
      <w:r w:rsidR="00A03D43" w:rsidRPr="00AB6114">
        <w:rPr>
          <w:rFonts w:ascii="Arial" w:hAnsi="Arial" w:cs="Arial"/>
          <w:sz w:val="22"/>
          <w:szCs w:val="22"/>
        </w:rPr>
        <w:t>is a major contributor to</w:t>
      </w:r>
      <w:r w:rsidR="000A6A37" w:rsidRPr="00AB6114">
        <w:rPr>
          <w:rFonts w:ascii="Arial" w:hAnsi="Arial" w:cs="Arial"/>
          <w:sz w:val="22"/>
          <w:szCs w:val="22"/>
        </w:rPr>
        <w:t xml:space="preserve"> lowered risk (NICE, 2022)</w:t>
      </w:r>
      <w:r w:rsidR="00406E91" w:rsidRPr="00AB6114">
        <w:rPr>
          <w:rFonts w:ascii="Arial" w:hAnsi="Arial" w:cs="Arial"/>
          <w:sz w:val="22"/>
          <w:szCs w:val="22"/>
        </w:rPr>
        <w:t>.</w:t>
      </w:r>
    </w:p>
    <w:p w14:paraId="799C56E5" w14:textId="6AFE4693" w:rsidR="004E3F39" w:rsidRPr="00AB6114" w:rsidRDefault="004B5945" w:rsidP="00AB6114">
      <w:pPr>
        <w:spacing w:after="0" w:line="360" w:lineRule="auto"/>
        <w:rPr>
          <w:rFonts w:ascii="Arial" w:hAnsi="Arial" w:cs="Arial"/>
          <w:sz w:val="22"/>
          <w:szCs w:val="22"/>
        </w:rPr>
      </w:pPr>
      <w:r w:rsidRPr="00AB6114">
        <w:rPr>
          <w:rFonts w:ascii="Arial" w:hAnsi="Arial" w:cs="Arial"/>
          <w:sz w:val="22"/>
          <w:szCs w:val="22"/>
        </w:rPr>
        <w:t xml:space="preserve">Maintaining a </w:t>
      </w:r>
      <w:r w:rsidR="00F71069" w:rsidRPr="00AB6114">
        <w:rPr>
          <w:rFonts w:ascii="Arial" w:hAnsi="Arial" w:cs="Arial"/>
          <w:sz w:val="22"/>
          <w:szCs w:val="22"/>
        </w:rPr>
        <w:t>healthy</w:t>
      </w:r>
      <w:r w:rsidRPr="00AB6114">
        <w:rPr>
          <w:rFonts w:ascii="Arial" w:hAnsi="Arial" w:cs="Arial"/>
          <w:sz w:val="22"/>
          <w:szCs w:val="22"/>
        </w:rPr>
        <w:t xml:space="preserve"> body weight is </w:t>
      </w:r>
      <w:r w:rsidR="00E81638" w:rsidRPr="00AB6114">
        <w:rPr>
          <w:rFonts w:ascii="Arial" w:hAnsi="Arial" w:cs="Arial"/>
          <w:sz w:val="22"/>
          <w:szCs w:val="22"/>
        </w:rPr>
        <w:t xml:space="preserve">indispensable, </w:t>
      </w:r>
      <w:r w:rsidR="00DE73FE" w:rsidRPr="00AB6114">
        <w:rPr>
          <w:rFonts w:ascii="Arial" w:hAnsi="Arial" w:cs="Arial"/>
          <w:sz w:val="22"/>
          <w:szCs w:val="22"/>
        </w:rPr>
        <w:t xml:space="preserve">as </w:t>
      </w:r>
      <w:r w:rsidR="00185FA5" w:rsidRPr="00AB6114">
        <w:rPr>
          <w:rFonts w:ascii="Arial" w:hAnsi="Arial" w:cs="Arial"/>
          <w:sz w:val="22"/>
          <w:szCs w:val="22"/>
        </w:rPr>
        <w:t xml:space="preserve">obesity is a major </w:t>
      </w:r>
      <w:r w:rsidR="00F70537" w:rsidRPr="00AB6114">
        <w:rPr>
          <w:rFonts w:ascii="Arial" w:hAnsi="Arial" w:cs="Arial"/>
          <w:sz w:val="22"/>
          <w:szCs w:val="22"/>
        </w:rPr>
        <w:t>driver of insuli</w:t>
      </w:r>
      <w:r w:rsidR="00F71069" w:rsidRPr="00AB6114">
        <w:rPr>
          <w:rFonts w:ascii="Arial" w:hAnsi="Arial" w:cs="Arial"/>
          <w:sz w:val="22"/>
          <w:szCs w:val="22"/>
        </w:rPr>
        <w:t>n resistance. Smoking cessation is also beneficial, as smoking exacerbates vascular and metabolic risk (WHO, 2024).</w:t>
      </w:r>
    </w:p>
    <w:p w14:paraId="031453D3" w14:textId="44B1AECC" w:rsidR="007A124B" w:rsidRPr="00AB6114" w:rsidRDefault="007A124B" w:rsidP="00AB6114">
      <w:pPr>
        <w:spacing w:after="0" w:line="360" w:lineRule="auto"/>
        <w:rPr>
          <w:rFonts w:ascii="Arial" w:hAnsi="Arial" w:cs="Arial"/>
          <w:sz w:val="22"/>
          <w:szCs w:val="22"/>
        </w:rPr>
      </w:pPr>
      <w:r w:rsidRPr="00AB6114">
        <w:rPr>
          <w:rFonts w:ascii="Arial" w:hAnsi="Arial" w:cs="Arial"/>
          <w:sz w:val="22"/>
          <w:szCs w:val="22"/>
        </w:rPr>
        <w:t>Participation in structured programmes such as the NHS Diabetes Prevention Programme (DPP) helps at</w:t>
      </w:r>
      <w:r w:rsidRPr="00AB6114">
        <w:rPr>
          <w:rFonts w:ascii="Arial" w:hAnsi="Arial" w:cs="Arial"/>
          <w:sz w:val="22"/>
          <w:szCs w:val="22"/>
        </w:rPr>
        <w:noBreakHyphen/>
        <w:t xml:space="preserve">risk individuals adopt healthier behaviours. Evidence shows that lifestyle </w:t>
      </w:r>
      <w:r w:rsidRPr="00AB6114">
        <w:rPr>
          <w:rFonts w:ascii="Arial" w:hAnsi="Arial" w:cs="Arial"/>
          <w:sz w:val="22"/>
          <w:szCs w:val="22"/>
        </w:rPr>
        <w:lastRenderedPageBreak/>
        <w:t>interventions can cut T2DM incidence by up to 58% in people with prediabetes (Knowler et al., 2002). Regular health checks also support early detection and timely intervention, reducing the likelihood of complications.</w:t>
      </w:r>
      <w:r w:rsidR="002941F6" w:rsidRPr="00AB6114">
        <w:rPr>
          <w:rFonts w:ascii="Arial" w:hAnsi="Arial" w:cs="Arial"/>
          <w:sz w:val="22"/>
          <w:szCs w:val="22"/>
        </w:rPr>
        <w:t xml:space="preserve"> </w:t>
      </w:r>
    </w:p>
    <w:p w14:paraId="1854799C" w14:textId="77777777" w:rsidR="007A124B" w:rsidRPr="00AB6114" w:rsidRDefault="007A124B" w:rsidP="00AB6114">
      <w:pPr>
        <w:spacing w:after="0" w:line="360" w:lineRule="auto"/>
        <w:rPr>
          <w:rFonts w:ascii="Arial" w:hAnsi="Arial" w:cs="Arial"/>
          <w:sz w:val="22"/>
          <w:szCs w:val="22"/>
        </w:rPr>
      </w:pPr>
    </w:p>
    <w:p w14:paraId="40DFEB64" w14:textId="3B3FD2D4" w:rsidR="00A256E0" w:rsidRPr="00AB6114" w:rsidRDefault="00A22731" w:rsidP="00AB6114">
      <w:pPr>
        <w:spacing w:after="0" w:line="360" w:lineRule="auto"/>
        <w:rPr>
          <w:rFonts w:ascii="Arial" w:hAnsi="Arial" w:cs="Arial"/>
          <w:b/>
          <w:bCs/>
          <w:sz w:val="22"/>
          <w:szCs w:val="22"/>
        </w:rPr>
      </w:pPr>
      <w:r w:rsidRPr="00AB6114">
        <w:rPr>
          <w:rFonts w:ascii="Arial" w:hAnsi="Arial" w:cs="Arial"/>
          <w:b/>
          <w:bCs/>
          <w:sz w:val="22"/>
          <w:szCs w:val="22"/>
        </w:rPr>
        <w:t>Pathophysiology of Type 2 Diabetes</w:t>
      </w:r>
      <w:r w:rsidR="002941F6" w:rsidRPr="00AB6114">
        <w:rPr>
          <w:rFonts w:ascii="Arial" w:hAnsi="Arial" w:cs="Arial"/>
          <w:b/>
          <w:bCs/>
          <w:sz w:val="22"/>
          <w:szCs w:val="22"/>
        </w:rPr>
        <w:t xml:space="preserve"> </w:t>
      </w:r>
    </w:p>
    <w:p w14:paraId="287585FF" w14:textId="607B691C" w:rsidR="00A256E0" w:rsidRPr="00AB6114" w:rsidRDefault="00A778EE" w:rsidP="00AB6114">
      <w:pPr>
        <w:spacing w:after="0" w:line="360" w:lineRule="auto"/>
        <w:rPr>
          <w:rFonts w:ascii="Arial" w:hAnsi="Arial" w:cs="Arial"/>
          <w:sz w:val="22"/>
          <w:szCs w:val="22"/>
        </w:rPr>
      </w:pPr>
      <w:r w:rsidRPr="00AB6114">
        <w:rPr>
          <w:rFonts w:ascii="Arial" w:hAnsi="Arial" w:cs="Arial"/>
          <w:sz w:val="22"/>
          <w:szCs w:val="22"/>
        </w:rPr>
        <w:t>T</w:t>
      </w:r>
      <w:r w:rsidR="00CA0052" w:rsidRPr="00AB6114">
        <w:rPr>
          <w:rFonts w:ascii="Arial" w:hAnsi="Arial" w:cs="Arial"/>
          <w:sz w:val="22"/>
          <w:szCs w:val="22"/>
        </w:rPr>
        <w:t xml:space="preserve">ype 2 Diabetes Mellitus </w:t>
      </w:r>
      <w:r w:rsidR="00A256E0" w:rsidRPr="00AB6114">
        <w:rPr>
          <w:rFonts w:ascii="Arial" w:hAnsi="Arial" w:cs="Arial"/>
          <w:sz w:val="22"/>
          <w:szCs w:val="22"/>
        </w:rPr>
        <w:t>develops when the body does not produce enough insulin and when tissues like the muscles and liver become resistant to it (Kahn et al., 2014). This reduces glucose uptake and leads to long</w:t>
      </w:r>
      <w:r w:rsidR="00A256E0" w:rsidRPr="00AB6114">
        <w:rPr>
          <w:rFonts w:ascii="Arial" w:hAnsi="Arial" w:cs="Arial"/>
          <w:sz w:val="22"/>
          <w:szCs w:val="22"/>
        </w:rPr>
        <w:noBreakHyphen/>
        <w:t>lasting high blood sugar. Over time, high glucose levels cause oxidative stress, inflammation, and damage to blood vessels, increasing the risk of heart disease, nerve damage, kidney disease, and vision problems (An et al., 2023). Extremely high blood sugar</w:t>
      </w:r>
      <w:r w:rsidRPr="00AB6114">
        <w:rPr>
          <w:rFonts w:ascii="Arial" w:hAnsi="Arial" w:cs="Arial"/>
          <w:sz w:val="22"/>
          <w:szCs w:val="22"/>
        </w:rPr>
        <w:t xml:space="preserve"> </w:t>
      </w:r>
      <w:r w:rsidR="00A256E0" w:rsidRPr="00AB6114">
        <w:rPr>
          <w:rFonts w:ascii="Arial" w:hAnsi="Arial" w:cs="Arial"/>
          <w:sz w:val="22"/>
          <w:szCs w:val="22"/>
        </w:rPr>
        <w:t>above 40 mmol/L</w:t>
      </w:r>
      <w:r w:rsidRPr="00AB6114">
        <w:rPr>
          <w:rFonts w:ascii="Arial" w:hAnsi="Arial" w:cs="Arial"/>
          <w:sz w:val="22"/>
          <w:szCs w:val="22"/>
        </w:rPr>
        <w:t xml:space="preserve"> </w:t>
      </w:r>
      <w:r w:rsidR="00A256E0" w:rsidRPr="00AB6114">
        <w:rPr>
          <w:rFonts w:ascii="Arial" w:hAnsi="Arial" w:cs="Arial"/>
          <w:sz w:val="22"/>
          <w:szCs w:val="22"/>
        </w:rPr>
        <w:t>can also trigger a serious emergency called hyperosmolar hyperglycaemic state (HHS), showing why regular monitoring and</w:t>
      </w:r>
      <w:r w:rsidR="007147F9" w:rsidRPr="00AB6114">
        <w:rPr>
          <w:rFonts w:ascii="Arial" w:eastAsia="Times New Roman" w:hAnsi="Arial" w:cs="Arial"/>
          <w:kern w:val="0"/>
          <w:sz w:val="22"/>
          <w:szCs w:val="22"/>
          <w:lang w:eastAsia="en-GB"/>
          <w14:ligatures w14:val="none"/>
        </w:rPr>
        <w:t xml:space="preserve"> </w:t>
      </w:r>
      <w:r w:rsidR="007147F9" w:rsidRPr="00AB6114">
        <w:rPr>
          <w:rFonts w:ascii="Arial" w:hAnsi="Arial" w:cs="Arial"/>
          <w:sz w:val="22"/>
          <w:szCs w:val="22"/>
        </w:rPr>
        <w:t>timely treatment</w:t>
      </w:r>
      <w:r w:rsidR="00A256E0" w:rsidRPr="00AB6114">
        <w:rPr>
          <w:rFonts w:ascii="Arial" w:hAnsi="Arial" w:cs="Arial"/>
          <w:sz w:val="22"/>
          <w:szCs w:val="22"/>
        </w:rPr>
        <w:t xml:space="preserve"> are essential (Diabetes UK, 2023).</w:t>
      </w:r>
    </w:p>
    <w:p w14:paraId="1374ADA3" w14:textId="32F053AC" w:rsidR="00656823" w:rsidRPr="00AB6114" w:rsidRDefault="00A22731" w:rsidP="00AB6114">
      <w:pPr>
        <w:spacing w:after="0" w:line="360" w:lineRule="auto"/>
        <w:rPr>
          <w:rFonts w:ascii="Arial" w:hAnsi="Arial" w:cs="Arial"/>
          <w:b/>
          <w:bCs/>
          <w:sz w:val="22"/>
          <w:szCs w:val="22"/>
        </w:rPr>
      </w:pPr>
      <w:r w:rsidRPr="00AB6114">
        <w:rPr>
          <w:rFonts w:ascii="Arial" w:hAnsi="Arial" w:cs="Arial"/>
          <w:b/>
          <w:bCs/>
          <w:sz w:val="22"/>
          <w:szCs w:val="22"/>
        </w:rPr>
        <w:t>Impact on Individuals and Health Systems</w:t>
      </w:r>
      <w:r w:rsidR="00500758" w:rsidRPr="00AB6114">
        <w:rPr>
          <w:rFonts w:ascii="Arial" w:hAnsi="Arial" w:cs="Arial"/>
          <w:b/>
          <w:bCs/>
          <w:sz w:val="22"/>
          <w:szCs w:val="22"/>
        </w:rPr>
        <w:t xml:space="preserve"> </w:t>
      </w:r>
    </w:p>
    <w:p w14:paraId="1E329864" w14:textId="65402216" w:rsidR="00656823" w:rsidRPr="00AB6114" w:rsidRDefault="00396615" w:rsidP="00AB6114">
      <w:pPr>
        <w:spacing w:after="0" w:line="360" w:lineRule="auto"/>
        <w:rPr>
          <w:rFonts w:ascii="Arial" w:hAnsi="Arial" w:cs="Arial"/>
          <w:b/>
          <w:bCs/>
          <w:sz w:val="22"/>
          <w:szCs w:val="22"/>
        </w:rPr>
      </w:pPr>
      <w:r w:rsidRPr="00AB6114">
        <w:rPr>
          <w:rFonts w:ascii="Arial" w:hAnsi="Arial" w:cs="Arial"/>
          <w:sz w:val="22"/>
          <w:szCs w:val="22"/>
        </w:rPr>
        <w:t xml:space="preserve">Serious health problems </w:t>
      </w:r>
      <w:r w:rsidR="0059250B" w:rsidRPr="00AB6114">
        <w:rPr>
          <w:rFonts w:ascii="Arial" w:hAnsi="Arial" w:cs="Arial"/>
          <w:sz w:val="22"/>
          <w:szCs w:val="22"/>
        </w:rPr>
        <w:t xml:space="preserve">can </w:t>
      </w:r>
      <w:r w:rsidR="00442AA0" w:rsidRPr="00AB6114">
        <w:rPr>
          <w:rFonts w:ascii="Arial" w:hAnsi="Arial" w:cs="Arial"/>
          <w:sz w:val="22"/>
          <w:szCs w:val="22"/>
        </w:rPr>
        <w:t>arise</w:t>
      </w:r>
      <w:r w:rsidR="0059250B" w:rsidRPr="00AB6114">
        <w:rPr>
          <w:rFonts w:ascii="Arial" w:hAnsi="Arial" w:cs="Arial"/>
          <w:sz w:val="22"/>
          <w:szCs w:val="22"/>
        </w:rPr>
        <w:t xml:space="preserve"> </w:t>
      </w:r>
      <w:r w:rsidR="0040494E" w:rsidRPr="00AB6114">
        <w:rPr>
          <w:rFonts w:ascii="Arial" w:hAnsi="Arial" w:cs="Arial"/>
          <w:sz w:val="22"/>
          <w:szCs w:val="22"/>
        </w:rPr>
        <w:t xml:space="preserve">if </w:t>
      </w:r>
      <w:r w:rsidR="00500758" w:rsidRPr="00AB6114">
        <w:rPr>
          <w:rFonts w:ascii="Arial" w:hAnsi="Arial" w:cs="Arial"/>
          <w:sz w:val="22"/>
          <w:szCs w:val="22"/>
        </w:rPr>
        <w:t>T2DM</w:t>
      </w:r>
      <w:r w:rsidR="00442AA0" w:rsidRPr="00AB6114">
        <w:rPr>
          <w:rFonts w:ascii="Arial" w:hAnsi="Arial" w:cs="Arial"/>
          <w:sz w:val="22"/>
          <w:szCs w:val="22"/>
        </w:rPr>
        <w:t xml:space="preserve"> </w:t>
      </w:r>
      <w:r w:rsidR="00DB29F5" w:rsidRPr="00AB6114">
        <w:rPr>
          <w:rFonts w:ascii="Arial" w:hAnsi="Arial" w:cs="Arial"/>
          <w:sz w:val="22"/>
          <w:szCs w:val="22"/>
        </w:rPr>
        <w:t>is</w:t>
      </w:r>
      <w:r w:rsidR="00500758" w:rsidRPr="00AB6114">
        <w:rPr>
          <w:rFonts w:ascii="Arial" w:hAnsi="Arial" w:cs="Arial"/>
          <w:sz w:val="22"/>
          <w:szCs w:val="22"/>
        </w:rPr>
        <w:t xml:space="preserve"> poorly</w:t>
      </w:r>
      <w:r w:rsidR="00D7033B" w:rsidRPr="00AB6114">
        <w:rPr>
          <w:rFonts w:ascii="Arial" w:hAnsi="Arial" w:cs="Arial"/>
          <w:sz w:val="22"/>
          <w:szCs w:val="22"/>
        </w:rPr>
        <w:t xml:space="preserve"> </w:t>
      </w:r>
      <w:r w:rsidR="00E510C5" w:rsidRPr="00AB6114">
        <w:rPr>
          <w:rFonts w:ascii="Arial" w:hAnsi="Arial" w:cs="Arial"/>
          <w:sz w:val="22"/>
          <w:szCs w:val="22"/>
        </w:rPr>
        <w:t>managed,</w:t>
      </w:r>
      <w:r w:rsidR="00656823" w:rsidRPr="00AB6114">
        <w:rPr>
          <w:rFonts w:ascii="Arial" w:hAnsi="Arial" w:cs="Arial"/>
          <w:sz w:val="22"/>
          <w:szCs w:val="22"/>
        </w:rPr>
        <w:t xml:space="preserve"> including heart disease, kidney failure, amputations, slow wound healing, frequent infections, erectile dysfunction, and gum disease (McVeigh, 2009; Diabetes.co.uk, 2019). It can also affect mental health, with higher rates of depression and anxiety. The condition places a major financial strain on the NHS, costing around £10 billion each year (NHS England, 2022). Early education, monitoring, and intervention are essential to prevent complications and reduce healthcare costs.</w:t>
      </w:r>
    </w:p>
    <w:p w14:paraId="3295E04F" w14:textId="04ED5408" w:rsidR="00A22731" w:rsidRPr="00AB6114" w:rsidRDefault="00A22731" w:rsidP="00AB6114">
      <w:pPr>
        <w:spacing w:after="0" w:line="360" w:lineRule="auto"/>
        <w:rPr>
          <w:rFonts w:ascii="Arial" w:hAnsi="Arial" w:cs="Arial"/>
          <w:sz w:val="22"/>
          <w:szCs w:val="22"/>
        </w:rPr>
      </w:pPr>
    </w:p>
    <w:p w14:paraId="2E598793" w14:textId="6340B48B" w:rsidR="00CE19B7" w:rsidRPr="00AB6114" w:rsidRDefault="00A22731" w:rsidP="00AB6114">
      <w:pPr>
        <w:spacing w:after="0" w:line="360" w:lineRule="auto"/>
        <w:rPr>
          <w:rFonts w:ascii="Arial" w:hAnsi="Arial" w:cs="Arial"/>
          <w:b/>
          <w:bCs/>
          <w:sz w:val="22"/>
          <w:szCs w:val="22"/>
        </w:rPr>
      </w:pPr>
      <w:r w:rsidRPr="00AB6114">
        <w:rPr>
          <w:rFonts w:ascii="Arial" w:hAnsi="Arial" w:cs="Arial"/>
          <w:b/>
          <w:bCs/>
          <w:sz w:val="22"/>
          <w:szCs w:val="22"/>
        </w:rPr>
        <w:t>Management of Type 2 Diabetes</w:t>
      </w:r>
    </w:p>
    <w:p w14:paraId="3F64613B" w14:textId="4AA8757D" w:rsidR="003242A9" w:rsidRPr="00AB6114" w:rsidRDefault="003242A9" w:rsidP="00AB6114">
      <w:pPr>
        <w:spacing w:after="0" w:line="360" w:lineRule="auto"/>
        <w:rPr>
          <w:rFonts w:ascii="Arial" w:hAnsi="Arial" w:cs="Arial"/>
          <w:sz w:val="22"/>
          <w:szCs w:val="22"/>
        </w:rPr>
      </w:pPr>
      <w:r w:rsidRPr="00AB6114">
        <w:rPr>
          <w:rFonts w:ascii="Arial" w:hAnsi="Arial" w:cs="Arial"/>
          <w:sz w:val="22"/>
          <w:szCs w:val="22"/>
        </w:rPr>
        <w:t xml:space="preserve">For individuals diagnosed with Type 2 Diabetes Mellitus, management focuses on keeping blood sugar levels within a safe range and preventing complications. </w:t>
      </w:r>
      <w:r w:rsidR="00A472A1" w:rsidRPr="00AB6114">
        <w:rPr>
          <w:rFonts w:ascii="Arial" w:hAnsi="Arial" w:cs="Arial"/>
          <w:sz w:val="22"/>
          <w:szCs w:val="22"/>
        </w:rPr>
        <w:t xml:space="preserve">This is attained </w:t>
      </w:r>
      <w:r w:rsidR="00E34BB3" w:rsidRPr="00AB6114">
        <w:rPr>
          <w:rFonts w:ascii="Arial" w:hAnsi="Arial" w:cs="Arial"/>
          <w:sz w:val="22"/>
          <w:szCs w:val="22"/>
        </w:rPr>
        <w:t>through healthy lifestyle habits, appropriate medication, and ongoing support</w:t>
      </w:r>
      <w:r w:rsidR="009F6366" w:rsidRPr="00AB6114">
        <w:rPr>
          <w:rFonts w:ascii="Arial" w:hAnsi="Arial" w:cs="Arial"/>
          <w:sz w:val="22"/>
          <w:szCs w:val="22"/>
        </w:rPr>
        <w:t>.</w:t>
      </w:r>
    </w:p>
    <w:p w14:paraId="08F2E835" w14:textId="0D1D617B" w:rsidR="003242A9" w:rsidRPr="00AB6114" w:rsidRDefault="00292C46" w:rsidP="00AB6114">
      <w:pPr>
        <w:spacing w:after="0" w:line="360" w:lineRule="auto"/>
        <w:rPr>
          <w:rFonts w:ascii="Arial" w:hAnsi="Arial" w:cs="Arial"/>
          <w:sz w:val="22"/>
          <w:szCs w:val="22"/>
        </w:rPr>
      </w:pPr>
      <w:r w:rsidRPr="00AB6114">
        <w:rPr>
          <w:rFonts w:ascii="Arial" w:hAnsi="Arial" w:cs="Arial"/>
          <w:sz w:val="22"/>
          <w:szCs w:val="22"/>
        </w:rPr>
        <w:t>A balanced, carb</w:t>
      </w:r>
      <w:r w:rsidRPr="00AB6114">
        <w:rPr>
          <w:rFonts w:ascii="Arial" w:hAnsi="Arial" w:cs="Arial"/>
          <w:sz w:val="22"/>
          <w:szCs w:val="22"/>
        </w:rPr>
        <w:noBreakHyphen/>
        <w:t>controlled diet is important, and dietitians can help create a plan that suits each person (NICE, 2022).</w:t>
      </w:r>
      <w:r w:rsidR="006D7973" w:rsidRPr="00AB6114">
        <w:rPr>
          <w:rFonts w:ascii="Arial" w:hAnsi="Arial" w:cs="Arial"/>
          <w:sz w:val="22"/>
          <w:szCs w:val="22"/>
        </w:rPr>
        <w:t xml:space="preserve"> </w:t>
      </w:r>
      <w:r w:rsidR="003242A9" w:rsidRPr="00AB6114">
        <w:rPr>
          <w:rFonts w:ascii="Arial" w:hAnsi="Arial" w:cs="Arial"/>
          <w:sz w:val="22"/>
          <w:szCs w:val="22"/>
        </w:rPr>
        <w:t>Regular physical activity is also important, as it improves how the body uses insulin, helps with weight control, and supports heart health. Maintaining a healthy weight can improve blood glucose levels and may reduce the need for medication (Knowler et al., 2002).</w:t>
      </w:r>
    </w:p>
    <w:p w14:paraId="69C2EF93" w14:textId="774B14B9" w:rsidR="003242A9" w:rsidRPr="00AB6114" w:rsidRDefault="003242A9" w:rsidP="00AB6114">
      <w:pPr>
        <w:spacing w:after="0" w:line="360" w:lineRule="auto"/>
        <w:rPr>
          <w:rFonts w:ascii="Arial" w:hAnsi="Arial" w:cs="Arial"/>
          <w:sz w:val="22"/>
          <w:szCs w:val="22"/>
        </w:rPr>
      </w:pPr>
      <w:r w:rsidRPr="00AB6114">
        <w:rPr>
          <w:rFonts w:ascii="Arial" w:hAnsi="Arial" w:cs="Arial"/>
          <w:sz w:val="22"/>
          <w:szCs w:val="22"/>
        </w:rPr>
        <w:t>Medications such as Metformin and GLP-1 receptor agonists may</w:t>
      </w:r>
      <w:r w:rsidR="008F04C7" w:rsidRPr="00AB6114">
        <w:rPr>
          <w:rFonts w:ascii="Arial" w:eastAsia="Times New Roman" w:hAnsi="Arial" w:cs="Arial"/>
          <w:kern w:val="0"/>
          <w:sz w:val="22"/>
          <w:szCs w:val="22"/>
          <w:lang w:eastAsia="en-GB"/>
          <w14:ligatures w14:val="none"/>
        </w:rPr>
        <w:t xml:space="preserve"> </w:t>
      </w:r>
      <w:r w:rsidR="008F04C7" w:rsidRPr="00AB6114">
        <w:rPr>
          <w:rFonts w:ascii="Arial" w:hAnsi="Arial" w:cs="Arial"/>
          <w:sz w:val="22"/>
          <w:szCs w:val="22"/>
        </w:rPr>
        <w:t>be utilised</w:t>
      </w:r>
      <w:r w:rsidRPr="00AB6114">
        <w:rPr>
          <w:rFonts w:ascii="Arial" w:hAnsi="Arial" w:cs="Arial"/>
          <w:sz w:val="22"/>
          <w:szCs w:val="22"/>
        </w:rPr>
        <w:t xml:space="preserve"> to control blood sugar and lower the risk of heart disease (Davies et al., 2018). Regular blood glucose monitoring helps ensure treatment remains effective. Programmes like DESMOND also support people in managing their condition (Diabetes UK, 2019).</w:t>
      </w:r>
    </w:p>
    <w:p w14:paraId="766DCEB0" w14:textId="77777777" w:rsidR="003242A9" w:rsidRDefault="003242A9" w:rsidP="00AB6114">
      <w:pPr>
        <w:spacing w:after="0" w:line="360" w:lineRule="auto"/>
        <w:rPr>
          <w:rFonts w:ascii="Arial" w:hAnsi="Arial" w:cs="Arial"/>
          <w:sz w:val="22"/>
          <w:szCs w:val="22"/>
        </w:rPr>
      </w:pPr>
      <w:r w:rsidRPr="00AB6114">
        <w:rPr>
          <w:rFonts w:ascii="Arial" w:hAnsi="Arial" w:cs="Arial"/>
          <w:sz w:val="22"/>
          <w:szCs w:val="22"/>
        </w:rPr>
        <w:t>Ongoing education and support from healthcare professionals are key to helping individuals manage diabetes confidently (Department of Health, 2001; NMC, 2018).</w:t>
      </w:r>
    </w:p>
    <w:p w14:paraId="6EE44223" w14:textId="77777777" w:rsidR="00513BF5" w:rsidRPr="00AB6114" w:rsidRDefault="00513BF5" w:rsidP="00AB6114">
      <w:pPr>
        <w:spacing w:after="0" w:line="360" w:lineRule="auto"/>
        <w:rPr>
          <w:rFonts w:ascii="Arial" w:hAnsi="Arial" w:cs="Arial"/>
          <w:sz w:val="22"/>
          <w:szCs w:val="22"/>
        </w:rPr>
      </w:pPr>
    </w:p>
    <w:p w14:paraId="580A101F" w14:textId="77777777" w:rsidR="00CE19B7" w:rsidRPr="00AB6114" w:rsidRDefault="00CE19B7" w:rsidP="00AB6114">
      <w:pPr>
        <w:spacing w:after="0" w:line="360" w:lineRule="auto"/>
        <w:rPr>
          <w:rFonts w:ascii="Arial" w:hAnsi="Arial" w:cs="Arial"/>
          <w:sz w:val="22"/>
          <w:szCs w:val="22"/>
        </w:rPr>
      </w:pPr>
    </w:p>
    <w:p w14:paraId="439B76FF" w14:textId="77777777" w:rsidR="00DB6A34" w:rsidRPr="00AB6114" w:rsidRDefault="00DB6A34" w:rsidP="00AB6114">
      <w:pPr>
        <w:spacing w:after="0" w:line="360" w:lineRule="auto"/>
        <w:rPr>
          <w:rFonts w:ascii="Arial" w:hAnsi="Arial" w:cs="Arial"/>
          <w:sz w:val="22"/>
          <w:szCs w:val="22"/>
        </w:rPr>
      </w:pPr>
    </w:p>
    <w:p w14:paraId="325A55EE" w14:textId="382F74AB" w:rsidR="0018128C" w:rsidRPr="00AB6114" w:rsidRDefault="00A22731" w:rsidP="00AB6114">
      <w:pPr>
        <w:spacing w:after="0" w:line="360" w:lineRule="auto"/>
        <w:rPr>
          <w:rFonts w:ascii="Arial" w:hAnsi="Arial" w:cs="Arial"/>
          <w:b/>
          <w:bCs/>
          <w:sz w:val="22"/>
          <w:szCs w:val="22"/>
        </w:rPr>
      </w:pPr>
      <w:r w:rsidRPr="00AB6114">
        <w:rPr>
          <w:rFonts w:ascii="Arial" w:hAnsi="Arial" w:cs="Arial"/>
          <w:b/>
          <w:bCs/>
          <w:sz w:val="22"/>
          <w:szCs w:val="22"/>
        </w:rPr>
        <w:t>Policy and Guidelines</w:t>
      </w:r>
    </w:p>
    <w:p w14:paraId="590913C7" w14:textId="6C0A7F73" w:rsidR="001D4CE5" w:rsidRPr="00AB6114" w:rsidRDefault="0018128C" w:rsidP="00AB6114">
      <w:pPr>
        <w:spacing w:after="0" w:line="360" w:lineRule="auto"/>
        <w:rPr>
          <w:rFonts w:ascii="Arial" w:hAnsi="Arial" w:cs="Arial"/>
          <w:sz w:val="22"/>
          <w:szCs w:val="22"/>
        </w:rPr>
      </w:pPr>
      <w:r w:rsidRPr="00AB6114">
        <w:rPr>
          <w:rFonts w:ascii="Arial" w:hAnsi="Arial" w:cs="Arial"/>
          <w:sz w:val="22"/>
          <w:szCs w:val="22"/>
        </w:rPr>
        <w:t>National policies support effective T2DM prevention and management. NICE provides evidence</w:t>
      </w:r>
      <w:r w:rsidRPr="00AB6114">
        <w:rPr>
          <w:rFonts w:ascii="Arial" w:hAnsi="Arial" w:cs="Arial"/>
          <w:sz w:val="22"/>
          <w:szCs w:val="22"/>
        </w:rPr>
        <w:noBreakHyphen/>
        <w:t>based guidance on diagnosis, lifestyle change, medication, and structured education (NICE, 2022). The NHS Diabetes Prevention Programme promotes early lifestyle support for at</w:t>
      </w:r>
      <w:r w:rsidRPr="00AB6114">
        <w:rPr>
          <w:rFonts w:ascii="Arial" w:hAnsi="Arial" w:cs="Arial"/>
          <w:sz w:val="22"/>
          <w:szCs w:val="22"/>
        </w:rPr>
        <w:noBreakHyphen/>
        <w:t>risk groups (NHS England, 2023). Together, these frameworks highlight the need for multidisciplinary care involving healthcare teams, dietitians, mental</w:t>
      </w:r>
      <w:r w:rsidRPr="00AB6114">
        <w:rPr>
          <w:rFonts w:ascii="Arial" w:hAnsi="Arial" w:cs="Arial"/>
          <w:sz w:val="22"/>
          <w:szCs w:val="22"/>
        </w:rPr>
        <w:noBreakHyphen/>
        <w:t>health support, and patient education to reduce incidence and complications</w:t>
      </w:r>
      <w:r w:rsidR="00246988" w:rsidRPr="00AB6114">
        <w:rPr>
          <w:rFonts w:ascii="Arial" w:hAnsi="Arial" w:cs="Arial"/>
          <w:sz w:val="22"/>
          <w:szCs w:val="22"/>
        </w:rPr>
        <w:t>.</w:t>
      </w:r>
    </w:p>
    <w:p w14:paraId="1B7A2066" w14:textId="77777777" w:rsidR="001D4CE5" w:rsidRPr="00AB6114" w:rsidRDefault="001D4CE5" w:rsidP="00AB6114">
      <w:pPr>
        <w:spacing w:after="0" w:line="360" w:lineRule="auto"/>
        <w:rPr>
          <w:rFonts w:ascii="Arial" w:hAnsi="Arial" w:cs="Arial"/>
          <w:sz w:val="22"/>
          <w:szCs w:val="22"/>
        </w:rPr>
      </w:pPr>
    </w:p>
    <w:p w14:paraId="09AA8EFB" w14:textId="659940CA" w:rsidR="00967E4B" w:rsidRPr="00AB6114" w:rsidRDefault="00A22731" w:rsidP="00AB6114">
      <w:pPr>
        <w:spacing w:after="0" w:line="360" w:lineRule="auto"/>
        <w:rPr>
          <w:rFonts w:ascii="Arial" w:hAnsi="Arial" w:cs="Arial"/>
          <w:b/>
          <w:bCs/>
          <w:sz w:val="22"/>
          <w:szCs w:val="22"/>
        </w:rPr>
      </w:pPr>
      <w:r w:rsidRPr="00AB6114">
        <w:rPr>
          <w:rFonts w:ascii="Arial" w:hAnsi="Arial" w:cs="Arial"/>
          <w:b/>
          <w:bCs/>
          <w:sz w:val="22"/>
          <w:szCs w:val="22"/>
        </w:rPr>
        <w:t>Conclusion</w:t>
      </w:r>
    </w:p>
    <w:p w14:paraId="3F9F98CE" w14:textId="77777777" w:rsidR="00E3261C" w:rsidRPr="00AB6114" w:rsidRDefault="00967E4B" w:rsidP="00AB6114">
      <w:pPr>
        <w:spacing w:after="0" w:line="360" w:lineRule="auto"/>
        <w:rPr>
          <w:rFonts w:ascii="Arial" w:hAnsi="Arial" w:cs="Arial"/>
          <w:sz w:val="22"/>
          <w:szCs w:val="22"/>
        </w:rPr>
      </w:pPr>
      <w:r w:rsidRPr="00AB6114">
        <w:rPr>
          <w:rFonts w:ascii="Arial" w:hAnsi="Arial" w:cs="Arial"/>
          <w:sz w:val="22"/>
          <w:szCs w:val="22"/>
        </w:rPr>
        <w:t>Type 2 Diabetes Mellitus is a growing public health concern with serious health, psychological, and economic impacts. Prevention focuses on healthy lifestyle changes, including a balanced diet, regular physical activity, maintaining a healthy weight, and routine health checks. For those diagnosed, effective management aims to control blood glucose levels, prevent complications, and improve quality of life through education, medication, and ongoing support.</w:t>
      </w:r>
    </w:p>
    <w:p w14:paraId="659FCF00" w14:textId="69C84FFE" w:rsidR="00967E4B" w:rsidRPr="00AB6114" w:rsidRDefault="00967E4B" w:rsidP="00AB6114">
      <w:pPr>
        <w:spacing w:after="0" w:line="360" w:lineRule="auto"/>
        <w:rPr>
          <w:rFonts w:ascii="Arial" w:hAnsi="Arial" w:cs="Arial"/>
          <w:sz w:val="22"/>
          <w:szCs w:val="22"/>
        </w:rPr>
      </w:pPr>
      <w:r w:rsidRPr="00AB6114">
        <w:rPr>
          <w:rFonts w:ascii="Arial" w:hAnsi="Arial" w:cs="Arial"/>
          <w:sz w:val="22"/>
          <w:szCs w:val="22"/>
        </w:rPr>
        <w:t xml:space="preserve"> Public health strategies,</w:t>
      </w:r>
      <w:r w:rsidR="00E41186" w:rsidRPr="00AB6114">
        <w:rPr>
          <w:rFonts w:ascii="Arial" w:hAnsi="Arial" w:cs="Arial"/>
          <w:sz w:val="22"/>
          <w:szCs w:val="22"/>
        </w:rPr>
        <w:t xml:space="preserve"> multidisciplinary care</w:t>
      </w:r>
      <w:r w:rsidRPr="00AB6114">
        <w:rPr>
          <w:rFonts w:ascii="Arial" w:hAnsi="Arial" w:cs="Arial"/>
          <w:sz w:val="22"/>
          <w:szCs w:val="22"/>
        </w:rPr>
        <w:t xml:space="preserve"> </w:t>
      </w:r>
      <w:r w:rsidR="00E41186" w:rsidRPr="00AB6114">
        <w:rPr>
          <w:rFonts w:ascii="Arial" w:hAnsi="Arial" w:cs="Arial"/>
          <w:sz w:val="22"/>
          <w:szCs w:val="22"/>
        </w:rPr>
        <w:t xml:space="preserve">and </w:t>
      </w:r>
      <w:r w:rsidRPr="00AB6114">
        <w:rPr>
          <w:rFonts w:ascii="Arial" w:hAnsi="Arial" w:cs="Arial"/>
          <w:sz w:val="22"/>
          <w:szCs w:val="22"/>
        </w:rPr>
        <w:t>patient education are essential to reduce the burden of the condition, improve long-term outcomes, and support individuals in making lasting, healthy lifestyle changes</w:t>
      </w:r>
      <w:r w:rsidR="00246988" w:rsidRPr="00AB6114">
        <w:rPr>
          <w:rFonts w:ascii="Arial" w:hAnsi="Arial" w:cs="Arial"/>
          <w:sz w:val="22"/>
          <w:szCs w:val="22"/>
        </w:rPr>
        <w:t>.</w:t>
      </w:r>
    </w:p>
    <w:p w14:paraId="74339F42" w14:textId="77777777" w:rsidR="00967E4B" w:rsidRPr="00AB6114" w:rsidRDefault="00967E4B" w:rsidP="00AB6114">
      <w:pPr>
        <w:spacing w:after="0" w:line="360" w:lineRule="auto"/>
        <w:rPr>
          <w:rFonts w:ascii="Arial" w:hAnsi="Arial" w:cs="Arial"/>
          <w:sz w:val="22"/>
          <w:szCs w:val="22"/>
        </w:rPr>
      </w:pPr>
    </w:p>
    <w:p w14:paraId="6E5175B3" w14:textId="77777777" w:rsidR="00923E89" w:rsidRPr="00AB6114" w:rsidRDefault="00923E89" w:rsidP="00AB6114">
      <w:pPr>
        <w:spacing w:after="0" w:line="360" w:lineRule="auto"/>
        <w:rPr>
          <w:rFonts w:ascii="Arial" w:hAnsi="Arial" w:cs="Arial"/>
          <w:sz w:val="22"/>
          <w:szCs w:val="22"/>
        </w:rPr>
      </w:pPr>
    </w:p>
    <w:p w14:paraId="27C95A49" w14:textId="77777777" w:rsidR="00E41186" w:rsidRPr="00AB6114" w:rsidRDefault="00E41186" w:rsidP="00AB6114">
      <w:pPr>
        <w:spacing w:after="0" w:line="360" w:lineRule="auto"/>
        <w:rPr>
          <w:rFonts w:ascii="Arial" w:hAnsi="Arial" w:cs="Arial"/>
          <w:sz w:val="22"/>
          <w:szCs w:val="22"/>
        </w:rPr>
      </w:pPr>
    </w:p>
    <w:p w14:paraId="6DF31014" w14:textId="77777777" w:rsidR="00923E89" w:rsidRPr="00AB6114" w:rsidRDefault="00923E89" w:rsidP="00AB6114">
      <w:pPr>
        <w:spacing w:after="0" w:line="360" w:lineRule="auto"/>
        <w:rPr>
          <w:rFonts w:ascii="Arial" w:hAnsi="Arial" w:cs="Arial"/>
          <w:sz w:val="22"/>
          <w:szCs w:val="22"/>
        </w:rPr>
      </w:pPr>
    </w:p>
    <w:p w14:paraId="0353C43E" w14:textId="77777777" w:rsidR="00923E89" w:rsidRPr="00AB6114" w:rsidRDefault="00923E89" w:rsidP="00AB6114">
      <w:pPr>
        <w:spacing w:after="0" w:line="360" w:lineRule="auto"/>
        <w:rPr>
          <w:rFonts w:ascii="Arial" w:hAnsi="Arial" w:cs="Arial"/>
          <w:sz w:val="22"/>
          <w:szCs w:val="22"/>
        </w:rPr>
      </w:pPr>
    </w:p>
    <w:p w14:paraId="66D5148F" w14:textId="77777777" w:rsidR="00923E89" w:rsidRPr="00AB6114" w:rsidRDefault="00923E89" w:rsidP="00AB6114">
      <w:pPr>
        <w:spacing w:after="0" w:line="360" w:lineRule="auto"/>
        <w:rPr>
          <w:rFonts w:ascii="Arial" w:hAnsi="Arial" w:cs="Arial"/>
          <w:sz w:val="22"/>
          <w:szCs w:val="22"/>
        </w:rPr>
      </w:pPr>
    </w:p>
    <w:p w14:paraId="0A21E90E" w14:textId="77777777" w:rsidR="00923E89" w:rsidRPr="00AB6114" w:rsidRDefault="00923E89" w:rsidP="00AB6114">
      <w:pPr>
        <w:spacing w:after="0" w:line="360" w:lineRule="auto"/>
        <w:rPr>
          <w:rFonts w:ascii="Arial" w:hAnsi="Arial" w:cs="Arial"/>
          <w:sz w:val="22"/>
          <w:szCs w:val="22"/>
        </w:rPr>
      </w:pPr>
    </w:p>
    <w:p w14:paraId="4B5C1273" w14:textId="77777777" w:rsidR="001D4CE5" w:rsidRPr="00AB6114" w:rsidRDefault="001D4CE5" w:rsidP="00AB6114">
      <w:pPr>
        <w:spacing w:after="0" w:line="360" w:lineRule="auto"/>
        <w:rPr>
          <w:rFonts w:ascii="Arial" w:hAnsi="Arial" w:cs="Arial"/>
          <w:sz w:val="22"/>
          <w:szCs w:val="22"/>
        </w:rPr>
      </w:pPr>
    </w:p>
    <w:p w14:paraId="7E42E7E3" w14:textId="77777777" w:rsidR="001D4CE5" w:rsidRPr="00AB6114" w:rsidRDefault="001D4CE5" w:rsidP="00AB6114">
      <w:pPr>
        <w:spacing w:after="0" w:line="360" w:lineRule="auto"/>
        <w:rPr>
          <w:rFonts w:ascii="Arial" w:hAnsi="Arial" w:cs="Arial"/>
          <w:sz w:val="22"/>
          <w:szCs w:val="22"/>
        </w:rPr>
      </w:pPr>
    </w:p>
    <w:p w14:paraId="54DFB090" w14:textId="77777777" w:rsidR="001D4CE5" w:rsidRPr="00AB6114" w:rsidRDefault="001D4CE5" w:rsidP="00AB6114">
      <w:pPr>
        <w:spacing w:after="0" w:line="360" w:lineRule="auto"/>
        <w:rPr>
          <w:rFonts w:ascii="Arial" w:hAnsi="Arial" w:cs="Arial"/>
          <w:sz w:val="22"/>
          <w:szCs w:val="22"/>
        </w:rPr>
      </w:pPr>
    </w:p>
    <w:p w14:paraId="2A1DFF7D" w14:textId="77777777" w:rsidR="001D4CE5" w:rsidRPr="00AB6114" w:rsidRDefault="001D4CE5" w:rsidP="00AB6114">
      <w:pPr>
        <w:spacing w:after="0" w:line="360" w:lineRule="auto"/>
        <w:rPr>
          <w:rFonts w:ascii="Arial" w:hAnsi="Arial" w:cs="Arial"/>
          <w:sz w:val="22"/>
          <w:szCs w:val="22"/>
        </w:rPr>
      </w:pPr>
    </w:p>
    <w:p w14:paraId="1D69A1D4" w14:textId="77777777" w:rsidR="001D4CE5" w:rsidRPr="00AB6114" w:rsidRDefault="001D4CE5" w:rsidP="00AB6114">
      <w:pPr>
        <w:spacing w:after="0" w:line="360" w:lineRule="auto"/>
        <w:rPr>
          <w:rFonts w:ascii="Arial" w:hAnsi="Arial" w:cs="Arial"/>
          <w:sz w:val="22"/>
          <w:szCs w:val="22"/>
        </w:rPr>
      </w:pPr>
    </w:p>
    <w:p w14:paraId="7C9DF147" w14:textId="77777777" w:rsidR="00923E89" w:rsidRPr="00AB6114" w:rsidRDefault="00923E89" w:rsidP="00AB6114">
      <w:pPr>
        <w:spacing w:after="0" w:line="360" w:lineRule="auto"/>
        <w:rPr>
          <w:rFonts w:ascii="Arial" w:hAnsi="Arial" w:cs="Arial"/>
          <w:b/>
          <w:bCs/>
          <w:sz w:val="22"/>
          <w:szCs w:val="22"/>
        </w:rPr>
      </w:pPr>
      <w:r w:rsidRPr="00AB6114">
        <w:rPr>
          <w:rFonts w:ascii="Arial" w:hAnsi="Arial" w:cs="Arial"/>
          <w:b/>
          <w:bCs/>
          <w:sz w:val="22"/>
          <w:szCs w:val="22"/>
        </w:rPr>
        <w:t>References</w:t>
      </w:r>
    </w:p>
    <w:p w14:paraId="523E29BA"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An, Y. et al., 2023. </w:t>
      </w:r>
      <w:r w:rsidRPr="00AB6114">
        <w:rPr>
          <w:rFonts w:ascii="Arial" w:hAnsi="Arial" w:cs="Arial"/>
          <w:i/>
          <w:iCs/>
          <w:sz w:val="22"/>
          <w:szCs w:val="22"/>
        </w:rPr>
        <w:t>Pathophysiology of Type 2 Diabetes Mellitus</w:t>
      </w:r>
      <w:r w:rsidRPr="00AB6114">
        <w:rPr>
          <w:rFonts w:ascii="Arial" w:hAnsi="Arial" w:cs="Arial"/>
          <w:sz w:val="22"/>
          <w:szCs w:val="22"/>
        </w:rPr>
        <w:t xml:space="preserve">. Journal of Endocrinology, 24(2), pp.112–126. </w:t>
      </w:r>
    </w:p>
    <w:p w14:paraId="35D3A501" w14:textId="584C484B"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lastRenderedPageBreak/>
        <w:t xml:space="preserve">Davies, M.J. et al., 2018. </w:t>
      </w:r>
      <w:r w:rsidRPr="00AB6114">
        <w:rPr>
          <w:rFonts w:ascii="Arial" w:hAnsi="Arial" w:cs="Arial"/>
          <w:i/>
          <w:iCs/>
          <w:sz w:val="22"/>
          <w:szCs w:val="22"/>
        </w:rPr>
        <w:t xml:space="preserve">Management of </w:t>
      </w:r>
      <w:r w:rsidR="00824265" w:rsidRPr="00AB6114">
        <w:rPr>
          <w:rFonts w:ascii="Arial" w:hAnsi="Arial" w:cs="Arial"/>
          <w:i/>
          <w:iCs/>
          <w:sz w:val="22"/>
          <w:szCs w:val="22"/>
        </w:rPr>
        <w:t>Hyperglycaemia</w:t>
      </w:r>
      <w:r w:rsidRPr="00AB6114">
        <w:rPr>
          <w:rFonts w:ascii="Arial" w:hAnsi="Arial" w:cs="Arial"/>
          <w:i/>
          <w:iCs/>
          <w:sz w:val="22"/>
          <w:szCs w:val="22"/>
        </w:rPr>
        <w:t xml:space="preserve"> in Type 2 Diabetes: Consensus Guidelines</w:t>
      </w:r>
      <w:r w:rsidRPr="00AB6114">
        <w:rPr>
          <w:rFonts w:ascii="Arial" w:hAnsi="Arial" w:cs="Arial"/>
          <w:sz w:val="22"/>
          <w:szCs w:val="22"/>
        </w:rPr>
        <w:t xml:space="preserve">. Diabetes Care, 41(12), pp.2669–2701. </w:t>
      </w:r>
    </w:p>
    <w:p w14:paraId="136DE870"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Diabetes.co.uk, 2019. </w:t>
      </w:r>
      <w:r w:rsidRPr="00AB6114">
        <w:rPr>
          <w:rFonts w:ascii="Arial" w:hAnsi="Arial" w:cs="Arial"/>
          <w:i/>
          <w:iCs/>
          <w:sz w:val="22"/>
          <w:szCs w:val="22"/>
        </w:rPr>
        <w:t>Mental Health and Diabetes</w:t>
      </w:r>
      <w:r w:rsidRPr="00AB6114">
        <w:rPr>
          <w:rFonts w:ascii="Arial" w:hAnsi="Arial" w:cs="Arial"/>
          <w:sz w:val="22"/>
          <w:szCs w:val="22"/>
        </w:rPr>
        <w:t xml:space="preserve">. [online] Available at: https://www.diabetes.co.uk/mental-health.html [Accessed 24 Mar. 2026]. </w:t>
      </w:r>
    </w:p>
    <w:p w14:paraId="7A7AD8B1"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Diabetes UK, 2019. </w:t>
      </w:r>
      <w:r w:rsidRPr="00AB6114">
        <w:rPr>
          <w:rFonts w:ascii="Arial" w:hAnsi="Arial" w:cs="Arial"/>
          <w:i/>
          <w:iCs/>
          <w:sz w:val="22"/>
          <w:szCs w:val="22"/>
        </w:rPr>
        <w:t>DESMOND: Diabetes Education and Self-Management</w:t>
      </w:r>
      <w:r w:rsidRPr="00AB6114">
        <w:rPr>
          <w:rFonts w:ascii="Arial" w:hAnsi="Arial" w:cs="Arial"/>
          <w:sz w:val="22"/>
          <w:szCs w:val="22"/>
        </w:rPr>
        <w:t xml:space="preserve">. London: Diabetes UK. </w:t>
      </w:r>
    </w:p>
    <w:p w14:paraId="55D7ED7E"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Diabetes UK, 2023. </w:t>
      </w:r>
      <w:r w:rsidRPr="00AB6114">
        <w:rPr>
          <w:rFonts w:ascii="Arial" w:hAnsi="Arial" w:cs="Arial"/>
          <w:i/>
          <w:iCs/>
          <w:sz w:val="22"/>
          <w:szCs w:val="22"/>
        </w:rPr>
        <w:t>Diabetes Statistics</w:t>
      </w:r>
      <w:r w:rsidRPr="00AB6114">
        <w:rPr>
          <w:rFonts w:ascii="Arial" w:hAnsi="Arial" w:cs="Arial"/>
          <w:sz w:val="22"/>
          <w:szCs w:val="22"/>
        </w:rPr>
        <w:t xml:space="preserve">. London: Diabetes UK. </w:t>
      </w:r>
    </w:p>
    <w:p w14:paraId="57BEE9E4"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DRWF, 2020. </w:t>
      </w:r>
      <w:r w:rsidRPr="00AB6114">
        <w:rPr>
          <w:rFonts w:ascii="Arial" w:hAnsi="Arial" w:cs="Arial"/>
          <w:i/>
          <w:iCs/>
          <w:sz w:val="22"/>
          <w:szCs w:val="22"/>
        </w:rPr>
        <w:t>Diabetes Research &amp; Wellness Foundation Annual Report</w:t>
      </w:r>
      <w:r w:rsidRPr="00AB6114">
        <w:rPr>
          <w:rFonts w:ascii="Arial" w:hAnsi="Arial" w:cs="Arial"/>
          <w:sz w:val="22"/>
          <w:szCs w:val="22"/>
        </w:rPr>
        <w:t xml:space="preserve">. London: DRWF. </w:t>
      </w:r>
    </w:p>
    <w:p w14:paraId="521FB7FA"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Department of Health, 2001. </w:t>
      </w:r>
      <w:r w:rsidRPr="00AB6114">
        <w:rPr>
          <w:rFonts w:ascii="Arial" w:hAnsi="Arial" w:cs="Arial"/>
          <w:i/>
          <w:iCs/>
          <w:sz w:val="22"/>
          <w:szCs w:val="22"/>
        </w:rPr>
        <w:t>National Service Framework for Diabetes</w:t>
      </w:r>
      <w:r w:rsidRPr="00AB6114">
        <w:rPr>
          <w:rFonts w:ascii="Arial" w:hAnsi="Arial" w:cs="Arial"/>
          <w:sz w:val="22"/>
          <w:szCs w:val="22"/>
        </w:rPr>
        <w:t xml:space="preserve">. London: HMSO. </w:t>
      </w:r>
    </w:p>
    <w:p w14:paraId="25E1DE18"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Kahn, S.E. et al., 2014. </w:t>
      </w:r>
      <w:r w:rsidRPr="00AB6114">
        <w:rPr>
          <w:rFonts w:ascii="Arial" w:hAnsi="Arial" w:cs="Arial"/>
          <w:i/>
          <w:iCs/>
          <w:sz w:val="22"/>
          <w:szCs w:val="22"/>
        </w:rPr>
        <w:t>Pathogenesis of Type 2 Diabetes</w:t>
      </w:r>
      <w:r w:rsidRPr="00AB6114">
        <w:rPr>
          <w:rFonts w:ascii="Arial" w:hAnsi="Arial" w:cs="Arial"/>
          <w:sz w:val="22"/>
          <w:szCs w:val="22"/>
        </w:rPr>
        <w:t xml:space="preserve">. Endocrine Reviews, 35(3), pp.247–279. </w:t>
      </w:r>
    </w:p>
    <w:p w14:paraId="65120440"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Knowler, W.C. et al., 2002. </w:t>
      </w:r>
      <w:r w:rsidRPr="00AB6114">
        <w:rPr>
          <w:rFonts w:ascii="Arial" w:hAnsi="Arial" w:cs="Arial"/>
          <w:i/>
          <w:iCs/>
          <w:sz w:val="22"/>
          <w:szCs w:val="22"/>
        </w:rPr>
        <w:t>Reduction in the Incidence of Type 2 Diabetes with Lifestyle Intervention or Metformin</w:t>
      </w:r>
      <w:r w:rsidRPr="00AB6114">
        <w:rPr>
          <w:rFonts w:ascii="Arial" w:hAnsi="Arial" w:cs="Arial"/>
          <w:sz w:val="22"/>
          <w:szCs w:val="22"/>
        </w:rPr>
        <w:t xml:space="preserve">. New England Journal of Medicine, 346(6), pp.393–403. </w:t>
      </w:r>
    </w:p>
    <w:p w14:paraId="7F39FAAA"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McVeigh, G., 2009. </w:t>
      </w:r>
      <w:r w:rsidRPr="00AB6114">
        <w:rPr>
          <w:rFonts w:ascii="Arial" w:hAnsi="Arial" w:cs="Arial"/>
          <w:i/>
          <w:iCs/>
          <w:sz w:val="22"/>
          <w:szCs w:val="22"/>
        </w:rPr>
        <w:t>Diabetes and Public Health</w:t>
      </w:r>
      <w:r w:rsidRPr="00AB6114">
        <w:rPr>
          <w:rFonts w:ascii="Arial" w:hAnsi="Arial" w:cs="Arial"/>
          <w:sz w:val="22"/>
          <w:szCs w:val="22"/>
        </w:rPr>
        <w:t xml:space="preserve">. British Medical Journal, 338, b1272. </w:t>
      </w:r>
    </w:p>
    <w:p w14:paraId="6E524FC7"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NICE, 2022. </w:t>
      </w:r>
      <w:r w:rsidRPr="00AB6114">
        <w:rPr>
          <w:rFonts w:ascii="Arial" w:hAnsi="Arial" w:cs="Arial"/>
          <w:i/>
          <w:iCs/>
          <w:sz w:val="22"/>
          <w:szCs w:val="22"/>
        </w:rPr>
        <w:t>Type 2 Diabetes: Prevention and Management</w:t>
      </w:r>
      <w:r w:rsidRPr="00AB6114">
        <w:rPr>
          <w:rFonts w:ascii="Arial" w:hAnsi="Arial" w:cs="Arial"/>
          <w:sz w:val="22"/>
          <w:szCs w:val="22"/>
        </w:rPr>
        <w:t xml:space="preserve">. London: National Institute for Health and Care Excellence. </w:t>
      </w:r>
    </w:p>
    <w:p w14:paraId="66CB8797"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NHS England, 2022. </w:t>
      </w:r>
      <w:r w:rsidRPr="00AB6114">
        <w:rPr>
          <w:rFonts w:ascii="Arial" w:hAnsi="Arial" w:cs="Arial"/>
          <w:i/>
          <w:iCs/>
          <w:sz w:val="22"/>
          <w:szCs w:val="22"/>
        </w:rPr>
        <w:t>Diabetes: National Data Overview</w:t>
      </w:r>
      <w:r w:rsidRPr="00AB6114">
        <w:rPr>
          <w:rFonts w:ascii="Arial" w:hAnsi="Arial" w:cs="Arial"/>
          <w:sz w:val="22"/>
          <w:szCs w:val="22"/>
        </w:rPr>
        <w:t xml:space="preserve">. London: NHS England. </w:t>
      </w:r>
    </w:p>
    <w:p w14:paraId="291DA744"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NHS England, 2023. </w:t>
      </w:r>
      <w:r w:rsidRPr="00AB6114">
        <w:rPr>
          <w:rFonts w:ascii="Arial" w:hAnsi="Arial" w:cs="Arial"/>
          <w:i/>
          <w:iCs/>
          <w:sz w:val="22"/>
          <w:szCs w:val="22"/>
        </w:rPr>
        <w:t>Diabetes Prevention Programme</w:t>
      </w:r>
      <w:r w:rsidRPr="00AB6114">
        <w:rPr>
          <w:rFonts w:ascii="Arial" w:hAnsi="Arial" w:cs="Arial"/>
          <w:sz w:val="22"/>
          <w:szCs w:val="22"/>
        </w:rPr>
        <w:t xml:space="preserve">. [online] Available at: https://www.england.nhs.uk/diabetes-prevention [Accessed 24 Mar. 2026]. </w:t>
      </w:r>
    </w:p>
    <w:p w14:paraId="71A69565"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Nicol, D. &amp; Hollowood, T., 2019. </w:t>
      </w:r>
      <w:r w:rsidRPr="00AB6114">
        <w:rPr>
          <w:rFonts w:ascii="Arial" w:hAnsi="Arial" w:cs="Arial"/>
          <w:i/>
          <w:iCs/>
          <w:sz w:val="22"/>
          <w:szCs w:val="22"/>
        </w:rPr>
        <w:t>Understanding Diabetes</w:t>
      </w:r>
      <w:r w:rsidRPr="00AB6114">
        <w:rPr>
          <w:rFonts w:ascii="Arial" w:hAnsi="Arial" w:cs="Arial"/>
          <w:sz w:val="22"/>
          <w:szCs w:val="22"/>
        </w:rPr>
        <w:t xml:space="preserve">. Oxford: Oxford University Press. </w:t>
      </w:r>
    </w:p>
    <w:p w14:paraId="1EBE3EA7"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NMC, 2018. </w:t>
      </w:r>
      <w:r w:rsidRPr="00AB6114">
        <w:rPr>
          <w:rFonts w:ascii="Arial" w:hAnsi="Arial" w:cs="Arial"/>
          <w:i/>
          <w:iCs/>
          <w:sz w:val="22"/>
          <w:szCs w:val="22"/>
        </w:rPr>
        <w:t>The Code: Professional Standards for Nurses and Midwives</w:t>
      </w:r>
      <w:r w:rsidRPr="00AB6114">
        <w:rPr>
          <w:rFonts w:ascii="Arial" w:hAnsi="Arial" w:cs="Arial"/>
          <w:sz w:val="22"/>
          <w:szCs w:val="22"/>
        </w:rPr>
        <w:t xml:space="preserve">. London: Nursing and Midwifery Council. </w:t>
      </w:r>
    </w:p>
    <w:p w14:paraId="037642FF"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Tait, C.A. et al., 2022. </w:t>
      </w:r>
      <w:r w:rsidRPr="00AB6114">
        <w:rPr>
          <w:rFonts w:ascii="Arial" w:hAnsi="Arial" w:cs="Arial"/>
          <w:i/>
          <w:iCs/>
          <w:sz w:val="22"/>
          <w:szCs w:val="22"/>
        </w:rPr>
        <w:t>Lifestyle Factors and Diabetes Risk</w:t>
      </w:r>
      <w:r w:rsidRPr="00AB6114">
        <w:rPr>
          <w:rFonts w:ascii="Arial" w:hAnsi="Arial" w:cs="Arial"/>
          <w:sz w:val="22"/>
          <w:szCs w:val="22"/>
        </w:rPr>
        <w:t xml:space="preserve">. Public Health Nutrition, 25(4), pp.801–812. </w:t>
      </w:r>
    </w:p>
    <w:p w14:paraId="6AF4D832" w14:textId="77777777" w:rsidR="00923E89" w:rsidRPr="00AB6114" w:rsidRDefault="00923E89" w:rsidP="00AB6114">
      <w:pPr>
        <w:spacing w:after="0" w:line="360" w:lineRule="auto"/>
        <w:rPr>
          <w:rFonts w:ascii="Arial" w:hAnsi="Arial" w:cs="Arial"/>
          <w:sz w:val="22"/>
          <w:szCs w:val="22"/>
        </w:rPr>
      </w:pPr>
      <w:r w:rsidRPr="00AB6114">
        <w:rPr>
          <w:rFonts w:ascii="Arial" w:hAnsi="Arial" w:cs="Arial"/>
          <w:sz w:val="22"/>
          <w:szCs w:val="22"/>
        </w:rPr>
        <w:t xml:space="preserve">WHO, 2024. </w:t>
      </w:r>
      <w:r w:rsidRPr="00AB6114">
        <w:rPr>
          <w:rFonts w:ascii="Arial" w:hAnsi="Arial" w:cs="Arial"/>
          <w:i/>
          <w:iCs/>
          <w:sz w:val="22"/>
          <w:szCs w:val="22"/>
        </w:rPr>
        <w:t>Diabetes Fact Sheet</w:t>
      </w:r>
      <w:r w:rsidRPr="00AB6114">
        <w:rPr>
          <w:rFonts w:ascii="Arial" w:hAnsi="Arial" w:cs="Arial"/>
          <w:sz w:val="22"/>
          <w:szCs w:val="22"/>
        </w:rPr>
        <w:t xml:space="preserve">. Geneva: World Health Organization. </w:t>
      </w:r>
    </w:p>
    <w:p w14:paraId="093692AC" w14:textId="77777777" w:rsidR="00923E89" w:rsidRPr="00AB6114" w:rsidRDefault="00923E89" w:rsidP="00AB6114">
      <w:pPr>
        <w:spacing w:after="0" w:line="360" w:lineRule="auto"/>
        <w:rPr>
          <w:rFonts w:ascii="Arial" w:hAnsi="Arial" w:cs="Arial"/>
          <w:sz w:val="22"/>
          <w:szCs w:val="22"/>
        </w:rPr>
      </w:pPr>
    </w:p>
    <w:sectPr w:rsidR="00923E89" w:rsidRPr="00AB61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D54C0"/>
    <w:multiLevelType w:val="hybridMultilevel"/>
    <w:tmpl w:val="CF626E5A"/>
    <w:lvl w:ilvl="0" w:tplc="FFFFFFFF">
      <w:start w:val="1"/>
      <w:numFmt w:val="decimal"/>
      <w:lvlText w:val="%1."/>
      <w:lvlJc w:val="left"/>
      <w:pPr>
        <w:ind w:left="501"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192EDD"/>
    <w:multiLevelType w:val="multilevel"/>
    <w:tmpl w:val="2EE67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1F7FE3"/>
    <w:multiLevelType w:val="hybridMultilevel"/>
    <w:tmpl w:val="CF626E5A"/>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1" w:hanging="360"/>
      </w:pPr>
    </w:lvl>
    <w:lvl w:ilvl="2" w:tplc="0809001B" w:tentative="1">
      <w:start w:val="1"/>
      <w:numFmt w:val="lowerRoman"/>
      <w:lvlText w:val="%3."/>
      <w:lvlJc w:val="right"/>
      <w:pPr>
        <w:ind w:left="2161" w:hanging="180"/>
      </w:pPr>
    </w:lvl>
    <w:lvl w:ilvl="3" w:tplc="0809000F" w:tentative="1">
      <w:start w:val="1"/>
      <w:numFmt w:val="decimal"/>
      <w:lvlText w:val="%4."/>
      <w:lvlJc w:val="left"/>
      <w:pPr>
        <w:ind w:left="2881" w:hanging="360"/>
      </w:pPr>
    </w:lvl>
    <w:lvl w:ilvl="4" w:tplc="08090019" w:tentative="1">
      <w:start w:val="1"/>
      <w:numFmt w:val="lowerLetter"/>
      <w:lvlText w:val="%5."/>
      <w:lvlJc w:val="left"/>
      <w:pPr>
        <w:ind w:left="3601" w:hanging="360"/>
      </w:pPr>
    </w:lvl>
    <w:lvl w:ilvl="5" w:tplc="0809001B" w:tentative="1">
      <w:start w:val="1"/>
      <w:numFmt w:val="lowerRoman"/>
      <w:lvlText w:val="%6."/>
      <w:lvlJc w:val="right"/>
      <w:pPr>
        <w:ind w:left="4321" w:hanging="180"/>
      </w:pPr>
    </w:lvl>
    <w:lvl w:ilvl="6" w:tplc="0809000F" w:tentative="1">
      <w:start w:val="1"/>
      <w:numFmt w:val="decimal"/>
      <w:lvlText w:val="%7."/>
      <w:lvlJc w:val="left"/>
      <w:pPr>
        <w:ind w:left="5041" w:hanging="360"/>
      </w:pPr>
    </w:lvl>
    <w:lvl w:ilvl="7" w:tplc="08090019" w:tentative="1">
      <w:start w:val="1"/>
      <w:numFmt w:val="lowerLetter"/>
      <w:lvlText w:val="%8."/>
      <w:lvlJc w:val="left"/>
      <w:pPr>
        <w:ind w:left="5761" w:hanging="360"/>
      </w:pPr>
    </w:lvl>
    <w:lvl w:ilvl="8" w:tplc="0809001B" w:tentative="1">
      <w:start w:val="1"/>
      <w:numFmt w:val="lowerRoman"/>
      <w:lvlText w:val="%9."/>
      <w:lvlJc w:val="right"/>
      <w:pPr>
        <w:ind w:left="6481" w:hanging="180"/>
      </w:pPr>
    </w:lvl>
  </w:abstractNum>
  <w:abstractNum w:abstractNumId="3" w15:restartNumberingAfterBreak="0">
    <w:nsid w:val="1A8A64C3"/>
    <w:multiLevelType w:val="multilevel"/>
    <w:tmpl w:val="A18E2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016251"/>
    <w:multiLevelType w:val="multilevel"/>
    <w:tmpl w:val="310E5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9132F5"/>
    <w:multiLevelType w:val="multilevel"/>
    <w:tmpl w:val="5F384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DA369A"/>
    <w:multiLevelType w:val="multilevel"/>
    <w:tmpl w:val="E288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0434DD"/>
    <w:multiLevelType w:val="multilevel"/>
    <w:tmpl w:val="766EF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261144"/>
    <w:multiLevelType w:val="multilevel"/>
    <w:tmpl w:val="1AF46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2A2B80"/>
    <w:multiLevelType w:val="multilevel"/>
    <w:tmpl w:val="F7980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974418">
    <w:abstractNumId w:val="4"/>
  </w:num>
  <w:num w:numId="2" w16cid:durableId="1700932174">
    <w:abstractNumId w:val="9"/>
  </w:num>
  <w:num w:numId="3" w16cid:durableId="1633899219">
    <w:abstractNumId w:val="3"/>
  </w:num>
  <w:num w:numId="4" w16cid:durableId="1098022276">
    <w:abstractNumId w:val="7"/>
  </w:num>
  <w:num w:numId="5" w16cid:durableId="1718118548">
    <w:abstractNumId w:val="1"/>
  </w:num>
  <w:num w:numId="6" w16cid:durableId="1421222323">
    <w:abstractNumId w:val="6"/>
  </w:num>
  <w:num w:numId="7" w16cid:durableId="701982912">
    <w:abstractNumId w:val="2"/>
  </w:num>
  <w:num w:numId="8" w16cid:durableId="101345202">
    <w:abstractNumId w:val="0"/>
  </w:num>
  <w:num w:numId="9" w16cid:durableId="1032609345">
    <w:abstractNumId w:val="8"/>
  </w:num>
  <w:num w:numId="10" w16cid:durableId="1497126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66C"/>
    <w:rsid w:val="000106FF"/>
    <w:rsid w:val="00026573"/>
    <w:rsid w:val="0003457F"/>
    <w:rsid w:val="000460B3"/>
    <w:rsid w:val="00074C86"/>
    <w:rsid w:val="00077D6A"/>
    <w:rsid w:val="00080102"/>
    <w:rsid w:val="0009470D"/>
    <w:rsid w:val="000A6A37"/>
    <w:rsid w:val="000C52B6"/>
    <w:rsid w:val="00114E4D"/>
    <w:rsid w:val="00114E9E"/>
    <w:rsid w:val="00127F17"/>
    <w:rsid w:val="001304E9"/>
    <w:rsid w:val="0013524F"/>
    <w:rsid w:val="001433B4"/>
    <w:rsid w:val="00162D7A"/>
    <w:rsid w:val="0018128C"/>
    <w:rsid w:val="00185FA5"/>
    <w:rsid w:val="001A7B75"/>
    <w:rsid w:val="001C46B9"/>
    <w:rsid w:val="001C7508"/>
    <w:rsid w:val="001D42E8"/>
    <w:rsid w:val="001D4CE5"/>
    <w:rsid w:val="00206C30"/>
    <w:rsid w:val="00211CB4"/>
    <w:rsid w:val="00212397"/>
    <w:rsid w:val="002229AC"/>
    <w:rsid w:val="002248A1"/>
    <w:rsid w:val="00230D8E"/>
    <w:rsid w:val="0024143F"/>
    <w:rsid w:val="00242362"/>
    <w:rsid w:val="00246988"/>
    <w:rsid w:val="00250CAA"/>
    <w:rsid w:val="00261D47"/>
    <w:rsid w:val="002674BC"/>
    <w:rsid w:val="00283331"/>
    <w:rsid w:val="00292C46"/>
    <w:rsid w:val="002941F6"/>
    <w:rsid w:val="002A3D9B"/>
    <w:rsid w:val="002A5DCB"/>
    <w:rsid w:val="002B15F2"/>
    <w:rsid w:val="002B6AE2"/>
    <w:rsid w:val="002D723B"/>
    <w:rsid w:val="002E077F"/>
    <w:rsid w:val="002E6FC2"/>
    <w:rsid w:val="002F2014"/>
    <w:rsid w:val="003005C5"/>
    <w:rsid w:val="00306466"/>
    <w:rsid w:val="00307930"/>
    <w:rsid w:val="003242A9"/>
    <w:rsid w:val="00340267"/>
    <w:rsid w:val="00344891"/>
    <w:rsid w:val="00392025"/>
    <w:rsid w:val="00396615"/>
    <w:rsid w:val="003B6050"/>
    <w:rsid w:val="003D1F72"/>
    <w:rsid w:val="003E20CE"/>
    <w:rsid w:val="003F3D2F"/>
    <w:rsid w:val="0040494E"/>
    <w:rsid w:val="00406E91"/>
    <w:rsid w:val="00410578"/>
    <w:rsid w:val="00416B8B"/>
    <w:rsid w:val="00417AD2"/>
    <w:rsid w:val="0042705D"/>
    <w:rsid w:val="004363B3"/>
    <w:rsid w:val="0043758D"/>
    <w:rsid w:val="00442AA0"/>
    <w:rsid w:val="00454577"/>
    <w:rsid w:val="00457B56"/>
    <w:rsid w:val="004748DA"/>
    <w:rsid w:val="00477C8B"/>
    <w:rsid w:val="004A41AB"/>
    <w:rsid w:val="004B14CA"/>
    <w:rsid w:val="004B5945"/>
    <w:rsid w:val="004E3F39"/>
    <w:rsid w:val="004F334B"/>
    <w:rsid w:val="00500758"/>
    <w:rsid w:val="00513BF5"/>
    <w:rsid w:val="00520B26"/>
    <w:rsid w:val="005246F5"/>
    <w:rsid w:val="005313AF"/>
    <w:rsid w:val="00581C39"/>
    <w:rsid w:val="0059250B"/>
    <w:rsid w:val="005B5B10"/>
    <w:rsid w:val="005C7DA2"/>
    <w:rsid w:val="005D00C2"/>
    <w:rsid w:val="005D492E"/>
    <w:rsid w:val="005D5E8F"/>
    <w:rsid w:val="005E600D"/>
    <w:rsid w:val="006156F0"/>
    <w:rsid w:val="00622D78"/>
    <w:rsid w:val="00626342"/>
    <w:rsid w:val="006445B7"/>
    <w:rsid w:val="006516DB"/>
    <w:rsid w:val="00653097"/>
    <w:rsid w:val="00656823"/>
    <w:rsid w:val="00657756"/>
    <w:rsid w:val="00663891"/>
    <w:rsid w:val="0066703C"/>
    <w:rsid w:val="00667C9A"/>
    <w:rsid w:val="00686E01"/>
    <w:rsid w:val="006A76CD"/>
    <w:rsid w:val="006D73A0"/>
    <w:rsid w:val="006D7973"/>
    <w:rsid w:val="006F18FB"/>
    <w:rsid w:val="00703E03"/>
    <w:rsid w:val="00710483"/>
    <w:rsid w:val="007147F9"/>
    <w:rsid w:val="00721836"/>
    <w:rsid w:val="0073075E"/>
    <w:rsid w:val="00765F2D"/>
    <w:rsid w:val="007739FB"/>
    <w:rsid w:val="00777BC0"/>
    <w:rsid w:val="007A124B"/>
    <w:rsid w:val="007D0814"/>
    <w:rsid w:val="007E4F1F"/>
    <w:rsid w:val="008148AC"/>
    <w:rsid w:val="00824265"/>
    <w:rsid w:val="00835C99"/>
    <w:rsid w:val="00836295"/>
    <w:rsid w:val="008424A8"/>
    <w:rsid w:val="00860602"/>
    <w:rsid w:val="008907F5"/>
    <w:rsid w:val="008A147E"/>
    <w:rsid w:val="008C3AB4"/>
    <w:rsid w:val="008C5546"/>
    <w:rsid w:val="008C5647"/>
    <w:rsid w:val="008D04DD"/>
    <w:rsid w:val="008D400C"/>
    <w:rsid w:val="008D59FC"/>
    <w:rsid w:val="008D7F34"/>
    <w:rsid w:val="008F04C7"/>
    <w:rsid w:val="0091466C"/>
    <w:rsid w:val="00923E89"/>
    <w:rsid w:val="0096042C"/>
    <w:rsid w:val="00967E4B"/>
    <w:rsid w:val="009720BB"/>
    <w:rsid w:val="009822DA"/>
    <w:rsid w:val="00987644"/>
    <w:rsid w:val="009A567A"/>
    <w:rsid w:val="009B2E8A"/>
    <w:rsid w:val="009C53A6"/>
    <w:rsid w:val="009D5DC5"/>
    <w:rsid w:val="009F1055"/>
    <w:rsid w:val="009F6366"/>
    <w:rsid w:val="00A03D43"/>
    <w:rsid w:val="00A134E2"/>
    <w:rsid w:val="00A22731"/>
    <w:rsid w:val="00A256E0"/>
    <w:rsid w:val="00A4161F"/>
    <w:rsid w:val="00A472A1"/>
    <w:rsid w:val="00A5146D"/>
    <w:rsid w:val="00A549DF"/>
    <w:rsid w:val="00A62715"/>
    <w:rsid w:val="00A65B92"/>
    <w:rsid w:val="00A731EE"/>
    <w:rsid w:val="00A778EE"/>
    <w:rsid w:val="00A87E26"/>
    <w:rsid w:val="00AA36D0"/>
    <w:rsid w:val="00AB1D8D"/>
    <w:rsid w:val="00AB3A8F"/>
    <w:rsid w:val="00AB6114"/>
    <w:rsid w:val="00AC7C27"/>
    <w:rsid w:val="00B218FE"/>
    <w:rsid w:val="00B36468"/>
    <w:rsid w:val="00B45C00"/>
    <w:rsid w:val="00B553C4"/>
    <w:rsid w:val="00B55914"/>
    <w:rsid w:val="00B7119E"/>
    <w:rsid w:val="00B85B8E"/>
    <w:rsid w:val="00B90D5B"/>
    <w:rsid w:val="00B9106F"/>
    <w:rsid w:val="00B93735"/>
    <w:rsid w:val="00BA1058"/>
    <w:rsid w:val="00BB1B44"/>
    <w:rsid w:val="00BB279B"/>
    <w:rsid w:val="00BB4B15"/>
    <w:rsid w:val="00BC459D"/>
    <w:rsid w:val="00BD1263"/>
    <w:rsid w:val="00C007A2"/>
    <w:rsid w:val="00C203A8"/>
    <w:rsid w:val="00C225BF"/>
    <w:rsid w:val="00C8180F"/>
    <w:rsid w:val="00C821ED"/>
    <w:rsid w:val="00C832D9"/>
    <w:rsid w:val="00C87BEE"/>
    <w:rsid w:val="00C92AE3"/>
    <w:rsid w:val="00C939E5"/>
    <w:rsid w:val="00CA0052"/>
    <w:rsid w:val="00CA4E29"/>
    <w:rsid w:val="00CB4B54"/>
    <w:rsid w:val="00CB6FC7"/>
    <w:rsid w:val="00CC0046"/>
    <w:rsid w:val="00CC26A5"/>
    <w:rsid w:val="00CD3282"/>
    <w:rsid w:val="00CE19B7"/>
    <w:rsid w:val="00CF7DAD"/>
    <w:rsid w:val="00D1356E"/>
    <w:rsid w:val="00D360EF"/>
    <w:rsid w:val="00D43C04"/>
    <w:rsid w:val="00D447E9"/>
    <w:rsid w:val="00D472F1"/>
    <w:rsid w:val="00D7033B"/>
    <w:rsid w:val="00D739D2"/>
    <w:rsid w:val="00DA1E51"/>
    <w:rsid w:val="00DA6622"/>
    <w:rsid w:val="00DB29F5"/>
    <w:rsid w:val="00DB6A34"/>
    <w:rsid w:val="00DC7653"/>
    <w:rsid w:val="00DE73FE"/>
    <w:rsid w:val="00DF6887"/>
    <w:rsid w:val="00DF7948"/>
    <w:rsid w:val="00E0009E"/>
    <w:rsid w:val="00E05964"/>
    <w:rsid w:val="00E2126E"/>
    <w:rsid w:val="00E227F6"/>
    <w:rsid w:val="00E3261C"/>
    <w:rsid w:val="00E34BB3"/>
    <w:rsid w:val="00E41186"/>
    <w:rsid w:val="00E421D2"/>
    <w:rsid w:val="00E510C5"/>
    <w:rsid w:val="00E54BE3"/>
    <w:rsid w:val="00E61F00"/>
    <w:rsid w:val="00E64339"/>
    <w:rsid w:val="00E77498"/>
    <w:rsid w:val="00E81175"/>
    <w:rsid w:val="00E81638"/>
    <w:rsid w:val="00E85EBD"/>
    <w:rsid w:val="00EC39A8"/>
    <w:rsid w:val="00EC4F45"/>
    <w:rsid w:val="00EF76B2"/>
    <w:rsid w:val="00F05003"/>
    <w:rsid w:val="00F100F4"/>
    <w:rsid w:val="00F2097C"/>
    <w:rsid w:val="00F50148"/>
    <w:rsid w:val="00F529F2"/>
    <w:rsid w:val="00F53542"/>
    <w:rsid w:val="00F70537"/>
    <w:rsid w:val="00F71069"/>
    <w:rsid w:val="00F84993"/>
    <w:rsid w:val="00F87187"/>
    <w:rsid w:val="00FA7FE1"/>
    <w:rsid w:val="00FB01D9"/>
    <w:rsid w:val="00FB425E"/>
    <w:rsid w:val="00FB4FB4"/>
    <w:rsid w:val="00FD6B64"/>
    <w:rsid w:val="00FE6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E09CD"/>
  <w15:chartTrackingRefBased/>
  <w15:docId w15:val="{9791B598-D3B5-41C9-9E49-A86F9A542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6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6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6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6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6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6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6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6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6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6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6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6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6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6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6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6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6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66C"/>
    <w:rPr>
      <w:rFonts w:eastAsiaTheme="majorEastAsia" w:cstheme="majorBidi"/>
      <w:color w:val="272727" w:themeColor="text1" w:themeTint="D8"/>
    </w:rPr>
  </w:style>
  <w:style w:type="paragraph" w:styleId="Title">
    <w:name w:val="Title"/>
    <w:basedOn w:val="Normal"/>
    <w:next w:val="Normal"/>
    <w:link w:val="TitleChar"/>
    <w:uiPriority w:val="10"/>
    <w:qFormat/>
    <w:rsid w:val="009146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6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6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6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66C"/>
    <w:pPr>
      <w:spacing w:before="160"/>
      <w:jc w:val="center"/>
    </w:pPr>
    <w:rPr>
      <w:i/>
      <w:iCs/>
      <w:color w:val="404040" w:themeColor="text1" w:themeTint="BF"/>
    </w:rPr>
  </w:style>
  <w:style w:type="character" w:customStyle="1" w:styleId="QuoteChar">
    <w:name w:val="Quote Char"/>
    <w:basedOn w:val="DefaultParagraphFont"/>
    <w:link w:val="Quote"/>
    <w:uiPriority w:val="29"/>
    <w:rsid w:val="0091466C"/>
    <w:rPr>
      <w:i/>
      <w:iCs/>
      <w:color w:val="404040" w:themeColor="text1" w:themeTint="BF"/>
    </w:rPr>
  </w:style>
  <w:style w:type="paragraph" w:styleId="ListParagraph">
    <w:name w:val="List Paragraph"/>
    <w:basedOn w:val="Normal"/>
    <w:uiPriority w:val="34"/>
    <w:qFormat/>
    <w:rsid w:val="0091466C"/>
    <w:pPr>
      <w:ind w:left="720"/>
      <w:contextualSpacing/>
    </w:pPr>
  </w:style>
  <w:style w:type="character" w:styleId="IntenseEmphasis">
    <w:name w:val="Intense Emphasis"/>
    <w:basedOn w:val="DefaultParagraphFont"/>
    <w:uiPriority w:val="21"/>
    <w:qFormat/>
    <w:rsid w:val="0091466C"/>
    <w:rPr>
      <w:i/>
      <w:iCs/>
      <w:color w:val="0F4761" w:themeColor="accent1" w:themeShade="BF"/>
    </w:rPr>
  </w:style>
  <w:style w:type="paragraph" w:styleId="IntenseQuote">
    <w:name w:val="Intense Quote"/>
    <w:basedOn w:val="Normal"/>
    <w:next w:val="Normal"/>
    <w:link w:val="IntenseQuoteChar"/>
    <w:uiPriority w:val="30"/>
    <w:qFormat/>
    <w:rsid w:val="009146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66C"/>
    <w:rPr>
      <w:i/>
      <w:iCs/>
      <w:color w:val="0F4761" w:themeColor="accent1" w:themeShade="BF"/>
    </w:rPr>
  </w:style>
  <w:style w:type="character" w:styleId="IntenseReference">
    <w:name w:val="Intense Reference"/>
    <w:basedOn w:val="DefaultParagraphFont"/>
    <w:uiPriority w:val="32"/>
    <w:qFormat/>
    <w:rsid w:val="0091466C"/>
    <w:rPr>
      <w:b/>
      <w:bCs/>
      <w:smallCaps/>
      <w:color w:val="0F4761" w:themeColor="accent1" w:themeShade="BF"/>
      <w:spacing w:val="5"/>
    </w:rPr>
  </w:style>
  <w:style w:type="character" w:styleId="Hyperlink">
    <w:name w:val="Hyperlink"/>
    <w:basedOn w:val="DefaultParagraphFont"/>
    <w:uiPriority w:val="99"/>
    <w:unhideWhenUsed/>
    <w:rsid w:val="0091466C"/>
    <w:rPr>
      <w:color w:val="467886" w:themeColor="hyperlink"/>
      <w:u w:val="single"/>
    </w:rPr>
  </w:style>
  <w:style w:type="character" w:styleId="UnresolvedMention">
    <w:name w:val="Unresolved Mention"/>
    <w:basedOn w:val="DefaultParagraphFont"/>
    <w:uiPriority w:val="99"/>
    <w:semiHidden/>
    <w:unhideWhenUsed/>
    <w:rsid w:val="0091466C"/>
    <w:rPr>
      <w:color w:val="605E5C"/>
      <w:shd w:val="clear" w:color="auto" w:fill="E1DFDD"/>
    </w:rPr>
  </w:style>
  <w:style w:type="paragraph" w:styleId="NormalWeb">
    <w:name w:val="Normal (Web)"/>
    <w:basedOn w:val="Normal"/>
    <w:uiPriority w:val="99"/>
    <w:semiHidden/>
    <w:unhideWhenUsed/>
    <w:rsid w:val="005D5E8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789</TotalTime>
  <Pages>6</Pages>
  <Words>1142</Words>
  <Characters>7046</Characters>
  <Application>Microsoft Office Word</Application>
  <DocSecurity>0</DocSecurity>
  <Lines>174</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Saiset Trigueiros</dc:creator>
  <cp:keywords/>
  <dc:description/>
  <cp:lastModifiedBy>Saiset Trigueiros</cp:lastModifiedBy>
  <cp:revision>236</cp:revision>
  <dcterms:created xsi:type="dcterms:W3CDTF">2026-03-09T21:49:00Z</dcterms:created>
  <dcterms:modified xsi:type="dcterms:W3CDTF">2026-04-09T11:43:00Z</dcterms:modified>
</cp:coreProperties>
</file>