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47F749" w14:textId="413AEF92" w:rsidR="00BF6417" w:rsidRPr="00CA70DC" w:rsidRDefault="00CA70DC" w:rsidP="00CA70DC">
      <w:pPr>
        <w:jc w:val="center"/>
        <w:rPr>
          <w:u w:val="single"/>
        </w:rPr>
      </w:pPr>
      <w:bookmarkStart w:id="0" w:name="_GoBack"/>
      <w:bookmarkEnd w:id="0"/>
      <w:r w:rsidRPr="00CA70DC">
        <w:rPr>
          <w:u w:val="single"/>
        </w:rPr>
        <w:t>Ovid Amores 1.5.1-22</w:t>
      </w:r>
    </w:p>
    <w:p w14:paraId="6DFBB0D4" w14:textId="1913B712" w:rsidR="00CA70DC" w:rsidRDefault="001E3962">
      <w:r>
        <w:t>Ovid Amores</w:t>
      </w:r>
      <w:r w:rsidR="005035F4">
        <w:t>, Ovid’s first published collection of poetry,</w:t>
      </w:r>
      <w:r>
        <w:t xml:space="preserve"> is a collection of love elegy</w:t>
      </w:r>
      <w:r w:rsidR="005035F4">
        <w:t xml:space="preserve"> </w:t>
      </w:r>
      <w:r w:rsidR="008600FA">
        <w:t xml:space="preserve">dedicated to his lover Corinna. Though the identity of Corinna is still speculated, it is thought that her </w:t>
      </w:r>
      <w:r w:rsidR="006A39C9">
        <w:t xml:space="preserve">name comes from an Ovidian pun of the </w:t>
      </w:r>
      <w:r w:rsidR="0070344D">
        <w:t>Greek word “</w:t>
      </w:r>
      <w:hyperlink r:id="rId7" w:history="1">
        <w:r w:rsidR="00A450C1" w:rsidRPr="00A450C1">
          <w:rPr>
            <w:rStyle w:val="Hyperlink"/>
            <w:rFonts w:cstheme="minorHAnsi"/>
            <w:color w:val="auto"/>
            <w:u w:val="none"/>
            <w:shd w:val="clear" w:color="auto" w:fill="FFFFFF"/>
          </w:rPr>
          <w:t>κόρη</w:t>
        </w:r>
      </w:hyperlink>
      <w:r w:rsidR="00A450C1">
        <w:rPr>
          <w:rFonts w:cstheme="minorHAnsi"/>
        </w:rPr>
        <w:t xml:space="preserve">”, meaning maiden. </w:t>
      </w:r>
      <w:r w:rsidR="00EA2AAA">
        <w:t xml:space="preserve">This poem opens with the phrase </w:t>
      </w:r>
      <w:r w:rsidR="00EA2AAA" w:rsidRPr="0027284F">
        <w:rPr>
          <w:i/>
        </w:rPr>
        <w:t>“aestus erat”</w:t>
      </w:r>
      <w:r w:rsidR="00EA2AAA" w:rsidRPr="0027284F">
        <w:rPr>
          <w:rStyle w:val="FootnoteReference"/>
          <w:i/>
        </w:rPr>
        <w:footnoteReference w:id="1"/>
      </w:r>
      <w:r w:rsidR="00EA2AAA">
        <w:t xml:space="preserve"> which in this version has been translated to “’twas sultry.” The word </w:t>
      </w:r>
      <w:r w:rsidR="00EA2AAA" w:rsidRPr="0027284F">
        <w:rPr>
          <w:i/>
        </w:rPr>
        <w:t>“aestus”</w:t>
      </w:r>
      <w:r w:rsidR="00EA2AAA">
        <w:t xml:space="preserve"> can also be translated to “a hot spell” or “heat”,</w:t>
      </w:r>
      <w:r w:rsidR="001D0CD4">
        <w:rPr>
          <w:rStyle w:val="FootnoteReference"/>
        </w:rPr>
        <w:footnoteReference w:id="2"/>
      </w:r>
      <w:r w:rsidR="00EA2AAA">
        <w:t xml:space="preserve"> which would </w:t>
      </w:r>
      <w:r w:rsidR="001D0CD4">
        <w:t xml:space="preserve">indicate that this opening line is in reference to the weather, however, due to the more illicit theme to this poem and the translation of this word to “sultry” in this version, this opening line could indicate a sexual connotation, and therefore link to the erotic nature of this poem. </w:t>
      </w:r>
    </w:p>
    <w:p w14:paraId="313A276D" w14:textId="748C33FF" w:rsidR="001D0CD4" w:rsidRDefault="001D0CD4">
      <w:r>
        <w:t>Within this elegiac poem, it is also likely that Ovid makes a verbal pun to indicate the poets he is inspired by</w:t>
      </w:r>
      <w:r w:rsidR="00790D7D">
        <w:t>.</w:t>
      </w:r>
      <w:r>
        <w:t xml:space="preserve"> Ovid uses the phrase </w:t>
      </w:r>
      <w:r w:rsidRPr="0027284F">
        <w:rPr>
          <w:i/>
        </w:rPr>
        <w:t>“candi</w:t>
      </w:r>
      <w:r w:rsidR="00302B30" w:rsidRPr="0027284F">
        <w:rPr>
          <w:i/>
        </w:rPr>
        <w:t>d</w:t>
      </w:r>
      <w:r w:rsidRPr="0027284F">
        <w:rPr>
          <w:i/>
        </w:rPr>
        <w:t>a dividua</w:t>
      </w:r>
      <w:r>
        <w:t>”</w:t>
      </w:r>
      <w:r w:rsidR="00302B30">
        <w:rPr>
          <w:rStyle w:val="FootnoteReference"/>
        </w:rPr>
        <w:footnoteReference w:id="3"/>
      </w:r>
      <w:r>
        <w:t xml:space="preserve"> when describing his lover Corinna, this could be a direct link to Catullus’ lover Lesbia. While describing </w:t>
      </w:r>
      <w:r w:rsidR="00302B30">
        <w:t xml:space="preserve">an intimate and meaningful </w:t>
      </w:r>
      <w:r>
        <w:t xml:space="preserve">moment between himself and Lesbia is Catullus 68, </w:t>
      </w:r>
      <w:r w:rsidR="00302B30">
        <w:t>Catullus uses the phrase “</w:t>
      </w:r>
      <w:r w:rsidR="00302B30" w:rsidRPr="0027284F">
        <w:rPr>
          <w:i/>
        </w:rPr>
        <w:t>candida diua</w:t>
      </w:r>
      <w:r w:rsidR="00302B30">
        <w:t>”</w:t>
      </w:r>
      <w:r w:rsidR="00302B30">
        <w:rPr>
          <w:rStyle w:val="FootnoteReference"/>
        </w:rPr>
        <w:footnoteReference w:id="4"/>
      </w:r>
      <w:r w:rsidR="00302B30">
        <w:t>, the linking of these moments may be to signify to the audience that Ovid is following in the path of the elegiac poet before him, Catullus, and to link their writing style, method and purpose. However, it is also likely that Ovid is trying to implicate a similarity between the two female lovers, Corinna and Lesbia.</w:t>
      </w:r>
      <w:r w:rsidR="00302B30">
        <w:rPr>
          <w:rStyle w:val="FootnoteReference"/>
        </w:rPr>
        <w:footnoteReference w:id="5"/>
      </w:r>
      <w:r w:rsidR="00302B30">
        <w:t xml:space="preserve"> It is often believed that both Corinna and Lesbia are married women, who are having illicit affairs with the poets writing about them and are written to </w:t>
      </w:r>
      <w:r w:rsidR="00627BB2">
        <w:t xml:space="preserve">fit the </w:t>
      </w:r>
      <w:r w:rsidR="00627BB2" w:rsidRPr="0027284F">
        <w:rPr>
          <w:i/>
        </w:rPr>
        <w:t xml:space="preserve">puella </w:t>
      </w:r>
      <w:r w:rsidR="00627BB2">
        <w:t>stock character often see</w:t>
      </w:r>
      <w:r w:rsidR="00F76FEE">
        <w:t xml:space="preserve">n </w:t>
      </w:r>
      <w:r w:rsidR="00627BB2">
        <w:t>in Roman literature, most significantly comedies. Linking Corinna to Lesbia, and to a complex Catullus poem about Lesbia, could be a literary device employed by Ovid to explain more about his relationship with Corinna without having to write this himself. Catullus 68 explores the complexity of</w:t>
      </w:r>
      <w:r w:rsidR="005341CA">
        <w:t xml:space="preserve"> Catullus’ </w:t>
      </w:r>
      <w:r w:rsidR="00627BB2">
        <w:t>romance with Lesbia, and the complications of loving a wom</w:t>
      </w:r>
      <w:r w:rsidR="001141B4">
        <w:t>a</w:t>
      </w:r>
      <w:r w:rsidR="00627BB2">
        <w:t xml:space="preserve">n who is already married, by aligning himself and Corinna with this narrative, Ovid may be drawing on the audience’s knowledge of Catullus to have them draw similar conclusions </w:t>
      </w:r>
      <w:r w:rsidR="001B4182">
        <w:t>between the two romantic relationships.</w:t>
      </w:r>
    </w:p>
    <w:p w14:paraId="533F6BAC" w14:textId="5E983189" w:rsidR="001B4182" w:rsidRDefault="001141B4">
      <w:r>
        <w:t>To further explore the character of Corinna, Ovid likens her to two figures</w:t>
      </w:r>
      <w:r w:rsidR="00E30F39">
        <w:t xml:space="preserve"> known to the original audience. Corinna</w:t>
      </w:r>
      <w:r w:rsidR="003D5B5F">
        <w:t xml:space="preserve">’s beauty is likened to that of Semiramis, </w:t>
      </w:r>
      <w:r w:rsidR="00B90F94">
        <w:t>an Assyrian queen who was famed for her beauty and military conquests</w:t>
      </w:r>
      <w:r w:rsidR="003A6C20">
        <w:t>.</w:t>
      </w:r>
      <w:r w:rsidR="003A6C20">
        <w:rPr>
          <w:rStyle w:val="FootnoteReference"/>
        </w:rPr>
        <w:footnoteReference w:id="6"/>
      </w:r>
      <w:r w:rsidR="003A6C20">
        <w:t xml:space="preserve"> Semiramis </w:t>
      </w:r>
      <w:r w:rsidR="00724916">
        <w:t xml:space="preserve">was known to be the daughter of a Syrian goddess, </w:t>
      </w:r>
      <w:r w:rsidR="00F10D69">
        <w:t>thus likening Corinna’s beauty to that of the gods through this connection. Ovid juxtaposes this likening to the image of Lais, who Corinna’s beauty is also compared to in this line.</w:t>
      </w:r>
      <w:r w:rsidR="00F10D69">
        <w:rPr>
          <w:rStyle w:val="FootnoteReference"/>
        </w:rPr>
        <w:footnoteReference w:id="7"/>
      </w:r>
      <w:r w:rsidR="00F10D69">
        <w:t xml:space="preserve"> </w:t>
      </w:r>
      <w:r w:rsidR="005519C4">
        <w:t xml:space="preserve">Lais was a known, popular courtesan in Corinth, </w:t>
      </w:r>
      <w:r w:rsidR="00446BEE">
        <w:t xml:space="preserve">therefore less respectable than Semiramis, despite their equal beauty. </w:t>
      </w:r>
      <w:r w:rsidR="00FF07B9">
        <w:t xml:space="preserve">By equating his lover Corinna to both a respectable goddess figure and to a lowly courtesan, </w:t>
      </w:r>
      <w:r w:rsidR="00255063">
        <w:t xml:space="preserve">Ovid juxtaposes two contrasting views of Corinna and begs the question: is Corinna a goddess or a courtesan? </w:t>
      </w:r>
      <w:r w:rsidR="00C617BD">
        <w:t xml:space="preserve">The answer to this may in fact be neither, perhaps it is not their status that Ovid draws from but rather their personalities. Both Semiramis and Lais are </w:t>
      </w:r>
      <w:r w:rsidR="0078144E">
        <w:t>powerful and popular women, despite their different methods of becoming such figures. They are both also well known to the original audience Ovid writes for, therefore Ovid may be using the</w:t>
      </w:r>
      <w:r w:rsidR="0006599D">
        <w:t xml:space="preserve">se two women to display Corinna’s aggressive sexuality and power, rather than equate her to any social standing. </w:t>
      </w:r>
    </w:p>
    <w:p w14:paraId="0FB14085" w14:textId="42520037" w:rsidR="0006599D" w:rsidRDefault="00BB7F28">
      <w:r>
        <w:lastRenderedPageBreak/>
        <w:t>Ovid</w:t>
      </w:r>
      <w:r w:rsidR="00E7587A">
        <w:t xml:space="preserve">, in this poem, </w:t>
      </w:r>
      <w:r w:rsidR="00AD3405">
        <w:t xml:space="preserve">reacts violently </w:t>
      </w:r>
      <w:r w:rsidR="00F16DF8">
        <w:t>to his lover Corinna. Upon meeting with her, he “</w:t>
      </w:r>
      <w:r w:rsidR="00EF704B">
        <w:t>[tears] away the tunic”</w:t>
      </w:r>
      <w:r w:rsidR="00EF704B">
        <w:rPr>
          <w:rStyle w:val="FootnoteReference"/>
        </w:rPr>
        <w:footnoteReference w:id="8"/>
      </w:r>
      <w:r w:rsidR="00EF704B">
        <w:t xml:space="preserve"> she is wearing, </w:t>
      </w:r>
      <w:r w:rsidR="002655A9">
        <w:t xml:space="preserve">an action which she fights against. The abrupt nature of this action could indicate a violence towards his lover, </w:t>
      </w:r>
      <w:r w:rsidR="006B0DAA">
        <w:t xml:space="preserve">however by characterising the ensuing struggle between the pair as </w:t>
      </w:r>
      <w:r w:rsidR="004274CC">
        <w:t>“her own betrayal”</w:t>
      </w:r>
      <w:r w:rsidR="004274CC">
        <w:rPr>
          <w:rStyle w:val="FootnoteReference"/>
        </w:rPr>
        <w:footnoteReference w:id="9"/>
      </w:r>
      <w:r w:rsidR="00921EE5">
        <w:t>, Ovid highlights this action as being Corinna’s fault, thus belittling the anger towards her.</w:t>
      </w:r>
      <w:r w:rsidR="0043004D">
        <w:rPr>
          <w:rStyle w:val="FootnoteReference"/>
        </w:rPr>
        <w:footnoteReference w:id="10"/>
      </w:r>
      <w:r w:rsidR="00921EE5">
        <w:t xml:space="preserve"> </w:t>
      </w:r>
      <w:r w:rsidR="0043004D">
        <w:t xml:space="preserve">This struggle is characterised by military language, an example of </w:t>
      </w:r>
      <w:r w:rsidR="00887CC2">
        <w:t xml:space="preserve">the elegiac convention </w:t>
      </w:r>
      <w:r w:rsidR="0043004D" w:rsidRPr="00640754">
        <w:rPr>
          <w:i/>
        </w:rPr>
        <w:t>mil</w:t>
      </w:r>
      <w:r w:rsidR="00640754" w:rsidRPr="00640754">
        <w:rPr>
          <w:i/>
        </w:rPr>
        <w:t>itia amoris</w:t>
      </w:r>
      <w:r w:rsidR="00887CC2">
        <w:t xml:space="preserve">. </w:t>
      </w:r>
      <w:r w:rsidR="00640754">
        <w:t xml:space="preserve">Ovid uses words such as </w:t>
      </w:r>
      <w:r w:rsidR="004948E5" w:rsidRPr="0027284F">
        <w:rPr>
          <w:i/>
        </w:rPr>
        <w:t>vincere</w:t>
      </w:r>
      <w:r w:rsidR="00795BB8">
        <w:t>,</w:t>
      </w:r>
      <w:r w:rsidR="00795BB8">
        <w:rPr>
          <w:rStyle w:val="FootnoteReference"/>
        </w:rPr>
        <w:footnoteReference w:id="11"/>
      </w:r>
      <w:r w:rsidR="005C092F">
        <w:t xml:space="preserve"> meaning to conquer, to describe the actions between himself and Corinna. </w:t>
      </w:r>
      <w:r w:rsidR="0027284F">
        <w:t xml:space="preserve">The use of such military style language </w:t>
      </w:r>
      <w:r w:rsidR="008839FF">
        <w:t xml:space="preserve">could be a link between </w:t>
      </w:r>
      <w:r w:rsidR="00D47DE7">
        <w:t xml:space="preserve">the relationship of Ovid and Corinna and the triumph of their love, in comparison to that of a military triumph. </w:t>
      </w:r>
      <w:r w:rsidR="00AF3EEB">
        <w:t xml:space="preserve">Boyd believes that the use of </w:t>
      </w:r>
      <w:r w:rsidR="00AF3EEB" w:rsidRPr="00AF3EEB">
        <w:rPr>
          <w:i/>
        </w:rPr>
        <w:t xml:space="preserve">militia amoris </w:t>
      </w:r>
      <w:r w:rsidR="00AF3EEB">
        <w:t>in Ovid describes the turbulence of his relationship with Corinna</w:t>
      </w:r>
      <w:r w:rsidR="00105948">
        <w:t xml:space="preserve"> </w:t>
      </w:r>
      <w:r w:rsidR="001C2C24">
        <w:t xml:space="preserve">and associates the intensity of their physical relationship and the pressure of being caught as adulterers </w:t>
      </w:r>
      <w:r w:rsidR="00105948">
        <w:t>to the hyperbolic metaphor of war.</w:t>
      </w:r>
      <w:r w:rsidR="00105948">
        <w:rPr>
          <w:rStyle w:val="FootnoteReference"/>
        </w:rPr>
        <w:footnoteReference w:id="12"/>
      </w:r>
      <w:r w:rsidR="00105948">
        <w:t xml:space="preserve"> The use of </w:t>
      </w:r>
      <w:r w:rsidR="00E50C71" w:rsidRPr="00E50C71">
        <w:rPr>
          <w:i/>
        </w:rPr>
        <w:t>militia amoris</w:t>
      </w:r>
      <w:r w:rsidR="00E50C71">
        <w:t xml:space="preserve"> could also indicate the intense, violent passion of their physical relationship</w:t>
      </w:r>
      <w:r w:rsidR="006826ED">
        <w:t xml:space="preserve"> and the melodramatic sense </w:t>
      </w:r>
      <w:r w:rsidR="00522292">
        <w:t>of their separati</w:t>
      </w:r>
      <w:r w:rsidR="009B4892">
        <w:t>o</w:t>
      </w:r>
      <w:r w:rsidR="00522292">
        <w:t>n</w:t>
      </w:r>
      <w:r w:rsidR="009B4892">
        <w:t xml:space="preserve">, </w:t>
      </w:r>
      <w:r w:rsidR="00B629E0">
        <w:t xml:space="preserve">using such lexis to describe a physical relationship equates love and war, for example </w:t>
      </w:r>
      <w:r w:rsidR="0020726B">
        <w:t xml:space="preserve">words such as </w:t>
      </w:r>
      <w:r w:rsidR="0020726B" w:rsidRPr="0020726B">
        <w:rPr>
          <w:i/>
        </w:rPr>
        <w:t xml:space="preserve">pugnaret </w:t>
      </w:r>
      <w:r w:rsidR="0020726B">
        <w:t xml:space="preserve">seem to liken Corinna to a city under siege, perhaps insinuating that her love is worth fighting for and desired by many. </w:t>
      </w:r>
    </w:p>
    <w:p w14:paraId="5EDF1A37" w14:textId="78BC3F86" w:rsidR="0020726B" w:rsidRDefault="00AE1D88">
      <w:r w:rsidRPr="00AE1D88">
        <w:rPr>
          <w:i/>
        </w:rPr>
        <w:t>Militia amoris</w:t>
      </w:r>
      <w:r>
        <w:t xml:space="preserve"> is often used in Greek and Roman literature, </w:t>
      </w:r>
      <w:r w:rsidR="00BD0261">
        <w:t xml:space="preserve">Ovid and Tibullus are known to use the device frequently in their love elegy, however Propertius is also </w:t>
      </w:r>
      <w:r w:rsidR="00D14BFA">
        <w:t>seen to invoke this device.</w:t>
      </w:r>
      <w:r w:rsidR="00D14BFA">
        <w:rPr>
          <w:rStyle w:val="FootnoteReference"/>
        </w:rPr>
        <w:footnoteReference w:id="13"/>
      </w:r>
      <w:r w:rsidR="00D14BFA">
        <w:t xml:space="preserve"> The use of </w:t>
      </w:r>
      <w:r w:rsidR="00D14BFA" w:rsidRPr="00D14BFA">
        <w:rPr>
          <w:i/>
        </w:rPr>
        <w:t>militia amoris</w:t>
      </w:r>
      <w:r w:rsidR="00D14BFA">
        <w:t xml:space="preserve"> in later elegiac poets can be linked to the</w:t>
      </w:r>
      <w:r w:rsidR="00CD0786">
        <w:t xml:space="preserve"> poet’s</w:t>
      </w:r>
      <w:r w:rsidR="00D14BFA">
        <w:t xml:space="preserve"> rejection of </w:t>
      </w:r>
      <w:r w:rsidR="00AB20FA">
        <w:t xml:space="preserve">normal Roman warfare, as expected of men, and their devotion to the </w:t>
      </w:r>
      <w:r w:rsidR="002C3FD9">
        <w:t xml:space="preserve">battles of love instead. Due to Ovid’s frequent use of </w:t>
      </w:r>
      <w:r w:rsidR="002C3FD9" w:rsidRPr="002C3FD9">
        <w:rPr>
          <w:i/>
        </w:rPr>
        <w:t>militia amoris,</w:t>
      </w:r>
      <w:r w:rsidR="002C3FD9">
        <w:t xml:space="preserve"> v</w:t>
      </w:r>
      <w:r w:rsidR="000C0650">
        <w:t xml:space="preserve">iolence between Ovid and Corinna is not contained to </w:t>
      </w:r>
      <w:r w:rsidR="00C82EA9">
        <w:t xml:space="preserve">Ovid 1.5, 1.7 also depicts a vicious side to their relationship. </w:t>
      </w:r>
      <w:r w:rsidR="00C17F52">
        <w:t>1.7 shows the character of Ovid act remorsefully about acting violent</w:t>
      </w:r>
      <w:r w:rsidR="00CD0786">
        <w:t>ly</w:t>
      </w:r>
      <w:r w:rsidR="00C17F52">
        <w:t xml:space="preserve"> towards his lover</w:t>
      </w:r>
      <w:r w:rsidR="001257B0">
        <w:t xml:space="preserve"> and aims to rationalise his actions. Ovid catalogues poetic heroes who are known for their </w:t>
      </w:r>
      <w:r w:rsidR="001257B0" w:rsidRPr="001257B0">
        <w:rPr>
          <w:i/>
        </w:rPr>
        <w:t>furor</w:t>
      </w:r>
      <w:r w:rsidR="00CD0786">
        <w:rPr>
          <w:rStyle w:val="FootnoteReference"/>
          <w:i/>
        </w:rPr>
        <w:footnoteReference w:id="14"/>
      </w:r>
      <w:r w:rsidR="001257B0">
        <w:t xml:space="preserve"> and are celebrated for it, such as Ajax and Orestes.</w:t>
      </w:r>
      <w:r w:rsidR="001257B0">
        <w:rPr>
          <w:rStyle w:val="FootnoteReference"/>
        </w:rPr>
        <w:footnoteReference w:id="15"/>
      </w:r>
      <w:r w:rsidR="001257B0">
        <w:t xml:space="preserve"> </w:t>
      </w:r>
      <w:r w:rsidR="007E3C88">
        <w:t>The equating of his own violent actions to that of literary heroes</w:t>
      </w:r>
      <w:r w:rsidR="00AB02A3">
        <w:t xml:space="preserve"> perhaps suggests that his own</w:t>
      </w:r>
      <w:r w:rsidR="00AB02A3" w:rsidRPr="00AB02A3">
        <w:rPr>
          <w:i/>
        </w:rPr>
        <w:t xml:space="preserve"> furor</w:t>
      </w:r>
      <w:r w:rsidR="00AB02A3">
        <w:t xml:space="preserve"> can be exonerated as theirs is and perhaps suggests that Ovid views himself and Corinna in the same light as these heroes.</w:t>
      </w:r>
    </w:p>
    <w:p w14:paraId="0EB62C4E" w14:textId="44FE6D83" w:rsidR="002C3FD9" w:rsidRDefault="002C3FD9">
      <w:r>
        <w:t>To conclude, the relationship between Ovid and Corinna</w:t>
      </w:r>
      <w:r w:rsidR="00611580">
        <w:t>, like many other unions is elegiac poetry, depicts a</w:t>
      </w:r>
      <w:r w:rsidR="009F73C7">
        <w:t xml:space="preserve"> pairing engaging in an illicit affair. </w:t>
      </w:r>
      <w:r w:rsidR="00506471">
        <w:t xml:space="preserve">Ovid 1.5 contributes to the narrative of his relations with Corinna by further exploring the violence of their turbulent relationship through </w:t>
      </w:r>
      <w:r w:rsidR="00506471" w:rsidRPr="008A7947">
        <w:rPr>
          <w:i/>
        </w:rPr>
        <w:t xml:space="preserve">militia amoris </w:t>
      </w:r>
      <w:r w:rsidR="00506471">
        <w:t xml:space="preserve">and </w:t>
      </w:r>
      <w:r w:rsidR="002E5872">
        <w:t xml:space="preserve">continuing the elegiac tradition of invoking myth as an exploration into one’s character. It is clear through Ovid’s style, most significantly </w:t>
      </w:r>
      <w:r w:rsidR="002E5872" w:rsidRPr="008A7947">
        <w:rPr>
          <w:i/>
        </w:rPr>
        <w:t>militia amoris,</w:t>
      </w:r>
      <w:r w:rsidR="002E5872">
        <w:t xml:space="preserve"> that Ovid has been influenced by the poets before him and have used their </w:t>
      </w:r>
      <w:r w:rsidR="001E3962">
        <w:t xml:space="preserve">style to impact his own. </w:t>
      </w:r>
    </w:p>
    <w:p w14:paraId="7050E0C3" w14:textId="69CB7CDE" w:rsidR="00E3155A" w:rsidRDefault="00E3155A"/>
    <w:p w14:paraId="3A1EFCCE" w14:textId="74BA66A2" w:rsidR="00E3155A" w:rsidRDefault="00E3155A"/>
    <w:p w14:paraId="2E00440C" w14:textId="77777777" w:rsidR="008A7947" w:rsidRDefault="008A7947"/>
    <w:p w14:paraId="7C2324C0" w14:textId="1CC84CA3" w:rsidR="00E3155A" w:rsidRPr="00DD2C87" w:rsidRDefault="00E3155A">
      <w:pPr>
        <w:rPr>
          <w:b/>
          <w:u w:val="single"/>
        </w:rPr>
      </w:pPr>
      <w:r w:rsidRPr="00DD2C87">
        <w:rPr>
          <w:b/>
          <w:u w:val="single"/>
        </w:rPr>
        <w:lastRenderedPageBreak/>
        <w:t xml:space="preserve">Bibliography: </w:t>
      </w:r>
    </w:p>
    <w:p w14:paraId="4B30D3EB" w14:textId="77777777" w:rsidR="00DD2C87" w:rsidRDefault="00DD2C87"/>
    <w:p w14:paraId="3B1C1DF2" w14:textId="79E9F187" w:rsidR="00E3155A" w:rsidRPr="00DD2C87" w:rsidRDefault="00E3155A">
      <w:pPr>
        <w:rPr>
          <w:u w:val="single"/>
        </w:rPr>
      </w:pPr>
      <w:r w:rsidRPr="00DD2C87">
        <w:rPr>
          <w:u w:val="single"/>
        </w:rPr>
        <w:t>Primary Sources:</w:t>
      </w:r>
    </w:p>
    <w:p w14:paraId="1EE3AE53" w14:textId="5DC41A78" w:rsidR="00E3155A" w:rsidRDefault="00E3155A">
      <w:r>
        <w:t xml:space="preserve">Ovid. </w:t>
      </w:r>
      <w:r w:rsidRPr="00E3155A">
        <w:rPr>
          <w:i/>
        </w:rPr>
        <w:t>Amores.</w:t>
      </w:r>
      <w:r>
        <w:t xml:space="preserve"> G. Showerman (trans.) 1914. Loeb Classical Library. Cambridge, MA</w:t>
      </w:r>
      <w:r w:rsidR="00DD2C87">
        <w:t xml:space="preserve">: Harvard University Press. </w:t>
      </w:r>
    </w:p>
    <w:p w14:paraId="47385585" w14:textId="7789EEDF" w:rsidR="00DD2C87" w:rsidRDefault="00DD2C87">
      <w:pPr>
        <w:rPr>
          <w:rFonts w:cstheme="minorHAnsi"/>
          <w:color w:val="333333"/>
          <w:shd w:val="clear" w:color="auto" w:fill="FFFFFF"/>
        </w:rPr>
      </w:pPr>
      <w:r>
        <w:t>Catullus. C</w:t>
      </w:r>
      <w:r w:rsidRPr="00DD2C87">
        <w:rPr>
          <w:i/>
        </w:rPr>
        <w:t xml:space="preserve">atullus. </w:t>
      </w:r>
      <w:r w:rsidRPr="00807517">
        <w:rPr>
          <w:rStyle w:val="contributorname"/>
          <w:rFonts w:cstheme="minorHAnsi"/>
          <w:color w:val="333333"/>
          <w:shd w:val="clear" w:color="auto" w:fill="FFFFFF"/>
        </w:rPr>
        <w:t>W. Cornish</w:t>
      </w:r>
      <w:r w:rsidRPr="00807517">
        <w:rPr>
          <w:rStyle w:val="translators"/>
          <w:rFonts w:cstheme="minorHAnsi"/>
          <w:color w:val="333333"/>
          <w:shd w:val="clear" w:color="auto" w:fill="FFFFFF"/>
        </w:rPr>
        <w:t>, </w:t>
      </w:r>
      <w:r w:rsidRPr="00807517">
        <w:rPr>
          <w:rStyle w:val="contributorname"/>
          <w:rFonts w:cstheme="minorHAnsi"/>
          <w:color w:val="333333"/>
          <w:shd w:val="clear" w:color="auto" w:fill="FFFFFF"/>
        </w:rPr>
        <w:t>J. P. Postgate</w:t>
      </w:r>
      <w:r w:rsidRPr="00807517">
        <w:rPr>
          <w:rStyle w:val="translators"/>
          <w:rFonts w:cstheme="minorHAnsi"/>
          <w:color w:val="333333"/>
          <w:shd w:val="clear" w:color="auto" w:fill="FFFFFF"/>
        </w:rPr>
        <w:t>, </w:t>
      </w:r>
      <w:r w:rsidRPr="00807517">
        <w:rPr>
          <w:rStyle w:val="contributorname"/>
          <w:rFonts w:cstheme="minorHAnsi"/>
          <w:color w:val="333333"/>
          <w:shd w:val="clear" w:color="auto" w:fill="FFFFFF"/>
        </w:rPr>
        <w:t>J. W. Mackail</w:t>
      </w:r>
      <w:r>
        <w:rPr>
          <w:rStyle w:val="translators"/>
          <w:rFonts w:cstheme="minorHAnsi"/>
          <w:color w:val="333333"/>
          <w:shd w:val="clear" w:color="auto" w:fill="FFFFFF"/>
        </w:rPr>
        <w:t xml:space="preserve"> </w:t>
      </w:r>
      <w:r>
        <w:rPr>
          <w:rStyle w:val="revisors"/>
          <w:rFonts w:cstheme="minorHAnsi"/>
          <w:color w:val="333333"/>
          <w:shd w:val="clear" w:color="auto" w:fill="FFFFFF"/>
        </w:rPr>
        <w:t>(trans.)</w:t>
      </w:r>
      <w:r w:rsidRPr="00807517">
        <w:rPr>
          <w:rStyle w:val="revisors"/>
          <w:rFonts w:cstheme="minorHAnsi"/>
          <w:color w:val="333333"/>
          <w:shd w:val="clear" w:color="auto" w:fill="FFFFFF"/>
        </w:rPr>
        <w:t> </w:t>
      </w:r>
      <w:r w:rsidRPr="00807517">
        <w:rPr>
          <w:rFonts w:cstheme="minorHAnsi"/>
          <w:color w:val="333333"/>
          <w:shd w:val="clear" w:color="auto" w:fill="FFFFFF"/>
        </w:rPr>
        <w:t>1913.</w:t>
      </w:r>
      <w:r w:rsidRPr="00807517">
        <w:rPr>
          <w:rStyle w:val="contributorname"/>
          <w:rFonts w:cstheme="minorHAnsi"/>
          <w:color w:val="333333"/>
          <w:shd w:val="clear" w:color="auto" w:fill="FFFFFF"/>
        </w:rPr>
        <w:t xml:space="preserve"> </w:t>
      </w:r>
      <w:r w:rsidRPr="00807517">
        <w:rPr>
          <w:rFonts w:cstheme="minorHAnsi"/>
          <w:color w:val="333333"/>
          <w:shd w:val="clear" w:color="auto" w:fill="FFFFFF"/>
        </w:rPr>
        <w:t>Loeb Classical Library 6. Cambridge, MA: Harvard University Press</w:t>
      </w:r>
      <w:r>
        <w:rPr>
          <w:rFonts w:cstheme="minorHAnsi"/>
          <w:color w:val="333333"/>
          <w:shd w:val="clear" w:color="auto" w:fill="FFFFFF"/>
        </w:rPr>
        <w:t>.</w:t>
      </w:r>
    </w:p>
    <w:p w14:paraId="019DD993" w14:textId="1FB099EC" w:rsidR="00DD2C87" w:rsidRDefault="00DD2C87">
      <w:pPr>
        <w:rPr>
          <w:rFonts w:cstheme="minorHAnsi"/>
          <w:color w:val="333333"/>
          <w:shd w:val="clear" w:color="auto" w:fill="FFFFFF"/>
        </w:rPr>
      </w:pPr>
    </w:p>
    <w:p w14:paraId="550DAB15" w14:textId="52846E75" w:rsidR="00DD2C87" w:rsidRPr="00DD2C87" w:rsidRDefault="00DD2C87">
      <w:pPr>
        <w:rPr>
          <w:rFonts w:cstheme="minorHAnsi"/>
          <w:color w:val="333333"/>
          <w:u w:val="single"/>
          <w:shd w:val="clear" w:color="auto" w:fill="FFFFFF"/>
        </w:rPr>
      </w:pPr>
      <w:r w:rsidRPr="00DD2C87">
        <w:rPr>
          <w:rFonts w:cstheme="minorHAnsi"/>
          <w:color w:val="333333"/>
          <w:u w:val="single"/>
          <w:shd w:val="clear" w:color="auto" w:fill="FFFFFF"/>
        </w:rPr>
        <w:t>Secondary Sources:</w:t>
      </w:r>
    </w:p>
    <w:p w14:paraId="3D8E726B" w14:textId="45F9AC0A" w:rsidR="00DD2C87" w:rsidRDefault="00DD2C87">
      <w:r>
        <w:t xml:space="preserve">Boyd, B. W. (2001) </w:t>
      </w:r>
      <w:r w:rsidRPr="00DD2C87">
        <w:rPr>
          <w:i/>
        </w:rPr>
        <w:t>Brill’s Companion to Ovid.</w:t>
      </w:r>
      <w:r>
        <w:t xml:space="preserve"> London: Brill. </w:t>
      </w:r>
    </w:p>
    <w:p w14:paraId="1649D7A6" w14:textId="74531FC4" w:rsidR="00DD2C87" w:rsidRDefault="00DD2C87">
      <w:r>
        <w:t xml:space="preserve">Boyd, B.W. (1997) Ovid’s Literary Loves: Influence and Innovation in the Amores. America: University of Michigan Press. </w:t>
      </w:r>
    </w:p>
    <w:p w14:paraId="33F688A2" w14:textId="53C9A488" w:rsidR="0001648A" w:rsidRDefault="0001648A">
      <w:r>
        <w:t>Gunther, H. C. (</w:t>
      </w:r>
      <w:r w:rsidR="008647FF">
        <w:t xml:space="preserve">2006) </w:t>
      </w:r>
      <w:r w:rsidR="008647FF" w:rsidRPr="008647FF">
        <w:rPr>
          <w:i/>
        </w:rPr>
        <w:t>Brill’s Companion to Propertius.</w:t>
      </w:r>
      <w:r w:rsidR="008647FF">
        <w:t xml:space="preserve"> London: Brill. </w:t>
      </w:r>
    </w:p>
    <w:p w14:paraId="79B9DF34" w14:textId="4283281D" w:rsidR="008647FF" w:rsidRDefault="00A719E7">
      <w:r>
        <w:t xml:space="preserve">Tupin, W. (2016) </w:t>
      </w:r>
      <w:r w:rsidRPr="00E635BA">
        <w:rPr>
          <w:i/>
        </w:rPr>
        <w:t xml:space="preserve">Ovid </w:t>
      </w:r>
      <w:r w:rsidR="00E635BA" w:rsidRPr="00E635BA">
        <w:rPr>
          <w:i/>
        </w:rPr>
        <w:t>Amores Book 1.</w:t>
      </w:r>
      <w:r w:rsidR="00E635BA">
        <w:t xml:space="preserve"> </w:t>
      </w:r>
      <w:r w:rsidR="00CE5AC5">
        <w:t>Cambridge</w:t>
      </w:r>
      <w:r w:rsidR="00E635BA">
        <w:t xml:space="preserve">: Open Book Publishers. </w:t>
      </w:r>
    </w:p>
    <w:p w14:paraId="00EF31E1" w14:textId="77777777" w:rsidR="006E75C3" w:rsidRDefault="006E75C3"/>
    <w:p w14:paraId="7CCFE5DC" w14:textId="77777777" w:rsidR="00DD2C87" w:rsidRDefault="00DD2C87"/>
    <w:p w14:paraId="5EEB20B5" w14:textId="77777777" w:rsidR="00DD2C87" w:rsidRDefault="00DD2C87"/>
    <w:sectPr w:rsidR="00DD2C8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AB2E99" w14:textId="77777777" w:rsidR="006A66FB" w:rsidRDefault="006A66FB" w:rsidP="00EA2AAA">
      <w:pPr>
        <w:spacing w:after="0" w:line="240" w:lineRule="auto"/>
      </w:pPr>
      <w:r>
        <w:separator/>
      </w:r>
    </w:p>
  </w:endnote>
  <w:endnote w:type="continuationSeparator" w:id="0">
    <w:p w14:paraId="75FACA4B" w14:textId="77777777" w:rsidR="006A66FB" w:rsidRDefault="006A66FB" w:rsidP="00EA2A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86CEE1" w14:textId="77777777" w:rsidR="006A66FB" w:rsidRDefault="006A66FB" w:rsidP="00EA2AAA">
      <w:pPr>
        <w:spacing w:after="0" w:line="240" w:lineRule="auto"/>
      </w:pPr>
      <w:r>
        <w:separator/>
      </w:r>
    </w:p>
  </w:footnote>
  <w:footnote w:type="continuationSeparator" w:id="0">
    <w:p w14:paraId="696EFAA4" w14:textId="77777777" w:rsidR="006A66FB" w:rsidRDefault="006A66FB" w:rsidP="00EA2AAA">
      <w:pPr>
        <w:spacing w:after="0" w:line="240" w:lineRule="auto"/>
      </w:pPr>
      <w:r>
        <w:continuationSeparator/>
      </w:r>
    </w:p>
  </w:footnote>
  <w:footnote w:id="1">
    <w:p w14:paraId="6006697F" w14:textId="4C7ACE03" w:rsidR="00EA2AAA" w:rsidRDefault="00EA2AAA">
      <w:pPr>
        <w:pStyle w:val="FootnoteText"/>
      </w:pPr>
      <w:r>
        <w:rPr>
          <w:rStyle w:val="FootnoteReference"/>
        </w:rPr>
        <w:footnoteRef/>
      </w:r>
      <w:r>
        <w:t xml:space="preserve"> Ov</w:t>
      </w:r>
      <w:r w:rsidR="00E3155A">
        <w:t>.</w:t>
      </w:r>
      <w:r>
        <w:t xml:space="preserve"> </w:t>
      </w:r>
      <w:r w:rsidRPr="00E3155A">
        <w:rPr>
          <w:i/>
        </w:rPr>
        <w:t>Am</w:t>
      </w:r>
      <w:r>
        <w:t>.</w:t>
      </w:r>
      <w:r w:rsidR="00E3155A">
        <w:t xml:space="preserve"> </w:t>
      </w:r>
      <w:r>
        <w:t>1.5.1</w:t>
      </w:r>
    </w:p>
  </w:footnote>
  <w:footnote w:id="2">
    <w:p w14:paraId="07C7F83E" w14:textId="647975C4" w:rsidR="001D0CD4" w:rsidRDefault="001D0CD4">
      <w:pPr>
        <w:pStyle w:val="FootnoteText"/>
      </w:pPr>
      <w:r>
        <w:rPr>
          <w:rStyle w:val="FootnoteReference"/>
        </w:rPr>
        <w:footnoteRef/>
      </w:r>
      <w:r>
        <w:t xml:space="preserve"> Tupin</w:t>
      </w:r>
      <w:r w:rsidR="008647FF">
        <w:t xml:space="preserve">, </w:t>
      </w:r>
      <w:r w:rsidR="006D3844">
        <w:t xml:space="preserve">2016, </w:t>
      </w:r>
      <w:r w:rsidR="00A719E7">
        <w:t>1.5</w:t>
      </w:r>
    </w:p>
  </w:footnote>
  <w:footnote w:id="3">
    <w:p w14:paraId="23A6D6A3" w14:textId="5DD46F18" w:rsidR="00302B30" w:rsidRDefault="00302B30">
      <w:pPr>
        <w:pStyle w:val="FootnoteText"/>
      </w:pPr>
      <w:r>
        <w:rPr>
          <w:rStyle w:val="FootnoteReference"/>
        </w:rPr>
        <w:footnoteRef/>
      </w:r>
      <w:r>
        <w:t xml:space="preserve"> </w:t>
      </w:r>
      <w:r w:rsidR="00E3155A">
        <w:t xml:space="preserve">Ov. </w:t>
      </w:r>
      <w:r w:rsidR="00E3155A" w:rsidRPr="00E3155A">
        <w:rPr>
          <w:i/>
        </w:rPr>
        <w:t>Am</w:t>
      </w:r>
      <w:r w:rsidR="00E3155A">
        <w:t>. 1.5.</w:t>
      </w:r>
      <w:r>
        <w:t>10</w:t>
      </w:r>
    </w:p>
  </w:footnote>
  <w:footnote w:id="4">
    <w:p w14:paraId="4CC1C815" w14:textId="58555C55" w:rsidR="00302B30" w:rsidRDefault="00302B30">
      <w:pPr>
        <w:pStyle w:val="FootnoteText"/>
      </w:pPr>
      <w:r>
        <w:rPr>
          <w:rStyle w:val="FootnoteReference"/>
        </w:rPr>
        <w:footnoteRef/>
      </w:r>
      <w:r>
        <w:t xml:space="preserve"> Cat</w:t>
      </w:r>
      <w:r w:rsidR="00DD2C87">
        <w:t xml:space="preserve">ull. </w:t>
      </w:r>
      <w:r>
        <w:t>68.70</w:t>
      </w:r>
    </w:p>
  </w:footnote>
  <w:footnote w:id="5">
    <w:p w14:paraId="0200482D" w14:textId="0D908DA1" w:rsidR="00302B30" w:rsidRDefault="00302B30">
      <w:pPr>
        <w:pStyle w:val="FootnoteText"/>
      </w:pPr>
      <w:r>
        <w:rPr>
          <w:rStyle w:val="FootnoteReference"/>
        </w:rPr>
        <w:footnoteRef/>
      </w:r>
      <w:r>
        <w:t xml:space="preserve"> Boyd</w:t>
      </w:r>
      <w:r w:rsidR="00DD2C87">
        <w:t xml:space="preserve">, 2001, </w:t>
      </w:r>
      <w:r w:rsidR="007813D9">
        <w:t>p.</w:t>
      </w:r>
      <w:r w:rsidR="00DD2C87">
        <w:t>112</w:t>
      </w:r>
    </w:p>
  </w:footnote>
  <w:footnote w:id="6">
    <w:p w14:paraId="58916021" w14:textId="1D9A47A3" w:rsidR="003A6C20" w:rsidRDefault="003A6C20">
      <w:pPr>
        <w:pStyle w:val="FootnoteText"/>
      </w:pPr>
      <w:r>
        <w:rPr>
          <w:rStyle w:val="FootnoteReference"/>
        </w:rPr>
        <w:footnoteRef/>
      </w:r>
      <w:r>
        <w:t xml:space="preserve"> </w:t>
      </w:r>
      <w:r w:rsidR="00E3155A">
        <w:t xml:space="preserve">Ov. </w:t>
      </w:r>
      <w:r w:rsidR="00E3155A" w:rsidRPr="00E3155A">
        <w:rPr>
          <w:i/>
        </w:rPr>
        <w:t>Am</w:t>
      </w:r>
      <w:r w:rsidR="00E3155A">
        <w:t>. 1.5.</w:t>
      </w:r>
      <w:r w:rsidR="00724916">
        <w:t>11</w:t>
      </w:r>
    </w:p>
  </w:footnote>
  <w:footnote w:id="7">
    <w:p w14:paraId="504337EA" w14:textId="19A5A351" w:rsidR="00F10D69" w:rsidRDefault="00F10D69">
      <w:pPr>
        <w:pStyle w:val="FootnoteText"/>
      </w:pPr>
      <w:r>
        <w:rPr>
          <w:rStyle w:val="FootnoteReference"/>
        </w:rPr>
        <w:footnoteRef/>
      </w:r>
      <w:r>
        <w:t xml:space="preserve"> </w:t>
      </w:r>
      <w:r w:rsidR="00E3155A">
        <w:t xml:space="preserve">Ov. </w:t>
      </w:r>
      <w:r w:rsidR="00E3155A" w:rsidRPr="00E3155A">
        <w:rPr>
          <w:i/>
        </w:rPr>
        <w:t>Am</w:t>
      </w:r>
      <w:r w:rsidR="00E3155A">
        <w:t>. 1.5.</w:t>
      </w:r>
      <w:r>
        <w:t>11</w:t>
      </w:r>
    </w:p>
  </w:footnote>
  <w:footnote w:id="8">
    <w:p w14:paraId="204C256F" w14:textId="3028BCE1" w:rsidR="00EF704B" w:rsidRDefault="00EF704B">
      <w:pPr>
        <w:pStyle w:val="FootnoteText"/>
      </w:pPr>
      <w:r>
        <w:rPr>
          <w:rStyle w:val="FootnoteReference"/>
        </w:rPr>
        <w:footnoteRef/>
      </w:r>
      <w:r>
        <w:t xml:space="preserve"> </w:t>
      </w:r>
      <w:r w:rsidR="00E3155A">
        <w:t xml:space="preserve">Ov. </w:t>
      </w:r>
      <w:r w:rsidR="00E3155A" w:rsidRPr="00E3155A">
        <w:rPr>
          <w:i/>
        </w:rPr>
        <w:t>Am</w:t>
      </w:r>
      <w:r w:rsidR="00E3155A">
        <w:t>. 1.5.</w:t>
      </w:r>
      <w:r w:rsidR="002655A9">
        <w:t>13</w:t>
      </w:r>
    </w:p>
  </w:footnote>
  <w:footnote w:id="9">
    <w:p w14:paraId="10EEF6B6" w14:textId="264D6C4F" w:rsidR="004274CC" w:rsidRDefault="004274CC">
      <w:pPr>
        <w:pStyle w:val="FootnoteText"/>
      </w:pPr>
      <w:r>
        <w:rPr>
          <w:rStyle w:val="FootnoteReference"/>
        </w:rPr>
        <w:footnoteRef/>
      </w:r>
      <w:r>
        <w:t xml:space="preserve"> </w:t>
      </w:r>
      <w:r w:rsidR="00E3155A">
        <w:t xml:space="preserve">Ov. </w:t>
      </w:r>
      <w:r w:rsidR="00E3155A" w:rsidRPr="00E3155A">
        <w:rPr>
          <w:i/>
        </w:rPr>
        <w:t>Am</w:t>
      </w:r>
      <w:r w:rsidR="00E3155A">
        <w:t>. 1.5.</w:t>
      </w:r>
      <w:r>
        <w:t>16</w:t>
      </w:r>
    </w:p>
  </w:footnote>
  <w:footnote w:id="10">
    <w:p w14:paraId="6FF2FDE8" w14:textId="1670289A" w:rsidR="0043004D" w:rsidRDefault="0043004D">
      <w:pPr>
        <w:pStyle w:val="FootnoteText"/>
      </w:pPr>
      <w:r>
        <w:rPr>
          <w:rStyle w:val="FootnoteReference"/>
        </w:rPr>
        <w:footnoteRef/>
      </w:r>
      <w:r>
        <w:t xml:space="preserve"> Boyd</w:t>
      </w:r>
      <w:r w:rsidR="00DD2C87">
        <w:t xml:space="preserve">, 2001, </w:t>
      </w:r>
      <w:r w:rsidR="007813D9">
        <w:t>p.112</w:t>
      </w:r>
    </w:p>
  </w:footnote>
  <w:footnote w:id="11">
    <w:p w14:paraId="386EF31B" w14:textId="67ABF642" w:rsidR="00795BB8" w:rsidRDefault="00795BB8">
      <w:pPr>
        <w:pStyle w:val="FootnoteText"/>
      </w:pPr>
      <w:r>
        <w:rPr>
          <w:rStyle w:val="FootnoteReference"/>
        </w:rPr>
        <w:footnoteRef/>
      </w:r>
      <w:r>
        <w:t xml:space="preserve"> </w:t>
      </w:r>
      <w:r w:rsidR="00E3155A">
        <w:t xml:space="preserve">Ov. </w:t>
      </w:r>
      <w:r w:rsidR="00E3155A" w:rsidRPr="00E3155A">
        <w:rPr>
          <w:i/>
        </w:rPr>
        <w:t>Am</w:t>
      </w:r>
      <w:r w:rsidR="00E3155A">
        <w:t>. 1.5.</w:t>
      </w:r>
      <w:r w:rsidR="005C092F">
        <w:t>15</w:t>
      </w:r>
    </w:p>
  </w:footnote>
  <w:footnote w:id="12">
    <w:p w14:paraId="5548728C" w14:textId="43344846" w:rsidR="00105948" w:rsidRDefault="00105948">
      <w:pPr>
        <w:pStyle w:val="FootnoteText"/>
      </w:pPr>
      <w:r>
        <w:rPr>
          <w:rStyle w:val="FootnoteReference"/>
        </w:rPr>
        <w:footnoteRef/>
      </w:r>
      <w:r>
        <w:t xml:space="preserve"> Boyd</w:t>
      </w:r>
      <w:r w:rsidR="007813D9">
        <w:t>, 1997, p.</w:t>
      </w:r>
      <w:r w:rsidR="006E75C3">
        <w:t>151</w:t>
      </w:r>
    </w:p>
  </w:footnote>
  <w:footnote w:id="13">
    <w:p w14:paraId="308CA773" w14:textId="734D3765" w:rsidR="00D14BFA" w:rsidRDefault="00D14BFA">
      <w:pPr>
        <w:pStyle w:val="FootnoteText"/>
      </w:pPr>
      <w:r>
        <w:rPr>
          <w:rStyle w:val="FootnoteReference"/>
        </w:rPr>
        <w:footnoteRef/>
      </w:r>
      <w:r>
        <w:t xml:space="preserve"> </w:t>
      </w:r>
      <w:r w:rsidR="00AB20FA">
        <w:t>Gunther</w:t>
      </w:r>
      <w:r w:rsidR="006E75C3">
        <w:t xml:space="preserve">, </w:t>
      </w:r>
      <w:r w:rsidR="0001648A">
        <w:t xml:space="preserve">2006, </w:t>
      </w:r>
      <w:r w:rsidR="00AB20FA">
        <w:t>p.158</w:t>
      </w:r>
    </w:p>
  </w:footnote>
  <w:footnote w:id="14">
    <w:p w14:paraId="68DDE7D8" w14:textId="1BCB3A30" w:rsidR="00CD0786" w:rsidRDefault="00CD0786">
      <w:pPr>
        <w:pStyle w:val="FootnoteText"/>
      </w:pPr>
      <w:r>
        <w:rPr>
          <w:rStyle w:val="FootnoteReference"/>
        </w:rPr>
        <w:footnoteRef/>
      </w:r>
      <w:r>
        <w:t xml:space="preserve"> </w:t>
      </w:r>
      <w:r w:rsidR="00774F32" w:rsidRPr="00774F32">
        <w:rPr>
          <w:i/>
        </w:rPr>
        <w:t>Furor</w:t>
      </w:r>
      <w:r w:rsidR="00774F32">
        <w:t xml:space="preserve">, in this usage, is </w:t>
      </w:r>
      <w:r w:rsidR="00DD236F">
        <w:t xml:space="preserve">depicting the violent anger and frenzy often associated with heroes in Greek and Roman literature. </w:t>
      </w:r>
      <w:r w:rsidR="00DA1587">
        <w:t xml:space="preserve">It has been translated to craze, mania and rage in the past. </w:t>
      </w:r>
    </w:p>
  </w:footnote>
  <w:footnote w:id="15">
    <w:p w14:paraId="3A2AF282" w14:textId="69955771" w:rsidR="001257B0" w:rsidRDefault="001257B0">
      <w:pPr>
        <w:pStyle w:val="FootnoteText"/>
      </w:pPr>
      <w:r>
        <w:rPr>
          <w:rStyle w:val="FootnoteReference"/>
        </w:rPr>
        <w:footnoteRef/>
      </w:r>
      <w:r>
        <w:t xml:space="preserve"> </w:t>
      </w:r>
      <w:r w:rsidR="00E3155A">
        <w:t xml:space="preserve">Ov. </w:t>
      </w:r>
      <w:r w:rsidR="00E3155A" w:rsidRPr="00E3155A">
        <w:rPr>
          <w:i/>
        </w:rPr>
        <w:t>Am</w:t>
      </w:r>
      <w:r w:rsidR="00E3155A">
        <w:t>. 1.</w:t>
      </w:r>
      <w:r w:rsidR="00DD2C87">
        <w:t>7</w:t>
      </w:r>
      <w:r w:rsidR="00E3155A">
        <w:t>.</w:t>
      </w:r>
      <w:r w:rsidR="007E3C88">
        <w:t>7-9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0DC"/>
    <w:rsid w:val="0001648A"/>
    <w:rsid w:val="0006599D"/>
    <w:rsid w:val="000C0650"/>
    <w:rsid w:val="00105948"/>
    <w:rsid w:val="001141B4"/>
    <w:rsid w:val="001257B0"/>
    <w:rsid w:val="00190882"/>
    <w:rsid w:val="001B4182"/>
    <w:rsid w:val="001C2C24"/>
    <w:rsid w:val="001D0CD4"/>
    <w:rsid w:val="001E196A"/>
    <w:rsid w:val="001E3962"/>
    <w:rsid w:val="0020726B"/>
    <w:rsid w:val="00255063"/>
    <w:rsid w:val="002655A9"/>
    <w:rsid w:val="0027284F"/>
    <w:rsid w:val="002C3FD9"/>
    <w:rsid w:val="002D0676"/>
    <w:rsid w:val="002E5872"/>
    <w:rsid w:val="00302B30"/>
    <w:rsid w:val="00396F34"/>
    <w:rsid w:val="003A6C20"/>
    <w:rsid w:val="003D5B5F"/>
    <w:rsid w:val="004274CC"/>
    <w:rsid w:val="0043004D"/>
    <w:rsid w:val="00446BEE"/>
    <w:rsid w:val="004948E5"/>
    <w:rsid w:val="005035F4"/>
    <w:rsid w:val="00506471"/>
    <w:rsid w:val="00522292"/>
    <w:rsid w:val="005341CA"/>
    <w:rsid w:val="005519C4"/>
    <w:rsid w:val="005C092F"/>
    <w:rsid w:val="00611580"/>
    <w:rsid w:val="00627BB2"/>
    <w:rsid w:val="00640754"/>
    <w:rsid w:val="006826ED"/>
    <w:rsid w:val="00690778"/>
    <w:rsid w:val="006A39C9"/>
    <w:rsid w:val="006A66FB"/>
    <w:rsid w:val="006B0DAA"/>
    <w:rsid w:val="006D3844"/>
    <w:rsid w:val="006E75C3"/>
    <w:rsid w:val="0070344D"/>
    <w:rsid w:val="0070746C"/>
    <w:rsid w:val="00724916"/>
    <w:rsid w:val="00774F32"/>
    <w:rsid w:val="007813D9"/>
    <w:rsid w:val="0078144E"/>
    <w:rsid w:val="00790D7D"/>
    <w:rsid w:val="00795BB8"/>
    <w:rsid w:val="007C74DE"/>
    <w:rsid w:val="007E3C88"/>
    <w:rsid w:val="0082237F"/>
    <w:rsid w:val="00857B99"/>
    <w:rsid w:val="008600FA"/>
    <w:rsid w:val="008647FF"/>
    <w:rsid w:val="008839FF"/>
    <w:rsid w:val="00887CC2"/>
    <w:rsid w:val="008A7947"/>
    <w:rsid w:val="008B62FC"/>
    <w:rsid w:val="00921EE5"/>
    <w:rsid w:val="009B4892"/>
    <w:rsid w:val="009D6962"/>
    <w:rsid w:val="009F73C7"/>
    <w:rsid w:val="00A450C1"/>
    <w:rsid w:val="00A719E7"/>
    <w:rsid w:val="00AB02A3"/>
    <w:rsid w:val="00AB20FA"/>
    <w:rsid w:val="00AD3405"/>
    <w:rsid w:val="00AE1D88"/>
    <w:rsid w:val="00AF3EEB"/>
    <w:rsid w:val="00B629E0"/>
    <w:rsid w:val="00B90F94"/>
    <w:rsid w:val="00BB7F28"/>
    <w:rsid w:val="00BD0261"/>
    <w:rsid w:val="00BF6417"/>
    <w:rsid w:val="00C17F52"/>
    <w:rsid w:val="00C617BD"/>
    <w:rsid w:val="00C82EA9"/>
    <w:rsid w:val="00CA70DC"/>
    <w:rsid w:val="00CD0786"/>
    <w:rsid w:val="00CD6570"/>
    <w:rsid w:val="00CE5AC5"/>
    <w:rsid w:val="00D14BFA"/>
    <w:rsid w:val="00D47DE7"/>
    <w:rsid w:val="00DA1587"/>
    <w:rsid w:val="00DD236F"/>
    <w:rsid w:val="00DD2C87"/>
    <w:rsid w:val="00E30F39"/>
    <w:rsid w:val="00E3155A"/>
    <w:rsid w:val="00E40EE5"/>
    <w:rsid w:val="00E50C71"/>
    <w:rsid w:val="00E61DC7"/>
    <w:rsid w:val="00E635BA"/>
    <w:rsid w:val="00E7587A"/>
    <w:rsid w:val="00EA2AAA"/>
    <w:rsid w:val="00EF704B"/>
    <w:rsid w:val="00F10D69"/>
    <w:rsid w:val="00F16DF8"/>
    <w:rsid w:val="00F76FEE"/>
    <w:rsid w:val="00F83B23"/>
    <w:rsid w:val="00FF07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850AD"/>
  <w15:chartTrackingRefBased/>
  <w15:docId w15:val="{CAD3932F-EB3D-4F98-95C6-E8AF4FE30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A2AA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A2AAA"/>
    <w:rPr>
      <w:sz w:val="20"/>
      <w:szCs w:val="20"/>
    </w:rPr>
  </w:style>
  <w:style w:type="character" w:styleId="FootnoteReference">
    <w:name w:val="footnote reference"/>
    <w:basedOn w:val="DefaultParagraphFont"/>
    <w:uiPriority w:val="99"/>
    <w:semiHidden/>
    <w:unhideWhenUsed/>
    <w:rsid w:val="00EA2AAA"/>
    <w:rPr>
      <w:vertAlign w:val="superscript"/>
    </w:rPr>
  </w:style>
  <w:style w:type="character" w:styleId="Hyperlink">
    <w:name w:val="Hyperlink"/>
    <w:basedOn w:val="DefaultParagraphFont"/>
    <w:uiPriority w:val="99"/>
    <w:semiHidden/>
    <w:unhideWhenUsed/>
    <w:rsid w:val="008B62FC"/>
    <w:rPr>
      <w:color w:val="0000FF"/>
      <w:u w:val="single"/>
    </w:rPr>
  </w:style>
  <w:style w:type="character" w:customStyle="1" w:styleId="contributorname">
    <w:name w:val="contributorname"/>
    <w:basedOn w:val="DefaultParagraphFont"/>
    <w:rsid w:val="00DD2C87"/>
  </w:style>
  <w:style w:type="character" w:customStyle="1" w:styleId="translators">
    <w:name w:val="translators"/>
    <w:basedOn w:val="DefaultParagraphFont"/>
    <w:rsid w:val="00DD2C87"/>
  </w:style>
  <w:style w:type="character" w:customStyle="1" w:styleId="revisors">
    <w:name w:val="revisors"/>
    <w:basedOn w:val="DefaultParagraphFont"/>
    <w:rsid w:val="00DD2C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wordhippo.com/what-is/the-meaning-of/greek-word-c7680eae0239b80cc7af82c3ee6305afcc40856e.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CBE6E3-5E38-4F0A-85A0-7E843E1F1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1087</Words>
  <Characters>6196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Jane Collins</dc:creator>
  <cp:keywords/>
  <dc:description/>
  <cp:lastModifiedBy>Bethany Jane Collins</cp:lastModifiedBy>
  <cp:revision>2</cp:revision>
  <dcterms:created xsi:type="dcterms:W3CDTF">2019-05-25T09:36:00Z</dcterms:created>
  <dcterms:modified xsi:type="dcterms:W3CDTF">2019-05-25T09:36:00Z</dcterms:modified>
</cp:coreProperties>
</file>