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3236" w:rsidRDefault="00CA3236" w:rsidP="00CA3236">
      <w:pPr>
        <w:pStyle w:val="IntenseQuote"/>
        <w:rPr>
          <w:i w:val="0"/>
          <w:sz w:val="24"/>
        </w:rPr>
      </w:pPr>
      <w:r w:rsidRPr="00CA3236">
        <w:rPr>
          <w:i w:val="0"/>
          <w:sz w:val="24"/>
        </w:rPr>
        <w:t>Analyse the Political, military and economic aspects of Athens’ conflict with Philip II.</w:t>
      </w:r>
    </w:p>
    <w:p w:rsidR="00CA3236" w:rsidRDefault="00CA3236" w:rsidP="00CA3236">
      <w:r>
        <w:t xml:space="preserve">Philip II of Macedon was the son of </w:t>
      </w:r>
      <w:r w:rsidR="00537122">
        <w:t>Amyntas III</w:t>
      </w:r>
      <w:r>
        <w:t xml:space="preserve"> and father of Alexander the Great</w:t>
      </w:r>
      <w:r w:rsidR="00DB7DA9">
        <w:t xml:space="preserve"> and a part of the Argead dynasty</w:t>
      </w:r>
      <w:r>
        <w:t>, he reigned between 359 and 355BC and is considered one of the most revolutionary military commanders of the period as well as being responsible for the foundations of the Macedonian empire</w:t>
      </w:r>
      <w:r w:rsidR="00DB7DA9">
        <w:t>. He was assassinated in 336BC</w:t>
      </w:r>
      <w:r w:rsidR="00DB7DA9">
        <w:rPr>
          <w:rStyle w:val="FootnoteReference"/>
        </w:rPr>
        <w:footnoteReference w:id="1"/>
      </w:r>
      <w:r>
        <w:t xml:space="preserve"> leaving his son Alexander III a vast army at his disposal, meaning he did not need to seek allies as well as great potential to expand the Macedonian empire. The purpose of this essay is to discuss the political, military and economic aspects of the Athenian conflict with Philip II during his reign. This essay will argue that these aspects are synonymous, as war was a central concept in the ancient world it is almost counterproductive to assume that political and economic elements of a polis to be independent from its military objectives, conflicts or attempts to prevent conflict. By analysing the instances of conflict involving Athens and Philip II between</w:t>
      </w:r>
      <w:r w:rsidR="000E35CE">
        <w:t xml:space="preserve"> 359BC and 355BC this essay</w:t>
      </w:r>
      <w:r>
        <w:t xml:space="preserve"> discuss</w:t>
      </w:r>
      <w:r w:rsidR="000E35CE">
        <w:t>es</w:t>
      </w:r>
      <w:r>
        <w:t xml:space="preserve"> the political and economic events alongside its militaristic ones in order to best analyse the conflict between Athens and Philip and how it is recorded in the sources and engaged with by scholarship.</w:t>
      </w:r>
    </w:p>
    <w:p w:rsidR="000E35CE" w:rsidRDefault="000E35CE" w:rsidP="00CA3236">
      <w:r>
        <w:t>The overall conflict between Athens and Philip II began at the beginning of his reign, when Athens sent a contender for the throne with an army in an attempt to replace him and have an Athenian sympathiser on the throne of Macedon</w:t>
      </w:r>
      <w:r>
        <w:rPr>
          <w:rStyle w:val="FootnoteReference"/>
        </w:rPr>
        <w:footnoteReference w:id="2"/>
      </w:r>
      <w:r>
        <w:t xml:space="preserve">. </w:t>
      </w:r>
    </w:p>
    <w:p w:rsidR="00E75709" w:rsidRDefault="00CA3236" w:rsidP="00CA3236">
      <w:r>
        <w:t xml:space="preserve">The first instance of conflict </w:t>
      </w:r>
      <w:r w:rsidR="003A0AC5">
        <w:t>this essay will discuss is the events surrounding</w:t>
      </w:r>
      <w:r w:rsidR="00E75709">
        <w:t xml:space="preserve"> </w:t>
      </w:r>
      <w:r w:rsidR="006B56DF" w:rsidRPr="006B56DF">
        <w:t xml:space="preserve">Amphipolis. The </w:t>
      </w:r>
      <w:r w:rsidR="001F41C8">
        <w:t>polis was originally under Thracian control before being colonized</w:t>
      </w:r>
      <w:r w:rsidR="006B56DF" w:rsidRPr="006B56DF">
        <w:t xml:space="preserve"> in </w:t>
      </w:r>
      <w:r w:rsidR="001F41C8">
        <w:t xml:space="preserve">437BC </w:t>
      </w:r>
      <w:r w:rsidR="006B56DF" w:rsidRPr="006B56DF">
        <w:t>by the Athenians</w:t>
      </w:r>
      <w:r w:rsidR="001F41C8">
        <w:rPr>
          <w:rStyle w:val="FootnoteReference"/>
        </w:rPr>
        <w:footnoteReference w:id="3"/>
      </w:r>
      <w:r w:rsidR="006B56DF" w:rsidRPr="006B56DF">
        <w:t>, “and is situated in that place which is called Ennea Hodoi</w:t>
      </w:r>
      <w:r w:rsidR="006B56DF">
        <w:t>”</w:t>
      </w:r>
      <w:r w:rsidR="006B56DF">
        <w:rPr>
          <w:rStyle w:val="FootnoteReference"/>
        </w:rPr>
        <w:footnoteReference w:id="4"/>
      </w:r>
      <w:r w:rsidR="001F41C8">
        <w:t xml:space="preserve">. Which is </w:t>
      </w:r>
      <w:r w:rsidR="006B56DF">
        <w:t>translated as ‘nine roads’</w:t>
      </w:r>
      <w:r w:rsidR="006B56DF">
        <w:rPr>
          <w:rStyle w:val="FootnoteReference"/>
        </w:rPr>
        <w:footnoteReference w:id="5"/>
      </w:r>
      <w:r w:rsidR="006B56DF">
        <w:t xml:space="preserve"> </w:t>
      </w:r>
      <w:r w:rsidR="001F41C8">
        <w:t>due to the number of roads which intersected there as well as being</w:t>
      </w:r>
      <w:r w:rsidR="006B56DF">
        <w:t xml:space="preserve"> the last point to cross the river Strymon before it reaches the Aegean </w:t>
      </w:r>
      <w:r w:rsidR="001F41C8">
        <w:t>Sea</w:t>
      </w:r>
      <w:r w:rsidR="006B56DF">
        <w:t>.</w:t>
      </w:r>
      <w:r w:rsidR="001F41C8">
        <w:t xml:space="preserve"> The importance of Amphipolis economically was astronomical</w:t>
      </w:r>
      <w:r w:rsidR="001F41C8">
        <w:rPr>
          <w:rStyle w:val="FootnoteReference"/>
        </w:rPr>
        <w:footnoteReference w:id="6"/>
      </w:r>
      <w:r w:rsidR="001F41C8">
        <w:t xml:space="preserve"> aside from the one controlling it being able to control traffic between Thrace and the southern cities, the polis in control of Amphipolis also had access to the forests required for ship building as well as the gold and silver mines in Mt. Pangaion</w:t>
      </w:r>
      <w:r w:rsidR="001F41C8">
        <w:rPr>
          <w:rStyle w:val="FootnoteReference"/>
        </w:rPr>
        <w:footnoteReference w:id="7"/>
      </w:r>
      <w:r w:rsidR="003A0AC5">
        <w:t xml:space="preserve"> making it both a strategical and economic powerhouse for Athens, something the Athenians realised d</w:t>
      </w:r>
      <w:r w:rsidR="001F41C8">
        <w:t xml:space="preserve">uring </w:t>
      </w:r>
      <w:r w:rsidR="003A0AC5">
        <w:t>the reign of Philip.</w:t>
      </w:r>
      <w:r w:rsidR="001F41C8">
        <w:t xml:space="preserve"> </w:t>
      </w:r>
      <w:r w:rsidR="000E35CE">
        <w:t>While Amphipolis was an independent polis, Philip claimed it for the Macedonian empire and t</w:t>
      </w:r>
      <w:r w:rsidR="003A0AC5">
        <w:t xml:space="preserve">he </w:t>
      </w:r>
      <w:r w:rsidR="000E35CE">
        <w:t xml:space="preserve">resulting </w:t>
      </w:r>
      <w:r w:rsidR="003A0AC5">
        <w:t xml:space="preserve">conflict between Athens and Philip arose around Amphipolis when </w:t>
      </w:r>
      <w:r w:rsidR="00E75709">
        <w:t>Philip betrayed an agreement he had made with Athens</w:t>
      </w:r>
      <w:r w:rsidR="0052641C">
        <w:t xml:space="preserve"> which will be discussed further in this essay</w:t>
      </w:r>
      <w:r w:rsidR="00E75709">
        <w:t xml:space="preserve">. </w:t>
      </w:r>
    </w:p>
    <w:p w:rsidR="003105FA" w:rsidRDefault="00E329B6" w:rsidP="0052641C">
      <w:r>
        <w:t xml:space="preserve">The second instance of conflict this essay will discuss is the third </w:t>
      </w:r>
      <w:r w:rsidR="00C65E7F">
        <w:t>sacred</w:t>
      </w:r>
      <w:r>
        <w:t xml:space="preserve"> war fought between the Phocians and the </w:t>
      </w:r>
      <w:r w:rsidR="003105FA">
        <w:t>Amphictyonic League</w:t>
      </w:r>
      <w:r w:rsidR="00C65E7F">
        <w:t xml:space="preserve"> from 356BC until 346BC</w:t>
      </w:r>
      <w:r>
        <w:t xml:space="preserve">. As well as the social war of 356-355BC in which Athens allied with three Kings against Philip </w:t>
      </w:r>
      <w:r w:rsidR="00C65E7F">
        <w:t>during this period</w:t>
      </w:r>
      <w:r w:rsidR="00DB7DA9">
        <w:rPr>
          <w:rStyle w:val="FootnoteReference"/>
        </w:rPr>
        <w:footnoteReference w:id="8"/>
      </w:r>
      <w:r w:rsidR="00C65E7F">
        <w:t xml:space="preserve">. </w:t>
      </w:r>
      <w:r w:rsidR="003105FA">
        <w:t xml:space="preserve">The third sacred war was the first opportunity during Philip’s reign to expand his influence in wider Greece. The sacred </w:t>
      </w:r>
      <w:r w:rsidR="003105FA">
        <w:lastRenderedPageBreak/>
        <w:t xml:space="preserve">war was declared as a result of the Phocians refusing to pay a fine to the Amphictyonic council, a religious organisation. The Phocians seized the temple at Delphi and raised an army of mercenaries with its treasury. Athens, alongside Sparta, were allied with the Phocians in this war while Philip supported the </w:t>
      </w:r>
      <w:r w:rsidR="00557368">
        <w:t>Thessalian’s</w:t>
      </w:r>
      <w:r w:rsidR="003105FA">
        <w:t xml:space="preserve">, </w:t>
      </w:r>
      <w:r w:rsidR="003105FA" w:rsidRPr="003105FA">
        <w:t>who were supporte</w:t>
      </w:r>
      <w:r w:rsidR="003105FA">
        <w:t>rs</w:t>
      </w:r>
      <w:r w:rsidR="003105FA" w:rsidRPr="003105FA">
        <w:t xml:space="preserve"> of the Amphictyonic league. Buckler discusses how “The chronic political instability of the area and the support of the Thessalian confederation guaranteed that he </w:t>
      </w:r>
      <w:r w:rsidR="003105FA">
        <w:t xml:space="preserve">[Philip] </w:t>
      </w:r>
      <w:r w:rsidR="003105FA" w:rsidRPr="003105FA">
        <w:t>would face no united opposition to his ambitions.</w:t>
      </w:r>
      <w:r w:rsidR="003105FA">
        <w:t>”</w:t>
      </w:r>
      <w:r w:rsidR="003105FA">
        <w:rPr>
          <w:rStyle w:val="FootnoteReference"/>
        </w:rPr>
        <w:footnoteReference w:id="9"/>
      </w:r>
      <w:r w:rsidR="003105FA">
        <w:t xml:space="preserve"> Meaning that by supporting the war on the side of the </w:t>
      </w:r>
      <w:r w:rsidR="00557368">
        <w:t>Thessalian’s</w:t>
      </w:r>
      <w:r w:rsidR="003105FA">
        <w:t>, Philip’s efforts to expand into Greece would not be met with a united resistance due to the sacred war</w:t>
      </w:r>
      <w:r w:rsidR="0052641C">
        <w:t>, once again proving Philip’s tactical mind in relation to warfare</w:t>
      </w:r>
      <w:r w:rsidR="003105FA">
        <w:t>.</w:t>
      </w:r>
      <w:r w:rsidR="0052641C">
        <w:t xml:space="preserve"> In relation to the social war, it was fought between the second Athenian league led by Athens and the allied states of Byzantium, Chios, Cos and Rhodes as a result of the allied states revolting against the league due to increased Athenian dominance over the league. Philip became involved to once again, take advantage of the division in Greece, using his dominion over Amphipolis to further Macedonian interests. Philip treated with Athens in secret, t</w:t>
      </w:r>
      <w:r w:rsidR="0052641C">
        <w:t>he deal was that Philip would relinquish Amphipolis</w:t>
      </w:r>
      <w:r w:rsidR="0052641C">
        <w:t>, which this essay has discussed as a powerhouse for Athenian naval capabilities,</w:t>
      </w:r>
      <w:r w:rsidR="0052641C">
        <w:t xml:space="preserve"> in exchange for Pydna, which Philip ignored, maintaining Amphipolis as well as sieging Pydna in 357BC</w:t>
      </w:r>
      <w:r w:rsidR="0052641C">
        <w:rPr>
          <w:rStyle w:val="FootnoteReference"/>
        </w:rPr>
        <w:footnoteReference w:id="10"/>
      </w:r>
      <w:r w:rsidR="0052641C">
        <w:t>. Politically, it appears Athens were unsuccessful in taking Amphipolis themselves</w:t>
      </w:r>
      <w:r w:rsidR="0052641C">
        <w:t xml:space="preserve"> due to failed attempts as well as their forced being preoccupied with the sacred war</w:t>
      </w:r>
      <w:r w:rsidR="0052641C">
        <w:t xml:space="preserve"> and </w:t>
      </w:r>
      <w:r w:rsidR="0052641C">
        <w:t>entertained the deal that Philip would hand it over to them</w:t>
      </w:r>
      <w:r w:rsidR="0052641C">
        <w:t>, upon his betrayal of their agreement they lost not only the strategic point of Amphipolis they also lost a major source of timber for their navy. Politically, Athens were taken advantage of by Philip in this instance, whereas Philip achieved a strategic victory in that he gained the territory of both Amphipolis</w:t>
      </w:r>
      <w:r w:rsidR="0052641C" w:rsidRPr="0052641C">
        <w:t xml:space="preserve"> </w:t>
      </w:r>
      <w:r w:rsidR="0052641C">
        <w:t>and Pydna, even if the former maintained a level of autonomy it was still under Philip’s rule.</w:t>
      </w:r>
      <w:r w:rsidR="0052641C">
        <w:t xml:space="preserve"> </w:t>
      </w:r>
    </w:p>
    <w:p w:rsidR="00B93C98" w:rsidRDefault="00B93C98" w:rsidP="0052641C">
      <w:r>
        <w:t>The third instance of conflict this essay will discuss is the Olynthian war of 349-348BC. During the sacred war, the Chalcidian league made peace with Athens out of fear of the growing power of Macedon, this was a breach of a treaty Philip had made with the league, and Cawkwell discusses how this marked an end for Olynthus and the league, dooming them to destruction</w:t>
      </w:r>
      <w:r>
        <w:rPr>
          <w:rStyle w:val="FootnoteReference"/>
        </w:rPr>
        <w:footnoteReference w:id="11"/>
      </w:r>
      <w:r>
        <w:t>.</w:t>
      </w:r>
      <w:r w:rsidR="00557368">
        <w:t xml:space="preserve"> This marks one of the first conflicts that Philip was directly involved in as opposed to taking advantage of the disorder in Greece and Justin discusses how the two who fled to Olynthos provided him justification for sieging the Chalcidice</w:t>
      </w:r>
      <w:r w:rsidR="00557368">
        <w:rPr>
          <w:rStyle w:val="FootnoteReference"/>
        </w:rPr>
        <w:footnoteReference w:id="12"/>
      </w:r>
      <w:r w:rsidR="00557368">
        <w:t>.  Diodorus records Philip’s campaign to begin at the fortress of Zereia</w:t>
      </w:r>
      <w:r w:rsidR="00557368">
        <w:rPr>
          <w:rStyle w:val="FootnoteReference"/>
        </w:rPr>
        <w:footnoteReference w:id="13"/>
      </w:r>
      <w:r w:rsidR="00557368">
        <w:t xml:space="preserve"> before making his way through the polis’ of the Chalcidice leaving Olynthos until the end. </w:t>
      </w:r>
      <w:r w:rsidR="003209A7">
        <w:t>At this stage, Olynthos appealed to Athens for aid, in response to which the speeches of Demosthenes become relevant for discussion.</w:t>
      </w:r>
    </w:p>
    <w:p w:rsidR="003209A7" w:rsidRDefault="003209A7" w:rsidP="0052641C">
      <w:r>
        <w:t>Demost</w:t>
      </w:r>
      <w:r w:rsidR="00F527B0">
        <w:t xml:space="preserve">henes was an Athenian orator </w:t>
      </w:r>
      <w:r>
        <w:t>whose work aim</w:t>
      </w:r>
      <w:r w:rsidR="001E04E7">
        <w:t>ed</w:t>
      </w:r>
      <w:r>
        <w:t xml:space="preserve"> at restoring the supremacy of Athens while motivating the polis to take action against Philip who they had been at war with since the events around Amphipolis</w:t>
      </w:r>
      <w:r>
        <w:rPr>
          <w:rStyle w:val="FootnoteReference"/>
        </w:rPr>
        <w:footnoteReference w:id="14"/>
      </w:r>
      <w:r>
        <w:t xml:space="preserve">. In the first </w:t>
      </w:r>
      <w:r w:rsidR="00615083" w:rsidRPr="00615083">
        <w:rPr>
          <w:i/>
        </w:rPr>
        <w:t>Philippic</w:t>
      </w:r>
      <w:r>
        <w:t>, Demosthenes suggested strategies to employ against Philip</w:t>
      </w:r>
      <w:r>
        <w:rPr>
          <w:rStyle w:val="FootnoteReference"/>
        </w:rPr>
        <w:footnoteReference w:id="15"/>
      </w:r>
      <w:r>
        <w:t xml:space="preserve"> in an attempt to prevent further loss of Athenian supremacy. In the </w:t>
      </w:r>
      <w:r w:rsidRPr="00615083">
        <w:rPr>
          <w:i/>
        </w:rPr>
        <w:t>Olynthiacs</w:t>
      </w:r>
      <w:r>
        <w:t>, a series of speeches dedicated to raising aid for Olynthos, he states “</w:t>
      </w:r>
      <w:r w:rsidRPr="003209A7">
        <w:t>We need money, for sure, Athenians, and without money nothing ca</w:t>
      </w:r>
      <w:r>
        <w:t>n be done that ought to be done”</w:t>
      </w:r>
      <w:r>
        <w:rPr>
          <w:rStyle w:val="FootnoteReference"/>
        </w:rPr>
        <w:footnoteReference w:id="16"/>
      </w:r>
      <w:r>
        <w:t xml:space="preserve"> in his attempts to begin reforms to aid in the military preparations against Philip.</w:t>
      </w:r>
      <w:r w:rsidR="00472A3B">
        <w:t xml:space="preserve"> Politically, this shows there were prominent men in </w:t>
      </w:r>
      <w:r w:rsidR="00472A3B">
        <w:lastRenderedPageBreak/>
        <w:t>Athens who perceived Macedon, under Philip, to be a genuine threat to their supremacy. It also provides one half of the argument that potentially explains why Philip was so successful against Athens, Aeschines presents speeches that are less critical of Philip based on the events of Chaeronea, in which Athens were defeated but they were ‘moderately’ treated by the Macedonians</w:t>
      </w:r>
      <w:r w:rsidR="00472A3B">
        <w:rPr>
          <w:rStyle w:val="FootnoteReference"/>
        </w:rPr>
        <w:footnoteReference w:id="17"/>
      </w:r>
      <w:r w:rsidR="00472A3B">
        <w:t xml:space="preserve"> which will be discussed further shortly. However this argument shows a polis divided over their views of the Macedonian king, something Philip has proven to exploit on a number of occasions, by having members of Athens believe Philip was not a barbaric tyrant as Demosthenes portrayed him in the </w:t>
      </w:r>
      <w:r w:rsidR="00472A3B">
        <w:rPr>
          <w:i/>
        </w:rPr>
        <w:t>Philippics</w:t>
      </w:r>
      <w:r w:rsidR="00472A3B">
        <w:t>, suitable preparations against him were not made, coupled with the tactical possession of Amphipolis, Athens were severely underprepared.</w:t>
      </w:r>
    </w:p>
    <w:p w:rsidR="00B93A75" w:rsidRDefault="00B93A75" w:rsidP="0052641C">
      <w:r>
        <w:t xml:space="preserve">Returning to the discussion on the Chalcidice, </w:t>
      </w:r>
      <w:r w:rsidR="000E35CE">
        <w:t>Athens answered two separate calls for aid from Olynthos, firstly a small force of two thousand mercenaries and thirty eight triremes</w:t>
      </w:r>
      <w:r w:rsidR="000E35CE">
        <w:rPr>
          <w:rStyle w:val="FootnoteReference"/>
        </w:rPr>
        <w:footnoteReference w:id="18"/>
      </w:r>
      <w:r w:rsidR="000E35CE">
        <w:t xml:space="preserve">. Judging by the effort of the Olynthians to destroy their land rather than see it under Philip’s control, this force did little to aid their </w:t>
      </w:r>
      <w:r w:rsidR="003A1B60">
        <w:t>resistance</w:t>
      </w:r>
      <w:r w:rsidR="000E35CE">
        <w:t>. The second appeal for aid came later in 480, where Athens sent a much larger force</w:t>
      </w:r>
      <w:r w:rsidR="000E35CE">
        <w:rPr>
          <w:rStyle w:val="FootnoteReference"/>
        </w:rPr>
        <w:footnoteReference w:id="19"/>
      </w:r>
      <w:r w:rsidR="000E35CE">
        <w:t xml:space="preserve"> as well as a commander, </w:t>
      </w:r>
      <w:r w:rsidR="000E35CE" w:rsidRPr="000E35CE">
        <w:t>Charidemos</w:t>
      </w:r>
      <w:r w:rsidR="000E35CE">
        <w:t>, to aid them</w:t>
      </w:r>
      <w:r w:rsidR="00DF289B">
        <w:t xml:space="preserve">. </w:t>
      </w:r>
      <w:r w:rsidR="000E35CE">
        <w:t>Cawkwell discusses how Athens intended to send a third force to aid Olynthos as what would be the final siege started however were delayed by th</w:t>
      </w:r>
      <w:r w:rsidR="003A1B60">
        <w:t>e weather, arriving too late to aid Olynthos</w:t>
      </w:r>
      <w:r w:rsidR="003A1B60">
        <w:rPr>
          <w:rStyle w:val="FootnoteReference"/>
        </w:rPr>
        <w:footnoteReference w:id="20"/>
      </w:r>
      <w:r w:rsidR="003A1B60">
        <w:t>.</w:t>
      </w:r>
    </w:p>
    <w:p w:rsidR="003A1B60" w:rsidRDefault="003A1B60" w:rsidP="0052641C">
      <w:r>
        <w:t>During the Olynthian war, Athens discussed offering a peace treaty to Philip, which was rejected by the Athenian court and the conflict continued, as did the sacred war. In 347BC Philip sent privateers</w:t>
      </w:r>
      <w:r>
        <w:rPr>
          <w:rStyle w:val="FootnoteReference"/>
        </w:rPr>
        <w:footnoteReference w:id="21"/>
      </w:r>
      <w:r>
        <w:t xml:space="preserve"> </w:t>
      </w:r>
      <w:r w:rsidR="00D15F01">
        <w:t>to siege Athenian territories. Cawkwell discusses how it is clear at this stage that the war could only be ended by outside intervention</w:t>
      </w:r>
      <w:r w:rsidR="00D15F01">
        <w:rPr>
          <w:rStyle w:val="FootnoteReference"/>
        </w:rPr>
        <w:footnoteReference w:id="22"/>
      </w:r>
      <w:r w:rsidR="00D15F01">
        <w:t xml:space="preserve">. </w:t>
      </w:r>
      <w:r>
        <w:t>The sacred war concluded</w:t>
      </w:r>
      <w:r w:rsidR="00DF289B">
        <w:t xml:space="preserve"> after the forces facing Philip had exhausted their resources, Cawkwell discusses how the Phocians aware that they could not pay their forces sought peace instead</w:t>
      </w:r>
      <w:r>
        <w:rPr>
          <w:rStyle w:val="FootnoteReference"/>
        </w:rPr>
        <w:footnoteReference w:id="23"/>
      </w:r>
      <w:r>
        <w:t xml:space="preserve"> and the Athenians recognised the allied states independence. Cawkwell discusses the lack of involvement of Philip in the latter part of the sacred war and attributes it to potential unrest in Macedon, having executed his step brother as well as while two more fled to Olynthos</w:t>
      </w:r>
      <w:r>
        <w:rPr>
          <w:rStyle w:val="FootnoteReference"/>
        </w:rPr>
        <w:footnoteReference w:id="24"/>
      </w:r>
      <w:r>
        <w:t>.</w:t>
      </w:r>
      <w:r w:rsidR="004221C3">
        <w:t xml:space="preserve"> Coupling the intervention of Persia with the fact that the other states had exhausted their resources in the conflict, Philip was able to conclude the war based on the threat of his military capabilities alone. </w:t>
      </w:r>
    </w:p>
    <w:p w:rsidR="00D15F01" w:rsidRDefault="00D15F01" w:rsidP="0052641C">
      <w:r>
        <w:t>The final instance of conflict this essay will discuss is the four</w:t>
      </w:r>
      <w:r w:rsidR="004221C3">
        <w:t>th sacred war, specifically its conclusion as Chaeronea. The fourth sacred war began in 339BC, and Philip’s campaign became entwined once again. In this instance, the war began as a result of Amphissian citizens cultivating land dedicated to Apollo south of Delphi leading the Amphictyonic council to declare war on them</w:t>
      </w:r>
      <w:r w:rsidR="004221C3">
        <w:rPr>
          <w:rStyle w:val="FootnoteReference"/>
        </w:rPr>
        <w:footnoteReference w:id="25"/>
      </w:r>
      <w:r w:rsidR="004221C3">
        <w:t>. Due to the recommendation by a Thessalian delegate, Philip was placed in command of the campaign on behalf of the council giving him cause to campaign in Greece. Cawkwell discusses how it is likely Philip would have campaigned in Greece regardless of this pretence</w:t>
      </w:r>
      <w:r w:rsidR="004221C3">
        <w:rPr>
          <w:rStyle w:val="FootnoteReference"/>
        </w:rPr>
        <w:footnoteReference w:id="26"/>
      </w:r>
      <w:r w:rsidR="004221C3">
        <w:t>. Philip utilised the lack of fortification on the road through Thermopylae to enter Greece unhindered</w:t>
      </w:r>
      <w:r w:rsidR="004221C3">
        <w:rPr>
          <w:rStyle w:val="FootnoteReference"/>
        </w:rPr>
        <w:footnoteReference w:id="27"/>
      </w:r>
      <w:r w:rsidR="004221C3">
        <w:t xml:space="preserve">. Drawing on the </w:t>
      </w:r>
      <w:r w:rsidR="004221C3">
        <w:lastRenderedPageBreak/>
        <w:t xml:space="preserve">leniency he had shown the Phocians, Philip demonstrated political tact in repopulating Elatea restoring the </w:t>
      </w:r>
      <w:r w:rsidR="00C3206B">
        <w:t>Phocians</w:t>
      </w:r>
      <w:r w:rsidR="004221C3">
        <w:t xml:space="preserve"> state as well as gaining an ally in the Phocians</w:t>
      </w:r>
      <w:r w:rsidR="004221C3">
        <w:rPr>
          <w:rStyle w:val="FootnoteReference"/>
        </w:rPr>
        <w:footnoteReference w:id="28"/>
      </w:r>
      <w:r w:rsidR="004221C3">
        <w:t>.</w:t>
      </w:r>
    </w:p>
    <w:p w:rsidR="004221C3" w:rsidRDefault="004221C3" w:rsidP="0052641C">
      <w:r>
        <w:t xml:space="preserve">Philip’s arrival in Elatea </w:t>
      </w:r>
      <w:r w:rsidR="00C3206B">
        <w:t>kick-started</w:t>
      </w:r>
      <w:r>
        <w:t xml:space="preserve"> Athens. Demosthenes </w:t>
      </w:r>
      <w:r w:rsidR="00C3206B">
        <w:t>counselled</w:t>
      </w:r>
      <w:r>
        <w:t xml:space="preserve"> Athens once more to make </w:t>
      </w:r>
      <w:r w:rsidR="00C3206B">
        <w:t>preparations</w:t>
      </w:r>
      <w:r>
        <w:t xml:space="preserve"> against Philip by finding an alliance, this time with Thebes</w:t>
      </w:r>
      <w:r w:rsidR="00C3206B">
        <w:t>. Both Athens and Philip sent ambassadors to Thebes, who could have remained neutral in the conflict and allowed Philip passage through their territory sided with Athens and their armies were together within days of the alliance being agreed</w:t>
      </w:r>
      <w:r w:rsidR="00C3206B">
        <w:rPr>
          <w:rStyle w:val="FootnoteReference"/>
        </w:rPr>
        <w:footnoteReference w:id="29"/>
      </w:r>
      <w:r w:rsidR="00C3206B">
        <w:t>. Demosthenes insinuates there were skirmishes before the decisive battle, by way of “winter battle” and “battle on the river”</w:t>
      </w:r>
      <w:r w:rsidR="00C3206B">
        <w:rPr>
          <w:rStyle w:val="FootnoteReference"/>
        </w:rPr>
        <w:footnoteReference w:id="30"/>
      </w:r>
      <w:r w:rsidR="00C3206B">
        <w:t xml:space="preserve"> however, in 338BC Philip’s army encountered the allied Greek army on route to Chaeronea</w:t>
      </w:r>
      <w:r w:rsidR="00C3206B">
        <w:rPr>
          <w:rStyle w:val="FootnoteReference"/>
        </w:rPr>
        <w:footnoteReference w:id="31"/>
      </w:r>
      <w:r w:rsidR="00C3206B">
        <w:t xml:space="preserve">. </w:t>
      </w:r>
    </w:p>
    <w:p w:rsidR="00C3206B" w:rsidRDefault="00C3206B" w:rsidP="0052641C">
      <w:r>
        <w:t>It was during this battle that Philip’s son Alexander III earned renown and Diodorus records the battle lasting a long time, being contested greatly by both sides with many casualties and that “the struggle permitted hopes of victory to both”</w:t>
      </w:r>
      <w:r>
        <w:rPr>
          <w:rStyle w:val="FootnoteReference"/>
        </w:rPr>
        <w:footnoteReference w:id="32"/>
      </w:r>
      <w:r>
        <w:t xml:space="preserve"> sides. Diodorus discusses how the tactics employed by Philip stretched their opposition’s forces to the point of disarray and the allies fell to the Macedonian army. The casualty count by Diodorus totals over one thousand Athenians and Thebans died in the battle with a further two thousand imprisoned</w:t>
      </w:r>
      <w:r>
        <w:rPr>
          <w:rStyle w:val="FootnoteReference"/>
        </w:rPr>
        <w:footnoteReference w:id="33"/>
      </w:r>
      <w:r>
        <w:t>. Cawkwell concludes that there was no army that could prevent Philip’s advance into Greece and the war ended there</w:t>
      </w:r>
      <w:r>
        <w:rPr>
          <w:rStyle w:val="FootnoteReference"/>
        </w:rPr>
        <w:footnoteReference w:id="34"/>
      </w:r>
      <w:r>
        <w:t>.</w:t>
      </w:r>
    </w:p>
    <w:p w:rsidR="00C3206B" w:rsidRDefault="00C3206B" w:rsidP="0052641C">
      <w:r>
        <w:t>To</w:t>
      </w:r>
      <w:r w:rsidR="00E950CE">
        <w:t xml:space="preserve"> conclude, this essay </w:t>
      </w:r>
      <w:r>
        <w:t>discussed the key instances of conflict between Athens and the Macedonia</w:t>
      </w:r>
      <w:r w:rsidR="00996FEB">
        <w:t xml:space="preserve">ns under the rule of Philip II in order to discuss the political, economic and military aspects of the campaigns. It argued that these aspects are synonymous and the political and economic aspects are tied directly to the conflicts. Furthermore, it drew on the work of modern scholars to discuss interpretations and debates on the resulting political alliances and strategic </w:t>
      </w:r>
      <w:r w:rsidR="00252B65">
        <w:t xml:space="preserve">choices of the two forces. </w:t>
      </w:r>
    </w:p>
    <w:p w:rsidR="004221C3" w:rsidRDefault="004221C3" w:rsidP="0052641C"/>
    <w:p w:rsidR="003A1B60" w:rsidRDefault="003A1B60" w:rsidP="0052641C"/>
    <w:p w:rsidR="00252B65" w:rsidRDefault="00252B65" w:rsidP="0052641C"/>
    <w:p w:rsidR="00252B65" w:rsidRDefault="00252B65" w:rsidP="0052641C"/>
    <w:p w:rsidR="00E950CE" w:rsidRDefault="00E950CE" w:rsidP="0052641C"/>
    <w:p w:rsidR="00252B65" w:rsidRDefault="00252B65" w:rsidP="0052641C"/>
    <w:p w:rsidR="00252B65" w:rsidRDefault="00252B65" w:rsidP="0052641C"/>
    <w:p w:rsidR="00252B65" w:rsidRDefault="00252B65" w:rsidP="0052641C"/>
    <w:p w:rsidR="00DF289B" w:rsidRDefault="00DF289B" w:rsidP="0052641C"/>
    <w:p w:rsidR="00DF289B" w:rsidRDefault="00DF289B" w:rsidP="0052641C"/>
    <w:p w:rsidR="00DF289B" w:rsidRDefault="00DF289B" w:rsidP="0052641C"/>
    <w:p w:rsidR="00252B65" w:rsidRPr="00252B65" w:rsidRDefault="00252B65" w:rsidP="0052641C">
      <w:pPr>
        <w:rPr>
          <w:b/>
          <w:u w:val="single"/>
        </w:rPr>
      </w:pPr>
      <w:r w:rsidRPr="00252B65">
        <w:rPr>
          <w:b/>
          <w:u w:val="single"/>
        </w:rPr>
        <w:lastRenderedPageBreak/>
        <w:t>Bibliography:</w:t>
      </w:r>
    </w:p>
    <w:p w:rsidR="00252B65" w:rsidRPr="00252B65" w:rsidRDefault="00252B65" w:rsidP="0052641C">
      <w:pPr>
        <w:rPr>
          <w:b/>
        </w:rPr>
      </w:pPr>
      <w:r w:rsidRPr="00252B65">
        <w:rPr>
          <w:b/>
        </w:rPr>
        <w:t>Ancient Sources:</w:t>
      </w:r>
    </w:p>
    <w:p w:rsidR="00537122" w:rsidRPr="00560AC6" w:rsidRDefault="00537122" w:rsidP="0052641C">
      <w:pPr>
        <w:rPr>
          <w:rFonts w:cstheme="minorHAnsi"/>
        </w:rPr>
      </w:pPr>
      <w:bookmarkStart w:id="0" w:name="_GoBack"/>
      <w:r w:rsidRPr="00560AC6">
        <w:rPr>
          <w:rFonts w:cstheme="minorHAnsi"/>
        </w:rPr>
        <w:t xml:space="preserve">Aeschines, </w:t>
      </w:r>
      <w:r w:rsidRPr="00560AC6">
        <w:rPr>
          <w:rFonts w:cstheme="minorHAnsi"/>
          <w:i/>
        </w:rPr>
        <w:t>Speeches.</w:t>
      </w:r>
      <w:r w:rsidRPr="00560AC6">
        <w:rPr>
          <w:rFonts w:cstheme="minorHAnsi"/>
        </w:rPr>
        <w:t xml:space="preserve"> C. D. Adams (trans.). 1919. Leob Classical Library.</w:t>
      </w:r>
    </w:p>
    <w:p w:rsidR="007F248C" w:rsidRPr="00560AC6" w:rsidRDefault="007F248C" w:rsidP="0052641C">
      <w:pPr>
        <w:rPr>
          <w:rFonts w:cstheme="minorHAnsi"/>
        </w:rPr>
      </w:pPr>
      <w:r w:rsidRPr="00560AC6">
        <w:rPr>
          <w:rFonts w:cstheme="minorHAnsi"/>
        </w:rPr>
        <w:t xml:space="preserve">Demosthenes, </w:t>
      </w:r>
      <w:r w:rsidRPr="00560AC6">
        <w:rPr>
          <w:rFonts w:cstheme="minorHAnsi"/>
          <w:i/>
        </w:rPr>
        <w:t>Orations 1.</w:t>
      </w:r>
      <w:r w:rsidRPr="00560AC6">
        <w:rPr>
          <w:rFonts w:cstheme="minorHAnsi"/>
        </w:rPr>
        <w:t xml:space="preserve"> J. H. Vince (trans.). 1930. Leob Classical Library.</w:t>
      </w:r>
    </w:p>
    <w:p w:rsidR="0030614F" w:rsidRPr="00560AC6" w:rsidRDefault="0030614F" w:rsidP="0052641C">
      <w:r w:rsidRPr="00560AC6">
        <w:rPr>
          <w:rFonts w:cstheme="minorHAnsi"/>
        </w:rPr>
        <w:t xml:space="preserve">Diodorus Siculus, </w:t>
      </w:r>
      <w:r w:rsidRPr="00560AC6">
        <w:rPr>
          <w:rFonts w:cstheme="minorHAnsi"/>
          <w:i/>
        </w:rPr>
        <w:t>Library</w:t>
      </w:r>
      <w:r w:rsidRPr="00560AC6">
        <w:rPr>
          <w:rFonts w:cstheme="minorHAnsi"/>
        </w:rPr>
        <w:t xml:space="preserve">. C.H. Oldfather (trans.). </w:t>
      </w:r>
      <w:r w:rsidRPr="00560AC6">
        <w:rPr>
          <w:rFonts w:cstheme="minorHAnsi"/>
        </w:rPr>
        <w:t>1989. London: William Heinemann.</w:t>
      </w:r>
    </w:p>
    <w:p w:rsidR="00252B65" w:rsidRPr="00560AC6" w:rsidRDefault="0030614F" w:rsidP="0052641C">
      <w:r w:rsidRPr="00560AC6">
        <w:t xml:space="preserve">Strabo, </w:t>
      </w:r>
      <w:r w:rsidRPr="00560AC6">
        <w:rPr>
          <w:i/>
        </w:rPr>
        <w:t>Geography.</w:t>
      </w:r>
      <w:r w:rsidRPr="00560AC6">
        <w:t xml:space="preserve"> H. L. Jones (trans.). 1924. London: William Heinemann.</w:t>
      </w:r>
    </w:p>
    <w:p w:rsidR="0030614F" w:rsidRPr="00560AC6" w:rsidRDefault="0030614F" w:rsidP="0052641C">
      <w:r w:rsidRPr="00560AC6">
        <w:t xml:space="preserve">Justin, </w:t>
      </w:r>
      <w:r w:rsidRPr="00560AC6">
        <w:rPr>
          <w:i/>
        </w:rPr>
        <w:t>Epitome of the Philippic History.</w:t>
      </w:r>
      <w:r w:rsidRPr="00560AC6">
        <w:t xml:space="preserve"> Rev. J. S. Watson (trans.). 1853. London: Henry G. Bohn.</w:t>
      </w:r>
    </w:p>
    <w:bookmarkEnd w:id="0"/>
    <w:p w:rsidR="0030614F" w:rsidRDefault="0030614F" w:rsidP="0030614F">
      <w:pPr>
        <w:rPr>
          <w:rFonts w:ascii="Arial" w:hAnsi="Arial" w:cs="Arial"/>
          <w:color w:val="000066"/>
          <w:sz w:val="36"/>
          <w:szCs w:val="36"/>
          <w:shd w:val="clear" w:color="auto" w:fill="FFFFFF"/>
        </w:rPr>
      </w:pPr>
    </w:p>
    <w:p w:rsidR="00252B65" w:rsidRPr="0030614F" w:rsidRDefault="00252B65" w:rsidP="0030614F">
      <w:pPr>
        <w:rPr>
          <w:b/>
        </w:rPr>
      </w:pPr>
      <w:r w:rsidRPr="0030614F">
        <w:rPr>
          <w:b/>
        </w:rPr>
        <w:t>Modern Scholarship:</w:t>
      </w:r>
    </w:p>
    <w:p w:rsidR="00DB7DA9" w:rsidRDefault="0030614F" w:rsidP="0030614F">
      <w:pPr>
        <w:rPr>
          <w:rFonts w:cstheme="minorHAnsi"/>
        </w:rPr>
      </w:pPr>
      <w:r>
        <w:rPr>
          <w:rFonts w:cstheme="minorHAnsi"/>
        </w:rPr>
        <w:t xml:space="preserve">Cawkwell, </w:t>
      </w:r>
      <w:r w:rsidR="00DB7DA9">
        <w:rPr>
          <w:rFonts w:cstheme="minorHAnsi"/>
        </w:rPr>
        <w:t xml:space="preserve">G. 1978. </w:t>
      </w:r>
      <w:r w:rsidR="00DB7DA9">
        <w:rPr>
          <w:rFonts w:cstheme="minorHAnsi"/>
          <w:i/>
        </w:rPr>
        <w:t xml:space="preserve">Philip of Macedon. </w:t>
      </w:r>
      <w:r w:rsidR="00DB7DA9">
        <w:rPr>
          <w:rFonts w:cstheme="minorHAnsi"/>
        </w:rPr>
        <w:t xml:space="preserve">London: Faber. </w:t>
      </w:r>
    </w:p>
    <w:p w:rsidR="00252B65" w:rsidRPr="0030614F" w:rsidRDefault="00252B65" w:rsidP="0030614F">
      <w:pPr>
        <w:rPr>
          <w:rFonts w:cstheme="minorHAnsi"/>
        </w:rPr>
      </w:pPr>
      <w:r w:rsidRPr="0030614F">
        <w:rPr>
          <w:rFonts w:cstheme="minorHAnsi"/>
        </w:rPr>
        <w:t>Borza,</w:t>
      </w:r>
      <w:r w:rsidR="00F6716B" w:rsidRPr="0030614F">
        <w:rPr>
          <w:rFonts w:cstheme="minorHAnsi"/>
        </w:rPr>
        <w:t xml:space="preserve"> E. N.</w:t>
      </w:r>
      <w:r w:rsidRPr="0030614F">
        <w:rPr>
          <w:rFonts w:cstheme="minorHAnsi"/>
        </w:rPr>
        <w:t xml:space="preserve"> 1990. </w:t>
      </w:r>
      <w:r w:rsidR="0030614F" w:rsidRPr="0030614F">
        <w:rPr>
          <w:rFonts w:cstheme="minorHAnsi"/>
          <w:i/>
        </w:rPr>
        <w:t>In the shadow of Olympus: the emergence of Macedon.</w:t>
      </w:r>
      <w:r w:rsidR="0030614F" w:rsidRPr="0030614F">
        <w:rPr>
          <w:rFonts w:cstheme="minorHAnsi"/>
        </w:rPr>
        <w:t xml:space="preserve"> </w:t>
      </w:r>
      <w:r w:rsidR="0030614F" w:rsidRPr="0030614F">
        <w:rPr>
          <w:rFonts w:cstheme="minorHAnsi"/>
          <w:shd w:val="clear" w:color="auto" w:fill="F3F3F3"/>
        </w:rPr>
        <w:t>Chichester: Princeton University Press</w:t>
      </w:r>
      <w:r w:rsidR="0030614F">
        <w:rPr>
          <w:rFonts w:cstheme="minorHAnsi"/>
          <w:shd w:val="clear" w:color="auto" w:fill="F3F3F3"/>
        </w:rPr>
        <w:t>.</w:t>
      </w:r>
    </w:p>
    <w:p w:rsidR="00F6716B" w:rsidRPr="00DB7DA9" w:rsidRDefault="00F6716B" w:rsidP="0030614F">
      <w:pPr>
        <w:rPr>
          <w:rFonts w:cstheme="minorHAnsi"/>
          <w:shd w:val="clear" w:color="auto" w:fill="FFFFFF"/>
        </w:rPr>
      </w:pPr>
      <w:r w:rsidRPr="00F6716B">
        <w:rPr>
          <w:rFonts w:cstheme="minorHAnsi"/>
          <w:shd w:val="clear" w:color="auto" w:fill="FFFFFF"/>
        </w:rPr>
        <w:t>Buckler, John.</w:t>
      </w:r>
      <w:r>
        <w:rPr>
          <w:rFonts w:cstheme="minorHAnsi"/>
          <w:shd w:val="clear" w:color="auto" w:fill="FFFFFF"/>
        </w:rPr>
        <w:t xml:space="preserve"> 2003</w:t>
      </w:r>
      <w:r w:rsidRPr="00F6716B">
        <w:rPr>
          <w:rFonts w:cstheme="minorHAnsi"/>
          <w:shd w:val="clear" w:color="auto" w:fill="FFFFFF"/>
        </w:rPr>
        <w:t xml:space="preserve"> "Philip, Athens, and the Northern Aegean (353–343 Bc)." In </w:t>
      </w:r>
      <w:r w:rsidRPr="00F6716B">
        <w:rPr>
          <w:rFonts w:cstheme="minorHAnsi"/>
          <w:i/>
          <w:iCs/>
          <w:shd w:val="clear" w:color="auto" w:fill="FFFFFF"/>
        </w:rPr>
        <w:t xml:space="preserve">Aegean Greece In </w:t>
      </w:r>
      <w:r w:rsidRPr="00DB7DA9">
        <w:rPr>
          <w:rFonts w:cstheme="minorHAnsi"/>
          <w:i/>
          <w:iCs/>
          <w:shd w:val="clear" w:color="auto" w:fill="FFFFFF"/>
        </w:rPr>
        <w:t>The Fourth Century BC</w:t>
      </w:r>
      <w:r w:rsidRPr="00DB7DA9">
        <w:rPr>
          <w:rFonts w:cstheme="minorHAnsi"/>
          <w:shd w:val="clear" w:color="auto" w:fill="FFFFFF"/>
        </w:rPr>
        <w:t>, 430-62. 2003.</w:t>
      </w:r>
    </w:p>
    <w:p w:rsidR="0030614F" w:rsidRPr="00DB7DA9" w:rsidRDefault="0030614F" w:rsidP="0030614F">
      <w:pPr>
        <w:rPr>
          <w:rFonts w:cstheme="minorHAnsi"/>
          <w:shd w:val="clear" w:color="auto" w:fill="FFFFFF"/>
        </w:rPr>
      </w:pPr>
      <w:r w:rsidRPr="00DB7DA9">
        <w:rPr>
          <w:rFonts w:cstheme="minorHAnsi"/>
          <w:shd w:val="clear" w:color="auto" w:fill="FFFFFF"/>
        </w:rPr>
        <w:t xml:space="preserve">Burke, E. M. </w:t>
      </w:r>
      <w:r w:rsidRPr="00DB7DA9">
        <w:rPr>
          <w:rFonts w:cstheme="minorHAnsi"/>
        </w:rPr>
        <w:t xml:space="preserve">2002 </w:t>
      </w:r>
      <w:r w:rsidRPr="00DB7DA9">
        <w:rPr>
          <w:rFonts w:cstheme="minorHAnsi"/>
          <w:shd w:val="clear" w:color="auto" w:fill="FFFFFF"/>
        </w:rPr>
        <w:t xml:space="preserve">"The Early Political Speeches of Demosthenes", </w:t>
      </w:r>
      <w:r w:rsidRPr="00DB7DA9">
        <w:rPr>
          <w:rFonts w:cstheme="minorHAnsi"/>
          <w:i/>
          <w:shd w:val="clear" w:color="auto" w:fill="FFFFFF"/>
        </w:rPr>
        <w:t>Classical Antiquity.</w:t>
      </w:r>
      <w:r w:rsidRPr="00DB7DA9">
        <w:rPr>
          <w:rFonts w:cstheme="minorHAnsi"/>
          <w:shd w:val="clear" w:color="auto" w:fill="FFFFFF"/>
        </w:rPr>
        <w:t xml:space="preserve"> Vol 21. No.2: 183–184.</w:t>
      </w:r>
    </w:p>
    <w:p w:rsidR="00DB7DA9" w:rsidRPr="00DB7DA9" w:rsidRDefault="00DB7DA9" w:rsidP="0030614F">
      <w:pPr>
        <w:rPr>
          <w:rFonts w:cstheme="minorHAnsi"/>
          <w:shd w:val="clear" w:color="auto" w:fill="FFFFFF"/>
        </w:rPr>
      </w:pPr>
      <w:r>
        <w:rPr>
          <w:rFonts w:cstheme="minorHAnsi"/>
          <w:shd w:val="clear" w:color="auto" w:fill="FFFFFF"/>
        </w:rPr>
        <w:t>Peake, S.</w:t>
      </w:r>
      <w:r w:rsidRPr="00DB7DA9">
        <w:rPr>
          <w:rFonts w:cstheme="minorHAnsi"/>
          <w:shd w:val="clear" w:color="auto" w:fill="FFFFFF"/>
        </w:rPr>
        <w:t xml:space="preserve"> (1997). "A Note on the Dating of the Social War". </w:t>
      </w:r>
      <w:r w:rsidRPr="00DB7DA9">
        <w:rPr>
          <w:rFonts w:cstheme="minorHAnsi"/>
          <w:i/>
          <w:iCs/>
          <w:shd w:val="clear" w:color="auto" w:fill="FFFFFF"/>
        </w:rPr>
        <w:t>Greece &amp; Rome</w:t>
      </w:r>
      <w:r w:rsidRPr="00DB7DA9">
        <w:rPr>
          <w:rFonts w:cstheme="minorHAnsi"/>
          <w:shd w:val="clear" w:color="auto" w:fill="FFFFFF"/>
        </w:rPr>
        <w:t>. Cambridge University Press. </w:t>
      </w:r>
      <w:r w:rsidRPr="00DB7DA9">
        <w:rPr>
          <w:rFonts w:cstheme="minorHAnsi"/>
          <w:bCs/>
          <w:shd w:val="clear" w:color="auto" w:fill="FFFFFF"/>
        </w:rPr>
        <w:t>44</w:t>
      </w:r>
      <w:r w:rsidRPr="00DB7DA9">
        <w:rPr>
          <w:rFonts w:cstheme="minorHAnsi"/>
          <w:shd w:val="clear" w:color="auto" w:fill="FFFFFF"/>
        </w:rPr>
        <w:t> (2): 161–164.</w:t>
      </w:r>
    </w:p>
    <w:p w:rsidR="00F6716B" w:rsidRDefault="00F6716B" w:rsidP="00F6716B">
      <w:pPr>
        <w:rPr>
          <w:rFonts w:cstheme="minorHAnsi"/>
        </w:rPr>
      </w:pPr>
      <w:r w:rsidRPr="00F6716B">
        <w:rPr>
          <w:rFonts w:cstheme="minorHAnsi"/>
        </w:rPr>
        <w:t xml:space="preserve">Peck, </w:t>
      </w:r>
      <w:r w:rsidRPr="00F6716B">
        <w:rPr>
          <w:rFonts w:cstheme="minorHAnsi"/>
        </w:rPr>
        <w:t>Harry Thurston. 1898.</w:t>
      </w:r>
      <w:r w:rsidRPr="00F6716B">
        <w:rPr>
          <w:rFonts w:cstheme="minorHAnsi"/>
        </w:rPr>
        <w:t xml:space="preserve"> </w:t>
      </w:r>
      <w:r w:rsidRPr="00F6716B">
        <w:rPr>
          <w:rFonts w:cstheme="minorHAnsi"/>
          <w:i/>
        </w:rPr>
        <w:t>Harpers Dictionary of Classical Antiquities.</w:t>
      </w:r>
      <w:r w:rsidRPr="00F6716B">
        <w:rPr>
          <w:rFonts w:cstheme="minorHAnsi"/>
        </w:rPr>
        <w:t xml:space="preserve"> New York. Harper and Brothers. </w:t>
      </w:r>
    </w:p>
    <w:p w:rsidR="0030614F" w:rsidRPr="0030614F" w:rsidRDefault="0030614F" w:rsidP="00F6716B">
      <w:pPr>
        <w:rPr>
          <w:rFonts w:cstheme="minorHAnsi"/>
        </w:rPr>
      </w:pPr>
      <w:r w:rsidRPr="0030614F">
        <w:rPr>
          <w:rFonts w:cstheme="minorHAnsi"/>
        </w:rPr>
        <w:t xml:space="preserve">Phillips, D. 2004. </w:t>
      </w:r>
      <w:r w:rsidRPr="0030614F">
        <w:rPr>
          <w:rFonts w:cstheme="minorHAnsi"/>
          <w:i/>
        </w:rPr>
        <w:t xml:space="preserve">Athenian Political Oratory. </w:t>
      </w:r>
      <w:r w:rsidRPr="0030614F">
        <w:rPr>
          <w:rFonts w:cstheme="minorHAnsi"/>
        </w:rPr>
        <w:t>London:</w:t>
      </w:r>
      <w:r>
        <w:rPr>
          <w:rFonts w:cstheme="minorHAnsi"/>
          <w:i/>
        </w:rPr>
        <w:t xml:space="preserve"> </w:t>
      </w:r>
      <w:r w:rsidRPr="0030614F">
        <w:rPr>
          <w:rFonts w:cstheme="minorHAnsi"/>
          <w:shd w:val="clear" w:color="auto" w:fill="FFFFFF"/>
        </w:rPr>
        <w:t>Routledge</w:t>
      </w:r>
      <w:r>
        <w:rPr>
          <w:rFonts w:cstheme="minorHAnsi"/>
          <w:shd w:val="clear" w:color="auto" w:fill="FFFFFF"/>
        </w:rPr>
        <w:t>.</w:t>
      </w:r>
      <w:r>
        <w:rPr>
          <w:rFonts w:cstheme="minorHAnsi"/>
        </w:rPr>
        <w:t xml:space="preserve"> 69</w:t>
      </w:r>
    </w:p>
    <w:p w:rsidR="00F6716B" w:rsidRPr="00F6716B" w:rsidRDefault="00F6716B" w:rsidP="00F6716B">
      <w:pPr>
        <w:rPr>
          <w:rFonts w:cstheme="minorHAnsi"/>
          <w:shd w:val="clear" w:color="auto" w:fill="FFFFFF"/>
        </w:rPr>
      </w:pPr>
      <w:r w:rsidRPr="00F6716B">
        <w:rPr>
          <w:rFonts w:cstheme="minorHAnsi"/>
          <w:shd w:val="clear" w:color="auto" w:fill="FFFFFF"/>
        </w:rPr>
        <w:t xml:space="preserve">Psoma, Selene E. </w:t>
      </w:r>
      <w:r w:rsidRPr="00F6716B">
        <w:rPr>
          <w:rFonts w:cstheme="minorHAnsi"/>
          <w:shd w:val="clear" w:color="auto" w:fill="FFFFFF"/>
        </w:rPr>
        <w:t xml:space="preserve">2015. </w:t>
      </w:r>
      <w:r w:rsidRPr="00F6716B">
        <w:rPr>
          <w:rFonts w:cstheme="minorHAnsi"/>
          <w:shd w:val="clear" w:color="auto" w:fill="FFFFFF"/>
        </w:rPr>
        <w:t xml:space="preserve">"Athenian Owls and the Royal Macedonian Monopoly on Timber." </w:t>
      </w:r>
      <w:r w:rsidRPr="00F6716B">
        <w:rPr>
          <w:rFonts w:cstheme="minorHAnsi"/>
          <w:i/>
          <w:shd w:val="clear" w:color="auto" w:fill="FFFFFF"/>
        </w:rPr>
        <w:t>Mediterranean H</w:t>
      </w:r>
      <w:r w:rsidRPr="00F6716B">
        <w:rPr>
          <w:rFonts w:cstheme="minorHAnsi"/>
          <w:i/>
          <w:shd w:val="clear" w:color="auto" w:fill="FFFFFF"/>
        </w:rPr>
        <w:t>istorical Review</w:t>
      </w:r>
      <w:r w:rsidRPr="00F6716B">
        <w:rPr>
          <w:rFonts w:cstheme="minorHAnsi"/>
          <w:shd w:val="clear" w:color="auto" w:fill="FFFFFF"/>
        </w:rPr>
        <w:t xml:space="preserve"> 30, no. </w:t>
      </w:r>
      <w:r w:rsidRPr="00F6716B">
        <w:rPr>
          <w:rFonts w:cstheme="minorHAnsi"/>
          <w:shd w:val="clear" w:color="auto" w:fill="FFFFFF"/>
        </w:rPr>
        <w:t>: 1-19.</w:t>
      </w:r>
    </w:p>
    <w:p w:rsidR="00F6716B" w:rsidRPr="00F6716B" w:rsidRDefault="00F6716B" w:rsidP="00F6716B">
      <w:pPr>
        <w:rPr>
          <w:rFonts w:cstheme="minorHAnsi"/>
          <w:shd w:val="clear" w:color="auto" w:fill="FFFFFF"/>
        </w:rPr>
      </w:pPr>
      <w:r w:rsidRPr="00F6716B">
        <w:rPr>
          <w:rFonts w:cstheme="minorHAnsi"/>
          <w:shd w:val="clear" w:color="auto" w:fill="FFFFFF"/>
        </w:rPr>
        <w:t xml:space="preserve">Strauss, Barry S. </w:t>
      </w:r>
      <w:r w:rsidRPr="00F6716B">
        <w:rPr>
          <w:rFonts w:cstheme="minorHAnsi"/>
          <w:shd w:val="clear" w:color="auto" w:fill="FFFFFF"/>
        </w:rPr>
        <w:t xml:space="preserve">1984. </w:t>
      </w:r>
      <w:r w:rsidRPr="00F6716B">
        <w:rPr>
          <w:rFonts w:cstheme="minorHAnsi"/>
          <w:shd w:val="clear" w:color="auto" w:fill="FFFFFF"/>
        </w:rPr>
        <w:t>"Philip II of Macedon, Athens, and Si</w:t>
      </w:r>
      <w:r w:rsidRPr="00F6716B">
        <w:rPr>
          <w:rFonts w:cstheme="minorHAnsi"/>
          <w:shd w:val="clear" w:color="auto" w:fill="FFFFFF"/>
        </w:rPr>
        <w:t xml:space="preserve">lver Mining." </w:t>
      </w:r>
      <w:r w:rsidRPr="00F6716B">
        <w:rPr>
          <w:rFonts w:cstheme="minorHAnsi"/>
          <w:i/>
          <w:shd w:val="clear" w:color="auto" w:fill="FFFFFF"/>
        </w:rPr>
        <w:t>Hermes</w:t>
      </w:r>
      <w:r w:rsidRPr="00F6716B">
        <w:rPr>
          <w:rFonts w:cstheme="minorHAnsi"/>
          <w:shd w:val="clear" w:color="auto" w:fill="FFFFFF"/>
        </w:rPr>
        <w:t xml:space="preserve"> 112, no. 4</w:t>
      </w:r>
      <w:r w:rsidRPr="00F6716B">
        <w:rPr>
          <w:rFonts w:cstheme="minorHAnsi"/>
          <w:shd w:val="clear" w:color="auto" w:fill="FFFFFF"/>
        </w:rPr>
        <w:t>: 418-27.</w:t>
      </w:r>
    </w:p>
    <w:p w:rsidR="00F6716B" w:rsidRPr="00F6716B" w:rsidRDefault="00F6716B" w:rsidP="00F6716B">
      <w:pPr>
        <w:rPr>
          <w:rFonts w:cstheme="minorHAnsi"/>
        </w:rPr>
      </w:pPr>
      <w:r w:rsidRPr="00F6716B">
        <w:rPr>
          <w:rFonts w:cstheme="minorHAnsi"/>
          <w:shd w:val="clear" w:color="auto" w:fill="FFFFFF"/>
        </w:rPr>
        <w:t>Thomson, Janice E (1994). </w:t>
      </w:r>
      <w:r w:rsidRPr="00F6716B">
        <w:rPr>
          <w:rFonts w:cstheme="minorHAnsi"/>
          <w:i/>
          <w:iCs/>
          <w:shd w:val="clear" w:color="auto" w:fill="FFFFFF"/>
        </w:rPr>
        <w:t>Mercenaries, pirates and sovereigns</w:t>
      </w:r>
      <w:r w:rsidRPr="00F6716B">
        <w:rPr>
          <w:rFonts w:cstheme="minorHAnsi"/>
          <w:shd w:val="clear" w:color="auto" w:fill="FFFFFF"/>
        </w:rPr>
        <w:t>. New Jersey, United States: Princeton University Press. pp. 310/3153.</w:t>
      </w:r>
    </w:p>
    <w:p w:rsidR="00F6716B" w:rsidRPr="00DB7DA9" w:rsidRDefault="00DB7DA9" w:rsidP="0052641C">
      <w:pPr>
        <w:rPr>
          <w:rFonts w:cstheme="minorHAnsi"/>
          <w:sz w:val="24"/>
        </w:rPr>
      </w:pPr>
      <w:r w:rsidRPr="00DB7DA9">
        <w:rPr>
          <w:rFonts w:cstheme="minorHAnsi"/>
          <w:color w:val="222222"/>
          <w:szCs w:val="20"/>
          <w:shd w:val="clear" w:color="auto" w:fill="FFFFFF"/>
        </w:rPr>
        <w:t>Cosmopoulos, M.</w:t>
      </w:r>
      <w:r w:rsidRPr="00DB7DA9">
        <w:rPr>
          <w:rFonts w:cstheme="minorHAnsi"/>
          <w:color w:val="222222"/>
          <w:szCs w:val="20"/>
          <w:shd w:val="clear" w:color="auto" w:fill="FFFFFF"/>
        </w:rPr>
        <w:t xml:space="preserve"> B. 1992. </w:t>
      </w:r>
      <w:r w:rsidRPr="00DB7DA9">
        <w:rPr>
          <w:rFonts w:cstheme="minorHAnsi"/>
          <w:i/>
          <w:iCs/>
          <w:color w:val="222222"/>
          <w:szCs w:val="20"/>
          <w:shd w:val="clear" w:color="auto" w:fill="FFFFFF"/>
        </w:rPr>
        <w:t>Macedonia: An Introduction to its Political History</w:t>
      </w:r>
      <w:r w:rsidRPr="00DB7DA9">
        <w:rPr>
          <w:rFonts w:cstheme="minorHAnsi"/>
          <w:color w:val="222222"/>
          <w:szCs w:val="20"/>
          <w:shd w:val="clear" w:color="auto" w:fill="FFFFFF"/>
        </w:rPr>
        <w:t>. Winnipeg: Manitoba Studies in Classical Civilization, p. 30 (TABLE 2: The Argeiad Kings).</w:t>
      </w:r>
    </w:p>
    <w:sectPr w:rsidR="00F6716B" w:rsidRPr="00DB7DA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56DF" w:rsidRDefault="006B56DF" w:rsidP="006B56DF">
      <w:pPr>
        <w:spacing w:after="0" w:line="240" w:lineRule="auto"/>
      </w:pPr>
      <w:r>
        <w:separator/>
      </w:r>
    </w:p>
  </w:endnote>
  <w:endnote w:type="continuationSeparator" w:id="0">
    <w:p w:rsidR="006B56DF" w:rsidRDefault="006B56DF" w:rsidP="006B56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56DF" w:rsidRDefault="006B56DF" w:rsidP="006B56DF">
      <w:pPr>
        <w:spacing w:after="0" w:line="240" w:lineRule="auto"/>
      </w:pPr>
      <w:r>
        <w:separator/>
      </w:r>
    </w:p>
  </w:footnote>
  <w:footnote w:type="continuationSeparator" w:id="0">
    <w:p w:rsidR="006B56DF" w:rsidRDefault="006B56DF" w:rsidP="006B56DF">
      <w:pPr>
        <w:spacing w:after="0" w:line="240" w:lineRule="auto"/>
      </w:pPr>
      <w:r>
        <w:continuationSeparator/>
      </w:r>
    </w:p>
  </w:footnote>
  <w:footnote w:id="1">
    <w:p w:rsidR="00DB7DA9" w:rsidRPr="00DB7DA9" w:rsidRDefault="00DB7DA9">
      <w:pPr>
        <w:pStyle w:val="FootnoteText"/>
      </w:pPr>
      <w:r>
        <w:rPr>
          <w:rStyle w:val="FootnoteReference"/>
        </w:rPr>
        <w:footnoteRef/>
      </w:r>
      <w:r>
        <w:t xml:space="preserve"> </w:t>
      </w:r>
      <w:r w:rsidRPr="00DB7DA9">
        <w:rPr>
          <w:rFonts w:cstheme="minorHAnsi"/>
          <w:color w:val="222222"/>
          <w:shd w:val="clear" w:color="auto" w:fill="FFFFFF"/>
        </w:rPr>
        <w:t>Cosmopoulos,</w:t>
      </w:r>
      <w:r w:rsidRPr="00DB7DA9">
        <w:rPr>
          <w:rFonts w:cstheme="minorHAnsi"/>
          <w:color w:val="222222"/>
          <w:shd w:val="clear" w:color="auto" w:fill="FFFFFF"/>
        </w:rPr>
        <w:t xml:space="preserve"> 1992</w:t>
      </w:r>
    </w:p>
  </w:footnote>
  <w:footnote w:id="2">
    <w:p w:rsidR="000E35CE" w:rsidRPr="00DB7DA9" w:rsidRDefault="000E35CE">
      <w:pPr>
        <w:pStyle w:val="FootnoteText"/>
        <w:rPr>
          <w:rFonts w:cstheme="minorHAnsi"/>
        </w:rPr>
      </w:pPr>
      <w:r w:rsidRPr="00DB7DA9">
        <w:rPr>
          <w:rStyle w:val="FootnoteReference"/>
          <w:rFonts w:cstheme="minorHAnsi"/>
        </w:rPr>
        <w:footnoteRef/>
      </w:r>
      <w:r w:rsidRPr="00DB7DA9">
        <w:rPr>
          <w:rFonts w:cstheme="minorHAnsi"/>
        </w:rPr>
        <w:t xml:space="preserve"> Borza, 1990. P.200-201.</w:t>
      </w:r>
    </w:p>
  </w:footnote>
  <w:footnote w:id="3">
    <w:p w:rsidR="001F41C8" w:rsidRPr="00DB7DA9" w:rsidRDefault="001F41C8">
      <w:pPr>
        <w:pStyle w:val="FootnoteText"/>
        <w:rPr>
          <w:rFonts w:cstheme="minorHAnsi"/>
        </w:rPr>
      </w:pPr>
      <w:r w:rsidRPr="00DB7DA9">
        <w:rPr>
          <w:rStyle w:val="FootnoteReference"/>
          <w:rFonts w:cstheme="minorHAnsi"/>
        </w:rPr>
        <w:footnoteRef/>
      </w:r>
      <w:r w:rsidRPr="00DB7DA9">
        <w:rPr>
          <w:rFonts w:cstheme="minorHAnsi"/>
        </w:rPr>
        <w:t xml:space="preserve"> Diod.16.3. </w:t>
      </w:r>
      <w:r w:rsidR="00C3206B" w:rsidRPr="00DB7DA9">
        <w:rPr>
          <w:rFonts w:cstheme="minorHAnsi"/>
        </w:rPr>
        <w:t>the</w:t>
      </w:r>
      <w:r w:rsidRPr="00DB7DA9">
        <w:rPr>
          <w:rFonts w:cstheme="minorHAnsi"/>
        </w:rPr>
        <w:t xml:space="preserve"> Athenians lost control of Amphipolis during the Peloponnesian war. </w:t>
      </w:r>
    </w:p>
  </w:footnote>
  <w:footnote w:id="4">
    <w:p w:rsidR="006B56DF" w:rsidRPr="00DB7DA9" w:rsidRDefault="006B56DF">
      <w:pPr>
        <w:pStyle w:val="FootnoteText"/>
        <w:rPr>
          <w:rFonts w:cstheme="minorHAnsi"/>
        </w:rPr>
      </w:pPr>
      <w:r w:rsidRPr="00DB7DA9">
        <w:rPr>
          <w:rStyle w:val="FootnoteReference"/>
          <w:rFonts w:cstheme="minorHAnsi"/>
        </w:rPr>
        <w:footnoteRef/>
      </w:r>
      <w:r w:rsidRPr="00DB7DA9">
        <w:rPr>
          <w:rFonts w:cstheme="minorHAnsi"/>
        </w:rPr>
        <w:t xml:space="preserve"> Strab. 7.35</w:t>
      </w:r>
    </w:p>
  </w:footnote>
  <w:footnote w:id="5">
    <w:p w:rsidR="006B56DF" w:rsidRPr="00DB7DA9" w:rsidRDefault="006B56DF">
      <w:pPr>
        <w:pStyle w:val="FootnoteText"/>
        <w:rPr>
          <w:rFonts w:cstheme="minorHAnsi"/>
        </w:rPr>
      </w:pPr>
      <w:r w:rsidRPr="00DB7DA9">
        <w:rPr>
          <w:rStyle w:val="FootnoteReference"/>
          <w:rFonts w:cstheme="minorHAnsi"/>
        </w:rPr>
        <w:footnoteRef/>
      </w:r>
      <w:r w:rsidRPr="00DB7DA9">
        <w:rPr>
          <w:rFonts w:cstheme="minorHAnsi"/>
        </w:rPr>
        <w:t xml:space="preserve"> E.4.ennea-hodoi-harpers</w:t>
      </w:r>
    </w:p>
  </w:footnote>
  <w:footnote w:id="6">
    <w:p w:rsidR="001F41C8" w:rsidRPr="00996FEB" w:rsidRDefault="001F41C8">
      <w:pPr>
        <w:pStyle w:val="FootnoteText"/>
        <w:rPr>
          <w:rFonts w:cstheme="minorHAnsi"/>
        </w:rPr>
      </w:pPr>
      <w:r w:rsidRPr="00DB7DA9">
        <w:rPr>
          <w:rStyle w:val="FootnoteReference"/>
          <w:rFonts w:cstheme="minorHAnsi"/>
        </w:rPr>
        <w:footnoteRef/>
      </w:r>
      <w:r w:rsidRPr="00DB7DA9">
        <w:rPr>
          <w:rFonts w:cstheme="minorHAnsi"/>
        </w:rPr>
        <w:t xml:space="preserve"> </w:t>
      </w:r>
      <w:r w:rsidRPr="00DB7DA9">
        <w:rPr>
          <w:rStyle w:val="reference-text"/>
          <w:rFonts w:cstheme="minorHAnsi"/>
        </w:rPr>
        <w:t>Cawkwell 1978</w:t>
      </w:r>
      <w:r w:rsidRPr="00DB7DA9">
        <w:rPr>
          <w:rStyle w:val="reference-text"/>
          <w:rFonts w:cstheme="minorHAnsi"/>
        </w:rPr>
        <w:t>, p. 72.</w:t>
      </w:r>
    </w:p>
  </w:footnote>
  <w:footnote w:id="7">
    <w:p w:rsidR="001F41C8" w:rsidRPr="00996FEB" w:rsidRDefault="001F41C8">
      <w:pPr>
        <w:pStyle w:val="FootnoteText"/>
        <w:rPr>
          <w:rFonts w:cstheme="minorHAnsi"/>
        </w:rPr>
      </w:pPr>
      <w:r w:rsidRPr="00996FEB">
        <w:rPr>
          <w:rStyle w:val="FootnoteReference"/>
          <w:rFonts w:cstheme="minorHAnsi"/>
        </w:rPr>
        <w:footnoteRef/>
      </w:r>
      <w:r w:rsidRPr="00996FEB">
        <w:rPr>
          <w:rFonts w:cstheme="minorHAnsi"/>
        </w:rPr>
        <w:t xml:space="preserve"> Diod.16.3.</w:t>
      </w:r>
    </w:p>
  </w:footnote>
  <w:footnote w:id="8">
    <w:p w:rsidR="00DB7DA9" w:rsidRDefault="00DB7DA9">
      <w:pPr>
        <w:pStyle w:val="FootnoteText"/>
      </w:pPr>
      <w:r>
        <w:rPr>
          <w:rStyle w:val="FootnoteReference"/>
        </w:rPr>
        <w:footnoteRef/>
      </w:r>
      <w:r>
        <w:t xml:space="preserve"> </w:t>
      </w:r>
      <w:r>
        <w:rPr>
          <w:rFonts w:cstheme="minorHAnsi"/>
        </w:rPr>
        <w:t>Peak, S. 1997.</w:t>
      </w:r>
    </w:p>
  </w:footnote>
  <w:footnote w:id="9">
    <w:p w:rsidR="003105FA" w:rsidRPr="00996FEB" w:rsidRDefault="003105FA">
      <w:pPr>
        <w:pStyle w:val="FootnoteText"/>
        <w:rPr>
          <w:rFonts w:cstheme="minorHAnsi"/>
        </w:rPr>
      </w:pPr>
      <w:r w:rsidRPr="00996FEB">
        <w:rPr>
          <w:rStyle w:val="FootnoteReference"/>
          <w:rFonts w:cstheme="minorHAnsi"/>
        </w:rPr>
        <w:footnoteRef/>
      </w:r>
      <w:r w:rsidRPr="00996FEB">
        <w:rPr>
          <w:rFonts w:cstheme="minorHAnsi"/>
        </w:rPr>
        <w:t xml:space="preserve"> </w:t>
      </w:r>
      <w:r w:rsidR="00996FEB">
        <w:rPr>
          <w:rFonts w:cstheme="minorHAnsi"/>
        </w:rPr>
        <w:t>Buckler, 1989. P.64.</w:t>
      </w:r>
    </w:p>
  </w:footnote>
  <w:footnote w:id="10">
    <w:p w:rsidR="0052641C" w:rsidRPr="00996FEB" w:rsidRDefault="0052641C" w:rsidP="0052641C">
      <w:pPr>
        <w:pStyle w:val="FootnoteText"/>
        <w:rPr>
          <w:rFonts w:cstheme="minorHAnsi"/>
        </w:rPr>
      </w:pPr>
      <w:r w:rsidRPr="00996FEB">
        <w:rPr>
          <w:rStyle w:val="FootnoteReference"/>
          <w:rFonts w:cstheme="minorHAnsi"/>
        </w:rPr>
        <w:footnoteRef/>
      </w:r>
      <w:r w:rsidRPr="00996FEB">
        <w:rPr>
          <w:rFonts w:cstheme="minorHAnsi"/>
        </w:rPr>
        <w:t xml:space="preserve"> </w:t>
      </w:r>
      <w:r w:rsidR="00F527B0">
        <w:rPr>
          <w:rFonts w:cstheme="minorHAnsi"/>
        </w:rPr>
        <w:t>Diod.17.3</w:t>
      </w:r>
    </w:p>
  </w:footnote>
  <w:footnote w:id="11">
    <w:p w:rsidR="00B93C98" w:rsidRPr="00996FEB" w:rsidRDefault="00B93C98">
      <w:pPr>
        <w:pStyle w:val="FootnoteText"/>
        <w:rPr>
          <w:rFonts w:cstheme="minorHAnsi"/>
        </w:rPr>
      </w:pPr>
      <w:r w:rsidRPr="00996FEB">
        <w:rPr>
          <w:rStyle w:val="FootnoteReference"/>
          <w:rFonts w:cstheme="minorHAnsi"/>
        </w:rPr>
        <w:footnoteRef/>
      </w:r>
      <w:r w:rsidRPr="00996FEB">
        <w:rPr>
          <w:rFonts w:cstheme="minorHAnsi"/>
        </w:rPr>
        <w:t xml:space="preserve"> Cawkwell 1978, p. 84</w:t>
      </w:r>
    </w:p>
  </w:footnote>
  <w:footnote w:id="12">
    <w:p w:rsidR="00557368" w:rsidRPr="00996FEB" w:rsidRDefault="00557368">
      <w:pPr>
        <w:pStyle w:val="FootnoteText"/>
        <w:rPr>
          <w:rFonts w:cstheme="minorHAnsi"/>
        </w:rPr>
      </w:pPr>
      <w:r w:rsidRPr="00996FEB">
        <w:rPr>
          <w:rStyle w:val="FootnoteReference"/>
          <w:rFonts w:cstheme="minorHAnsi"/>
        </w:rPr>
        <w:footnoteRef/>
      </w:r>
      <w:r w:rsidRPr="00996FEB">
        <w:rPr>
          <w:rFonts w:cstheme="minorHAnsi"/>
        </w:rPr>
        <w:t xml:space="preserve"> Justin, VIII.3.</w:t>
      </w:r>
    </w:p>
  </w:footnote>
  <w:footnote w:id="13">
    <w:p w:rsidR="00557368" w:rsidRPr="00996FEB" w:rsidRDefault="00557368">
      <w:pPr>
        <w:pStyle w:val="FootnoteText"/>
        <w:rPr>
          <w:rFonts w:cstheme="minorHAnsi"/>
        </w:rPr>
      </w:pPr>
      <w:r w:rsidRPr="00996FEB">
        <w:rPr>
          <w:rStyle w:val="FootnoteReference"/>
          <w:rFonts w:cstheme="minorHAnsi"/>
        </w:rPr>
        <w:footnoteRef/>
      </w:r>
      <w:r w:rsidRPr="00996FEB">
        <w:rPr>
          <w:rFonts w:cstheme="minorHAnsi"/>
        </w:rPr>
        <w:t xml:space="preserve"> Diod.16.52.</w:t>
      </w:r>
    </w:p>
  </w:footnote>
  <w:footnote w:id="14">
    <w:p w:rsidR="003209A7" w:rsidRPr="00996FEB" w:rsidRDefault="003209A7">
      <w:pPr>
        <w:pStyle w:val="FootnoteText"/>
        <w:rPr>
          <w:rFonts w:cstheme="minorHAnsi"/>
        </w:rPr>
      </w:pPr>
      <w:r w:rsidRPr="00996FEB">
        <w:rPr>
          <w:rStyle w:val="FootnoteReference"/>
          <w:rFonts w:cstheme="minorHAnsi"/>
        </w:rPr>
        <w:footnoteRef/>
      </w:r>
      <w:r w:rsidRPr="00996FEB">
        <w:rPr>
          <w:rFonts w:cstheme="minorHAnsi"/>
        </w:rPr>
        <w:t xml:space="preserve"> </w:t>
      </w:r>
      <w:r w:rsidR="0030614F">
        <w:rPr>
          <w:rFonts w:cstheme="minorHAnsi"/>
          <w:shd w:val="clear" w:color="auto" w:fill="FFFFFF"/>
        </w:rPr>
        <w:t>Phillips, 2004.</w:t>
      </w:r>
    </w:p>
  </w:footnote>
  <w:footnote w:id="15">
    <w:p w:rsidR="003209A7" w:rsidRPr="00996FEB" w:rsidRDefault="003209A7">
      <w:pPr>
        <w:pStyle w:val="FootnoteText"/>
        <w:rPr>
          <w:rFonts w:cstheme="minorHAnsi"/>
        </w:rPr>
      </w:pPr>
      <w:r w:rsidRPr="00996FEB">
        <w:rPr>
          <w:rStyle w:val="FootnoteReference"/>
          <w:rFonts w:cstheme="minorHAnsi"/>
        </w:rPr>
        <w:footnoteRef/>
      </w:r>
      <w:r w:rsidRPr="00996FEB">
        <w:rPr>
          <w:rFonts w:cstheme="minorHAnsi"/>
        </w:rPr>
        <w:t xml:space="preserve"> </w:t>
      </w:r>
      <w:r w:rsidR="0030614F">
        <w:rPr>
          <w:rFonts w:cstheme="minorHAnsi"/>
          <w:shd w:val="clear" w:color="auto" w:fill="FFFFFF"/>
        </w:rPr>
        <w:t>Burke, 2002.</w:t>
      </w:r>
    </w:p>
  </w:footnote>
  <w:footnote w:id="16">
    <w:p w:rsidR="003209A7" w:rsidRPr="00996FEB" w:rsidRDefault="003209A7">
      <w:pPr>
        <w:pStyle w:val="FootnoteText"/>
        <w:rPr>
          <w:rFonts w:cstheme="minorHAnsi"/>
        </w:rPr>
      </w:pPr>
      <w:r w:rsidRPr="00996FEB">
        <w:rPr>
          <w:rStyle w:val="FootnoteReference"/>
          <w:rFonts w:cstheme="minorHAnsi"/>
        </w:rPr>
        <w:footnoteRef/>
      </w:r>
      <w:r w:rsidRPr="00996FEB">
        <w:rPr>
          <w:rFonts w:cstheme="minorHAnsi"/>
        </w:rPr>
        <w:t xml:space="preserve"> Demo</w:t>
      </w:r>
      <w:r w:rsidR="007F248C">
        <w:rPr>
          <w:rFonts w:cstheme="minorHAnsi"/>
        </w:rPr>
        <w:t>s.</w:t>
      </w:r>
      <w:r w:rsidR="007F248C">
        <w:rPr>
          <w:rFonts w:cstheme="minorHAnsi"/>
          <w:i/>
          <w:iCs/>
        </w:rPr>
        <w:t>Olyn.</w:t>
      </w:r>
      <w:r w:rsidR="007F248C">
        <w:rPr>
          <w:rFonts w:cstheme="minorHAnsi"/>
        </w:rPr>
        <w:t>20</w:t>
      </w:r>
    </w:p>
  </w:footnote>
  <w:footnote w:id="17">
    <w:p w:rsidR="00472A3B" w:rsidRPr="00996FEB" w:rsidRDefault="00472A3B">
      <w:pPr>
        <w:pStyle w:val="FootnoteText"/>
        <w:rPr>
          <w:rFonts w:cstheme="minorHAnsi"/>
        </w:rPr>
      </w:pPr>
      <w:r w:rsidRPr="00996FEB">
        <w:rPr>
          <w:rStyle w:val="FootnoteReference"/>
          <w:rFonts w:cstheme="minorHAnsi"/>
        </w:rPr>
        <w:footnoteRef/>
      </w:r>
      <w:r w:rsidRPr="00996FEB">
        <w:rPr>
          <w:rFonts w:cstheme="minorHAnsi"/>
        </w:rPr>
        <w:t xml:space="preserve"> Aes.3.57.</w:t>
      </w:r>
    </w:p>
  </w:footnote>
  <w:footnote w:id="18">
    <w:p w:rsidR="000E35CE" w:rsidRPr="00996FEB" w:rsidRDefault="000E35CE">
      <w:pPr>
        <w:pStyle w:val="FootnoteText"/>
        <w:rPr>
          <w:rFonts w:cstheme="minorHAnsi"/>
        </w:rPr>
      </w:pPr>
      <w:r w:rsidRPr="00996FEB">
        <w:rPr>
          <w:rStyle w:val="FootnoteReference"/>
          <w:rFonts w:cstheme="minorHAnsi"/>
        </w:rPr>
        <w:footnoteRef/>
      </w:r>
      <w:r w:rsidRPr="00996FEB">
        <w:rPr>
          <w:rFonts w:cstheme="minorHAnsi"/>
        </w:rPr>
        <w:t xml:space="preserve"> </w:t>
      </w:r>
      <w:r w:rsidRPr="00996FEB">
        <w:rPr>
          <w:rFonts w:cstheme="minorHAnsi"/>
          <w:shd w:val="clear" w:color="auto" w:fill="FFFFFF"/>
        </w:rPr>
        <w:t>Cawkwell 1978</w:t>
      </w:r>
      <w:r w:rsidRPr="00996FEB">
        <w:rPr>
          <w:rFonts w:cstheme="minorHAnsi"/>
          <w:color w:val="222222"/>
          <w:shd w:val="clear" w:color="auto" w:fill="FFFFFF"/>
        </w:rPr>
        <w:t>, p. 86</w:t>
      </w:r>
    </w:p>
  </w:footnote>
  <w:footnote w:id="19">
    <w:p w:rsidR="000E35CE" w:rsidRPr="00DF289B" w:rsidRDefault="000E35CE">
      <w:pPr>
        <w:pStyle w:val="FootnoteText"/>
        <w:rPr>
          <w:rFonts w:cstheme="minorHAnsi"/>
        </w:rPr>
      </w:pPr>
      <w:r w:rsidRPr="00996FEB">
        <w:rPr>
          <w:rStyle w:val="FootnoteReference"/>
          <w:rFonts w:cstheme="minorHAnsi"/>
        </w:rPr>
        <w:footnoteRef/>
      </w:r>
      <w:r w:rsidRPr="00996FEB">
        <w:rPr>
          <w:rFonts w:cstheme="minorHAnsi"/>
        </w:rPr>
        <w:t xml:space="preserve"> </w:t>
      </w:r>
      <w:r w:rsidRPr="00DF289B">
        <w:rPr>
          <w:rFonts w:cstheme="minorHAnsi"/>
          <w:shd w:val="clear" w:color="auto" w:fill="FFFFFF"/>
        </w:rPr>
        <w:t>Cawkwell 1978</w:t>
      </w:r>
      <w:r w:rsidRPr="00DF289B">
        <w:rPr>
          <w:rFonts w:cstheme="minorHAnsi"/>
          <w:shd w:val="clear" w:color="auto" w:fill="FFFFFF"/>
        </w:rPr>
        <w:t>, p. 86</w:t>
      </w:r>
    </w:p>
  </w:footnote>
  <w:footnote w:id="20">
    <w:p w:rsidR="003A1B60" w:rsidRPr="00DF289B" w:rsidRDefault="003A1B60">
      <w:pPr>
        <w:pStyle w:val="FootnoteText"/>
        <w:rPr>
          <w:rFonts w:cstheme="minorHAnsi"/>
        </w:rPr>
      </w:pPr>
      <w:r w:rsidRPr="00DF289B">
        <w:rPr>
          <w:rStyle w:val="FootnoteReference"/>
          <w:rFonts w:cstheme="minorHAnsi"/>
        </w:rPr>
        <w:footnoteRef/>
      </w:r>
      <w:r w:rsidRPr="00DF289B">
        <w:rPr>
          <w:rFonts w:cstheme="minorHAnsi"/>
        </w:rPr>
        <w:t xml:space="preserve"> </w:t>
      </w:r>
      <w:r w:rsidRPr="00DF289B">
        <w:rPr>
          <w:rFonts w:cstheme="minorHAnsi"/>
          <w:shd w:val="clear" w:color="auto" w:fill="FFFFFF"/>
        </w:rPr>
        <w:t>Cawkwell 1978</w:t>
      </w:r>
      <w:r w:rsidRPr="00DF289B">
        <w:rPr>
          <w:rFonts w:cstheme="minorHAnsi"/>
          <w:shd w:val="clear" w:color="auto" w:fill="FFFFFF"/>
        </w:rPr>
        <w:t>, p. 86</w:t>
      </w:r>
    </w:p>
  </w:footnote>
  <w:footnote w:id="21">
    <w:p w:rsidR="003A1B60" w:rsidRPr="00DF289B" w:rsidRDefault="003A1B60">
      <w:pPr>
        <w:pStyle w:val="FootnoteText"/>
        <w:rPr>
          <w:rFonts w:cstheme="minorHAnsi"/>
        </w:rPr>
      </w:pPr>
      <w:r w:rsidRPr="00DF289B">
        <w:rPr>
          <w:rStyle w:val="FootnoteReference"/>
          <w:rFonts w:cstheme="minorHAnsi"/>
        </w:rPr>
        <w:footnoteRef/>
      </w:r>
      <w:r w:rsidRPr="00DF289B">
        <w:rPr>
          <w:rFonts w:cstheme="minorHAnsi"/>
        </w:rPr>
        <w:t xml:space="preserve"> Thomson, J. 1994. “</w:t>
      </w:r>
      <w:r w:rsidRPr="00DF289B">
        <w:rPr>
          <w:rFonts w:cstheme="minorHAnsi"/>
          <w:shd w:val="clear" w:color="auto" w:fill="FFFFFF"/>
        </w:rPr>
        <w:t>private person or ship that engages in maritime warfare under a commission of war</w:t>
      </w:r>
      <w:r w:rsidRPr="00DF289B">
        <w:rPr>
          <w:rFonts w:cstheme="minorHAnsi"/>
          <w:shd w:val="clear" w:color="auto" w:fill="FFFFFF"/>
        </w:rPr>
        <w:t>”</w:t>
      </w:r>
    </w:p>
  </w:footnote>
  <w:footnote w:id="22">
    <w:p w:rsidR="00D15F01" w:rsidRPr="00DF289B" w:rsidRDefault="00D15F01">
      <w:pPr>
        <w:pStyle w:val="FootnoteText"/>
        <w:rPr>
          <w:rFonts w:cstheme="minorHAnsi"/>
        </w:rPr>
      </w:pPr>
      <w:r w:rsidRPr="00DF289B">
        <w:rPr>
          <w:rStyle w:val="FootnoteReference"/>
          <w:rFonts w:cstheme="minorHAnsi"/>
        </w:rPr>
        <w:footnoteRef/>
      </w:r>
      <w:r w:rsidRPr="00DF289B">
        <w:rPr>
          <w:rFonts w:cstheme="minorHAnsi"/>
        </w:rPr>
        <w:t xml:space="preserve"> </w:t>
      </w:r>
      <w:r w:rsidRPr="00DF289B">
        <w:rPr>
          <w:rFonts w:cstheme="minorHAnsi"/>
          <w:shd w:val="clear" w:color="auto" w:fill="FFFFFF"/>
        </w:rPr>
        <w:t>Cawkwell 1978</w:t>
      </w:r>
      <w:r w:rsidRPr="00DF289B">
        <w:rPr>
          <w:rFonts w:cstheme="minorHAnsi"/>
          <w:shd w:val="clear" w:color="auto" w:fill="FFFFFF"/>
        </w:rPr>
        <w:t>, p. 95</w:t>
      </w:r>
    </w:p>
  </w:footnote>
  <w:footnote w:id="23">
    <w:p w:rsidR="003A1B60" w:rsidRPr="00DF289B" w:rsidRDefault="003A1B60" w:rsidP="003A1B60">
      <w:pPr>
        <w:pStyle w:val="FootnoteText"/>
        <w:rPr>
          <w:rFonts w:cstheme="minorHAnsi"/>
        </w:rPr>
      </w:pPr>
      <w:r w:rsidRPr="00DF289B">
        <w:rPr>
          <w:rStyle w:val="FootnoteReference"/>
          <w:rFonts w:cstheme="minorHAnsi"/>
        </w:rPr>
        <w:footnoteRef/>
      </w:r>
      <w:r w:rsidRPr="00DF289B">
        <w:rPr>
          <w:rFonts w:cstheme="minorHAnsi"/>
        </w:rPr>
        <w:t xml:space="preserve"> </w:t>
      </w:r>
      <w:r w:rsidR="00DF289B" w:rsidRPr="00DF289B">
        <w:rPr>
          <w:rFonts w:cstheme="minorHAnsi"/>
          <w:shd w:val="clear" w:color="auto" w:fill="FFFFFF"/>
        </w:rPr>
        <w:t>Cawkwell 1978</w:t>
      </w:r>
      <w:r w:rsidR="00DF289B" w:rsidRPr="00DF289B">
        <w:rPr>
          <w:rFonts w:cstheme="minorHAnsi"/>
          <w:shd w:val="clear" w:color="auto" w:fill="FFFFFF"/>
        </w:rPr>
        <w:t>, p. 96.</w:t>
      </w:r>
    </w:p>
  </w:footnote>
  <w:footnote w:id="24">
    <w:p w:rsidR="003A1B60" w:rsidRPr="00996FEB" w:rsidRDefault="003A1B60" w:rsidP="003A1B60">
      <w:pPr>
        <w:pStyle w:val="FootnoteText"/>
        <w:rPr>
          <w:rFonts w:cstheme="minorHAnsi"/>
        </w:rPr>
      </w:pPr>
      <w:r w:rsidRPr="00DF289B">
        <w:rPr>
          <w:rStyle w:val="FootnoteReference"/>
          <w:rFonts w:cstheme="minorHAnsi"/>
        </w:rPr>
        <w:footnoteRef/>
      </w:r>
      <w:r w:rsidRPr="00DF289B">
        <w:rPr>
          <w:rFonts w:cstheme="minorHAnsi"/>
        </w:rPr>
        <w:t xml:space="preserve"> </w:t>
      </w:r>
      <w:r w:rsidRPr="00DF289B">
        <w:rPr>
          <w:rFonts w:cstheme="minorHAnsi"/>
          <w:shd w:val="clear" w:color="auto" w:fill="FFFFFF"/>
        </w:rPr>
        <w:t>Justin, VIII.3; Cawkwell, 1978</w:t>
      </w:r>
      <w:r w:rsidRPr="00996FEB">
        <w:rPr>
          <w:rFonts w:cstheme="minorHAnsi"/>
          <w:shd w:val="clear" w:color="auto" w:fill="FFFFFF"/>
        </w:rPr>
        <w:t>, p.82-84.</w:t>
      </w:r>
    </w:p>
  </w:footnote>
  <w:footnote w:id="25">
    <w:p w:rsidR="004221C3" w:rsidRPr="00996FEB" w:rsidRDefault="004221C3">
      <w:pPr>
        <w:pStyle w:val="FootnoteText"/>
        <w:rPr>
          <w:rFonts w:cstheme="minorHAnsi"/>
        </w:rPr>
      </w:pPr>
      <w:r w:rsidRPr="00996FEB">
        <w:rPr>
          <w:rStyle w:val="FootnoteReference"/>
          <w:rFonts w:cstheme="minorHAnsi"/>
        </w:rPr>
        <w:footnoteRef/>
      </w:r>
      <w:r w:rsidRPr="00996FEB">
        <w:rPr>
          <w:rFonts w:cstheme="minorHAnsi"/>
        </w:rPr>
        <w:t xml:space="preserve"> </w:t>
      </w:r>
      <w:r w:rsidRPr="00996FEB">
        <w:rPr>
          <w:rFonts w:cstheme="minorHAnsi"/>
          <w:shd w:val="clear" w:color="auto" w:fill="FFFFFF"/>
        </w:rPr>
        <w:t>Cawkwell 1978</w:t>
      </w:r>
      <w:r w:rsidRPr="00996FEB">
        <w:rPr>
          <w:rFonts w:cstheme="minorHAnsi"/>
          <w:color w:val="222222"/>
          <w:shd w:val="clear" w:color="auto" w:fill="FFFFFF"/>
        </w:rPr>
        <w:t>, p. 141</w:t>
      </w:r>
    </w:p>
  </w:footnote>
  <w:footnote w:id="26">
    <w:p w:rsidR="004221C3" w:rsidRPr="00996FEB" w:rsidRDefault="004221C3">
      <w:pPr>
        <w:pStyle w:val="FootnoteText"/>
        <w:rPr>
          <w:rFonts w:cstheme="minorHAnsi"/>
        </w:rPr>
      </w:pPr>
      <w:r w:rsidRPr="00996FEB">
        <w:rPr>
          <w:rStyle w:val="FootnoteReference"/>
          <w:rFonts w:cstheme="minorHAnsi"/>
        </w:rPr>
        <w:footnoteRef/>
      </w:r>
      <w:r w:rsidRPr="00996FEB">
        <w:rPr>
          <w:rFonts w:cstheme="minorHAnsi"/>
        </w:rPr>
        <w:t xml:space="preserve"> </w:t>
      </w:r>
      <w:r w:rsidRPr="00996FEB">
        <w:rPr>
          <w:rFonts w:cstheme="minorHAnsi"/>
          <w:shd w:val="clear" w:color="auto" w:fill="FFFFFF"/>
        </w:rPr>
        <w:t>Cawkwell 1978</w:t>
      </w:r>
      <w:r w:rsidRPr="00996FEB">
        <w:rPr>
          <w:rFonts w:cstheme="minorHAnsi"/>
          <w:color w:val="222222"/>
          <w:shd w:val="clear" w:color="auto" w:fill="FFFFFF"/>
        </w:rPr>
        <w:t>, p. 141</w:t>
      </w:r>
    </w:p>
  </w:footnote>
  <w:footnote w:id="27">
    <w:p w:rsidR="004221C3" w:rsidRPr="00996FEB" w:rsidRDefault="004221C3">
      <w:pPr>
        <w:pStyle w:val="FootnoteText"/>
        <w:rPr>
          <w:rFonts w:cstheme="minorHAnsi"/>
        </w:rPr>
      </w:pPr>
      <w:r w:rsidRPr="00996FEB">
        <w:rPr>
          <w:rStyle w:val="FootnoteReference"/>
          <w:rFonts w:cstheme="minorHAnsi"/>
        </w:rPr>
        <w:footnoteRef/>
      </w:r>
      <w:r w:rsidRPr="00996FEB">
        <w:rPr>
          <w:rFonts w:cstheme="minorHAnsi"/>
        </w:rPr>
        <w:t xml:space="preserve"> </w:t>
      </w:r>
      <w:r w:rsidRPr="00996FEB">
        <w:rPr>
          <w:rFonts w:cstheme="minorHAnsi"/>
          <w:shd w:val="clear" w:color="auto" w:fill="FFFFFF"/>
        </w:rPr>
        <w:t>Cawkwell 1978</w:t>
      </w:r>
      <w:r w:rsidRPr="00996FEB">
        <w:rPr>
          <w:rFonts w:cstheme="minorHAnsi"/>
          <w:color w:val="222222"/>
          <w:shd w:val="clear" w:color="auto" w:fill="FFFFFF"/>
        </w:rPr>
        <w:t>, p. 142</w:t>
      </w:r>
    </w:p>
  </w:footnote>
  <w:footnote w:id="28">
    <w:p w:rsidR="004221C3" w:rsidRPr="00996FEB" w:rsidRDefault="004221C3">
      <w:pPr>
        <w:pStyle w:val="FootnoteText"/>
        <w:rPr>
          <w:rFonts w:cstheme="minorHAnsi"/>
        </w:rPr>
      </w:pPr>
      <w:r w:rsidRPr="00996FEB">
        <w:rPr>
          <w:rStyle w:val="FootnoteReference"/>
          <w:rFonts w:cstheme="minorHAnsi"/>
        </w:rPr>
        <w:footnoteRef/>
      </w:r>
      <w:r w:rsidRPr="00996FEB">
        <w:rPr>
          <w:rFonts w:cstheme="minorHAnsi"/>
        </w:rPr>
        <w:t xml:space="preserve"> </w:t>
      </w:r>
      <w:r w:rsidRPr="00996FEB">
        <w:rPr>
          <w:rFonts w:cstheme="minorHAnsi"/>
          <w:shd w:val="clear" w:color="auto" w:fill="FFFFFF"/>
        </w:rPr>
        <w:t>Cawkwell 1978</w:t>
      </w:r>
      <w:r w:rsidRPr="00996FEB">
        <w:rPr>
          <w:rFonts w:cstheme="minorHAnsi"/>
          <w:color w:val="222222"/>
          <w:shd w:val="clear" w:color="auto" w:fill="FFFFFF"/>
        </w:rPr>
        <w:t>, p. 142</w:t>
      </w:r>
    </w:p>
  </w:footnote>
  <w:footnote w:id="29">
    <w:p w:rsidR="00C3206B" w:rsidRPr="00996FEB" w:rsidRDefault="00C3206B">
      <w:pPr>
        <w:pStyle w:val="FootnoteText"/>
        <w:rPr>
          <w:rFonts w:cstheme="minorHAnsi"/>
        </w:rPr>
      </w:pPr>
      <w:r w:rsidRPr="00996FEB">
        <w:rPr>
          <w:rStyle w:val="FootnoteReference"/>
          <w:rFonts w:cstheme="minorHAnsi"/>
        </w:rPr>
        <w:footnoteRef/>
      </w:r>
      <w:r w:rsidRPr="00996FEB">
        <w:rPr>
          <w:rFonts w:cstheme="minorHAnsi"/>
        </w:rPr>
        <w:t xml:space="preserve"> </w:t>
      </w:r>
      <w:r w:rsidRPr="00996FEB">
        <w:rPr>
          <w:rFonts w:cstheme="minorHAnsi"/>
          <w:shd w:val="clear" w:color="auto" w:fill="FFFFFF"/>
        </w:rPr>
        <w:t>Cawkwell 1978</w:t>
      </w:r>
      <w:r w:rsidRPr="00996FEB">
        <w:rPr>
          <w:rFonts w:cstheme="minorHAnsi"/>
          <w:color w:val="222222"/>
          <w:shd w:val="clear" w:color="auto" w:fill="FFFFFF"/>
        </w:rPr>
        <w:t>, p. 143</w:t>
      </w:r>
    </w:p>
  </w:footnote>
  <w:footnote w:id="30">
    <w:p w:rsidR="00C3206B" w:rsidRPr="00996FEB" w:rsidRDefault="00C3206B">
      <w:pPr>
        <w:pStyle w:val="FootnoteText"/>
        <w:rPr>
          <w:rFonts w:cstheme="minorHAnsi"/>
        </w:rPr>
      </w:pPr>
      <w:r w:rsidRPr="00996FEB">
        <w:rPr>
          <w:rStyle w:val="FootnoteReference"/>
          <w:rFonts w:cstheme="minorHAnsi"/>
        </w:rPr>
        <w:footnoteRef/>
      </w:r>
      <w:r w:rsidRPr="00996FEB">
        <w:rPr>
          <w:rFonts w:cstheme="minorHAnsi"/>
        </w:rPr>
        <w:t xml:space="preserve"> </w:t>
      </w:r>
      <w:r w:rsidRPr="00996FEB">
        <w:rPr>
          <w:rFonts w:cstheme="minorHAnsi"/>
          <w:shd w:val="clear" w:color="auto" w:fill="FFFFFF"/>
        </w:rPr>
        <w:t>Cawkwell 1978</w:t>
      </w:r>
      <w:r w:rsidRPr="00996FEB">
        <w:rPr>
          <w:rFonts w:cstheme="minorHAnsi"/>
          <w:color w:val="222222"/>
          <w:shd w:val="clear" w:color="auto" w:fill="FFFFFF"/>
        </w:rPr>
        <w:t>, p. 145.</w:t>
      </w:r>
    </w:p>
  </w:footnote>
  <w:footnote w:id="31">
    <w:p w:rsidR="00C3206B" w:rsidRPr="00996FEB" w:rsidRDefault="00C3206B">
      <w:pPr>
        <w:pStyle w:val="FootnoteText"/>
        <w:rPr>
          <w:rFonts w:cstheme="minorHAnsi"/>
        </w:rPr>
      </w:pPr>
      <w:r w:rsidRPr="00996FEB">
        <w:rPr>
          <w:rStyle w:val="FootnoteReference"/>
          <w:rFonts w:cstheme="minorHAnsi"/>
        </w:rPr>
        <w:footnoteRef/>
      </w:r>
      <w:r w:rsidRPr="00996FEB">
        <w:rPr>
          <w:rFonts w:cstheme="minorHAnsi"/>
        </w:rPr>
        <w:t xml:space="preserve"> </w:t>
      </w:r>
      <w:r w:rsidRPr="00996FEB">
        <w:rPr>
          <w:rFonts w:cstheme="minorHAnsi"/>
          <w:shd w:val="clear" w:color="auto" w:fill="FFFFFF"/>
        </w:rPr>
        <w:t>Cawkwell 1978</w:t>
      </w:r>
      <w:r w:rsidRPr="00996FEB">
        <w:rPr>
          <w:rFonts w:cstheme="minorHAnsi"/>
          <w:color w:val="222222"/>
          <w:shd w:val="clear" w:color="auto" w:fill="FFFFFF"/>
        </w:rPr>
        <w:t>, p. 145</w:t>
      </w:r>
    </w:p>
  </w:footnote>
  <w:footnote w:id="32">
    <w:p w:rsidR="00C3206B" w:rsidRPr="00996FEB" w:rsidRDefault="00C3206B">
      <w:pPr>
        <w:pStyle w:val="FootnoteText"/>
        <w:rPr>
          <w:rFonts w:cstheme="minorHAnsi"/>
        </w:rPr>
      </w:pPr>
      <w:r w:rsidRPr="00996FEB">
        <w:rPr>
          <w:rStyle w:val="FootnoteReference"/>
          <w:rFonts w:cstheme="minorHAnsi"/>
        </w:rPr>
        <w:footnoteRef/>
      </w:r>
      <w:r w:rsidRPr="00996FEB">
        <w:rPr>
          <w:rFonts w:cstheme="minorHAnsi"/>
        </w:rPr>
        <w:t xml:space="preserve"> Diod.16.86.</w:t>
      </w:r>
    </w:p>
  </w:footnote>
  <w:footnote w:id="33">
    <w:p w:rsidR="00C3206B" w:rsidRPr="00996FEB" w:rsidRDefault="00C3206B">
      <w:pPr>
        <w:pStyle w:val="FootnoteText"/>
        <w:rPr>
          <w:rFonts w:cstheme="minorHAnsi"/>
        </w:rPr>
      </w:pPr>
      <w:r w:rsidRPr="00996FEB">
        <w:rPr>
          <w:rStyle w:val="FootnoteReference"/>
          <w:rFonts w:cstheme="minorHAnsi"/>
        </w:rPr>
        <w:footnoteRef/>
      </w:r>
      <w:r w:rsidRPr="00996FEB">
        <w:rPr>
          <w:rFonts w:cstheme="minorHAnsi"/>
        </w:rPr>
        <w:t xml:space="preserve"> Diod.16.86.</w:t>
      </w:r>
    </w:p>
  </w:footnote>
  <w:footnote w:id="34">
    <w:p w:rsidR="00C3206B" w:rsidRDefault="00C3206B">
      <w:pPr>
        <w:pStyle w:val="FootnoteText"/>
      </w:pPr>
      <w:r w:rsidRPr="00996FEB">
        <w:rPr>
          <w:rStyle w:val="FootnoteReference"/>
          <w:rFonts w:cstheme="minorHAnsi"/>
        </w:rPr>
        <w:footnoteRef/>
      </w:r>
      <w:r w:rsidRPr="00996FEB">
        <w:rPr>
          <w:rFonts w:cstheme="minorHAnsi"/>
        </w:rPr>
        <w:t xml:space="preserve"> </w:t>
      </w:r>
      <w:r w:rsidRPr="00996FEB">
        <w:rPr>
          <w:rFonts w:cstheme="minorHAnsi"/>
          <w:shd w:val="clear" w:color="auto" w:fill="FFFFFF"/>
        </w:rPr>
        <w:t>Cawkwell 1978</w:t>
      </w:r>
      <w:r w:rsidRPr="00996FEB">
        <w:rPr>
          <w:rFonts w:cstheme="minorHAnsi"/>
          <w:color w:val="222222"/>
          <w:shd w:val="clear" w:color="auto" w:fill="FFFFFF"/>
        </w:rPr>
        <w:t>, p. 148</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3236"/>
    <w:rsid w:val="000E35CE"/>
    <w:rsid w:val="001E04E7"/>
    <w:rsid w:val="001F41C8"/>
    <w:rsid w:val="00252B65"/>
    <w:rsid w:val="0030614F"/>
    <w:rsid w:val="003105FA"/>
    <w:rsid w:val="003209A7"/>
    <w:rsid w:val="00337843"/>
    <w:rsid w:val="00351336"/>
    <w:rsid w:val="003A0AC5"/>
    <w:rsid w:val="003A1B60"/>
    <w:rsid w:val="004221C3"/>
    <w:rsid w:val="00460047"/>
    <w:rsid w:val="00464C5A"/>
    <w:rsid w:val="00472A3B"/>
    <w:rsid w:val="0052641C"/>
    <w:rsid w:val="00537122"/>
    <w:rsid w:val="00557368"/>
    <w:rsid w:val="00560AC6"/>
    <w:rsid w:val="00592AB5"/>
    <w:rsid w:val="005C24A0"/>
    <w:rsid w:val="00606AEC"/>
    <w:rsid w:val="006136C6"/>
    <w:rsid w:val="00615083"/>
    <w:rsid w:val="0069104D"/>
    <w:rsid w:val="006B170B"/>
    <w:rsid w:val="006B56DF"/>
    <w:rsid w:val="00785AF4"/>
    <w:rsid w:val="00787CFA"/>
    <w:rsid w:val="007E4F52"/>
    <w:rsid w:val="007F248C"/>
    <w:rsid w:val="008051E9"/>
    <w:rsid w:val="008D2F3C"/>
    <w:rsid w:val="008E4CB1"/>
    <w:rsid w:val="00996FEB"/>
    <w:rsid w:val="00AA6FAE"/>
    <w:rsid w:val="00B93A75"/>
    <w:rsid w:val="00B93C98"/>
    <w:rsid w:val="00C2447A"/>
    <w:rsid w:val="00C3206B"/>
    <w:rsid w:val="00C37424"/>
    <w:rsid w:val="00C65E7F"/>
    <w:rsid w:val="00CA3236"/>
    <w:rsid w:val="00D15F01"/>
    <w:rsid w:val="00DB2B23"/>
    <w:rsid w:val="00DB7DA9"/>
    <w:rsid w:val="00DF289B"/>
    <w:rsid w:val="00E329B6"/>
    <w:rsid w:val="00E75709"/>
    <w:rsid w:val="00E950CE"/>
    <w:rsid w:val="00EB4FB0"/>
    <w:rsid w:val="00F527B0"/>
    <w:rsid w:val="00F6716B"/>
    <w:rsid w:val="00FB37AF"/>
    <w:rsid w:val="00FF66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AE05F9"/>
  <w15:chartTrackingRefBased/>
  <w15:docId w15:val="{46D25DFB-9768-4FF9-B34D-DC8B223C77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4221C3"/>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tenseQuote">
    <w:name w:val="Intense Quote"/>
    <w:basedOn w:val="Normal"/>
    <w:next w:val="Normal"/>
    <w:link w:val="IntenseQuoteChar"/>
    <w:uiPriority w:val="30"/>
    <w:qFormat/>
    <w:rsid w:val="00CA3236"/>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CA3236"/>
    <w:rPr>
      <w:i/>
      <w:iCs/>
      <w:color w:val="5B9BD5" w:themeColor="accent1"/>
    </w:rPr>
  </w:style>
  <w:style w:type="paragraph" w:styleId="FootnoteText">
    <w:name w:val="footnote text"/>
    <w:basedOn w:val="Normal"/>
    <w:link w:val="FootnoteTextChar"/>
    <w:uiPriority w:val="99"/>
    <w:semiHidden/>
    <w:unhideWhenUsed/>
    <w:rsid w:val="006B56D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B56DF"/>
    <w:rPr>
      <w:sz w:val="20"/>
      <w:szCs w:val="20"/>
    </w:rPr>
  </w:style>
  <w:style w:type="character" w:styleId="FootnoteReference">
    <w:name w:val="footnote reference"/>
    <w:basedOn w:val="DefaultParagraphFont"/>
    <w:uiPriority w:val="99"/>
    <w:semiHidden/>
    <w:unhideWhenUsed/>
    <w:rsid w:val="006B56DF"/>
    <w:rPr>
      <w:vertAlign w:val="superscript"/>
    </w:rPr>
  </w:style>
  <w:style w:type="character" w:customStyle="1" w:styleId="reference-text">
    <w:name w:val="reference-text"/>
    <w:basedOn w:val="DefaultParagraphFont"/>
    <w:rsid w:val="001F41C8"/>
  </w:style>
  <w:style w:type="character" w:styleId="Hyperlink">
    <w:name w:val="Hyperlink"/>
    <w:basedOn w:val="DefaultParagraphFont"/>
    <w:uiPriority w:val="99"/>
    <w:unhideWhenUsed/>
    <w:rsid w:val="001F41C8"/>
    <w:rPr>
      <w:color w:val="0000FF"/>
      <w:u w:val="single"/>
    </w:rPr>
  </w:style>
  <w:style w:type="paragraph" w:styleId="NormalWeb">
    <w:name w:val="Normal (Web)"/>
    <w:basedOn w:val="Normal"/>
    <w:uiPriority w:val="99"/>
    <w:semiHidden/>
    <w:unhideWhenUsed/>
    <w:rsid w:val="004221C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4221C3"/>
    <w:rPr>
      <w:rFonts w:ascii="Times New Roman" w:eastAsia="Times New Roman" w:hAnsi="Times New Roman" w:cs="Times New Roman"/>
      <w:b/>
      <w:bCs/>
      <w:sz w:val="27"/>
      <w:szCs w:val="27"/>
      <w:lang w:eastAsia="en-GB"/>
    </w:rPr>
  </w:style>
  <w:style w:type="character" w:customStyle="1" w:styleId="mw-headline">
    <w:name w:val="mw-headline"/>
    <w:basedOn w:val="DefaultParagraphFont"/>
    <w:rsid w:val="004221C3"/>
  </w:style>
  <w:style w:type="character" w:customStyle="1" w:styleId="mw-editsection">
    <w:name w:val="mw-editsection"/>
    <w:basedOn w:val="DefaultParagraphFont"/>
    <w:rsid w:val="004221C3"/>
  </w:style>
  <w:style w:type="character" w:customStyle="1" w:styleId="mw-editsection-bracket">
    <w:name w:val="mw-editsection-bracket"/>
    <w:basedOn w:val="DefaultParagraphFont"/>
    <w:rsid w:val="004221C3"/>
  </w:style>
  <w:style w:type="paragraph" w:styleId="EndnoteText">
    <w:name w:val="endnote text"/>
    <w:basedOn w:val="Normal"/>
    <w:link w:val="EndnoteTextChar"/>
    <w:uiPriority w:val="99"/>
    <w:semiHidden/>
    <w:unhideWhenUsed/>
    <w:rsid w:val="00C3206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3206B"/>
    <w:rPr>
      <w:sz w:val="20"/>
      <w:szCs w:val="20"/>
    </w:rPr>
  </w:style>
  <w:style w:type="character" w:styleId="EndnoteReference">
    <w:name w:val="endnote reference"/>
    <w:basedOn w:val="DefaultParagraphFont"/>
    <w:uiPriority w:val="99"/>
    <w:semiHidden/>
    <w:unhideWhenUsed/>
    <w:rsid w:val="00C3206B"/>
    <w:rPr>
      <w:vertAlign w:val="superscript"/>
    </w:rPr>
  </w:style>
  <w:style w:type="character" w:customStyle="1" w:styleId="media-delimiter">
    <w:name w:val="media-delimiter"/>
    <w:basedOn w:val="DefaultParagraphFont"/>
    <w:rsid w:val="00F671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2125548">
      <w:bodyDiv w:val="1"/>
      <w:marLeft w:val="0"/>
      <w:marRight w:val="0"/>
      <w:marTop w:val="0"/>
      <w:marBottom w:val="0"/>
      <w:divBdr>
        <w:top w:val="none" w:sz="0" w:space="0" w:color="auto"/>
        <w:left w:val="none" w:sz="0" w:space="0" w:color="auto"/>
        <w:bottom w:val="none" w:sz="0" w:space="0" w:color="auto"/>
        <w:right w:val="none" w:sz="0" w:space="0" w:color="auto"/>
      </w:divBdr>
      <w:divsChild>
        <w:div w:id="1593463994">
          <w:marLeft w:val="0"/>
          <w:marRight w:val="336"/>
          <w:marTop w:val="120"/>
          <w:marBottom w:val="312"/>
          <w:divBdr>
            <w:top w:val="none" w:sz="0" w:space="0" w:color="auto"/>
            <w:left w:val="none" w:sz="0" w:space="0" w:color="auto"/>
            <w:bottom w:val="none" w:sz="0" w:space="0" w:color="auto"/>
            <w:right w:val="none" w:sz="0" w:space="0" w:color="auto"/>
          </w:divBdr>
          <w:divsChild>
            <w:div w:id="1344162226">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520440195">
      <w:bodyDiv w:val="1"/>
      <w:marLeft w:val="0"/>
      <w:marRight w:val="0"/>
      <w:marTop w:val="0"/>
      <w:marBottom w:val="0"/>
      <w:divBdr>
        <w:top w:val="none" w:sz="0" w:space="0" w:color="auto"/>
        <w:left w:val="none" w:sz="0" w:space="0" w:color="auto"/>
        <w:bottom w:val="none" w:sz="0" w:space="0" w:color="auto"/>
        <w:right w:val="none" w:sz="0" w:space="0" w:color="auto"/>
      </w:divBdr>
      <w:divsChild>
        <w:div w:id="1808234458">
          <w:marLeft w:val="0"/>
          <w:marRight w:val="336"/>
          <w:marTop w:val="120"/>
          <w:marBottom w:val="312"/>
          <w:divBdr>
            <w:top w:val="none" w:sz="0" w:space="0" w:color="auto"/>
            <w:left w:val="none" w:sz="0" w:space="0" w:color="auto"/>
            <w:bottom w:val="none" w:sz="0" w:space="0" w:color="auto"/>
            <w:right w:val="none" w:sz="0" w:space="0" w:color="auto"/>
          </w:divBdr>
          <w:divsChild>
            <w:div w:id="1773356627">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585773555">
      <w:bodyDiv w:val="1"/>
      <w:marLeft w:val="0"/>
      <w:marRight w:val="0"/>
      <w:marTop w:val="0"/>
      <w:marBottom w:val="0"/>
      <w:divBdr>
        <w:top w:val="none" w:sz="0" w:space="0" w:color="auto"/>
        <w:left w:val="none" w:sz="0" w:space="0" w:color="auto"/>
        <w:bottom w:val="none" w:sz="0" w:space="0" w:color="auto"/>
        <w:right w:val="none" w:sz="0" w:space="0" w:color="auto"/>
      </w:divBdr>
      <w:divsChild>
        <w:div w:id="85998584">
          <w:marLeft w:val="0"/>
          <w:marRight w:val="0"/>
          <w:marTop w:val="0"/>
          <w:marBottom w:val="0"/>
          <w:divBdr>
            <w:top w:val="none" w:sz="0" w:space="0" w:color="auto"/>
            <w:left w:val="none" w:sz="0" w:space="0" w:color="auto"/>
            <w:bottom w:val="none" w:sz="0" w:space="0" w:color="auto"/>
            <w:right w:val="none" w:sz="0" w:space="0" w:color="auto"/>
          </w:divBdr>
          <w:divsChild>
            <w:div w:id="1392577386">
              <w:marLeft w:val="0"/>
              <w:marRight w:val="0"/>
              <w:marTop w:val="0"/>
              <w:marBottom w:val="0"/>
              <w:divBdr>
                <w:top w:val="none" w:sz="0" w:space="0" w:color="auto"/>
                <w:left w:val="none" w:sz="0" w:space="0" w:color="auto"/>
                <w:bottom w:val="none" w:sz="0" w:space="0" w:color="auto"/>
                <w:right w:val="none" w:sz="0" w:space="0" w:color="auto"/>
              </w:divBdr>
            </w:div>
            <w:div w:id="2027755705">
              <w:marLeft w:val="0"/>
              <w:marRight w:val="0"/>
              <w:marTop w:val="0"/>
              <w:marBottom w:val="0"/>
              <w:divBdr>
                <w:top w:val="none" w:sz="0" w:space="0" w:color="auto"/>
                <w:left w:val="none" w:sz="0" w:space="0" w:color="auto"/>
                <w:bottom w:val="none" w:sz="0" w:space="0" w:color="auto"/>
                <w:right w:val="none" w:sz="0" w:space="0" w:color="auto"/>
              </w:divBdr>
            </w:div>
            <w:div w:id="8835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3686317">
      <w:bodyDiv w:val="1"/>
      <w:marLeft w:val="0"/>
      <w:marRight w:val="0"/>
      <w:marTop w:val="0"/>
      <w:marBottom w:val="0"/>
      <w:divBdr>
        <w:top w:val="none" w:sz="0" w:space="0" w:color="auto"/>
        <w:left w:val="none" w:sz="0" w:space="0" w:color="auto"/>
        <w:bottom w:val="none" w:sz="0" w:space="0" w:color="auto"/>
        <w:right w:val="none" w:sz="0" w:space="0" w:color="auto"/>
      </w:divBdr>
    </w:div>
    <w:div w:id="1437946677">
      <w:bodyDiv w:val="1"/>
      <w:marLeft w:val="0"/>
      <w:marRight w:val="0"/>
      <w:marTop w:val="0"/>
      <w:marBottom w:val="0"/>
      <w:divBdr>
        <w:top w:val="none" w:sz="0" w:space="0" w:color="auto"/>
        <w:left w:val="none" w:sz="0" w:space="0" w:color="auto"/>
        <w:bottom w:val="none" w:sz="0" w:space="0" w:color="auto"/>
        <w:right w:val="none" w:sz="0" w:space="0" w:color="auto"/>
      </w:divBdr>
    </w:div>
    <w:div w:id="1662003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E80B44-64D3-474E-9A03-88A01CFFDA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TotalTime>
  <Pages>5</Pages>
  <Words>2056</Words>
  <Characters>11722</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Tamara Bowie (1601293)</dc:creator>
  <cp:keywords/>
  <dc:description/>
  <cp:lastModifiedBy>Tamara Bowie (1601293)</cp:lastModifiedBy>
  <cp:revision>27</cp:revision>
  <dcterms:created xsi:type="dcterms:W3CDTF">2019-04-12T09:52:00Z</dcterms:created>
  <dcterms:modified xsi:type="dcterms:W3CDTF">2019-04-12T13:56:00Z</dcterms:modified>
</cp:coreProperties>
</file>