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354CF7" w14:textId="77777777" w:rsidR="0032149D" w:rsidRDefault="004B48BB">
      <w:r>
        <w:t>Section 1</w:t>
      </w:r>
    </w:p>
    <w:p w14:paraId="32D68D0D" w14:textId="77777777" w:rsidR="004B48BB" w:rsidRDefault="004B48BB">
      <w:r>
        <w:t>Question 1.</w:t>
      </w:r>
      <w:r w:rsidR="00814DE5">
        <w:t>1</w:t>
      </w:r>
    </w:p>
    <w:p w14:paraId="6BEE0615" w14:textId="77777777" w:rsidR="004B48BB" w:rsidRDefault="004B48BB"/>
    <w:p w14:paraId="256C5615" w14:textId="77777777" w:rsidR="001D4DD4" w:rsidRDefault="007A5CD5" w:rsidP="00A234E8">
      <w:pPr>
        <w:jc w:val="both"/>
      </w:pPr>
      <w:r>
        <w:t>Organisational strategy can be defined as identifying the means in which it seeks to p</w:t>
      </w:r>
      <w:r w:rsidR="00A234E8">
        <w:t>u</w:t>
      </w:r>
      <w:r>
        <w:t xml:space="preserve">rsue its purpose and achieved its objectives. A resource based view is identifying the key resources required to give the organisation a distinct capability and finding ways to approach these capabilities to the business market </w:t>
      </w:r>
      <w:sdt>
        <w:sdtPr>
          <w:id w:val="1646936164"/>
          <w:citation/>
        </w:sdtPr>
        <w:sdtContent>
          <w:r>
            <w:fldChar w:fldCharType="begin"/>
          </w:r>
          <w:r>
            <w:instrText xml:space="preserve"> CITATION Ree16 \l 2057 </w:instrText>
          </w:r>
          <w:r>
            <w:fldChar w:fldCharType="separate"/>
          </w:r>
          <w:r w:rsidRPr="007A5CD5">
            <w:rPr>
              <w:noProof/>
            </w:rPr>
            <w:t>(Rees &amp; French, 2016)</w:t>
          </w:r>
          <w:r>
            <w:fldChar w:fldCharType="end"/>
          </w:r>
        </w:sdtContent>
      </w:sdt>
      <w:r w:rsidR="001D4DD4">
        <w:t>;</w:t>
      </w:r>
      <w:sdt>
        <w:sdtPr>
          <w:id w:val="-1609728645"/>
          <w:citation/>
        </w:sdtPr>
        <w:sdtContent>
          <w:r>
            <w:fldChar w:fldCharType="begin"/>
          </w:r>
          <w:r>
            <w:instrText xml:space="preserve"> CITATION Joh11 \l 2057 </w:instrText>
          </w:r>
          <w:r>
            <w:fldChar w:fldCharType="separate"/>
          </w:r>
          <w:r>
            <w:rPr>
              <w:noProof/>
            </w:rPr>
            <w:t xml:space="preserve"> </w:t>
          </w:r>
          <w:r w:rsidRPr="007A5CD5">
            <w:rPr>
              <w:noProof/>
            </w:rPr>
            <w:t>(Johnson, et al., 2011)</w:t>
          </w:r>
          <w:r>
            <w:fldChar w:fldCharType="end"/>
          </w:r>
        </w:sdtContent>
      </w:sdt>
      <w:r>
        <w:t>. In order to have a successful organisational strategy leaders must understand its organisational culture. Organisational culture is immense and heavily contested and is the basic beliefs and assumptions</w:t>
      </w:r>
      <w:r w:rsidR="001D4DD4">
        <w:t xml:space="preserve"> shared amongst the workforce. It has been stated that organisational culture can be covert and unconscious </w:t>
      </w:r>
      <w:sdt>
        <w:sdtPr>
          <w:id w:val="-293138723"/>
          <w:citation/>
        </w:sdtPr>
        <w:sdtContent>
          <w:r w:rsidR="001D4DD4">
            <w:fldChar w:fldCharType="begin"/>
          </w:r>
          <w:r w:rsidR="001D4DD4">
            <w:instrText xml:space="preserve"> CITATION Far151 \l 2057 </w:instrText>
          </w:r>
          <w:r w:rsidR="001D4DD4">
            <w:fldChar w:fldCharType="separate"/>
          </w:r>
          <w:r w:rsidR="001D4DD4" w:rsidRPr="001D4DD4">
            <w:rPr>
              <w:noProof/>
            </w:rPr>
            <w:t>(Farnham, 2015)</w:t>
          </w:r>
          <w:r w:rsidR="001D4DD4">
            <w:fldChar w:fldCharType="end"/>
          </w:r>
        </w:sdtContent>
      </w:sdt>
      <w:r w:rsidR="001D4DD4">
        <w:t xml:space="preserve">. </w:t>
      </w:r>
    </w:p>
    <w:p w14:paraId="482F203F" w14:textId="77777777" w:rsidR="001D4DD4" w:rsidRDefault="001D4DD4" w:rsidP="00A234E8">
      <w:pPr>
        <w:jc w:val="both"/>
      </w:pPr>
    </w:p>
    <w:p w14:paraId="52F4E8B4" w14:textId="77777777" w:rsidR="001D4DD4" w:rsidRDefault="001D4DD4" w:rsidP="00A234E8">
      <w:pPr>
        <w:jc w:val="both"/>
      </w:pPr>
      <w:r>
        <w:t xml:space="preserve">Organisational culture can also be differentiated into three levels: the organisations physical surroundings; the organisations values can include mission statements and its commitment to diversity and its customers. The final level underpins the culture and is the most influential as it shapes the decision </w:t>
      </w:r>
      <w:r w:rsidR="003F775A">
        <w:t>-</w:t>
      </w:r>
      <w:r>
        <w:t>making process</w:t>
      </w:r>
      <w:r w:rsidRPr="001D4DD4">
        <w:t xml:space="preserve"> </w:t>
      </w:r>
      <w:sdt>
        <w:sdtPr>
          <w:id w:val="-1617208589"/>
          <w:citation/>
        </w:sdtPr>
        <w:sdtContent>
          <w:r>
            <w:fldChar w:fldCharType="begin"/>
          </w:r>
          <w:r>
            <w:instrText xml:space="preserve"> CITATION Sch97 \l 2057 </w:instrText>
          </w:r>
          <w:r>
            <w:fldChar w:fldCharType="separate"/>
          </w:r>
          <w:r w:rsidRPr="001D4DD4">
            <w:rPr>
              <w:noProof/>
            </w:rPr>
            <w:t>(Schein, 1997)</w:t>
          </w:r>
          <w:r>
            <w:fldChar w:fldCharType="end"/>
          </w:r>
        </w:sdtContent>
      </w:sdt>
      <w:r w:rsidR="00A234E8">
        <w:t>.</w:t>
      </w:r>
    </w:p>
    <w:p w14:paraId="189016BD" w14:textId="77777777" w:rsidR="00A234E8" w:rsidRDefault="00A234E8" w:rsidP="00A234E8">
      <w:pPr>
        <w:jc w:val="both"/>
      </w:pPr>
    </w:p>
    <w:p w14:paraId="6AC4FFDD" w14:textId="156165C7" w:rsidR="00F8792A" w:rsidRDefault="00F8792A" w:rsidP="00A234E8">
      <w:pPr>
        <w:jc w:val="both"/>
      </w:pPr>
      <w:r>
        <w:t xml:space="preserve">In order for an organisation to have clear organisational strategy and a </w:t>
      </w:r>
      <w:r w:rsidR="00E720CA">
        <w:t>consistent</w:t>
      </w:r>
      <w:r>
        <w:t xml:space="preserve"> culture we must first understand the concept of leadership and styles and how various approaches can impact an organisation. Leadership has been defined as the process in which outcomes are achieved through the actions of others. An alternate view is that leadership is similar to having followers, as leaders cannot be leaders without followers</w:t>
      </w:r>
      <w:sdt>
        <w:sdtPr>
          <w:id w:val="33167698"/>
          <w:citation/>
        </w:sdtPr>
        <w:sdtContent>
          <w:r>
            <w:fldChar w:fldCharType="begin"/>
          </w:r>
          <w:r>
            <w:instrText xml:space="preserve"> CITATION Yuk12 \l 2057 </w:instrText>
          </w:r>
          <w:r>
            <w:fldChar w:fldCharType="separate"/>
          </w:r>
          <w:r>
            <w:rPr>
              <w:noProof/>
            </w:rPr>
            <w:t xml:space="preserve"> </w:t>
          </w:r>
          <w:r w:rsidRPr="00F8792A">
            <w:rPr>
              <w:noProof/>
            </w:rPr>
            <w:t>(Yukl, 2012)</w:t>
          </w:r>
          <w:r>
            <w:fldChar w:fldCharType="end"/>
          </w:r>
        </w:sdtContent>
      </w:sdt>
      <w:r>
        <w:t xml:space="preserve">; </w:t>
      </w:r>
      <w:sdt>
        <w:sdtPr>
          <w:id w:val="756946762"/>
          <w:citation/>
        </w:sdtPr>
        <w:sdtContent>
          <w:r>
            <w:fldChar w:fldCharType="begin"/>
          </w:r>
          <w:r>
            <w:instrText xml:space="preserve"> CITATION Gri10 \l 2057 </w:instrText>
          </w:r>
          <w:r>
            <w:fldChar w:fldCharType="separate"/>
          </w:r>
          <w:r w:rsidRPr="00F8792A">
            <w:rPr>
              <w:noProof/>
            </w:rPr>
            <w:t>(Grint, 2010)</w:t>
          </w:r>
          <w:r>
            <w:fldChar w:fldCharType="end"/>
          </w:r>
        </w:sdtContent>
      </w:sdt>
      <w:r>
        <w:t xml:space="preserve">. </w:t>
      </w:r>
      <w:r w:rsidR="00E33875">
        <w:t>However, t</w:t>
      </w:r>
      <w:r>
        <w:t>here are criticisms of the traditional approach to leadership with academics believing that the leader and follower role can be interchangeable at any time</w:t>
      </w:r>
      <w:sdt>
        <w:sdtPr>
          <w:id w:val="612643039"/>
          <w:citation/>
        </w:sdtPr>
        <w:sdtContent>
          <w:r w:rsidR="00E33875">
            <w:fldChar w:fldCharType="begin"/>
          </w:r>
          <w:r w:rsidR="00E33875">
            <w:instrText xml:space="preserve"> CITATION Jac11 \l 2057 </w:instrText>
          </w:r>
          <w:r w:rsidR="00E33875">
            <w:fldChar w:fldCharType="separate"/>
          </w:r>
          <w:r w:rsidR="00E33875">
            <w:rPr>
              <w:noProof/>
            </w:rPr>
            <w:t xml:space="preserve"> </w:t>
          </w:r>
          <w:r w:rsidR="00E33875" w:rsidRPr="00E33875">
            <w:rPr>
              <w:noProof/>
            </w:rPr>
            <w:t>(Jackson &amp; Perry, 2011)</w:t>
          </w:r>
          <w:r w:rsidR="00E33875">
            <w:fldChar w:fldCharType="end"/>
          </w:r>
        </w:sdtContent>
      </w:sdt>
      <w:r w:rsidR="00E33875">
        <w:t xml:space="preserve">. </w:t>
      </w:r>
      <w:r w:rsidR="002E1A25">
        <w:t xml:space="preserve">The leadership styles approach </w:t>
      </w:r>
      <w:r w:rsidR="00654DF3">
        <w:t xml:space="preserve">model </w:t>
      </w:r>
      <w:r w:rsidR="002E1A25">
        <w:t xml:space="preserve">as described by </w:t>
      </w:r>
      <w:r w:rsidR="00E720CA">
        <w:t>Tannenbaum</w:t>
      </w:r>
      <w:r w:rsidR="002E1A25">
        <w:t xml:space="preserve"> and Schmidt</w:t>
      </w:r>
      <w:r w:rsidR="00654DF3">
        <w:t xml:space="preserve"> focusses on the strength and power of leaders and followers in terms of decision making which is imperative in aligning organisational strategy and culture. The model states that an autocratic leader whereby the leader largely solves problems, or a democratic leader which involves team members in the decision-making process, needs to recognise and understand the relationship between its leaders and followers. Consideration must also be taken to ensure that organisational and societal factors are included in the decision</w:t>
      </w:r>
      <w:r w:rsidR="003F775A">
        <w:t>-</w:t>
      </w:r>
      <w:r w:rsidR="00654DF3">
        <w:t xml:space="preserve"> making process</w:t>
      </w:r>
      <w:r w:rsidR="00274711">
        <w:t xml:space="preserve"> which will impact the organisations culture</w:t>
      </w:r>
      <w:r w:rsidR="00654DF3">
        <w:t xml:space="preserve"> </w:t>
      </w:r>
      <w:sdt>
        <w:sdtPr>
          <w:id w:val="1142238818"/>
          <w:citation/>
        </w:sdtPr>
        <w:sdtContent>
          <w:r w:rsidR="00654DF3">
            <w:fldChar w:fldCharType="begin"/>
          </w:r>
          <w:r w:rsidR="00654DF3">
            <w:instrText xml:space="preserve"> CITATION Tan73 \l 2057 </w:instrText>
          </w:r>
          <w:r w:rsidR="00654DF3">
            <w:fldChar w:fldCharType="separate"/>
          </w:r>
          <w:r w:rsidR="00654DF3" w:rsidRPr="00654DF3">
            <w:rPr>
              <w:noProof/>
            </w:rPr>
            <w:t>(Tannenbaum &amp; Schmidt, 1973)</w:t>
          </w:r>
          <w:r w:rsidR="00654DF3">
            <w:fldChar w:fldCharType="end"/>
          </w:r>
        </w:sdtContent>
      </w:sdt>
      <w:r w:rsidR="00654DF3">
        <w:t xml:space="preserve">.  </w:t>
      </w:r>
    </w:p>
    <w:p w14:paraId="2298ABC3" w14:textId="77777777" w:rsidR="00274711" w:rsidRDefault="009A187D" w:rsidP="00A234E8">
      <w:pPr>
        <w:jc w:val="both"/>
      </w:pPr>
      <w:r>
        <w:t>Leadership is imperative to organisations as it directly impacts employee engage</w:t>
      </w:r>
      <w:r w:rsidR="001F481B">
        <w:t>ment</w:t>
      </w:r>
      <w:r>
        <w:t xml:space="preserve">. Clear and good leadership creates an engaged workforce leading to high profitability, whereas poor leadership leads to a demoralised workforce </w:t>
      </w:r>
      <w:sdt>
        <w:sdtPr>
          <w:id w:val="1759165163"/>
          <w:citation/>
        </w:sdtPr>
        <w:sdtContent>
          <w:r>
            <w:fldChar w:fldCharType="begin"/>
          </w:r>
          <w:r>
            <w:instrText xml:space="preserve"> CITATION Hog12 \l 2057 </w:instrText>
          </w:r>
          <w:r>
            <w:fldChar w:fldCharType="separate"/>
          </w:r>
          <w:r w:rsidRPr="009A187D">
            <w:rPr>
              <w:noProof/>
            </w:rPr>
            <w:t>(Hogan , 2012)</w:t>
          </w:r>
          <w:r>
            <w:fldChar w:fldCharType="end"/>
          </w:r>
        </w:sdtContent>
      </w:sdt>
      <w:r w:rsidR="002E1A25">
        <w:t xml:space="preserve">. Good leaders are perceived to understand what they are talking about and can clearly explain to their workforce the significance of their mission and how it fits into the overall organisational objectives </w:t>
      </w:r>
      <w:sdt>
        <w:sdtPr>
          <w:id w:val="-2042664580"/>
          <w:citation/>
        </w:sdtPr>
        <w:sdtContent>
          <w:r w:rsidR="002E1A25">
            <w:fldChar w:fldCharType="begin"/>
          </w:r>
          <w:r w:rsidR="002E1A25">
            <w:instrText xml:space="preserve"> CITATION Hog12 \l 2057 </w:instrText>
          </w:r>
          <w:r w:rsidR="002E1A25">
            <w:fldChar w:fldCharType="separate"/>
          </w:r>
          <w:r w:rsidR="002E1A25" w:rsidRPr="002E1A25">
            <w:rPr>
              <w:noProof/>
            </w:rPr>
            <w:t>(Hogan , 2012)</w:t>
          </w:r>
          <w:r w:rsidR="002E1A25">
            <w:fldChar w:fldCharType="end"/>
          </w:r>
        </w:sdtContent>
      </w:sdt>
      <w:r w:rsidR="002E1A25">
        <w:t xml:space="preserve">. </w:t>
      </w:r>
    </w:p>
    <w:p w14:paraId="56020FA9" w14:textId="666E6345" w:rsidR="003F775A" w:rsidRDefault="00274711" w:rsidP="003F775A">
      <w:pPr>
        <w:pStyle w:val="NormalWeb"/>
        <w:jc w:val="both"/>
        <w:rPr>
          <w:rFonts w:asciiTheme="minorHAnsi" w:hAnsiTheme="minorHAnsi" w:cstheme="minorHAnsi"/>
          <w:color w:val="000000" w:themeColor="text1"/>
        </w:rPr>
      </w:pPr>
      <w:r w:rsidRPr="003F775A">
        <w:rPr>
          <w:rFonts w:asciiTheme="minorHAnsi" w:hAnsiTheme="minorHAnsi" w:cstheme="minorHAnsi"/>
          <w:color w:val="000000" w:themeColor="text1"/>
        </w:rPr>
        <w:t xml:space="preserve">Leaders of an organisation must have </w:t>
      </w:r>
      <w:r w:rsidR="003F775A" w:rsidRPr="003F775A">
        <w:rPr>
          <w:rFonts w:asciiTheme="minorHAnsi" w:hAnsiTheme="minorHAnsi" w:cstheme="minorHAnsi"/>
          <w:color w:val="000000" w:themeColor="text1"/>
        </w:rPr>
        <w:t>policies in place to ensure an inclusive culture. An organisational learning culture encourages learning</w:t>
      </w:r>
      <w:r w:rsidR="00E553F1">
        <w:rPr>
          <w:rFonts w:asciiTheme="minorHAnsi" w:hAnsiTheme="minorHAnsi" w:cstheme="minorHAnsi"/>
          <w:color w:val="000000" w:themeColor="text1"/>
        </w:rPr>
        <w:t xml:space="preserve"> in a variety of formats. This can be</w:t>
      </w:r>
      <w:r w:rsidR="003F775A" w:rsidRPr="003F775A">
        <w:rPr>
          <w:rFonts w:asciiTheme="minorHAnsi" w:hAnsiTheme="minorHAnsi" w:cstheme="minorHAnsi"/>
          <w:color w:val="000000" w:themeColor="text1"/>
        </w:rPr>
        <w:t xml:space="preserve"> at an individual level</w:t>
      </w:r>
      <w:r w:rsidR="00E553F1">
        <w:rPr>
          <w:rFonts w:asciiTheme="minorHAnsi" w:hAnsiTheme="minorHAnsi" w:cstheme="minorHAnsi"/>
          <w:color w:val="000000" w:themeColor="text1"/>
        </w:rPr>
        <w:t xml:space="preserve"> by </w:t>
      </w:r>
      <w:r w:rsidR="003F775A" w:rsidRPr="003F775A">
        <w:rPr>
          <w:rFonts w:asciiTheme="minorHAnsi" w:hAnsiTheme="minorHAnsi" w:cstheme="minorHAnsi"/>
          <w:color w:val="000000" w:themeColor="text1"/>
        </w:rPr>
        <w:t xml:space="preserve">continuous learning and open dialogue and enquiry; at a team or group level, through collaboration; and </w:t>
      </w:r>
      <w:bookmarkStart w:id="0" w:name="_GoBack"/>
      <w:bookmarkEnd w:id="0"/>
      <w:r w:rsidR="003F775A" w:rsidRPr="003F775A">
        <w:rPr>
          <w:rFonts w:asciiTheme="minorHAnsi" w:hAnsiTheme="minorHAnsi" w:cstheme="minorHAnsi"/>
          <w:color w:val="000000" w:themeColor="text1"/>
        </w:rPr>
        <w:t>organisational level, through systems, empowerment and leadership</w:t>
      </w:r>
      <w:sdt>
        <w:sdtPr>
          <w:rPr>
            <w:rFonts w:asciiTheme="minorHAnsi" w:hAnsiTheme="minorHAnsi" w:cstheme="minorHAnsi"/>
            <w:color w:val="000000" w:themeColor="text1"/>
          </w:rPr>
          <w:id w:val="-1487005399"/>
          <w:citation/>
        </w:sdtPr>
        <w:sdtContent>
          <w:r w:rsidR="003F775A" w:rsidRPr="003F775A">
            <w:rPr>
              <w:rFonts w:asciiTheme="minorHAnsi" w:hAnsiTheme="minorHAnsi" w:cstheme="minorHAnsi"/>
              <w:color w:val="000000" w:themeColor="text1"/>
            </w:rPr>
            <w:fldChar w:fldCharType="begin"/>
          </w:r>
          <w:r w:rsidR="003F775A" w:rsidRPr="003F775A">
            <w:rPr>
              <w:rFonts w:asciiTheme="minorHAnsi" w:hAnsiTheme="minorHAnsi" w:cstheme="minorHAnsi"/>
              <w:color w:val="000000" w:themeColor="text1"/>
            </w:rPr>
            <w:instrText xml:space="preserve"> CITATION Wat93 \l 2057 </w:instrText>
          </w:r>
          <w:r w:rsidR="003F775A" w:rsidRPr="003F775A">
            <w:rPr>
              <w:rFonts w:asciiTheme="minorHAnsi" w:hAnsiTheme="minorHAnsi" w:cstheme="minorHAnsi"/>
              <w:color w:val="000000" w:themeColor="text1"/>
            </w:rPr>
            <w:fldChar w:fldCharType="separate"/>
          </w:r>
          <w:r w:rsidR="003F775A" w:rsidRPr="003F775A">
            <w:rPr>
              <w:rFonts w:asciiTheme="minorHAnsi" w:hAnsiTheme="minorHAnsi" w:cstheme="minorHAnsi"/>
              <w:noProof/>
              <w:color w:val="000000" w:themeColor="text1"/>
            </w:rPr>
            <w:t xml:space="preserve"> (Watkins &amp; Marsick, 1993)</w:t>
          </w:r>
          <w:r w:rsidR="003F775A" w:rsidRPr="003F775A">
            <w:rPr>
              <w:rFonts w:asciiTheme="minorHAnsi" w:hAnsiTheme="minorHAnsi" w:cstheme="minorHAnsi"/>
              <w:color w:val="000000" w:themeColor="text1"/>
            </w:rPr>
            <w:fldChar w:fldCharType="end"/>
          </w:r>
        </w:sdtContent>
      </w:sdt>
      <w:r w:rsidR="003F775A" w:rsidRPr="003F775A">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150899545"/>
          <w:citation/>
        </w:sdtPr>
        <w:sdtContent>
          <w:r w:rsidR="003F775A" w:rsidRPr="003F775A">
            <w:rPr>
              <w:rFonts w:asciiTheme="minorHAnsi" w:hAnsiTheme="minorHAnsi" w:cstheme="minorHAnsi"/>
              <w:color w:val="000000" w:themeColor="text1"/>
            </w:rPr>
            <w:fldChar w:fldCharType="begin"/>
          </w:r>
          <w:r w:rsidR="003F775A" w:rsidRPr="003F775A">
            <w:rPr>
              <w:rFonts w:asciiTheme="minorHAnsi" w:hAnsiTheme="minorHAnsi" w:cstheme="minorHAnsi"/>
              <w:color w:val="000000" w:themeColor="text1"/>
            </w:rPr>
            <w:instrText xml:space="preserve"> CITATION You19 \l 2057 </w:instrText>
          </w:r>
          <w:r w:rsidR="003F775A" w:rsidRPr="003F775A">
            <w:rPr>
              <w:rFonts w:asciiTheme="minorHAnsi" w:hAnsiTheme="minorHAnsi" w:cstheme="minorHAnsi"/>
              <w:color w:val="000000" w:themeColor="text1"/>
            </w:rPr>
            <w:fldChar w:fldCharType="separate"/>
          </w:r>
          <w:r w:rsidR="003F775A" w:rsidRPr="003F775A">
            <w:rPr>
              <w:rFonts w:asciiTheme="minorHAnsi" w:hAnsiTheme="minorHAnsi" w:cstheme="minorHAnsi"/>
              <w:noProof/>
              <w:color w:val="000000" w:themeColor="text1"/>
            </w:rPr>
            <w:t>(Young, 2019)</w:t>
          </w:r>
          <w:r w:rsidR="003F775A" w:rsidRPr="003F775A">
            <w:rPr>
              <w:rFonts w:asciiTheme="minorHAnsi" w:hAnsiTheme="minorHAnsi" w:cstheme="minorHAnsi"/>
              <w:color w:val="000000" w:themeColor="text1"/>
            </w:rPr>
            <w:fldChar w:fldCharType="end"/>
          </w:r>
        </w:sdtContent>
      </w:sdt>
      <w:r w:rsidR="003F775A">
        <w:rPr>
          <w:rFonts w:asciiTheme="minorHAnsi" w:hAnsiTheme="minorHAnsi" w:cstheme="minorHAnsi"/>
          <w:color w:val="000000" w:themeColor="text1"/>
        </w:rPr>
        <w:t xml:space="preserve">. </w:t>
      </w:r>
    </w:p>
    <w:p w14:paraId="281FAC99" w14:textId="77777777" w:rsidR="003F775A" w:rsidRDefault="003F775A" w:rsidP="003F775A">
      <w:pPr>
        <w:pStyle w:val="NormalWeb"/>
        <w:jc w:val="both"/>
        <w:rPr>
          <w:rFonts w:asciiTheme="minorHAnsi" w:hAnsiTheme="minorHAnsi" w:cstheme="minorHAnsi"/>
          <w:color w:val="000000" w:themeColor="text1"/>
        </w:rPr>
      </w:pPr>
    </w:p>
    <w:p w14:paraId="622D3A21" w14:textId="77777777" w:rsidR="00782766" w:rsidRPr="00782766" w:rsidRDefault="003F775A" w:rsidP="00782766">
      <w:pPr>
        <w:pStyle w:val="NormalWeb"/>
        <w:jc w:val="both"/>
        <w:rPr>
          <w:rFonts w:asciiTheme="minorHAnsi" w:hAnsiTheme="minorHAnsi" w:cstheme="minorHAnsi"/>
          <w:color w:val="000000" w:themeColor="text1"/>
        </w:rPr>
      </w:pPr>
      <w:r>
        <w:rPr>
          <w:rFonts w:asciiTheme="minorHAnsi" w:hAnsiTheme="minorHAnsi" w:cstheme="minorHAnsi"/>
          <w:color w:val="000000" w:themeColor="text1"/>
        </w:rPr>
        <w:lastRenderedPageBreak/>
        <w:t>As the statement states “culture eats strategy for breakfast”</w:t>
      </w:r>
      <w:r w:rsidR="00782766" w:rsidRPr="00782766">
        <w:rPr>
          <w:rFonts w:asciiTheme="minorHAnsi" w:hAnsiTheme="minorHAnsi" w:cstheme="minorHAnsi"/>
          <w:color w:val="000000" w:themeColor="text1"/>
        </w:rPr>
        <w:t xml:space="preserve"> </w:t>
      </w:r>
      <w:r w:rsidR="00782766">
        <w:rPr>
          <w:rFonts w:asciiTheme="minorHAnsi" w:hAnsiTheme="minorHAnsi" w:cstheme="minorHAnsi"/>
          <w:color w:val="000000" w:themeColor="text1"/>
        </w:rPr>
        <w:t>t</w:t>
      </w:r>
      <w:r w:rsidR="00782766" w:rsidRPr="00782766">
        <w:rPr>
          <w:rFonts w:asciiTheme="minorHAnsi" w:hAnsiTheme="minorHAnsi" w:cstheme="minorHAnsi"/>
          <w:color w:val="000000" w:themeColor="text1"/>
        </w:rPr>
        <w:t>he intangible nature of organisational culture, an</w:t>
      </w:r>
      <w:r w:rsidR="00782766">
        <w:rPr>
          <w:rFonts w:asciiTheme="minorHAnsi" w:hAnsiTheme="minorHAnsi" w:cstheme="minorHAnsi"/>
          <w:color w:val="000000" w:themeColor="text1"/>
        </w:rPr>
        <w:t>d</w:t>
      </w:r>
      <w:r w:rsidR="00782766" w:rsidRPr="00782766">
        <w:rPr>
          <w:rFonts w:asciiTheme="minorHAnsi" w:hAnsiTheme="minorHAnsi" w:cstheme="minorHAnsi"/>
          <w:color w:val="000000" w:themeColor="text1"/>
        </w:rPr>
        <w:t xml:space="preserve"> the lack of understanding how its employees feel about it, must allow leaders to have a deeper understanding of its cultural perceptions and its impact on overall strategy. Organisational leaders must understand that having a positive organisational culture with employee inclusion and clear leadership who can influence and inspire positive change from all will ultimately remove a key barrier thus creating a culture of open-mindedness and innovative thinking in order to achieve organisational strategy</w:t>
      </w:r>
      <w:r w:rsidR="00782766">
        <w:rPr>
          <w:rFonts w:asciiTheme="minorHAnsi" w:hAnsiTheme="minorHAnsi" w:cstheme="minorHAnsi"/>
          <w:color w:val="000000" w:themeColor="text1"/>
        </w:rPr>
        <w:t xml:space="preserve"> </w:t>
      </w:r>
      <w:sdt>
        <w:sdtPr>
          <w:rPr>
            <w:rFonts w:asciiTheme="minorHAnsi" w:hAnsiTheme="minorHAnsi" w:cstheme="minorHAnsi"/>
            <w:color w:val="000000" w:themeColor="text1"/>
          </w:rPr>
          <w:id w:val="1603373108"/>
          <w:citation/>
        </w:sdtPr>
        <w:sdtContent>
          <w:r w:rsidR="00782766">
            <w:rPr>
              <w:rFonts w:asciiTheme="minorHAnsi" w:hAnsiTheme="minorHAnsi" w:cstheme="minorHAnsi"/>
              <w:color w:val="000000" w:themeColor="text1"/>
            </w:rPr>
            <w:fldChar w:fldCharType="begin"/>
          </w:r>
          <w:r w:rsidR="00782766">
            <w:rPr>
              <w:rFonts w:asciiTheme="minorHAnsi" w:hAnsiTheme="minorHAnsi" w:cstheme="minorHAnsi"/>
              <w:color w:val="000000" w:themeColor="text1"/>
            </w:rPr>
            <w:instrText xml:space="preserve"> CITATION You19 \l 2057 </w:instrText>
          </w:r>
          <w:r w:rsidR="00782766">
            <w:rPr>
              <w:rFonts w:asciiTheme="minorHAnsi" w:hAnsiTheme="minorHAnsi" w:cstheme="minorHAnsi"/>
              <w:color w:val="000000" w:themeColor="text1"/>
            </w:rPr>
            <w:fldChar w:fldCharType="separate"/>
          </w:r>
          <w:r w:rsidR="00782766">
            <w:rPr>
              <w:rFonts w:asciiTheme="minorHAnsi" w:hAnsiTheme="minorHAnsi" w:cstheme="minorHAnsi"/>
              <w:noProof/>
              <w:color w:val="000000" w:themeColor="text1"/>
            </w:rPr>
            <w:t xml:space="preserve"> </w:t>
          </w:r>
          <w:r w:rsidR="00782766" w:rsidRPr="00782766">
            <w:rPr>
              <w:rFonts w:asciiTheme="minorHAnsi" w:hAnsiTheme="minorHAnsi" w:cstheme="minorHAnsi"/>
              <w:noProof/>
              <w:color w:val="000000" w:themeColor="text1"/>
            </w:rPr>
            <w:t>(Young, 2019)</w:t>
          </w:r>
          <w:r w:rsidR="00782766">
            <w:rPr>
              <w:rFonts w:asciiTheme="minorHAnsi" w:hAnsiTheme="minorHAnsi" w:cstheme="minorHAnsi"/>
              <w:color w:val="000000" w:themeColor="text1"/>
            </w:rPr>
            <w:fldChar w:fldCharType="end"/>
          </w:r>
        </w:sdtContent>
      </w:sdt>
      <w:r w:rsidR="00782766">
        <w:rPr>
          <w:rFonts w:asciiTheme="minorHAnsi" w:hAnsiTheme="minorHAnsi" w:cstheme="minorHAnsi"/>
          <w:color w:val="000000" w:themeColor="text1"/>
        </w:rPr>
        <w:t>.</w:t>
      </w:r>
      <w:r w:rsidR="00782766" w:rsidRPr="00782766">
        <w:rPr>
          <w:rFonts w:asciiTheme="minorHAnsi" w:hAnsiTheme="minorHAnsi" w:cstheme="minorHAnsi"/>
          <w:color w:val="000000" w:themeColor="text1"/>
        </w:rPr>
        <w:t xml:space="preserve">  </w:t>
      </w:r>
    </w:p>
    <w:p w14:paraId="7C1BE7F0" w14:textId="77777777" w:rsidR="003F775A" w:rsidRDefault="003F775A" w:rsidP="003F775A">
      <w:pPr>
        <w:pStyle w:val="NormalWeb"/>
        <w:jc w:val="both"/>
        <w:rPr>
          <w:rFonts w:asciiTheme="minorHAnsi" w:hAnsiTheme="minorHAnsi" w:cstheme="minorHAnsi"/>
          <w:color w:val="000000" w:themeColor="text1"/>
        </w:rPr>
      </w:pPr>
    </w:p>
    <w:p w14:paraId="559DEE3A" w14:textId="77777777" w:rsidR="00274711" w:rsidRDefault="00274711" w:rsidP="003F775A">
      <w:pPr>
        <w:jc w:val="both"/>
      </w:pPr>
    </w:p>
    <w:p w14:paraId="26C913A5" w14:textId="77777777" w:rsidR="001D4DD4" w:rsidRDefault="002E1A25" w:rsidP="00A234E8">
      <w:pPr>
        <w:jc w:val="both"/>
      </w:pPr>
      <w:r>
        <w:t xml:space="preserve"> </w:t>
      </w:r>
      <w:r w:rsidR="00097498">
        <w:t xml:space="preserve">Question </w:t>
      </w:r>
      <w:r w:rsidR="00814DE5">
        <w:t>1.</w:t>
      </w:r>
      <w:r w:rsidR="00097498">
        <w:t>2</w:t>
      </w:r>
    </w:p>
    <w:p w14:paraId="0B035BFD" w14:textId="77777777" w:rsidR="00F5079F" w:rsidRDefault="00F5079F" w:rsidP="00A234E8">
      <w:pPr>
        <w:jc w:val="both"/>
      </w:pPr>
    </w:p>
    <w:p w14:paraId="1AECB17C" w14:textId="553BB70C" w:rsidR="00F5079F" w:rsidRDefault="00F5079F" w:rsidP="00F5079F">
      <w:pPr>
        <w:jc w:val="both"/>
      </w:pPr>
      <w:r>
        <w:t xml:space="preserve">Many organisations are becoming conscious that ethical practices and corporate social </w:t>
      </w:r>
      <w:r w:rsidR="00E720CA">
        <w:t>responsibility</w:t>
      </w:r>
      <w:r>
        <w:t xml:space="preserve"> yields greater employee commitment, motivation and company brand. Unethical behaviour poses high risks to organisations including compliance findings and reputational damage </w:t>
      </w:r>
      <w:sdt>
        <w:sdtPr>
          <w:id w:val="283231616"/>
          <w:citation/>
        </w:sdtPr>
        <w:sdtContent>
          <w:r>
            <w:fldChar w:fldCharType="begin"/>
          </w:r>
          <w:r w:rsidR="009F2592">
            <w:instrText xml:space="preserve">CITATION CIP19 \l 2057 </w:instrText>
          </w:r>
          <w:r>
            <w:fldChar w:fldCharType="separate"/>
          </w:r>
          <w:r w:rsidR="009F2592" w:rsidRPr="009F2592">
            <w:rPr>
              <w:noProof/>
            </w:rPr>
            <w:t>(CIPD, 2019a)</w:t>
          </w:r>
          <w:r>
            <w:fldChar w:fldCharType="end"/>
          </w:r>
        </w:sdtContent>
      </w:sdt>
      <w:r>
        <w:t xml:space="preserve">. According to the Institute of Business Ethics employees are now insisting that organisations have an ethics programme and those who do have found that their employee have a better perception of the corporate culture </w:t>
      </w:r>
      <w:sdt>
        <w:sdtPr>
          <w:id w:val="871104325"/>
          <w:citation/>
        </w:sdtPr>
        <w:sdtContent>
          <w:r>
            <w:fldChar w:fldCharType="begin"/>
          </w:r>
          <w:r>
            <w:instrText xml:space="preserve"> CITATION Ins18 \l 2057 </w:instrText>
          </w:r>
          <w:r>
            <w:fldChar w:fldCharType="separate"/>
          </w:r>
          <w:r w:rsidRPr="00F5079F">
            <w:rPr>
              <w:noProof/>
            </w:rPr>
            <w:t>(Institute of Business Ethics, 2018)</w:t>
          </w:r>
          <w:r>
            <w:fldChar w:fldCharType="end"/>
          </w:r>
        </w:sdtContent>
      </w:sdt>
      <w:r>
        <w:t xml:space="preserve">. </w:t>
      </w:r>
    </w:p>
    <w:p w14:paraId="05619AD9" w14:textId="77777777" w:rsidR="00F5079F" w:rsidRDefault="00F5079F" w:rsidP="00A234E8">
      <w:pPr>
        <w:jc w:val="both"/>
      </w:pPr>
    </w:p>
    <w:p w14:paraId="0C7E1E2C" w14:textId="688D957C" w:rsidR="002F67E0" w:rsidRDefault="00B3302E" w:rsidP="00A234E8">
      <w:pPr>
        <w:jc w:val="both"/>
      </w:pPr>
      <w:r>
        <w:t>Due to the changing face of industries across the UK the focus has moved away from a</w:t>
      </w:r>
      <w:r w:rsidR="00C035C0">
        <w:t xml:space="preserve"> </w:t>
      </w:r>
      <w:r>
        <w:t>focus on manufacturing outputs</w:t>
      </w:r>
      <w:r w:rsidR="001D7781">
        <w:t xml:space="preserve"> to the human element of work interaction which brings job opportunities, as well as emotional and intellectual benefits. This trend is a far cry from Webers model of pure bureaucracy in which organisational and role design are controlled through a hierarchical structure, which contained many levels of authority. Clear rules were set and the decision</w:t>
      </w:r>
      <w:r w:rsidR="00C035C0">
        <w:t>-</w:t>
      </w:r>
      <w:r w:rsidR="001D7781">
        <w:t xml:space="preserve"> making process was made rationally in order to eliminate</w:t>
      </w:r>
      <w:r w:rsidR="00C035C0">
        <w:t xml:space="preserve"> emotional involvement </w:t>
      </w:r>
      <w:sdt>
        <w:sdtPr>
          <w:id w:val="1739044820"/>
          <w:citation/>
        </w:sdtPr>
        <w:sdtContent>
          <w:r w:rsidR="00C035C0">
            <w:fldChar w:fldCharType="begin"/>
          </w:r>
          <w:r w:rsidR="00C035C0">
            <w:instrText xml:space="preserve"> CITATION Ree16 \l 2057 </w:instrText>
          </w:r>
          <w:r w:rsidR="00C035C0">
            <w:fldChar w:fldCharType="separate"/>
          </w:r>
          <w:r w:rsidR="00C035C0" w:rsidRPr="00C035C0">
            <w:rPr>
              <w:noProof/>
            </w:rPr>
            <w:t>(Rees &amp; French, 2016)</w:t>
          </w:r>
          <w:r w:rsidR="00C035C0">
            <w:fldChar w:fldCharType="end"/>
          </w:r>
        </w:sdtContent>
      </w:sdt>
      <w:r w:rsidR="00C035C0">
        <w:t xml:space="preserve">. A criticism of the bureaucracy model is that employee initiative can be stifled and a lack of flexibility and adaptability </w:t>
      </w:r>
      <w:sdt>
        <w:sdtPr>
          <w:id w:val="-1274938054"/>
          <w:citation/>
        </w:sdtPr>
        <w:sdtContent>
          <w:r w:rsidR="00C035C0">
            <w:fldChar w:fldCharType="begin"/>
          </w:r>
          <w:r w:rsidR="00C035C0">
            <w:instrText xml:space="preserve"> CITATION Mul071 \l 2057 </w:instrText>
          </w:r>
          <w:r w:rsidR="00C035C0">
            <w:fldChar w:fldCharType="separate"/>
          </w:r>
          <w:r w:rsidR="00C035C0" w:rsidRPr="00C035C0">
            <w:rPr>
              <w:noProof/>
            </w:rPr>
            <w:t>(Mullins, 2007)</w:t>
          </w:r>
          <w:r w:rsidR="00C035C0">
            <w:fldChar w:fldCharType="end"/>
          </w:r>
        </w:sdtContent>
      </w:sdt>
      <w:r w:rsidR="00C035C0">
        <w:t xml:space="preserve">. Since the </w:t>
      </w:r>
      <w:r w:rsidR="001D1894">
        <w:t xml:space="preserve">1980’s and the reduction in trade union membership employee voice is the foundation of sustainable business performance increasing engagement and enabling effective decision making and is a driver for innovation </w:t>
      </w:r>
      <w:sdt>
        <w:sdtPr>
          <w:id w:val="1775129427"/>
          <w:citation/>
        </w:sdtPr>
        <w:sdtContent>
          <w:r w:rsidR="001D1894">
            <w:fldChar w:fldCharType="begin"/>
          </w:r>
          <w:r w:rsidR="001D1894">
            <w:instrText xml:space="preserve"> CITATION Alf10 \l 2057 </w:instrText>
          </w:r>
          <w:r w:rsidR="001D1894">
            <w:fldChar w:fldCharType="separate"/>
          </w:r>
          <w:r w:rsidR="001D1894" w:rsidRPr="001D1894">
            <w:rPr>
              <w:noProof/>
            </w:rPr>
            <w:t>(Alfes, et al., 2010)</w:t>
          </w:r>
          <w:r w:rsidR="001D1894">
            <w:fldChar w:fldCharType="end"/>
          </w:r>
        </w:sdtContent>
      </w:sdt>
      <w:r w:rsidR="001D1894">
        <w:t xml:space="preserve">.  The Taylor Review of Modern Practices identified that imbalance of power within the employment relationship and the importance of effective employee voice </w:t>
      </w:r>
      <w:sdt>
        <w:sdtPr>
          <w:id w:val="508957932"/>
          <w:citation/>
        </w:sdtPr>
        <w:sdtContent>
          <w:r w:rsidR="001D1894">
            <w:fldChar w:fldCharType="begin"/>
          </w:r>
          <w:r w:rsidR="0021651E">
            <w:instrText xml:space="preserve">CITATION CIP20 \l 2057 </w:instrText>
          </w:r>
          <w:r w:rsidR="001D1894">
            <w:fldChar w:fldCharType="separate"/>
          </w:r>
          <w:r w:rsidR="0021651E" w:rsidRPr="0021651E">
            <w:rPr>
              <w:noProof/>
            </w:rPr>
            <w:t>(CIPD, 2020a)</w:t>
          </w:r>
          <w:r w:rsidR="001D1894">
            <w:fldChar w:fldCharType="end"/>
          </w:r>
        </w:sdtContent>
      </w:sdt>
      <w:r w:rsidR="001D1894">
        <w:t xml:space="preserve">; </w:t>
      </w:r>
      <w:sdt>
        <w:sdtPr>
          <w:id w:val="1086807388"/>
          <w:citation/>
        </w:sdtPr>
        <w:sdtContent>
          <w:r w:rsidR="001D1894">
            <w:fldChar w:fldCharType="begin"/>
          </w:r>
          <w:r w:rsidR="001D1894">
            <w:instrText xml:space="preserve"> CITATION Tay17 \l 2057 </w:instrText>
          </w:r>
          <w:r w:rsidR="001D1894">
            <w:fldChar w:fldCharType="separate"/>
          </w:r>
          <w:r w:rsidR="001D1894" w:rsidRPr="001D1894">
            <w:rPr>
              <w:noProof/>
            </w:rPr>
            <w:t>(Taylor, 2017)</w:t>
          </w:r>
          <w:r w:rsidR="001D1894">
            <w:fldChar w:fldCharType="end"/>
          </w:r>
        </w:sdtContent>
      </w:sdt>
      <w:r w:rsidR="001D1894">
        <w:t xml:space="preserve">. </w:t>
      </w:r>
    </w:p>
    <w:p w14:paraId="5D583F52" w14:textId="77777777" w:rsidR="002F67E0" w:rsidRDefault="002F67E0" w:rsidP="00A234E8">
      <w:pPr>
        <w:jc w:val="both"/>
      </w:pPr>
    </w:p>
    <w:p w14:paraId="1D82159E" w14:textId="77777777" w:rsidR="00097498" w:rsidRDefault="001D1894" w:rsidP="00A234E8">
      <w:pPr>
        <w:jc w:val="both"/>
      </w:pPr>
      <w:r>
        <w:t xml:space="preserve">An example of employee voice and the impact on an organisation is Northamptonshire Healthcare NHS Foundation Trust </w:t>
      </w:r>
      <w:r w:rsidR="002F67E0">
        <w:t>(</w:t>
      </w:r>
      <w:r>
        <w:t>NHFT)</w:t>
      </w:r>
      <w:r w:rsidR="002F67E0">
        <w:t xml:space="preserve">. Following an audit conducted by the Care Quality Commission in which staff felt disempowered and unable to make decisions in the absence of their manager. The trust broke away from traditional management structures and instead adopted the distributed leaderships model which encourages a holistic view rather than individual contributions </w:t>
      </w:r>
      <w:sdt>
        <w:sdtPr>
          <w:id w:val="-1960632835"/>
          <w:citation/>
        </w:sdtPr>
        <w:sdtContent>
          <w:r w:rsidR="002F67E0">
            <w:fldChar w:fldCharType="begin"/>
          </w:r>
          <w:r w:rsidR="002F67E0">
            <w:instrText xml:space="preserve"> CITATION Bol11 \l 2057 </w:instrText>
          </w:r>
          <w:r w:rsidR="002F67E0">
            <w:fldChar w:fldCharType="separate"/>
          </w:r>
          <w:r w:rsidR="002F67E0" w:rsidRPr="002F67E0">
            <w:rPr>
              <w:noProof/>
            </w:rPr>
            <w:t>(Bolden, 2011)</w:t>
          </w:r>
          <w:r w:rsidR="002F67E0">
            <w:fldChar w:fldCharType="end"/>
          </w:r>
        </w:sdtContent>
      </w:sdt>
      <w:r w:rsidR="002F67E0">
        <w:t xml:space="preserve">. This model adopted by NHFT sits alongside its commitment to employee engagement which engages staff across departments to share and act on issues identified in employee surveys </w:t>
      </w:r>
      <w:sdt>
        <w:sdtPr>
          <w:id w:val="-363445869"/>
          <w:citation/>
        </w:sdtPr>
        <w:sdtContent>
          <w:r w:rsidR="002F67E0">
            <w:fldChar w:fldCharType="begin"/>
          </w:r>
          <w:r w:rsidR="002F67E0">
            <w:instrText xml:space="preserve"> CITATION Peo20 \l 2057 </w:instrText>
          </w:r>
          <w:r w:rsidR="002F67E0">
            <w:fldChar w:fldCharType="separate"/>
          </w:r>
          <w:r w:rsidR="002F67E0" w:rsidRPr="002F67E0">
            <w:rPr>
              <w:noProof/>
            </w:rPr>
            <w:t>(People Management, 2020)</w:t>
          </w:r>
          <w:r w:rsidR="002F67E0">
            <w:fldChar w:fldCharType="end"/>
          </w:r>
        </w:sdtContent>
      </w:sdt>
      <w:r w:rsidR="002F67E0">
        <w:t xml:space="preserve">. </w:t>
      </w:r>
    </w:p>
    <w:p w14:paraId="2284064C" w14:textId="77777777" w:rsidR="00C576E1" w:rsidRDefault="00C576E1" w:rsidP="00A234E8">
      <w:pPr>
        <w:jc w:val="both"/>
      </w:pPr>
    </w:p>
    <w:p w14:paraId="3DF2586B" w14:textId="77777777" w:rsidR="00C576E1" w:rsidRDefault="00C576E1" w:rsidP="00A234E8">
      <w:pPr>
        <w:jc w:val="both"/>
      </w:pPr>
    </w:p>
    <w:p w14:paraId="726EC0F0" w14:textId="77777777" w:rsidR="005D3D26" w:rsidRDefault="005D3D26" w:rsidP="00A234E8">
      <w:pPr>
        <w:jc w:val="both"/>
      </w:pPr>
    </w:p>
    <w:p w14:paraId="1DEC9959" w14:textId="014AAF2C" w:rsidR="005D3D26" w:rsidRDefault="005D3D26" w:rsidP="00A234E8">
      <w:pPr>
        <w:jc w:val="both"/>
      </w:pPr>
      <w:r>
        <w:lastRenderedPageBreak/>
        <w:t xml:space="preserve">Question </w:t>
      </w:r>
      <w:r w:rsidR="00814DE5">
        <w:t>1.</w:t>
      </w:r>
      <w:r>
        <w:t>3</w:t>
      </w:r>
    </w:p>
    <w:p w14:paraId="5535F2B3" w14:textId="77777777" w:rsidR="003F25A8" w:rsidRDefault="003F25A8" w:rsidP="00A234E8">
      <w:pPr>
        <w:jc w:val="both"/>
        <w:rPr>
          <w:u w:val="single"/>
        </w:rPr>
      </w:pPr>
    </w:p>
    <w:p w14:paraId="292ECA75" w14:textId="5AE9C4F6" w:rsidR="004F6186" w:rsidRPr="004F6186" w:rsidRDefault="004F6186" w:rsidP="00A234E8">
      <w:pPr>
        <w:jc w:val="both"/>
        <w:rPr>
          <w:u w:val="single"/>
        </w:rPr>
      </w:pPr>
      <w:r w:rsidRPr="004F6186">
        <w:rPr>
          <w:u w:val="single"/>
        </w:rPr>
        <w:t>Performance Management</w:t>
      </w:r>
    </w:p>
    <w:p w14:paraId="18C39D03" w14:textId="23F5C33E" w:rsidR="00F61C76" w:rsidRDefault="005D3D26" w:rsidP="00A234E8">
      <w:pPr>
        <w:jc w:val="both"/>
      </w:pPr>
      <w:r>
        <w:t xml:space="preserve">A key </w:t>
      </w:r>
      <w:r w:rsidR="00A65E65">
        <w:t xml:space="preserve">area </w:t>
      </w:r>
      <w:r>
        <w:t>of HRM which impacts organisational culture is performance management. Performance Management is the process which contributes to the effective management of individuals and teams in order to achieve the overall business objectives</w:t>
      </w:r>
      <w:r w:rsidR="00F823A1">
        <w:t xml:space="preserve"> </w:t>
      </w:r>
      <w:sdt>
        <w:sdtPr>
          <w:id w:val="973491956"/>
          <w:citation/>
        </w:sdtPr>
        <w:sdtContent>
          <w:r w:rsidR="00F823A1">
            <w:fldChar w:fldCharType="begin"/>
          </w:r>
          <w:r w:rsidR="00F823A1">
            <w:instrText xml:space="preserve">CITATION Armon \l 2057 </w:instrText>
          </w:r>
          <w:r w:rsidR="00F823A1">
            <w:fldChar w:fldCharType="separate"/>
          </w:r>
          <w:r w:rsidR="00F823A1" w:rsidRPr="00F823A1">
            <w:rPr>
              <w:noProof/>
            </w:rPr>
            <w:t>(Armstrong &amp; Baron, 2005)</w:t>
          </w:r>
          <w:r w:rsidR="00F823A1">
            <w:fldChar w:fldCharType="end"/>
          </w:r>
        </w:sdtContent>
      </w:sdt>
      <w:r w:rsidR="00F823A1">
        <w:t xml:space="preserve">. </w:t>
      </w:r>
      <w:r w:rsidR="009E14E7">
        <w:t xml:space="preserve">Performance Management can be a formal process conducted annually and is a formal records of action points. </w:t>
      </w:r>
      <w:r w:rsidR="00F61C76">
        <w:t>A classic approach to performance management is the Boxall and Purcell AMO model in which performance is identified as ability, motivation and opportunity. It was identified that there are a range of HR policies and practices including training and development, career opportunity and involvement in decision-making. These performance related pol</w:t>
      </w:r>
      <w:r w:rsidR="009F2592">
        <w:t>i</w:t>
      </w:r>
      <w:r w:rsidR="00F61C76">
        <w:t xml:space="preserve">cies encouraged employees to have a degree of choice in how well they completed their role </w:t>
      </w:r>
      <w:sdt>
        <w:sdtPr>
          <w:id w:val="429092245"/>
          <w:citation/>
        </w:sdtPr>
        <w:sdtContent>
          <w:r w:rsidR="00F61C76">
            <w:fldChar w:fldCharType="begin"/>
          </w:r>
          <w:r w:rsidR="00F61C76">
            <w:instrText xml:space="preserve"> CITATION Ree16 \l 2057 </w:instrText>
          </w:r>
          <w:r w:rsidR="00F61C76">
            <w:fldChar w:fldCharType="separate"/>
          </w:r>
          <w:r w:rsidR="00F61C76" w:rsidRPr="00F61C76">
            <w:rPr>
              <w:noProof/>
            </w:rPr>
            <w:t>(Rees &amp; French, 2016)</w:t>
          </w:r>
          <w:r w:rsidR="00F61C76">
            <w:fldChar w:fldCharType="end"/>
          </w:r>
        </w:sdtContent>
      </w:sdt>
      <w:r w:rsidR="00F61C76">
        <w:t xml:space="preserve">; </w:t>
      </w:r>
      <w:sdt>
        <w:sdtPr>
          <w:id w:val="-1256821946"/>
          <w:citation/>
        </w:sdtPr>
        <w:sdtContent>
          <w:r w:rsidR="00F61C76">
            <w:fldChar w:fldCharType="begin"/>
          </w:r>
          <w:r w:rsidR="00F61C76">
            <w:instrText xml:space="preserve"> CITATION Box081 \l 2057 </w:instrText>
          </w:r>
          <w:r w:rsidR="00F61C76">
            <w:fldChar w:fldCharType="separate"/>
          </w:r>
          <w:r w:rsidR="00F61C76" w:rsidRPr="00F61C76">
            <w:rPr>
              <w:noProof/>
            </w:rPr>
            <w:t>(Boxall &amp; Purcell, 2008)</w:t>
          </w:r>
          <w:r w:rsidR="00F61C76">
            <w:fldChar w:fldCharType="end"/>
          </w:r>
        </w:sdtContent>
      </w:sdt>
      <w:r w:rsidR="00F61C76">
        <w:t xml:space="preserve">. </w:t>
      </w:r>
      <w:r w:rsidR="009F2592">
        <w:t xml:space="preserve">A negative impact of performance management within organisations which can impact its culture is bias in performance ratings. Managerial bias can be based on favouring an employee over another or if they themselves have received negative feedback. Managers can also rate their employees more generously if their decision impacts pay increases or promotions. This is can be cancelled out through the use of average scores from a variety of sources </w:t>
      </w:r>
      <w:sdt>
        <w:sdtPr>
          <w:id w:val="1746450979"/>
          <w:citation/>
        </w:sdtPr>
        <w:sdtContent>
          <w:r w:rsidR="009F2592">
            <w:fldChar w:fldCharType="begin"/>
          </w:r>
          <w:r w:rsidR="009F2592">
            <w:instrText xml:space="preserve"> CITATION CIP9b1 \l 2057 </w:instrText>
          </w:r>
          <w:r w:rsidR="009F2592">
            <w:fldChar w:fldCharType="separate"/>
          </w:r>
          <w:r w:rsidR="009F2592" w:rsidRPr="009F2592">
            <w:rPr>
              <w:noProof/>
            </w:rPr>
            <w:t>(CIPD, 2019b)</w:t>
          </w:r>
          <w:r w:rsidR="009F2592">
            <w:fldChar w:fldCharType="end"/>
          </w:r>
        </w:sdtContent>
      </w:sdt>
      <w:r w:rsidR="009F2592">
        <w:t xml:space="preserve">. </w:t>
      </w:r>
    </w:p>
    <w:p w14:paraId="236B3FFA" w14:textId="77777777" w:rsidR="00F61C76" w:rsidRDefault="00F61C76" w:rsidP="00A234E8">
      <w:pPr>
        <w:jc w:val="both"/>
      </w:pPr>
    </w:p>
    <w:p w14:paraId="64822306" w14:textId="4B6AA21F" w:rsidR="005D3D26" w:rsidRDefault="009E14E7" w:rsidP="00A234E8">
      <w:pPr>
        <w:jc w:val="both"/>
      </w:pPr>
      <w:r>
        <w:t xml:space="preserve">There is a growing interest in a </w:t>
      </w:r>
      <w:r w:rsidR="00E720CA">
        <w:t>strengths-based</w:t>
      </w:r>
      <w:r>
        <w:t xml:space="preserve"> approach to performance </w:t>
      </w:r>
      <w:r w:rsidR="00E720CA">
        <w:t>management which</w:t>
      </w:r>
      <w:r>
        <w:t xml:space="preserve"> focuses on understanding and building on strengths rather that fixating on weaknesses. This is a major shift to current approaches which focuses on areas which were weak and focus on improvements to avoid them in the future </w:t>
      </w:r>
      <w:sdt>
        <w:sdtPr>
          <w:id w:val="789631486"/>
          <w:citation/>
        </w:sdtPr>
        <w:sdtContent>
          <w:r>
            <w:fldChar w:fldCharType="begin"/>
          </w:r>
          <w:r>
            <w:instrText xml:space="preserve"> CITATION Coo87 \l 2057 </w:instrText>
          </w:r>
          <w:r>
            <w:fldChar w:fldCharType="separate"/>
          </w:r>
          <w:r w:rsidRPr="009E14E7">
            <w:rPr>
              <w:noProof/>
            </w:rPr>
            <w:t>(Cooperrider &amp; Srivastava, 1987)</w:t>
          </w:r>
          <w:r>
            <w:fldChar w:fldCharType="end"/>
          </w:r>
        </w:sdtContent>
      </w:sdt>
      <w:r>
        <w:t xml:space="preserve">; </w:t>
      </w:r>
      <w:sdt>
        <w:sdtPr>
          <w:id w:val="1217462135"/>
          <w:citation/>
        </w:sdtPr>
        <w:sdtContent>
          <w:r>
            <w:fldChar w:fldCharType="begin"/>
          </w:r>
          <w:r>
            <w:instrText xml:space="preserve"> CITATION CIP1711 \l 2057 </w:instrText>
          </w:r>
          <w:r>
            <w:fldChar w:fldCharType="separate"/>
          </w:r>
          <w:r w:rsidRPr="009E14E7">
            <w:rPr>
              <w:noProof/>
            </w:rPr>
            <w:t>(CIPD, 2017)</w:t>
          </w:r>
          <w:r>
            <w:fldChar w:fldCharType="end"/>
          </w:r>
        </w:sdtContent>
      </w:sdt>
      <w:r>
        <w:t xml:space="preserve">. </w:t>
      </w:r>
      <w:r w:rsidR="00F61C76">
        <w:t xml:space="preserve">There are arguments </w:t>
      </w:r>
      <w:r w:rsidR="009F2592">
        <w:t>building</w:t>
      </w:r>
      <w:r w:rsidR="00F61C76">
        <w:t xml:space="preserve"> within the literature that there are many performance management approaches which are adopted by organisations which are not adding value to the organisation. It is imperative that organisations select a performance management approach which is not a simple best practice solution</w:t>
      </w:r>
      <w:r w:rsidR="009F2592">
        <w:t xml:space="preserve"> but instead should adopt a process which suits the organisations needs and </w:t>
      </w:r>
      <w:r w:rsidR="00E720CA">
        <w:t>considers</w:t>
      </w:r>
      <w:r w:rsidR="009F2592">
        <w:t xml:space="preserve"> the organisations culture. </w:t>
      </w:r>
    </w:p>
    <w:p w14:paraId="4EC168C5" w14:textId="6DB01DC9" w:rsidR="00972AA5" w:rsidRDefault="00972AA5" w:rsidP="00A234E8">
      <w:pPr>
        <w:jc w:val="both"/>
      </w:pPr>
    </w:p>
    <w:p w14:paraId="1873A8F9" w14:textId="5A64CBEA" w:rsidR="00972AA5" w:rsidRDefault="001860A3" w:rsidP="00A234E8">
      <w:pPr>
        <w:jc w:val="both"/>
      </w:pPr>
      <w:r>
        <w:t xml:space="preserve">High performance working organisations (HPWOs) have a </w:t>
      </w:r>
      <w:r w:rsidR="00E720CA">
        <w:t>well-established</w:t>
      </w:r>
      <w:r>
        <w:t xml:space="preserve"> culture and values system which typically understood by all within the workforce and are a key driver in employee behaviour. HPWOs have in place clear set goals, they understand their employee’s abilities and skillsets and have an environment of coaching and mentoring </w:t>
      </w:r>
      <w:sdt>
        <w:sdtPr>
          <w:id w:val="274914853"/>
          <w:citation/>
        </w:sdtPr>
        <w:sdtContent>
          <w:r>
            <w:fldChar w:fldCharType="begin"/>
          </w:r>
          <w:r>
            <w:instrText xml:space="preserve"> CITATION Jam08 \l 2057 </w:instrText>
          </w:r>
          <w:r>
            <w:fldChar w:fldCharType="separate"/>
          </w:r>
          <w:r w:rsidRPr="001860A3">
            <w:rPr>
              <w:noProof/>
            </w:rPr>
            <w:t>(Jamrog, et al., 2008)</w:t>
          </w:r>
          <w:r>
            <w:fldChar w:fldCharType="end"/>
          </w:r>
        </w:sdtContent>
      </w:sdt>
      <w:r>
        <w:t>.</w:t>
      </w:r>
    </w:p>
    <w:p w14:paraId="7315FB20" w14:textId="3DEE3E92" w:rsidR="00CD6C6E" w:rsidRDefault="00CD6C6E" w:rsidP="00A234E8">
      <w:pPr>
        <w:jc w:val="both"/>
      </w:pPr>
    </w:p>
    <w:p w14:paraId="3999A5C6" w14:textId="623BA96D" w:rsidR="004F6186" w:rsidRDefault="004F6186" w:rsidP="00A234E8">
      <w:pPr>
        <w:jc w:val="both"/>
      </w:pPr>
    </w:p>
    <w:p w14:paraId="25DFB808" w14:textId="4147F9E5" w:rsidR="004F6186" w:rsidRPr="004F6186" w:rsidRDefault="004F6186" w:rsidP="00A234E8">
      <w:pPr>
        <w:jc w:val="both"/>
        <w:rPr>
          <w:u w:val="single"/>
        </w:rPr>
      </w:pPr>
      <w:r w:rsidRPr="004F6186">
        <w:rPr>
          <w:u w:val="single"/>
        </w:rPr>
        <w:t>Employee Engagement</w:t>
      </w:r>
    </w:p>
    <w:p w14:paraId="2708810D" w14:textId="0C4BA345" w:rsidR="003D249C" w:rsidRDefault="003D249C" w:rsidP="00A234E8">
      <w:pPr>
        <w:jc w:val="both"/>
      </w:pPr>
    </w:p>
    <w:p w14:paraId="4CC355D9" w14:textId="703EF982" w:rsidR="003D249C" w:rsidRDefault="003D249C" w:rsidP="00A234E8">
      <w:pPr>
        <w:jc w:val="both"/>
      </w:pPr>
      <w:r>
        <w:t>The second key area of HRM is employee engagement</w:t>
      </w:r>
      <w:r w:rsidR="00A11054">
        <w:t xml:space="preserve">. Engaged employees help organisations achieve its overall mission, execute its strategy, generate business results and can give crucial competitive advantage including lower employee turnover </w:t>
      </w:r>
      <w:sdt>
        <w:sdtPr>
          <w:id w:val="-932588222"/>
          <w:citation/>
        </w:sdtPr>
        <w:sdtContent>
          <w:r w:rsidR="00A11054">
            <w:fldChar w:fldCharType="begin"/>
          </w:r>
          <w:r w:rsidR="00A11054">
            <w:instrText xml:space="preserve"> CITATION Van06 \l 2057 </w:instrText>
          </w:r>
          <w:r w:rsidR="00A11054">
            <w:fldChar w:fldCharType="separate"/>
          </w:r>
          <w:r w:rsidR="00A11054" w:rsidRPr="00A11054">
            <w:rPr>
              <w:noProof/>
            </w:rPr>
            <w:t>(Vance, 2006)</w:t>
          </w:r>
          <w:r w:rsidR="00A11054">
            <w:fldChar w:fldCharType="end"/>
          </w:r>
        </w:sdtContent>
      </w:sdt>
      <w:r w:rsidR="00A11054">
        <w:t xml:space="preserve">. </w:t>
      </w:r>
      <w:r>
        <w:t xml:space="preserve"> </w:t>
      </w:r>
      <w:r w:rsidR="00A11054">
        <w:t>However, the term employee engagement is regarded as a psychological state experienced by employees in relation to their work and can be a positive and fulfilling state of mind</w:t>
      </w:r>
      <w:r w:rsidR="0043797D">
        <w:t>. Engagement is also employees</w:t>
      </w:r>
      <w:r w:rsidR="004F6186">
        <w:t>’</w:t>
      </w:r>
      <w:r w:rsidR="0043797D">
        <w:t xml:space="preserve"> persistence and initiative directed towards organisational goals </w:t>
      </w:r>
      <w:sdt>
        <w:sdtPr>
          <w:id w:val="-733391788"/>
          <w:citation/>
        </w:sdtPr>
        <w:sdtContent>
          <w:r w:rsidR="0043797D">
            <w:fldChar w:fldCharType="begin"/>
          </w:r>
          <w:r w:rsidR="0043797D">
            <w:instrText xml:space="preserve"> CITATION Kah90 \l 2057 </w:instrText>
          </w:r>
          <w:r w:rsidR="0043797D">
            <w:fldChar w:fldCharType="separate"/>
          </w:r>
          <w:r w:rsidR="0043797D" w:rsidRPr="0043797D">
            <w:rPr>
              <w:noProof/>
            </w:rPr>
            <w:t>(Kahn, 1990)</w:t>
          </w:r>
          <w:r w:rsidR="0043797D">
            <w:fldChar w:fldCharType="end"/>
          </w:r>
        </w:sdtContent>
      </w:sdt>
      <w:r w:rsidR="0043797D">
        <w:t xml:space="preserve">; </w:t>
      </w:r>
      <w:sdt>
        <w:sdtPr>
          <w:id w:val="1559589747"/>
          <w:citation/>
        </w:sdtPr>
        <w:sdtContent>
          <w:r w:rsidR="0043797D">
            <w:fldChar w:fldCharType="begin"/>
          </w:r>
          <w:r w:rsidR="0043797D">
            <w:instrText xml:space="preserve"> CITATION Mas01 \l 2057 </w:instrText>
          </w:r>
          <w:r w:rsidR="0043797D">
            <w:fldChar w:fldCharType="separate"/>
          </w:r>
          <w:r w:rsidR="0043797D" w:rsidRPr="0043797D">
            <w:rPr>
              <w:noProof/>
            </w:rPr>
            <w:t>(Maslach, et al., 2001)</w:t>
          </w:r>
          <w:r w:rsidR="0043797D">
            <w:fldChar w:fldCharType="end"/>
          </w:r>
        </w:sdtContent>
      </w:sdt>
      <w:r w:rsidR="0043797D">
        <w:t xml:space="preserve">. Organisations with high engagement levels and a culture of communication between employees and managers is frequent individual </w:t>
      </w:r>
      <w:r w:rsidR="0043797D">
        <w:lastRenderedPageBreak/>
        <w:t xml:space="preserve">performance increases by 34% and employees will work 57% harder and are 9 times less likely to leave the organisation </w:t>
      </w:r>
      <w:sdt>
        <w:sdtPr>
          <w:id w:val="1895853906"/>
          <w:citation/>
        </w:sdtPr>
        <w:sdtContent>
          <w:r w:rsidR="0043797D">
            <w:fldChar w:fldCharType="begin"/>
          </w:r>
          <w:r w:rsidR="0043797D">
            <w:instrText xml:space="preserve"> CITATION Mer15 \l 2057 </w:instrText>
          </w:r>
          <w:r w:rsidR="0043797D">
            <w:fldChar w:fldCharType="separate"/>
          </w:r>
          <w:r w:rsidR="0043797D" w:rsidRPr="0043797D">
            <w:rPr>
              <w:noProof/>
            </w:rPr>
            <w:t>(Mercer, 2015)</w:t>
          </w:r>
          <w:r w:rsidR="0043797D">
            <w:fldChar w:fldCharType="end"/>
          </w:r>
        </w:sdtContent>
      </w:sdt>
      <w:r w:rsidR="0043797D">
        <w:t xml:space="preserve">. </w:t>
      </w:r>
    </w:p>
    <w:p w14:paraId="7D80AF71" w14:textId="4CD77225" w:rsidR="003F39B9" w:rsidRDefault="003F39B9" w:rsidP="00A234E8">
      <w:pPr>
        <w:jc w:val="both"/>
      </w:pPr>
    </w:p>
    <w:p w14:paraId="74B320D7" w14:textId="264FE0B1" w:rsidR="003F39B9" w:rsidRDefault="003F39B9" w:rsidP="00616D63">
      <w:pPr>
        <w:jc w:val="both"/>
      </w:pPr>
      <w:r>
        <w:t>Unfortunately, over time employee engagement has become a top-down philosophy and relied on employees engaging with the organisations ideas, culture, work and results. A shift from a top down initiative to one that is bottom up now focuses on the employee experience. A research study conducted by Adam Grant iden</w:t>
      </w:r>
      <w:r w:rsidR="00616D63">
        <w:t>tified that call centre employees wer</w:t>
      </w:r>
      <w:r w:rsidR="004F6186">
        <w:t>e</w:t>
      </w:r>
      <w:r w:rsidR="00616D63">
        <w:t xml:space="preserve"> 171% more productive when they understood the impact their role had on the end customer. </w:t>
      </w:r>
    </w:p>
    <w:p w14:paraId="17C14E56" w14:textId="536E97E7" w:rsidR="00616D63" w:rsidRDefault="003F39B9" w:rsidP="00616D63">
      <w:pPr>
        <w:spacing w:before="100" w:beforeAutospacing="1" w:after="100" w:afterAutospacing="1"/>
        <w:jc w:val="both"/>
        <w:rPr>
          <w:rFonts w:ascii="Calibri" w:eastAsia="Times New Roman" w:hAnsi="Calibri" w:cs="Calibri"/>
          <w:color w:val="1E262B"/>
          <w:szCs w:val="22"/>
        </w:rPr>
      </w:pPr>
      <w:r w:rsidRPr="003F39B9">
        <w:rPr>
          <w:rFonts w:ascii="Calibri" w:eastAsia="Times New Roman" w:hAnsi="Calibri" w:cs="Calibri"/>
          <w:color w:val="1E262B"/>
          <w:szCs w:val="22"/>
        </w:rPr>
        <w:t>Understanding and driving meaning is critical because it is a key motivator and helps sustain e</w:t>
      </w:r>
      <w:r w:rsidR="00616D63" w:rsidRPr="00616D63">
        <w:rPr>
          <w:rFonts w:ascii="Calibri" w:eastAsia="Times New Roman" w:hAnsi="Calibri" w:cs="Calibri"/>
          <w:color w:val="1E262B"/>
          <w:szCs w:val="22"/>
        </w:rPr>
        <w:t>ff</w:t>
      </w:r>
      <w:r w:rsidRPr="003F39B9">
        <w:rPr>
          <w:rFonts w:ascii="Calibri" w:eastAsia="Times New Roman" w:hAnsi="Calibri" w:cs="Calibri"/>
          <w:color w:val="1E262B"/>
          <w:szCs w:val="22"/>
        </w:rPr>
        <w:t>ort over time. If an organi</w:t>
      </w:r>
      <w:r w:rsidR="00616D63" w:rsidRPr="00616D63">
        <w:rPr>
          <w:rFonts w:ascii="Calibri" w:eastAsia="Times New Roman" w:hAnsi="Calibri" w:cs="Calibri"/>
          <w:color w:val="1E262B"/>
          <w:szCs w:val="22"/>
        </w:rPr>
        <w:t>s</w:t>
      </w:r>
      <w:r w:rsidRPr="003F39B9">
        <w:rPr>
          <w:rFonts w:ascii="Calibri" w:eastAsia="Times New Roman" w:hAnsi="Calibri" w:cs="Calibri"/>
          <w:color w:val="1E262B"/>
          <w:szCs w:val="22"/>
        </w:rPr>
        <w:t xml:space="preserve">ation can articulate a purpose that matters across </w:t>
      </w:r>
      <w:r w:rsidR="00A65E65">
        <w:rPr>
          <w:rFonts w:ascii="Calibri" w:eastAsia="Times New Roman" w:hAnsi="Calibri" w:cs="Calibri"/>
          <w:color w:val="1E262B"/>
          <w:szCs w:val="22"/>
        </w:rPr>
        <w:t xml:space="preserve">all its </w:t>
      </w:r>
      <w:r w:rsidRPr="003F39B9">
        <w:rPr>
          <w:rFonts w:ascii="Calibri" w:eastAsia="Times New Roman" w:hAnsi="Calibri" w:cs="Calibri"/>
          <w:color w:val="1E262B"/>
          <w:szCs w:val="22"/>
        </w:rPr>
        <w:t>stakeholders, it will get an impact, but it can also tap into the purpose and meaning for the workforce and connect to what matters for the customer</w:t>
      </w:r>
      <w:r w:rsidR="00A65E65">
        <w:rPr>
          <w:rFonts w:ascii="Calibri" w:eastAsia="Times New Roman" w:hAnsi="Calibri" w:cs="Calibri"/>
          <w:color w:val="1E262B"/>
          <w:szCs w:val="22"/>
        </w:rPr>
        <w:t xml:space="preserve"> and employees</w:t>
      </w:r>
      <w:r w:rsidRPr="003F39B9">
        <w:rPr>
          <w:rFonts w:ascii="Calibri" w:eastAsia="Times New Roman" w:hAnsi="Calibri" w:cs="Calibri"/>
          <w:color w:val="1E262B"/>
          <w:szCs w:val="22"/>
        </w:rPr>
        <w:t>, th</w:t>
      </w:r>
      <w:r w:rsidR="00A65E65">
        <w:rPr>
          <w:rFonts w:ascii="Calibri" w:eastAsia="Times New Roman" w:hAnsi="Calibri" w:cs="Calibri"/>
          <w:color w:val="1E262B"/>
          <w:szCs w:val="22"/>
        </w:rPr>
        <w:t>is</w:t>
      </w:r>
      <w:r w:rsidRPr="003F39B9">
        <w:rPr>
          <w:rFonts w:ascii="Calibri" w:eastAsia="Times New Roman" w:hAnsi="Calibri" w:cs="Calibri"/>
          <w:color w:val="1E262B"/>
          <w:szCs w:val="22"/>
        </w:rPr>
        <w:t xml:space="preserve"> e</w:t>
      </w:r>
      <w:r w:rsidR="00616D63">
        <w:rPr>
          <w:rFonts w:ascii="Calibri" w:eastAsia="Times New Roman" w:hAnsi="Calibri" w:cs="Calibri"/>
          <w:color w:val="1E262B"/>
          <w:szCs w:val="22"/>
        </w:rPr>
        <w:t>ffe</w:t>
      </w:r>
      <w:r w:rsidRPr="003F39B9">
        <w:rPr>
          <w:rFonts w:ascii="Calibri" w:eastAsia="Times New Roman" w:hAnsi="Calibri" w:cs="Calibri"/>
          <w:color w:val="1E262B"/>
          <w:szCs w:val="22"/>
        </w:rPr>
        <w:t xml:space="preserve">ct will </w:t>
      </w:r>
      <w:r w:rsidR="00616D63">
        <w:rPr>
          <w:rFonts w:ascii="Calibri" w:eastAsia="Times New Roman" w:hAnsi="Calibri" w:cs="Calibri"/>
          <w:color w:val="1E262B"/>
          <w:szCs w:val="22"/>
        </w:rPr>
        <w:t xml:space="preserve">improve the </w:t>
      </w:r>
      <w:r w:rsidR="00E720CA">
        <w:rPr>
          <w:rFonts w:ascii="Calibri" w:eastAsia="Times New Roman" w:hAnsi="Calibri" w:cs="Calibri"/>
          <w:color w:val="1E262B"/>
          <w:szCs w:val="22"/>
        </w:rPr>
        <w:t>organisations</w:t>
      </w:r>
      <w:r w:rsidR="00616D63">
        <w:rPr>
          <w:rFonts w:ascii="Calibri" w:eastAsia="Times New Roman" w:hAnsi="Calibri" w:cs="Calibri"/>
          <w:color w:val="1E262B"/>
          <w:szCs w:val="22"/>
        </w:rPr>
        <w:t xml:space="preserve"> culture</w:t>
      </w:r>
      <w:r w:rsidRPr="003F39B9">
        <w:rPr>
          <w:rFonts w:ascii="Calibri" w:eastAsia="Times New Roman" w:hAnsi="Calibri" w:cs="Calibri"/>
          <w:color w:val="1E262B"/>
          <w:szCs w:val="22"/>
        </w:rPr>
        <w:t xml:space="preserve"> </w:t>
      </w:r>
      <w:sdt>
        <w:sdtPr>
          <w:rPr>
            <w:rFonts w:ascii="Calibri" w:eastAsia="Times New Roman" w:hAnsi="Calibri" w:cs="Calibri"/>
            <w:color w:val="1E262B"/>
            <w:szCs w:val="22"/>
          </w:rPr>
          <w:id w:val="-775179059"/>
          <w:citation/>
        </w:sdtPr>
        <w:sdtContent>
          <w:r w:rsidR="00616D63">
            <w:rPr>
              <w:rFonts w:ascii="Calibri" w:eastAsia="Times New Roman" w:hAnsi="Calibri" w:cs="Calibri"/>
              <w:color w:val="1E262B"/>
              <w:szCs w:val="22"/>
            </w:rPr>
            <w:fldChar w:fldCharType="begin"/>
          </w:r>
          <w:r w:rsidR="00616D63">
            <w:rPr>
              <w:rFonts w:ascii="Calibri" w:eastAsia="Times New Roman" w:hAnsi="Calibri" w:cs="Calibri"/>
              <w:color w:val="1E262B"/>
              <w:szCs w:val="22"/>
            </w:rPr>
            <w:instrText xml:space="preserve"> CITATION Stu18 \l 2057 </w:instrText>
          </w:r>
          <w:r w:rsidR="00616D63">
            <w:rPr>
              <w:rFonts w:ascii="Calibri" w:eastAsia="Times New Roman" w:hAnsi="Calibri" w:cs="Calibri"/>
              <w:color w:val="1E262B"/>
              <w:szCs w:val="22"/>
            </w:rPr>
            <w:fldChar w:fldCharType="separate"/>
          </w:r>
          <w:r w:rsidR="00616D63" w:rsidRPr="00616D63">
            <w:rPr>
              <w:rFonts w:ascii="Calibri" w:eastAsia="Times New Roman" w:hAnsi="Calibri" w:cs="Calibri"/>
              <w:noProof/>
              <w:color w:val="1E262B"/>
              <w:szCs w:val="22"/>
            </w:rPr>
            <w:t>(Sturt &amp; Nordstrom, 2018)</w:t>
          </w:r>
          <w:r w:rsidR="00616D63">
            <w:rPr>
              <w:rFonts w:ascii="Calibri" w:eastAsia="Times New Roman" w:hAnsi="Calibri" w:cs="Calibri"/>
              <w:color w:val="1E262B"/>
              <w:szCs w:val="22"/>
            </w:rPr>
            <w:fldChar w:fldCharType="end"/>
          </w:r>
        </w:sdtContent>
      </w:sdt>
      <w:r w:rsidR="00616D63">
        <w:rPr>
          <w:rFonts w:ascii="Calibri" w:eastAsia="Times New Roman" w:hAnsi="Calibri" w:cs="Calibri"/>
          <w:color w:val="1E262B"/>
          <w:szCs w:val="22"/>
        </w:rPr>
        <w:t>;</w:t>
      </w:r>
      <w:sdt>
        <w:sdtPr>
          <w:rPr>
            <w:rFonts w:ascii="Calibri" w:eastAsia="Times New Roman" w:hAnsi="Calibri" w:cs="Calibri"/>
            <w:color w:val="1E262B"/>
            <w:szCs w:val="22"/>
          </w:rPr>
          <w:id w:val="148256102"/>
          <w:citation/>
        </w:sdtPr>
        <w:sdtContent>
          <w:r w:rsidR="00616D63">
            <w:rPr>
              <w:rFonts w:ascii="Calibri" w:eastAsia="Times New Roman" w:hAnsi="Calibri" w:cs="Calibri"/>
              <w:color w:val="1E262B"/>
              <w:szCs w:val="22"/>
            </w:rPr>
            <w:fldChar w:fldCharType="begin"/>
          </w:r>
          <w:r w:rsidR="00616D63">
            <w:rPr>
              <w:rFonts w:ascii="Calibri" w:eastAsia="Times New Roman" w:hAnsi="Calibri" w:cs="Calibri"/>
              <w:color w:val="1E262B"/>
              <w:szCs w:val="22"/>
            </w:rPr>
            <w:instrText xml:space="preserve"> CITATION Sch19 \l 2057 </w:instrText>
          </w:r>
          <w:r w:rsidR="00616D63">
            <w:rPr>
              <w:rFonts w:ascii="Calibri" w:eastAsia="Times New Roman" w:hAnsi="Calibri" w:cs="Calibri"/>
              <w:color w:val="1E262B"/>
              <w:szCs w:val="22"/>
            </w:rPr>
            <w:fldChar w:fldCharType="separate"/>
          </w:r>
          <w:r w:rsidR="00616D63">
            <w:rPr>
              <w:rFonts w:ascii="Calibri" w:eastAsia="Times New Roman" w:hAnsi="Calibri" w:cs="Calibri"/>
              <w:noProof/>
              <w:color w:val="1E262B"/>
              <w:szCs w:val="22"/>
            </w:rPr>
            <w:t xml:space="preserve"> </w:t>
          </w:r>
          <w:r w:rsidR="00616D63" w:rsidRPr="00616D63">
            <w:rPr>
              <w:rFonts w:ascii="Calibri" w:eastAsia="Times New Roman" w:hAnsi="Calibri" w:cs="Calibri"/>
              <w:noProof/>
              <w:color w:val="1E262B"/>
              <w:szCs w:val="22"/>
            </w:rPr>
            <w:t>(Schwartz, 2019)</w:t>
          </w:r>
          <w:r w:rsidR="00616D63">
            <w:rPr>
              <w:rFonts w:ascii="Calibri" w:eastAsia="Times New Roman" w:hAnsi="Calibri" w:cs="Calibri"/>
              <w:color w:val="1E262B"/>
              <w:szCs w:val="22"/>
            </w:rPr>
            <w:fldChar w:fldCharType="end"/>
          </w:r>
        </w:sdtContent>
      </w:sdt>
      <w:r w:rsidR="00616D63">
        <w:rPr>
          <w:rFonts w:ascii="Calibri" w:eastAsia="Times New Roman" w:hAnsi="Calibri" w:cs="Calibri"/>
          <w:color w:val="1E262B"/>
          <w:szCs w:val="22"/>
        </w:rPr>
        <w:t xml:space="preserve">; </w:t>
      </w:r>
      <w:sdt>
        <w:sdtPr>
          <w:rPr>
            <w:rFonts w:ascii="Calibri" w:eastAsia="Times New Roman" w:hAnsi="Calibri" w:cs="Calibri"/>
            <w:color w:val="1E262B"/>
            <w:szCs w:val="22"/>
          </w:rPr>
          <w:id w:val="1244378778"/>
          <w:citation/>
        </w:sdtPr>
        <w:sdtContent>
          <w:r w:rsidR="00616D63">
            <w:rPr>
              <w:rFonts w:ascii="Calibri" w:eastAsia="Times New Roman" w:hAnsi="Calibri" w:cs="Calibri"/>
              <w:color w:val="1E262B"/>
              <w:szCs w:val="22"/>
            </w:rPr>
            <w:fldChar w:fldCharType="begin"/>
          </w:r>
          <w:r w:rsidR="00616D63">
            <w:rPr>
              <w:rFonts w:ascii="Calibri" w:eastAsia="Times New Roman" w:hAnsi="Calibri" w:cs="Calibri"/>
              <w:color w:val="1E262B"/>
              <w:szCs w:val="22"/>
            </w:rPr>
            <w:instrText xml:space="preserve"> CITATION Del191 \l 2057 </w:instrText>
          </w:r>
          <w:r w:rsidR="00616D63">
            <w:rPr>
              <w:rFonts w:ascii="Calibri" w:eastAsia="Times New Roman" w:hAnsi="Calibri" w:cs="Calibri"/>
              <w:color w:val="1E262B"/>
              <w:szCs w:val="22"/>
            </w:rPr>
            <w:fldChar w:fldCharType="separate"/>
          </w:r>
          <w:r w:rsidR="00616D63" w:rsidRPr="00616D63">
            <w:rPr>
              <w:rFonts w:ascii="Calibri" w:eastAsia="Times New Roman" w:hAnsi="Calibri" w:cs="Calibri"/>
              <w:noProof/>
              <w:color w:val="1E262B"/>
              <w:szCs w:val="22"/>
            </w:rPr>
            <w:t>(Deloitte, 2019)</w:t>
          </w:r>
          <w:r w:rsidR="00616D63">
            <w:rPr>
              <w:rFonts w:ascii="Calibri" w:eastAsia="Times New Roman" w:hAnsi="Calibri" w:cs="Calibri"/>
              <w:color w:val="1E262B"/>
              <w:szCs w:val="22"/>
            </w:rPr>
            <w:fldChar w:fldCharType="end"/>
          </w:r>
        </w:sdtContent>
      </w:sdt>
      <w:r w:rsidR="00616D63">
        <w:rPr>
          <w:rFonts w:ascii="Calibri" w:eastAsia="Times New Roman" w:hAnsi="Calibri" w:cs="Calibri"/>
          <w:color w:val="1E262B"/>
          <w:szCs w:val="22"/>
        </w:rPr>
        <w:t xml:space="preserve">. </w:t>
      </w:r>
    </w:p>
    <w:p w14:paraId="4F1CC021" w14:textId="58F0416F" w:rsidR="00616D63" w:rsidRDefault="004F6186" w:rsidP="00183A60">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To conclude, employee engagement is a key to the success of an organisations culture</w:t>
      </w:r>
      <w:r w:rsidR="000B5D70">
        <w:rPr>
          <w:rFonts w:ascii="Calibri" w:eastAsia="Times New Roman" w:hAnsi="Calibri" w:cs="Calibri"/>
          <w:color w:val="1E262B"/>
          <w:szCs w:val="22"/>
        </w:rPr>
        <w:t>,</w:t>
      </w:r>
      <w:r>
        <w:rPr>
          <w:rFonts w:ascii="Calibri" w:eastAsia="Times New Roman" w:hAnsi="Calibri" w:cs="Calibri"/>
          <w:color w:val="1E262B"/>
          <w:szCs w:val="22"/>
        </w:rPr>
        <w:t xml:space="preserve"> but it is imperative that employees receive clear frequent communication from their managers and that they truly understand the impact their role has on all stakeholders. It is easy for organisations to ask employees to complete annual engagement </w:t>
      </w:r>
      <w:r w:rsidR="00E720CA">
        <w:rPr>
          <w:rFonts w:ascii="Calibri" w:eastAsia="Times New Roman" w:hAnsi="Calibri" w:cs="Calibri"/>
          <w:color w:val="1E262B"/>
          <w:szCs w:val="22"/>
        </w:rPr>
        <w:t>surveys’,</w:t>
      </w:r>
      <w:r>
        <w:rPr>
          <w:rFonts w:ascii="Calibri" w:eastAsia="Times New Roman" w:hAnsi="Calibri" w:cs="Calibri"/>
          <w:color w:val="1E262B"/>
          <w:szCs w:val="22"/>
        </w:rPr>
        <w:t xml:space="preserve"> but it is more imperative that they truly engage with the organisation and understand the overall impact they have on the wider world. </w:t>
      </w:r>
      <w:r w:rsidR="00205D2C">
        <w:rPr>
          <w:rFonts w:ascii="Calibri" w:eastAsia="Times New Roman" w:hAnsi="Calibri" w:cs="Calibri"/>
          <w:color w:val="1E262B"/>
          <w:szCs w:val="22"/>
        </w:rPr>
        <w:t xml:space="preserve">In 2019, Network homes set out to engage its 550 employees with the cultural journey ahead. It launched its people and culture agenda and involved 10 key steps including engaging its employees in agreeing what the organisation wanted to stand for. This initiative saw a 15% increase in employee engagement and saw reductions in staff sickness and turnover </w:t>
      </w:r>
      <w:sdt>
        <w:sdtPr>
          <w:rPr>
            <w:rFonts w:ascii="Calibri" w:eastAsia="Times New Roman" w:hAnsi="Calibri" w:cs="Calibri"/>
            <w:color w:val="1E262B"/>
            <w:szCs w:val="22"/>
          </w:rPr>
          <w:id w:val="1439093045"/>
          <w:citation/>
        </w:sdtPr>
        <w:sdtContent>
          <w:r w:rsidR="00205D2C">
            <w:rPr>
              <w:rFonts w:ascii="Calibri" w:eastAsia="Times New Roman" w:hAnsi="Calibri" w:cs="Calibri"/>
              <w:color w:val="1E262B"/>
              <w:szCs w:val="22"/>
            </w:rPr>
            <w:fldChar w:fldCharType="begin"/>
          </w:r>
          <w:r w:rsidR="00205D2C">
            <w:rPr>
              <w:rFonts w:ascii="Calibri" w:eastAsia="Times New Roman" w:hAnsi="Calibri" w:cs="Calibri"/>
              <w:color w:val="1E262B"/>
              <w:szCs w:val="22"/>
            </w:rPr>
            <w:instrText xml:space="preserve"> CITATION HRM19 \l 2057 </w:instrText>
          </w:r>
          <w:r w:rsidR="00205D2C">
            <w:rPr>
              <w:rFonts w:ascii="Calibri" w:eastAsia="Times New Roman" w:hAnsi="Calibri" w:cs="Calibri"/>
              <w:color w:val="1E262B"/>
              <w:szCs w:val="22"/>
            </w:rPr>
            <w:fldChar w:fldCharType="separate"/>
          </w:r>
          <w:r w:rsidR="00205D2C" w:rsidRPr="00205D2C">
            <w:rPr>
              <w:rFonts w:ascii="Calibri" w:eastAsia="Times New Roman" w:hAnsi="Calibri" w:cs="Calibri"/>
              <w:noProof/>
              <w:color w:val="1E262B"/>
              <w:szCs w:val="22"/>
            </w:rPr>
            <w:t>(HR Magazine, 2019)</w:t>
          </w:r>
          <w:r w:rsidR="00205D2C">
            <w:rPr>
              <w:rFonts w:ascii="Calibri" w:eastAsia="Times New Roman" w:hAnsi="Calibri" w:cs="Calibri"/>
              <w:color w:val="1E262B"/>
              <w:szCs w:val="22"/>
            </w:rPr>
            <w:fldChar w:fldCharType="end"/>
          </w:r>
        </w:sdtContent>
      </w:sdt>
      <w:r w:rsidR="00205D2C">
        <w:rPr>
          <w:rFonts w:ascii="Calibri" w:eastAsia="Times New Roman" w:hAnsi="Calibri" w:cs="Calibri"/>
          <w:color w:val="1E262B"/>
          <w:szCs w:val="22"/>
        </w:rPr>
        <w:t>.</w:t>
      </w:r>
    </w:p>
    <w:p w14:paraId="725404D7" w14:textId="0C288E64" w:rsidR="00183A60" w:rsidRDefault="00183A60" w:rsidP="00183A60">
      <w:pPr>
        <w:spacing w:before="100" w:beforeAutospacing="1" w:after="100" w:afterAutospacing="1"/>
        <w:jc w:val="both"/>
        <w:rPr>
          <w:rFonts w:ascii="Calibri" w:eastAsia="Times New Roman" w:hAnsi="Calibri" w:cs="Calibri"/>
          <w:color w:val="1E262B"/>
          <w:szCs w:val="22"/>
        </w:rPr>
      </w:pPr>
    </w:p>
    <w:p w14:paraId="0AEB4AAE" w14:textId="4B365373" w:rsidR="00183A60" w:rsidRPr="00FC3387" w:rsidRDefault="00FC3387" w:rsidP="00183A60">
      <w:pPr>
        <w:spacing w:before="100" w:beforeAutospacing="1" w:after="100" w:afterAutospacing="1"/>
        <w:jc w:val="both"/>
        <w:rPr>
          <w:rFonts w:ascii="Calibri" w:eastAsia="Times New Roman" w:hAnsi="Calibri" w:cs="Calibri"/>
          <w:color w:val="1E262B"/>
          <w:szCs w:val="22"/>
          <w:u w:val="single"/>
        </w:rPr>
      </w:pPr>
      <w:r w:rsidRPr="00FC3387">
        <w:rPr>
          <w:rFonts w:ascii="Calibri" w:eastAsia="Times New Roman" w:hAnsi="Calibri" w:cs="Calibri"/>
          <w:color w:val="1E262B"/>
          <w:szCs w:val="22"/>
          <w:u w:val="single"/>
        </w:rPr>
        <w:t>Change Management</w:t>
      </w:r>
    </w:p>
    <w:p w14:paraId="35AA5483" w14:textId="0B271709" w:rsidR="00183A60" w:rsidRDefault="00410EF4" w:rsidP="00183A60">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Change management is a key area within HRM which done correctly and incorrectly can be detrimental to an organisations culture. Organisational change is a constant within many organisations and can be driven by its markets, customers and technology. </w:t>
      </w:r>
      <w:r w:rsidR="00E720CA">
        <w:rPr>
          <w:rFonts w:ascii="Calibri" w:eastAsia="Times New Roman" w:hAnsi="Calibri" w:cs="Calibri"/>
          <w:color w:val="1E262B"/>
          <w:szCs w:val="22"/>
        </w:rPr>
        <w:t>Organisations</w:t>
      </w:r>
      <w:r>
        <w:rPr>
          <w:rFonts w:ascii="Calibri" w:eastAsia="Times New Roman" w:hAnsi="Calibri" w:cs="Calibri"/>
          <w:color w:val="1E262B"/>
          <w:szCs w:val="22"/>
        </w:rPr>
        <w:t xml:space="preserve"> must adapt and change if growth opportunities are discovered in new markets, there are competitive pressures, technological developments and challenging trading conditions such as the current coronavirus pandemic </w:t>
      </w:r>
      <w:sdt>
        <w:sdtPr>
          <w:rPr>
            <w:rFonts w:ascii="Calibri" w:eastAsia="Times New Roman" w:hAnsi="Calibri" w:cs="Calibri"/>
            <w:color w:val="1E262B"/>
            <w:szCs w:val="22"/>
          </w:rPr>
          <w:id w:val="-991106122"/>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CITATION CIP191 \l 2057 </w:instrText>
          </w:r>
          <w:r>
            <w:rPr>
              <w:rFonts w:ascii="Calibri" w:eastAsia="Times New Roman" w:hAnsi="Calibri" w:cs="Calibri"/>
              <w:color w:val="1E262B"/>
              <w:szCs w:val="22"/>
            </w:rPr>
            <w:fldChar w:fldCharType="separate"/>
          </w:r>
          <w:r w:rsidRPr="00410EF4">
            <w:rPr>
              <w:rFonts w:ascii="Calibri" w:eastAsia="Times New Roman" w:hAnsi="Calibri" w:cs="Calibri"/>
              <w:noProof/>
              <w:color w:val="1E262B"/>
              <w:szCs w:val="22"/>
            </w:rPr>
            <w:t>(CIPD, 2019e)</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p>
    <w:p w14:paraId="37DEC3CB" w14:textId="77777777" w:rsidR="00410EF4" w:rsidRDefault="00410EF4" w:rsidP="00183A60">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It has been suggested that there are three levels to strategic change such as organisation specific change, generic organisation wide changes such as business process engineering and third and finally multi organisational change programmes following the merger or acquisition </w:t>
      </w:r>
      <w:sdt>
        <w:sdtPr>
          <w:rPr>
            <w:rFonts w:ascii="Calibri" w:eastAsia="Times New Roman" w:hAnsi="Calibri" w:cs="Calibri"/>
            <w:color w:val="1E262B"/>
            <w:szCs w:val="22"/>
          </w:rPr>
          <w:id w:val="2055041908"/>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Car03 \l 2057 </w:instrText>
          </w:r>
          <w:r>
            <w:rPr>
              <w:rFonts w:ascii="Calibri" w:eastAsia="Times New Roman" w:hAnsi="Calibri" w:cs="Calibri"/>
              <w:color w:val="1E262B"/>
              <w:szCs w:val="22"/>
            </w:rPr>
            <w:fldChar w:fldCharType="separate"/>
          </w:r>
          <w:r w:rsidRPr="00410EF4">
            <w:rPr>
              <w:rFonts w:ascii="Calibri" w:eastAsia="Times New Roman" w:hAnsi="Calibri" w:cs="Calibri"/>
              <w:noProof/>
              <w:color w:val="1E262B"/>
              <w:szCs w:val="22"/>
            </w:rPr>
            <w:t>(Carnall, 2003)</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Managing a change programme is important as it will affect all members of the workforce either directly or indirectly. Failure to introduce effective change can have a high impact on organisations such as loss of market share, loss of key employees and reduction in employee engagement and motivation </w:t>
      </w:r>
      <w:sdt>
        <w:sdtPr>
          <w:rPr>
            <w:rFonts w:ascii="Calibri" w:eastAsia="Times New Roman" w:hAnsi="Calibri" w:cs="Calibri"/>
            <w:color w:val="1E262B"/>
            <w:szCs w:val="22"/>
          </w:rPr>
          <w:id w:val="-1987540647"/>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CIP191 \l 2057 </w:instrText>
          </w:r>
          <w:r>
            <w:rPr>
              <w:rFonts w:ascii="Calibri" w:eastAsia="Times New Roman" w:hAnsi="Calibri" w:cs="Calibri"/>
              <w:color w:val="1E262B"/>
              <w:szCs w:val="22"/>
            </w:rPr>
            <w:fldChar w:fldCharType="separate"/>
          </w:r>
          <w:r w:rsidRPr="00410EF4">
            <w:rPr>
              <w:rFonts w:ascii="Calibri" w:eastAsia="Times New Roman" w:hAnsi="Calibri" w:cs="Calibri"/>
              <w:noProof/>
              <w:color w:val="1E262B"/>
              <w:szCs w:val="22"/>
            </w:rPr>
            <w:t>(CIPD, 2019e)</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p>
    <w:p w14:paraId="37FFEC44" w14:textId="77777777" w:rsidR="00410EF4" w:rsidRDefault="00410EF4" w:rsidP="00183A60">
      <w:pPr>
        <w:spacing w:before="100" w:beforeAutospacing="1" w:after="100" w:afterAutospacing="1"/>
        <w:jc w:val="both"/>
        <w:rPr>
          <w:rFonts w:ascii="Calibri" w:eastAsia="Times New Roman" w:hAnsi="Calibri" w:cs="Calibri"/>
          <w:color w:val="1E262B"/>
          <w:szCs w:val="22"/>
        </w:rPr>
      </w:pPr>
    </w:p>
    <w:p w14:paraId="2D1DF96E" w14:textId="77777777" w:rsidR="00D42FD5" w:rsidRDefault="00410EF4" w:rsidP="00183A60">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lastRenderedPageBreak/>
        <w:t>One of the first models referring to managing change is Lewin’s three phase model</w:t>
      </w:r>
      <w:r w:rsidR="00D42FD5">
        <w:rPr>
          <w:rFonts w:ascii="Calibri" w:eastAsia="Times New Roman" w:hAnsi="Calibri" w:cs="Calibri"/>
          <w:color w:val="1E262B"/>
          <w:szCs w:val="22"/>
        </w:rPr>
        <w:t>. This model focuses on the psychological aspects of behaviour modification:</w:t>
      </w:r>
    </w:p>
    <w:p w14:paraId="3497ECE8" w14:textId="0172BCBE" w:rsidR="00410EF4" w:rsidRDefault="00D42FD5" w:rsidP="00D42FD5">
      <w:pPr>
        <w:pStyle w:val="ListParagraph"/>
        <w:numPr>
          <w:ilvl w:val="0"/>
          <w:numId w:val="8"/>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Unfreezing which can lower the </w:t>
      </w:r>
      <w:r w:rsidR="00E720CA">
        <w:rPr>
          <w:rFonts w:ascii="Calibri" w:eastAsia="Times New Roman" w:hAnsi="Calibri" w:cs="Calibri"/>
          <w:color w:val="1E262B"/>
          <w:szCs w:val="22"/>
        </w:rPr>
        <w:t>resistance</w:t>
      </w:r>
      <w:r>
        <w:rPr>
          <w:rFonts w:ascii="Calibri" w:eastAsia="Times New Roman" w:hAnsi="Calibri" w:cs="Calibri"/>
          <w:color w:val="1E262B"/>
          <w:szCs w:val="22"/>
        </w:rPr>
        <w:t xml:space="preserve"> to change by recognising the need</w:t>
      </w:r>
    </w:p>
    <w:p w14:paraId="13973D2F" w14:textId="2C86AA01" w:rsidR="00D42FD5" w:rsidRDefault="00D42FD5" w:rsidP="00D42FD5">
      <w:pPr>
        <w:pStyle w:val="ListParagraph"/>
        <w:numPr>
          <w:ilvl w:val="0"/>
          <w:numId w:val="8"/>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Movement which develops new attitudes to encourage the change</w:t>
      </w:r>
    </w:p>
    <w:p w14:paraId="7F0F4D50" w14:textId="0FF0E844" w:rsidR="00D42FD5" w:rsidRDefault="00D42FD5" w:rsidP="00D42FD5">
      <w:pPr>
        <w:pStyle w:val="ListParagraph"/>
        <w:numPr>
          <w:ilvl w:val="0"/>
          <w:numId w:val="8"/>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Refreezing in which leaders must stabilise, support and reinforce the new change conditions</w:t>
      </w:r>
      <w:sdt>
        <w:sdtPr>
          <w:rPr>
            <w:rFonts w:ascii="Calibri" w:eastAsia="Times New Roman" w:hAnsi="Calibri" w:cs="Calibri"/>
            <w:color w:val="1E262B"/>
            <w:szCs w:val="22"/>
          </w:rPr>
          <w:id w:val="-2129156997"/>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Lew511 \l 2057 </w:instrText>
          </w:r>
          <w:r>
            <w:rPr>
              <w:rFonts w:ascii="Calibri" w:eastAsia="Times New Roman" w:hAnsi="Calibri" w:cs="Calibri"/>
              <w:color w:val="1E262B"/>
              <w:szCs w:val="22"/>
            </w:rPr>
            <w:fldChar w:fldCharType="separate"/>
          </w:r>
          <w:r>
            <w:rPr>
              <w:rFonts w:ascii="Calibri" w:eastAsia="Times New Roman" w:hAnsi="Calibri" w:cs="Calibri"/>
              <w:noProof/>
              <w:color w:val="1E262B"/>
              <w:szCs w:val="22"/>
            </w:rPr>
            <w:t xml:space="preserve"> </w:t>
          </w:r>
          <w:r w:rsidRPr="00D42FD5">
            <w:rPr>
              <w:rFonts w:ascii="Calibri" w:eastAsia="Times New Roman" w:hAnsi="Calibri" w:cs="Calibri"/>
              <w:noProof/>
              <w:color w:val="1E262B"/>
              <w:szCs w:val="22"/>
            </w:rPr>
            <w:t>(Lewin, 1951)</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sdt>
        <w:sdtPr>
          <w:rPr>
            <w:rFonts w:ascii="Calibri" w:eastAsia="Times New Roman" w:hAnsi="Calibri" w:cs="Calibri"/>
            <w:color w:val="1E262B"/>
            <w:szCs w:val="22"/>
          </w:rPr>
          <w:id w:val="-1979138964"/>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Ree16 \l 2057 </w:instrText>
          </w:r>
          <w:r>
            <w:rPr>
              <w:rFonts w:ascii="Calibri" w:eastAsia="Times New Roman" w:hAnsi="Calibri" w:cs="Calibri"/>
              <w:color w:val="1E262B"/>
              <w:szCs w:val="22"/>
            </w:rPr>
            <w:fldChar w:fldCharType="separate"/>
          </w:r>
          <w:r w:rsidRPr="00D42FD5">
            <w:rPr>
              <w:rFonts w:ascii="Calibri" w:eastAsia="Times New Roman" w:hAnsi="Calibri" w:cs="Calibri"/>
              <w:noProof/>
              <w:color w:val="1E262B"/>
              <w:szCs w:val="22"/>
            </w:rPr>
            <w:t>(Rees &amp; French, 2016)</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p>
    <w:p w14:paraId="280B395E" w14:textId="4663E00F" w:rsidR="00D42FD5" w:rsidRDefault="00D42FD5" w:rsidP="00D42FD5">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This approach is systematic and by identifying and understanding the key stages involved in the process the increase prospect of the change being accepted </w:t>
      </w:r>
      <w:sdt>
        <w:sdtPr>
          <w:rPr>
            <w:rFonts w:ascii="Calibri" w:eastAsia="Times New Roman" w:hAnsi="Calibri" w:cs="Calibri"/>
            <w:color w:val="1E262B"/>
            <w:szCs w:val="22"/>
          </w:rPr>
          <w:id w:val="-815182976"/>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Ree16 \l 2057 </w:instrText>
          </w:r>
          <w:r>
            <w:rPr>
              <w:rFonts w:ascii="Calibri" w:eastAsia="Times New Roman" w:hAnsi="Calibri" w:cs="Calibri"/>
              <w:color w:val="1E262B"/>
              <w:szCs w:val="22"/>
            </w:rPr>
            <w:fldChar w:fldCharType="separate"/>
          </w:r>
          <w:r w:rsidRPr="00D42FD5">
            <w:rPr>
              <w:rFonts w:ascii="Calibri" w:eastAsia="Times New Roman" w:hAnsi="Calibri" w:cs="Calibri"/>
              <w:noProof/>
              <w:color w:val="1E262B"/>
              <w:szCs w:val="22"/>
            </w:rPr>
            <w:t>(Rees &amp; French, 2016)</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p>
    <w:p w14:paraId="00977DB7" w14:textId="0DCA8F58" w:rsidR="00D42FD5" w:rsidRDefault="00D42FD5" w:rsidP="00D42FD5">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However, no matter what processes put in place by managers employees will always be resistant to change. This can be due to a number of factors such as misunderstanding the logic of the proposed change, </w:t>
      </w:r>
      <w:r w:rsidR="005A3701">
        <w:rPr>
          <w:rFonts w:ascii="Calibri" w:eastAsia="Times New Roman" w:hAnsi="Calibri" w:cs="Calibri"/>
          <w:color w:val="1E262B"/>
          <w:szCs w:val="22"/>
        </w:rPr>
        <w:t xml:space="preserve">change can be seen as a personal threat and managers need to be reassured while they are learning </w:t>
      </w:r>
      <w:sdt>
        <w:sdtPr>
          <w:rPr>
            <w:rFonts w:ascii="Calibri" w:eastAsia="Times New Roman" w:hAnsi="Calibri" w:cs="Calibri"/>
            <w:color w:val="1E262B"/>
            <w:szCs w:val="22"/>
          </w:rPr>
          <w:id w:val="1083175334"/>
          <w:citation/>
        </w:sdtPr>
        <w:sdtContent>
          <w:r w:rsidR="005A3701">
            <w:rPr>
              <w:rFonts w:ascii="Calibri" w:eastAsia="Times New Roman" w:hAnsi="Calibri" w:cs="Calibri"/>
              <w:color w:val="1E262B"/>
              <w:szCs w:val="22"/>
            </w:rPr>
            <w:fldChar w:fldCharType="begin"/>
          </w:r>
          <w:r w:rsidR="005A3701">
            <w:rPr>
              <w:rFonts w:ascii="Calibri" w:eastAsia="Times New Roman" w:hAnsi="Calibri" w:cs="Calibri"/>
              <w:color w:val="1E262B"/>
              <w:szCs w:val="22"/>
            </w:rPr>
            <w:instrText xml:space="preserve"> CITATION Ree16 \l 2057 </w:instrText>
          </w:r>
          <w:r w:rsidR="005A3701">
            <w:rPr>
              <w:rFonts w:ascii="Calibri" w:eastAsia="Times New Roman" w:hAnsi="Calibri" w:cs="Calibri"/>
              <w:color w:val="1E262B"/>
              <w:szCs w:val="22"/>
            </w:rPr>
            <w:fldChar w:fldCharType="separate"/>
          </w:r>
          <w:r w:rsidR="005A3701" w:rsidRPr="005A3701">
            <w:rPr>
              <w:rFonts w:ascii="Calibri" w:eastAsia="Times New Roman" w:hAnsi="Calibri" w:cs="Calibri"/>
              <w:noProof/>
              <w:color w:val="1E262B"/>
              <w:szCs w:val="22"/>
            </w:rPr>
            <w:t>(Rees &amp; French, 2016)</w:t>
          </w:r>
          <w:r w:rsidR="005A3701">
            <w:rPr>
              <w:rFonts w:ascii="Calibri" w:eastAsia="Times New Roman" w:hAnsi="Calibri" w:cs="Calibri"/>
              <w:color w:val="1E262B"/>
              <w:szCs w:val="22"/>
            </w:rPr>
            <w:fldChar w:fldCharType="end"/>
          </w:r>
        </w:sdtContent>
      </w:sdt>
      <w:r w:rsidR="005A3701">
        <w:rPr>
          <w:rFonts w:ascii="Calibri" w:eastAsia="Times New Roman" w:hAnsi="Calibri" w:cs="Calibri"/>
          <w:color w:val="1E262B"/>
          <w:szCs w:val="22"/>
        </w:rPr>
        <w:t xml:space="preserve">; </w:t>
      </w:r>
      <w:sdt>
        <w:sdtPr>
          <w:rPr>
            <w:rFonts w:ascii="Calibri" w:eastAsia="Times New Roman" w:hAnsi="Calibri" w:cs="Calibri"/>
            <w:color w:val="1E262B"/>
            <w:szCs w:val="22"/>
          </w:rPr>
          <w:id w:val="1247693132"/>
          <w:citation/>
        </w:sdtPr>
        <w:sdtContent>
          <w:r w:rsidR="005A3701">
            <w:rPr>
              <w:rFonts w:ascii="Calibri" w:eastAsia="Times New Roman" w:hAnsi="Calibri" w:cs="Calibri"/>
              <w:color w:val="1E262B"/>
              <w:szCs w:val="22"/>
            </w:rPr>
            <w:fldChar w:fldCharType="begin"/>
          </w:r>
          <w:r w:rsidR="005A3701">
            <w:rPr>
              <w:rFonts w:ascii="Calibri" w:eastAsia="Times New Roman" w:hAnsi="Calibri" w:cs="Calibri"/>
              <w:color w:val="1E262B"/>
              <w:szCs w:val="22"/>
            </w:rPr>
            <w:instrText xml:space="preserve"> CITATION All08 \l 2057 </w:instrText>
          </w:r>
          <w:r w:rsidR="005A3701">
            <w:rPr>
              <w:rFonts w:ascii="Calibri" w:eastAsia="Times New Roman" w:hAnsi="Calibri" w:cs="Calibri"/>
              <w:color w:val="1E262B"/>
              <w:szCs w:val="22"/>
            </w:rPr>
            <w:fldChar w:fldCharType="separate"/>
          </w:r>
          <w:r w:rsidR="005A3701" w:rsidRPr="005A3701">
            <w:rPr>
              <w:rFonts w:ascii="Calibri" w:eastAsia="Times New Roman" w:hAnsi="Calibri" w:cs="Calibri"/>
              <w:noProof/>
              <w:color w:val="1E262B"/>
              <w:szCs w:val="22"/>
            </w:rPr>
            <w:t>(Allio, 2008)</w:t>
          </w:r>
          <w:r w:rsidR="005A3701">
            <w:rPr>
              <w:rFonts w:ascii="Calibri" w:eastAsia="Times New Roman" w:hAnsi="Calibri" w:cs="Calibri"/>
              <w:color w:val="1E262B"/>
              <w:szCs w:val="22"/>
            </w:rPr>
            <w:fldChar w:fldCharType="end"/>
          </w:r>
        </w:sdtContent>
      </w:sdt>
      <w:r w:rsidR="005A3701">
        <w:rPr>
          <w:rFonts w:ascii="Calibri" w:eastAsia="Times New Roman" w:hAnsi="Calibri" w:cs="Calibri"/>
          <w:color w:val="1E262B"/>
          <w:szCs w:val="22"/>
        </w:rPr>
        <w:t xml:space="preserve">. </w:t>
      </w:r>
    </w:p>
    <w:p w14:paraId="2EE9C9C8" w14:textId="28FF5367" w:rsidR="005A3701" w:rsidRDefault="00E720CA" w:rsidP="00D42FD5">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In order to reduce the impact of change management on an organisations culture, managers must consider the impact change will have on their workforce. </w:t>
      </w:r>
      <w:r w:rsidR="005A3701">
        <w:rPr>
          <w:rFonts w:ascii="Calibri" w:eastAsia="Times New Roman" w:hAnsi="Calibri" w:cs="Calibri"/>
          <w:color w:val="1E262B"/>
          <w:szCs w:val="22"/>
        </w:rPr>
        <w:t xml:space="preserve">The Kubler-Ross change curve highlights the five stage of grief employees will go through during a change process. This first reaction is shock and denial of the situation, followed by anger aimed at management and they will finally begin to accept the change </w:t>
      </w:r>
      <w:sdt>
        <w:sdtPr>
          <w:rPr>
            <w:rFonts w:ascii="Calibri" w:eastAsia="Times New Roman" w:hAnsi="Calibri" w:cs="Calibri"/>
            <w:color w:val="1E262B"/>
            <w:szCs w:val="22"/>
          </w:rPr>
          <w:id w:val="-1430586834"/>
          <w:citation/>
        </w:sdtPr>
        <w:sdtContent>
          <w:r w:rsidR="005A3701">
            <w:rPr>
              <w:rFonts w:ascii="Calibri" w:eastAsia="Times New Roman" w:hAnsi="Calibri" w:cs="Calibri"/>
              <w:color w:val="1E262B"/>
              <w:szCs w:val="22"/>
            </w:rPr>
            <w:fldChar w:fldCharType="begin"/>
          </w:r>
          <w:r w:rsidR="005A3701">
            <w:rPr>
              <w:rFonts w:ascii="Calibri" w:eastAsia="Times New Roman" w:hAnsi="Calibri" w:cs="Calibri"/>
              <w:color w:val="1E262B"/>
              <w:szCs w:val="22"/>
            </w:rPr>
            <w:instrText xml:space="preserve"> CITATION Kub19 \l 2057 </w:instrText>
          </w:r>
          <w:r w:rsidR="005A3701">
            <w:rPr>
              <w:rFonts w:ascii="Calibri" w:eastAsia="Times New Roman" w:hAnsi="Calibri" w:cs="Calibri"/>
              <w:color w:val="1E262B"/>
              <w:szCs w:val="22"/>
            </w:rPr>
            <w:fldChar w:fldCharType="separate"/>
          </w:r>
          <w:r w:rsidR="005A3701" w:rsidRPr="005A3701">
            <w:rPr>
              <w:rFonts w:ascii="Calibri" w:eastAsia="Times New Roman" w:hAnsi="Calibri" w:cs="Calibri"/>
              <w:noProof/>
              <w:color w:val="1E262B"/>
              <w:szCs w:val="22"/>
            </w:rPr>
            <w:t>(Kubler-Ross, 2019)</w:t>
          </w:r>
          <w:r w:rsidR="005A3701">
            <w:rPr>
              <w:rFonts w:ascii="Calibri" w:eastAsia="Times New Roman" w:hAnsi="Calibri" w:cs="Calibri"/>
              <w:color w:val="1E262B"/>
              <w:szCs w:val="22"/>
            </w:rPr>
            <w:fldChar w:fldCharType="end"/>
          </w:r>
        </w:sdtContent>
      </w:sdt>
      <w:r w:rsidR="005A3701">
        <w:rPr>
          <w:rFonts w:ascii="Calibri" w:eastAsia="Times New Roman" w:hAnsi="Calibri" w:cs="Calibri"/>
          <w:color w:val="1E262B"/>
          <w:szCs w:val="22"/>
        </w:rPr>
        <w:t xml:space="preserve">.  </w:t>
      </w:r>
    </w:p>
    <w:p w14:paraId="3B522EDC" w14:textId="77777777" w:rsidR="005A3701" w:rsidRPr="00D42FD5" w:rsidRDefault="005A3701" w:rsidP="00D42FD5">
      <w:pPr>
        <w:spacing w:before="100" w:beforeAutospacing="1" w:after="100" w:afterAutospacing="1"/>
        <w:jc w:val="both"/>
        <w:rPr>
          <w:rFonts w:ascii="Calibri" w:eastAsia="Times New Roman" w:hAnsi="Calibri" w:cs="Calibri"/>
          <w:color w:val="1E262B"/>
          <w:szCs w:val="22"/>
        </w:rPr>
      </w:pPr>
    </w:p>
    <w:p w14:paraId="73DBB13F" w14:textId="0767574C" w:rsidR="00183A60" w:rsidRPr="00687729" w:rsidRDefault="00687729" w:rsidP="00183A60">
      <w:pPr>
        <w:spacing w:before="100" w:beforeAutospacing="1" w:after="100" w:afterAutospacing="1"/>
        <w:jc w:val="both"/>
        <w:rPr>
          <w:rFonts w:ascii="Calibri" w:eastAsia="Times New Roman" w:hAnsi="Calibri" w:cs="Calibri"/>
          <w:color w:val="1E262B"/>
          <w:szCs w:val="22"/>
          <w:u w:val="single"/>
        </w:rPr>
      </w:pPr>
      <w:r>
        <w:rPr>
          <w:rFonts w:ascii="Calibri" w:eastAsia="Times New Roman" w:hAnsi="Calibri" w:cs="Calibri"/>
          <w:color w:val="1E262B"/>
          <w:szCs w:val="22"/>
          <w:u w:val="single"/>
        </w:rPr>
        <w:t>Psychological Contract</w:t>
      </w:r>
    </w:p>
    <w:p w14:paraId="23EE686B" w14:textId="55E7696E" w:rsidR="00183A60" w:rsidRDefault="00687729" w:rsidP="00183A60">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The term </w:t>
      </w:r>
      <w:r w:rsidR="00E720CA">
        <w:rPr>
          <w:rFonts w:ascii="Calibri" w:eastAsia="Times New Roman" w:hAnsi="Calibri" w:cs="Calibri"/>
          <w:color w:val="1E262B"/>
          <w:szCs w:val="22"/>
        </w:rPr>
        <w:t>psychological</w:t>
      </w:r>
      <w:r>
        <w:rPr>
          <w:rFonts w:ascii="Calibri" w:eastAsia="Times New Roman" w:hAnsi="Calibri" w:cs="Calibri"/>
          <w:color w:val="1E262B"/>
          <w:szCs w:val="22"/>
        </w:rPr>
        <w:t xml:space="preserve"> contract refers to </w:t>
      </w:r>
      <w:r w:rsidR="00E720CA">
        <w:rPr>
          <w:rFonts w:ascii="Calibri" w:eastAsia="Times New Roman" w:hAnsi="Calibri" w:cs="Calibri"/>
          <w:color w:val="1E262B"/>
          <w:szCs w:val="22"/>
        </w:rPr>
        <w:t>employees’</w:t>
      </w:r>
      <w:r>
        <w:rPr>
          <w:rFonts w:ascii="Calibri" w:eastAsia="Times New Roman" w:hAnsi="Calibri" w:cs="Calibri"/>
          <w:color w:val="1E262B"/>
          <w:szCs w:val="22"/>
        </w:rPr>
        <w:t xml:space="preserve"> expectations, beliefs, ambitions as perceived by the employer. </w:t>
      </w:r>
      <w:r w:rsidR="0021651E">
        <w:rPr>
          <w:rFonts w:ascii="Calibri" w:eastAsia="Times New Roman" w:hAnsi="Calibri" w:cs="Calibri"/>
          <w:color w:val="1E262B"/>
          <w:szCs w:val="22"/>
        </w:rPr>
        <w:t>The psychological contract can cover a variety of aspects of the employment relationship these include and not limited to:</w:t>
      </w:r>
    </w:p>
    <w:p w14:paraId="6FDD4B01" w14:textId="2A3CCC45" w:rsidR="0021651E" w:rsidRDefault="0021651E" w:rsidP="0021651E">
      <w:pPr>
        <w:pStyle w:val="ListParagraph"/>
        <w:numPr>
          <w:ilvl w:val="0"/>
          <w:numId w:val="9"/>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Job security</w:t>
      </w:r>
    </w:p>
    <w:p w14:paraId="79754D47" w14:textId="6898A210" w:rsidR="0021651E" w:rsidRDefault="0021651E" w:rsidP="0021651E">
      <w:pPr>
        <w:pStyle w:val="ListParagraph"/>
        <w:numPr>
          <w:ilvl w:val="0"/>
          <w:numId w:val="9"/>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Career prospects</w:t>
      </w:r>
    </w:p>
    <w:p w14:paraId="428E1BF9" w14:textId="5B0AE444" w:rsidR="0021651E" w:rsidRDefault="0021651E" w:rsidP="0021651E">
      <w:pPr>
        <w:pStyle w:val="ListParagraph"/>
        <w:numPr>
          <w:ilvl w:val="0"/>
          <w:numId w:val="9"/>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Manager support</w:t>
      </w:r>
    </w:p>
    <w:p w14:paraId="4BE3E4E9" w14:textId="11A27175" w:rsidR="0021651E" w:rsidRDefault="0021651E" w:rsidP="0021651E">
      <w:pPr>
        <w:pStyle w:val="ListParagraph"/>
        <w:numPr>
          <w:ilvl w:val="0"/>
          <w:numId w:val="9"/>
        </w:num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Employers reputation and impact on the society </w:t>
      </w:r>
      <w:sdt>
        <w:sdtPr>
          <w:rPr>
            <w:rFonts w:ascii="Calibri" w:eastAsia="Times New Roman" w:hAnsi="Calibri" w:cs="Calibri"/>
            <w:color w:val="1E262B"/>
            <w:szCs w:val="22"/>
          </w:rPr>
          <w:id w:val="-1325194317"/>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CIP0d \l 2057 </w:instrText>
          </w:r>
          <w:r>
            <w:rPr>
              <w:rFonts w:ascii="Calibri" w:eastAsia="Times New Roman" w:hAnsi="Calibri" w:cs="Calibri"/>
              <w:color w:val="1E262B"/>
              <w:szCs w:val="22"/>
            </w:rPr>
            <w:fldChar w:fldCharType="separate"/>
          </w:r>
          <w:r w:rsidRPr="0021651E">
            <w:rPr>
              <w:rFonts w:ascii="Calibri" w:eastAsia="Times New Roman" w:hAnsi="Calibri" w:cs="Calibri"/>
              <w:noProof/>
              <w:color w:val="1E262B"/>
              <w:szCs w:val="22"/>
            </w:rPr>
            <w:t>(CIPD, 2020d)</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p>
    <w:p w14:paraId="2DBE5195" w14:textId="2850392A" w:rsidR="0021651E" w:rsidRDefault="0021651E" w:rsidP="0021651E">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The significance of the psychological contract is that it heavily influences the behaviour of employees. Breaches of this contract are not always avoidable and are at time impacted by external factors outside of the organisations control </w:t>
      </w:r>
      <w:sdt>
        <w:sdtPr>
          <w:rPr>
            <w:rFonts w:ascii="Calibri" w:eastAsia="Times New Roman" w:hAnsi="Calibri" w:cs="Calibri"/>
            <w:color w:val="1E262B"/>
            <w:szCs w:val="22"/>
          </w:rPr>
          <w:id w:val="-74513113"/>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CIP0d \l 2057 </w:instrText>
          </w:r>
          <w:r>
            <w:rPr>
              <w:rFonts w:ascii="Calibri" w:eastAsia="Times New Roman" w:hAnsi="Calibri" w:cs="Calibri"/>
              <w:color w:val="1E262B"/>
              <w:szCs w:val="22"/>
            </w:rPr>
            <w:fldChar w:fldCharType="separate"/>
          </w:r>
          <w:r w:rsidRPr="0021651E">
            <w:rPr>
              <w:rFonts w:ascii="Calibri" w:eastAsia="Times New Roman" w:hAnsi="Calibri" w:cs="Calibri"/>
              <w:noProof/>
              <w:color w:val="1E262B"/>
              <w:szCs w:val="22"/>
            </w:rPr>
            <w:t>(CIPD, 2020d)</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 xml:space="preserve">. </w:t>
      </w:r>
      <w:r w:rsidR="00F73E85">
        <w:rPr>
          <w:rFonts w:ascii="Calibri" w:eastAsia="Times New Roman" w:hAnsi="Calibri" w:cs="Calibri"/>
          <w:color w:val="1E262B"/>
          <w:szCs w:val="22"/>
        </w:rPr>
        <w:t xml:space="preserve"> </w:t>
      </w:r>
    </w:p>
    <w:p w14:paraId="063EC32E" w14:textId="3BA991D4" w:rsidR="0021651E" w:rsidRPr="0021651E" w:rsidRDefault="0021651E" w:rsidP="0021651E">
      <w:pPr>
        <w:spacing w:before="100" w:beforeAutospacing="1" w:after="100" w:afterAutospacing="1"/>
        <w:jc w:val="both"/>
        <w:rPr>
          <w:rFonts w:ascii="Calibri" w:eastAsia="Times New Roman" w:hAnsi="Calibri" w:cs="Calibri"/>
          <w:color w:val="1E262B"/>
          <w:szCs w:val="22"/>
        </w:rPr>
      </w:pPr>
      <w:r>
        <w:rPr>
          <w:rFonts w:ascii="Calibri" w:eastAsia="Times New Roman" w:hAnsi="Calibri" w:cs="Calibri"/>
          <w:color w:val="1E262B"/>
          <w:szCs w:val="22"/>
        </w:rPr>
        <w:t xml:space="preserve">Managers need to be aware that it is their responsibility to maintain employment relationships and that interventions based around resilience can help employees when breaches to the psychological contract do occur </w:t>
      </w:r>
      <w:sdt>
        <w:sdtPr>
          <w:rPr>
            <w:rFonts w:ascii="Calibri" w:eastAsia="Times New Roman" w:hAnsi="Calibri" w:cs="Calibri"/>
            <w:color w:val="1E262B"/>
            <w:szCs w:val="22"/>
          </w:rPr>
          <w:id w:val="-801776799"/>
          <w:citation/>
        </w:sdtPr>
        <w:sdtContent>
          <w:r>
            <w:rPr>
              <w:rFonts w:ascii="Calibri" w:eastAsia="Times New Roman" w:hAnsi="Calibri" w:cs="Calibri"/>
              <w:color w:val="1E262B"/>
              <w:szCs w:val="22"/>
            </w:rPr>
            <w:fldChar w:fldCharType="begin"/>
          </w:r>
          <w:r>
            <w:rPr>
              <w:rFonts w:ascii="Calibri" w:eastAsia="Times New Roman" w:hAnsi="Calibri" w:cs="Calibri"/>
              <w:color w:val="1E262B"/>
              <w:szCs w:val="22"/>
            </w:rPr>
            <w:instrText xml:space="preserve"> CITATION CIP0d \l 2057 </w:instrText>
          </w:r>
          <w:r>
            <w:rPr>
              <w:rFonts w:ascii="Calibri" w:eastAsia="Times New Roman" w:hAnsi="Calibri" w:cs="Calibri"/>
              <w:color w:val="1E262B"/>
              <w:szCs w:val="22"/>
            </w:rPr>
            <w:fldChar w:fldCharType="separate"/>
          </w:r>
          <w:r w:rsidRPr="0021651E">
            <w:rPr>
              <w:rFonts w:ascii="Calibri" w:eastAsia="Times New Roman" w:hAnsi="Calibri" w:cs="Calibri"/>
              <w:noProof/>
              <w:color w:val="1E262B"/>
              <w:szCs w:val="22"/>
            </w:rPr>
            <w:t>(CIPD, 2020d)</w:t>
          </w:r>
          <w:r>
            <w:rPr>
              <w:rFonts w:ascii="Calibri" w:eastAsia="Times New Roman" w:hAnsi="Calibri" w:cs="Calibri"/>
              <w:color w:val="1E262B"/>
              <w:szCs w:val="22"/>
            </w:rPr>
            <w:fldChar w:fldCharType="end"/>
          </w:r>
        </w:sdtContent>
      </w:sdt>
      <w:r>
        <w:rPr>
          <w:rFonts w:ascii="Calibri" w:eastAsia="Times New Roman" w:hAnsi="Calibri" w:cs="Calibri"/>
          <w:color w:val="1E262B"/>
          <w:szCs w:val="22"/>
        </w:rPr>
        <w:t>.</w:t>
      </w:r>
    </w:p>
    <w:p w14:paraId="2B30FCC4" w14:textId="0757CD9D" w:rsidR="003F39B9" w:rsidRDefault="003F39B9" w:rsidP="003F39B9">
      <w:pPr>
        <w:spacing w:before="100" w:beforeAutospacing="1" w:after="100" w:afterAutospacing="1"/>
        <w:rPr>
          <w:rFonts w:ascii="Times New Roman" w:eastAsia="Times New Roman" w:hAnsi="Times New Roman" w:cs="Times New Roman"/>
        </w:rPr>
      </w:pPr>
    </w:p>
    <w:p w14:paraId="7A622C6A" w14:textId="234ED798" w:rsidR="00A65E65" w:rsidRDefault="00A65E65" w:rsidP="003F39B9">
      <w:pPr>
        <w:spacing w:before="100" w:beforeAutospacing="1" w:after="100" w:afterAutospacing="1"/>
        <w:rPr>
          <w:rFonts w:ascii="Times New Roman" w:eastAsia="Times New Roman" w:hAnsi="Times New Roman" w:cs="Times New Roman"/>
        </w:rPr>
      </w:pPr>
    </w:p>
    <w:p w14:paraId="22B1AA14" w14:textId="77777777" w:rsidR="00A65E65" w:rsidRPr="003F39B9" w:rsidRDefault="00A65E65" w:rsidP="003F39B9">
      <w:pPr>
        <w:spacing w:before="100" w:beforeAutospacing="1" w:after="100" w:afterAutospacing="1"/>
        <w:rPr>
          <w:rFonts w:ascii="Times New Roman" w:eastAsia="Times New Roman" w:hAnsi="Times New Roman" w:cs="Times New Roman"/>
        </w:rPr>
      </w:pPr>
    </w:p>
    <w:p w14:paraId="706A9CD2" w14:textId="5B7FBCF0" w:rsidR="003F39B9" w:rsidRPr="00A65E65" w:rsidRDefault="00CD6C6E" w:rsidP="00A234E8">
      <w:pPr>
        <w:jc w:val="both"/>
        <w:rPr>
          <w:b/>
        </w:rPr>
      </w:pPr>
      <w:r w:rsidRPr="00A65E65">
        <w:rPr>
          <w:b/>
        </w:rPr>
        <w:lastRenderedPageBreak/>
        <w:t xml:space="preserve">Section 1 </w:t>
      </w:r>
      <w:r w:rsidR="003A7EE1" w:rsidRPr="00A65E65">
        <w:rPr>
          <w:b/>
        </w:rPr>
        <w:t>A</w:t>
      </w:r>
    </w:p>
    <w:p w14:paraId="6F8688C6" w14:textId="691A1B43" w:rsidR="009E14E7" w:rsidRDefault="00E720CA" w:rsidP="00A234E8">
      <w:pPr>
        <w:jc w:val="both"/>
      </w:pPr>
      <w:r>
        <w:t>MacLeod’s</w:t>
      </w:r>
      <w:r w:rsidR="003A7EE1">
        <w:t xml:space="preserve"> four enablers of employee engagement can be closely linked to the soft model of HRM</w:t>
      </w:r>
      <w:r w:rsidR="000A5EB5">
        <w:t xml:space="preserve"> which emphasises employee commitment and engagement and align it with the interest of employees and management </w:t>
      </w:r>
      <w:sdt>
        <w:sdtPr>
          <w:id w:val="-977686951"/>
          <w:citation/>
        </w:sdtPr>
        <w:sdtContent>
          <w:r w:rsidR="000A5EB5">
            <w:fldChar w:fldCharType="begin"/>
          </w:r>
          <w:r w:rsidR="000A5EB5">
            <w:instrText xml:space="preserve"> CITATION Ree16 \l 2057 </w:instrText>
          </w:r>
          <w:r w:rsidR="000A5EB5">
            <w:fldChar w:fldCharType="separate"/>
          </w:r>
          <w:r w:rsidR="000A5EB5" w:rsidRPr="000A5EB5">
            <w:rPr>
              <w:noProof/>
            </w:rPr>
            <w:t>(Rees &amp; French, 2016)</w:t>
          </w:r>
          <w:r w:rsidR="000A5EB5">
            <w:fldChar w:fldCharType="end"/>
          </w:r>
        </w:sdtContent>
      </w:sdt>
      <w:r w:rsidR="000A5EB5">
        <w:t xml:space="preserve">. When employers are able to achieve high levels of engagement from its workforce it is claimed that this can lead to organisational success and employee wellbeing </w:t>
      </w:r>
      <w:sdt>
        <w:sdtPr>
          <w:id w:val="-1109425994"/>
          <w:citation/>
        </w:sdtPr>
        <w:sdtContent>
          <w:r w:rsidR="000A5EB5">
            <w:fldChar w:fldCharType="begin"/>
          </w:r>
          <w:r w:rsidR="000A5EB5">
            <w:instrText xml:space="preserve"> CITATION Mac09 \l 2057 </w:instrText>
          </w:r>
          <w:r w:rsidR="000A5EB5">
            <w:fldChar w:fldCharType="separate"/>
          </w:r>
          <w:r w:rsidR="000A5EB5" w:rsidRPr="000A5EB5">
            <w:rPr>
              <w:noProof/>
            </w:rPr>
            <w:t>(Macloed &amp; Clark, 2009)</w:t>
          </w:r>
          <w:r w:rsidR="000A5EB5">
            <w:fldChar w:fldCharType="end"/>
          </w:r>
        </w:sdtContent>
      </w:sdt>
      <w:r w:rsidR="000A5EB5">
        <w:t xml:space="preserve">. </w:t>
      </w:r>
    </w:p>
    <w:p w14:paraId="76001B0F" w14:textId="6706E3EA" w:rsidR="000A5EB5" w:rsidRDefault="000A5EB5" w:rsidP="00A234E8">
      <w:pPr>
        <w:jc w:val="both"/>
      </w:pPr>
    </w:p>
    <w:p w14:paraId="0E628298" w14:textId="006B22DE" w:rsidR="000A5EB5" w:rsidRPr="00A65E65" w:rsidRDefault="000A5EB5" w:rsidP="00A234E8">
      <w:pPr>
        <w:jc w:val="both"/>
        <w:rPr>
          <w:u w:val="single"/>
        </w:rPr>
      </w:pPr>
      <w:r w:rsidRPr="00A65E65">
        <w:rPr>
          <w:u w:val="single"/>
        </w:rPr>
        <w:t xml:space="preserve">Strategic narrative </w:t>
      </w:r>
    </w:p>
    <w:p w14:paraId="29255426" w14:textId="6F5DA097" w:rsidR="000A5EB5" w:rsidRDefault="00E720CA" w:rsidP="00A234E8">
      <w:pPr>
        <w:jc w:val="both"/>
      </w:pPr>
      <w:r>
        <w:t>MacLeod</w:t>
      </w:r>
      <w:r w:rsidR="000A5EB5">
        <w:t xml:space="preserve"> believes that the strategic narrative of an organisation should be communicated clearly to its workforce in order to identify how it fits into the organisations overall business objectives and strategy. This is carried out through</w:t>
      </w:r>
      <w:r w:rsidR="00EB10C5">
        <w:t xml:space="preserve"> employees identifying with the </w:t>
      </w:r>
      <w:r>
        <w:t>organisation’s</w:t>
      </w:r>
      <w:r w:rsidR="00EB10C5">
        <w:t xml:space="preserve"> values and goals. Committed employees who understand the organisations overall objectives are more likely to provide higher levels of performance </w:t>
      </w:r>
      <w:sdt>
        <w:sdtPr>
          <w:id w:val="-1696221999"/>
          <w:citation/>
        </w:sdtPr>
        <w:sdtContent>
          <w:r w:rsidR="00EB10C5">
            <w:fldChar w:fldCharType="begin"/>
          </w:r>
          <w:r w:rsidR="00EB10C5">
            <w:instrText xml:space="preserve"> CITATION Cha12 \l 2057 </w:instrText>
          </w:r>
          <w:r w:rsidR="00EB10C5">
            <w:fldChar w:fldCharType="separate"/>
          </w:r>
          <w:r w:rsidR="00EB10C5" w:rsidRPr="00EB10C5">
            <w:rPr>
              <w:noProof/>
            </w:rPr>
            <w:t>(Chamberlain, 2012)</w:t>
          </w:r>
          <w:r w:rsidR="00EB10C5">
            <w:fldChar w:fldCharType="end"/>
          </w:r>
        </w:sdtContent>
      </w:sdt>
      <w:r w:rsidR="00EB10C5">
        <w:t xml:space="preserve">; </w:t>
      </w:r>
      <w:sdt>
        <w:sdtPr>
          <w:id w:val="-294605016"/>
          <w:citation/>
        </w:sdtPr>
        <w:sdtContent>
          <w:r w:rsidR="00EB10C5">
            <w:fldChar w:fldCharType="begin"/>
          </w:r>
          <w:r w:rsidR="00EB10C5">
            <w:instrText xml:space="preserve"> CITATION Cha09 \l 2057 </w:instrText>
          </w:r>
          <w:r w:rsidR="00EB10C5">
            <w:fldChar w:fldCharType="separate"/>
          </w:r>
          <w:r w:rsidR="00EB10C5" w:rsidRPr="00EB10C5">
            <w:rPr>
              <w:noProof/>
            </w:rPr>
            <w:t>(Chalofsky &amp; Krishna, 2009)</w:t>
          </w:r>
          <w:r w:rsidR="00EB10C5">
            <w:fldChar w:fldCharType="end"/>
          </w:r>
        </w:sdtContent>
      </w:sdt>
      <w:r w:rsidR="00EB10C5">
        <w:t xml:space="preserve">. </w:t>
      </w:r>
    </w:p>
    <w:p w14:paraId="4A5B78A6" w14:textId="323057D7" w:rsidR="00EB10C5" w:rsidRDefault="00EB10C5" w:rsidP="00A234E8">
      <w:pPr>
        <w:jc w:val="both"/>
      </w:pPr>
    </w:p>
    <w:p w14:paraId="7C9D5398" w14:textId="58E6DFCD" w:rsidR="00093485" w:rsidRDefault="00EB10C5" w:rsidP="00A234E8">
      <w:pPr>
        <w:jc w:val="both"/>
      </w:pPr>
      <w:r>
        <w:t>The weaknesses of the strategic narrative</w:t>
      </w:r>
      <w:r w:rsidR="00093485">
        <w:t xml:space="preserve"> </w:t>
      </w:r>
      <w:r w:rsidR="00E720CA">
        <w:t>are</w:t>
      </w:r>
      <w:r w:rsidR="00093485">
        <w:t xml:space="preserve"> that it changes and develops over time which must be clearly communicated to employees. </w:t>
      </w:r>
    </w:p>
    <w:p w14:paraId="74BB5BF9" w14:textId="67D48692" w:rsidR="00093485" w:rsidRPr="00093485" w:rsidRDefault="00093485" w:rsidP="00093485">
      <w:pPr>
        <w:spacing w:before="100" w:beforeAutospacing="1" w:after="100" w:afterAutospacing="1"/>
        <w:jc w:val="both"/>
        <w:rPr>
          <w:rFonts w:eastAsia="Times New Roman" w:cstheme="minorHAnsi"/>
          <w:bCs/>
        </w:rPr>
      </w:pPr>
      <w:r w:rsidRPr="00093485">
        <w:rPr>
          <w:rFonts w:eastAsia="Times New Roman" w:cstheme="minorHAnsi"/>
          <w:bCs/>
        </w:rPr>
        <w:t xml:space="preserve">Communication is a critical part of employee engagement, which in turn promotes better performance, employee retention and well-being.  Employees are more likely to engage and contribute when there’s an open communication culture. Good employee communication will help people to understand their organisation’s purpose and </w:t>
      </w:r>
      <w:r>
        <w:rPr>
          <w:rFonts w:eastAsia="Times New Roman" w:cstheme="minorHAnsi"/>
          <w:bCs/>
        </w:rPr>
        <w:t xml:space="preserve">overall </w:t>
      </w:r>
      <w:r w:rsidRPr="00093485">
        <w:rPr>
          <w:rFonts w:eastAsia="Times New Roman" w:cstheme="minorHAnsi"/>
          <w:bCs/>
        </w:rPr>
        <w:t xml:space="preserve">strategy. </w:t>
      </w:r>
    </w:p>
    <w:p w14:paraId="1240F186" w14:textId="3C545083" w:rsidR="00093485" w:rsidRDefault="00093485" w:rsidP="00093485">
      <w:pPr>
        <w:spacing w:before="100" w:beforeAutospacing="1" w:after="100" w:afterAutospacing="1"/>
        <w:jc w:val="both"/>
        <w:rPr>
          <w:rFonts w:eastAsia="Times New Roman" w:cstheme="minorHAnsi"/>
          <w:bCs/>
        </w:rPr>
      </w:pPr>
      <w:r w:rsidRPr="00093485">
        <w:rPr>
          <w:rFonts w:eastAsia="Times New Roman" w:cstheme="minorHAnsi"/>
          <w:bCs/>
        </w:rPr>
        <w:t xml:space="preserve">However, despite the needs. Faced with change, senior leaders often struggle to communicate clearly about where the organisation is going and the impact on employees. Equally, managers can lack the skills, confidence and time needed to communicate well with their teams. The CIPD UK </w:t>
      </w:r>
      <w:r w:rsidR="00A65E65">
        <w:rPr>
          <w:rFonts w:eastAsia="Times New Roman" w:cstheme="minorHAnsi"/>
          <w:bCs/>
        </w:rPr>
        <w:t>W</w:t>
      </w:r>
      <w:r w:rsidRPr="00093485">
        <w:rPr>
          <w:rFonts w:eastAsia="Times New Roman" w:cstheme="minorHAnsi"/>
          <w:bCs/>
        </w:rPr>
        <w:t xml:space="preserve">orking </w:t>
      </w:r>
      <w:r w:rsidR="00A65E65">
        <w:rPr>
          <w:rFonts w:eastAsia="Times New Roman" w:cstheme="minorHAnsi"/>
          <w:bCs/>
        </w:rPr>
        <w:t>L</w:t>
      </w:r>
      <w:r w:rsidRPr="00093485">
        <w:rPr>
          <w:rFonts w:eastAsia="Times New Roman" w:cstheme="minorHAnsi"/>
          <w:bCs/>
        </w:rPr>
        <w:t xml:space="preserve">ives </w:t>
      </w:r>
      <w:r w:rsidR="00A65E65">
        <w:rPr>
          <w:rFonts w:eastAsia="Times New Roman" w:cstheme="minorHAnsi"/>
          <w:bCs/>
        </w:rPr>
        <w:t>S</w:t>
      </w:r>
      <w:r w:rsidRPr="00093485">
        <w:rPr>
          <w:rFonts w:eastAsia="Times New Roman" w:cstheme="minorHAnsi"/>
          <w:bCs/>
        </w:rPr>
        <w:t>urvey stated that around a third of employees reported their manager as being poor at keeping them informed about management decisions</w:t>
      </w:r>
      <w:r>
        <w:rPr>
          <w:rFonts w:eastAsia="Times New Roman" w:cstheme="minorHAnsi"/>
          <w:bCs/>
        </w:rPr>
        <w:t xml:space="preserve"> </w:t>
      </w:r>
      <w:sdt>
        <w:sdtPr>
          <w:rPr>
            <w:rFonts w:eastAsia="Times New Roman" w:cstheme="minorHAnsi"/>
            <w:bCs/>
          </w:rPr>
          <w:id w:val="1286548306"/>
          <w:citation/>
        </w:sdtPr>
        <w:sdtContent>
          <w:r>
            <w:rPr>
              <w:rFonts w:eastAsia="Times New Roman" w:cstheme="minorHAnsi"/>
              <w:bCs/>
            </w:rPr>
            <w:fldChar w:fldCharType="begin"/>
          </w:r>
          <w:r>
            <w:rPr>
              <w:rFonts w:eastAsia="Times New Roman" w:cstheme="minorHAnsi"/>
              <w:bCs/>
            </w:rPr>
            <w:instrText xml:space="preserve"> CITATION CIP9c1 \l 2057 </w:instrText>
          </w:r>
          <w:r>
            <w:rPr>
              <w:rFonts w:eastAsia="Times New Roman" w:cstheme="minorHAnsi"/>
              <w:bCs/>
            </w:rPr>
            <w:fldChar w:fldCharType="separate"/>
          </w:r>
          <w:r w:rsidRPr="00093485">
            <w:rPr>
              <w:rFonts w:eastAsia="Times New Roman" w:cstheme="minorHAnsi"/>
              <w:noProof/>
            </w:rPr>
            <w:t>(CIPD, 2019c)</w:t>
          </w:r>
          <w:r>
            <w:rPr>
              <w:rFonts w:eastAsia="Times New Roman" w:cstheme="minorHAnsi"/>
              <w:bCs/>
            </w:rPr>
            <w:fldChar w:fldCharType="end"/>
          </w:r>
        </w:sdtContent>
      </w:sdt>
      <w:r>
        <w:rPr>
          <w:rFonts w:eastAsia="Times New Roman" w:cstheme="minorHAnsi"/>
          <w:bCs/>
        </w:rPr>
        <w:t>;</w:t>
      </w:r>
      <w:sdt>
        <w:sdtPr>
          <w:rPr>
            <w:rFonts w:eastAsia="Times New Roman" w:cstheme="minorHAnsi"/>
            <w:bCs/>
          </w:rPr>
          <w:id w:val="243617274"/>
          <w:citation/>
        </w:sdtPr>
        <w:sdtContent>
          <w:r>
            <w:rPr>
              <w:rFonts w:eastAsia="Times New Roman" w:cstheme="minorHAnsi"/>
              <w:bCs/>
            </w:rPr>
            <w:fldChar w:fldCharType="begin"/>
          </w:r>
          <w:r w:rsidR="0021651E">
            <w:rPr>
              <w:rFonts w:eastAsia="Times New Roman" w:cstheme="minorHAnsi"/>
              <w:bCs/>
            </w:rPr>
            <w:instrText xml:space="preserve">CITATION CIP201 \m CIP202 \l 2057 </w:instrText>
          </w:r>
          <w:r>
            <w:rPr>
              <w:rFonts w:eastAsia="Times New Roman" w:cstheme="minorHAnsi"/>
              <w:bCs/>
            </w:rPr>
            <w:fldChar w:fldCharType="separate"/>
          </w:r>
          <w:r w:rsidR="0021651E">
            <w:rPr>
              <w:rFonts w:eastAsia="Times New Roman" w:cstheme="minorHAnsi"/>
              <w:bCs/>
              <w:noProof/>
            </w:rPr>
            <w:t xml:space="preserve"> </w:t>
          </w:r>
          <w:r w:rsidR="0021651E" w:rsidRPr="0021651E">
            <w:rPr>
              <w:rFonts w:eastAsia="Times New Roman" w:cstheme="minorHAnsi"/>
              <w:noProof/>
            </w:rPr>
            <w:t>(CIPD, 2020; CIPD, 2020c)</w:t>
          </w:r>
          <w:r>
            <w:rPr>
              <w:rFonts w:eastAsia="Times New Roman" w:cstheme="minorHAnsi"/>
              <w:bCs/>
            </w:rPr>
            <w:fldChar w:fldCharType="end"/>
          </w:r>
        </w:sdtContent>
      </w:sdt>
      <w:r>
        <w:rPr>
          <w:rFonts w:eastAsia="Times New Roman" w:cstheme="minorHAnsi"/>
          <w:bCs/>
        </w:rPr>
        <w:t xml:space="preserve">. </w:t>
      </w:r>
    </w:p>
    <w:p w14:paraId="43D3AAF6" w14:textId="2A526CD8" w:rsidR="00D8399C" w:rsidRDefault="00D8399C" w:rsidP="00093485">
      <w:pPr>
        <w:spacing w:before="100" w:beforeAutospacing="1" w:after="100" w:afterAutospacing="1"/>
        <w:jc w:val="both"/>
        <w:rPr>
          <w:rFonts w:eastAsia="Times New Roman" w:cstheme="minorHAnsi"/>
          <w:bCs/>
        </w:rPr>
      </w:pPr>
    </w:p>
    <w:p w14:paraId="37266D44" w14:textId="1D86F3E0" w:rsidR="00D8399C" w:rsidRPr="00A65E65" w:rsidRDefault="00D8399C" w:rsidP="00093485">
      <w:pPr>
        <w:spacing w:before="100" w:beforeAutospacing="1" w:after="100" w:afterAutospacing="1"/>
        <w:jc w:val="both"/>
        <w:rPr>
          <w:rFonts w:eastAsia="Times New Roman" w:cstheme="minorHAnsi"/>
          <w:bCs/>
          <w:u w:val="single"/>
        </w:rPr>
      </w:pPr>
      <w:r w:rsidRPr="00A65E65">
        <w:rPr>
          <w:rFonts w:eastAsia="Times New Roman" w:cstheme="minorHAnsi"/>
          <w:bCs/>
          <w:u w:val="single"/>
        </w:rPr>
        <w:t>Engaging managers</w:t>
      </w:r>
    </w:p>
    <w:p w14:paraId="7C2181F8" w14:textId="0B6E0078" w:rsidR="00B273C2" w:rsidRDefault="00D8399C" w:rsidP="00093485">
      <w:pPr>
        <w:spacing w:before="100" w:beforeAutospacing="1" w:after="100" w:afterAutospacing="1"/>
        <w:jc w:val="both"/>
        <w:rPr>
          <w:rFonts w:eastAsia="Times New Roman" w:cstheme="minorHAnsi"/>
          <w:bCs/>
        </w:rPr>
      </w:pPr>
      <w:r>
        <w:rPr>
          <w:rFonts w:eastAsia="Times New Roman" w:cstheme="minorHAnsi"/>
          <w:bCs/>
        </w:rPr>
        <w:t xml:space="preserve">An engaging manager communicates clearly and makes its expectations clear to employees. Engaging managers listen and involve their team members in the devising and share a clear strategic vision </w:t>
      </w:r>
      <w:sdt>
        <w:sdtPr>
          <w:rPr>
            <w:rFonts w:eastAsia="Times New Roman" w:cstheme="minorHAnsi"/>
            <w:bCs/>
          </w:rPr>
          <w:id w:val="-941378135"/>
          <w:citation/>
        </w:sdtPr>
        <w:sdtContent>
          <w:r w:rsidR="00D46600">
            <w:rPr>
              <w:rFonts w:eastAsia="Times New Roman" w:cstheme="minorHAnsi"/>
              <w:bCs/>
            </w:rPr>
            <w:fldChar w:fldCharType="begin"/>
          </w:r>
          <w:r w:rsidR="00D46600">
            <w:rPr>
              <w:rFonts w:eastAsia="Times New Roman" w:cstheme="minorHAnsi"/>
              <w:bCs/>
            </w:rPr>
            <w:instrText xml:space="preserve">CITATION Robon \l 2057 </w:instrText>
          </w:r>
          <w:r w:rsidR="00D46600">
            <w:rPr>
              <w:rFonts w:eastAsia="Times New Roman" w:cstheme="minorHAnsi"/>
              <w:bCs/>
            </w:rPr>
            <w:fldChar w:fldCharType="separate"/>
          </w:r>
          <w:r w:rsidR="00D46600" w:rsidRPr="00D46600">
            <w:rPr>
              <w:rFonts w:eastAsia="Times New Roman" w:cstheme="minorHAnsi"/>
              <w:noProof/>
            </w:rPr>
            <w:t>(Robinson, 2013)</w:t>
          </w:r>
          <w:r w:rsidR="00D46600">
            <w:rPr>
              <w:rFonts w:eastAsia="Times New Roman" w:cstheme="minorHAnsi"/>
              <w:bCs/>
            </w:rPr>
            <w:fldChar w:fldCharType="end"/>
          </w:r>
        </w:sdtContent>
      </w:sdt>
      <w:r w:rsidR="00D46600">
        <w:rPr>
          <w:rFonts w:eastAsia="Times New Roman" w:cstheme="minorHAnsi"/>
          <w:bCs/>
        </w:rPr>
        <w:t xml:space="preserve">. </w:t>
      </w:r>
      <w:r>
        <w:rPr>
          <w:rFonts w:eastAsia="Times New Roman" w:cstheme="minorHAnsi"/>
          <w:bCs/>
        </w:rPr>
        <w:t xml:space="preserve"> </w:t>
      </w:r>
      <w:r w:rsidR="00B273C2">
        <w:rPr>
          <w:rFonts w:eastAsia="Times New Roman" w:cstheme="minorHAnsi"/>
          <w:bCs/>
        </w:rPr>
        <w:t xml:space="preserve">Studies have shown that managers are a key driver of engagement within organisations. If a manager has a strong belief in their own capabilities it can have a positive influence on their employees. It has been found that to be an engaged manager they must foster engagement when reviewing, giving feedback, recognition and empowering their workforce </w:t>
      </w:r>
      <w:sdt>
        <w:sdtPr>
          <w:rPr>
            <w:rFonts w:eastAsia="Times New Roman" w:cstheme="minorHAnsi"/>
            <w:bCs/>
          </w:rPr>
          <w:id w:val="1701207351"/>
          <w:citation/>
        </w:sdtPr>
        <w:sdtContent>
          <w:r w:rsidR="00B273C2">
            <w:rPr>
              <w:rFonts w:eastAsia="Times New Roman" w:cstheme="minorHAnsi"/>
              <w:bCs/>
            </w:rPr>
            <w:fldChar w:fldCharType="begin"/>
          </w:r>
          <w:r w:rsidR="00B273C2">
            <w:rPr>
              <w:rFonts w:eastAsia="Times New Roman" w:cstheme="minorHAnsi"/>
              <w:bCs/>
            </w:rPr>
            <w:instrText xml:space="preserve"> CITATION Lew11 \l 2057 </w:instrText>
          </w:r>
          <w:r w:rsidR="00B273C2">
            <w:rPr>
              <w:rFonts w:eastAsia="Times New Roman" w:cstheme="minorHAnsi"/>
              <w:bCs/>
            </w:rPr>
            <w:fldChar w:fldCharType="separate"/>
          </w:r>
          <w:r w:rsidR="00B273C2" w:rsidRPr="00B273C2">
            <w:rPr>
              <w:rFonts w:eastAsia="Times New Roman" w:cstheme="minorHAnsi"/>
              <w:noProof/>
            </w:rPr>
            <w:t>(Lewis, et al., 2011)</w:t>
          </w:r>
          <w:r w:rsidR="00B273C2">
            <w:rPr>
              <w:rFonts w:eastAsia="Times New Roman" w:cstheme="minorHAnsi"/>
              <w:bCs/>
            </w:rPr>
            <w:fldChar w:fldCharType="end"/>
          </w:r>
        </w:sdtContent>
      </w:sdt>
      <w:r w:rsidR="00B273C2">
        <w:rPr>
          <w:rFonts w:eastAsia="Times New Roman" w:cstheme="minorHAnsi"/>
          <w:bCs/>
        </w:rPr>
        <w:t>;</w:t>
      </w:r>
      <w:sdt>
        <w:sdtPr>
          <w:rPr>
            <w:rFonts w:eastAsia="Times New Roman" w:cstheme="minorHAnsi"/>
            <w:bCs/>
          </w:rPr>
          <w:id w:val="-1367127042"/>
          <w:citation/>
        </w:sdtPr>
        <w:sdtContent>
          <w:r w:rsidR="00B273C2">
            <w:rPr>
              <w:rFonts w:eastAsia="Times New Roman" w:cstheme="minorHAnsi"/>
              <w:bCs/>
            </w:rPr>
            <w:fldChar w:fldCharType="begin"/>
          </w:r>
          <w:r w:rsidR="00B273C2">
            <w:rPr>
              <w:rFonts w:eastAsia="Times New Roman" w:cstheme="minorHAnsi"/>
              <w:bCs/>
            </w:rPr>
            <w:instrText xml:space="preserve"> CITATION IES18 \l 2057 </w:instrText>
          </w:r>
          <w:r w:rsidR="00B273C2">
            <w:rPr>
              <w:rFonts w:eastAsia="Times New Roman" w:cstheme="minorHAnsi"/>
              <w:bCs/>
            </w:rPr>
            <w:fldChar w:fldCharType="separate"/>
          </w:r>
          <w:r w:rsidR="00B273C2">
            <w:rPr>
              <w:rFonts w:eastAsia="Times New Roman" w:cstheme="minorHAnsi"/>
              <w:bCs/>
              <w:noProof/>
            </w:rPr>
            <w:t xml:space="preserve"> </w:t>
          </w:r>
          <w:r w:rsidR="00B273C2" w:rsidRPr="00B273C2">
            <w:rPr>
              <w:rFonts w:eastAsia="Times New Roman" w:cstheme="minorHAnsi"/>
              <w:noProof/>
            </w:rPr>
            <w:t>(IES, 2018)</w:t>
          </w:r>
          <w:r w:rsidR="00B273C2">
            <w:rPr>
              <w:rFonts w:eastAsia="Times New Roman" w:cstheme="minorHAnsi"/>
              <w:bCs/>
            </w:rPr>
            <w:fldChar w:fldCharType="end"/>
          </w:r>
        </w:sdtContent>
      </w:sdt>
      <w:r w:rsidR="00B273C2">
        <w:rPr>
          <w:rFonts w:eastAsia="Times New Roman" w:cstheme="minorHAnsi"/>
          <w:bCs/>
        </w:rPr>
        <w:t xml:space="preserve">. </w:t>
      </w:r>
    </w:p>
    <w:p w14:paraId="5C69EAC6" w14:textId="1C42D6ED" w:rsidR="00B273C2" w:rsidRDefault="00B273C2" w:rsidP="00093485">
      <w:pPr>
        <w:spacing w:before="100" w:beforeAutospacing="1" w:after="100" w:afterAutospacing="1"/>
        <w:jc w:val="both"/>
        <w:rPr>
          <w:rFonts w:eastAsia="Times New Roman" w:cstheme="minorHAnsi"/>
          <w:bCs/>
        </w:rPr>
      </w:pPr>
      <w:r>
        <w:rPr>
          <w:rFonts w:eastAsia="Times New Roman" w:cstheme="minorHAnsi"/>
          <w:bCs/>
        </w:rPr>
        <w:t xml:space="preserve">In contrast those </w:t>
      </w:r>
      <w:r w:rsidR="00E720CA">
        <w:rPr>
          <w:rFonts w:eastAsia="Times New Roman" w:cstheme="minorHAnsi"/>
          <w:bCs/>
        </w:rPr>
        <w:t>employees</w:t>
      </w:r>
      <w:r>
        <w:rPr>
          <w:rFonts w:eastAsia="Times New Roman" w:cstheme="minorHAnsi"/>
          <w:bCs/>
        </w:rPr>
        <w:t xml:space="preserve"> with </w:t>
      </w:r>
      <w:r w:rsidR="00E720CA">
        <w:rPr>
          <w:rFonts w:eastAsia="Times New Roman" w:cstheme="minorHAnsi"/>
          <w:bCs/>
        </w:rPr>
        <w:t>unengaged</w:t>
      </w:r>
      <w:r>
        <w:rPr>
          <w:rFonts w:eastAsia="Times New Roman" w:cstheme="minorHAnsi"/>
          <w:bCs/>
        </w:rPr>
        <w:t xml:space="preserve"> managers are more likely to burn themselves out, will leave the organisation and will speak negatively of it </w:t>
      </w:r>
      <w:sdt>
        <w:sdtPr>
          <w:rPr>
            <w:rFonts w:eastAsia="Times New Roman" w:cstheme="minorHAnsi"/>
            <w:bCs/>
          </w:rPr>
          <w:id w:val="-1474371955"/>
          <w:citation/>
        </w:sdtPr>
        <w:sdtContent>
          <w:r>
            <w:rPr>
              <w:rFonts w:eastAsia="Times New Roman" w:cstheme="minorHAnsi"/>
              <w:bCs/>
            </w:rPr>
            <w:fldChar w:fldCharType="begin"/>
          </w:r>
          <w:r>
            <w:rPr>
              <w:rFonts w:eastAsia="Times New Roman" w:cstheme="minorHAnsi"/>
              <w:bCs/>
            </w:rPr>
            <w:instrText xml:space="preserve"> CITATION IES18 \l 2057 </w:instrText>
          </w:r>
          <w:r>
            <w:rPr>
              <w:rFonts w:eastAsia="Times New Roman" w:cstheme="minorHAnsi"/>
              <w:bCs/>
            </w:rPr>
            <w:fldChar w:fldCharType="separate"/>
          </w:r>
          <w:r w:rsidRPr="00B273C2">
            <w:rPr>
              <w:rFonts w:eastAsia="Times New Roman" w:cstheme="minorHAnsi"/>
              <w:noProof/>
            </w:rPr>
            <w:t>(IES, 2018)</w:t>
          </w:r>
          <w:r>
            <w:rPr>
              <w:rFonts w:eastAsia="Times New Roman" w:cstheme="minorHAnsi"/>
              <w:bCs/>
            </w:rPr>
            <w:fldChar w:fldCharType="end"/>
          </w:r>
        </w:sdtContent>
      </w:sdt>
      <w:r>
        <w:rPr>
          <w:rFonts w:eastAsia="Times New Roman" w:cstheme="minorHAnsi"/>
          <w:bCs/>
        </w:rPr>
        <w:t>.</w:t>
      </w:r>
    </w:p>
    <w:p w14:paraId="4D391F50" w14:textId="1CA27696" w:rsidR="00B273C2" w:rsidRPr="00B273C2" w:rsidRDefault="00B273C2" w:rsidP="00B273C2">
      <w:pPr>
        <w:spacing w:before="100" w:beforeAutospacing="1" w:after="100" w:afterAutospacing="1"/>
        <w:jc w:val="both"/>
        <w:rPr>
          <w:rFonts w:eastAsia="Times New Roman" w:cstheme="minorHAnsi"/>
          <w:bCs/>
        </w:rPr>
      </w:pPr>
      <w:r w:rsidRPr="00B273C2">
        <w:rPr>
          <w:rFonts w:eastAsia="Times New Roman" w:cstheme="minorHAnsi"/>
          <w:bCs/>
        </w:rPr>
        <w:t>The I</w:t>
      </w:r>
      <w:r w:rsidR="00F00015">
        <w:rPr>
          <w:rFonts w:eastAsia="Times New Roman" w:cstheme="minorHAnsi"/>
          <w:bCs/>
        </w:rPr>
        <w:t xml:space="preserve">nstitute of </w:t>
      </w:r>
      <w:r w:rsidRPr="00B273C2">
        <w:rPr>
          <w:rFonts w:eastAsia="Times New Roman" w:cstheme="minorHAnsi"/>
          <w:bCs/>
        </w:rPr>
        <w:t>E</w:t>
      </w:r>
      <w:r w:rsidR="00F00015">
        <w:rPr>
          <w:rFonts w:eastAsia="Times New Roman" w:cstheme="minorHAnsi"/>
          <w:bCs/>
        </w:rPr>
        <w:t xml:space="preserve">mployment </w:t>
      </w:r>
      <w:r w:rsidRPr="00B273C2">
        <w:rPr>
          <w:rFonts w:eastAsia="Times New Roman" w:cstheme="minorHAnsi"/>
          <w:bCs/>
        </w:rPr>
        <w:t>S</w:t>
      </w:r>
      <w:r w:rsidR="00F00015">
        <w:rPr>
          <w:rFonts w:eastAsia="Times New Roman" w:cstheme="minorHAnsi"/>
          <w:bCs/>
        </w:rPr>
        <w:t>tudies</w:t>
      </w:r>
      <w:r w:rsidRPr="00B273C2">
        <w:rPr>
          <w:rFonts w:eastAsia="Times New Roman" w:cstheme="minorHAnsi"/>
          <w:bCs/>
        </w:rPr>
        <w:t xml:space="preserve"> also examined dis-engag</w:t>
      </w:r>
      <w:r w:rsidR="00F00015">
        <w:rPr>
          <w:rFonts w:eastAsia="Times New Roman" w:cstheme="minorHAnsi"/>
          <w:bCs/>
        </w:rPr>
        <w:t>ed</w:t>
      </w:r>
      <w:r w:rsidRPr="00B273C2">
        <w:rPr>
          <w:rFonts w:eastAsia="Times New Roman" w:cstheme="minorHAnsi"/>
          <w:bCs/>
        </w:rPr>
        <w:t xml:space="preserve"> managers and found</w:t>
      </w:r>
      <w:r w:rsidR="00F00015">
        <w:rPr>
          <w:rFonts w:eastAsia="Times New Roman" w:cstheme="minorHAnsi"/>
          <w:bCs/>
        </w:rPr>
        <w:t xml:space="preserve"> that they:</w:t>
      </w:r>
    </w:p>
    <w:p w14:paraId="2373212C" w14:textId="77777777" w:rsidR="0032149D" w:rsidRPr="00B273C2" w:rsidRDefault="0032149D" w:rsidP="00B273C2">
      <w:pPr>
        <w:numPr>
          <w:ilvl w:val="0"/>
          <w:numId w:val="3"/>
        </w:numPr>
        <w:spacing w:before="100" w:beforeAutospacing="1" w:after="100" w:afterAutospacing="1"/>
        <w:jc w:val="both"/>
        <w:rPr>
          <w:rFonts w:eastAsia="Times New Roman" w:cstheme="minorHAnsi"/>
          <w:bCs/>
        </w:rPr>
      </w:pPr>
      <w:r w:rsidRPr="00B273C2">
        <w:rPr>
          <w:rFonts w:eastAsia="Times New Roman" w:cstheme="minorHAnsi"/>
          <w:bCs/>
        </w:rPr>
        <w:lastRenderedPageBreak/>
        <w:t>They lack empathy and any interest in people</w:t>
      </w:r>
    </w:p>
    <w:p w14:paraId="12CC580C" w14:textId="77777777" w:rsidR="0032149D" w:rsidRPr="00B273C2" w:rsidRDefault="0032149D" w:rsidP="00B273C2">
      <w:pPr>
        <w:numPr>
          <w:ilvl w:val="0"/>
          <w:numId w:val="3"/>
        </w:numPr>
        <w:spacing w:before="100" w:beforeAutospacing="1" w:after="100" w:afterAutospacing="1"/>
        <w:jc w:val="both"/>
        <w:rPr>
          <w:rFonts w:eastAsia="Times New Roman" w:cstheme="minorHAnsi"/>
          <w:bCs/>
        </w:rPr>
      </w:pPr>
      <w:r w:rsidRPr="00B273C2">
        <w:rPr>
          <w:rFonts w:eastAsia="Times New Roman" w:cstheme="minorHAnsi"/>
          <w:bCs/>
        </w:rPr>
        <w:t>They fail to listen and communicate</w:t>
      </w:r>
    </w:p>
    <w:p w14:paraId="445A8DA4" w14:textId="2F776BC9" w:rsidR="0032149D" w:rsidRPr="00B273C2" w:rsidRDefault="00F00015" w:rsidP="00B273C2">
      <w:pPr>
        <w:numPr>
          <w:ilvl w:val="0"/>
          <w:numId w:val="3"/>
        </w:numPr>
        <w:spacing w:before="100" w:beforeAutospacing="1" w:after="100" w:afterAutospacing="1"/>
        <w:jc w:val="both"/>
        <w:rPr>
          <w:rFonts w:eastAsia="Times New Roman" w:cstheme="minorHAnsi"/>
          <w:bCs/>
        </w:rPr>
      </w:pPr>
      <w:r>
        <w:rPr>
          <w:rFonts w:eastAsia="Times New Roman" w:cstheme="minorHAnsi"/>
          <w:bCs/>
        </w:rPr>
        <w:t>Can be</w:t>
      </w:r>
      <w:r w:rsidR="0032149D" w:rsidRPr="00B273C2">
        <w:rPr>
          <w:rFonts w:eastAsia="Times New Roman" w:cstheme="minorHAnsi"/>
          <w:bCs/>
        </w:rPr>
        <w:t xml:space="preserve"> self-centred</w:t>
      </w:r>
    </w:p>
    <w:p w14:paraId="60F898C7" w14:textId="580F37B7" w:rsidR="0032149D" w:rsidRPr="00B273C2" w:rsidRDefault="0032149D" w:rsidP="00B273C2">
      <w:pPr>
        <w:numPr>
          <w:ilvl w:val="0"/>
          <w:numId w:val="3"/>
        </w:numPr>
        <w:spacing w:before="100" w:beforeAutospacing="1" w:after="100" w:afterAutospacing="1"/>
        <w:jc w:val="both"/>
        <w:rPr>
          <w:rFonts w:eastAsia="Times New Roman" w:cstheme="minorHAnsi"/>
          <w:bCs/>
        </w:rPr>
      </w:pPr>
      <w:r w:rsidRPr="00B273C2">
        <w:rPr>
          <w:rFonts w:eastAsia="Times New Roman" w:cstheme="minorHAnsi"/>
          <w:bCs/>
        </w:rPr>
        <w:t>They don’t motivate or inspire</w:t>
      </w:r>
      <w:r w:rsidR="00F00015">
        <w:rPr>
          <w:rFonts w:eastAsia="Times New Roman" w:cstheme="minorHAnsi"/>
          <w:bCs/>
        </w:rPr>
        <w:t xml:space="preserve"> their workforce </w:t>
      </w:r>
    </w:p>
    <w:p w14:paraId="3C0A0015" w14:textId="6147E97C" w:rsidR="0032149D" w:rsidRPr="00B273C2" w:rsidRDefault="00F00015" w:rsidP="00B273C2">
      <w:pPr>
        <w:numPr>
          <w:ilvl w:val="0"/>
          <w:numId w:val="3"/>
        </w:numPr>
        <w:spacing w:before="100" w:beforeAutospacing="1" w:after="100" w:afterAutospacing="1"/>
        <w:jc w:val="both"/>
        <w:rPr>
          <w:rFonts w:eastAsia="Times New Roman" w:cstheme="minorHAnsi"/>
          <w:bCs/>
        </w:rPr>
      </w:pPr>
      <w:r>
        <w:rPr>
          <w:rFonts w:eastAsia="Times New Roman" w:cstheme="minorHAnsi"/>
          <w:bCs/>
        </w:rPr>
        <w:t>B</w:t>
      </w:r>
      <w:r w:rsidR="0032149D" w:rsidRPr="00B273C2">
        <w:rPr>
          <w:rFonts w:eastAsia="Times New Roman" w:cstheme="minorHAnsi"/>
          <w:bCs/>
        </w:rPr>
        <w:t>lame others when mistakes are made, and don’t take responsibility for team actions and results</w:t>
      </w:r>
    </w:p>
    <w:p w14:paraId="52FC0EC9" w14:textId="77777777" w:rsidR="0032149D" w:rsidRPr="00B273C2" w:rsidRDefault="0032149D" w:rsidP="00B273C2">
      <w:pPr>
        <w:numPr>
          <w:ilvl w:val="0"/>
          <w:numId w:val="3"/>
        </w:numPr>
        <w:spacing w:before="100" w:beforeAutospacing="1" w:after="100" w:afterAutospacing="1"/>
        <w:jc w:val="both"/>
        <w:rPr>
          <w:rFonts w:eastAsia="Times New Roman" w:cstheme="minorHAnsi"/>
          <w:bCs/>
        </w:rPr>
      </w:pPr>
      <w:r w:rsidRPr="00B273C2">
        <w:rPr>
          <w:rFonts w:eastAsia="Times New Roman" w:cstheme="minorHAnsi"/>
          <w:bCs/>
        </w:rPr>
        <w:t>They lack personal awareness (of how their behaviour impacts on others)</w:t>
      </w:r>
    </w:p>
    <w:p w14:paraId="2AD01BE6" w14:textId="214A8411" w:rsidR="0032149D" w:rsidRPr="00B273C2" w:rsidRDefault="0032149D" w:rsidP="00B273C2">
      <w:pPr>
        <w:numPr>
          <w:ilvl w:val="0"/>
          <w:numId w:val="3"/>
        </w:numPr>
        <w:spacing w:before="100" w:beforeAutospacing="1" w:after="100" w:afterAutospacing="1"/>
        <w:jc w:val="both"/>
        <w:rPr>
          <w:rFonts w:eastAsia="Times New Roman" w:cstheme="minorHAnsi"/>
          <w:bCs/>
        </w:rPr>
      </w:pPr>
      <w:r w:rsidRPr="00B273C2">
        <w:rPr>
          <w:rFonts w:eastAsia="Times New Roman" w:cstheme="minorHAnsi"/>
          <w:bCs/>
        </w:rPr>
        <w:t>They don’t deliver on promises</w:t>
      </w:r>
      <w:r w:rsidR="00F00015">
        <w:rPr>
          <w:rFonts w:eastAsia="Times New Roman" w:cstheme="minorHAnsi"/>
          <w:bCs/>
        </w:rPr>
        <w:t xml:space="preserve"> </w:t>
      </w:r>
      <w:sdt>
        <w:sdtPr>
          <w:rPr>
            <w:rFonts w:eastAsia="Times New Roman" w:cstheme="minorHAnsi"/>
            <w:bCs/>
          </w:rPr>
          <w:id w:val="1996145350"/>
          <w:citation/>
        </w:sdtPr>
        <w:sdtContent>
          <w:r w:rsidR="00F00015">
            <w:rPr>
              <w:rFonts w:eastAsia="Times New Roman" w:cstheme="minorHAnsi"/>
              <w:bCs/>
            </w:rPr>
            <w:fldChar w:fldCharType="begin"/>
          </w:r>
          <w:r w:rsidR="00F00015">
            <w:rPr>
              <w:rFonts w:eastAsia="Times New Roman" w:cstheme="minorHAnsi"/>
              <w:bCs/>
            </w:rPr>
            <w:instrText xml:space="preserve"> CITATION Robon \l 2057 </w:instrText>
          </w:r>
          <w:r w:rsidR="00F00015">
            <w:rPr>
              <w:rFonts w:eastAsia="Times New Roman" w:cstheme="minorHAnsi"/>
              <w:bCs/>
            </w:rPr>
            <w:fldChar w:fldCharType="separate"/>
          </w:r>
          <w:r w:rsidR="00F00015" w:rsidRPr="00F00015">
            <w:rPr>
              <w:rFonts w:eastAsia="Times New Roman" w:cstheme="minorHAnsi"/>
              <w:noProof/>
            </w:rPr>
            <w:t>(Robinson, 2013)</w:t>
          </w:r>
          <w:r w:rsidR="00F00015">
            <w:rPr>
              <w:rFonts w:eastAsia="Times New Roman" w:cstheme="minorHAnsi"/>
              <w:bCs/>
            </w:rPr>
            <w:fldChar w:fldCharType="end"/>
          </w:r>
        </w:sdtContent>
      </w:sdt>
      <w:r w:rsidRPr="00B273C2">
        <w:rPr>
          <w:rFonts w:eastAsia="Times New Roman" w:cstheme="minorHAnsi"/>
          <w:bCs/>
        </w:rPr>
        <w:t>.</w:t>
      </w:r>
    </w:p>
    <w:p w14:paraId="68CE1B16" w14:textId="54C65C6C" w:rsidR="000A5EB5" w:rsidRPr="00A65E65" w:rsidRDefault="009B3DEB" w:rsidP="00A65E65">
      <w:pPr>
        <w:spacing w:before="100" w:beforeAutospacing="1" w:after="100" w:afterAutospacing="1"/>
        <w:jc w:val="both"/>
        <w:rPr>
          <w:rFonts w:eastAsia="Times New Roman" w:cstheme="minorHAnsi"/>
          <w:bCs/>
        </w:rPr>
      </w:pPr>
      <w:r>
        <w:rPr>
          <w:rFonts w:eastAsia="Times New Roman" w:cstheme="minorHAnsi"/>
          <w:bCs/>
        </w:rPr>
        <w:t xml:space="preserve">Network Rail </w:t>
      </w:r>
      <w:r w:rsidR="00E720CA">
        <w:rPr>
          <w:rFonts w:eastAsia="Times New Roman" w:cstheme="minorHAnsi"/>
          <w:bCs/>
        </w:rPr>
        <w:t>identified</w:t>
      </w:r>
      <w:r>
        <w:rPr>
          <w:rFonts w:eastAsia="Times New Roman" w:cstheme="minorHAnsi"/>
          <w:bCs/>
        </w:rPr>
        <w:t xml:space="preserve"> that low levels of </w:t>
      </w:r>
      <w:r w:rsidR="00E720CA">
        <w:rPr>
          <w:rFonts w:eastAsia="Times New Roman" w:cstheme="minorHAnsi"/>
          <w:bCs/>
        </w:rPr>
        <w:t>engagement</w:t>
      </w:r>
      <w:r>
        <w:rPr>
          <w:rFonts w:eastAsia="Times New Roman" w:cstheme="minorHAnsi"/>
          <w:bCs/>
        </w:rPr>
        <w:t xml:space="preserve"> were due to lack of engaged managers. Key to a change in mindset was the management training programme which demonstrated a coaching approach to leadership of their teams. Following this training programme </w:t>
      </w:r>
      <w:r w:rsidR="00E720CA">
        <w:rPr>
          <w:rFonts w:eastAsia="Times New Roman" w:cstheme="minorHAnsi"/>
          <w:bCs/>
        </w:rPr>
        <w:t>engagement</w:t>
      </w:r>
      <w:r>
        <w:rPr>
          <w:rFonts w:eastAsia="Times New Roman" w:cstheme="minorHAnsi"/>
          <w:bCs/>
        </w:rPr>
        <w:t xml:space="preserve"> levels in teams managed by attendees of the training programme increased </w:t>
      </w:r>
      <w:sdt>
        <w:sdtPr>
          <w:rPr>
            <w:rFonts w:eastAsia="Times New Roman" w:cstheme="minorHAnsi"/>
            <w:bCs/>
          </w:rPr>
          <w:id w:val="-888646560"/>
          <w:citation/>
        </w:sdtPr>
        <w:sdtContent>
          <w:r>
            <w:rPr>
              <w:rFonts w:eastAsia="Times New Roman" w:cstheme="minorHAnsi"/>
              <w:bCs/>
            </w:rPr>
            <w:fldChar w:fldCharType="begin"/>
          </w:r>
          <w:r>
            <w:rPr>
              <w:rFonts w:eastAsia="Times New Roman" w:cstheme="minorHAnsi"/>
              <w:bCs/>
            </w:rPr>
            <w:instrText xml:space="preserve"> CITATION McL19 \l 2057 </w:instrText>
          </w:r>
          <w:r>
            <w:rPr>
              <w:rFonts w:eastAsia="Times New Roman" w:cstheme="minorHAnsi"/>
              <w:bCs/>
            </w:rPr>
            <w:fldChar w:fldCharType="separate"/>
          </w:r>
          <w:r w:rsidRPr="009B3DEB">
            <w:rPr>
              <w:rFonts w:eastAsia="Times New Roman" w:cstheme="minorHAnsi"/>
              <w:noProof/>
            </w:rPr>
            <w:t>(McLeod &amp; Clarke, 2019)</w:t>
          </w:r>
          <w:r>
            <w:rPr>
              <w:rFonts w:eastAsia="Times New Roman" w:cstheme="minorHAnsi"/>
              <w:bCs/>
            </w:rPr>
            <w:fldChar w:fldCharType="end"/>
          </w:r>
        </w:sdtContent>
      </w:sdt>
      <w:r>
        <w:rPr>
          <w:rFonts w:eastAsia="Times New Roman" w:cstheme="minorHAnsi"/>
          <w:bCs/>
        </w:rPr>
        <w:t xml:space="preserve">. </w:t>
      </w:r>
    </w:p>
    <w:p w14:paraId="4D26615E" w14:textId="77777777" w:rsidR="009B3DEB" w:rsidRDefault="009B3DEB" w:rsidP="00A234E8">
      <w:pPr>
        <w:jc w:val="both"/>
      </w:pPr>
    </w:p>
    <w:p w14:paraId="74439C3F" w14:textId="7978C761" w:rsidR="000A5EB5" w:rsidRPr="00A65E65" w:rsidRDefault="000A5EB5" w:rsidP="00A234E8">
      <w:pPr>
        <w:jc w:val="both"/>
        <w:rPr>
          <w:u w:val="single"/>
        </w:rPr>
      </w:pPr>
      <w:r w:rsidRPr="00A65E65">
        <w:rPr>
          <w:u w:val="single"/>
        </w:rPr>
        <w:t>Employee voice</w:t>
      </w:r>
    </w:p>
    <w:p w14:paraId="2985BFFD" w14:textId="453A5F34" w:rsidR="002F1D8F" w:rsidRDefault="002F1D8F" w:rsidP="00A234E8">
      <w:pPr>
        <w:jc w:val="both"/>
      </w:pPr>
      <w:r>
        <w:t xml:space="preserve">A theme noticed </w:t>
      </w:r>
      <w:r w:rsidR="001E553B">
        <w:t>by McLeod is that within organisations with high levels of employee engagement and performance had at its forefront was employee voice. Employee voice exists where are members of the workforce feel they can have a say and the organisation has mechanisms in place to enable an ongoing conversation</w:t>
      </w:r>
      <w:r w:rsidR="00D8399C">
        <w:t>. These mechanis</w:t>
      </w:r>
      <w:r w:rsidR="00E43956">
        <w:t>m</w:t>
      </w:r>
      <w:r w:rsidR="00D8399C">
        <w:t>s can include online surveys, face to face meetings and solution groups</w:t>
      </w:r>
      <w:r w:rsidR="001E553B">
        <w:t xml:space="preserve"> </w:t>
      </w:r>
      <w:sdt>
        <w:sdtPr>
          <w:id w:val="-745337557"/>
          <w:citation/>
        </w:sdtPr>
        <w:sdtContent>
          <w:r w:rsidR="001E553B">
            <w:fldChar w:fldCharType="begin"/>
          </w:r>
          <w:r w:rsidR="001E553B">
            <w:instrText xml:space="preserve"> CITATION McL19 \l 2057 </w:instrText>
          </w:r>
          <w:r w:rsidR="001E553B">
            <w:fldChar w:fldCharType="separate"/>
          </w:r>
          <w:r w:rsidR="001E553B" w:rsidRPr="001E553B">
            <w:rPr>
              <w:noProof/>
            </w:rPr>
            <w:t>(McLeod &amp; Clarke, 2019)</w:t>
          </w:r>
          <w:r w:rsidR="001E553B">
            <w:fldChar w:fldCharType="end"/>
          </w:r>
        </w:sdtContent>
      </w:sdt>
      <w:r w:rsidR="001E553B">
        <w:t xml:space="preserve">. </w:t>
      </w:r>
    </w:p>
    <w:p w14:paraId="462727D6" w14:textId="4D645710" w:rsidR="002F1D8F" w:rsidRDefault="001E553B" w:rsidP="002F1D8F">
      <w:pPr>
        <w:spacing w:before="100" w:beforeAutospacing="1" w:after="100" w:afterAutospacing="1"/>
        <w:jc w:val="both"/>
        <w:rPr>
          <w:rFonts w:ascii="Calibri" w:eastAsia="Times New Roman" w:hAnsi="Calibri" w:cs="Calibri"/>
        </w:rPr>
      </w:pPr>
      <w:r>
        <w:t xml:space="preserve">However, a negative to </w:t>
      </w:r>
      <w:r w:rsidR="00E720CA">
        <w:t>McLeod</w:t>
      </w:r>
      <w:r>
        <w:t xml:space="preserve"> employee voice enabler is that</w:t>
      </w:r>
      <w:r w:rsidR="002F1D8F">
        <w:t xml:space="preserve"> </w:t>
      </w:r>
      <w:r>
        <w:rPr>
          <w:rFonts w:ascii="Calibri" w:eastAsia="Times New Roman" w:hAnsi="Calibri" w:cs="Calibri"/>
        </w:rPr>
        <w:t>m</w:t>
      </w:r>
      <w:r w:rsidR="002F1D8F" w:rsidRPr="003A7EE1">
        <w:rPr>
          <w:rFonts w:ascii="Calibri" w:eastAsia="Times New Roman" w:hAnsi="Calibri" w:cs="Calibri"/>
        </w:rPr>
        <w:t xml:space="preserve">anagers do not like being challenged and senior managers find it hard to have to justify their decisions </w:t>
      </w:r>
      <w:r w:rsidR="002F1D8F">
        <w:rPr>
          <w:rFonts w:ascii="Calibri" w:eastAsia="Times New Roman" w:hAnsi="Calibri" w:cs="Calibri"/>
        </w:rPr>
        <w:t>to</w:t>
      </w:r>
      <w:r w:rsidR="002F1D8F" w:rsidRPr="003A7EE1">
        <w:rPr>
          <w:rFonts w:ascii="Calibri" w:eastAsia="Times New Roman" w:hAnsi="Calibri" w:cs="Calibri"/>
        </w:rPr>
        <w:t xml:space="preserve"> employees, although for those who do it is often seen as a valued activity, especially in managing change.</w:t>
      </w:r>
      <w:r w:rsidR="002F1D8F">
        <w:rPr>
          <w:rFonts w:ascii="Calibri" w:eastAsia="Times New Roman" w:hAnsi="Calibri" w:cs="Calibri"/>
        </w:rPr>
        <w:t xml:space="preserve"> T</w:t>
      </w:r>
      <w:r w:rsidR="002F1D8F" w:rsidRPr="003A7EE1">
        <w:rPr>
          <w:rFonts w:ascii="Calibri" w:eastAsia="Times New Roman" w:hAnsi="Calibri" w:cs="Calibri"/>
        </w:rPr>
        <w:t>he active management of employee engagement tends to view employees in a passive role, with engagement something that is driven by the organisation, rather than something that is largely under the control of employees</w:t>
      </w:r>
      <w:r w:rsidR="002F1D8F" w:rsidRPr="002F1D8F">
        <w:rPr>
          <w:rFonts w:ascii="Calibri" w:eastAsia="Times New Roman" w:hAnsi="Calibri" w:cs="Calibri"/>
        </w:rPr>
        <w:t xml:space="preserve"> </w:t>
      </w:r>
      <w:sdt>
        <w:sdtPr>
          <w:rPr>
            <w:rFonts w:ascii="Calibri" w:eastAsia="Times New Roman" w:hAnsi="Calibri" w:cs="Calibri"/>
          </w:rPr>
          <w:id w:val="-1976592461"/>
          <w:citation/>
        </w:sdtPr>
        <w:sdtContent>
          <w:r w:rsidR="002F1D8F" w:rsidRPr="002F1D8F">
            <w:rPr>
              <w:rFonts w:ascii="Calibri" w:eastAsia="Times New Roman" w:hAnsi="Calibri" w:cs="Calibri"/>
            </w:rPr>
            <w:fldChar w:fldCharType="begin"/>
          </w:r>
          <w:r w:rsidR="002F1D8F" w:rsidRPr="002F1D8F">
            <w:rPr>
              <w:rFonts w:ascii="Calibri" w:eastAsia="Times New Roman" w:hAnsi="Calibri" w:cs="Calibri"/>
            </w:rPr>
            <w:instrText xml:space="preserve">CITATION The14 \l 2057 </w:instrText>
          </w:r>
          <w:r w:rsidR="002F1D8F" w:rsidRPr="002F1D8F">
            <w:rPr>
              <w:rFonts w:ascii="Calibri" w:eastAsia="Times New Roman" w:hAnsi="Calibri" w:cs="Calibri"/>
            </w:rPr>
            <w:fldChar w:fldCharType="separate"/>
          </w:r>
          <w:r w:rsidR="002F1D8F" w:rsidRPr="002F1D8F">
            <w:rPr>
              <w:rFonts w:ascii="Calibri" w:eastAsia="Times New Roman" w:hAnsi="Calibri" w:cs="Calibri"/>
              <w:noProof/>
            </w:rPr>
            <w:t>(Robinson &amp; Gifford, 2014)</w:t>
          </w:r>
          <w:r w:rsidR="002F1D8F" w:rsidRPr="002F1D8F">
            <w:rPr>
              <w:rFonts w:ascii="Calibri" w:eastAsia="Times New Roman" w:hAnsi="Calibri" w:cs="Calibri"/>
            </w:rPr>
            <w:fldChar w:fldCharType="end"/>
          </w:r>
        </w:sdtContent>
      </w:sdt>
      <w:r w:rsidR="002F1D8F" w:rsidRPr="002F1D8F">
        <w:rPr>
          <w:rFonts w:ascii="Calibri" w:eastAsia="Times New Roman" w:hAnsi="Calibri" w:cs="Calibri"/>
        </w:rPr>
        <w:t xml:space="preserve">; </w:t>
      </w:r>
      <w:sdt>
        <w:sdtPr>
          <w:rPr>
            <w:rFonts w:ascii="Calibri" w:eastAsia="Times New Roman" w:hAnsi="Calibri" w:cs="Calibri"/>
          </w:rPr>
          <w:id w:val="-2126921480"/>
          <w:citation/>
        </w:sdtPr>
        <w:sdtContent>
          <w:r w:rsidR="002F1D8F" w:rsidRPr="002F1D8F">
            <w:rPr>
              <w:rFonts w:ascii="Calibri" w:eastAsia="Times New Roman" w:hAnsi="Calibri" w:cs="Calibri"/>
            </w:rPr>
            <w:fldChar w:fldCharType="begin"/>
          </w:r>
          <w:r w:rsidR="002F1D8F" w:rsidRPr="002F1D8F">
            <w:rPr>
              <w:rFonts w:ascii="Calibri" w:eastAsia="Times New Roman" w:hAnsi="Calibri" w:cs="Calibri"/>
            </w:rPr>
            <w:instrText xml:space="preserve"> CITATION Fra13 \l 2057 </w:instrText>
          </w:r>
          <w:r w:rsidR="002F1D8F" w:rsidRPr="002F1D8F">
            <w:rPr>
              <w:rFonts w:ascii="Calibri" w:eastAsia="Times New Roman" w:hAnsi="Calibri" w:cs="Calibri"/>
            </w:rPr>
            <w:fldChar w:fldCharType="separate"/>
          </w:r>
          <w:r w:rsidR="002F1D8F" w:rsidRPr="002F1D8F">
            <w:rPr>
              <w:rFonts w:ascii="Calibri" w:eastAsia="Times New Roman" w:hAnsi="Calibri" w:cs="Calibri"/>
              <w:noProof/>
            </w:rPr>
            <w:t>(Francis &amp; Reddington, 2013)</w:t>
          </w:r>
          <w:r w:rsidR="002F1D8F" w:rsidRPr="002F1D8F">
            <w:rPr>
              <w:rFonts w:ascii="Calibri" w:eastAsia="Times New Roman" w:hAnsi="Calibri" w:cs="Calibri"/>
            </w:rPr>
            <w:fldChar w:fldCharType="end"/>
          </w:r>
        </w:sdtContent>
      </w:sdt>
      <w:r w:rsidR="002F1D8F">
        <w:rPr>
          <w:rFonts w:ascii="Calibri" w:eastAsia="Times New Roman" w:hAnsi="Calibri" w:cs="Calibri"/>
        </w:rPr>
        <w:t xml:space="preserve">. </w:t>
      </w:r>
    </w:p>
    <w:p w14:paraId="44499376" w14:textId="7AF11281" w:rsidR="002F1D8F" w:rsidRPr="00A65E65" w:rsidRDefault="009B3DEB" w:rsidP="002F1D8F">
      <w:pPr>
        <w:spacing w:before="100" w:beforeAutospacing="1" w:after="100" w:afterAutospacing="1"/>
        <w:jc w:val="both"/>
        <w:rPr>
          <w:rFonts w:ascii="Calibri" w:eastAsia="Times New Roman" w:hAnsi="Calibri" w:cs="Calibri"/>
          <w:u w:val="single"/>
        </w:rPr>
      </w:pPr>
      <w:r w:rsidRPr="00A65E65">
        <w:rPr>
          <w:rFonts w:ascii="Calibri" w:eastAsia="Times New Roman" w:hAnsi="Calibri" w:cs="Calibri"/>
          <w:u w:val="single"/>
        </w:rPr>
        <w:t>Integrity</w:t>
      </w:r>
    </w:p>
    <w:p w14:paraId="0D5FC91D" w14:textId="729D1AE4" w:rsidR="009B3DEB" w:rsidRDefault="009B3DEB" w:rsidP="002F1D8F">
      <w:pPr>
        <w:spacing w:before="100" w:beforeAutospacing="1" w:after="100" w:afterAutospacing="1"/>
        <w:jc w:val="both"/>
        <w:rPr>
          <w:rFonts w:ascii="Calibri" w:eastAsia="Times New Roman" w:hAnsi="Calibri" w:cs="Calibri"/>
        </w:rPr>
      </w:pPr>
      <w:r>
        <w:rPr>
          <w:rFonts w:ascii="Calibri" w:eastAsia="Times New Roman" w:hAnsi="Calibri" w:cs="Calibri"/>
        </w:rPr>
        <w:t xml:space="preserve">Organisational integrity builds trust within a workplace which is fundamental to a </w:t>
      </w:r>
      <w:r w:rsidR="00E720CA">
        <w:rPr>
          <w:rFonts w:ascii="Calibri" w:eastAsia="Times New Roman" w:hAnsi="Calibri" w:cs="Calibri"/>
        </w:rPr>
        <w:t>high-performance</w:t>
      </w:r>
      <w:r>
        <w:rPr>
          <w:rFonts w:ascii="Calibri" w:eastAsia="Times New Roman" w:hAnsi="Calibri" w:cs="Calibri"/>
        </w:rPr>
        <w:t xml:space="preserve"> team and high engagement in an organisation</w:t>
      </w:r>
      <w:r w:rsidR="00E43956">
        <w:rPr>
          <w:rFonts w:ascii="Calibri" w:eastAsia="Times New Roman" w:hAnsi="Calibri" w:cs="Calibri"/>
        </w:rPr>
        <w:t xml:space="preserve">. Organisational integrity must be modelled by all managers not just senior executives. Integrity needs to be enforced and managers need to be held accountable </w:t>
      </w:r>
      <w:sdt>
        <w:sdtPr>
          <w:rPr>
            <w:rFonts w:ascii="Calibri" w:eastAsia="Times New Roman" w:hAnsi="Calibri" w:cs="Calibri"/>
          </w:rPr>
          <w:id w:val="1127976181"/>
          <w:citation/>
        </w:sdtPr>
        <w:sdtContent>
          <w:r w:rsidR="00E43956">
            <w:rPr>
              <w:rFonts w:ascii="Calibri" w:eastAsia="Times New Roman" w:hAnsi="Calibri" w:cs="Calibri"/>
            </w:rPr>
            <w:fldChar w:fldCharType="begin"/>
          </w:r>
          <w:r w:rsidR="00E43956">
            <w:rPr>
              <w:rFonts w:ascii="Calibri" w:eastAsia="Times New Roman" w:hAnsi="Calibri" w:cs="Calibri"/>
            </w:rPr>
            <w:instrText xml:space="preserve"> CITATION McL19 \l 2057 </w:instrText>
          </w:r>
          <w:r w:rsidR="00E43956">
            <w:rPr>
              <w:rFonts w:ascii="Calibri" w:eastAsia="Times New Roman" w:hAnsi="Calibri" w:cs="Calibri"/>
            </w:rPr>
            <w:fldChar w:fldCharType="separate"/>
          </w:r>
          <w:r w:rsidR="00E43956" w:rsidRPr="00E43956">
            <w:rPr>
              <w:rFonts w:ascii="Calibri" w:eastAsia="Times New Roman" w:hAnsi="Calibri" w:cs="Calibri"/>
              <w:noProof/>
            </w:rPr>
            <w:t>(McLeod &amp; Clarke, 2019)</w:t>
          </w:r>
          <w:r w:rsidR="00E43956">
            <w:rPr>
              <w:rFonts w:ascii="Calibri" w:eastAsia="Times New Roman" w:hAnsi="Calibri" w:cs="Calibri"/>
            </w:rPr>
            <w:fldChar w:fldCharType="end"/>
          </w:r>
        </w:sdtContent>
      </w:sdt>
      <w:r w:rsidR="00E43956">
        <w:rPr>
          <w:rFonts w:ascii="Calibri" w:eastAsia="Times New Roman" w:hAnsi="Calibri" w:cs="Calibri"/>
        </w:rPr>
        <w:t xml:space="preserve">. </w:t>
      </w:r>
      <w:r>
        <w:rPr>
          <w:rFonts w:ascii="Calibri" w:eastAsia="Times New Roman" w:hAnsi="Calibri" w:cs="Calibri"/>
        </w:rPr>
        <w:t xml:space="preserve"> </w:t>
      </w:r>
    </w:p>
    <w:p w14:paraId="77F52B32" w14:textId="58D47D77" w:rsidR="009B3DEB" w:rsidRDefault="009B3DEB" w:rsidP="002F1D8F">
      <w:pPr>
        <w:spacing w:before="100" w:beforeAutospacing="1" w:after="100" w:afterAutospacing="1"/>
        <w:jc w:val="both"/>
        <w:rPr>
          <w:rFonts w:ascii="Calibri" w:eastAsia="Times New Roman" w:hAnsi="Calibri" w:cs="Calibri"/>
        </w:rPr>
      </w:pPr>
    </w:p>
    <w:p w14:paraId="6ADE1D16" w14:textId="660ED38B" w:rsidR="00A65E65" w:rsidRDefault="00A65E65" w:rsidP="002F1D8F">
      <w:pPr>
        <w:spacing w:before="100" w:beforeAutospacing="1" w:after="100" w:afterAutospacing="1"/>
        <w:jc w:val="both"/>
        <w:rPr>
          <w:rFonts w:ascii="Calibri" w:eastAsia="Times New Roman" w:hAnsi="Calibri" w:cs="Calibri"/>
        </w:rPr>
      </w:pPr>
    </w:p>
    <w:p w14:paraId="61D673C1" w14:textId="7B23A168" w:rsidR="00A65E65" w:rsidRDefault="00A65E65" w:rsidP="002F1D8F">
      <w:pPr>
        <w:spacing w:before="100" w:beforeAutospacing="1" w:after="100" w:afterAutospacing="1"/>
        <w:jc w:val="both"/>
        <w:rPr>
          <w:rFonts w:ascii="Calibri" w:eastAsia="Times New Roman" w:hAnsi="Calibri" w:cs="Calibri"/>
        </w:rPr>
      </w:pPr>
    </w:p>
    <w:p w14:paraId="20F3FB02" w14:textId="4AF148AD" w:rsidR="00A65E65" w:rsidRDefault="00A65E65" w:rsidP="002F1D8F">
      <w:pPr>
        <w:spacing w:before="100" w:beforeAutospacing="1" w:after="100" w:afterAutospacing="1"/>
        <w:jc w:val="both"/>
        <w:rPr>
          <w:rFonts w:ascii="Calibri" w:eastAsia="Times New Roman" w:hAnsi="Calibri" w:cs="Calibri"/>
        </w:rPr>
      </w:pPr>
    </w:p>
    <w:p w14:paraId="72FA4C8E" w14:textId="77777777" w:rsidR="00A65E65" w:rsidRDefault="00A65E65" w:rsidP="002F1D8F">
      <w:pPr>
        <w:spacing w:before="100" w:beforeAutospacing="1" w:after="100" w:afterAutospacing="1"/>
        <w:jc w:val="both"/>
        <w:rPr>
          <w:rFonts w:ascii="Calibri" w:eastAsia="Times New Roman" w:hAnsi="Calibri" w:cs="Calibri"/>
        </w:rPr>
      </w:pPr>
    </w:p>
    <w:p w14:paraId="27B35C1D" w14:textId="26E17F81" w:rsidR="0032149D" w:rsidRDefault="0032149D" w:rsidP="002F1D8F">
      <w:pPr>
        <w:spacing w:before="100" w:beforeAutospacing="1" w:after="100" w:afterAutospacing="1"/>
        <w:jc w:val="both"/>
        <w:rPr>
          <w:rFonts w:ascii="Calibri" w:eastAsia="Times New Roman" w:hAnsi="Calibri" w:cs="Calibri"/>
        </w:rPr>
      </w:pPr>
    </w:p>
    <w:p w14:paraId="33E54FD5" w14:textId="32C7889F" w:rsidR="0032149D" w:rsidRPr="0032149D" w:rsidRDefault="0032149D" w:rsidP="002F1D8F">
      <w:pPr>
        <w:spacing w:before="100" w:beforeAutospacing="1" w:after="100" w:afterAutospacing="1"/>
        <w:jc w:val="both"/>
        <w:rPr>
          <w:rFonts w:ascii="Calibri" w:eastAsia="Times New Roman" w:hAnsi="Calibri" w:cs="Calibri"/>
          <w:b/>
        </w:rPr>
      </w:pPr>
      <w:r w:rsidRPr="0032149D">
        <w:rPr>
          <w:rFonts w:ascii="Calibri" w:eastAsia="Times New Roman" w:hAnsi="Calibri" w:cs="Calibri"/>
          <w:b/>
        </w:rPr>
        <w:t>Section 2</w:t>
      </w:r>
    </w:p>
    <w:p w14:paraId="5587C41D" w14:textId="0C177C2D" w:rsidR="0032149D" w:rsidRPr="00A65E65" w:rsidRDefault="0032149D" w:rsidP="002F1D8F">
      <w:pPr>
        <w:spacing w:before="100" w:beforeAutospacing="1" w:after="100" w:afterAutospacing="1"/>
        <w:jc w:val="both"/>
        <w:rPr>
          <w:rFonts w:ascii="Calibri" w:eastAsia="Times New Roman" w:hAnsi="Calibri" w:cs="Calibri"/>
          <w:u w:val="single"/>
        </w:rPr>
      </w:pPr>
      <w:r w:rsidRPr="00A65E65">
        <w:rPr>
          <w:rFonts w:ascii="Calibri" w:eastAsia="Times New Roman" w:hAnsi="Calibri" w:cs="Calibri"/>
          <w:u w:val="single"/>
        </w:rPr>
        <w:t>2.1 A</w:t>
      </w:r>
    </w:p>
    <w:p w14:paraId="7C0376A0" w14:textId="77CA872C" w:rsidR="0032149D" w:rsidRDefault="0032149D" w:rsidP="002F1D8F">
      <w:pPr>
        <w:spacing w:before="100" w:beforeAutospacing="1" w:after="100" w:afterAutospacing="1"/>
        <w:jc w:val="both"/>
        <w:rPr>
          <w:rFonts w:ascii="Calibri" w:eastAsia="Times New Roman" w:hAnsi="Calibri" w:cs="Calibri"/>
        </w:rPr>
      </w:pPr>
      <w:r>
        <w:rPr>
          <w:rFonts w:ascii="Calibri" w:eastAsia="Times New Roman" w:hAnsi="Calibri" w:cs="Calibri"/>
        </w:rPr>
        <w:t>David Ulrich’s business partner model emphas</w:t>
      </w:r>
      <w:r w:rsidR="003F0E48">
        <w:rPr>
          <w:rFonts w:ascii="Calibri" w:eastAsia="Times New Roman" w:hAnsi="Calibri" w:cs="Calibri"/>
        </w:rPr>
        <w:t>is</w:t>
      </w:r>
      <w:r>
        <w:rPr>
          <w:rFonts w:ascii="Calibri" w:eastAsia="Times New Roman" w:hAnsi="Calibri" w:cs="Calibri"/>
        </w:rPr>
        <w:t xml:space="preserve">ed four key roles which needed to be adopted by HR professionals: </w:t>
      </w:r>
    </w:p>
    <w:p w14:paraId="2ED3DBEA" w14:textId="378125C9" w:rsidR="0032149D" w:rsidRDefault="0032149D" w:rsidP="0032149D">
      <w:pPr>
        <w:pStyle w:val="ListParagraph"/>
        <w:numPr>
          <w:ilvl w:val="0"/>
          <w:numId w:val="4"/>
        </w:numPr>
        <w:spacing w:before="100" w:beforeAutospacing="1" w:after="100" w:afterAutospacing="1"/>
        <w:jc w:val="both"/>
        <w:rPr>
          <w:rFonts w:ascii="Calibri" w:eastAsia="Times New Roman" w:hAnsi="Calibri" w:cs="Calibri"/>
        </w:rPr>
      </w:pPr>
      <w:r>
        <w:rPr>
          <w:rFonts w:ascii="Calibri" w:eastAsia="Times New Roman" w:hAnsi="Calibri" w:cs="Calibri"/>
        </w:rPr>
        <w:t>Strategic partners</w:t>
      </w:r>
    </w:p>
    <w:p w14:paraId="70934F1B" w14:textId="1D1A6F5B" w:rsidR="0032149D" w:rsidRDefault="0032149D" w:rsidP="0032149D">
      <w:pPr>
        <w:pStyle w:val="ListParagraph"/>
        <w:numPr>
          <w:ilvl w:val="0"/>
          <w:numId w:val="4"/>
        </w:numPr>
        <w:spacing w:before="100" w:beforeAutospacing="1" w:after="100" w:afterAutospacing="1"/>
        <w:jc w:val="both"/>
        <w:rPr>
          <w:rFonts w:ascii="Calibri" w:eastAsia="Times New Roman" w:hAnsi="Calibri" w:cs="Calibri"/>
        </w:rPr>
      </w:pPr>
      <w:r>
        <w:rPr>
          <w:rFonts w:ascii="Calibri" w:eastAsia="Times New Roman" w:hAnsi="Calibri" w:cs="Calibri"/>
        </w:rPr>
        <w:t>Shared services</w:t>
      </w:r>
    </w:p>
    <w:p w14:paraId="1A2EB4A0" w14:textId="384DF8DD" w:rsidR="0032149D" w:rsidRDefault="0032149D" w:rsidP="0032149D">
      <w:pPr>
        <w:pStyle w:val="ListParagraph"/>
        <w:numPr>
          <w:ilvl w:val="0"/>
          <w:numId w:val="4"/>
        </w:numPr>
        <w:spacing w:before="100" w:beforeAutospacing="1" w:after="100" w:afterAutospacing="1"/>
        <w:jc w:val="both"/>
        <w:rPr>
          <w:rFonts w:ascii="Calibri" w:eastAsia="Times New Roman" w:hAnsi="Calibri" w:cs="Calibri"/>
        </w:rPr>
      </w:pPr>
      <w:r>
        <w:rPr>
          <w:rFonts w:ascii="Calibri" w:eastAsia="Times New Roman" w:hAnsi="Calibri" w:cs="Calibri"/>
        </w:rPr>
        <w:t>Employee champions</w:t>
      </w:r>
    </w:p>
    <w:p w14:paraId="2250F59A" w14:textId="52AF166F" w:rsidR="0032149D" w:rsidRDefault="0032149D" w:rsidP="0032149D">
      <w:pPr>
        <w:pStyle w:val="ListParagraph"/>
        <w:numPr>
          <w:ilvl w:val="0"/>
          <w:numId w:val="4"/>
        </w:numPr>
        <w:spacing w:before="100" w:beforeAutospacing="1" w:after="100" w:afterAutospacing="1"/>
        <w:jc w:val="both"/>
        <w:rPr>
          <w:rFonts w:ascii="Calibri" w:eastAsia="Times New Roman" w:hAnsi="Calibri" w:cs="Calibri"/>
        </w:rPr>
      </w:pPr>
      <w:r>
        <w:rPr>
          <w:rFonts w:ascii="Calibri" w:eastAsia="Times New Roman" w:hAnsi="Calibri" w:cs="Calibri"/>
        </w:rPr>
        <w:t>Change agents</w:t>
      </w:r>
      <w:sdt>
        <w:sdtPr>
          <w:rPr>
            <w:rFonts w:ascii="Calibri" w:eastAsia="Times New Roman" w:hAnsi="Calibri" w:cs="Calibri"/>
          </w:rPr>
          <w:id w:val="1533382885"/>
          <w:citation/>
        </w:sdtPr>
        <w:sdtContent>
          <w:r w:rsidR="00482727">
            <w:rPr>
              <w:rFonts w:ascii="Calibri" w:eastAsia="Times New Roman" w:hAnsi="Calibri" w:cs="Calibri"/>
            </w:rPr>
            <w:fldChar w:fldCharType="begin"/>
          </w:r>
          <w:r w:rsidR="00482727">
            <w:rPr>
              <w:rFonts w:ascii="Calibri" w:eastAsia="Times New Roman" w:hAnsi="Calibri" w:cs="Calibri"/>
            </w:rPr>
            <w:instrText xml:space="preserve"> CITATION Ree16 \l 2057 </w:instrText>
          </w:r>
          <w:r w:rsidR="00482727">
            <w:rPr>
              <w:rFonts w:ascii="Calibri" w:eastAsia="Times New Roman" w:hAnsi="Calibri" w:cs="Calibri"/>
            </w:rPr>
            <w:fldChar w:fldCharType="separate"/>
          </w:r>
          <w:r w:rsidR="00482727">
            <w:rPr>
              <w:rFonts w:ascii="Calibri" w:eastAsia="Times New Roman" w:hAnsi="Calibri" w:cs="Calibri"/>
              <w:noProof/>
            </w:rPr>
            <w:t xml:space="preserve"> </w:t>
          </w:r>
          <w:r w:rsidR="00482727" w:rsidRPr="00482727">
            <w:rPr>
              <w:rFonts w:ascii="Calibri" w:eastAsia="Times New Roman" w:hAnsi="Calibri" w:cs="Calibri"/>
              <w:noProof/>
            </w:rPr>
            <w:t>(Rees &amp; French, 2016)</w:t>
          </w:r>
          <w:r w:rsidR="00482727">
            <w:rPr>
              <w:rFonts w:ascii="Calibri" w:eastAsia="Times New Roman" w:hAnsi="Calibri" w:cs="Calibri"/>
            </w:rPr>
            <w:fldChar w:fldCharType="end"/>
          </w:r>
        </w:sdtContent>
      </w:sdt>
    </w:p>
    <w:p w14:paraId="514AE204" w14:textId="32A0EC06" w:rsidR="00482727" w:rsidRDefault="0032149D" w:rsidP="0032149D">
      <w:pPr>
        <w:spacing w:before="100" w:beforeAutospacing="1" w:after="100" w:afterAutospacing="1"/>
        <w:jc w:val="both"/>
        <w:rPr>
          <w:rFonts w:ascii="Calibri" w:eastAsia="Times New Roman" w:hAnsi="Calibri" w:cs="Calibri"/>
        </w:rPr>
      </w:pPr>
      <w:r>
        <w:rPr>
          <w:rFonts w:ascii="Calibri" w:eastAsia="Times New Roman" w:hAnsi="Calibri" w:cs="Calibri"/>
        </w:rPr>
        <w:t xml:space="preserve">The business partner model was adopted </w:t>
      </w:r>
      <w:r w:rsidR="00482727">
        <w:rPr>
          <w:rFonts w:ascii="Calibri" w:eastAsia="Times New Roman" w:hAnsi="Calibri" w:cs="Calibri"/>
        </w:rPr>
        <w:t xml:space="preserve">by a number of large organisations </w:t>
      </w:r>
      <w:r w:rsidR="003F0E48">
        <w:rPr>
          <w:rFonts w:ascii="Calibri" w:eastAsia="Times New Roman" w:hAnsi="Calibri" w:cs="Calibri"/>
        </w:rPr>
        <w:t>including</w:t>
      </w:r>
      <w:r w:rsidR="00482727">
        <w:rPr>
          <w:rFonts w:ascii="Calibri" w:eastAsia="Times New Roman" w:hAnsi="Calibri" w:cs="Calibri"/>
        </w:rPr>
        <w:t xml:space="preserve"> Netflix</w:t>
      </w:r>
      <w:r w:rsidR="00013E19">
        <w:rPr>
          <w:rFonts w:ascii="Calibri" w:eastAsia="Times New Roman" w:hAnsi="Calibri" w:cs="Calibri"/>
        </w:rPr>
        <w:t xml:space="preserve"> and the John Lewis Partnership</w:t>
      </w:r>
      <w:r w:rsidR="00482727">
        <w:rPr>
          <w:rFonts w:ascii="Calibri" w:eastAsia="Times New Roman" w:hAnsi="Calibri" w:cs="Calibri"/>
        </w:rPr>
        <w:t xml:space="preserve">. The model became the solution for HR professionals in order for them to add value to an organisation. The business partner allowed for professionals to become more strategic thinking and work closely with leaders and management teams in implementing HR strategies and programmes </w:t>
      </w:r>
      <w:sdt>
        <w:sdtPr>
          <w:rPr>
            <w:rFonts w:ascii="Calibri" w:eastAsia="Times New Roman" w:hAnsi="Calibri" w:cs="Calibri"/>
          </w:rPr>
          <w:id w:val="-100419026"/>
          <w:citation/>
        </w:sdtPr>
        <w:sdtContent>
          <w:r w:rsidR="00482727">
            <w:rPr>
              <w:rFonts w:ascii="Calibri" w:eastAsia="Times New Roman" w:hAnsi="Calibri" w:cs="Calibri"/>
            </w:rPr>
            <w:fldChar w:fldCharType="begin"/>
          </w:r>
          <w:r w:rsidR="00482727">
            <w:rPr>
              <w:rFonts w:ascii="Calibri" w:eastAsia="Times New Roman" w:hAnsi="Calibri" w:cs="Calibri"/>
            </w:rPr>
            <w:instrText xml:space="preserve"> CITATION CIP9d \l 2057 </w:instrText>
          </w:r>
          <w:r w:rsidR="00482727">
            <w:rPr>
              <w:rFonts w:ascii="Calibri" w:eastAsia="Times New Roman" w:hAnsi="Calibri" w:cs="Calibri"/>
            </w:rPr>
            <w:fldChar w:fldCharType="separate"/>
          </w:r>
          <w:r w:rsidR="00482727" w:rsidRPr="00482727">
            <w:rPr>
              <w:rFonts w:ascii="Calibri" w:eastAsia="Times New Roman" w:hAnsi="Calibri" w:cs="Calibri"/>
              <w:noProof/>
            </w:rPr>
            <w:t>(CIPD, 2019d)</w:t>
          </w:r>
          <w:r w:rsidR="00482727">
            <w:rPr>
              <w:rFonts w:ascii="Calibri" w:eastAsia="Times New Roman" w:hAnsi="Calibri" w:cs="Calibri"/>
            </w:rPr>
            <w:fldChar w:fldCharType="end"/>
          </w:r>
        </w:sdtContent>
      </w:sdt>
      <w:r w:rsidR="00482727">
        <w:rPr>
          <w:rFonts w:ascii="Calibri" w:eastAsia="Times New Roman" w:hAnsi="Calibri" w:cs="Calibri"/>
        </w:rPr>
        <w:t xml:space="preserve">; </w:t>
      </w:r>
      <w:sdt>
        <w:sdtPr>
          <w:rPr>
            <w:rFonts w:ascii="Calibri" w:eastAsia="Times New Roman" w:hAnsi="Calibri" w:cs="Calibri"/>
          </w:rPr>
          <w:id w:val="-1713727103"/>
          <w:citation/>
        </w:sdtPr>
        <w:sdtContent>
          <w:r w:rsidR="00482727">
            <w:rPr>
              <w:rFonts w:ascii="Calibri" w:eastAsia="Times New Roman" w:hAnsi="Calibri" w:cs="Calibri"/>
            </w:rPr>
            <w:fldChar w:fldCharType="begin"/>
          </w:r>
          <w:r w:rsidR="00482727">
            <w:rPr>
              <w:rFonts w:ascii="Calibri" w:eastAsia="Times New Roman" w:hAnsi="Calibri" w:cs="Calibri"/>
            </w:rPr>
            <w:instrText xml:space="preserve"> CITATION Coo19 \l 2057 </w:instrText>
          </w:r>
          <w:r w:rsidR="00482727">
            <w:rPr>
              <w:rFonts w:ascii="Calibri" w:eastAsia="Times New Roman" w:hAnsi="Calibri" w:cs="Calibri"/>
            </w:rPr>
            <w:fldChar w:fldCharType="separate"/>
          </w:r>
          <w:r w:rsidR="00482727" w:rsidRPr="00482727">
            <w:rPr>
              <w:rFonts w:ascii="Calibri" w:eastAsia="Times New Roman" w:hAnsi="Calibri" w:cs="Calibri"/>
              <w:noProof/>
            </w:rPr>
            <w:t>(Cook, 2019)</w:t>
          </w:r>
          <w:r w:rsidR="00482727">
            <w:rPr>
              <w:rFonts w:ascii="Calibri" w:eastAsia="Times New Roman" w:hAnsi="Calibri" w:cs="Calibri"/>
            </w:rPr>
            <w:fldChar w:fldCharType="end"/>
          </w:r>
        </w:sdtContent>
      </w:sdt>
      <w:r w:rsidR="00482727">
        <w:rPr>
          <w:rFonts w:ascii="Calibri" w:eastAsia="Times New Roman" w:hAnsi="Calibri" w:cs="Calibri"/>
        </w:rPr>
        <w:t xml:space="preserve">. </w:t>
      </w:r>
    </w:p>
    <w:p w14:paraId="4A6C890C" w14:textId="4B5BFB7A" w:rsidR="0032149D" w:rsidRDefault="00482727" w:rsidP="0032149D">
      <w:pPr>
        <w:spacing w:before="100" w:beforeAutospacing="1" w:after="100" w:afterAutospacing="1"/>
        <w:jc w:val="both"/>
        <w:rPr>
          <w:rFonts w:ascii="Calibri" w:eastAsia="Times New Roman" w:hAnsi="Calibri" w:cs="Calibri"/>
        </w:rPr>
      </w:pPr>
      <w:r>
        <w:rPr>
          <w:rFonts w:ascii="Calibri" w:eastAsia="Times New Roman" w:hAnsi="Calibri" w:cs="Calibri"/>
        </w:rPr>
        <w:t>Although a good idea in principle the Ulrich model wou</w:t>
      </w:r>
      <w:r w:rsidR="003F0E48">
        <w:rPr>
          <w:rFonts w:ascii="Calibri" w:eastAsia="Times New Roman" w:hAnsi="Calibri" w:cs="Calibri"/>
        </w:rPr>
        <w:t>l</w:t>
      </w:r>
      <w:r>
        <w:rPr>
          <w:rFonts w:ascii="Calibri" w:eastAsia="Times New Roman" w:hAnsi="Calibri" w:cs="Calibri"/>
        </w:rPr>
        <w:t xml:space="preserve">d have a </w:t>
      </w:r>
      <w:r w:rsidR="00E720CA">
        <w:rPr>
          <w:rFonts w:ascii="Calibri" w:eastAsia="Times New Roman" w:hAnsi="Calibri" w:cs="Calibri"/>
        </w:rPr>
        <w:t>long-lasting</w:t>
      </w:r>
      <w:r>
        <w:rPr>
          <w:rFonts w:ascii="Calibri" w:eastAsia="Times New Roman" w:hAnsi="Calibri" w:cs="Calibri"/>
        </w:rPr>
        <w:t xml:space="preserve"> impact on HR generalists. HR professionals who would have amassed knowledge in a number of areas such as recruitment, reward and employee relations have disappeared under this model </w:t>
      </w:r>
      <w:sdt>
        <w:sdtPr>
          <w:rPr>
            <w:rFonts w:ascii="Calibri" w:eastAsia="Times New Roman" w:hAnsi="Calibri" w:cs="Calibri"/>
          </w:rPr>
          <w:id w:val="1522207424"/>
          <w:citation/>
        </w:sdtPr>
        <w:sdtContent>
          <w:r>
            <w:rPr>
              <w:rFonts w:ascii="Calibri" w:eastAsia="Times New Roman" w:hAnsi="Calibri" w:cs="Calibri"/>
            </w:rPr>
            <w:fldChar w:fldCharType="begin"/>
          </w:r>
          <w:r>
            <w:rPr>
              <w:rFonts w:ascii="Calibri" w:eastAsia="Times New Roman" w:hAnsi="Calibri" w:cs="Calibri"/>
            </w:rPr>
            <w:instrText xml:space="preserve"> CITATION Coo19 \l 2057 </w:instrText>
          </w:r>
          <w:r>
            <w:rPr>
              <w:rFonts w:ascii="Calibri" w:eastAsia="Times New Roman" w:hAnsi="Calibri" w:cs="Calibri"/>
            </w:rPr>
            <w:fldChar w:fldCharType="separate"/>
          </w:r>
          <w:r w:rsidRPr="00482727">
            <w:rPr>
              <w:rFonts w:ascii="Calibri" w:eastAsia="Times New Roman" w:hAnsi="Calibri" w:cs="Calibri"/>
              <w:noProof/>
            </w:rPr>
            <w:t>(Cook, 2019)</w:t>
          </w:r>
          <w:r>
            <w:rPr>
              <w:rFonts w:ascii="Calibri" w:eastAsia="Times New Roman" w:hAnsi="Calibri" w:cs="Calibri"/>
            </w:rPr>
            <w:fldChar w:fldCharType="end"/>
          </w:r>
        </w:sdtContent>
      </w:sdt>
      <w:r>
        <w:rPr>
          <w:rFonts w:ascii="Calibri" w:eastAsia="Times New Roman" w:hAnsi="Calibri" w:cs="Calibri"/>
        </w:rPr>
        <w:t>. Larger organisations such as NHS trusts</w:t>
      </w:r>
      <w:r w:rsidR="003F0E48">
        <w:rPr>
          <w:rFonts w:ascii="Calibri" w:eastAsia="Times New Roman" w:hAnsi="Calibri" w:cs="Calibri"/>
        </w:rPr>
        <w:t xml:space="preserve"> have adopted this model of the “</w:t>
      </w:r>
      <w:r w:rsidR="00E720CA">
        <w:rPr>
          <w:rFonts w:ascii="Calibri" w:eastAsia="Times New Roman" w:hAnsi="Calibri" w:cs="Calibri"/>
        </w:rPr>
        <w:t>three-legged</w:t>
      </w:r>
      <w:r w:rsidR="003F0E48">
        <w:rPr>
          <w:rFonts w:ascii="Calibri" w:eastAsia="Times New Roman" w:hAnsi="Calibri" w:cs="Calibri"/>
        </w:rPr>
        <w:t xml:space="preserve"> stool’ as it is known. This model has three functional areas which include:</w:t>
      </w:r>
    </w:p>
    <w:p w14:paraId="69A7F5EA" w14:textId="747E283C" w:rsidR="003F0E48" w:rsidRDefault="003F0E48" w:rsidP="003F0E48">
      <w:pPr>
        <w:pStyle w:val="ListParagraph"/>
        <w:numPr>
          <w:ilvl w:val="0"/>
          <w:numId w:val="5"/>
        </w:numPr>
        <w:spacing w:before="100" w:beforeAutospacing="1" w:after="100" w:afterAutospacing="1"/>
        <w:jc w:val="both"/>
        <w:rPr>
          <w:rFonts w:ascii="Calibri" w:eastAsia="Times New Roman" w:hAnsi="Calibri" w:cs="Calibri"/>
        </w:rPr>
      </w:pPr>
      <w:r>
        <w:rPr>
          <w:rFonts w:ascii="Calibri" w:eastAsia="Times New Roman" w:hAnsi="Calibri" w:cs="Calibri"/>
        </w:rPr>
        <w:t>Shared services deal with absence monitoring and payroll</w:t>
      </w:r>
    </w:p>
    <w:p w14:paraId="26760B72" w14:textId="1FEFA8ED" w:rsidR="003F0E48" w:rsidRDefault="003F0E48" w:rsidP="003F0E48">
      <w:pPr>
        <w:pStyle w:val="ListParagraph"/>
        <w:numPr>
          <w:ilvl w:val="0"/>
          <w:numId w:val="5"/>
        </w:numPr>
        <w:spacing w:before="100" w:beforeAutospacing="1" w:after="100" w:afterAutospacing="1"/>
        <w:jc w:val="both"/>
        <w:rPr>
          <w:rFonts w:ascii="Calibri" w:eastAsia="Times New Roman" w:hAnsi="Calibri" w:cs="Calibri"/>
        </w:rPr>
      </w:pPr>
      <w:r>
        <w:rPr>
          <w:rFonts w:ascii="Calibri" w:eastAsia="Times New Roman" w:hAnsi="Calibri" w:cs="Calibri"/>
        </w:rPr>
        <w:t>Centres of excellence have small teams of experts with specialist knowledge</w:t>
      </w:r>
    </w:p>
    <w:p w14:paraId="5D730EBA" w14:textId="0E5829BA" w:rsidR="003F0E48" w:rsidRDefault="003F0E48" w:rsidP="003F0E48">
      <w:pPr>
        <w:pStyle w:val="ListParagraph"/>
        <w:numPr>
          <w:ilvl w:val="0"/>
          <w:numId w:val="5"/>
        </w:numPr>
        <w:spacing w:before="100" w:beforeAutospacing="1" w:after="100" w:afterAutospacing="1"/>
        <w:jc w:val="both"/>
        <w:rPr>
          <w:rFonts w:ascii="Calibri" w:eastAsia="Times New Roman" w:hAnsi="Calibri" w:cs="Calibri"/>
        </w:rPr>
      </w:pPr>
      <w:r>
        <w:rPr>
          <w:rFonts w:ascii="Calibri" w:eastAsia="Times New Roman" w:hAnsi="Calibri" w:cs="Calibri"/>
        </w:rPr>
        <w:t xml:space="preserve">Strategic business partners influence and formulate strategy </w:t>
      </w:r>
      <w:sdt>
        <w:sdtPr>
          <w:rPr>
            <w:rFonts w:ascii="Calibri" w:eastAsia="Times New Roman" w:hAnsi="Calibri" w:cs="Calibri"/>
          </w:rPr>
          <w:id w:val="-1512831120"/>
          <w:citation/>
        </w:sdtPr>
        <w:sdtContent>
          <w:r>
            <w:rPr>
              <w:rFonts w:ascii="Calibri" w:eastAsia="Times New Roman" w:hAnsi="Calibri" w:cs="Calibri"/>
            </w:rPr>
            <w:fldChar w:fldCharType="begin"/>
          </w:r>
          <w:r>
            <w:rPr>
              <w:rFonts w:ascii="Calibri" w:eastAsia="Times New Roman" w:hAnsi="Calibri" w:cs="Calibri"/>
            </w:rPr>
            <w:instrText xml:space="preserve"> CITATION Ree16 \l 2057 </w:instrText>
          </w:r>
          <w:r>
            <w:rPr>
              <w:rFonts w:ascii="Calibri" w:eastAsia="Times New Roman" w:hAnsi="Calibri" w:cs="Calibri"/>
            </w:rPr>
            <w:fldChar w:fldCharType="separate"/>
          </w:r>
          <w:r w:rsidRPr="003F0E48">
            <w:rPr>
              <w:rFonts w:ascii="Calibri" w:eastAsia="Times New Roman" w:hAnsi="Calibri" w:cs="Calibri"/>
              <w:noProof/>
            </w:rPr>
            <w:t>(Rees &amp; French, 2016)</w:t>
          </w:r>
          <w:r>
            <w:rPr>
              <w:rFonts w:ascii="Calibri" w:eastAsia="Times New Roman" w:hAnsi="Calibri" w:cs="Calibri"/>
            </w:rPr>
            <w:fldChar w:fldCharType="end"/>
          </w:r>
        </w:sdtContent>
      </w:sdt>
      <w:r>
        <w:rPr>
          <w:rFonts w:ascii="Calibri" w:eastAsia="Times New Roman" w:hAnsi="Calibri" w:cs="Calibri"/>
        </w:rPr>
        <w:t xml:space="preserve">. </w:t>
      </w:r>
    </w:p>
    <w:p w14:paraId="2B50DD75" w14:textId="4FF00715" w:rsidR="009744ED" w:rsidRPr="009744ED" w:rsidRDefault="003F0E48" w:rsidP="009744ED">
      <w:pPr>
        <w:spacing w:after="150"/>
        <w:rPr>
          <w:rFonts w:eastAsia="Times New Roman" w:cstheme="minorHAnsi"/>
        </w:rPr>
      </w:pPr>
      <w:r w:rsidRPr="009744ED">
        <w:rPr>
          <w:rFonts w:eastAsia="Times New Roman" w:cstheme="minorHAnsi"/>
        </w:rPr>
        <w:t>The counter arguments for the business partner models are that is has not resulted in strategic thinking but has been a name changing exercise</w:t>
      </w:r>
      <w:sdt>
        <w:sdtPr>
          <w:rPr>
            <w:rFonts w:eastAsia="Times New Roman" w:cstheme="minorHAnsi"/>
          </w:rPr>
          <w:id w:val="1330024430"/>
          <w:citation/>
        </w:sdtPr>
        <w:sdtContent>
          <w:r w:rsidRPr="009744ED">
            <w:rPr>
              <w:rFonts w:eastAsia="Times New Roman" w:cstheme="minorHAnsi"/>
            </w:rPr>
            <w:fldChar w:fldCharType="begin"/>
          </w:r>
          <w:r w:rsidRPr="009744ED">
            <w:rPr>
              <w:rFonts w:eastAsia="Times New Roman" w:cstheme="minorHAnsi"/>
            </w:rPr>
            <w:instrText xml:space="preserve"> CITATION Pit08 \l 2057 </w:instrText>
          </w:r>
          <w:r w:rsidRPr="009744ED">
            <w:rPr>
              <w:rFonts w:eastAsia="Times New Roman" w:cstheme="minorHAnsi"/>
            </w:rPr>
            <w:fldChar w:fldCharType="separate"/>
          </w:r>
          <w:r w:rsidRPr="009744ED">
            <w:rPr>
              <w:rFonts w:eastAsia="Times New Roman" w:cstheme="minorHAnsi"/>
              <w:noProof/>
            </w:rPr>
            <w:t xml:space="preserve"> (Pitcher, 2008)</w:t>
          </w:r>
          <w:r w:rsidRPr="009744ED">
            <w:rPr>
              <w:rFonts w:eastAsia="Times New Roman" w:cstheme="minorHAnsi"/>
            </w:rPr>
            <w:fldChar w:fldCharType="end"/>
          </w:r>
        </w:sdtContent>
      </w:sdt>
      <w:r w:rsidRPr="009744ED">
        <w:rPr>
          <w:rFonts w:eastAsia="Times New Roman" w:cstheme="minorHAnsi"/>
        </w:rPr>
        <w:t xml:space="preserve">. </w:t>
      </w:r>
      <w:r w:rsidR="009744ED" w:rsidRPr="009744ED">
        <w:rPr>
          <w:rFonts w:eastAsia="Times New Roman" w:cstheme="minorHAnsi"/>
        </w:rPr>
        <w:t>The Ulrich model also does not adopt the need for industrial and employee relations experts. Good employee relations need to establish relationships and listen to people. It’s about real face-to-face contact</w:t>
      </w:r>
      <w:r w:rsidR="009744ED">
        <w:rPr>
          <w:rFonts w:eastAsia="Times New Roman" w:cstheme="minorHAnsi"/>
        </w:rPr>
        <w:t xml:space="preserve"> with an expert</w:t>
      </w:r>
      <w:r w:rsidR="009744ED" w:rsidRPr="009744ED">
        <w:rPr>
          <w:rFonts w:eastAsia="Times New Roman" w:cstheme="minorHAnsi"/>
        </w:rPr>
        <w:t xml:space="preserve">, not phoning shared services or a centre of excellence </w:t>
      </w:r>
      <w:sdt>
        <w:sdtPr>
          <w:rPr>
            <w:rFonts w:eastAsia="Times New Roman" w:cstheme="minorHAnsi"/>
          </w:rPr>
          <w:id w:val="1540543323"/>
          <w:citation/>
        </w:sdtPr>
        <w:sdtContent>
          <w:r w:rsidR="009744ED" w:rsidRPr="009744ED">
            <w:rPr>
              <w:rFonts w:eastAsia="Times New Roman" w:cstheme="minorHAnsi"/>
            </w:rPr>
            <w:fldChar w:fldCharType="begin"/>
          </w:r>
          <w:r w:rsidR="009744ED" w:rsidRPr="009744ED">
            <w:rPr>
              <w:rFonts w:eastAsia="Times New Roman" w:cstheme="minorHAnsi"/>
            </w:rPr>
            <w:instrText xml:space="preserve"> CITATION Coo19 \l 2057 </w:instrText>
          </w:r>
          <w:r w:rsidR="009744ED" w:rsidRPr="009744ED">
            <w:rPr>
              <w:rFonts w:eastAsia="Times New Roman" w:cstheme="minorHAnsi"/>
            </w:rPr>
            <w:fldChar w:fldCharType="separate"/>
          </w:r>
          <w:r w:rsidR="009744ED" w:rsidRPr="009744ED">
            <w:rPr>
              <w:rFonts w:eastAsia="Times New Roman" w:cstheme="minorHAnsi"/>
              <w:noProof/>
            </w:rPr>
            <w:t>(Cook, 2019)</w:t>
          </w:r>
          <w:r w:rsidR="009744ED" w:rsidRPr="009744ED">
            <w:rPr>
              <w:rFonts w:eastAsia="Times New Roman" w:cstheme="minorHAnsi"/>
            </w:rPr>
            <w:fldChar w:fldCharType="end"/>
          </w:r>
        </w:sdtContent>
      </w:sdt>
      <w:r w:rsidR="009744ED" w:rsidRPr="009744ED">
        <w:rPr>
          <w:rFonts w:eastAsia="Times New Roman" w:cstheme="minorHAnsi"/>
        </w:rPr>
        <w:t>.</w:t>
      </w:r>
      <w:r w:rsidR="009744ED">
        <w:rPr>
          <w:rFonts w:eastAsia="Times New Roman" w:cstheme="minorHAnsi"/>
        </w:rPr>
        <w:t xml:space="preserve"> </w:t>
      </w:r>
      <w:r w:rsidR="009744ED" w:rsidRPr="009744ED">
        <w:rPr>
          <w:rFonts w:eastAsia="Times New Roman" w:cstheme="minorHAnsi"/>
        </w:rPr>
        <w:t xml:space="preserve"> </w:t>
      </w:r>
    </w:p>
    <w:p w14:paraId="67456A8F" w14:textId="09A187FC" w:rsidR="003F0E48" w:rsidRDefault="009744ED" w:rsidP="003F0E48">
      <w:pPr>
        <w:spacing w:before="100" w:beforeAutospacing="1" w:after="100" w:afterAutospacing="1"/>
        <w:jc w:val="both"/>
        <w:rPr>
          <w:rFonts w:ascii="Calibri" w:eastAsia="Times New Roman" w:hAnsi="Calibri" w:cs="Calibri"/>
        </w:rPr>
      </w:pPr>
      <w:r>
        <w:rPr>
          <w:rFonts w:ascii="Calibri" w:eastAsia="Times New Roman" w:hAnsi="Calibri" w:cs="Calibri"/>
        </w:rPr>
        <w:t>For the future of HR the Ulrich is a good starting point for organisations but there is not one model that fit every organ</w:t>
      </w:r>
      <w:r w:rsidR="00321FD8">
        <w:rPr>
          <w:rFonts w:ascii="Calibri" w:eastAsia="Times New Roman" w:hAnsi="Calibri" w:cs="Calibri"/>
        </w:rPr>
        <w:t>i</w:t>
      </w:r>
      <w:r>
        <w:rPr>
          <w:rFonts w:ascii="Calibri" w:eastAsia="Times New Roman" w:hAnsi="Calibri" w:cs="Calibri"/>
        </w:rPr>
        <w:t>sations needs and Ulrich himself has stated that the “HR organisation should be structured in a way that reflects to the needs and structure of the business”</w:t>
      </w:r>
      <w:sdt>
        <w:sdtPr>
          <w:rPr>
            <w:rFonts w:ascii="Calibri" w:eastAsia="Times New Roman" w:hAnsi="Calibri" w:cs="Calibri"/>
          </w:rPr>
          <w:id w:val="649020841"/>
          <w:citation/>
        </w:sdtPr>
        <w:sdtContent>
          <w:r w:rsidR="00321FD8">
            <w:rPr>
              <w:rFonts w:ascii="Calibri" w:eastAsia="Times New Roman" w:hAnsi="Calibri" w:cs="Calibri"/>
            </w:rPr>
            <w:fldChar w:fldCharType="begin"/>
          </w:r>
          <w:r w:rsidR="00321FD8">
            <w:rPr>
              <w:rFonts w:ascii="Calibri" w:eastAsia="Times New Roman" w:hAnsi="Calibri" w:cs="Calibri"/>
            </w:rPr>
            <w:instrText xml:space="preserve"> CITATION CIP153 \l 2057 </w:instrText>
          </w:r>
          <w:r w:rsidR="00321FD8">
            <w:rPr>
              <w:rFonts w:ascii="Calibri" w:eastAsia="Times New Roman" w:hAnsi="Calibri" w:cs="Calibri"/>
            </w:rPr>
            <w:fldChar w:fldCharType="separate"/>
          </w:r>
          <w:r w:rsidR="00321FD8">
            <w:rPr>
              <w:rFonts w:ascii="Calibri" w:eastAsia="Times New Roman" w:hAnsi="Calibri" w:cs="Calibri"/>
              <w:noProof/>
            </w:rPr>
            <w:t xml:space="preserve"> </w:t>
          </w:r>
          <w:r w:rsidR="00321FD8" w:rsidRPr="00321FD8">
            <w:rPr>
              <w:rFonts w:ascii="Calibri" w:eastAsia="Times New Roman" w:hAnsi="Calibri" w:cs="Calibri"/>
              <w:noProof/>
            </w:rPr>
            <w:t>(CIPD, 2015)</w:t>
          </w:r>
          <w:r w:rsidR="00321FD8">
            <w:rPr>
              <w:rFonts w:ascii="Calibri" w:eastAsia="Times New Roman" w:hAnsi="Calibri" w:cs="Calibri"/>
            </w:rPr>
            <w:fldChar w:fldCharType="end"/>
          </w:r>
        </w:sdtContent>
      </w:sdt>
      <w:r w:rsidR="00321FD8">
        <w:rPr>
          <w:rFonts w:ascii="Calibri" w:eastAsia="Times New Roman" w:hAnsi="Calibri" w:cs="Calibri"/>
        </w:rPr>
        <w:t>. Two of the most adopted models of human resource management</w:t>
      </w:r>
      <w:r w:rsidR="00394FD1">
        <w:rPr>
          <w:rFonts w:ascii="Calibri" w:eastAsia="Times New Roman" w:hAnsi="Calibri" w:cs="Calibri"/>
        </w:rPr>
        <w:t xml:space="preserve">, which can be incorporated into any organisation </w:t>
      </w:r>
      <w:r w:rsidR="00321FD8">
        <w:rPr>
          <w:rFonts w:ascii="Calibri" w:eastAsia="Times New Roman" w:hAnsi="Calibri" w:cs="Calibri"/>
        </w:rPr>
        <w:t>are the hard and soft models. The hard model focuses on strategic control whereby policies and practices are closely linked to organisational objectives. While the soft model bases itself around the human relations movement and control through commitment</w:t>
      </w:r>
      <w:sdt>
        <w:sdtPr>
          <w:rPr>
            <w:rFonts w:ascii="Calibri" w:eastAsia="Times New Roman" w:hAnsi="Calibri" w:cs="Calibri"/>
          </w:rPr>
          <w:id w:val="-1224909867"/>
          <w:citation/>
        </w:sdtPr>
        <w:sdtContent>
          <w:r w:rsidR="00394FD1">
            <w:rPr>
              <w:rFonts w:ascii="Calibri" w:eastAsia="Times New Roman" w:hAnsi="Calibri" w:cs="Calibri"/>
            </w:rPr>
            <w:fldChar w:fldCharType="begin"/>
          </w:r>
          <w:r w:rsidR="00394FD1">
            <w:rPr>
              <w:rFonts w:ascii="Calibri" w:eastAsia="Times New Roman" w:hAnsi="Calibri" w:cs="Calibri"/>
            </w:rPr>
            <w:instrText xml:space="preserve"> CITATION Tru97 \l 2057 </w:instrText>
          </w:r>
          <w:r w:rsidR="00394FD1">
            <w:rPr>
              <w:rFonts w:ascii="Calibri" w:eastAsia="Times New Roman" w:hAnsi="Calibri" w:cs="Calibri"/>
            </w:rPr>
            <w:fldChar w:fldCharType="separate"/>
          </w:r>
          <w:r w:rsidR="00394FD1">
            <w:rPr>
              <w:rFonts w:ascii="Calibri" w:eastAsia="Times New Roman" w:hAnsi="Calibri" w:cs="Calibri"/>
              <w:noProof/>
            </w:rPr>
            <w:t xml:space="preserve"> </w:t>
          </w:r>
          <w:r w:rsidR="00394FD1" w:rsidRPr="00394FD1">
            <w:rPr>
              <w:rFonts w:ascii="Calibri" w:eastAsia="Times New Roman" w:hAnsi="Calibri" w:cs="Calibri"/>
              <w:noProof/>
            </w:rPr>
            <w:t>(Truss, et al., 1997)</w:t>
          </w:r>
          <w:r w:rsidR="00394FD1">
            <w:rPr>
              <w:rFonts w:ascii="Calibri" w:eastAsia="Times New Roman" w:hAnsi="Calibri" w:cs="Calibri"/>
            </w:rPr>
            <w:fldChar w:fldCharType="end"/>
          </w:r>
        </w:sdtContent>
      </w:sdt>
      <w:r w:rsidR="00394FD1">
        <w:rPr>
          <w:rFonts w:ascii="Calibri" w:eastAsia="Times New Roman" w:hAnsi="Calibri" w:cs="Calibri"/>
        </w:rPr>
        <w:t xml:space="preserve">. </w:t>
      </w:r>
    </w:p>
    <w:p w14:paraId="14EA9296" w14:textId="584E7EE2" w:rsidR="00A65E65" w:rsidRDefault="00A65E65" w:rsidP="003F0E48">
      <w:pPr>
        <w:spacing w:before="100" w:beforeAutospacing="1" w:after="100" w:afterAutospacing="1"/>
        <w:jc w:val="both"/>
        <w:rPr>
          <w:rFonts w:ascii="Calibri" w:eastAsia="Times New Roman" w:hAnsi="Calibri" w:cs="Calibri"/>
        </w:rPr>
      </w:pPr>
    </w:p>
    <w:p w14:paraId="56667CF7" w14:textId="77777777" w:rsidR="00A65E65" w:rsidRDefault="00A65E65" w:rsidP="003F0E48">
      <w:pPr>
        <w:spacing w:before="100" w:beforeAutospacing="1" w:after="100" w:afterAutospacing="1"/>
        <w:jc w:val="both"/>
        <w:rPr>
          <w:rFonts w:ascii="Calibri" w:eastAsia="Times New Roman" w:hAnsi="Calibri" w:cs="Calibri"/>
        </w:rPr>
      </w:pPr>
    </w:p>
    <w:p w14:paraId="23E53217" w14:textId="51DC11A2" w:rsidR="009744ED" w:rsidRPr="00A65E65" w:rsidRDefault="00C46258" w:rsidP="003F0E48">
      <w:pPr>
        <w:spacing w:before="100" w:beforeAutospacing="1" w:after="100" w:afterAutospacing="1"/>
        <w:jc w:val="both"/>
        <w:rPr>
          <w:rFonts w:ascii="Calibri" w:eastAsia="Times New Roman" w:hAnsi="Calibri" w:cs="Calibri"/>
          <w:u w:val="single"/>
        </w:rPr>
      </w:pPr>
      <w:r w:rsidRPr="00A65E65">
        <w:rPr>
          <w:rFonts w:ascii="Calibri" w:eastAsia="Times New Roman" w:hAnsi="Calibri" w:cs="Calibri"/>
          <w:u w:val="single"/>
        </w:rPr>
        <w:lastRenderedPageBreak/>
        <w:t>2.2</w:t>
      </w:r>
      <w:r w:rsidR="005B5796" w:rsidRPr="00A65E65">
        <w:rPr>
          <w:rFonts w:ascii="Calibri" w:eastAsia="Times New Roman" w:hAnsi="Calibri" w:cs="Calibri"/>
          <w:u w:val="single"/>
        </w:rPr>
        <w:t>B</w:t>
      </w:r>
    </w:p>
    <w:p w14:paraId="1716A4FF" w14:textId="77777777" w:rsidR="00AD3831" w:rsidRDefault="005B5796" w:rsidP="003F0E48">
      <w:pPr>
        <w:spacing w:before="100" w:beforeAutospacing="1" w:after="100" w:afterAutospacing="1"/>
        <w:jc w:val="both"/>
        <w:rPr>
          <w:rFonts w:ascii="Calibri" w:eastAsia="Times New Roman" w:hAnsi="Calibri" w:cs="Calibri"/>
        </w:rPr>
      </w:pPr>
      <w:r>
        <w:rPr>
          <w:rFonts w:ascii="Calibri" w:eastAsia="Times New Roman" w:hAnsi="Calibri" w:cs="Calibri"/>
        </w:rPr>
        <w:t xml:space="preserve">The term business ethics has been described as the study of business situations, activities and decisions where issues or right and wrong are addressed </w:t>
      </w:r>
      <w:sdt>
        <w:sdtPr>
          <w:rPr>
            <w:rFonts w:ascii="Calibri" w:eastAsia="Times New Roman" w:hAnsi="Calibri" w:cs="Calibri"/>
          </w:rPr>
          <w:id w:val="497386823"/>
          <w:citation/>
        </w:sdtPr>
        <w:sdtContent>
          <w:r>
            <w:rPr>
              <w:rFonts w:ascii="Calibri" w:eastAsia="Times New Roman" w:hAnsi="Calibri" w:cs="Calibri"/>
            </w:rPr>
            <w:fldChar w:fldCharType="begin"/>
          </w:r>
          <w:r>
            <w:rPr>
              <w:rFonts w:ascii="Calibri" w:eastAsia="Times New Roman" w:hAnsi="Calibri" w:cs="Calibri"/>
            </w:rPr>
            <w:instrText xml:space="preserve"> CITATION Cra16 \l 2057 </w:instrText>
          </w:r>
          <w:r>
            <w:rPr>
              <w:rFonts w:ascii="Calibri" w:eastAsia="Times New Roman" w:hAnsi="Calibri" w:cs="Calibri"/>
            </w:rPr>
            <w:fldChar w:fldCharType="separate"/>
          </w:r>
          <w:r w:rsidRPr="005B5796">
            <w:rPr>
              <w:rFonts w:ascii="Calibri" w:eastAsia="Times New Roman" w:hAnsi="Calibri" w:cs="Calibri"/>
              <w:noProof/>
            </w:rPr>
            <w:t>(Crane &amp; Matten, 2016)</w:t>
          </w:r>
          <w:r>
            <w:rPr>
              <w:rFonts w:ascii="Calibri" w:eastAsia="Times New Roman" w:hAnsi="Calibri" w:cs="Calibri"/>
            </w:rPr>
            <w:fldChar w:fldCharType="end"/>
          </w:r>
        </w:sdtContent>
      </w:sdt>
      <w:r>
        <w:rPr>
          <w:rFonts w:ascii="Calibri" w:eastAsia="Times New Roman" w:hAnsi="Calibri" w:cs="Calibri"/>
        </w:rPr>
        <w:t xml:space="preserve">. It has become increasingly important for businesses in promote a set of values that aim to guide staff about the culture of the organisation and the way things are done </w:t>
      </w:r>
      <w:sdt>
        <w:sdtPr>
          <w:rPr>
            <w:rFonts w:ascii="Calibri" w:eastAsia="Times New Roman" w:hAnsi="Calibri" w:cs="Calibri"/>
          </w:rPr>
          <w:id w:val="-180442877"/>
          <w:citation/>
        </w:sdtPr>
        <w:sdtContent>
          <w:r>
            <w:rPr>
              <w:rFonts w:ascii="Calibri" w:eastAsia="Times New Roman" w:hAnsi="Calibri" w:cs="Calibri"/>
            </w:rPr>
            <w:fldChar w:fldCharType="begin"/>
          </w:r>
          <w:r>
            <w:rPr>
              <w:rFonts w:ascii="Calibri" w:eastAsia="Times New Roman" w:hAnsi="Calibri" w:cs="Calibri"/>
            </w:rPr>
            <w:instrText xml:space="preserve"> CITATION Ree16 \l 2057 </w:instrText>
          </w:r>
          <w:r>
            <w:rPr>
              <w:rFonts w:ascii="Calibri" w:eastAsia="Times New Roman" w:hAnsi="Calibri" w:cs="Calibri"/>
            </w:rPr>
            <w:fldChar w:fldCharType="separate"/>
          </w:r>
          <w:r w:rsidRPr="005B5796">
            <w:rPr>
              <w:rFonts w:ascii="Calibri" w:eastAsia="Times New Roman" w:hAnsi="Calibri" w:cs="Calibri"/>
              <w:noProof/>
            </w:rPr>
            <w:t>(Rees &amp; French, 2016)</w:t>
          </w:r>
          <w:r>
            <w:rPr>
              <w:rFonts w:ascii="Calibri" w:eastAsia="Times New Roman" w:hAnsi="Calibri" w:cs="Calibri"/>
            </w:rPr>
            <w:fldChar w:fldCharType="end"/>
          </w:r>
        </w:sdtContent>
      </w:sdt>
      <w:r>
        <w:rPr>
          <w:rFonts w:ascii="Calibri" w:eastAsia="Times New Roman" w:hAnsi="Calibri" w:cs="Calibri"/>
        </w:rPr>
        <w:t xml:space="preserve">. </w:t>
      </w:r>
    </w:p>
    <w:p w14:paraId="4179F570" w14:textId="2E0461B6" w:rsidR="00AD3831" w:rsidRDefault="00AD3831" w:rsidP="003F0E48">
      <w:pPr>
        <w:spacing w:before="100" w:beforeAutospacing="1" w:after="100" w:afterAutospacing="1"/>
        <w:jc w:val="both"/>
        <w:rPr>
          <w:rFonts w:ascii="Calibri" w:eastAsia="Times New Roman" w:hAnsi="Calibri" w:cs="Calibri"/>
        </w:rPr>
      </w:pPr>
      <w:r>
        <w:rPr>
          <w:rFonts w:ascii="Calibri" w:eastAsia="Times New Roman" w:hAnsi="Calibri" w:cs="Calibri"/>
        </w:rPr>
        <w:t xml:space="preserve">There </w:t>
      </w:r>
      <w:r w:rsidR="00E720CA">
        <w:rPr>
          <w:rFonts w:ascii="Calibri" w:eastAsia="Times New Roman" w:hAnsi="Calibri" w:cs="Calibri"/>
        </w:rPr>
        <w:t>have</w:t>
      </w:r>
      <w:r>
        <w:rPr>
          <w:rFonts w:ascii="Calibri" w:eastAsia="Times New Roman" w:hAnsi="Calibri" w:cs="Calibri"/>
        </w:rPr>
        <w:t xml:space="preserve"> been significant increases in the number of organisations which have recognised that ethical practice and corporate social responsibility improve employee </w:t>
      </w:r>
      <w:r w:rsidR="00E720CA">
        <w:rPr>
          <w:rFonts w:ascii="Calibri" w:eastAsia="Times New Roman" w:hAnsi="Calibri" w:cs="Calibri"/>
        </w:rPr>
        <w:t>commitment,</w:t>
      </w:r>
      <w:r>
        <w:rPr>
          <w:rFonts w:ascii="Calibri" w:eastAsia="Times New Roman" w:hAnsi="Calibri" w:cs="Calibri"/>
        </w:rPr>
        <w:t xml:space="preserve"> motivation, enhanced brand and customer loyalty </w:t>
      </w:r>
      <w:sdt>
        <w:sdtPr>
          <w:rPr>
            <w:rFonts w:ascii="Calibri" w:eastAsia="Times New Roman" w:hAnsi="Calibri" w:cs="Calibri"/>
          </w:rPr>
          <w:id w:val="619578010"/>
          <w:citation/>
        </w:sdtPr>
        <w:sdtContent>
          <w:r>
            <w:rPr>
              <w:rFonts w:ascii="Calibri" w:eastAsia="Times New Roman" w:hAnsi="Calibri" w:cs="Calibri"/>
            </w:rPr>
            <w:fldChar w:fldCharType="begin"/>
          </w:r>
          <w:r>
            <w:rPr>
              <w:rFonts w:ascii="Calibri" w:eastAsia="Times New Roman" w:hAnsi="Calibri" w:cs="Calibri"/>
            </w:rPr>
            <w:instrText xml:space="preserve"> CITATION CIP19 \l 2057 </w:instrText>
          </w:r>
          <w:r>
            <w:rPr>
              <w:rFonts w:ascii="Calibri" w:eastAsia="Times New Roman" w:hAnsi="Calibri" w:cs="Calibri"/>
            </w:rPr>
            <w:fldChar w:fldCharType="separate"/>
          </w:r>
          <w:r w:rsidRPr="00AD3831">
            <w:rPr>
              <w:rFonts w:ascii="Calibri" w:eastAsia="Times New Roman" w:hAnsi="Calibri" w:cs="Calibri"/>
              <w:noProof/>
            </w:rPr>
            <w:t>(CIPD, 2019a)</w:t>
          </w:r>
          <w:r>
            <w:rPr>
              <w:rFonts w:ascii="Calibri" w:eastAsia="Times New Roman" w:hAnsi="Calibri" w:cs="Calibri"/>
            </w:rPr>
            <w:fldChar w:fldCharType="end"/>
          </w:r>
        </w:sdtContent>
      </w:sdt>
      <w:r>
        <w:rPr>
          <w:rFonts w:ascii="Calibri" w:eastAsia="Times New Roman" w:hAnsi="Calibri" w:cs="Calibri"/>
        </w:rPr>
        <w:t>.</w:t>
      </w:r>
    </w:p>
    <w:p w14:paraId="3DDBBB26" w14:textId="26F39121" w:rsidR="005B5796" w:rsidRDefault="00A044EB" w:rsidP="003F0E48">
      <w:pPr>
        <w:spacing w:before="100" w:beforeAutospacing="1" w:after="100" w:afterAutospacing="1"/>
        <w:jc w:val="both"/>
        <w:rPr>
          <w:rFonts w:ascii="Calibri" w:eastAsia="Times New Roman" w:hAnsi="Calibri" w:cs="Calibri"/>
        </w:rPr>
      </w:pPr>
      <w:r>
        <w:rPr>
          <w:rFonts w:ascii="Calibri" w:eastAsia="Times New Roman" w:hAnsi="Calibri" w:cs="Calibri"/>
        </w:rPr>
        <w:t xml:space="preserve">A pluralist view to ethical theory is that is should </w:t>
      </w:r>
      <w:r w:rsidR="00E720CA">
        <w:rPr>
          <w:rFonts w:ascii="Calibri" w:eastAsia="Times New Roman" w:hAnsi="Calibri" w:cs="Calibri"/>
        </w:rPr>
        <w:t>complement</w:t>
      </w:r>
      <w:r>
        <w:rPr>
          <w:rFonts w:ascii="Calibri" w:eastAsia="Times New Roman" w:hAnsi="Calibri" w:cs="Calibri"/>
        </w:rPr>
        <w:t xml:space="preserve"> an intelligent and considered response to challenges faced by organisations</w:t>
      </w:r>
      <w:sdt>
        <w:sdtPr>
          <w:rPr>
            <w:rFonts w:ascii="Calibri" w:eastAsia="Times New Roman" w:hAnsi="Calibri" w:cs="Calibri"/>
          </w:rPr>
          <w:id w:val="-289590786"/>
          <w:citation/>
        </w:sdtPr>
        <w:sdtContent>
          <w:r>
            <w:rPr>
              <w:rFonts w:ascii="Calibri" w:eastAsia="Times New Roman" w:hAnsi="Calibri" w:cs="Calibri"/>
            </w:rPr>
            <w:fldChar w:fldCharType="begin"/>
          </w:r>
          <w:r>
            <w:rPr>
              <w:rFonts w:ascii="Calibri" w:eastAsia="Times New Roman" w:hAnsi="Calibri" w:cs="Calibri"/>
            </w:rPr>
            <w:instrText xml:space="preserve"> CITATION Ree16 \l 2057 </w:instrText>
          </w:r>
          <w:r>
            <w:rPr>
              <w:rFonts w:ascii="Calibri" w:eastAsia="Times New Roman" w:hAnsi="Calibri" w:cs="Calibri"/>
            </w:rPr>
            <w:fldChar w:fldCharType="separate"/>
          </w:r>
          <w:r>
            <w:rPr>
              <w:rFonts w:ascii="Calibri" w:eastAsia="Times New Roman" w:hAnsi="Calibri" w:cs="Calibri"/>
              <w:noProof/>
            </w:rPr>
            <w:t xml:space="preserve"> </w:t>
          </w:r>
          <w:r w:rsidRPr="00A044EB">
            <w:rPr>
              <w:rFonts w:ascii="Calibri" w:eastAsia="Times New Roman" w:hAnsi="Calibri" w:cs="Calibri"/>
              <w:noProof/>
            </w:rPr>
            <w:t>(Rees &amp; French, 2016)</w:t>
          </w:r>
          <w:r>
            <w:rPr>
              <w:rFonts w:ascii="Calibri" w:eastAsia="Times New Roman" w:hAnsi="Calibri" w:cs="Calibri"/>
            </w:rPr>
            <w:fldChar w:fldCharType="end"/>
          </w:r>
        </w:sdtContent>
      </w:sdt>
      <w:sdt>
        <w:sdtPr>
          <w:rPr>
            <w:rFonts w:ascii="Calibri" w:eastAsia="Times New Roman" w:hAnsi="Calibri" w:cs="Calibri"/>
          </w:rPr>
          <w:id w:val="-985239211"/>
          <w:citation/>
        </w:sdtPr>
        <w:sdtContent>
          <w:r>
            <w:rPr>
              <w:rFonts w:ascii="Calibri" w:eastAsia="Times New Roman" w:hAnsi="Calibri" w:cs="Calibri"/>
            </w:rPr>
            <w:fldChar w:fldCharType="begin"/>
          </w:r>
          <w:r>
            <w:rPr>
              <w:rFonts w:ascii="Calibri" w:eastAsia="Times New Roman" w:hAnsi="Calibri" w:cs="Calibri"/>
            </w:rPr>
            <w:instrText xml:space="preserve"> CITATION Cra16 \l 2057 </w:instrText>
          </w:r>
          <w:r>
            <w:rPr>
              <w:rFonts w:ascii="Calibri" w:eastAsia="Times New Roman" w:hAnsi="Calibri" w:cs="Calibri"/>
            </w:rPr>
            <w:fldChar w:fldCharType="separate"/>
          </w:r>
          <w:r>
            <w:rPr>
              <w:rFonts w:ascii="Calibri" w:eastAsia="Times New Roman" w:hAnsi="Calibri" w:cs="Calibri"/>
              <w:noProof/>
            </w:rPr>
            <w:t xml:space="preserve"> </w:t>
          </w:r>
          <w:r w:rsidRPr="00A044EB">
            <w:rPr>
              <w:rFonts w:ascii="Calibri" w:eastAsia="Times New Roman" w:hAnsi="Calibri" w:cs="Calibri"/>
              <w:noProof/>
            </w:rPr>
            <w:t>(Crane &amp; Matten, 2016)</w:t>
          </w:r>
          <w:r>
            <w:rPr>
              <w:rFonts w:ascii="Calibri" w:eastAsia="Times New Roman" w:hAnsi="Calibri" w:cs="Calibri"/>
            </w:rPr>
            <w:fldChar w:fldCharType="end"/>
          </w:r>
        </w:sdtContent>
      </w:sdt>
      <w:r>
        <w:rPr>
          <w:rFonts w:ascii="Calibri" w:eastAsia="Times New Roman" w:hAnsi="Calibri" w:cs="Calibri"/>
        </w:rPr>
        <w:t xml:space="preserve">. The organisational purpose can be linked to HRM as organisations recruit employees in order to pursue the organisational objectives </w:t>
      </w:r>
      <w:sdt>
        <w:sdtPr>
          <w:rPr>
            <w:rFonts w:ascii="Calibri" w:eastAsia="Times New Roman" w:hAnsi="Calibri" w:cs="Calibri"/>
          </w:rPr>
          <w:id w:val="-1062319742"/>
          <w:citation/>
        </w:sdtPr>
        <w:sdtContent>
          <w:r>
            <w:rPr>
              <w:rFonts w:ascii="Calibri" w:eastAsia="Times New Roman" w:hAnsi="Calibri" w:cs="Calibri"/>
            </w:rPr>
            <w:fldChar w:fldCharType="begin"/>
          </w:r>
          <w:r>
            <w:rPr>
              <w:rFonts w:ascii="Calibri" w:eastAsia="Times New Roman" w:hAnsi="Calibri" w:cs="Calibri"/>
            </w:rPr>
            <w:instrText xml:space="preserve"> CITATION Ree16 \l 2057 </w:instrText>
          </w:r>
          <w:r>
            <w:rPr>
              <w:rFonts w:ascii="Calibri" w:eastAsia="Times New Roman" w:hAnsi="Calibri" w:cs="Calibri"/>
            </w:rPr>
            <w:fldChar w:fldCharType="separate"/>
          </w:r>
          <w:r w:rsidRPr="00A044EB">
            <w:rPr>
              <w:rFonts w:ascii="Calibri" w:eastAsia="Times New Roman" w:hAnsi="Calibri" w:cs="Calibri"/>
              <w:noProof/>
            </w:rPr>
            <w:t>(Rees &amp; French, 2016)</w:t>
          </w:r>
          <w:r>
            <w:rPr>
              <w:rFonts w:ascii="Calibri" w:eastAsia="Times New Roman" w:hAnsi="Calibri" w:cs="Calibri"/>
            </w:rPr>
            <w:fldChar w:fldCharType="end"/>
          </w:r>
        </w:sdtContent>
      </w:sdt>
      <w:r>
        <w:rPr>
          <w:rFonts w:ascii="Calibri" w:eastAsia="Times New Roman" w:hAnsi="Calibri" w:cs="Calibri"/>
        </w:rPr>
        <w:t>.</w:t>
      </w:r>
    </w:p>
    <w:p w14:paraId="53104B5B" w14:textId="1884533D" w:rsidR="00A044EB" w:rsidRDefault="00A044EB" w:rsidP="003F0E48">
      <w:pPr>
        <w:spacing w:before="100" w:beforeAutospacing="1" w:after="100" w:afterAutospacing="1"/>
        <w:jc w:val="both"/>
        <w:rPr>
          <w:rFonts w:ascii="Calibri" w:eastAsia="Times New Roman" w:hAnsi="Calibri" w:cs="Calibri"/>
        </w:rPr>
      </w:pPr>
      <w:r>
        <w:rPr>
          <w:rFonts w:ascii="Calibri" w:eastAsia="Times New Roman" w:hAnsi="Calibri" w:cs="Calibri"/>
        </w:rPr>
        <w:t xml:space="preserve">Organisations also have a wider </w:t>
      </w:r>
      <w:r w:rsidR="00E720CA">
        <w:rPr>
          <w:rFonts w:ascii="Calibri" w:eastAsia="Times New Roman" w:hAnsi="Calibri" w:cs="Calibri"/>
        </w:rPr>
        <w:t>responsibility</w:t>
      </w:r>
      <w:r>
        <w:rPr>
          <w:rFonts w:ascii="Calibri" w:eastAsia="Times New Roman" w:hAnsi="Calibri" w:cs="Calibri"/>
        </w:rPr>
        <w:t xml:space="preserve"> to its stakeholders. Stakeholder theory focuses on the duties and responsibilities of the </w:t>
      </w:r>
      <w:r w:rsidR="00E720CA">
        <w:rPr>
          <w:rFonts w:ascii="Calibri" w:eastAsia="Times New Roman" w:hAnsi="Calibri" w:cs="Calibri"/>
        </w:rPr>
        <w:t>organisation</w:t>
      </w:r>
      <w:r>
        <w:rPr>
          <w:rFonts w:ascii="Calibri" w:eastAsia="Times New Roman" w:hAnsi="Calibri" w:cs="Calibri"/>
        </w:rPr>
        <w:t xml:space="preserve"> to its surrounding society and that managers must recognise the </w:t>
      </w:r>
      <w:r w:rsidR="00AD3831">
        <w:rPr>
          <w:rFonts w:ascii="Calibri" w:eastAsia="Times New Roman" w:hAnsi="Calibri" w:cs="Calibri"/>
        </w:rPr>
        <w:t>duties and needs of various stakeholder groups</w:t>
      </w:r>
      <w:sdt>
        <w:sdtPr>
          <w:rPr>
            <w:rFonts w:ascii="Calibri" w:eastAsia="Times New Roman" w:hAnsi="Calibri" w:cs="Calibri"/>
          </w:rPr>
          <w:id w:val="1696650816"/>
          <w:citation/>
        </w:sdtPr>
        <w:sdtContent>
          <w:r w:rsidR="00AD3831">
            <w:rPr>
              <w:rFonts w:ascii="Calibri" w:eastAsia="Times New Roman" w:hAnsi="Calibri" w:cs="Calibri"/>
            </w:rPr>
            <w:fldChar w:fldCharType="begin"/>
          </w:r>
          <w:r w:rsidR="00AD3831">
            <w:rPr>
              <w:rFonts w:ascii="Calibri" w:eastAsia="Times New Roman" w:hAnsi="Calibri" w:cs="Calibri"/>
            </w:rPr>
            <w:instrText xml:space="preserve"> CITATION Ree16 \l 2057 </w:instrText>
          </w:r>
          <w:r w:rsidR="00AD3831">
            <w:rPr>
              <w:rFonts w:ascii="Calibri" w:eastAsia="Times New Roman" w:hAnsi="Calibri" w:cs="Calibri"/>
            </w:rPr>
            <w:fldChar w:fldCharType="separate"/>
          </w:r>
          <w:r w:rsidR="00AD3831">
            <w:rPr>
              <w:rFonts w:ascii="Calibri" w:eastAsia="Times New Roman" w:hAnsi="Calibri" w:cs="Calibri"/>
              <w:noProof/>
            </w:rPr>
            <w:t xml:space="preserve"> </w:t>
          </w:r>
          <w:r w:rsidR="00AD3831" w:rsidRPr="00AD3831">
            <w:rPr>
              <w:rFonts w:ascii="Calibri" w:eastAsia="Times New Roman" w:hAnsi="Calibri" w:cs="Calibri"/>
              <w:noProof/>
            </w:rPr>
            <w:t>(Rees &amp; French, 2016)</w:t>
          </w:r>
          <w:r w:rsidR="00AD3831">
            <w:rPr>
              <w:rFonts w:ascii="Calibri" w:eastAsia="Times New Roman" w:hAnsi="Calibri" w:cs="Calibri"/>
            </w:rPr>
            <w:fldChar w:fldCharType="end"/>
          </w:r>
        </w:sdtContent>
      </w:sdt>
      <w:r w:rsidR="00AD3831">
        <w:rPr>
          <w:rFonts w:ascii="Calibri" w:eastAsia="Times New Roman" w:hAnsi="Calibri" w:cs="Calibri"/>
        </w:rPr>
        <w:t xml:space="preserve">. </w:t>
      </w:r>
    </w:p>
    <w:p w14:paraId="06AA16ED" w14:textId="462DFC26" w:rsidR="00AD3831" w:rsidRDefault="00AD3831" w:rsidP="003F0E48">
      <w:pPr>
        <w:spacing w:before="100" w:beforeAutospacing="1" w:after="100" w:afterAutospacing="1"/>
        <w:jc w:val="both"/>
        <w:rPr>
          <w:rFonts w:ascii="Calibri" w:eastAsia="Times New Roman" w:hAnsi="Calibri" w:cs="Calibri"/>
        </w:rPr>
      </w:pPr>
      <w:r>
        <w:rPr>
          <w:rFonts w:ascii="Calibri" w:eastAsia="Times New Roman" w:hAnsi="Calibri" w:cs="Calibri"/>
        </w:rPr>
        <w:t xml:space="preserve">Corporate sustainability is now being widely accepted as business strategy. Customers now expect organisations to promote their effects on society and the environment </w:t>
      </w:r>
      <w:sdt>
        <w:sdtPr>
          <w:rPr>
            <w:rFonts w:ascii="Calibri" w:eastAsia="Times New Roman" w:hAnsi="Calibri" w:cs="Calibri"/>
          </w:rPr>
          <w:id w:val="1434087746"/>
          <w:citation/>
        </w:sdtPr>
        <w:sdtContent>
          <w:r>
            <w:rPr>
              <w:rFonts w:ascii="Calibri" w:eastAsia="Times New Roman" w:hAnsi="Calibri" w:cs="Calibri"/>
            </w:rPr>
            <w:fldChar w:fldCharType="begin"/>
          </w:r>
          <w:r>
            <w:rPr>
              <w:rFonts w:ascii="Calibri" w:eastAsia="Times New Roman" w:hAnsi="Calibri" w:cs="Calibri"/>
            </w:rPr>
            <w:instrText xml:space="preserve">CITATION Por \l 2057 </w:instrText>
          </w:r>
          <w:r>
            <w:rPr>
              <w:rFonts w:ascii="Calibri" w:eastAsia="Times New Roman" w:hAnsi="Calibri" w:cs="Calibri"/>
            </w:rPr>
            <w:fldChar w:fldCharType="separate"/>
          </w:r>
          <w:r w:rsidRPr="00AD3831">
            <w:rPr>
              <w:rFonts w:ascii="Calibri" w:eastAsia="Times New Roman" w:hAnsi="Calibri" w:cs="Calibri"/>
              <w:noProof/>
            </w:rPr>
            <w:t>(Porter &amp; Kramer, 2006)</w:t>
          </w:r>
          <w:r>
            <w:rPr>
              <w:rFonts w:ascii="Calibri" w:eastAsia="Times New Roman" w:hAnsi="Calibri" w:cs="Calibri"/>
            </w:rPr>
            <w:fldChar w:fldCharType="end"/>
          </w:r>
        </w:sdtContent>
      </w:sdt>
      <w:r>
        <w:rPr>
          <w:rFonts w:ascii="Calibri" w:eastAsia="Times New Roman" w:hAnsi="Calibri" w:cs="Calibri"/>
        </w:rPr>
        <w:t>.</w:t>
      </w:r>
      <w:r w:rsidR="00345042">
        <w:rPr>
          <w:rFonts w:ascii="Calibri" w:eastAsia="Times New Roman" w:hAnsi="Calibri" w:cs="Calibri"/>
        </w:rPr>
        <w:t xml:space="preserve"> In 2018, the Mand</w:t>
      </w:r>
      <w:r w:rsidR="00E720CA">
        <w:rPr>
          <w:rFonts w:ascii="Calibri" w:eastAsia="Times New Roman" w:hAnsi="Calibri" w:cs="Calibri"/>
        </w:rPr>
        <w:t>a</w:t>
      </w:r>
      <w:r w:rsidR="00345042">
        <w:rPr>
          <w:rFonts w:ascii="Calibri" w:eastAsia="Times New Roman" w:hAnsi="Calibri" w:cs="Calibri"/>
        </w:rPr>
        <w:t xml:space="preserve">rin Oriental Hotel in London faced one of its biggest challenges following a damaging fire during its refurbishment. The hotel retained all of its staff and agreed to continue paying them while they volunteered for local organisations including the London Fire Brigade. This engagement reduced its turnover by 12% and sickness absence fell by 21% </w:t>
      </w:r>
      <w:sdt>
        <w:sdtPr>
          <w:rPr>
            <w:rFonts w:ascii="Calibri" w:eastAsia="Times New Roman" w:hAnsi="Calibri" w:cs="Calibri"/>
          </w:rPr>
          <w:id w:val="-464432750"/>
          <w:citation/>
        </w:sdtPr>
        <w:sdtContent>
          <w:r w:rsidR="00345042">
            <w:rPr>
              <w:rFonts w:ascii="Calibri" w:eastAsia="Times New Roman" w:hAnsi="Calibri" w:cs="Calibri"/>
            </w:rPr>
            <w:fldChar w:fldCharType="begin"/>
          </w:r>
          <w:r w:rsidR="00345042">
            <w:rPr>
              <w:rFonts w:ascii="Calibri" w:eastAsia="Times New Roman" w:hAnsi="Calibri" w:cs="Calibri"/>
            </w:rPr>
            <w:instrText xml:space="preserve"> CITATION HRM9b \l 2057 </w:instrText>
          </w:r>
          <w:r w:rsidR="00345042">
            <w:rPr>
              <w:rFonts w:ascii="Calibri" w:eastAsia="Times New Roman" w:hAnsi="Calibri" w:cs="Calibri"/>
            </w:rPr>
            <w:fldChar w:fldCharType="separate"/>
          </w:r>
          <w:r w:rsidR="00345042" w:rsidRPr="00345042">
            <w:rPr>
              <w:rFonts w:ascii="Calibri" w:eastAsia="Times New Roman" w:hAnsi="Calibri" w:cs="Calibri"/>
              <w:noProof/>
            </w:rPr>
            <w:t>(HR Magazine , 2019b)</w:t>
          </w:r>
          <w:r w:rsidR="00345042">
            <w:rPr>
              <w:rFonts w:ascii="Calibri" w:eastAsia="Times New Roman" w:hAnsi="Calibri" w:cs="Calibri"/>
            </w:rPr>
            <w:fldChar w:fldCharType="end"/>
          </w:r>
        </w:sdtContent>
      </w:sdt>
      <w:r w:rsidR="00345042">
        <w:rPr>
          <w:rFonts w:ascii="Calibri" w:eastAsia="Times New Roman" w:hAnsi="Calibri" w:cs="Calibri"/>
        </w:rPr>
        <w:t xml:space="preserve">. </w:t>
      </w:r>
    </w:p>
    <w:p w14:paraId="20CF67D7" w14:textId="778F98E7" w:rsidR="00C46258" w:rsidRPr="003F0E48" w:rsidRDefault="00AD3831" w:rsidP="003F0E48">
      <w:pPr>
        <w:spacing w:before="100" w:beforeAutospacing="1" w:after="100" w:afterAutospacing="1"/>
        <w:jc w:val="both"/>
        <w:rPr>
          <w:rFonts w:ascii="Calibri" w:eastAsia="Times New Roman" w:hAnsi="Calibri" w:cs="Calibri"/>
        </w:rPr>
      </w:pPr>
      <w:r>
        <w:rPr>
          <w:rFonts w:ascii="Calibri" w:eastAsia="Times New Roman" w:hAnsi="Calibri" w:cs="Calibri"/>
        </w:rPr>
        <w:t xml:space="preserve">It is essential for organisations to practice business ethics and corporate social responsibility. It must be demonstrated through its organisational strategy and demonstrated in its HR policies and procedures. In working to ethical values such as the CIPD code of conduct HR professionals can make significant contributions to the organisational workforce </w:t>
      </w:r>
      <w:sdt>
        <w:sdtPr>
          <w:rPr>
            <w:rFonts w:ascii="Calibri" w:eastAsia="Times New Roman" w:hAnsi="Calibri" w:cs="Calibri"/>
          </w:rPr>
          <w:id w:val="-672727908"/>
          <w:citation/>
        </w:sdtPr>
        <w:sdtContent>
          <w:r>
            <w:rPr>
              <w:rFonts w:ascii="Calibri" w:eastAsia="Times New Roman" w:hAnsi="Calibri" w:cs="Calibri"/>
            </w:rPr>
            <w:fldChar w:fldCharType="begin"/>
          </w:r>
          <w:r>
            <w:rPr>
              <w:rFonts w:ascii="Calibri" w:eastAsia="Times New Roman" w:hAnsi="Calibri" w:cs="Calibri"/>
            </w:rPr>
            <w:instrText xml:space="preserve"> CITATION CIP19 \l 2057 </w:instrText>
          </w:r>
          <w:r>
            <w:rPr>
              <w:rFonts w:ascii="Calibri" w:eastAsia="Times New Roman" w:hAnsi="Calibri" w:cs="Calibri"/>
            </w:rPr>
            <w:fldChar w:fldCharType="separate"/>
          </w:r>
          <w:r w:rsidRPr="00AD3831">
            <w:rPr>
              <w:rFonts w:ascii="Calibri" w:eastAsia="Times New Roman" w:hAnsi="Calibri" w:cs="Calibri"/>
              <w:noProof/>
            </w:rPr>
            <w:t>(CIPD, 2019a)</w:t>
          </w:r>
          <w:r>
            <w:rPr>
              <w:rFonts w:ascii="Calibri" w:eastAsia="Times New Roman" w:hAnsi="Calibri" w:cs="Calibri"/>
            </w:rPr>
            <w:fldChar w:fldCharType="end"/>
          </w:r>
        </w:sdtContent>
      </w:sdt>
      <w:r w:rsidR="003F25A8">
        <w:rPr>
          <w:rFonts w:ascii="Calibri" w:eastAsia="Times New Roman" w:hAnsi="Calibri" w:cs="Calibri"/>
        </w:rPr>
        <w:t xml:space="preserve">. </w:t>
      </w:r>
    </w:p>
    <w:p w14:paraId="59FD9A2F" w14:textId="4FCF7141" w:rsidR="002F1D8F" w:rsidRPr="00A65E65" w:rsidRDefault="00C46258" w:rsidP="00A234E8">
      <w:pPr>
        <w:jc w:val="both"/>
        <w:rPr>
          <w:u w:val="single"/>
        </w:rPr>
      </w:pPr>
      <w:r w:rsidRPr="00A65E65">
        <w:rPr>
          <w:u w:val="single"/>
        </w:rPr>
        <w:t>2.3B</w:t>
      </w:r>
    </w:p>
    <w:p w14:paraId="6438B5C2" w14:textId="7123EAC1" w:rsidR="00C46258" w:rsidRDefault="003B605E" w:rsidP="00A234E8">
      <w:pPr>
        <w:jc w:val="both"/>
      </w:pPr>
      <w:r>
        <w:t xml:space="preserve">The situational approach to leadership allows for both organisational and environmental factors be considered in the </w:t>
      </w:r>
      <w:r w:rsidR="00E720CA">
        <w:t>decision-making</w:t>
      </w:r>
      <w:r>
        <w:t xml:space="preserve"> process. This is closely linked to the contingency approach which looks at a wide range of different but equal ways of leading and managing people. At varying </w:t>
      </w:r>
      <w:r w:rsidR="00E720CA">
        <w:t>times,</w:t>
      </w:r>
      <w:r>
        <w:t xml:space="preserve"> the manager must adapt and adopt the most appropriate leadership style for the circumstance </w:t>
      </w:r>
      <w:sdt>
        <w:sdtPr>
          <w:id w:val="668908578"/>
          <w:citation/>
        </w:sdtPr>
        <w:sdtContent>
          <w:r>
            <w:fldChar w:fldCharType="begin"/>
          </w:r>
          <w:r>
            <w:instrText xml:space="preserve"> CITATION Ree16 \l 2057 </w:instrText>
          </w:r>
          <w:r>
            <w:fldChar w:fldCharType="separate"/>
          </w:r>
          <w:r w:rsidRPr="003B605E">
            <w:rPr>
              <w:noProof/>
            </w:rPr>
            <w:t>(Rees &amp; French, 2016)</w:t>
          </w:r>
          <w:r>
            <w:fldChar w:fldCharType="end"/>
          </w:r>
        </w:sdtContent>
      </w:sdt>
      <w:r>
        <w:t>. The situational leadership model has been summarised as:</w:t>
      </w:r>
    </w:p>
    <w:p w14:paraId="43E9A82F" w14:textId="1FF49AE6" w:rsidR="003B605E" w:rsidRDefault="003B605E" w:rsidP="003B605E">
      <w:pPr>
        <w:pStyle w:val="ListParagraph"/>
        <w:numPr>
          <w:ilvl w:val="0"/>
          <w:numId w:val="6"/>
        </w:numPr>
        <w:jc w:val="both"/>
      </w:pPr>
      <w:r>
        <w:t xml:space="preserve">Telling – </w:t>
      </w:r>
      <w:r w:rsidR="00E720CA">
        <w:t>emphasising</w:t>
      </w:r>
      <w:r>
        <w:t xml:space="preserve"> </w:t>
      </w:r>
      <w:r w:rsidR="007150BC">
        <w:t>high amounts of guidance required</w:t>
      </w:r>
    </w:p>
    <w:p w14:paraId="372B7ACC" w14:textId="6F8D9E99" w:rsidR="007150BC" w:rsidRDefault="007150BC" w:rsidP="003B605E">
      <w:pPr>
        <w:pStyle w:val="ListParagraph"/>
        <w:numPr>
          <w:ilvl w:val="0"/>
          <w:numId w:val="6"/>
        </w:numPr>
        <w:jc w:val="both"/>
      </w:pPr>
      <w:r>
        <w:t>Selling – has an emphasis on directive and relationship behaviours</w:t>
      </w:r>
    </w:p>
    <w:p w14:paraId="270A3FEE" w14:textId="1054166F" w:rsidR="007150BC" w:rsidRDefault="007150BC" w:rsidP="003B605E">
      <w:pPr>
        <w:pStyle w:val="ListParagraph"/>
        <w:numPr>
          <w:ilvl w:val="0"/>
          <w:numId w:val="6"/>
        </w:numPr>
        <w:jc w:val="both"/>
      </w:pPr>
      <w:r>
        <w:t xml:space="preserve">Participating- looks for </w:t>
      </w:r>
      <w:r w:rsidR="00E720CA">
        <w:t>two-way</w:t>
      </w:r>
      <w:r>
        <w:t xml:space="preserve"> communication and supportive behaviour</w:t>
      </w:r>
    </w:p>
    <w:p w14:paraId="045D6794" w14:textId="6DDA826A" w:rsidR="007150BC" w:rsidRDefault="007150BC" w:rsidP="003B605E">
      <w:pPr>
        <w:pStyle w:val="ListParagraph"/>
        <w:numPr>
          <w:ilvl w:val="0"/>
          <w:numId w:val="6"/>
        </w:numPr>
        <w:jc w:val="both"/>
      </w:pPr>
      <w:r>
        <w:t xml:space="preserve">Delegating – ideally is very little support and guidance </w:t>
      </w:r>
      <w:sdt>
        <w:sdtPr>
          <w:id w:val="1126585146"/>
          <w:citation/>
        </w:sdtPr>
        <w:sdtContent>
          <w:r>
            <w:fldChar w:fldCharType="begin"/>
          </w:r>
          <w:r>
            <w:instrText xml:space="preserve">CITATION Her \l 2057 </w:instrText>
          </w:r>
          <w:r>
            <w:fldChar w:fldCharType="separate"/>
          </w:r>
          <w:r w:rsidRPr="007150BC">
            <w:rPr>
              <w:noProof/>
            </w:rPr>
            <w:t>(Hersey, et al., 2001)</w:t>
          </w:r>
          <w:r>
            <w:fldChar w:fldCharType="end"/>
          </w:r>
        </w:sdtContent>
      </w:sdt>
    </w:p>
    <w:p w14:paraId="4516CA3B" w14:textId="77777777" w:rsidR="003A7EE1" w:rsidRDefault="003A7EE1" w:rsidP="00A234E8">
      <w:pPr>
        <w:jc w:val="both"/>
      </w:pPr>
    </w:p>
    <w:p w14:paraId="173A0DD7" w14:textId="4E17C5AB" w:rsidR="00C576E1" w:rsidRDefault="00DC5A2B" w:rsidP="00A234E8">
      <w:pPr>
        <w:jc w:val="both"/>
      </w:pPr>
      <w:r>
        <w:lastRenderedPageBreak/>
        <w:t xml:space="preserve">The contingency approach to leadership emphasises that the contextual factors are important in the success of the leader. Contextual knowledge helps leaders determine whether they need to issue commands to their workforce or if a softer approach be used which ultimately can attract and retain followers. Contingency approaches are highly relevant for leaders within modern organisations however are time consuming and require experience </w:t>
      </w:r>
      <w:sdt>
        <w:sdtPr>
          <w:id w:val="1543630182"/>
          <w:citation/>
        </w:sdtPr>
        <w:sdtContent>
          <w:r>
            <w:fldChar w:fldCharType="begin"/>
          </w:r>
          <w:r>
            <w:instrText xml:space="preserve"> CITATION Ree16 \l 2057 </w:instrText>
          </w:r>
          <w:r>
            <w:fldChar w:fldCharType="separate"/>
          </w:r>
          <w:r w:rsidRPr="00DC5A2B">
            <w:rPr>
              <w:noProof/>
            </w:rPr>
            <w:t>(Rees &amp; French, 2016)</w:t>
          </w:r>
          <w:r>
            <w:fldChar w:fldCharType="end"/>
          </w:r>
        </w:sdtContent>
      </w:sdt>
      <w:r>
        <w:t xml:space="preserve">. </w:t>
      </w:r>
    </w:p>
    <w:p w14:paraId="01071348" w14:textId="0F88DF6D" w:rsidR="00DC5A2B" w:rsidRDefault="00DC5A2B" w:rsidP="00A234E8">
      <w:pPr>
        <w:jc w:val="both"/>
      </w:pPr>
    </w:p>
    <w:p w14:paraId="10F00093" w14:textId="0BA5B9C1" w:rsidR="00DC5A2B" w:rsidRDefault="00DC5A2B" w:rsidP="00A234E8">
      <w:pPr>
        <w:jc w:val="both"/>
      </w:pPr>
      <w:r>
        <w:t>In comparison, transformational leadership which creates high level of motivation and commitment through communicating a clear vision</w:t>
      </w:r>
      <w:r w:rsidR="00BB4F5F">
        <w:t xml:space="preserve"> and had appealing ideals and values amongst its followers. This can be described as transforming an </w:t>
      </w:r>
      <w:r w:rsidR="00E720CA">
        <w:t>individual’s</w:t>
      </w:r>
      <w:r w:rsidR="00BB4F5F">
        <w:t xml:space="preserve"> </w:t>
      </w:r>
      <w:r w:rsidR="00E720CA">
        <w:t>self-interest</w:t>
      </w:r>
      <w:r w:rsidR="00BB4F5F">
        <w:t xml:space="preserve"> into the overall goals of the group and ultimately encouraging them to feel a part of the organisation </w:t>
      </w:r>
      <w:sdt>
        <w:sdtPr>
          <w:id w:val="-1703623527"/>
          <w:citation/>
        </w:sdtPr>
        <w:sdtContent>
          <w:r w:rsidR="00BB4F5F">
            <w:fldChar w:fldCharType="begin"/>
          </w:r>
          <w:r w:rsidR="00BB4F5F">
            <w:instrText xml:space="preserve"> CITATION Ros90 \l 2057 </w:instrText>
          </w:r>
          <w:r w:rsidR="00BB4F5F">
            <w:fldChar w:fldCharType="separate"/>
          </w:r>
          <w:r w:rsidR="00BB4F5F" w:rsidRPr="00BB4F5F">
            <w:rPr>
              <w:noProof/>
            </w:rPr>
            <w:t>(Rosener, 1990)</w:t>
          </w:r>
          <w:r w:rsidR="00BB4F5F">
            <w:fldChar w:fldCharType="end"/>
          </w:r>
        </w:sdtContent>
      </w:sdt>
      <w:r w:rsidR="00BB4F5F">
        <w:t>;</w:t>
      </w:r>
      <w:sdt>
        <w:sdtPr>
          <w:id w:val="1628897397"/>
          <w:citation/>
        </w:sdtPr>
        <w:sdtContent>
          <w:r w:rsidR="00BB4F5F">
            <w:fldChar w:fldCharType="begin"/>
          </w:r>
          <w:r w:rsidR="00BB4F5F">
            <w:instrText xml:space="preserve"> CITATION Ree16 \l 2057 </w:instrText>
          </w:r>
          <w:r w:rsidR="00BB4F5F">
            <w:fldChar w:fldCharType="separate"/>
          </w:r>
          <w:r w:rsidR="00BB4F5F">
            <w:rPr>
              <w:noProof/>
            </w:rPr>
            <w:t xml:space="preserve"> </w:t>
          </w:r>
          <w:r w:rsidR="00BB4F5F" w:rsidRPr="00BB4F5F">
            <w:rPr>
              <w:noProof/>
            </w:rPr>
            <w:t>(Rees &amp; French, 2016)</w:t>
          </w:r>
          <w:r w:rsidR="00BB4F5F">
            <w:fldChar w:fldCharType="end"/>
          </w:r>
        </w:sdtContent>
      </w:sdt>
      <w:r w:rsidR="00BB4F5F">
        <w:t xml:space="preserve">. Without the follower following its leader the organisation will ultimately fail to reach is strategic objectives.  </w:t>
      </w:r>
      <w:r w:rsidR="00BB4F5F">
        <w:tab/>
      </w:r>
    </w:p>
    <w:p w14:paraId="2931B8F7" w14:textId="77777777" w:rsidR="00F53216" w:rsidRDefault="00F53216" w:rsidP="00A234E8">
      <w:pPr>
        <w:jc w:val="both"/>
      </w:pPr>
    </w:p>
    <w:p w14:paraId="7391969F" w14:textId="77777777" w:rsidR="00F53216" w:rsidRDefault="00F53216" w:rsidP="00A234E8">
      <w:pPr>
        <w:jc w:val="both"/>
      </w:pPr>
    </w:p>
    <w:p w14:paraId="334C4920" w14:textId="5ED5844E" w:rsidR="004B48BB" w:rsidRPr="00A65E65" w:rsidRDefault="007B3D75">
      <w:pPr>
        <w:rPr>
          <w:u w:val="single"/>
        </w:rPr>
      </w:pPr>
      <w:r w:rsidRPr="00A65E65">
        <w:rPr>
          <w:u w:val="single"/>
        </w:rPr>
        <w:t>2.4 B</w:t>
      </w:r>
    </w:p>
    <w:p w14:paraId="40419C72" w14:textId="1ACEF4C7" w:rsidR="007B3D75" w:rsidRDefault="008D7983" w:rsidP="00767E6C">
      <w:pPr>
        <w:jc w:val="both"/>
      </w:pPr>
      <w:r>
        <w:t xml:space="preserve">Flexibility has been identified as a need for organisations along with strategic intention, quality and employee commitment to ensure an adaptable organisational structure </w:t>
      </w:r>
      <w:sdt>
        <w:sdtPr>
          <w:id w:val="1829085019"/>
          <w:citation/>
        </w:sdtPr>
        <w:sdtContent>
          <w:r>
            <w:fldChar w:fldCharType="begin"/>
          </w:r>
          <w:r>
            <w:instrText xml:space="preserve">CITATION Gue \l 2057 </w:instrText>
          </w:r>
          <w:r>
            <w:fldChar w:fldCharType="separate"/>
          </w:r>
          <w:r w:rsidRPr="008D7983">
            <w:rPr>
              <w:noProof/>
            </w:rPr>
            <w:t>(Guest, 2004)</w:t>
          </w:r>
          <w:r>
            <w:fldChar w:fldCharType="end"/>
          </w:r>
        </w:sdtContent>
      </w:sdt>
      <w:r w:rsidR="00075347">
        <w:t xml:space="preserve">. There has been a significant interest in flexibility at work due the belief that it is linked to competitive advantage. When the concept of flexibility first </w:t>
      </w:r>
      <w:r w:rsidR="00E720CA">
        <w:t>emerged,</w:t>
      </w:r>
      <w:r w:rsidR="00075347">
        <w:t xml:space="preserve"> there were four main identifiers:</w:t>
      </w:r>
    </w:p>
    <w:p w14:paraId="3063121C" w14:textId="630D8039" w:rsidR="00075347" w:rsidRDefault="00075347" w:rsidP="00767E6C">
      <w:pPr>
        <w:pStyle w:val="ListParagraph"/>
        <w:numPr>
          <w:ilvl w:val="0"/>
          <w:numId w:val="7"/>
        </w:numPr>
        <w:jc w:val="both"/>
      </w:pPr>
      <w:r>
        <w:t xml:space="preserve">Functional flexibility which focused on </w:t>
      </w:r>
      <w:r w:rsidR="00E720CA">
        <w:t>employee’s</w:t>
      </w:r>
      <w:r>
        <w:t xml:space="preserve"> multiskilling</w:t>
      </w:r>
    </w:p>
    <w:p w14:paraId="3DC32271" w14:textId="41B17942" w:rsidR="00075347" w:rsidRDefault="00075347" w:rsidP="00767E6C">
      <w:pPr>
        <w:pStyle w:val="ListParagraph"/>
        <w:numPr>
          <w:ilvl w:val="0"/>
          <w:numId w:val="7"/>
        </w:numPr>
        <w:jc w:val="both"/>
      </w:pPr>
      <w:r>
        <w:t>Numerical flexibility by using and adapting employment contracts</w:t>
      </w:r>
    </w:p>
    <w:p w14:paraId="50859D9D" w14:textId="2E369831" w:rsidR="00075347" w:rsidRDefault="00075347" w:rsidP="00767E6C">
      <w:pPr>
        <w:pStyle w:val="ListParagraph"/>
        <w:numPr>
          <w:ilvl w:val="0"/>
          <w:numId w:val="7"/>
        </w:numPr>
        <w:jc w:val="both"/>
      </w:pPr>
      <w:r>
        <w:t>Temporary flexibility in relation to variation in working hours and days</w:t>
      </w:r>
    </w:p>
    <w:p w14:paraId="7F794C44" w14:textId="36E9288B" w:rsidR="00075347" w:rsidRDefault="00075347" w:rsidP="00767E6C">
      <w:pPr>
        <w:pStyle w:val="ListParagraph"/>
        <w:numPr>
          <w:ilvl w:val="0"/>
          <w:numId w:val="7"/>
        </w:numPr>
        <w:jc w:val="both"/>
      </w:pPr>
      <w:r>
        <w:t>Wage flexibility became performance related</w:t>
      </w:r>
      <w:sdt>
        <w:sdtPr>
          <w:id w:val="1813912008"/>
          <w:citation/>
        </w:sdtPr>
        <w:sdtContent>
          <w:r>
            <w:fldChar w:fldCharType="begin"/>
          </w:r>
          <w:r>
            <w:instrText xml:space="preserve"> CITATION Bly92 \l 2057 </w:instrText>
          </w:r>
          <w:r>
            <w:fldChar w:fldCharType="separate"/>
          </w:r>
          <w:r>
            <w:rPr>
              <w:noProof/>
            </w:rPr>
            <w:t xml:space="preserve"> </w:t>
          </w:r>
          <w:r w:rsidRPr="00075347">
            <w:rPr>
              <w:noProof/>
            </w:rPr>
            <w:t>(Blyton &amp; Morris, 1992)</w:t>
          </w:r>
          <w:r>
            <w:fldChar w:fldCharType="end"/>
          </w:r>
        </w:sdtContent>
      </w:sdt>
      <w:r>
        <w:t xml:space="preserve">. </w:t>
      </w:r>
    </w:p>
    <w:p w14:paraId="0386D500" w14:textId="77777777" w:rsidR="00075347" w:rsidRDefault="00075347" w:rsidP="00767E6C">
      <w:pPr>
        <w:jc w:val="both"/>
      </w:pPr>
    </w:p>
    <w:p w14:paraId="29C52A6C" w14:textId="6A35E902" w:rsidR="00075347" w:rsidRDefault="00075347" w:rsidP="00767E6C">
      <w:pPr>
        <w:jc w:val="both"/>
      </w:pPr>
      <w:r>
        <w:t xml:space="preserve">To understand contemporary drivers of flexibility it now recognised that organisational flexibility is now a deal breaker in attracting talent. New research has found the 83% of workers would turn down a role if it did not offer flexible working. A result of this over the last ten years organisations are introducing flexible working policies </w:t>
      </w:r>
      <w:sdt>
        <w:sdtPr>
          <w:id w:val="-757991348"/>
          <w:citation/>
        </w:sdtPr>
        <w:sdtContent>
          <w:r>
            <w:fldChar w:fldCharType="begin"/>
          </w:r>
          <w:r>
            <w:instrText xml:space="preserve">CITATION IWG19 \l 2057 </w:instrText>
          </w:r>
          <w:r>
            <w:fldChar w:fldCharType="separate"/>
          </w:r>
          <w:r w:rsidRPr="00075347">
            <w:rPr>
              <w:noProof/>
            </w:rPr>
            <w:t>(IWG, 2019)</w:t>
          </w:r>
          <w:r>
            <w:fldChar w:fldCharType="end"/>
          </w:r>
        </w:sdtContent>
      </w:sdt>
      <w:r>
        <w:t xml:space="preserve">. </w:t>
      </w:r>
      <w:r w:rsidR="00767E6C">
        <w:t>The Sage Changing Face of HR report also identified that new ways of working are being adopted and that 95% of HR leaders either al</w:t>
      </w:r>
      <w:r w:rsidR="00DC17C4">
        <w:t>re</w:t>
      </w:r>
      <w:r w:rsidR="00767E6C">
        <w:t xml:space="preserve">ady have flexible working policies in place or will do so in the next two years </w:t>
      </w:r>
      <w:sdt>
        <w:sdtPr>
          <w:id w:val="1146782141"/>
          <w:citation/>
        </w:sdtPr>
        <w:sdtContent>
          <w:r w:rsidR="00767E6C">
            <w:fldChar w:fldCharType="begin"/>
          </w:r>
          <w:r w:rsidR="00767E6C">
            <w:instrText xml:space="preserve"> CITATION Sag19 \l 2057 </w:instrText>
          </w:r>
          <w:r w:rsidR="00767E6C">
            <w:fldChar w:fldCharType="separate"/>
          </w:r>
          <w:r w:rsidR="00767E6C" w:rsidRPr="00767E6C">
            <w:rPr>
              <w:noProof/>
            </w:rPr>
            <w:t>(Sage, 2019)</w:t>
          </w:r>
          <w:r w:rsidR="00767E6C">
            <w:fldChar w:fldCharType="end"/>
          </w:r>
        </w:sdtContent>
      </w:sdt>
      <w:r w:rsidR="00767E6C">
        <w:t xml:space="preserve">. </w:t>
      </w:r>
    </w:p>
    <w:p w14:paraId="1BE1573B" w14:textId="2EDC3785" w:rsidR="00767E6C" w:rsidRDefault="00767E6C" w:rsidP="00767E6C">
      <w:pPr>
        <w:jc w:val="both"/>
      </w:pPr>
    </w:p>
    <w:p w14:paraId="514AAEED" w14:textId="5DDE0940" w:rsidR="00767E6C" w:rsidRDefault="00767E6C" w:rsidP="00767E6C">
      <w:pPr>
        <w:jc w:val="both"/>
      </w:pPr>
      <w:r>
        <w:t xml:space="preserve">The business benefits introducing flexible working policies into organisations has seen improvements in business performance including customer satisfaction, efficiency savings and reduced recruitment and retention costs </w:t>
      </w:r>
      <w:sdt>
        <w:sdtPr>
          <w:id w:val="116419690"/>
          <w:citation/>
        </w:sdtPr>
        <w:sdtContent>
          <w:r>
            <w:fldChar w:fldCharType="begin"/>
          </w:r>
          <w:r>
            <w:instrText xml:space="preserve"> CITATION Ree16 \l 2057 </w:instrText>
          </w:r>
          <w:r>
            <w:fldChar w:fldCharType="separate"/>
          </w:r>
          <w:r w:rsidRPr="00767E6C">
            <w:rPr>
              <w:noProof/>
            </w:rPr>
            <w:t>(Rees &amp; French, 2016)</w:t>
          </w:r>
          <w:r>
            <w:fldChar w:fldCharType="end"/>
          </w:r>
        </w:sdtContent>
      </w:sdt>
      <w:r>
        <w:t xml:space="preserve">; </w:t>
      </w:r>
      <w:sdt>
        <w:sdtPr>
          <w:id w:val="-766302495"/>
          <w:citation/>
        </w:sdtPr>
        <w:sdtContent>
          <w:r>
            <w:fldChar w:fldCharType="begin"/>
          </w:r>
          <w:r>
            <w:instrText xml:space="preserve"> CITATION Tho08 \l 2057 </w:instrText>
          </w:r>
          <w:r>
            <w:fldChar w:fldCharType="separate"/>
          </w:r>
          <w:r w:rsidRPr="00767E6C">
            <w:rPr>
              <w:noProof/>
            </w:rPr>
            <w:t>(Thomson, 2008)</w:t>
          </w:r>
          <w:r>
            <w:fldChar w:fldCharType="end"/>
          </w:r>
        </w:sdtContent>
      </w:sdt>
      <w:r>
        <w:t xml:space="preserve">. In 2019, Microsoft introduced a </w:t>
      </w:r>
      <w:r w:rsidR="00E720CA">
        <w:t>four-day</w:t>
      </w:r>
      <w:r>
        <w:t xml:space="preserve"> working week which saw its productivity levels jump by 40%. The shortened working week led to more efficient meetings and a happier workforce </w:t>
      </w:r>
      <w:sdt>
        <w:sdtPr>
          <w:id w:val="-1870825267"/>
          <w:citation/>
        </w:sdtPr>
        <w:sdtContent>
          <w:r>
            <w:fldChar w:fldCharType="begin"/>
          </w:r>
          <w:r>
            <w:instrText xml:space="preserve">CITATION Pau19 \l 2057 </w:instrText>
          </w:r>
          <w:r>
            <w:fldChar w:fldCharType="separate"/>
          </w:r>
          <w:r w:rsidRPr="00767E6C">
            <w:rPr>
              <w:noProof/>
            </w:rPr>
            <w:t>(Paul, 2019)</w:t>
          </w:r>
          <w:r>
            <w:fldChar w:fldCharType="end"/>
          </w:r>
        </w:sdtContent>
      </w:sdt>
      <w:r>
        <w:t xml:space="preserve">. </w:t>
      </w:r>
    </w:p>
    <w:p w14:paraId="40F97D19" w14:textId="517CE540" w:rsidR="00E816FB" w:rsidRDefault="00E816FB" w:rsidP="00767E6C">
      <w:pPr>
        <w:jc w:val="both"/>
      </w:pPr>
    </w:p>
    <w:p w14:paraId="3F73A742" w14:textId="5A4B0B59" w:rsidR="00DC17C4" w:rsidRDefault="00DC17C4" w:rsidP="00767E6C">
      <w:pPr>
        <w:jc w:val="both"/>
      </w:pPr>
      <w:r>
        <w:t>There are negative aspects to flexible working with research suggesting that that link between flexible working arrangements and performance related outcomes suggests that the evidence fails to demonstrate a business case for its use</w:t>
      </w:r>
      <w:sdt>
        <w:sdtPr>
          <w:id w:val="-1080746445"/>
          <w:citation/>
        </w:sdtPr>
        <w:sdtContent>
          <w:r>
            <w:fldChar w:fldCharType="begin"/>
          </w:r>
          <w:r>
            <w:instrText xml:space="preserve"> CITATION DeM11 \l 2057 </w:instrText>
          </w:r>
          <w:r>
            <w:fldChar w:fldCharType="separate"/>
          </w:r>
          <w:r>
            <w:rPr>
              <w:noProof/>
            </w:rPr>
            <w:t xml:space="preserve"> </w:t>
          </w:r>
          <w:r w:rsidRPr="00DC17C4">
            <w:rPr>
              <w:noProof/>
            </w:rPr>
            <w:t>(De Menzies &amp; Kelliher, 2011)</w:t>
          </w:r>
          <w:r>
            <w:fldChar w:fldCharType="end"/>
          </w:r>
        </w:sdtContent>
      </w:sdt>
      <w:r>
        <w:t xml:space="preserve">. </w:t>
      </w:r>
    </w:p>
    <w:p w14:paraId="216D5664" w14:textId="77777777" w:rsidR="00DC17C4" w:rsidRDefault="00DC17C4" w:rsidP="00767E6C">
      <w:pPr>
        <w:jc w:val="both"/>
      </w:pPr>
    </w:p>
    <w:p w14:paraId="71A3425F" w14:textId="34D4F9E8" w:rsidR="00E816FB" w:rsidRDefault="00DC17C4" w:rsidP="00767E6C">
      <w:pPr>
        <w:jc w:val="both"/>
      </w:pPr>
      <w:r>
        <w:t>However, o</w:t>
      </w:r>
      <w:r w:rsidR="00E816FB">
        <w:t xml:space="preserve">rganisations which have not had flexible working policies in place have had rethink their way of working following the corona virus pandemic. </w:t>
      </w:r>
      <w:r w:rsidR="00712589">
        <w:t xml:space="preserve">Following the UK Governments </w:t>
      </w:r>
      <w:r w:rsidR="00712589">
        <w:lastRenderedPageBreak/>
        <w:t xml:space="preserve">decision to put the country in lockdown, organisations were encouraged to make every possible effort to enable employees to work from home as a first option. Organisations increased their technology usage in order to facilitate remote working while still supporting the health, safety and mental wellbeing of its workforce </w:t>
      </w:r>
      <w:sdt>
        <w:sdtPr>
          <w:id w:val="-939129774"/>
          <w:citation/>
        </w:sdtPr>
        <w:sdtContent>
          <w:r w:rsidR="00712589">
            <w:fldChar w:fldCharType="begin"/>
          </w:r>
          <w:r w:rsidR="0021651E">
            <w:instrText>CITATION CIP202 \l 2057  \m CIP0d</w:instrText>
          </w:r>
          <w:r w:rsidR="00712589">
            <w:fldChar w:fldCharType="separate"/>
          </w:r>
          <w:r w:rsidR="0021651E" w:rsidRPr="0021651E">
            <w:rPr>
              <w:noProof/>
            </w:rPr>
            <w:t>(CIPD, 2020c; CIPD, 2020d)</w:t>
          </w:r>
          <w:r w:rsidR="00712589">
            <w:fldChar w:fldCharType="end"/>
          </w:r>
        </w:sdtContent>
      </w:sdt>
      <w:r w:rsidR="00712589">
        <w:t>.</w:t>
      </w:r>
      <w:r>
        <w:t xml:space="preserve"> The Corona virus pandemic and the resulting aftermath will be felt across the world for many years and has amplified our VUCA world. </w:t>
      </w:r>
    </w:p>
    <w:p w14:paraId="6983FB84" w14:textId="3C582356" w:rsidR="00A65E65" w:rsidRDefault="00A65E65" w:rsidP="00767E6C">
      <w:pPr>
        <w:jc w:val="both"/>
      </w:pPr>
    </w:p>
    <w:p w14:paraId="1C5062C6" w14:textId="52EA192D" w:rsidR="00A65E65" w:rsidRDefault="00A65E65" w:rsidP="00767E6C">
      <w:pPr>
        <w:jc w:val="both"/>
      </w:pPr>
    </w:p>
    <w:p w14:paraId="79D4A59E" w14:textId="6DE2892B" w:rsidR="00A65E65" w:rsidRDefault="00A65E65" w:rsidP="00767E6C">
      <w:pPr>
        <w:jc w:val="both"/>
      </w:pPr>
    </w:p>
    <w:p w14:paraId="26B530AE" w14:textId="10195902" w:rsidR="00A65E65" w:rsidRDefault="00A65E65" w:rsidP="00767E6C">
      <w:pPr>
        <w:jc w:val="both"/>
      </w:pPr>
    </w:p>
    <w:p w14:paraId="37785461" w14:textId="1E49DEFD" w:rsidR="00A65E65" w:rsidRDefault="00A65E65" w:rsidP="00767E6C">
      <w:pPr>
        <w:jc w:val="both"/>
      </w:pPr>
    </w:p>
    <w:p w14:paraId="12FC49E8" w14:textId="73AC1362" w:rsidR="00A65E65" w:rsidRDefault="00A65E65" w:rsidP="00767E6C">
      <w:pPr>
        <w:jc w:val="both"/>
      </w:pPr>
    </w:p>
    <w:p w14:paraId="2B708918" w14:textId="1748262D" w:rsidR="00A65E65" w:rsidRDefault="00A65E65" w:rsidP="00767E6C">
      <w:pPr>
        <w:jc w:val="both"/>
      </w:pPr>
    </w:p>
    <w:p w14:paraId="45ED58A0" w14:textId="3D6DC885" w:rsidR="00A65E65" w:rsidRDefault="00A65E65" w:rsidP="00767E6C">
      <w:pPr>
        <w:jc w:val="both"/>
      </w:pPr>
    </w:p>
    <w:p w14:paraId="37B25A5A" w14:textId="74E4761A" w:rsidR="00A65E65" w:rsidRDefault="00A65E65" w:rsidP="00767E6C">
      <w:pPr>
        <w:jc w:val="both"/>
      </w:pPr>
    </w:p>
    <w:p w14:paraId="7B93C358" w14:textId="6EBA0991" w:rsidR="00A65E65" w:rsidRDefault="00A65E65" w:rsidP="00767E6C">
      <w:pPr>
        <w:jc w:val="both"/>
      </w:pPr>
    </w:p>
    <w:p w14:paraId="720DF097" w14:textId="1BD3C6DF" w:rsidR="00A65E65" w:rsidRDefault="00A65E65" w:rsidP="00767E6C">
      <w:pPr>
        <w:jc w:val="both"/>
      </w:pPr>
    </w:p>
    <w:p w14:paraId="26810FC9" w14:textId="40476364" w:rsidR="00A65E65" w:rsidRDefault="00A65E65" w:rsidP="00767E6C">
      <w:pPr>
        <w:jc w:val="both"/>
      </w:pPr>
    </w:p>
    <w:p w14:paraId="0DBCD736" w14:textId="2098EAF7" w:rsidR="00A65E65" w:rsidRDefault="00A65E65" w:rsidP="00767E6C">
      <w:pPr>
        <w:jc w:val="both"/>
      </w:pPr>
    </w:p>
    <w:p w14:paraId="257ACFFD" w14:textId="7389D09C" w:rsidR="00A65E65" w:rsidRDefault="00A65E65" w:rsidP="00767E6C">
      <w:pPr>
        <w:jc w:val="both"/>
      </w:pPr>
    </w:p>
    <w:p w14:paraId="0914D741" w14:textId="7F927F59" w:rsidR="00A65E65" w:rsidRDefault="00A65E65" w:rsidP="00767E6C">
      <w:pPr>
        <w:jc w:val="both"/>
      </w:pPr>
    </w:p>
    <w:p w14:paraId="322C7604" w14:textId="6EB83484" w:rsidR="00A65E65" w:rsidRDefault="00A65E65" w:rsidP="00767E6C">
      <w:pPr>
        <w:jc w:val="both"/>
      </w:pPr>
    </w:p>
    <w:p w14:paraId="2BC3AD95" w14:textId="0CE6E9E6" w:rsidR="00A65E65" w:rsidRDefault="00A65E65" w:rsidP="00767E6C">
      <w:pPr>
        <w:jc w:val="both"/>
      </w:pPr>
    </w:p>
    <w:p w14:paraId="11A7DBF2" w14:textId="6FADA003" w:rsidR="00A65E65" w:rsidRDefault="00A65E65" w:rsidP="00767E6C">
      <w:pPr>
        <w:jc w:val="both"/>
      </w:pPr>
    </w:p>
    <w:p w14:paraId="72E08FC5" w14:textId="2BF85BFF" w:rsidR="00A65E65" w:rsidRDefault="00A65E65" w:rsidP="00767E6C">
      <w:pPr>
        <w:jc w:val="both"/>
      </w:pPr>
    </w:p>
    <w:p w14:paraId="71EE20F9" w14:textId="5773DA68" w:rsidR="00A65E65" w:rsidRDefault="00A65E65" w:rsidP="00767E6C">
      <w:pPr>
        <w:jc w:val="both"/>
      </w:pPr>
    </w:p>
    <w:p w14:paraId="128E9BA1" w14:textId="03F52CC9" w:rsidR="00A65E65" w:rsidRDefault="00A65E65" w:rsidP="00767E6C">
      <w:pPr>
        <w:jc w:val="both"/>
      </w:pPr>
    </w:p>
    <w:p w14:paraId="6FC3BE75" w14:textId="436E8B7C" w:rsidR="00A65E65" w:rsidRDefault="00A65E65" w:rsidP="00767E6C">
      <w:pPr>
        <w:jc w:val="both"/>
      </w:pPr>
    </w:p>
    <w:p w14:paraId="02E9ECFE" w14:textId="633570B0" w:rsidR="00A65E65" w:rsidRDefault="00A65E65" w:rsidP="00767E6C">
      <w:pPr>
        <w:jc w:val="both"/>
      </w:pPr>
    </w:p>
    <w:p w14:paraId="1430F46C" w14:textId="351D8D9B" w:rsidR="00A65E65" w:rsidRDefault="00A65E65" w:rsidP="00767E6C">
      <w:pPr>
        <w:jc w:val="both"/>
      </w:pPr>
    </w:p>
    <w:p w14:paraId="49CE39E4" w14:textId="078FBDB8" w:rsidR="00A65E65" w:rsidRDefault="00A65E65" w:rsidP="00767E6C">
      <w:pPr>
        <w:jc w:val="both"/>
      </w:pPr>
    </w:p>
    <w:p w14:paraId="306DDFD0" w14:textId="022FE93C" w:rsidR="00A65E65" w:rsidRDefault="00A65E65" w:rsidP="00767E6C">
      <w:pPr>
        <w:jc w:val="both"/>
      </w:pPr>
    </w:p>
    <w:p w14:paraId="03135EE5" w14:textId="192C1E3C" w:rsidR="00A65E65" w:rsidRDefault="00A65E65" w:rsidP="00767E6C">
      <w:pPr>
        <w:jc w:val="both"/>
      </w:pPr>
    </w:p>
    <w:p w14:paraId="4C90A042" w14:textId="6360EC98" w:rsidR="00A65E65" w:rsidRDefault="00A65E65" w:rsidP="00767E6C">
      <w:pPr>
        <w:jc w:val="both"/>
      </w:pPr>
    </w:p>
    <w:p w14:paraId="18616B12" w14:textId="6C5561EF" w:rsidR="00A65E65" w:rsidRDefault="00A65E65" w:rsidP="00767E6C">
      <w:pPr>
        <w:jc w:val="both"/>
      </w:pPr>
    </w:p>
    <w:p w14:paraId="229B0A35" w14:textId="30E35AD0" w:rsidR="00A65E65" w:rsidRDefault="00A65E65" w:rsidP="00767E6C">
      <w:pPr>
        <w:jc w:val="both"/>
      </w:pPr>
    </w:p>
    <w:p w14:paraId="1D1FA2F3" w14:textId="61BAFF65" w:rsidR="00A65E65" w:rsidRDefault="00A65E65" w:rsidP="00767E6C">
      <w:pPr>
        <w:jc w:val="both"/>
      </w:pPr>
    </w:p>
    <w:p w14:paraId="5DE4AB98" w14:textId="2897C142" w:rsidR="00A65E65" w:rsidRDefault="00A65E65" w:rsidP="00767E6C">
      <w:pPr>
        <w:jc w:val="both"/>
      </w:pPr>
    </w:p>
    <w:p w14:paraId="60DDCF0D" w14:textId="385D09E7" w:rsidR="00A65E65" w:rsidRDefault="00A65E65" w:rsidP="00767E6C">
      <w:pPr>
        <w:jc w:val="both"/>
      </w:pPr>
    </w:p>
    <w:p w14:paraId="6451B723" w14:textId="77777777" w:rsidR="00A65E65" w:rsidRDefault="00A65E65" w:rsidP="00767E6C">
      <w:pPr>
        <w:jc w:val="both"/>
      </w:pPr>
    </w:p>
    <w:p w14:paraId="6989C618" w14:textId="65818160" w:rsidR="00A65E65" w:rsidRDefault="00A65E65" w:rsidP="00767E6C">
      <w:pPr>
        <w:jc w:val="both"/>
      </w:pPr>
    </w:p>
    <w:p w14:paraId="344D26FA" w14:textId="0EDD1C44" w:rsidR="00A65E65" w:rsidRDefault="00A65E65" w:rsidP="00767E6C">
      <w:pPr>
        <w:jc w:val="both"/>
      </w:pPr>
    </w:p>
    <w:p w14:paraId="53920F34" w14:textId="255E2811" w:rsidR="00A65E65" w:rsidRDefault="00A65E65" w:rsidP="00767E6C">
      <w:pPr>
        <w:jc w:val="both"/>
      </w:pPr>
    </w:p>
    <w:p w14:paraId="2833D66A" w14:textId="67B569DC" w:rsidR="00A65E65" w:rsidRDefault="00A65E65" w:rsidP="00767E6C">
      <w:pPr>
        <w:jc w:val="both"/>
      </w:pPr>
    </w:p>
    <w:sdt>
      <w:sdtPr>
        <w:id w:val="-1376848573"/>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26BAF983" w14:textId="6D371318" w:rsidR="00A65E65" w:rsidRDefault="00A65E65">
          <w:pPr>
            <w:pStyle w:val="Heading1"/>
          </w:pPr>
          <w:r>
            <w:t>References</w:t>
          </w:r>
        </w:p>
        <w:p w14:paraId="43C10867" w14:textId="77777777" w:rsidR="00A65E65" w:rsidRDefault="00A65E65" w:rsidP="00A65E65">
          <w:pPr>
            <w:pStyle w:val="Bibliography"/>
            <w:rPr>
              <w:noProof/>
              <w:lang w:val="en-US"/>
            </w:rPr>
          </w:pPr>
          <w:r>
            <w:fldChar w:fldCharType="begin"/>
          </w:r>
          <w:r>
            <w:instrText xml:space="preserve"> BIBLIOGRAPHY </w:instrText>
          </w:r>
          <w:r>
            <w:fldChar w:fldCharType="separate"/>
          </w:r>
          <w:r>
            <w:rPr>
              <w:noProof/>
              <w:lang w:val="en-US"/>
            </w:rPr>
            <w:t xml:space="preserve">Alfes, K. et al., 2010. </w:t>
          </w:r>
          <w:r>
            <w:rPr>
              <w:i/>
              <w:iCs/>
              <w:noProof/>
              <w:lang w:val="en-US"/>
            </w:rPr>
            <w:t xml:space="preserve">Creating an engaged workforce: findings from the kingston employee engagement consortium project. </w:t>
          </w:r>
          <w:r>
            <w:rPr>
              <w:noProof/>
              <w:lang w:val="en-US"/>
            </w:rPr>
            <w:t>1st ed. London: CIPD.</w:t>
          </w:r>
        </w:p>
        <w:p w14:paraId="4279F565" w14:textId="77777777" w:rsidR="00A65E65" w:rsidRDefault="00A65E65" w:rsidP="00A65E65">
          <w:pPr>
            <w:pStyle w:val="Bibliography"/>
            <w:rPr>
              <w:noProof/>
              <w:lang w:val="en-US"/>
            </w:rPr>
          </w:pPr>
        </w:p>
        <w:p w14:paraId="0AA96FD1" w14:textId="2DEB99D9" w:rsidR="00A65E65" w:rsidRDefault="00A65E65" w:rsidP="00A65E65">
          <w:pPr>
            <w:pStyle w:val="Bibliography"/>
            <w:rPr>
              <w:noProof/>
              <w:lang w:val="en-US"/>
            </w:rPr>
          </w:pPr>
          <w:r>
            <w:rPr>
              <w:noProof/>
              <w:lang w:val="en-US"/>
            </w:rPr>
            <w:t xml:space="preserve">Allio, R., 2008. Prahalad heralds a new era of innovation. </w:t>
          </w:r>
          <w:r>
            <w:rPr>
              <w:i/>
              <w:iCs/>
              <w:noProof/>
              <w:lang w:val="en-US"/>
            </w:rPr>
            <w:t xml:space="preserve">Strategy and Leadership, </w:t>
          </w:r>
          <w:r>
            <w:rPr>
              <w:noProof/>
              <w:lang w:val="en-US"/>
            </w:rPr>
            <w:t>36(6), pp. 11-14.</w:t>
          </w:r>
        </w:p>
        <w:p w14:paraId="22225E68" w14:textId="77777777" w:rsidR="00A65E65" w:rsidRDefault="00A65E65" w:rsidP="00A65E65">
          <w:pPr>
            <w:pStyle w:val="Bibliography"/>
            <w:rPr>
              <w:noProof/>
              <w:lang w:val="en-US"/>
            </w:rPr>
          </w:pPr>
        </w:p>
        <w:p w14:paraId="21336A50" w14:textId="5BC7FC2E" w:rsidR="00A65E65" w:rsidRDefault="00A65E65" w:rsidP="00A65E65">
          <w:pPr>
            <w:pStyle w:val="Bibliography"/>
            <w:rPr>
              <w:noProof/>
              <w:lang w:val="en-US"/>
            </w:rPr>
          </w:pPr>
          <w:r>
            <w:rPr>
              <w:noProof/>
              <w:lang w:val="en-US"/>
            </w:rPr>
            <w:t xml:space="preserve">Armstrong, M. &amp; Baron, 2005. </w:t>
          </w:r>
          <w:r>
            <w:rPr>
              <w:i/>
              <w:iCs/>
              <w:noProof/>
              <w:lang w:val="en-US"/>
            </w:rPr>
            <w:t xml:space="preserve">Managing Performance: Performance Management in action. </w:t>
          </w:r>
          <w:r>
            <w:rPr>
              <w:noProof/>
              <w:lang w:val="en-US"/>
            </w:rPr>
            <w:t>London: CIPD.</w:t>
          </w:r>
        </w:p>
        <w:p w14:paraId="7AE1CB9A" w14:textId="77777777" w:rsidR="00A65E65" w:rsidRDefault="00A65E65" w:rsidP="00A65E65">
          <w:pPr>
            <w:pStyle w:val="Bibliography"/>
            <w:rPr>
              <w:noProof/>
              <w:lang w:val="en-US"/>
            </w:rPr>
          </w:pPr>
        </w:p>
        <w:p w14:paraId="4C823A2E" w14:textId="1B8C92A0" w:rsidR="00A65E65" w:rsidRDefault="00A65E65" w:rsidP="00A65E65">
          <w:pPr>
            <w:pStyle w:val="Bibliography"/>
            <w:rPr>
              <w:noProof/>
              <w:lang w:val="en-US"/>
            </w:rPr>
          </w:pPr>
          <w:r>
            <w:rPr>
              <w:noProof/>
              <w:lang w:val="en-US"/>
            </w:rPr>
            <w:t xml:space="preserve">Blyton, P. &amp; Morris, J., 1992. </w:t>
          </w:r>
          <w:r>
            <w:rPr>
              <w:i/>
              <w:iCs/>
              <w:noProof/>
              <w:lang w:val="en-US"/>
            </w:rPr>
            <w:t xml:space="preserve">HRM and the limits of flexibility. </w:t>
          </w:r>
          <w:r>
            <w:rPr>
              <w:noProof/>
              <w:lang w:val="en-US"/>
            </w:rPr>
            <w:t>1st ed. London: Sage.</w:t>
          </w:r>
        </w:p>
        <w:p w14:paraId="76F0D7AB" w14:textId="77777777" w:rsidR="00A65E65" w:rsidRDefault="00A65E65" w:rsidP="00A65E65">
          <w:pPr>
            <w:pStyle w:val="Bibliography"/>
            <w:rPr>
              <w:noProof/>
              <w:lang w:val="en-US"/>
            </w:rPr>
          </w:pPr>
        </w:p>
        <w:p w14:paraId="3AFEDC9D" w14:textId="434CDE16" w:rsidR="00A65E65" w:rsidRDefault="00A65E65" w:rsidP="00A65E65">
          <w:pPr>
            <w:pStyle w:val="Bibliography"/>
            <w:rPr>
              <w:noProof/>
              <w:lang w:val="en-US"/>
            </w:rPr>
          </w:pPr>
          <w:r>
            <w:rPr>
              <w:noProof/>
              <w:lang w:val="en-US"/>
            </w:rPr>
            <w:t xml:space="preserve">Bolden, R., 2011. Distributed Leadership in organisations: a review of theory and research. </w:t>
          </w:r>
          <w:r>
            <w:rPr>
              <w:i/>
              <w:iCs/>
              <w:noProof/>
              <w:lang w:val="en-US"/>
            </w:rPr>
            <w:t xml:space="preserve">International Journal of Management Reviews, </w:t>
          </w:r>
          <w:r>
            <w:rPr>
              <w:noProof/>
              <w:lang w:val="en-US"/>
            </w:rPr>
            <w:t>13(3), pp. 251-269.</w:t>
          </w:r>
        </w:p>
        <w:p w14:paraId="4BC132D6" w14:textId="77777777" w:rsidR="00A65E65" w:rsidRDefault="00A65E65" w:rsidP="00A65E65">
          <w:pPr>
            <w:pStyle w:val="Bibliography"/>
            <w:rPr>
              <w:noProof/>
              <w:lang w:val="en-US"/>
            </w:rPr>
          </w:pPr>
        </w:p>
        <w:p w14:paraId="5E624E12" w14:textId="108EA79F" w:rsidR="00A65E65" w:rsidRDefault="00A65E65" w:rsidP="00A65E65">
          <w:pPr>
            <w:pStyle w:val="Bibliography"/>
            <w:rPr>
              <w:noProof/>
              <w:lang w:val="en-US"/>
            </w:rPr>
          </w:pPr>
          <w:r>
            <w:rPr>
              <w:noProof/>
              <w:lang w:val="en-US"/>
            </w:rPr>
            <w:t xml:space="preserve">Boxall, P. &amp; Purcell, J., 2008. </w:t>
          </w:r>
          <w:r>
            <w:rPr>
              <w:i/>
              <w:iCs/>
              <w:noProof/>
              <w:lang w:val="en-US"/>
            </w:rPr>
            <w:t xml:space="preserve">Strategy and Human Resource Management. </w:t>
          </w:r>
          <w:r>
            <w:rPr>
              <w:noProof/>
              <w:lang w:val="en-US"/>
            </w:rPr>
            <w:t>2nd ed. Basingstoke: Palgrave McMillan.</w:t>
          </w:r>
        </w:p>
        <w:p w14:paraId="115256E6" w14:textId="77777777" w:rsidR="00A65E65" w:rsidRDefault="00A65E65" w:rsidP="00A65E65">
          <w:pPr>
            <w:pStyle w:val="Bibliography"/>
            <w:rPr>
              <w:noProof/>
              <w:lang w:val="en-US"/>
            </w:rPr>
          </w:pPr>
        </w:p>
        <w:p w14:paraId="7C59FCF9" w14:textId="4DC81ECC" w:rsidR="00A65E65" w:rsidRDefault="00A65E65" w:rsidP="00A65E65">
          <w:pPr>
            <w:pStyle w:val="Bibliography"/>
            <w:rPr>
              <w:noProof/>
              <w:lang w:val="en-US"/>
            </w:rPr>
          </w:pPr>
          <w:r>
            <w:rPr>
              <w:noProof/>
              <w:lang w:val="en-US"/>
            </w:rPr>
            <w:t xml:space="preserve">Carnall, C., 2003. </w:t>
          </w:r>
          <w:r>
            <w:rPr>
              <w:i/>
              <w:iCs/>
              <w:noProof/>
              <w:lang w:val="en-US"/>
            </w:rPr>
            <w:t xml:space="preserve">Managing change in Organisations. </w:t>
          </w:r>
          <w:r>
            <w:rPr>
              <w:noProof/>
              <w:lang w:val="en-US"/>
            </w:rPr>
            <w:t>4th ed. Harlow: FT/Prentice Hall.</w:t>
          </w:r>
        </w:p>
        <w:p w14:paraId="076B9874" w14:textId="77777777" w:rsidR="00A65E65" w:rsidRDefault="00A65E65" w:rsidP="00A65E65">
          <w:pPr>
            <w:pStyle w:val="Bibliography"/>
            <w:rPr>
              <w:noProof/>
              <w:lang w:val="en-US"/>
            </w:rPr>
          </w:pPr>
        </w:p>
        <w:p w14:paraId="234AE700" w14:textId="1EDC606B" w:rsidR="00A65E65" w:rsidRDefault="00A65E65" w:rsidP="00A65E65">
          <w:pPr>
            <w:pStyle w:val="Bibliography"/>
            <w:rPr>
              <w:noProof/>
              <w:lang w:val="en-US"/>
            </w:rPr>
          </w:pPr>
          <w:r>
            <w:rPr>
              <w:noProof/>
              <w:lang w:val="en-US"/>
            </w:rPr>
            <w:t xml:space="preserve">Chalofsky, N. &amp; Krishna, V., 2009. Meaningfulness, commitment and engagement: the intersection of a deeper level of intrinsic motivation. </w:t>
          </w:r>
          <w:r>
            <w:rPr>
              <w:i/>
              <w:iCs/>
              <w:noProof/>
              <w:lang w:val="en-US"/>
            </w:rPr>
            <w:t xml:space="preserve">Advances in developing human resources, </w:t>
          </w:r>
          <w:r>
            <w:rPr>
              <w:noProof/>
              <w:lang w:val="en-US"/>
            </w:rPr>
            <w:t>11(2), pp. 189-203.</w:t>
          </w:r>
        </w:p>
        <w:p w14:paraId="18D98171" w14:textId="77777777" w:rsidR="00A65E65" w:rsidRDefault="00A65E65" w:rsidP="00A65E65">
          <w:pPr>
            <w:pStyle w:val="Bibliography"/>
            <w:rPr>
              <w:noProof/>
              <w:lang w:val="en-US"/>
            </w:rPr>
          </w:pPr>
        </w:p>
        <w:p w14:paraId="0B8CBF4C" w14:textId="45C45ABB" w:rsidR="00A65E65" w:rsidRDefault="00A65E65" w:rsidP="00A65E65">
          <w:pPr>
            <w:pStyle w:val="Bibliography"/>
            <w:rPr>
              <w:noProof/>
              <w:lang w:val="en-US"/>
            </w:rPr>
          </w:pPr>
          <w:r>
            <w:rPr>
              <w:noProof/>
              <w:lang w:val="en-US"/>
            </w:rPr>
            <w:t xml:space="preserve">Chamberlain, L., 2012. </w:t>
          </w:r>
          <w:r>
            <w:rPr>
              <w:i/>
              <w:iCs/>
              <w:noProof/>
              <w:lang w:val="en-US"/>
            </w:rPr>
            <w:t xml:space="preserve">Four key enablers to employee engagement. </w:t>
          </w:r>
          <w:r>
            <w:rPr>
              <w:noProof/>
              <w:lang w:val="en-US"/>
            </w:rPr>
            <w:t xml:space="preserve">[Online] </w:t>
          </w:r>
          <w:r>
            <w:rPr>
              <w:noProof/>
              <w:lang w:val="en-US"/>
            </w:rPr>
            <w:br/>
            <w:t xml:space="preserve">Available at: </w:t>
          </w:r>
          <w:r>
            <w:rPr>
              <w:noProof/>
              <w:u w:val="single"/>
              <w:lang w:val="en-US"/>
            </w:rPr>
            <w:t>https://www.personneltoday.com/hr/four-key-enablers-to-employee-engagement/</w:t>
          </w:r>
          <w:r>
            <w:rPr>
              <w:noProof/>
              <w:lang w:val="en-US"/>
            </w:rPr>
            <w:br/>
            <w:t>[Accessed 20 May 2020].</w:t>
          </w:r>
        </w:p>
        <w:p w14:paraId="320B032C" w14:textId="77777777" w:rsidR="00A65E65" w:rsidRDefault="00A65E65" w:rsidP="00A65E65">
          <w:pPr>
            <w:pStyle w:val="Bibliography"/>
            <w:rPr>
              <w:noProof/>
              <w:lang w:val="en-US"/>
            </w:rPr>
          </w:pPr>
        </w:p>
        <w:p w14:paraId="31938759" w14:textId="6B4786CB" w:rsidR="00A65E65" w:rsidRDefault="00A65E65" w:rsidP="00A65E65">
          <w:pPr>
            <w:pStyle w:val="Bibliography"/>
            <w:rPr>
              <w:noProof/>
              <w:lang w:val="en-US"/>
            </w:rPr>
          </w:pPr>
          <w:r>
            <w:rPr>
              <w:noProof/>
              <w:lang w:val="en-US"/>
            </w:rPr>
            <w:t xml:space="preserve">CIPD, 2015. </w:t>
          </w:r>
          <w:r>
            <w:rPr>
              <w:i/>
              <w:iCs/>
              <w:noProof/>
              <w:lang w:val="en-US"/>
            </w:rPr>
            <w:t xml:space="preserve">Changing HR operating Models, </w:t>
          </w:r>
          <w:r>
            <w:rPr>
              <w:noProof/>
              <w:lang w:val="en-US"/>
            </w:rPr>
            <w:t>London: CIPD.</w:t>
          </w:r>
        </w:p>
        <w:p w14:paraId="7A6674C6" w14:textId="77777777" w:rsidR="00A65E65" w:rsidRDefault="00A65E65" w:rsidP="00A65E65">
          <w:pPr>
            <w:pStyle w:val="Bibliography"/>
            <w:rPr>
              <w:noProof/>
              <w:lang w:val="en-US"/>
            </w:rPr>
          </w:pPr>
        </w:p>
        <w:p w14:paraId="03BC38C7" w14:textId="6B857856" w:rsidR="00A65E65" w:rsidRDefault="00A65E65" w:rsidP="00A65E65">
          <w:pPr>
            <w:pStyle w:val="Bibliography"/>
            <w:rPr>
              <w:noProof/>
              <w:lang w:val="en-US"/>
            </w:rPr>
          </w:pPr>
          <w:r>
            <w:rPr>
              <w:noProof/>
              <w:lang w:val="en-US"/>
            </w:rPr>
            <w:t xml:space="preserve">CIPD, 2017. </w:t>
          </w:r>
          <w:r>
            <w:rPr>
              <w:i/>
              <w:iCs/>
              <w:noProof/>
              <w:lang w:val="en-US"/>
            </w:rPr>
            <w:t xml:space="preserve">Strength based performance conversations: an organisational field trail, </w:t>
          </w:r>
          <w:r>
            <w:rPr>
              <w:noProof/>
              <w:lang w:val="en-US"/>
            </w:rPr>
            <w:t>London: CIPD.</w:t>
          </w:r>
        </w:p>
        <w:p w14:paraId="170792EF" w14:textId="77777777" w:rsidR="00A65E65" w:rsidRDefault="00A65E65" w:rsidP="00A65E65">
          <w:pPr>
            <w:pStyle w:val="Bibliography"/>
            <w:rPr>
              <w:noProof/>
              <w:lang w:val="en-US"/>
            </w:rPr>
          </w:pPr>
        </w:p>
        <w:p w14:paraId="66DADCCB" w14:textId="479AC1BF" w:rsidR="00A65E65" w:rsidRDefault="00A65E65" w:rsidP="00A65E65">
          <w:pPr>
            <w:pStyle w:val="Bibliography"/>
            <w:rPr>
              <w:noProof/>
              <w:lang w:val="en-US"/>
            </w:rPr>
          </w:pPr>
          <w:r>
            <w:rPr>
              <w:noProof/>
              <w:lang w:val="en-US"/>
            </w:rPr>
            <w:t xml:space="preserve">CIPD, 2019a. </w:t>
          </w:r>
          <w:r>
            <w:rPr>
              <w:i/>
              <w:iCs/>
              <w:noProof/>
              <w:lang w:val="en-US"/>
            </w:rPr>
            <w:t xml:space="preserve">Ethics at Work: An Employers Guide. </w:t>
          </w:r>
          <w:r>
            <w:rPr>
              <w:noProof/>
              <w:lang w:val="en-US"/>
            </w:rPr>
            <w:t xml:space="preserve">[Online] </w:t>
          </w:r>
          <w:r>
            <w:rPr>
              <w:noProof/>
              <w:lang w:val="en-US"/>
            </w:rPr>
            <w:br/>
            <w:t xml:space="preserve">Available at: </w:t>
          </w:r>
          <w:r>
            <w:rPr>
              <w:noProof/>
              <w:u w:val="single"/>
              <w:lang w:val="en-US"/>
            </w:rPr>
            <w:t>https://www.cipd.co.uk/Images/7919-ethics-guide_tcm18-66759.pdf</w:t>
          </w:r>
          <w:r>
            <w:rPr>
              <w:noProof/>
              <w:lang w:val="en-US"/>
            </w:rPr>
            <w:br/>
            <w:t>[Accessed 19 May 2020].</w:t>
          </w:r>
        </w:p>
        <w:p w14:paraId="47DE1F39" w14:textId="77777777" w:rsidR="00A65E65" w:rsidRDefault="00A65E65" w:rsidP="00A65E65">
          <w:pPr>
            <w:pStyle w:val="Bibliography"/>
            <w:rPr>
              <w:noProof/>
              <w:lang w:val="en-US"/>
            </w:rPr>
          </w:pPr>
        </w:p>
        <w:p w14:paraId="755541EB" w14:textId="189C866F" w:rsidR="00A65E65" w:rsidRDefault="00A65E65" w:rsidP="00A65E65">
          <w:pPr>
            <w:pStyle w:val="Bibliography"/>
            <w:rPr>
              <w:noProof/>
              <w:lang w:val="en-US"/>
            </w:rPr>
          </w:pPr>
          <w:r>
            <w:rPr>
              <w:noProof/>
              <w:lang w:val="en-US"/>
            </w:rPr>
            <w:t xml:space="preserve">CIPD, 2019b. </w:t>
          </w:r>
          <w:r>
            <w:rPr>
              <w:i/>
              <w:iCs/>
              <w:noProof/>
              <w:lang w:val="en-US"/>
            </w:rPr>
            <w:t xml:space="preserve">Performance Reviews. </w:t>
          </w:r>
          <w:r>
            <w:rPr>
              <w:noProof/>
              <w:lang w:val="en-US"/>
            </w:rPr>
            <w:t xml:space="preserve">[Online] </w:t>
          </w:r>
          <w:r>
            <w:rPr>
              <w:noProof/>
              <w:lang w:val="en-US"/>
            </w:rPr>
            <w:br/>
            <w:t xml:space="preserve">Available at: </w:t>
          </w:r>
          <w:r>
            <w:rPr>
              <w:noProof/>
              <w:u w:val="single"/>
              <w:lang w:val="en-US"/>
            </w:rPr>
            <w:t>https://www.cipd.co.uk/knowledge/fundamentals/people/performance/appraisals-factsheet#6546</w:t>
          </w:r>
          <w:r>
            <w:rPr>
              <w:noProof/>
              <w:lang w:val="en-US"/>
            </w:rPr>
            <w:br/>
            <w:t>[Accessed 19 May 2020].</w:t>
          </w:r>
        </w:p>
        <w:p w14:paraId="2B9245D1" w14:textId="77777777" w:rsidR="00A65E65" w:rsidRDefault="00A65E65" w:rsidP="00A65E65">
          <w:pPr>
            <w:pStyle w:val="Bibliography"/>
            <w:rPr>
              <w:noProof/>
              <w:lang w:val="en-US"/>
            </w:rPr>
          </w:pPr>
        </w:p>
        <w:p w14:paraId="62CEBCF8" w14:textId="2F60B1D0" w:rsidR="00A65E65" w:rsidRDefault="00A65E65" w:rsidP="00A65E65">
          <w:pPr>
            <w:pStyle w:val="Bibliography"/>
            <w:rPr>
              <w:noProof/>
              <w:lang w:val="en-US"/>
            </w:rPr>
          </w:pPr>
          <w:r>
            <w:rPr>
              <w:noProof/>
              <w:lang w:val="en-US"/>
            </w:rPr>
            <w:t xml:space="preserve">CIPD, 2019c. </w:t>
          </w:r>
          <w:r>
            <w:rPr>
              <w:i/>
              <w:iCs/>
              <w:noProof/>
              <w:lang w:val="en-US"/>
            </w:rPr>
            <w:t xml:space="preserve">UK Working Lives, </w:t>
          </w:r>
          <w:r>
            <w:rPr>
              <w:noProof/>
              <w:lang w:val="en-US"/>
            </w:rPr>
            <w:t>London: CIPD.</w:t>
          </w:r>
        </w:p>
        <w:p w14:paraId="3230CD1D" w14:textId="77777777" w:rsidR="00A65E65" w:rsidRDefault="00A65E65" w:rsidP="00A65E65">
          <w:pPr>
            <w:pStyle w:val="Bibliography"/>
            <w:rPr>
              <w:noProof/>
              <w:lang w:val="en-US"/>
            </w:rPr>
          </w:pPr>
        </w:p>
        <w:p w14:paraId="303465D0" w14:textId="258D20D2" w:rsidR="00A65E65" w:rsidRDefault="00A65E65" w:rsidP="00A65E65">
          <w:pPr>
            <w:pStyle w:val="Bibliography"/>
            <w:rPr>
              <w:noProof/>
              <w:lang w:val="en-US"/>
            </w:rPr>
          </w:pPr>
          <w:r>
            <w:rPr>
              <w:noProof/>
              <w:lang w:val="en-US"/>
            </w:rPr>
            <w:lastRenderedPageBreak/>
            <w:t xml:space="preserve">CIPD, 2019d. </w:t>
          </w:r>
          <w:r>
            <w:rPr>
              <w:i/>
              <w:iCs/>
              <w:noProof/>
              <w:lang w:val="en-US"/>
            </w:rPr>
            <w:t xml:space="preserve">HR business partnering. </w:t>
          </w:r>
          <w:r>
            <w:rPr>
              <w:noProof/>
              <w:lang w:val="en-US"/>
            </w:rPr>
            <w:t xml:space="preserve">[Online] </w:t>
          </w:r>
          <w:r>
            <w:rPr>
              <w:noProof/>
              <w:lang w:val="en-US"/>
            </w:rPr>
            <w:br/>
            <w:t xml:space="preserve">Available at: </w:t>
          </w:r>
          <w:r>
            <w:rPr>
              <w:noProof/>
              <w:u w:val="single"/>
              <w:lang w:val="en-US"/>
            </w:rPr>
            <w:t>https://www.cipd.co.uk/knowledge/fundamentals/people/hr/business-partnering-factsheet</w:t>
          </w:r>
          <w:r>
            <w:rPr>
              <w:noProof/>
              <w:lang w:val="en-US"/>
            </w:rPr>
            <w:br/>
            <w:t>[Accessed 20 May 2020].</w:t>
          </w:r>
        </w:p>
        <w:p w14:paraId="60C3AFCB" w14:textId="77777777" w:rsidR="00A65E65" w:rsidRDefault="00A65E65" w:rsidP="00A65E65">
          <w:pPr>
            <w:pStyle w:val="Bibliography"/>
            <w:rPr>
              <w:noProof/>
              <w:lang w:val="en-US"/>
            </w:rPr>
          </w:pPr>
        </w:p>
        <w:p w14:paraId="6532AFBB" w14:textId="1539AD8D" w:rsidR="00A65E65" w:rsidRDefault="00A65E65" w:rsidP="00A65E65">
          <w:pPr>
            <w:pStyle w:val="Bibliography"/>
            <w:rPr>
              <w:noProof/>
              <w:lang w:val="en-US"/>
            </w:rPr>
          </w:pPr>
          <w:r>
            <w:rPr>
              <w:noProof/>
              <w:lang w:val="en-US"/>
            </w:rPr>
            <w:t xml:space="preserve">CIPD, 2019e. </w:t>
          </w:r>
          <w:r>
            <w:rPr>
              <w:i/>
              <w:iCs/>
              <w:noProof/>
              <w:lang w:val="en-US"/>
            </w:rPr>
            <w:t xml:space="preserve">Change Management, </w:t>
          </w:r>
          <w:r>
            <w:rPr>
              <w:noProof/>
              <w:lang w:val="en-US"/>
            </w:rPr>
            <w:t>London: CIPD.</w:t>
          </w:r>
        </w:p>
        <w:p w14:paraId="6DF5AA5A" w14:textId="77777777" w:rsidR="00A65E65" w:rsidRDefault="00A65E65" w:rsidP="00A65E65">
          <w:pPr>
            <w:pStyle w:val="Bibliography"/>
            <w:rPr>
              <w:noProof/>
              <w:lang w:val="en-US"/>
            </w:rPr>
          </w:pPr>
        </w:p>
        <w:p w14:paraId="648C8A99" w14:textId="4E3BFA14" w:rsidR="00A65E65" w:rsidRDefault="00A65E65" w:rsidP="00A65E65">
          <w:pPr>
            <w:pStyle w:val="Bibliography"/>
            <w:rPr>
              <w:noProof/>
              <w:lang w:val="en-US"/>
            </w:rPr>
          </w:pPr>
          <w:r>
            <w:rPr>
              <w:noProof/>
              <w:lang w:val="en-US"/>
            </w:rPr>
            <w:t xml:space="preserve">CIPD, 2020a. </w:t>
          </w:r>
          <w:r>
            <w:rPr>
              <w:i/>
              <w:iCs/>
              <w:noProof/>
              <w:lang w:val="en-US"/>
            </w:rPr>
            <w:t xml:space="preserve">Employee Voice. </w:t>
          </w:r>
          <w:r>
            <w:rPr>
              <w:noProof/>
              <w:lang w:val="en-US"/>
            </w:rPr>
            <w:t xml:space="preserve">[Online] </w:t>
          </w:r>
          <w:r>
            <w:rPr>
              <w:noProof/>
              <w:lang w:val="en-US"/>
            </w:rPr>
            <w:br/>
            <w:t xml:space="preserve">Available at: </w:t>
          </w:r>
          <w:r>
            <w:rPr>
              <w:noProof/>
              <w:u w:val="single"/>
              <w:lang w:val="en-US"/>
            </w:rPr>
            <w:t>https://www.cipd.co.uk/knowledge/fundamentals/relations/communication/voice-factsheet</w:t>
          </w:r>
          <w:r>
            <w:rPr>
              <w:noProof/>
              <w:lang w:val="en-US"/>
            </w:rPr>
            <w:br/>
            <w:t>[Accessed 19 May 2020].</w:t>
          </w:r>
        </w:p>
        <w:p w14:paraId="6C6FB12A" w14:textId="77777777" w:rsidR="00A65E65" w:rsidRDefault="00A65E65" w:rsidP="00A65E65">
          <w:pPr>
            <w:pStyle w:val="Bibliography"/>
            <w:rPr>
              <w:noProof/>
              <w:lang w:val="en-US"/>
            </w:rPr>
          </w:pPr>
        </w:p>
        <w:p w14:paraId="7EADFE79" w14:textId="04953DC7" w:rsidR="00A65E65" w:rsidRDefault="00A65E65" w:rsidP="00A65E65">
          <w:pPr>
            <w:pStyle w:val="Bibliography"/>
            <w:rPr>
              <w:noProof/>
              <w:lang w:val="en-US"/>
            </w:rPr>
          </w:pPr>
          <w:r>
            <w:rPr>
              <w:noProof/>
              <w:lang w:val="en-US"/>
            </w:rPr>
            <w:t xml:space="preserve">CIPD, 2020c. </w:t>
          </w:r>
          <w:r>
            <w:rPr>
              <w:i/>
              <w:iCs/>
              <w:noProof/>
              <w:lang w:val="en-US"/>
            </w:rPr>
            <w:t xml:space="preserve">Coronavirus advice for employers, </w:t>
          </w:r>
          <w:r>
            <w:rPr>
              <w:noProof/>
              <w:lang w:val="en-US"/>
            </w:rPr>
            <w:t>London: CIPD.</w:t>
          </w:r>
        </w:p>
        <w:p w14:paraId="74547333" w14:textId="77777777" w:rsidR="00A65E65" w:rsidRDefault="00A65E65" w:rsidP="00A65E65">
          <w:pPr>
            <w:pStyle w:val="Bibliography"/>
            <w:rPr>
              <w:noProof/>
              <w:lang w:val="en-US"/>
            </w:rPr>
          </w:pPr>
        </w:p>
        <w:p w14:paraId="74086190" w14:textId="13EC891A" w:rsidR="00A65E65" w:rsidRDefault="00A65E65" w:rsidP="00A65E65">
          <w:pPr>
            <w:pStyle w:val="Bibliography"/>
            <w:rPr>
              <w:noProof/>
              <w:lang w:val="en-US"/>
            </w:rPr>
          </w:pPr>
          <w:r>
            <w:rPr>
              <w:noProof/>
              <w:lang w:val="en-US"/>
            </w:rPr>
            <w:t xml:space="preserve">CIPD, 2020d. </w:t>
          </w:r>
          <w:r>
            <w:rPr>
              <w:i/>
              <w:iCs/>
              <w:noProof/>
              <w:lang w:val="en-US"/>
            </w:rPr>
            <w:t xml:space="preserve">The psychological contract. </w:t>
          </w:r>
          <w:r>
            <w:rPr>
              <w:noProof/>
              <w:lang w:val="en-US"/>
            </w:rPr>
            <w:t xml:space="preserve">[Online] </w:t>
          </w:r>
          <w:r>
            <w:rPr>
              <w:noProof/>
              <w:lang w:val="en-US"/>
            </w:rPr>
            <w:br/>
            <w:t xml:space="preserve">Available at: </w:t>
          </w:r>
          <w:r>
            <w:rPr>
              <w:noProof/>
              <w:u w:val="single"/>
              <w:lang w:val="en-US"/>
            </w:rPr>
            <w:t>https://www.cipd.co.uk/knowledge/fundamentals/relations/employees/psychological-factsheet</w:t>
          </w:r>
          <w:r>
            <w:rPr>
              <w:noProof/>
              <w:lang w:val="en-US"/>
            </w:rPr>
            <w:br/>
            <w:t>[Accessed 20 May 2020].</w:t>
          </w:r>
        </w:p>
        <w:p w14:paraId="7A9B0044" w14:textId="77777777" w:rsidR="00A65E65" w:rsidRDefault="00A65E65" w:rsidP="00A65E65">
          <w:pPr>
            <w:pStyle w:val="Bibliography"/>
            <w:rPr>
              <w:noProof/>
              <w:lang w:val="en-US"/>
            </w:rPr>
          </w:pPr>
        </w:p>
        <w:p w14:paraId="0093CA07" w14:textId="66D453AD" w:rsidR="00A65E65" w:rsidRDefault="00A65E65" w:rsidP="00A65E65">
          <w:pPr>
            <w:pStyle w:val="Bibliography"/>
            <w:rPr>
              <w:noProof/>
              <w:lang w:val="en-US"/>
            </w:rPr>
          </w:pPr>
          <w:r>
            <w:rPr>
              <w:noProof/>
              <w:lang w:val="en-US"/>
            </w:rPr>
            <w:t xml:space="preserve">CIPD, 2020. </w:t>
          </w:r>
          <w:r>
            <w:rPr>
              <w:i/>
              <w:iCs/>
              <w:noProof/>
              <w:lang w:val="en-US"/>
            </w:rPr>
            <w:t xml:space="preserve">Employee Communication. </w:t>
          </w:r>
          <w:r>
            <w:rPr>
              <w:noProof/>
              <w:lang w:val="en-US"/>
            </w:rPr>
            <w:t xml:space="preserve">[Online] </w:t>
          </w:r>
          <w:r>
            <w:rPr>
              <w:noProof/>
              <w:lang w:val="en-US"/>
            </w:rPr>
            <w:br/>
            <w:t xml:space="preserve">Available at: </w:t>
          </w:r>
          <w:r>
            <w:rPr>
              <w:noProof/>
              <w:u w:val="single"/>
              <w:lang w:val="en-US"/>
            </w:rPr>
            <w:t>https://www.cipd.co.uk/knowledge/fundamentals/relations/communication/factsheet</w:t>
          </w:r>
          <w:r>
            <w:rPr>
              <w:noProof/>
              <w:lang w:val="en-US"/>
            </w:rPr>
            <w:br/>
            <w:t>[Accessed 20 May 2020b].</w:t>
          </w:r>
        </w:p>
        <w:p w14:paraId="157AB119" w14:textId="77777777" w:rsidR="00A65E65" w:rsidRDefault="00A65E65" w:rsidP="00A65E65">
          <w:pPr>
            <w:pStyle w:val="Bibliography"/>
            <w:rPr>
              <w:noProof/>
              <w:lang w:val="en-US"/>
            </w:rPr>
          </w:pPr>
        </w:p>
        <w:p w14:paraId="40BA13A2" w14:textId="27662A8A" w:rsidR="00A65E65" w:rsidRDefault="00A65E65" w:rsidP="00A65E65">
          <w:pPr>
            <w:pStyle w:val="Bibliography"/>
            <w:rPr>
              <w:noProof/>
              <w:lang w:val="en-US"/>
            </w:rPr>
          </w:pPr>
          <w:r>
            <w:rPr>
              <w:noProof/>
              <w:lang w:val="en-US"/>
            </w:rPr>
            <w:t xml:space="preserve">Cook, A., 2019. </w:t>
          </w:r>
          <w:r>
            <w:rPr>
              <w:i/>
              <w:iCs/>
              <w:noProof/>
              <w:lang w:val="en-US"/>
            </w:rPr>
            <w:t xml:space="preserve">Where next for the Ulrich model?. </w:t>
          </w:r>
          <w:r>
            <w:rPr>
              <w:noProof/>
              <w:lang w:val="en-US"/>
            </w:rPr>
            <w:t xml:space="preserve">[Online] </w:t>
          </w:r>
          <w:r>
            <w:rPr>
              <w:noProof/>
              <w:lang w:val="en-US"/>
            </w:rPr>
            <w:br/>
            <w:t xml:space="preserve">Available at: </w:t>
          </w:r>
          <w:r>
            <w:rPr>
              <w:noProof/>
              <w:u w:val="single"/>
              <w:lang w:val="en-US"/>
            </w:rPr>
            <w:t>https://www.hrmagazine.co.uk/article-details/where-next-for-the-ulrich-model</w:t>
          </w:r>
          <w:r>
            <w:rPr>
              <w:noProof/>
              <w:lang w:val="en-US"/>
            </w:rPr>
            <w:br/>
            <w:t>[Accessed 20 May 2020].</w:t>
          </w:r>
        </w:p>
        <w:p w14:paraId="64CFA2AD" w14:textId="77777777" w:rsidR="00A65E65" w:rsidRDefault="00A65E65" w:rsidP="00A65E65">
          <w:pPr>
            <w:pStyle w:val="Bibliography"/>
            <w:rPr>
              <w:noProof/>
              <w:lang w:val="en-US"/>
            </w:rPr>
          </w:pPr>
        </w:p>
        <w:p w14:paraId="3D900452" w14:textId="1EE8D211" w:rsidR="00A65E65" w:rsidRDefault="00A65E65" w:rsidP="00A65E65">
          <w:pPr>
            <w:pStyle w:val="Bibliography"/>
            <w:rPr>
              <w:noProof/>
              <w:lang w:val="en-US"/>
            </w:rPr>
          </w:pPr>
          <w:r>
            <w:rPr>
              <w:noProof/>
              <w:lang w:val="en-US"/>
            </w:rPr>
            <w:t xml:space="preserve">Cooperrider, D. &amp; Srivastava, S., 1987. Appreciative inquiry in organisational life. In: </w:t>
          </w:r>
          <w:r>
            <w:rPr>
              <w:i/>
              <w:iCs/>
              <w:noProof/>
              <w:lang w:val="en-US"/>
            </w:rPr>
            <w:t xml:space="preserve">Research in Organisation change. </w:t>
          </w:r>
          <w:r>
            <w:rPr>
              <w:noProof/>
              <w:lang w:val="en-US"/>
            </w:rPr>
            <w:t>Greenwich: JAI Press, pp. 129-169.</w:t>
          </w:r>
        </w:p>
        <w:p w14:paraId="0BDF137B" w14:textId="77777777" w:rsidR="00A65E65" w:rsidRDefault="00A65E65" w:rsidP="00A65E65">
          <w:pPr>
            <w:pStyle w:val="Bibliography"/>
            <w:rPr>
              <w:noProof/>
              <w:lang w:val="en-US"/>
            </w:rPr>
          </w:pPr>
        </w:p>
        <w:p w14:paraId="59029441" w14:textId="0CA0B226" w:rsidR="00A65E65" w:rsidRDefault="00A65E65" w:rsidP="00A65E65">
          <w:pPr>
            <w:pStyle w:val="Bibliography"/>
            <w:rPr>
              <w:noProof/>
              <w:lang w:val="en-US"/>
            </w:rPr>
          </w:pPr>
          <w:r>
            <w:rPr>
              <w:noProof/>
              <w:lang w:val="en-US"/>
            </w:rPr>
            <w:t xml:space="preserve">Crane, A. &amp; Matten, D., 2016. </w:t>
          </w:r>
          <w:r>
            <w:rPr>
              <w:i/>
              <w:iCs/>
              <w:noProof/>
              <w:lang w:val="en-US"/>
            </w:rPr>
            <w:t xml:space="preserve">Business Ethics: Managing corporate citizenship and sustainability in the age of globalisation. </w:t>
          </w:r>
          <w:r>
            <w:rPr>
              <w:noProof/>
              <w:lang w:val="en-US"/>
            </w:rPr>
            <w:t>4th ed. Oxford: Oxford University Press.</w:t>
          </w:r>
        </w:p>
        <w:p w14:paraId="445EDE48" w14:textId="77777777" w:rsidR="00A65E65" w:rsidRDefault="00A65E65" w:rsidP="00A65E65">
          <w:pPr>
            <w:pStyle w:val="Bibliography"/>
            <w:rPr>
              <w:noProof/>
              <w:lang w:val="en-US"/>
            </w:rPr>
          </w:pPr>
        </w:p>
        <w:p w14:paraId="52FE72FB" w14:textId="07FB0797" w:rsidR="00A65E65" w:rsidRDefault="00A65E65" w:rsidP="00A65E65">
          <w:pPr>
            <w:pStyle w:val="Bibliography"/>
            <w:rPr>
              <w:noProof/>
              <w:lang w:val="en-US"/>
            </w:rPr>
          </w:pPr>
          <w:r>
            <w:rPr>
              <w:noProof/>
              <w:lang w:val="en-US"/>
            </w:rPr>
            <w:t xml:space="preserve">De Menzies, L. &amp; Kelliher, C., 2011. Flexible working and performance: a systematic review of the evidence for a business case. </w:t>
          </w:r>
          <w:r>
            <w:rPr>
              <w:i/>
              <w:iCs/>
              <w:noProof/>
              <w:lang w:val="en-US"/>
            </w:rPr>
            <w:t xml:space="preserve">International Journal of Management Reviews, </w:t>
          </w:r>
          <w:r>
            <w:rPr>
              <w:noProof/>
              <w:lang w:val="en-US"/>
            </w:rPr>
            <w:t>13(3), pp. 180-187.</w:t>
          </w:r>
        </w:p>
        <w:p w14:paraId="50C4DD24" w14:textId="77777777" w:rsidR="00A65E65" w:rsidRDefault="00A65E65" w:rsidP="00A65E65">
          <w:pPr>
            <w:pStyle w:val="Bibliography"/>
            <w:rPr>
              <w:noProof/>
              <w:lang w:val="en-US"/>
            </w:rPr>
          </w:pPr>
        </w:p>
        <w:p w14:paraId="068DDA35" w14:textId="0682535D" w:rsidR="00A65E65" w:rsidRDefault="00A65E65" w:rsidP="00A65E65">
          <w:pPr>
            <w:pStyle w:val="Bibliography"/>
            <w:rPr>
              <w:noProof/>
              <w:lang w:val="en-US"/>
            </w:rPr>
          </w:pPr>
          <w:r>
            <w:rPr>
              <w:noProof/>
              <w:lang w:val="en-US"/>
            </w:rPr>
            <w:t xml:space="preserve">Deloitte, 2019. </w:t>
          </w:r>
          <w:r>
            <w:rPr>
              <w:i/>
              <w:iCs/>
              <w:noProof/>
              <w:lang w:val="en-US"/>
            </w:rPr>
            <w:t xml:space="preserve">Leading the Social Enterprise: Reinvent with a human focus, </w:t>
          </w:r>
          <w:r>
            <w:rPr>
              <w:noProof/>
              <w:lang w:val="en-US"/>
            </w:rPr>
            <w:t>s.l.: s.n.</w:t>
          </w:r>
        </w:p>
        <w:p w14:paraId="4DF80EED" w14:textId="77777777" w:rsidR="00A65E65" w:rsidRDefault="00A65E65" w:rsidP="00A65E65">
          <w:pPr>
            <w:pStyle w:val="Bibliography"/>
            <w:rPr>
              <w:noProof/>
              <w:lang w:val="en-US"/>
            </w:rPr>
          </w:pPr>
        </w:p>
        <w:p w14:paraId="0AF8E0A0" w14:textId="2B649D6C" w:rsidR="00A65E65" w:rsidRDefault="00A65E65" w:rsidP="00A65E65">
          <w:pPr>
            <w:pStyle w:val="Bibliography"/>
            <w:rPr>
              <w:noProof/>
              <w:lang w:val="en-US"/>
            </w:rPr>
          </w:pPr>
          <w:r>
            <w:rPr>
              <w:noProof/>
              <w:lang w:val="en-US"/>
            </w:rPr>
            <w:t xml:space="preserve">Farnham, D., 2015. </w:t>
          </w:r>
          <w:r>
            <w:rPr>
              <w:i/>
              <w:iCs/>
              <w:noProof/>
              <w:lang w:val="en-US"/>
            </w:rPr>
            <w:t xml:space="preserve">Human Resource Management in Context: Insights, Strategy and Solution. </w:t>
          </w:r>
          <w:r>
            <w:rPr>
              <w:noProof/>
              <w:lang w:val="en-US"/>
            </w:rPr>
            <w:t>4th ed. London: CIPD.</w:t>
          </w:r>
        </w:p>
        <w:p w14:paraId="76926562" w14:textId="77777777" w:rsidR="00A65E65" w:rsidRDefault="00A65E65" w:rsidP="00A65E65">
          <w:pPr>
            <w:pStyle w:val="Bibliography"/>
            <w:rPr>
              <w:noProof/>
              <w:lang w:val="en-US"/>
            </w:rPr>
          </w:pPr>
        </w:p>
        <w:p w14:paraId="08CE048A" w14:textId="40617A02" w:rsidR="00A65E65" w:rsidRDefault="00A65E65" w:rsidP="00A65E65">
          <w:pPr>
            <w:pStyle w:val="Bibliography"/>
            <w:rPr>
              <w:noProof/>
              <w:lang w:val="en-US"/>
            </w:rPr>
          </w:pPr>
          <w:r>
            <w:rPr>
              <w:noProof/>
              <w:lang w:val="en-US"/>
            </w:rPr>
            <w:lastRenderedPageBreak/>
            <w:t xml:space="preserve">Francis, H. &amp; Reddington, M., 2013. Opening Spaces for Conversational Practice: A Conduit for Effective Engagement Strategies and Productive Working Arrangements. </w:t>
          </w:r>
          <w:r>
            <w:rPr>
              <w:i/>
              <w:iCs/>
              <w:noProof/>
              <w:lang w:val="en-US"/>
            </w:rPr>
            <w:t xml:space="preserve">nternational Journal of Human Resource Management, </w:t>
          </w:r>
          <w:r>
            <w:rPr>
              <w:noProof/>
              <w:lang w:val="en-US"/>
            </w:rPr>
            <w:t>24(14), pp. 2713-2740.</w:t>
          </w:r>
        </w:p>
        <w:p w14:paraId="149D5FDD" w14:textId="77777777" w:rsidR="00A65E65" w:rsidRDefault="00A65E65" w:rsidP="00A65E65">
          <w:pPr>
            <w:pStyle w:val="Bibliography"/>
            <w:rPr>
              <w:noProof/>
              <w:lang w:val="en-US"/>
            </w:rPr>
          </w:pPr>
        </w:p>
        <w:p w14:paraId="6290CE44" w14:textId="69484574" w:rsidR="00A65E65" w:rsidRDefault="00A65E65" w:rsidP="00A65E65">
          <w:pPr>
            <w:pStyle w:val="Bibliography"/>
            <w:rPr>
              <w:noProof/>
              <w:lang w:val="en-US"/>
            </w:rPr>
          </w:pPr>
          <w:r>
            <w:rPr>
              <w:noProof/>
              <w:lang w:val="en-US"/>
            </w:rPr>
            <w:t xml:space="preserve">Grint, K., 2010. </w:t>
          </w:r>
          <w:r>
            <w:rPr>
              <w:i/>
              <w:iCs/>
              <w:noProof/>
              <w:lang w:val="en-US"/>
            </w:rPr>
            <w:t xml:space="preserve">Leadership: A very short introduction. </w:t>
          </w:r>
          <w:r>
            <w:rPr>
              <w:noProof/>
              <w:lang w:val="en-US"/>
            </w:rPr>
            <w:t>1st ed. New York: Oxford University Press.</w:t>
          </w:r>
        </w:p>
        <w:p w14:paraId="0AC08966" w14:textId="77777777" w:rsidR="00A65E65" w:rsidRDefault="00A65E65" w:rsidP="00A65E65">
          <w:pPr>
            <w:pStyle w:val="Bibliography"/>
            <w:rPr>
              <w:noProof/>
              <w:lang w:val="en-US"/>
            </w:rPr>
          </w:pPr>
        </w:p>
        <w:p w14:paraId="6845E004" w14:textId="74736A43" w:rsidR="00A65E65" w:rsidRDefault="00A65E65" w:rsidP="00A65E65">
          <w:pPr>
            <w:pStyle w:val="Bibliography"/>
            <w:rPr>
              <w:noProof/>
              <w:lang w:val="en-US"/>
            </w:rPr>
          </w:pPr>
          <w:r>
            <w:rPr>
              <w:noProof/>
              <w:lang w:val="en-US"/>
            </w:rPr>
            <w:t xml:space="preserve">Guest, D., 2004. Flexible employment contracts, the psychological contract amd employee outcomes: an analysis and review of the evidence. </w:t>
          </w:r>
          <w:r>
            <w:rPr>
              <w:i/>
              <w:iCs/>
              <w:noProof/>
              <w:lang w:val="en-US"/>
            </w:rPr>
            <w:t xml:space="preserve">International Journal of Management Review, </w:t>
          </w:r>
          <w:r>
            <w:rPr>
              <w:noProof/>
              <w:lang w:val="en-US"/>
            </w:rPr>
            <w:t>5(1), pp. 1-19.</w:t>
          </w:r>
        </w:p>
        <w:p w14:paraId="69F00579" w14:textId="77777777" w:rsidR="00A65E65" w:rsidRDefault="00A65E65" w:rsidP="00A65E65">
          <w:pPr>
            <w:pStyle w:val="Bibliography"/>
            <w:rPr>
              <w:noProof/>
              <w:lang w:val="en-US"/>
            </w:rPr>
          </w:pPr>
        </w:p>
        <w:p w14:paraId="5BAFE712" w14:textId="1763C7AD" w:rsidR="00A65E65" w:rsidRDefault="00A65E65" w:rsidP="00A65E65">
          <w:pPr>
            <w:pStyle w:val="Bibliography"/>
            <w:rPr>
              <w:noProof/>
              <w:lang w:val="en-US"/>
            </w:rPr>
          </w:pPr>
          <w:r>
            <w:rPr>
              <w:noProof/>
              <w:lang w:val="en-US"/>
            </w:rPr>
            <w:t xml:space="preserve">Hersey, P., Blanchard, K. &amp; Johnson, D., 2001. </w:t>
          </w:r>
          <w:r>
            <w:rPr>
              <w:i/>
              <w:iCs/>
              <w:noProof/>
              <w:lang w:val="en-US"/>
            </w:rPr>
            <w:t xml:space="preserve">Management of organisational behaviour. </w:t>
          </w:r>
          <w:r>
            <w:rPr>
              <w:noProof/>
              <w:lang w:val="en-US"/>
            </w:rPr>
            <w:t>8th ed. London: Prentice Hall.</w:t>
          </w:r>
        </w:p>
        <w:p w14:paraId="2BDBF3E3" w14:textId="77777777" w:rsidR="00A65E65" w:rsidRDefault="00A65E65" w:rsidP="00A65E65">
          <w:pPr>
            <w:pStyle w:val="Bibliography"/>
            <w:rPr>
              <w:noProof/>
              <w:lang w:val="en-US"/>
            </w:rPr>
          </w:pPr>
        </w:p>
        <w:p w14:paraId="064093C8" w14:textId="380ED3B1" w:rsidR="00A65E65" w:rsidRDefault="00A65E65" w:rsidP="00A65E65">
          <w:pPr>
            <w:pStyle w:val="Bibliography"/>
            <w:rPr>
              <w:noProof/>
              <w:lang w:val="en-US"/>
            </w:rPr>
          </w:pPr>
          <w:r>
            <w:rPr>
              <w:noProof/>
              <w:lang w:val="en-US"/>
            </w:rPr>
            <w:t xml:space="preserve">Hogan , 2012. </w:t>
          </w:r>
          <w:r>
            <w:rPr>
              <w:i/>
              <w:iCs/>
              <w:noProof/>
              <w:lang w:val="en-US"/>
            </w:rPr>
            <w:t xml:space="preserve">Leadership: You're doing it wrong, </w:t>
          </w:r>
          <w:r>
            <w:rPr>
              <w:noProof/>
              <w:lang w:val="en-US"/>
            </w:rPr>
            <w:t>s.l.: Hogan Assessment Systems Inc.</w:t>
          </w:r>
        </w:p>
        <w:p w14:paraId="0A076E3E" w14:textId="77777777" w:rsidR="00A65E65" w:rsidRDefault="00A65E65" w:rsidP="00A65E65">
          <w:pPr>
            <w:pStyle w:val="Bibliography"/>
            <w:rPr>
              <w:noProof/>
              <w:lang w:val="en-US"/>
            </w:rPr>
          </w:pPr>
        </w:p>
        <w:p w14:paraId="767204E5" w14:textId="302802FD" w:rsidR="00A65E65" w:rsidRDefault="00A65E65" w:rsidP="00A65E65">
          <w:pPr>
            <w:pStyle w:val="Bibliography"/>
            <w:rPr>
              <w:noProof/>
              <w:lang w:val="en-US"/>
            </w:rPr>
          </w:pPr>
          <w:r>
            <w:rPr>
              <w:noProof/>
              <w:lang w:val="en-US"/>
            </w:rPr>
            <w:t xml:space="preserve">HR Magazine , 2019b. </w:t>
          </w:r>
          <w:r>
            <w:rPr>
              <w:i/>
              <w:iCs/>
              <w:noProof/>
              <w:lang w:val="en-US"/>
            </w:rPr>
            <w:t xml:space="preserve">Best CSR strategy Winner Mandarin Oriental , </w:t>
          </w:r>
          <w:r>
            <w:rPr>
              <w:noProof/>
              <w:lang w:val="en-US"/>
            </w:rPr>
            <w:t>London: HR Magazine.</w:t>
          </w:r>
        </w:p>
        <w:p w14:paraId="24DD6942" w14:textId="77777777" w:rsidR="00A65E65" w:rsidRDefault="00A65E65" w:rsidP="00A65E65">
          <w:pPr>
            <w:pStyle w:val="Bibliography"/>
            <w:rPr>
              <w:noProof/>
              <w:lang w:val="en-US"/>
            </w:rPr>
          </w:pPr>
        </w:p>
        <w:p w14:paraId="0F32A999" w14:textId="5A1CFB31" w:rsidR="00A65E65" w:rsidRDefault="00A65E65" w:rsidP="00A65E65">
          <w:pPr>
            <w:pStyle w:val="Bibliography"/>
            <w:rPr>
              <w:noProof/>
              <w:lang w:val="en-US"/>
            </w:rPr>
          </w:pPr>
          <w:r>
            <w:rPr>
              <w:noProof/>
              <w:lang w:val="en-US"/>
            </w:rPr>
            <w:t xml:space="preserve">HR Magazine, 2019. Outstanding emoloyee engagement. </w:t>
          </w:r>
          <w:r>
            <w:rPr>
              <w:i/>
              <w:iCs/>
              <w:noProof/>
              <w:lang w:val="en-US"/>
            </w:rPr>
            <w:t>HR Magazine</w:t>
          </w:r>
          <w:r>
            <w:rPr>
              <w:noProof/>
              <w:lang w:val="en-US"/>
            </w:rPr>
            <w:t>, p. 13.</w:t>
          </w:r>
        </w:p>
        <w:p w14:paraId="0FFC1312" w14:textId="77777777" w:rsidR="00A65E65" w:rsidRDefault="00A65E65" w:rsidP="00A65E65">
          <w:pPr>
            <w:pStyle w:val="Bibliography"/>
            <w:rPr>
              <w:noProof/>
              <w:lang w:val="en-US"/>
            </w:rPr>
          </w:pPr>
        </w:p>
        <w:p w14:paraId="25A11558" w14:textId="5D1BD660" w:rsidR="00A65E65" w:rsidRDefault="00A65E65" w:rsidP="00A65E65">
          <w:pPr>
            <w:pStyle w:val="Bibliography"/>
            <w:rPr>
              <w:noProof/>
              <w:lang w:val="en-US"/>
            </w:rPr>
          </w:pPr>
          <w:r>
            <w:rPr>
              <w:noProof/>
              <w:lang w:val="en-US"/>
            </w:rPr>
            <w:t xml:space="preserve">IES, 2018. </w:t>
          </w:r>
          <w:r>
            <w:rPr>
              <w:i/>
              <w:iCs/>
              <w:noProof/>
              <w:lang w:val="en-US"/>
            </w:rPr>
            <w:t xml:space="preserve">Supporting Line Managers to foster Engagement, </w:t>
          </w:r>
          <w:r>
            <w:rPr>
              <w:noProof/>
              <w:lang w:val="en-US"/>
            </w:rPr>
            <w:t>s.l.: IEs.</w:t>
          </w:r>
        </w:p>
        <w:p w14:paraId="2FBCA4BD" w14:textId="77777777" w:rsidR="00A65E65" w:rsidRDefault="00A65E65" w:rsidP="00A65E65">
          <w:pPr>
            <w:pStyle w:val="Bibliography"/>
            <w:rPr>
              <w:noProof/>
              <w:lang w:val="en-US"/>
            </w:rPr>
          </w:pPr>
          <w:r>
            <w:rPr>
              <w:noProof/>
              <w:lang w:val="en-US"/>
            </w:rPr>
            <w:t xml:space="preserve">Institute of Business Ethics, 2018. </w:t>
          </w:r>
          <w:r>
            <w:rPr>
              <w:i/>
              <w:iCs/>
              <w:noProof/>
              <w:lang w:val="en-US"/>
            </w:rPr>
            <w:t xml:space="preserve">Ethics at Work. </w:t>
          </w:r>
          <w:r>
            <w:rPr>
              <w:noProof/>
              <w:lang w:val="en-US"/>
            </w:rPr>
            <w:t xml:space="preserve">[Online] </w:t>
          </w:r>
          <w:r>
            <w:rPr>
              <w:noProof/>
              <w:lang w:val="en-US"/>
            </w:rPr>
            <w:br/>
            <w:t xml:space="preserve">Available at: </w:t>
          </w:r>
          <w:r>
            <w:rPr>
              <w:noProof/>
              <w:u w:val="single"/>
              <w:lang w:val="en-US"/>
            </w:rPr>
            <w:t>https://www.ibe.org.uk/resource/ibe-survey-report-ethics-at-work-2018-survey-of-employees-uk-int-pdf.html</w:t>
          </w:r>
          <w:r>
            <w:rPr>
              <w:noProof/>
              <w:lang w:val="en-US"/>
            </w:rPr>
            <w:br/>
            <w:t>[Accessed 19 May 2020].</w:t>
          </w:r>
        </w:p>
        <w:p w14:paraId="0BB2F007" w14:textId="77777777" w:rsidR="00A65E65" w:rsidRDefault="00A65E65" w:rsidP="00A65E65">
          <w:pPr>
            <w:pStyle w:val="Bibliography"/>
            <w:rPr>
              <w:noProof/>
              <w:lang w:val="en-US"/>
            </w:rPr>
          </w:pPr>
        </w:p>
        <w:p w14:paraId="7308C358" w14:textId="5474461F" w:rsidR="00A65E65" w:rsidRDefault="00A65E65" w:rsidP="00A65E65">
          <w:pPr>
            <w:pStyle w:val="Bibliography"/>
            <w:rPr>
              <w:noProof/>
              <w:lang w:val="en-US"/>
            </w:rPr>
          </w:pPr>
          <w:r>
            <w:rPr>
              <w:noProof/>
              <w:lang w:val="en-US"/>
            </w:rPr>
            <w:t xml:space="preserve">IWG, 2019. </w:t>
          </w:r>
          <w:r>
            <w:rPr>
              <w:i/>
              <w:iCs/>
              <w:noProof/>
              <w:lang w:val="en-US"/>
            </w:rPr>
            <w:t xml:space="preserve">Global Research shows that flexible working is now a deal breaker in the war for talent. </w:t>
          </w:r>
          <w:r>
            <w:rPr>
              <w:noProof/>
              <w:lang w:val="en-US"/>
            </w:rPr>
            <w:t xml:space="preserve">[Online] </w:t>
          </w:r>
          <w:r>
            <w:rPr>
              <w:noProof/>
              <w:lang w:val="en-US"/>
            </w:rPr>
            <w:br/>
            <w:t xml:space="preserve">Available at: </w:t>
          </w:r>
          <w:r>
            <w:rPr>
              <w:noProof/>
              <w:u w:val="single"/>
              <w:lang w:val="en-US"/>
            </w:rPr>
            <w:t>https://www.iwgplc.com/MediaCentre/PressRelease/flexible-working-is-now-a-deal-breaker-in-the-war-for-talent</w:t>
          </w:r>
        </w:p>
        <w:p w14:paraId="537D0A06" w14:textId="77777777" w:rsidR="00A65E65" w:rsidRDefault="00A65E65" w:rsidP="00A65E65">
          <w:pPr>
            <w:pStyle w:val="Bibliography"/>
            <w:rPr>
              <w:noProof/>
              <w:lang w:val="en-US"/>
            </w:rPr>
          </w:pPr>
        </w:p>
        <w:p w14:paraId="323AFB42" w14:textId="6AAEEB12" w:rsidR="00A65E65" w:rsidRDefault="00A65E65" w:rsidP="00A65E65">
          <w:pPr>
            <w:pStyle w:val="Bibliography"/>
            <w:rPr>
              <w:noProof/>
              <w:lang w:val="en-US"/>
            </w:rPr>
          </w:pPr>
          <w:r>
            <w:rPr>
              <w:noProof/>
              <w:lang w:val="en-US"/>
            </w:rPr>
            <w:t xml:space="preserve">Jackson, B. &amp; Perry, K., 2011. </w:t>
          </w:r>
          <w:r>
            <w:rPr>
              <w:i/>
              <w:iCs/>
              <w:noProof/>
              <w:lang w:val="en-US"/>
            </w:rPr>
            <w:t xml:space="preserve">A very short fairly interesting and reasonably cheap book about studying leadership. </w:t>
          </w:r>
          <w:r>
            <w:rPr>
              <w:noProof/>
              <w:lang w:val="en-US"/>
            </w:rPr>
            <w:t>2nd ed. London: Sage.</w:t>
          </w:r>
        </w:p>
        <w:p w14:paraId="4D8E2651" w14:textId="77777777" w:rsidR="00A65E65" w:rsidRDefault="00A65E65" w:rsidP="00A65E65">
          <w:pPr>
            <w:pStyle w:val="Bibliography"/>
            <w:rPr>
              <w:noProof/>
              <w:lang w:val="en-US"/>
            </w:rPr>
          </w:pPr>
        </w:p>
        <w:p w14:paraId="1BC5E939" w14:textId="7EF66503" w:rsidR="00A65E65" w:rsidRDefault="00A65E65" w:rsidP="00A65E65">
          <w:pPr>
            <w:pStyle w:val="Bibliography"/>
            <w:rPr>
              <w:noProof/>
              <w:lang w:val="en-US"/>
            </w:rPr>
          </w:pPr>
          <w:r>
            <w:rPr>
              <w:noProof/>
              <w:lang w:val="en-US"/>
            </w:rPr>
            <w:t xml:space="preserve">Jamrog, J., Vickers, M., Overholt, M. &amp; Morrison, C. L., 2008. High peroformance organisations: finding the elements of excellence.. </w:t>
          </w:r>
          <w:r>
            <w:rPr>
              <w:i/>
              <w:iCs/>
              <w:noProof/>
              <w:lang w:val="en-US"/>
            </w:rPr>
            <w:t xml:space="preserve">The Human Resource Planning Society Journal, </w:t>
          </w:r>
          <w:r>
            <w:rPr>
              <w:noProof/>
              <w:lang w:val="en-US"/>
            </w:rPr>
            <w:t>31(1), pp. 20-38.</w:t>
          </w:r>
        </w:p>
        <w:p w14:paraId="57A2558C" w14:textId="77777777" w:rsidR="00A65E65" w:rsidRDefault="00A65E65" w:rsidP="00A65E65">
          <w:pPr>
            <w:pStyle w:val="Bibliography"/>
            <w:rPr>
              <w:noProof/>
              <w:lang w:val="en-US"/>
            </w:rPr>
          </w:pPr>
        </w:p>
        <w:p w14:paraId="1290E5CF" w14:textId="6160BF93" w:rsidR="00A65E65" w:rsidRDefault="00A65E65" w:rsidP="00A65E65">
          <w:pPr>
            <w:pStyle w:val="Bibliography"/>
            <w:rPr>
              <w:noProof/>
              <w:lang w:val="en-US"/>
            </w:rPr>
          </w:pPr>
          <w:r>
            <w:rPr>
              <w:noProof/>
              <w:lang w:val="en-US"/>
            </w:rPr>
            <w:t xml:space="preserve">Johnson, G., Scholes, K. &amp; Whittington, R., 2011. </w:t>
          </w:r>
          <w:r>
            <w:rPr>
              <w:i/>
              <w:iCs/>
              <w:noProof/>
              <w:lang w:val="en-US"/>
            </w:rPr>
            <w:t xml:space="preserve">Exploring Corporate Strategy. </w:t>
          </w:r>
          <w:r>
            <w:rPr>
              <w:noProof/>
              <w:lang w:val="en-US"/>
            </w:rPr>
            <w:t>8th ed. London: FT/Outnab.</w:t>
          </w:r>
        </w:p>
        <w:p w14:paraId="1269744D" w14:textId="77777777" w:rsidR="00A65E65" w:rsidRDefault="00A65E65" w:rsidP="00A65E65">
          <w:pPr>
            <w:pStyle w:val="Bibliography"/>
            <w:rPr>
              <w:noProof/>
              <w:lang w:val="en-US"/>
            </w:rPr>
          </w:pPr>
        </w:p>
        <w:p w14:paraId="5BCCEF38" w14:textId="09B8D253" w:rsidR="00A65E65" w:rsidRDefault="00A65E65" w:rsidP="00A65E65">
          <w:pPr>
            <w:pStyle w:val="Bibliography"/>
            <w:rPr>
              <w:noProof/>
              <w:lang w:val="en-US"/>
            </w:rPr>
          </w:pPr>
          <w:r>
            <w:rPr>
              <w:noProof/>
              <w:lang w:val="en-US"/>
            </w:rPr>
            <w:t xml:space="preserve">Kahn, W., 1990. Psychological conditions of personal engagement and disengagement at work. </w:t>
          </w:r>
          <w:r>
            <w:rPr>
              <w:i/>
              <w:iCs/>
              <w:noProof/>
              <w:lang w:val="en-US"/>
            </w:rPr>
            <w:t xml:space="preserve">Academy of Management Journal, </w:t>
          </w:r>
          <w:r>
            <w:rPr>
              <w:noProof/>
              <w:lang w:val="en-US"/>
            </w:rPr>
            <w:t>33(4), pp. 268-79.</w:t>
          </w:r>
        </w:p>
        <w:p w14:paraId="67254D8D" w14:textId="77777777" w:rsidR="00A65E65" w:rsidRDefault="00A65E65" w:rsidP="00A65E65">
          <w:pPr>
            <w:pStyle w:val="Bibliography"/>
            <w:rPr>
              <w:noProof/>
              <w:lang w:val="en-US"/>
            </w:rPr>
          </w:pPr>
        </w:p>
        <w:p w14:paraId="600219F3" w14:textId="729F5FA6" w:rsidR="00A65E65" w:rsidRDefault="00A65E65" w:rsidP="00A65E65">
          <w:pPr>
            <w:pStyle w:val="Bibliography"/>
            <w:rPr>
              <w:noProof/>
              <w:lang w:val="en-US"/>
            </w:rPr>
          </w:pPr>
          <w:r>
            <w:rPr>
              <w:noProof/>
              <w:lang w:val="en-US"/>
            </w:rPr>
            <w:t xml:space="preserve">Kubler-Ross, E., 2019. </w:t>
          </w:r>
          <w:r>
            <w:rPr>
              <w:i/>
              <w:iCs/>
              <w:noProof/>
              <w:lang w:val="en-US"/>
            </w:rPr>
            <w:t xml:space="preserve">The change curve. </w:t>
          </w:r>
          <w:r>
            <w:rPr>
              <w:noProof/>
              <w:lang w:val="en-US"/>
            </w:rPr>
            <w:t xml:space="preserve">[Online] </w:t>
          </w:r>
          <w:r>
            <w:rPr>
              <w:noProof/>
              <w:lang w:val="en-US"/>
            </w:rPr>
            <w:br/>
            <w:t xml:space="preserve">Available at: </w:t>
          </w:r>
          <w:r>
            <w:rPr>
              <w:noProof/>
              <w:u w:val="single"/>
              <w:lang w:val="en-US"/>
            </w:rPr>
            <w:t>https://www.exeter.ac.uk/media/universityofexeter/humanresources/documents/learning</w:t>
          </w:r>
          <w:r>
            <w:rPr>
              <w:noProof/>
              <w:u w:val="single"/>
              <w:lang w:val="en-US"/>
            </w:rPr>
            <w:lastRenderedPageBreak/>
            <w:t>development/the_change_curve.pdf</w:t>
          </w:r>
          <w:r>
            <w:rPr>
              <w:noProof/>
              <w:lang w:val="en-US"/>
            </w:rPr>
            <w:br/>
            <w:t>[Accessed 20 May 2020].</w:t>
          </w:r>
        </w:p>
        <w:p w14:paraId="7E1335B8" w14:textId="77777777" w:rsidR="00A65E65" w:rsidRDefault="00A65E65" w:rsidP="00A65E65">
          <w:pPr>
            <w:pStyle w:val="Bibliography"/>
            <w:rPr>
              <w:noProof/>
              <w:lang w:val="en-US"/>
            </w:rPr>
          </w:pPr>
        </w:p>
        <w:p w14:paraId="4BAA5A9D" w14:textId="1D1D09F1" w:rsidR="00A65E65" w:rsidRDefault="00A65E65" w:rsidP="00A65E65">
          <w:pPr>
            <w:pStyle w:val="Bibliography"/>
            <w:rPr>
              <w:noProof/>
              <w:lang w:val="en-US"/>
            </w:rPr>
          </w:pPr>
          <w:r>
            <w:rPr>
              <w:noProof/>
              <w:lang w:val="en-US"/>
            </w:rPr>
            <w:t xml:space="preserve">Lewin, K., 1951. </w:t>
          </w:r>
          <w:r>
            <w:rPr>
              <w:i/>
              <w:iCs/>
              <w:noProof/>
              <w:lang w:val="en-US"/>
            </w:rPr>
            <w:t xml:space="preserve">Field theory in social science. </w:t>
          </w:r>
          <w:r>
            <w:rPr>
              <w:noProof/>
              <w:lang w:val="en-US"/>
            </w:rPr>
            <w:t>New York: Harper &amp; Row.</w:t>
          </w:r>
        </w:p>
        <w:p w14:paraId="32A5FB32" w14:textId="77777777" w:rsidR="00A65E65" w:rsidRDefault="00A65E65" w:rsidP="00A65E65">
          <w:pPr>
            <w:pStyle w:val="Bibliography"/>
            <w:rPr>
              <w:noProof/>
              <w:lang w:val="en-US"/>
            </w:rPr>
          </w:pPr>
        </w:p>
        <w:p w14:paraId="616322FB" w14:textId="4200C583" w:rsidR="00A65E65" w:rsidRDefault="00A65E65" w:rsidP="00A65E65">
          <w:pPr>
            <w:pStyle w:val="Bibliography"/>
            <w:rPr>
              <w:noProof/>
              <w:lang w:val="en-US"/>
            </w:rPr>
          </w:pPr>
          <w:r>
            <w:rPr>
              <w:noProof/>
              <w:lang w:val="en-US"/>
            </w:rPr>
            <w:t xml:space="preserve">Lewis, R., Donaldson-Feilder, E. &amp; Tharani, T., 2011. </w:t>
          </w:r>
          <w:r>
            <w:rPr>
              <w:i/>
              <w:iCs/>
              <w:noProof/>
              <w:lang w:val="en-US"/>
            </w:rPr>
            <w:t xml:space="preserve">Management competencies for enhancing employee engagement. </w:t>
          </w:r>
          <w:r>
            <w:rPr>
              <w:noProof/>
              <w:lang w:val="en-US"/>
            </w:rPr>
            <w:t>London: CIPD.</w:t>
          </w:r>
        </w:p>
        <w:p w14:paraId="0A306264" w14:textId="77777777" w:rsidR="00A65E65" w:rsidRDefault="00A65E65" w:rsidP="00A65E65">
          <w:pPr>
            <w:pStyle w:val="Bibliography"/>
            <w:rPr>
              <w:noProof/>
              <w:lang w:val="en-US"/>
            </w:rPr>
          </w:pPr>
        </w:p>
        <w:p w14:paraId="3341F13E" w14:textId="24A28761" w:rsidR="00A65E65" w:rsidRDefault="00A65E65" w:rsidP="00A65E65">
          <w:pPr>
            <w:pStyle w:val="Bibliography"/>
            <w:rPr>
              <w:noProof/>
              <w:lang w:val="en-US"/>
            </w:rPr>
          </w:pPr>
          <w:r>
            <w:rPr>
              <w:noProof/>
              <w:lang w:val="en-US"/>
            </w:rPr>
            <w:t xml:space="preserve">Macloed, D. &amp; Clark, N., 2009. </w:t>
          </w:r>
          <w:r>
            <w:rPr>
              <w:i/>
              <w:iCs/>
              <w:noProof/>
              <w:lang w:val="en-US"/>
            </w:rPr>
            <w:t xml:space="preserve">Engaging for success: Enhancing performance through employee engagement. </w:t>
          </w:r>
          <w:r>
            <w:rPr>
              <w:noProof/>
              <w:lang w:val="en-US"/>
            </w:rPr>
            <w:t>London: s.n.</w:t>
          </w:r>
        </w:p>
        <w:p w14:paraId="692337A2" w14:textId="77777777" w:rsidR="00A65E65" w:rsidRDefault="00A65E65" w:rsidP="00A65E65">
          <w:pPr>
            <w:pStyle w:val="Bibliography"/>
            <w:rPr>
              <w:noProof/>
              <w:lang w:val="en-US"/>
            </w:rPr>
          </w:pPr>
        </w:p>
        <w:p w14:paraId="03D0AD3F" w14:textId="7D3B5B1C" w:rsidR="00A65E65" w:rsidRDefault="00A65E65" w:rsidP="00A65E65">
          <w:pPr>
            <w:pStyle w:val="Bibliography"/>
            <w:rPr>
              <w:noProof/>
              <w:lang w:val="en-US"/>
            </w:rPr>
          </w:pPr>
          <w:r>
            <w:rPr>
              <w:noProof/>
              <w:lang w:val="en-US"/>
            </w:rPr>
            <w:t xml:space="preserve">Maslach, C., Schaufeli, W. B. &amp; Leiter, M. P., 2001. Job burnout. </w:t>
          </w:r>
          <w:r>
            <w:rPr>
              <w:i/>
              <w:iCs/>
              <w:noProof/>
              <w:lang w:val="en-US"/>
            </w:rPr>
            <w:t xml:space="preserve">Annual Review of Psychology, </w:t>
          </w:r>
          <w:r>
            <w:rPr>
              <w:noProof/>
              <w:lang w:val="en-US"/>
            </w:rPr>
            <w:t>Volume 52, pp. 397-422.</w:t>
          </w:r>
        </w:p>
        <w:p w14:paraId="10A7DB56" w14:textId="77777777" w:rsidR="00A65E65" w:rsidRDefault="00A65E65" w:rsidP="00A65E65">
          <w:pPr>
            <w:pStyle w:val="Bibliography"/>
            <w:rPr>
              <w:noProof/>
              <w:lang w:val="en-US"/>
            </w:rPr>
          </w:pPr>
        </w:p>
        <w:p w14:paraId="7792F591" w14:textId="071A2270" w:rsidR="00A65E65" w:rsidRDefault="00A65E65" w:rsidP="00A65E65">
          <w:pPr>
            <w:pStyle w:val="Bibliography"/>
            <w:rPr>
              <w:noProof/>
              <w:lang w:val="en-US"/>
            </w:rPr>
          </w:pPr>
          <w:r>
            <w:rPr>
              <w:noProof/>
              <w:lang w:val="en-US"/>
            </w:rPr>
            <w:t xml:space="preserve">McLeod, D. &amp; Clarke, N., 2019. </w:t>
          </w:r>
          <w:r>
            <w:rPr>
              <w:i/>
              <w:iCs/>
              <w:noProof/>
              <w:lang w:val="en-US"/>
            </w:rPr>
            <w:t xml:space="preserve">Engage for Success. </w:t>
          </w:r>
          <w:r>
            <w:rPr>
              <w:noProof/>
              <w:lang w:val="en-US"/>
            </w:rPr>
            <w:t xml:space="preserve">[Online] </w:t>
          </w:r>
          <w:r>
            <w:rPr>
              <w:noProof/>
              <w:lang w:val="en-US"/>
            </w:rPr>
            <w:br/>
            <w:t xml:space="preserve">Available at: </w:t>
          </w:r>
          <w:r>
            <w:rPr>
              <w:noProof/>
              <w:u w:val="single"/>
              <w:lang w:val="en-US"/>
            </w:rPr>
            <w:t>https://engageforsuccess.org/employee-voice</w:t>
          </w:r>
          <w:r>
            <w:rPr>
              <w:noProof/>
              <w:lang w:val="en-US"/>
            </w:rPr>
            <w:br/>
            <w:t>[Accessed 20 May 2020].</w:t>
          </w:r>
        </w:p>
        <w:p w14:paraId="2709404F" w14:textId="77777777" w:rsidR="00A65E65" w:rsidRDefault="00A65E65" w:rsidP="00A65E65">
          <w:pPr>
            <w:pStyle w:val="Bibliography"/>
            <w:rPr>
              <w:noProof/>
              <w:lang w:val="en-US"/>
            </w:rPr>
          </w:pPr>
        </w:p>
        <w:p w14:paraId="5BE3B7E8" w14:textId="12963202" w:rsidR="00A65E65" w:rsidRDefault="00A65E65" w:rsidP="00A65E65">
          <w:pPr>
            <w:pStyle w:val="Bibliography"/>
            <w:rPr>
              <w:noProof/>
              <w:lang w:val="en-US"/>
            </w:rPr>
          </w:pPr>
          <w:r>
            <w:rPr>
              <w:noProof/>
              <w:lang w:val="en-US"/>
            </w:rPr>
            <w:t xml:space="preserve">Mercer, 2015. </w:t>
          </w:r>
          <w:r>
            <w:rPr>
              <w:i/>
              <w:iCs/>
              <w:noProof/>
              <w:lang w:val="en-US"/>
            </w:rPr>
            <w:t xml:space="preserve">The Future of HR, </w:t>
          </w:r>
          <w:r>
            <w:rPr>
              <w:noProof/>
              <w:lang w:val="en-US"/>
            </w:rPr>
            <w:t>s.l.: s.n.</w:t>
          </w:r>
        </w:p>
        <w:p w14:paraId="541F1972" w14:textId="77777777" w:rsidR="00A65E65" w:rsidRDefault="00A65E65" w:rsidP="00A65E65">
          <w:pPr>
            <w:pStyle w:val="Bibliography"/>
            <w:rPr>
              <w:noProof/>
              <w:lang w:val="en-US"/>
            </w:rPr>
          </w:pPr>
        </w:p>
        <w:p w14:paraId="4A131F6A" w14:textId="28F4D86A" w:rsidR="00A65E65" w:rsidRDefault="00A65E65" w:rsidP="00A65E65">
          <w:pPr>
            <w:pStyle w:val="Bibliography"/>
            <w:rPr>
              <w:noProof/>
              <w:lang w:val="en-US"/>
            </w:rPr>
          </w:pPr>
          <w:r>
            <w:rPr>
              <w:noProof/>
              <w:lang w:val="en-US"/>
            </w:rPr>
            <w:t xml:space="preserve">Mullins, L., 2007. </w:t>
          </w:r>
          <w:r>
            <w:rPr>
              <w:i/>
              <w:iCs/>
              <w:noProof/>
              <w:lang w:val="en-US"/>
            </w:rPr>
            <w:t xml:space="preserve">Management and Organisational Behaviour. </w:t>
          </w:r>
          <w:r>
            <w:rPr>
              <w:noProof/>
              <w:lang w:val="en-US"/>
            </w:rPr>
            <w:t>8th ed. Harlow: Pearson.</w:t>
          </w:r>
        </w:p>
        <w:p w14:paraId="12A2DD02" w14:textId="77777777" w:rsidR="00A65E65" w:rsidRDefault="00A65E65" w:rsidP="00A65E65">
          <w:pPr>
            <w:pStyle w:val="Bibliography"/>
            <w:rPr>
              <w:noProof/>
              <w:lang w:val="en-US"/>
            </w:rPr>
          </w:pPr>
        </w:p>
        <w:p w14:paraId="5AA90112" w14:textId="48201A6F" w:rsidR="00A65E65" w:rsidRDefault="00A65E65" w:rsidP="00A65E65">
          <w:pPr>
            <w:pStyle w:val="Bibliography"/>
            <w:rPr>
              <w:noProof/>
              <w:lang w:val="en-US"/>
            </w:rPr>
          </w:pPr>
          <w:r>
            <w:rPr>
              <w:noProof/>
              <w:lang w:val="en-US"/>
            </w:rPr>
            <w:t xml:space="preserve">Paul, K., 2019. </w:t>
          </w:r>
          <w:r>
            <w:rPr>
              <w:i/>
              <w:iCs/>
              <w:noProof/>
              <w:lang w:val="en-US"/>
            </w:rPr>
            <w:t xml:space="preserve">Microsoft Japan tested a four day work week and productivity jumped by 40%. </w:t>
          </w:r>
          <w:r>
            <w:rPr>
              <w:noProof/>
              <w:lang w:val="en-US"/>
            </w:rPr>
            <w:t xml:space="preserve">[Online] </w:t>
          </w:r>
          <w:r>
            <w:rPr>
              <w:noProof/>
              <w:lang w:val="en-US"/>
            </w:rPr>
            <w:br/>
            <w:t xml:space="preserve">Available at: </w:t>
          </w:r>
          <w:r>
            <w:rPr>
              <w:noProof/>
              <w:u w:val="single"/>
              <w:lang w:val="en-US"/>
            </w:rPr>
            <w:t>https://www.theguardian.com/technology/2019/nov/04/microsoft-japan-four-day-work-week-productivity?CMP=fb_gu&amp;utm_medium=Social&amp;utm_source=Facebook&amp;fbclid=IwAR0QHfLdwF53oBP71Dx3mIflBlGYW--tCD-OowjcOsjhW-aKCb7-x0S5oNM#Echobox=1572905928</w:t>
          </w:r>
          <w:r>
            <w:rPr>
              <w:noProof/>
              <w:lang w:val="en-US"/>
            </w:rPr>
            <w:br/>
            <w:t>[Accessed 20 May 2020].</w:t>
          </w:r>
        </w:p>
        <w:p w14:paraId="1FEFD4E4" w14:textId="77777777" w:rsidR="00A65E65" w:rsidRDefault="00A65E65" w:rsidP="00A65E65">
          <w:pPr>
            <w:pStyle w:val="Bibliography"/>
            <w:rPr>
              <w:noProof/>
              <w:lang w:val="en-US"/>
            </w:rPr>
          </w:pPr>
        </w:p>
        <w:p w14:paraId="209AE808" w14:textId="0D05508C" w:rsidR="00A65E65" w:rsidRDefault="00A65E65" w:rsidP="00A65E65">
          <w:pPr>
            <w:pStyle w:val="Bibliography"/>
            <w:rPr>
              <w:noProof/>
              <w:lang w:val="en-US"/>
            </w:rPr>
          </w:pPr>
          <w:r>
            <w:rPr>
              <w:noProof/>
              <w:lang w:val="en-US"/>
            </w:rPr>
            <w:t>People Management, 2020. The key to happy staff and patients is many leaders not few. February, pp. 22-23.</w:t>
          </w:r>
        </w:p>
        <w:p w14:paraId="418AFD7D" w14:textId="77777777" w:rsidR="00A65E65" w:rsidRDefault="00A65E65" w:rsidP="00A65E65">
          <w:pPr>
            <w:pStyle w:val="Bibliography"/>
            <w:rPr>
              <w:noProof/>
              <w:lang w:val="en-US"/>
            </w:rPr>
          </w:pPr>
        </w:p>
        <w:p w14:paraId="71C4423C" w14:textId="4EC6F3FD" w:rsidR="00A65E65" w:rsidRDefault="00A65E65" w:rsidP="00A65E65">
          <w:pPr>
            <w:pStyle w:val="Bibliography"/>
            <w:rPr>
              <w:noProof/>
              <w:lang w:val="en-US"/>
            </w:rPr>
          </w:pPr>
          <w:r>
            <w:rPr>
              <w:noProof/>
              <w:lang w:val="en-US"/>
            </w:rPr>
            <w:t xml:space="preserve">Pitcher, G., 2008. Backlash against HR business partner model. </w:t>
          </w:r>
          <w:r>
            <w:rPr>
              <w:i/>
              <w:iCs/>
              <w:noProof/>
              <w:lang w:val="en-US"/>
            </w:rPr>
            <w:t>Personnel Today.</w:t>
          </w:r>
        </w:p>
        <w:p w14:paraId="798086F9" w14:textId="77777777" w:rsidR="00A65E65" w:rsidRDefault="00A65E65" w:rsidP="00A65E65">
          <w:pPr>
            <w:pStyle w:val="Bibliography"/>
            <w:rPr>
              <w:noProof/>
              <w:lang w:val="en-US"/>
            </w:rPr>
          </w:pPr>
        </w:p>
        <w:p w14:paraId="112DF501" w14:textId="0C2B7051" w:rsidR="00A65E65" w:rsidRDefault="00A65E65" w:rsidP="00A65E65">
          <w:pPr>
            <w:pStyle w:val="Bibliography"/>
            <w:rPr>
              <w:noProof/>
              <w:lang w:val="en-US"/>
            </w:rPr>
          </w:pPr>
          <w:r>
            <w:rPr>
              <w:noProof/>
              <w:lang w:val="en-US"/>
            </w:rPr>
            <w:t xml:space="preserve">Porter, M. &amp; Kramer, M. R., 2006. Strategy and Society: the link between competitive advantage and corporate social responsibility. </w:t>
          </w:r>
          <w:r>
            <w:rPr>
              <w:i/>
              <w:iCs/>
              <w:noProof/>
              <w:lang w:val="en-US"/>
            </w:rPr>
            <w:t xml:space="preserve">Harvard Business Review, </w:t>
          </w:r>
          <w:r>
            <w:rPr>
              <w:noProof/>
              <w:lang w:val="en-US"/>
            </w:rPr>
            <w:t>84(12), pp. 78-92.</w:t>
          </w:r>
        </w:p>
        <w:p w14:paraId="36F66D36" w14:textId="77777777" w:rsidR="00A65E65" w:rsidRDefault="00A65E65" w:rsidP="00A65E65">
          <w:pPr>
            <w:pStyle w:val="Bibliography"/>
            <w:rPr>
              <w:noProof/>
              <w:lang w:val="en-US"/>
            </w:rPr>
          </w:pPr>
        </w:p>
        <w:p w14:paraId="2B1CEEEC" w14:textId="52C6FD76" w:rsidR="00A65E65" w:rsidRDefault="00A65E65" w:rsidP="00A65E65">
          <w:pPr>
            <w:pStyle w:val="Bibliography"/>
            <w:rPr>
              <w:noProof/>
              <w:lang w:val="en-US"/>
            </w:rPr>
          </w:pPr>
          <w:r>
            <w:rPr>
              <w:noProof/>
              <w:lang w:val="en-US"/>
            </w:rPr>
            <w:t xml:space="preserve">Rees, G. &amp; French, R., 2016. </w:t>
          </w:r>
          <w:r>
            <w:rPr>
              <w:i/>
              <w:iCs/>
              <w:noProof/>
              <w:lang w:val="en-US"/>
            </w:rPr>
            <w:t xml:space="preserve">Leading, Managing and Developing People. </w:t>
          </w:r>
          <w:r>
            <w:rPr>
              <w:noProof/>
              <w:lang w:val="en-US"/>
            </w:rPr>
            <w:t>5th ed. London: CIPD.</w:t>
          </w:r>
        </w:p>
        <w:p w14:paraId="75D0A38B" w14:textId="77777777" w:rsidR="00A65E65" w:rsidRDefault="00A65E65" w:rsidP="00A65E65">
          <w:pPr>
            <w:pStyle w:val="Bibliography"/>
            <w:rPr>
              <w:noProof/>
              <w:lang w:val="en-US"/>
            </w:rPr>
          </w:pPr>
        </w:p>
        <w:p w14:paraId="1006991F" w14:textId="26C88630" w:rsidR="00A65E65" w:rsidRDefault="00A65E65" w:rsidP="00A65E65">
          <w:pPr>
            <w:pStyle w:val="Bibliography"/>
            <w:rPr>
              <w:noProof/>
              <w:lang w:val="en-US"/>
            </w:rPr>
          </w:pPr>
          <w:r>
            <w:rPr>
              <w:noProof/>
              <w:lang w:val="en-US"/>
            </w:rPr>
            <w:t xml:space="preserve">Robinson, D., 2013. </w:t>
          </w:r>
          <w:r>
            <w:rPr>
              <w:i/>
              <w:iCs/>
              <w:noProof/>
              <w:lang w:val="en-US"/>
            </w:rPr>
            <w:t xml:space="preserve">hE EngagIng ManagEr SErIES The engaging manager and sticky situations, </w:t>
          </w:r>
          <w:r>
            <w:rPr>
              <w:noProof/>
              <w:lang w:val="en-US"/>
            </w:rPr>
            <w:t>Brighton: IES.</w:t>
          </w:r>
        </w:p>
        <w:p w14:paraId="22B47C54" w14:textId="77777777" w:rsidR="00A65E65" w:rsidRDefault="00A65E65" w:rsidP="00A65E65">
          <w:pPr>
            <w:pStyle w:val="Bibliography"/>
            <w:rPr>
              <w:noProof/>
              <w:lang w:val="en-US"/>
            </w:rPr>
          </w:pPr>
        </w:p>
        <w:p w14:paraId="682CF561" w14:textId="601F0FF8" w:rsidR="00A65E65" w:rsidRDefault="00A65E65" w:rsidP="00A65E65">
          <w:pPr>
            <w:pStyle w:val="Bibliography"/>
            <w:rPr>
              <w:noProof/>
              <w:lang w:val="en-US"/>
            </w:rPr>
          </w:pPr>
          <w:r>
            <w:rPr>
              <w:noProof/>
              <w:lang w:val="en-US"/>
            </w:rPr>
            <w:t xml:space="preserve">Robinson, D. &amp; Gifford, J., 2014. </w:t>
          </w:r>
          <w:r>
            <w:rPr>
              <w:i/>
              <w:iCs/>
              <w:noProof/>
              <w:lang w:val="en-US"/>
            </w:rPr>
            <w:t xml:space="preserve">The Future of Engagement Thought Piece Collection, </w:t>
          </w:r>
          <w:r>
            <w:rPr>
              <w:noProof/>
              <w:lang w:val="en-US"/>
            </w:rPr>
            <w:t>Brighton: IES.</w:t>
          </w:r>
        </w:p>
        <w:p w14:paraId="3C7329A8" w14:textId="77777777" w:rsidR="00A65E65" w:rsidRDefault="00A65E65" w:rsidP="00A65E65">
          <w:pPr>
            <w:pStyle w:val="Bibliography"/>
            <w:rPr>
              <w:noProof/>
              <w:lang w:val="en-US"/>
            </w:rPr>
          </w:pPr>
        </w:p>
        <w:p w14:paraId="1FCE7025" w14:textId="01127730" w:rsidR="00A65E65" w:rsidRDefault="00A65E65" w:rsidP="00A65E65">
          <w:pPr>
            <w:pStyle w:val="Bibliography"/>
            <w:rPr>
              <w:noProof/>
              <w:lang w:val="en-US"/>
            </w:rPr>
          </w:pPr>
          <w:r>
            <w:rPr>
              <w:noProof/>
              <w:lang w:val="en-US"/>
            </w:rPr>
            <w:lastRenderedPageBreak/>
            <w:t xml:space="preserve">Rosener, J., 1990. Ways women lead. </w:t>
          </w:r>
          <w:r>
            <w:rPr>
              <w:i/>
              <w:iCs/>
              <w:noProof/>
              <w:lang w:val="en-US"/>
            </w:rPr>
            <w:t xml:space="preserve">Havard Business Review, </w:t>
          </w:r>
          <w:r>
            <w:rPr>
              <w:noProof/>
              <w:lang w:val="en-US"/>
            </w:rPr>
            <w:t>pp. 119-125.</w:t>
          </w:r>
        </w:p>
        <w:p w14:paraId="4DB0F01E" w14:textId="77777777" w:rsidR="00A65E65" w:rsidRDefault="00A65E65" w:rsidP="00A65E65">
          <w:pPr>
            <w:pStyle w:val="Bibliography"/>
            <w:rPr>
              <w:noProof/>
              <w:lang w:val="en-US"/>
            </w:rPr>
          </w:pPr>
          <w:r>
            <w:rPr>
              <w:noProof/>
              <w:lang w:val="en-US"/>
            </w:rPr>
            <w:t xml:space="preserve">Sage, 2019. </w:t>
          </w:r>
          <w:r>
            <w:rPr>
              <w:i/>
              <w:iCs/>
              <w:noProof/>
              <w:lang w:val="en-US"/>
            </w:rPr>
            <w:t xml:space="preserve">The changing face of HR, </w:t>
          </w:r>
          <w:r>
            <w:rPr>
              <w:noProof/>
              <w:lang w:val="en-US"/>
            </w:rPr>
            <w:t>s.l.: Sage People.</w:t>
          </w:r>
        </w:p>
        <w:p w14:paraId="2C202EDA" w14:textId="77777777" w:rsidR="00A65E65" w:rsidRDefault="00A65E65" w:rsidP="00A65E65">
          <w:pPr>
            <w:pStyle w:val="Bibliography"/>
            <w:rPr>
              <w:noProof/>
              <w:lang w:val="en-US"/>
            </w:rPr>
          </w:pPr>
        </w:p>
        <w:p w14:paraId="17F87CFA" w14:textId="2911D4DF" w:rsidR="00A65E65" w:rsidRDefault="00A65E65" w:rsidP="00A65E65">
          <w:pPr>
            <w:pStyle w:val="Bibliography"/>
            <w:rPr>
              <w:noProof/>
              <w:lang w:val="en-US"/>
            </w:rPr>
          </w:pPr>
          <w:r>
            <w:rPr>
              <w:noProof/>
              <w:lang w:val="en-US"/>
            </w:rPr>
            <w:t xml:space="preserve">Schein, E., 1997. </w:t>
          </w:r>
          <w:r>
            <w:rPr>
              <w:i/>
              <w:iCs/>
              <w:noProof/>
              <w:lang w:val="en-US"/>
            </w:rPr>
            <w:t xml:space="preserve">Organisational Culture and Leadership. </w:t>
          </w:r>
          <w:r>
            <w:rPr>
              <w:noProof/>
              <w:lang w:val="en-US"/>
            </w:rPr>
            <w:t>1st ed. San Francisco: Josey-Bass.</w:t>
          </w:r>
        </w:p>
        <w:p w14:paraId="742B29FA" w14:textId="77777777" w:rsidR="00A65E65" w:rsidRDefault="00A65E65" w:rsidP="00A65E65">
          <w:pPr>
            <w:pStyle w:val="Bibliography"/>
            <w:rPr>
              <w:noProof/>
              <w:lang w:val="en-US"/>
            </w:rPr>
          </w:pPr>
        </w:p>
        <w:p w14:paraId="32DF40A3" w14:textId="69B231BE" w:rsidR="00A65E65" w:rsidRDefault="00A65E65" w:rsidP="00A65E65">
          <w:pPr>
            <w:pStyle w:val="Bibliography"/>
            <w:rPr>
              <w:noProof/>
              <w:lang w:val="en-US"/>
            </w:rPr>
          </w:pPr>
          <w:r>
            <w:rPr>
              <w:noProof/>
              <w:lang w:val="en-US"/>
            </w:rPr>
            <w:t xml:space="preserve">Schwartz, J., 2019. Reframing the future of work. </w:t>
          </w:r>
          <w:r>
            <w:rPr>
              <w:i/>
              <w:iCs/>
              <w:noProof/>
              <w:lang w:val="en-US"/>
            </w:rPr>
            <w:t>MIT Sloan Management Review</w:t>
          </w:r>
          <w:r>
            <w:rPr>
              <w:noProof/>
              <w:lang w:val="en-US"/>
            </w:rPr>
            <w:t xml:space="preserve">, 20 February. </w:t>
          </w:r>
        </w:p>
        <w:p w14:paraId="203B91B6" w14:textId="77777777" w:rsidR="00A65E65" w:rsidRDefault="00A65E65" w:rsidP="00A65E65">
          <w:pPr>
            <w:pStyle w:val="Bibliography"/>
            <w:rPr>
              <w:noProof/>
              <w:lang w:val="en-US"/>
            </w:rPr>
          </w:pPr>
        </w:p>
        <w:p w14:paraId="39BF816F" w14:textId="36F64180" w:rsidR="00A65E65" w:rsidRDefault="00A65E65" w:rsidP="00A65E65">
          <w:pPr>
            <w:pStyle w:val="Bibliography"/>
            <w:rPr>
              <w:noProof/>
              <w:lang w:val="en-US"/>
            </w:rPr>
          </w:pPr>
          <w:r>
            <w:rPr>
              <w:noProof/>
              <w:lang w:val="en-US"/>
            </w:rPr>
            <w:t xml:space="preserve">Sturt, D. &amp; Nordstrom, T., 2018. mployee experience vs. engagement, and 3 things you should start thinking about now. </w:t>
          </w:r>
          <w:r>
            <w:rPr>
              <w:i/>
              <w:iCs/>
              <w:noProof/>
              <w:lang w:val="en-US"/>
            </w:rPr>
            <w:t>Forbes</w:t>
          </w:r>
          <w:r>
            <w:rPr>
              <w:noProof/>
              <w:lang w:val="en-US"/>
            </w:rPr>
            <w:t xml:space="preserve">, 18 May. </w:t>
          </w:r>
        </w:p>
        <w:p w14:paraId="609339D4" w14:textId="77777777" w:rsidR="00A65E65" w:rsidRDefault="00A65E65" w:rsidP="00A65E65">
          <w:pPr>
            <w:pStyle w:val="Bibliography"/>
            <w:rPr>
              <w:noProof/>
              <w:lang w:val="en-US"/>
            </w:rPr>
          </w:pPr>
        </w:p>
        <w:p w14:paraId="02D55F76" w14:textId="2851AE2A" w:rsidR="00A65E65" w:rsidRDefault="00A65E65" w:rsidP="00A65E65">
          <w:pPr>
            <w:pStyle w:val="Bibliography"/>
            <w:rPr>
              <w:noProof/>
              <w:lang w:val="en-US"/>
            </w:rPr>
          </w:pPr>
          <w:r>
            <w:rPr>
              <w:noProof/>
              <w:lang w:val="en-US"/>
            </w:rPr>
            <w:t xml:space="preserve">Tannenbaum, R. &amp; Schmidt, W. H., 1973. How to choose a leadership pattern. </w:t>
          </w:r>
          <w:r>
            <w:rPr>
              <w:i/>
              <w:iCs/>
              <w:noProof/>
              <w:lang w:val="en-US"/>
            </w:rPr>
            <w:t xml:space="preserve">Havard Business Review, </w:t>
          </w:r>
          <w:r>
            <w:rPr>
              <w:noProof/>
              <w:lang w:val="en-US"/>
            </w:rPr>
            <w:t>27(1), pp. 162-180.</w:t>
          </w:r>
        </w:p>
        <w:p w14:paraId="264FE10D" w14:textId="77777777" w:rsidR="00A65E65" w:rsidRDefault="00A65E65" w:rsidP="00A65E65">
          <w:pPr>
            <w:pStyle w:val="Bibliography"/>
            <w:rPr>
              <w:noProof/>
              <w:lang w:val="en-US"/>
            </w:rPr>
          </w:pPr>
        </w:p>
        <w:p w14:paraId="4EBBE711" w14:textId="0B1E592E" w:rsidR="00A65E65" w:rsidRDefault="00A65E65" w:rsidP="00A65E65">
          <w:pPr>
            <w:pStyle w:val="Bibliography"/>
            <w:rPr>
              <w:noProof/>
              <w:lang w:val="en-US"/>
            </w:rPr>
          </w:pPr>
          <w:r>
            <w:rPr>
              <w:noProof/>
              <w:lang w:val="en-US"/>
            </w:rPr>
            <w:t xml:space="preserve">Taylor, M., 2017. </w:t>
          </w:r>
          <w:r>
            <w:rPr>
              <w:i/>
              <w:iCs/>
              <w:noProof/>
              <w:lang w:val="en-US"/>
            </w:rPr>
            <w:t xml:space="preserve">Good Work - The Taylor Review of Modern Working Practices , </w:t>
          </w:r>
          <w:r>
            <w:rPr>
              <w:noProof/>
              <w:lang w:val="en-US"/>
            </w:rPr>
            <w:t>London: UK Government.</w:t>
          </w:r>
        </w:p>
        <w:p w14:paraId="0AF33547" w14:textId="77777777" w:rsidR="00A65E65" w:rsidRDefault="00A65E65" w:rsidP="00A65E65">
          <w:pPr>
            <w:pStyle w:val="Bibliography"/>
            <w:rPr>
              <w:noProof/>
              <w:lang w:val="en-US"/>
            </w:rPr>
          </w:pPr>
        </w:p>
        <w:p w14:paraId="199C4FAC" w14:textId="6179710F" w:rsidR="00A65E65" w:rsidRDefault="00A65E65" w:rsidP="00A65E65">
          <w:pPr>
            <w:pStyle w:val="Bibliography"/>
            <w:rPr>
              <w:noProof/>
              <w:lang w:val="en-US"/>
            </w:rPr>
          </w:pPr>
          <w:r>
            <w:rPr>
              <w:noProof/>
              <w:lang w:val="en-US"/>
            </w:rPr>
            <w:t xml:space="preserve">Thomson, P., 2008. The business benefits of flexible working. </w:t>
          </w:r>
          <w:r>
            <w:rPr>
              <w:i/>
              <w:iCs/>
              <w:noProof/>
              <w:lang w:val="en-US"/>
            </w:rPr>
            <w:t xml:space="preserve">Strategic HR Review, </w:t>
          </w:r>
          <w:r>
            <w:rPr>
              <w:noProof/>
              <w:lang w:val="en-US"/>
            </w:rPr>
            <w:t>7(2), pp. 17-22.</w:t>
          </w:r>
        </w:p>
        <w:p w14:paraId="1C3AF91C" w14:textId="77777777" w:rsidR="00A65E65" w:rsidRDefault="00A65E65" w:rsidP="00A65E65">
          <w:pPr>
            <w:pStyle w:val="Bibliography"/>
            <w:rPr>
              <w:noProof/>
              <w:lang w:val="en-US"/>
            </w:rPr>
          </w:pPr>
        </w:p>
        <w:p w14:paraId="1CA93175" w14:textId="2F4F9CB1" w:rsidR="00A65E65" w:rsidRDefault="00A65E65" w:rsidP="00A65E65">
          <w:pPr>
            <w:pStyle w:val="Bibliography"/>
            <w:rPr>
              <w:noProof/>
              <w:lang w:val="en-US"/>
            </w:rPr>
          </w:pPr>
          <w:r>
            <w:rPr>
              <w:noProof/>
              <w:lang w:val="en-US"/>
            </w:rPr>
            <w:t xml:space="preserve">Truss, C. et al., 1997. Soft and Hard Models of Human Resource Management. </w:t>
          </w:r>
          <w:r>
            <w:rPr>
              <w:i/>
              <w:iCs/>
              <w:noProof/>
              <w:lang w:val="en-US"/>
            </w:rPr>
            <w:t xml:space="preserve">Journal of Management Studies, </w:t>
          </w:r>
          <w:r>
            <w:rPr>
              <w:noProof/>
              <w:lang w:val="en-US"/>
            </w:rPr>
            <w:t>34(1).</w:t>
          </w:r>
        </w:p>
        <w:p w14:paraId="712698E9" w14:textId="77777777" w:rsidR="00A65E65" w:rsidRDefault="00A65E65" w:rsidP="00A65E65">
          <w:pPr>
            <w:pStyle w:val="Bibliography"/>
            <w:rPr>
              <w:noProof/>
              <w:lang w:val="en-US"/>
            </w:rPr>
          </w:pPr>
        </w:p>
        <w:p w14:paraId="21DB2348" w14:textId="1D73739A" w:rsidR="00A65E65" w:rsidRDefault="00A65E65" w:rsidP="00A65E65">
          <w:pPr>
            <w:pStyle w:val="Bibliography"/>
            <w:rPr>
              <w:noProof/>
              <w:lang w:val="en-US"/>
            </w:rPr>
          </w:pPr>
          <w:r>
            <w:rPr>
              <w:noProof/>
              <w:lang w:val="en-US"/>
            </w:rPr>
            <w:t xml:space="preserve">Vance, R., 2006. </w:t>
          </w:r>
          <w:r>
            <w:rPr>
              <w:i/>
              <w:iCs/>
              <w:noProof/>
              <w:lang w:val="en-US"/>
            </w:rPr>
            <w:t xml:space="preserve">Employee Engagement and Commitment: A guide to understanding, measuring and increasing engagement in your organisation , </w:t>
          </w:r>
          <w:r>
            <w:rPr>
              <w:noProof/>
              <w:lang w:val="en-US"/>
            </w:rPr>
            <w:t>s.l.: SHRM Foundation .</w:t>
          </w:r>
        </w:p>
        <w:p w14:paraId="51560483" w14:textId="77777777" w:rsidR="00A65E65" w:rsidRDefault="00A65E65" w:rsidP="00A65E65">
          <w:pPr>
            <w:pStyle w:val="Bibliography"/>
            <w:rPr>
              <w:noProof/>
              <w:lang w:val="en-US"/>
            </w:rPr>
          </w:pPr>
        </w:p>
        <w:p w14:paraId="6EE54976" w14:textId="70C504CC" w:rsidR="00A65E65" w:rsidRDefault="00A65E65" w:rsidP="00A65E65">
          <w:pPr>
            <w:pStyle w:val="Bibliography"/>
            <w:rPr>
              <w:noProof/>
              <w:lang w:val="en-US"/>
            </w:rPr>
          </w:pPr>
          <w:r>
            <w:rPr>
              <w:noProof/>
              <w:lang w:val="en-US"/>
            </w:rPr>
            <w:t xml:space="preserve">Watkins, K. &amp; Marsick, V. J., 1993. </w:t>
          </w:r>
          <w:r>
            <w:rPr>
              <w:i/>
              <w:iCs/>
              <w:noProof/>
              <w:lang w:val="en-US"/>
            </w:rPr>
            <w:t xml:space="preserve">Sculpting the learning organization: lessons in the art and science of systemic change. </w:t>
          </w:r>
          <w:r>
            <w:rPr>
              <w:noProof/>
              <w:lang w:val="en-US"/>
            </w:rPr>
            <w:t>1st ed. San Francisco: Josey-Boss.</w:t>
          </w:r>
        </w:p>
        <w:p w14:paraId="2421842F" w14:textId="77777777" w:rsidR="00A65E65" w:rsidRDefault="00A65E65" w:rsidP="00A65E65">
          <w:pPr>
            <w:pStyle w:val="Bibliography"/>
            <w:rPr>
              <w:noProof/>
              <w:lang w:val="en-US"/>
            </w:rPr>
          </w:pPr>
        </w:p>
        <w:p w14:paraId="6D401892" w14:textId="6BF7FFE9" w:rsidR="00A65E65" w:rsidRDefault="00A65E65" w:rsidP="00A65E65">
          <w:pPr>
            <w:pStyle w:val="Bibliography"/>
            <w:rPr>
              <w:noProof/>
              <w:lang w:val="en-US"/>
            </w:rPr>
          </w:pPr>
          <w:r>
            <w:rPr>
              <w:noProof/>
              <w:lang w:val="en-US"/>
            </w:rPr>
            <w:t xml:space="preserve">Young, J., 2019. </w:t>
          </w:r>
          <w:r>
            <w:rPr>
              <w:i/>
              <w:iCs/>
              <w:noProof/>
              <w:lang w:val="en-US"/>
            </w:rPr>
            <w:t xml:space="preserve">Creating and developing positive organisational cultures for learning and inclusion, </w:t>
          </w:r>
          <w:r>
            <w:rPr>
              <w:noProof/>
              <w:lang w:val="en-US"/>
            </w:rPr>
            <w:t>London: CIPD.</w:t>
          </w:r>
        </w:p>
        <w:p w14:paraId="7A578518" w14:textId="77777777" w:rsidR="00A65E65" w:rsidRDefault="00A65E65" w:rsidP="00A65E65">
          <w:pPr>
            <w:pStyle w:val="Bibliography"/>
            <w:rPr>
              <w:noProof/>
              <w:lang w:val="en-US"/>
            </w:rPr>
          </w:pPr>
        </w:p>
        <w:p w14:paraId="4EFB77AC" w14:textId="34D8C056" w:rsidR="00A65E65" w:rsidRDefault="00A65E65" w:rsidP="00A65E65">
          <w:pPr>
            <w:pStyle w:val="Bibliography"/>
            <w:rPr>
              <w:noProof/>
              <w:lang w:val="en-US"/>
            </w:rPr>
          </w:pPr>
          <w:r>
            <w:rPr>
              <w:noProof/>
              <w:lang w:val="en-US"/>
            </w:rPr>
            <w:t xml:space="preserve">Yukl, G., 2012. </w:t>
          </w:r>
          <w:r>
            <w:rPr>
              <w:i/>
              <w:iCs/>
              <w:noProof/>
              <w:lang w:val="en-US"/>
            </w:rPr>
            <w:t xml:space="preserve">Leadership in Organisations. </w:t>
          </w:r>
          <w:r>
            <w:rPr>
              <w:noProof/>
              <w:lang w:val="en-US"/>
            </w:rPr>
            <w:t>8th ed. Harlow: Pearson.</w:t>
          </w:r>
        </w:p>
        <w:p w14:paraId="6E02E8A2" w14:textId="298E3569" w:rsidR="00A65E65" w:rsidRDefault="00A65E65" w:rsidP="00A65E65">
          <w:r>
            <w:rPr>
              <w:b/>
              <w:bCs/>
            </w:rPr>
            <w:fldChar w:fldCharType="end"/>
          </w:r>
        </w:p>
      </w:sdtContent>
    </w:sdt>
    <w:p w14:paraId="35AB1675" w14:textId="77777777" w:rsidR="00A65E65" w:rsidRDefault="00A65E65" w:rsidP="00767E6C">
      <w:pPr>
        <w:jc w:val="both"/>
      </w:pPr>
    </w:p>
    <w:sectPr w:rsidR="00A65E65" w:rsidSect="000B7510">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0AB71C" w14:textId="77777777" w:rsidR="003F25A8" w:rsidRDefault="003F25A8" w:rsidP="003F25A8">
      <w:r>
        <w:separator/>
      </w:r>
    </w:p>
  </w:endnote>
  <w:endnote w:type="continuationSeparator" w:id="0">
    <w:p w14:paraId="29419FEA" w14:textId="77777777" w:rsidR="003F25A8" w:rsidRDefault="003F25A8" w:rsidP="003F25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7A3B66" w14:textId="7E8C376D" w:rsidR="003F25A8" w:rsidRDefault="003F25A8">
    <w:pPr>
      <w:pStyle w:val="Footer"/>
    </w:pPr>
    <w:r>
      <w:t>Student Number 1705175</w:t>
    </w:r>
  </w:p>
  <w:p w14:paraId="592475F8" w14:textId="77777777" w:rsidR="003F25A8" w:rsidRDefault="003F2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08ACAF" w14:textId="77777777" w:rsidR="003F25A8" w:rsidRDefault="003F25A8" w:rsidP="003F25A8">
      <w:r>
        <w:separator/>
      </w:r>
    </w:p>
  </w:footnote>
  <w:footnote w:type="continuationSeparator" w:id="0">
    <w:p w14:paraId="1683281F" w14:textId="77777777" w:rsidR="003F25A8" w:rsidRDefault="003F25A8" w:rsidP="003F25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826D0"/>
    <w:multiLevelType w:val="hybridMultilevel"/>
    <w:tmpl w:val="5F34AD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AB7938"/>
    <w:multiLevelType w:val="multilevel"/>
    <w:tmpl w:val="64162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930992"/>
    <w:multiLevelType w:val="hybridMultilevel"/>
    <w:tmpl w:val="C5A4A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CD68FB"/>
    <w:multiLevelType w:val="multilevel"/>
    <w:tmpl w:val="55586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367A93"/>
    <w:multiLevelType w:val="hybridMultilevel"/>
    <w:tmpl w:val="7C7AB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C7D2279"/>
    <w:multiLevelType w:val="hybridMultilevel"/>
    <w:tmpl w:val="655046C6"/>
    <w:lvl w:ilvl="0" w:tplc="A08EF6F0">
      <w:start w:val="1"/>
      <w:numFmt w:val="bullet"/>
      <w:lvlText w:val="•"/>
      <w:lvlJc w:val="left"/>
      <w:pPr>
        <w:tabs>
          <w:tab w:val="num" w:pos="720"/>
        </w:tabs>
        <w:ind w:left="720" w:hanging="360"/>
      </w:pPr>
      <w:rPr>
        <w:rFonts w:ascii="Arial" w:hAnsi="Arial" w:hint="default"/>
      </w:rPr>
    </w:lvl>
    <w:lvl w:ilvl="1" w:tplc="132E214C" w:tentative="1">
      <w:start w:val="1"/>
      <w:numFmt w:val="bullet"/>
      <w:lvlText w:val="•"/>
      <w:lvlJc w:val="left"/>
      <w:pPr>
        <w:tabs>
          <w:tab w:val="num" w:pos="1440"/>
        </w:tabs>
        <w:ind w:left="1440" w:hanging="360"/>
      </w:pPr>
      <w:rPr>
        <w:rFonts w:ascii="Arial" w:hAnsi="Arial" w:hint="default"/>
      </w:rPr>
    </w:lvl>
    <w:lvl w:ilvl="2" w:tplc="CBD2B2F6" w:tentative="1">
      <w:start w:val="1"/>
      <w:numFmt w:val="bullet"/>
      <w:lvlText w:val="•"/>
      <w:lvlJc w:val="left"/>
      <w:pPr>
        <w:tabs>
          <w:tab w:val="num" w:pos="2160"/>
        </w:tabs>
        <w:ind w:left="2160" w:hanging="360"/>
      </w:pPr>
      <w:rPr>
        <w:rFonts w:ascii="Arial" w:hAnsi="Arial" w:hint="default"/>
      </w:rPr>
    </w:lvl>
    <w:lvl w:ilvl="3" w:tplc="38B8624E" w:tentative="1">
      <w:start w:val="1"/>
      <w:numFmt w:val="bullet"/>
      <w:lvlText w:val="•"/>
      <w:lvlJc w:val="left"/>
      <w:pPr>
        <w:tabs>
          <w:tab w:val="num" w:pos="2880"/>
        </w:tabs>
        <w:ind w:left="2880" w:hanging="360"/>
      </w:pPr>
      <w:rPr>
        <w:rFonts w:ascii="Arial" w:hAnsi="Arial" w:hint="default"/>
      </w:rPr>
    </w:lvl>
    <w:lvl w:ilvl="4" w:tplc="A42472E8" w:tentative="1">
      <w:start w:val="1"/>
      <w:numFmt w:val="bullet"/>
      <w:lvlText w:val="•"/>
      <w:lvlJc w:val="left"/>
      <w:pPr>
        <w:tabs>
          <w:tab w:val="num" w:pos="3600"/>
        </w:tabs>
        <w:ind w:left="3600" w:hanging="360"/>
      </w:pPr>
      <w:rPr>
        <w:rFonts w:ascii="Arial" w:hAnsi="Arial" w:hint="default"/>
      </w:rPr>
    </w:lvl>
    <w:lvl w:ilvl="5" w:tplc="97728B10" w:tentative="1">
      <w:start w:val="1"/>
      <w:numFmt w:val="bullet"/>
      <w:lvlText w:val="•"/>
      <w:lvlJc w:val="left"/>
      <w:pPr>
        <w:tabs>
          <w:tab w:val="num" w:pos="4320"/>
        </w:tabs>
        <w:ind w:left="4320" w:hanging="360"/>
      </w:pPr>
      <w:rPr>
        <w:rFonts w:ascii="Arial" w:hAnsi="Arial" w:hint="default"/>
      </w:rPr>
    </w:lvl>
    <w:lvl w:ilvl="6" w:tplc="840E8B22" w:tentative="1">
      <w:start w:val="1"/>
      <w:numFmt w:val="bullet"/>
      <w:lvlText w:val="•"/>
      <w:lvlJc w:val="left"/>
      <w:pPr>
        <w:tabs>
          <w:tab w:val="num" w:pos="5040"/>
        </w:tabs>
        <w:ind w:left="5040" w:hanging="360"/>
      </w:pPr>
      <w:rPr>
        <w:rFonts w:ascii="Arial" w:hAnsi="Arial" w:hint="default"/>
      </w:rPr>
    </w:lvl>
    <w:lvl w:ilvl="7" w:tplc="3ABA4B40" w:tentative="1">
      <w:start w:val="1"/>
      <w:numFmt w:val="bullet"/>
      <w:lvlText w:val="•"/>
      <w:lvlJc w:val="left"/>
      <w:pPr>
        <w:tabs>
          <w:tab w:val="num" w:pos="5760"/>
        </w:tabs>
        <w:ind w:left="5760" w:hanging="360"/>
      </w:pPr>
      <w:rPr>
        <w:rFonts w:ascii="Arial" w:hAnsi="Arial" w:hint="default"/>
      </w:rPr>
    </w:lvl>
    <w:lvl w:ilvl="8" w:tplc="548A92E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3B90500"/>
    <w:multiLevelType w:val="hybridMultilevel"/>
    <w:tmpl w:val="F6CC90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B915A19"/>
    <w:multiLevelType w:val="hybridMultilevel"/>
    <w:tmpl w:val="646AAA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F52427"/>
    <w:multiLevelType w:val="hybridMultilevel"/>
    <w:tmpl w:val="5D980F4C"/>
    <w:lvl w:ilvl="0" w:tplc="0409000F">
      <w:start w:val="1"/>
      <w:numFmt w:val="decimal"/>
      <w:lvlText w:val="%1."/>
      <w:lvlJc w:val="left"/>
      <w:pPr>
        <w:ind w:left="777" w:hanging="360"/>
      </w:pPr>
    </w:lvl>
    <w:lvl w:ilvl="1" w:tplc="04090019" w:tentative="1">
      <w:start w:val="1"/>
      <w:numFmt w:val="lowerLetter"/>
      <w:lvlText w:val="%2."/>
      <w:lvlJc w:val="left"/>
      <w:pPr>
        <w:ind w:left="1497" w:hanging="360"/>
      </w:pPr>
    </w:lvl>
    <w:lvl w:ilvl="2" w:tplc="0409001B" w:tentative="1">
      <w:start w:val="1"/>
      <w:numFmt w:val="lowerRoman"/>
      <w:lvlText w:val="%3."/>
      <w:lvlJc w:val="right"/>
      <w:pPr>
        <w:ind w:left="2217" w:hanging="180"/>
      </w:pPr>
    </w:lvl>
    <w:lvl w:ilvl="3" w:tplc="0409000F" w:tentative="1">
      <w:start w:val="1"/>
      <w:numFmt w:val="decimal"/>
      <w:lvlText w:val="%4."/>
      <w:lvlJc w:val="left"/>
      <w:pPr>
        <w:ind w:left="2937" w:hanging="360"/>
      </w:pPr>
    </w:lvl>
    <w:lvl w:ilvl="4" w:tplc="04090019" w:tentative="1">
      <w:start w:val="1"/>
      <w:numFmt w:val="lowerLetter"/>
      <w:lvlText w:val="%5."/>
      <w:lvlJc w:val="left"/>
      <w:pPr>
        <w:ind w:left="3657" w:hanging="360"/>
      </w:pPr>
    </w:lvl>
    <w:lvl w:ilvl="5" w:tplc="0409001B" w:tentative="1">
      <w:start w:val="1"/>
      <w:numFmt w:val="lowerRoman"/>
      <w:lvlText w:val="%6."/>
      <w:lvlJc w:val="right"/>
      <w:pPr>
        <w:ind w:left="4377" w:hanging="180"/>
      </w:pPr>
    </w:lvl>
    <w:lvl w:ilvl="6" w:tplc="0409000F" w:tentative="1">
      <w:start w:val="1"/>
      <w:numFmt w:val="decimal"/>
      <w:lvlText w:val="%7."/>
      <w:lvlJc w:val="left"/>
      <w:pPr>
        <w:ind w:left="5097" w:hanging="360"/>
      </w:pPr>
    </w:lvl>
    <w:lvl w:ilvl="7" w:tplc="04090019" w:tentative="1">
      <w:start w:val="1"/>
      <w:numFmt w:val="lowerLetter"/>
      <w:lvlText w:val="%8."/>
      <w:lvlJc w:val="left"/>
      <w:pPr>
        <w:ind w:left="5817" w:hanging="360"/>
      </w:pPr>
    </w:lvl>
    <w:lvl w:ilvl="8" w:tplc="0409001B" w:tentative="1">
      <w:start w:val="1"/>
      <w:numFmt w:val="lowerRoman"/>
      <w:lvlText w:val="%9."/>
      <w:lvlJc w:val="right"/>
      <w:pPr>
        <w:ind w:left="6537" w:hanging="180"/>
      </w:pPr>
    </w:lvl>
  </w:abstractNum>
  <w:num w:numId="1">
    <w:abstractNumId w:val="3"/>
  </w:num>
  <w:num w:numId="2">
    <w:abstractNumId w:val="1"/>
  </w:num>
  <w:num w:numId="3">
    <w:abstractNumId w:val="5"/>
  </w:num>
  <w:num w:numId="4">
    <w:abstractNumId w:val="0"/>
  </w:num>
  <w:num w:numId="5">
    <w:abstractNumId w:val="7"/>
  </w:num>
  <w:num w:numId="6">
    <w:abstractNumId w:val="4"/>
  </w:num>
  <w:num w:numId="7">
    <w:abstractNumId w:val="6"/>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9BD"/>
    <w:rsid w:val="00013E19"/>
    <w:rsid w:val="00022CBA"/>
    <w:rsid w:val="00075347"/>
    <w:rsid w:val="00093485"/>
    <w:rsid w:val="00097498"/>
    <w:rsid w:val="000A5EB5"/>
    <w:rsid w:val="000B5D70"/>
    <w:rsid w:val="000B7510"/>
    <w:rsid w:val="0011762B"/>
    <w:rsid w:val="001312C9"/>
    <w:rsid w:val="00183A60"/>
    <w:rsid w:val="001860A3"/>
    <w:rsid w:val="001D1894"/>
    <w:rsid w:val="001D4DD4"/>
    <w:rsid w:val="001D7781"/>
    <w:rsid w:val="001E553B"/>
    <w:rsid w:val="001F481B"/>
    <w:rsid w:val="00205D2C"/>
    <w:rsid w:val="0021651E"/>
    <w:rsid w:val="00274711"/>
    <w:rsid w:val="00297644"/>
    <w:rsid w:val="002E1A25"/>
    <w:rsid w:val="002F1D8F"/>
    <w:rsid w:val="002F67E0"/>
    <w:rsid w:val="0032149D"/>
    <w:rsid w:val="00321FD8"/>
    <w:rsid w:val="00345042"/>
    <w:rsid w:val="00394FD1"/>
    <w:rsid w:val="003A7EE1"/>
    <w:rsid w:val="003B605E"/>
    <w:rsid w:val="003D249C"/>
    <w:rsid w:val="003F0E48"/>
    <w:rsid w:val="003F25A8"/>
    <w:rsid w:val="003F39B9"/>
    <w:rsid w:val="003F775A"/>
    <w:rsid w:val="00410EF4"/>
    <w:rsid w:val="0043797D"/>
    <w:rsid w:val="00482727"/>
    <w:rsid w:val="004B48BB"/>
    <w:rsid w:val="004F6186"/>
    <w:rsid w:val="0059724F"/>
    <w:rsid w:val="005A3701"/>
    <w:rsid w:val="005B49BD"/>
    <w:rsid w:val="005B5796"/>
    <w:rsid w:val="005D3D26"/>
    <w:rsid w:val="00616D63"/>
    <w:rsid w:val="00654DF3"/>
    <w:rsid w:val="00687729"/>
    <w:rsid w:val="00712589"/>
    <w:rsid w:val="007150BC"/>
    <w:rsid w:val="00767E6C"/>
    <w:rsid w:val="00782766"/>
    <w:rsid w:val="007A5CD5"/>
    <w:rsid w:val="007B3D75"/>
    <w:rsid w:val="007E7B03"/>
    <w:rsid w:val="00814DE5"/>
    <w:rsid w:val="008D7983"/>
    <w:rsid w:val="00972AA5"/>
    <w:rsid w:val="009744ED"/>
    <w:rsid w:val="009A187D"/>
    <w:rsid w:val="009B3DEB"/>
    <w:rsid w:val="009E14E7"/>
    <w:rsid w:val="009F2592"/>
    <w:rsid w:val="00A044EB"/>
    <w:rsid w:val="00A11054"/>
    <w:rsid w:val="00A234E8"/>
    <w:rsid w:val="00A65E65"/>
    <w:rsid w:val="00A72A3A"/>
    <w:rsid w:val="00AD3831"/>
    <w:rsid w:val="00B273C2"/>
    <w:rsid w:val="00B3302E"/>
    <w:rsid w:val="00BB4F5F"/>
    <w:rsid w:val="00C035C0"/>
    <w:rsid w:val="00C46258"/>
    <w:rsid w:val="00C576E1"/>
    <w:rsid w:val="00CD6C6E"/>
    <w:rsid w:val="00D20DB5"/>
    <w:rsid w:val="00D42FD5"/>
    <w:rsid w:val="00D46600"/>
    <w:rsid w:val="00D8399C"/>
    <w:rsid w:val="00DC17C4"/>
    <w:rsid w:val="00DC5A2B"/>
    <w:rsid w:val="00E33875"/>
    <w:rsid w:val="00E43956"/>
    <w:rsid w:val="00E553F1"/>
    <w:rsid w:val="00E720CA"/>
    <w:rsid w:val="00E816FB"/>
    <w:rsid w:val="00EB10C5"/>
    <w:rsid w:val="00ED4783"/>
    <w:rsid w:val="00F00015"/>
    <w:rsid w:val="00F5079F"/>
    <w:rsid w:val="00F53216"/>
    <w:rsid w:val="00F61C76"/>
    <w:rsid w:val="00F73E85"/>
    <w:rsid w:val="00F823A1"/>
    <w:rsid w:val="00F8792A"/>
    <w:rsid w:val="00FC3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B5395"/>
  <w14:defaultImageDpi w14:val="32767"/>
  <w15:chartTrackingRefBased/>
  <w15:docId w15:val="{9ACD2CDB-5B12-6F44-AFF6-8569A2041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E6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F8792A"/>
    <w:pPr>
      <w:spacing w:after="200"/>
    </w:pPr>
    <w:rPr>
      <w:i/>
      <w:iCs/>
      <w:color w:val="44546A" w:themeColor="text2"/>
      <w:sz w:val="18"/>
      <w:szCs w:val="18"/>
    </w:rPr>
  </w:style>
  <w:style w:type="paragraph" w:styleId="NormalWeb">
    <w:name w:val="Normal (Web)"/>
    <w:basedOn w:val="Normal"/>
    <w:uiPriority w:val="99"/>
    <w:unhideWhenUsed/>
    <w:rsid w:val="003F775A"/>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093485"/>
  </w:style>
  <w:style w:type="character" w:styleId="Hyperlink">
    <w:name w:val="Hyperlink"/>
    <w:basedOn w:val="DefaultParagraphFont"/>
    <w:uiPriority w:val="99"/>
    <w:semiHidden/>
    <w:unhideWhenUsed/>
    <w:rsid w:val="00093485"/>
    <w:rPr>
      <w:color w:val="0000FF"/>
      <w:u w:val="single"/>
    </w:rPr>
  </w:style>
  <w:style w:type="paragraph" w:styleId="ListParagraph">
    <w:name w:val="List Paragraph"/>
    <w:basedOn w:val="Normal"/>
    <w:uiPriority w:val="34"/>
    <w:qFormat/>
    <w:rsid w:val="0032149D"/>
    <w:pPr>
      <w:ind w:left="720"/>
      <w:contextualSpacing/>
    </w:pPr>
  </w:style>
  <w:style w:type="paragraph" w:styleId="Header">
    <w:name w:val="header"/>
    <w:basedOn w:val="Normal"/>
    <w:link w:val="HeaderChar"/>
    <w:uiPriority w:val="99"/>
    <w:unhideWhenUsed/>
    <w:rsid w:val="003F25A8"/>
    <w:pPr>
      <w:tabs>
        <w:tab w:val="center" w:pos="4513"/>
        <w:tab w:val="right" w:pos="9026"/>
      </w:tabs>
    </w:pPr>
  </w:style>
  <w:style w:type="character" w:customStyle="1" w:styleId="HeaderChar">
    <w:name w:val="Header Char"/>
    <w:basedOn w:val="DefaultParagraphFont"/>
    <w:link w:val="Header"/>
    <w:uiPriority w:val="99"/>
    <w:rsid w:val="003F25A8"/>
  </w:style>
  <w:style w:type="paragraph" w:styleId="Footer">
    <w:name w:val="footer"/>
    <w:basedOn w:val="Normal"/>
    <w:link w:val="FooterChar"/>
    <w:uiPriority w:val="99"/>
    <w:unhideWhenUsed/>
    <w:rsid w:val="003F25A8"/>
    <w:pPr>
      <w:tabs>
        <w:tab w:val="center" w:pos="4513"/>
        <w:tab w:val="right" w:pos="9026"/>
      </w:tabs>
    </w:pPr>
  </w:style>
  <w:style w:type="character" w:customStyle="1" w:styleId="FooterChar">
    <w:name w:val="Footer Char"/>
    <w:basedOn w:val="DefaultParagraphFont"/>
    <w:link w:val="Footer"/>
    <w:uiPriority w:val="99"/>
    <w:rsid w:val="003F25A8"/>
  </w:style>
  <w:style w:type="character" w:customStyle="1" w:styleId="Heading1Char">
    <w:name w:val="Heading 1 Char"/>
    <w:basedOn w:val="DefaultParagraphFont"/>
    <w:link w:val="Heading1"/>
    <w:uiPriority w:val="9"/>
    <w:rsid w:val="00A65E6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65E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8288">
      <w:bodyDiv w:val="1"/>
      <w:marLeft w:val="0"/>
      <w:marRight w:val="0"/>
      <w:marTop w:val="0"/>
      <w:marBottom w:val="0"/>
      <w:divBdr>
        <w:top w:val="none" w:sz="0" w:space="0" w:color="auto"/>
        <w:left w:val="none" w:sz="0" w:space="0" w:color="auto"/>
        <w:bottom w:val="none" w:sz="0" w:space="0" w:color="auto"/>
        <w:right w:val="none" w:sz="0" w:space="0" w:color="auto"/>
      </w:divBdr>
    </w:div>
    <w:div w:id="10689820">
      <w:bodyDiv w:val="1"/>
      <w:marLeft w:val="0"/>
      <w:marRight w:val="0"/>
      <w:marTop w:val="0"/>
      <w:marBottom w:val="0"/>
      <w:divBdr>
        <w:top w:val="none" w:sz="0" w:space="0" w:color="auto"/>
        <w:left w:val="none" w:sz="0" w:space="0" w:color="auto"/>
        <w:bottom w:val="none" w:sz="0" w:space="0" w:color="auto"/>
        <w:right w:val="none" w:sz="0" w:space="0" w:color="auto"/>
      </w:divBdr>
    </w:div>
    <w:div w:id="25254591">
      <w:bodyDiv w:val="1"/>
      <w:marLeft w:val="0"/>
      <w:marRight w:val="0"/>
      <w:marTop w:val="0"/>
      <w:marBottom w:val="0"/>
      <w:divBdr>
        <w:top w:val="none" w:sz="0" w:space="0" w:color="auto"/>
        <w:left w:val="none" w:sz="0" w:space="0" w:color="auto"/>
        <w:bottom w:val="none" w:sz="0" w:space="0" w:color="auto"/>
        <w:right w:val="none" w:sz="0" w:space="0" w:color="auto"/>
      </w:divBdr>
    </w:div>
    <w:div w:id="29116171">
      <w:bodyDiv w:val="1"/>
      <w:marLeft w:val="0"/>
      <w:marRight w:val="0"/>
      <w:marTop w:val="0"/>
      <w:marBottom w:val="0"/>
      <w:divBdr>
        <w:top w:val="none" w:sz="0" w:space="0" w:color="auto"/>
        <w:left w:val="none" w:sz="0" w:space="0" w:color="auto"/>
        <w:bottom w:val="none" w:sz="0" w:space="0" w:color="auto"/>
        <w:right w:val="none" w:sz="0" w:space="0" w:color="auto"/>
      </w:divBdr>
    </w:div>
    <w:div w:id="61609493">
      <w:bodyDiv w:val="1"/>
      <w:marLeft w:val="0"/>
      <w:marRight w:val="0"/>
      <w:marTop w:val="0"/>
      <w:marBottom w:val="0"/>
      <w:divBdr>
        <w:top w:val="none" w:sz="0" w:space="0" w:color="auto"/>
        <w:left w:val="none" w:sz="0" w:space="0" w:color="auto"/>
        <w:bottom w:val="none" w:sz="0" w:space="0" w:color="auto"/>
        <w:right w:val="none" w:sz="0" w:space="0" w:color="auto"/>
      </w:divBdr>
    </w:div>
    <w:div w:id="75786777">
      <w:bodyDiv w:val="1"/>
      <w:marLeft w:val="0"/>
      <w:marRight w:val="0"/>
      <w:marTop w:val="0"/>
      <w:marBottom w:val="0"/>
      <w:divBdr>
        <w:top w:val="none" w:sz="0" w:space="0" w:color="auto"/>
        <w:left w:val="none" w:sz="0" w:space="0" w:color="auto"/>
        <w:bottom w:val="none" w:sz="0" w:space="0" w:color="auto"/>
        <w:right w:val="none" w:sz="0" w:space="0" w:color="auto"/>
      </w:divBdr>
    </w:div>
    <w:div w:id="92167182">
      <w:bodyDiv w:val="1"/>
      <w:marLeft w:val="0"/>
      <w:marRight w:val="0"/>
      <w:marTop w:val="0"/>
      <w:marBottom w:val="0"/>
      <w:divBdr>
        <w:top w:val="none" w:sz="0" w:space="0" w:color="auto"/>
        <w:left w:val="none" w:sz="0" w:space="0" w:color="auto"/>
        <w:bottom w:val="none" w:sz="0" w:space="0" w:color="auto"/>
        <w:right w:val="none" w:sz="0" w:space="0" w:color="auto"/>
      </w:divBdr>
    </w:div>
    <w:div w:id="92676367">
      <w:bodyDiv w:val="1"/>
      <w:marLeft w:val="0"/>
      <w:marRight w:val="0"/>
      <w:marTop w:val="0"/>
      <w:marBottom w:val="0"/>
      <w:divBdr>
        <w:top w:val="none" w:sz="0" w:space="0" w:color="auto"/>
        <w:left w:val="none" w:sz="0" w:space="0" w:color="auto"/>
        <w:bottom w:val="none" w:sz="0" w:space="0" w:color="auto"/>
        <w:right w:val="none" w:sz="0" w:space="0" w:color="auto"/>
      </w:divBdr>
    </w:div>
    <w:div w:id="116026546">
      <w:bodyDiv w:val="1"/>
      <w:marLeft w:val="0"/>
      <w:marRight w:val="0"/>
      <w:marTop w:val="0"/>
      <w:marBottom w:val="0"/>
      <w:divBdr>
        <w:top w:val="none" w:sz="0" w:space="0" w:color="auto"/>
        <w:left w:val="none" w:sz="0" w:space="0" w:color="auto"/>
        <w:bottom w:val="none" w:sz="0" w:space="0" w:color="auto"/>
        <w:right w:val="none" w:sz="0" w:space="0" w:color="auto"/>
      </w:divBdr>
      <w:divsChild>
        <w:div w:id="1364358359">
          <w:marLeft w:val="0"/>
          <w:marRight w:val="0"/>
          <w:marTop w:val="0"/>
          <w:marBottom w:val="0"/>
          <w:divBdr>
            <w:top w:val="none" w:sz="0" w:space="0" w:color="auto"/>
            <w:left w:val="none" w:sz="0" w:space="0" w:color="auto"/>
            <w:bottom w:val="none" w:sz="0" w:space="0" w:color="auto"/>
            <w:right w:val="none" w:sz="0" w:space="0" w:color="auto"/>
          </w:divBdr>
        </w:div>
      </w:divsChild>
    </w:div>
    <w:div w:id="130173258">
      <w:bodyDiv w:val="1"/>
      <w:marLeft w:val="0"/>
      <w:marRight w:val="0"/>
      <w:marTop w:val="0"/>
      <w:marBottom w:val="0"/>
      <w:divBdr>
        <w:top w:val="none" w:sz="0" w:space="0" w:color="auto"/>
        <w:left w:val="none" w:sz="0" w:space="0" w:color="auto"/>
        <w:bottom w:val="none" w:sz="0" w:space="0" w:color="auto"/>
        <w:right w:val="none" w:sz="0" w:space="0" w:color="auto"/>
      </w:divBdr>
      <w:divsChild>
        <w:div w:id="1567645646">
          <w:marLeft w:val="0"/>
          <w:marRight w:val="0"/>
          <w:marTop w:val="0"/>
          <w:marBottom w:val="0"/>
          <w:divBdr>
            <w:top w:val="none" w:sz="0" w:space="0" w:color="auto"/>
            <w:left w:val="none" w:sz="0" w:space="0" w:color="auto"/>
            <w:bottom w:val="none" w:sz="0" w:space="0" w:color="auto"/>
            <w:right w:val="none" w:sz="0" w:space="0" w:color="auto"/>
          </w:divBdr>
          <w:divsChild>
            <w:div w:id="1390765439">
              <w:marLeft w:val="0"/>
              <w:marRight w:val="0"/>
              <w:marTop w:val="0"/>
              <w:marBottom w:val="0"/>
              <w:divBdr>
                <w:top w:val="none" w:sz="0" w:space="0" w:color="auto"/>
                <w:left w:val="none" w:sz="0" w:space="0" w:color="auto"/>
                <w:bottom w:val="none" w:sz="0" w:space="0" w:color="auto"/>
                <w:right w:val="none" w:sz="0" w:space="0" w:color="auto"/>
              </w:divBdr>
              <w:divsChild>
                <w:div w:id="47352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17303">
      <w:bodyDiv w:val="1"/>
      <w:marLeft w:val="0"/>
      <w:marRight w:val="0"/>
      <w:marTop w:val="0"/>
      <w:marBottom w:val="0"/>
      <w:divBdr>
        <w:top w:val="none" w:sz="0" w:space="0" w:color="auto"/>
        <w:left w:val="none" w:sz="0" w:space="0" w:color="auto"/>
        <w:bottom w:val="none" w:sz="0" w:space="0" w:color="auto"/>
        <w:right w:val="none" w:sz="0" w:space="0" w:color="auto"/>
      </w:divBdr>
    </w:div>
    <w:div w:id="143746712">
      <w:bodyDiv w:val="1"/>
      <w:marLeft w:val="0"/>
      <w:marRight w:val="0"/>
      <w:marTop w:val="0"/>
      <w:marBottom w:val="0"/>
      <w:divBdr>
        <w:top w:val="none" w:sz="0" w:space="0" w:color="auto"/>
        <w:left w:val="none" w:sz="0" w:space="0" w:color="auto"/>
        <w:bottom w:val="none" w:sz="0" w:space="0" w:color="auto"/>
        <w:right w:val="none" w:sz="0" w:space="0" w:color="auto"/>
      </w:divBdr>
    </w:div>
    <w:div w:id="153302386">
      <w:bodyDiv w:val="1"/>
      <w:marLeft w:val="0"/>
      <w:marRight w:val="0"/>
      <w:marTop w:val="0"/>
      <w:marBottom w:val="0"/>
      <w:divBdr>
        <w:top w:val="none" w:sz="0" w:space="0" w:color="auto"/>
        <w:left w:val="none" w:sz="0" w:space="0" w:color="auto"/>
        <w:bottom w:val="none" w:sz="0" w:space="0" w:color="auto"/>
        <w:right w:val="none" w:sz="0" w:space="0" w:color="auto"/>
      </w:divBdr>
    </w:div>
    <w:div w:id="203061726">
      <w:bodyDiv w:val="1"/>
      <w:marLeft w:val="0"/>
      <w:marRight w:val="0"/>
      <w:marTop w:val="0"/>
      <w:marBottom w:val="0"/>
      <w:divBdr>
        <w:top w:val="none" w:sz="0" w:space="0" w:color="auto"/>
        <w:left w:val="none" w:sz="0" w:space="0" w:color="auto"/>
        <w:bottom w:val="none" w:sz="0" w:space="0" w:color="auto"/>
        <w:right w:val="none" w:sz="0" w:space="0" w:color="auto"/>
      </w:divBdr>
    </w:div>
    <w:div w:id="205258922">
      <w:bodyDiv w:val="1"/>
      <w:marLeft w:val="0"/>
      <w:marRight w:val="0"/>
      <w:marTop w:val="0"/>
      <w:marBottom w:val="0"/>
      <w:divBdr>
        <w:top w:val="none" w:sz="0" w:space="0" w:color="auto"/>
        <w:left w:val="none" w:sz="0" w:space="0" w:color="auto"/>
        <w:bottom w:val="none" w:sz="0" w:space="0" w:color="auto"/>
        <w:right w:val="none" w:sz="0" w:space="0" w:color="auto"/>
      </w:divBdr>
    </w:div>
    <w:div w:id="216207664">
      <w:bodyDiv w:val="1"/>
      <w:marLeft w:val="0"/>
      <w:marRight w:val="0"/>
      <w:marTop w:val="0"/>
      <w:marBottom w:val="0"/>
      <w:divBdr>
        <w:top w:val="none" w:sz="0" w:space="0" w:color="auto"/>
        <w:left w:val="none" w:sz="0" w:space="0" w:color="auto"/>
        <w:bottom w:val="none" w:sz="0" w:space="0" w:color="auto"/>
        <w:right w:val="none" w:sz="0" w:space="0" w:color="auto"/>
      </w:divBdr>
    </w:div>
    <w:div w:id="232929293">
      <w:bodyDiv w:val="1"/>
      <w:marLeft w:val="0"/>
      <w:marRight w:val="0"/>
      <w:marTop w:val="0"/>
      <w:marBottom w:val="0"/>
      <w:divBdr>
        <w:top w:val="none" w:sz="0" w:space="0" w:color="auto"/>
        <w:left w:val="none" w:sz="0" w:space="0" w:color="auto"/>
        <w:bottom w:val="none" w:sz="0" w:space="0" w:color="auto"/>
        <w:right w:val="none" w:sz="0" w:space="0" w:color="auto"/>
      </w:divBdr>
    </w:div>
    <w:div w:id="246116130">
      <w:bodyDiv w:val="1"/>
      <w:marLeft w:val="0"/>
      <w:marRight w:val="0"/>
      <w:marTop w:val="0"/>
      <w:marBottom w:val="0"/>
      <w:divBdr>
        <w:top w:val="none" w:sz="0" w:space="0" w:color="auto"/>
        <w:left w:val="none" w:sz="0" w:space="0" w:color="auto"/>
        <w:bottom w:val="none" w:sz="0" w:space="0" w:color="auto"/>
        <w:right w:val="none" w:sz="0" w:space="0" w:color="auto"/>
      </w:divBdr>
    </w:div>
    <w:div w:id="267737552">
      <w:bodyDiv w:val="1"/>
      <w:marLeft w:val="0"/>
      <w:marRight w:val="0"/>
      <w:marTop w:val="0"/>
      <w:marBottom w:val="0"/>
      <w:divBdr>
        <w:top w:val="none" w:sz="0" w:space="0" w:color="auto"/>
        <w:left w:val="none" w:sz="0" w:space="0" w:color="auto"/>
        <w:bottom w:val="none" w:sz="0" w:space="0" w:color="auto"/>
        <w:right w:val="none" w:sz="0" w:space="0" w:color="auto"/>
      </w:divBdr>
    </w:div>
    <w:div w:id="308369283">
      <w:bodyDiv w:val="1"/>
      <w:marLeft w:val="0"/>
      <w:marRight w:val="0"/>
      <w:marTop w:val="0"/>
      <w:marBottom w:val="0"/>
      <w:divBdr>
        <w:top w:val="none" w:sz="0" w:space="0" w:color="auto"/>
        <w:left w:val="none" w:sz="0" w:space="0" w:color="auto"/>
        <w:bottom w:val="none" w:sz="0" w:space="0" w:color="auto"/>
        <w:right w:val="none" w:sz="0" w:space="0" w:color="auto"/>
      </w:divBdr>
    </w:div>
    <w:div w:id="312636673">
      <w:bodyDiv w:val="1"/>
      <w:marLeft w:val="0"/>
      <w:marRight w:val="0"/>
      <w:marTop w:val="0"/>
      <w:marBottom w:val="0"/>
      <w:divBdr>
        <w:top w:val="none" w:sz="0" w:space="0" w:color="auto"/>
        <w:left w:val="none" w:sz="0" w:space="0" w:color="auto"/>
        <w:bottom w:val="none" w:sz="0" w:space="0" w:color="auto"/>
        <w:right w:val="none" w:sz="0" w:space="0" w:color="auto"/>
      </w:divBdr>
      <w:divsChild>
        <w:div w:id="1596403566">
          <w:marLeft w:val="0"/>
          <w:marRight w:val="0"/>
          <w:marTop w:val="0"/>
          <w:marBottom w:val="0"/>
          <w:divBdr>
            <w:top w:val="none" w:sz="0" w:space="0" w:color="auto"/>
            <w:left w:val="none" w:sz="0" w:space="0" w:color="auto"/>
            <w:bottom w:val="none" w:sz="0" w:space="0" w:color="auto"/>
            <w:right w:val="none" w:sz="0" w:space="0" w:color="auto"/>
          </w:divBdr>
          <w:divsChild>
            <w:div w:id="795372581">
              <w:marLeft w:val="0"/>
              <w:marRight w:val="0"/>
              <w:marTop w:val="0"/>
              <w:marBottom w:val="0"/>
              <w:divBdr>
                <w:top w:val="none" w:sz="0" w:space="0" w:color="auto"/>
                <w:left w:val="none" w:sz="0" w:space="0" w:color="auto"/>
                <w:bottom w:val="none" w:sz="0" w:space="0" w:color="auto"/>
                <w:right w:val="none" w:sz="0" w:space="0" w:color="auto"/>
              </w:divBdr>
              <w:divsChild>
                <w:div w:id="1743529304">
                  <w:marLeft w:val="0"/>
                  <w:marRight w:val="0"/>
                  <w:marTop w:val="0"/>
                  <w:marBottom w:val="0"/>
                  <w:divBdr>
                    <w:top w:val="none" w:sz="0" w:space="0" w:color="auto"/>
                    <w:left w:val="none" w:sz="0" w:space="0" w:color="auto"/>
                    <w:bottom w:val="none" w:sz="0" w:space="0" w:color="auto"/>
                    <w:right w:val="none" w:sz="0" w:space="0" w:color="auto"/>
                  </w:divBdr>
                  <w:divsChild>
                    <w:div w:id="17184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6420396">
      <w:bodyDiv w:val="1"/>
      <w:marLeft w:val="0"/>
      <w:marRight w:val="0"/>
      <w:marTop w:val="0"/>
      <w:marBottom w:val="0"/>
      <w:divBdr>
        <w:top w:val="none" w:sz="0" w:space="0" w:color="auto"/>
        <w:left w:val="none" w:sz="0" w:space="0" w:color="auto"/>
        <w:bottom w:val="none" w:sz="0" w:space="0" w:color="auto"/>
        <w:right w:val="none" w:sz="0" w:space="0" w:color="auto"/>
      </w:divBdr>
    </w:div>
    <w:div w:id="327945227">
      <w:bodyDiv w:val="1"/>
      <w:marLeft w:val="0"/>
      <w:marRight w:val="0"/>
      <w:marTop w:val="0"/>
      <w:marBottom w:val="0"/>
      <w:divBdr>
        <w:top w:val="none" w:sz="0" w:space="0" w:color="auto"/>
        <w:left w:val="none" w:sz="0" w:space="0" w:color="auto"/>
        <w:bottom w:val="none" w:sz="0" w:space="0" w:color="auto"/>
        <w:right w:val="none" w:sz="0" w:space="0" w:color="auto"/>
      </w:divBdr>
    </w:div>
    <w:div w:id="338238335">
      <w:bodyDiv w:val="1"/>
      <w:marLeft w:val="0"/>
      <w:marRight w:val="0"/>
      <w:marTop w:val="0"/>
      <w:marBottom w:val="0"/>
      <w:divBdr>
        <w:top w:val="none" w:sz="0" w:space="0" w:color="auto"/>
        <w:left w:val="none" w:sz="0" w:space="0" w:color="auto"/>
        <w:bottom w:val="none" w:sz="0" w:space="0" w:color="auto"/>
        <w:right w:val="none" w:sz="0" w:space="0" w:color="auto"/>
      </w:divBdr>
    </w:div>
    <w:div w:id="339702009">
      <w:bodyDiv w:val="1"/>
      <w:marLeft w:val="0"/>
      <w:marRight w:val="0"/>
      <w:marTop w:val="0"/>
      <w:marBottom w:val="0"/>
      <w:divBdr>
        <w:top w:val="none" w:sz="0" w:space="0" w:color="auto"/>
        <w:left w:val="none" w:sz="0" w:space="0" w:color="auto"/>
        <w:bottom w:val="none" w:sz="0" w:space="0" w:color="auto"/>
        <w:right w:val="none" w:sz="0" w:space="0" w:color="auto"/>
      </w:divBdr>
    </w:div>
    <w:div w:id="353969297">
      <w:bodyDiv w:val="1"/>
      <w:marLeft w:val="0"/>
      <w:marRight w:val="0"/>
      <w:marTop w:val="0"/>
      <w:marBottom w:val="0"/>
      <w:divBdr>
        <w:top w:val="none" w:sz="0" w:space="0" w:color="auto"/>
        <w:left w:val="none" w:sz="0" w:space="0" w:color="auto"/>
        <w:bottom w:val="none" w:sz="0" w:space="0" w:color="auto"/>
        <w:right w:val="none" w:sz="0" w:space="0" w:color="auto"/>
      </w:divBdr>
    </w:div>
    <w:div w:id="381289841">
      <w:bodyDiv w:val="1"/>
      <w:marLeft w:val="0"/>
      <w:marRight w:val="0"/>
      <w:marTop w:val="0"/>
      <w:marBottom w:val="0"/>
      <w:divBdr>
        <w:top w:val="none" w:sz="0" w:space="0" w:color="auto"/>
        <w:left w:val="none" w:sz="0" w:space="0" w:color="auto"/>
        <w:bottom w:val="none" w:sz="0" w:space="0" w:color="auto"/>
        <w:right w:val="none" w:sz="0" w:space="0" w:color="auto"/>
      </w:divBdr>
    </w:div>
    <w:div w:id="386883469">
      <w:bodyDiv w:val="1"/>
      <w:marLeft w:val="0"/>
      <w:marRight w:val="0"/>
      <w:marTop w:val="0"/>
      <w:marBottom w:val="0"/>
      <w:divBdr>
        <w:top w:val="none" w:sz="0" w:space="0" w:color="auto"/>
        <w:left w:val="none" w:sz="0" w:space="0" w:color="auto"/>
        <w:bottom w:val="none" w:sz="0" w:space="0" w:color="auto"/>
        <w:right w:val="none" w:sz="0" w:space="0" w:color="auto"/>
      </w:divBdr>
    </w:div>
    <w:div w:id="394546376">
      <w:bodyDiv w:val="1"/>
      <w:marLeft w:val="0"/>
      <w:marRight w:val="0"/>
      <w:marTop w:val="0"/>
      <w:marBottom w:val="0"/>
      <w:divBdr>
        <w:top w:val="none" w:sz="0" w:space="0" w:color="auto"/>
        <w:left w:val="none" w:sz="0" w:space="0" w:color="auto"/>
        <w:bottom w:val="none" w:sz="0" w:space="0" w:color="auto"/>
        <w:right w:val="none" w:sz="0" w:space="0" w:color="auto"/>
      </w:divBdr>
    </w:div>
    <w:div w:id="398332220">
      <w:bodyDiv w:val="1"/>
      <w:marLeft w:val="0"/>
      <w:marRight w:val="0"/>
      <w:marTop w:val="0"/>
      <w:marBottom w:val="0"/>
      <w:divBdr>
        <w:top w:val="none" w:sz="0" w:space="0" w:color="auto"/>
        <w:left w:val="none" w:sz="0" w:space="0" w:color="auto"/>
        <w:bottom w:val="none" w:sz="0" w:space="0" w:color="auto"/>
        <w:right w:val="none" w:sz="0" w:space="0" w:color="auto"/>
      </w:divBdr>
    </w:div>
    <w:div w:id="398985071">
      <w:bodyDiv w:val="1"/>
      <w:marLeft w:val="0"/>
      <w:marRight w:val="0"/>
      <w:marTop w:val="0"/>
      <w:marBottom w:val="0"/>
      <w:divBdr>
        <w:top w:val="none" w:sz="0" w:space="0" w:color="auto"/>
        <w:left w:val="none" w:sz="0" w:space="0" w:color="auto"/>
        <w:bottom w:val="none" w:sz="0" w:space="0" w:color="auto"/>
        <w:right w:val="none" w:sz="0" w:space="0" w:color="auto"/>
      </w:divBdr>
    </w:div>
    <w:div w:id="409350166">
      <w:bodyDiv w:val="1"/>
      <w:marLeft w:val="0"/>
      <w:marRight w:val="0"/>
      <w:marTop w:val="0"/>
      <w:marBottom w:val="0"/>
      <w:divBdr>
        <w:top w:val="none" w:sz="0" w:space="0" w:color="auto"/>
        <w:left w:val="none" w:sz="0" w:space="0" w:color="auto"/>
        <w:bottom w:val="none" w:sz="0" w:space="0" w:color="auto"/>
        <w:right w:val="none" w:sz="0" w:space="0" w:color="auto"/>
      </w:divBdr>
    </w:div>
    <w:div w:id="433092009">
      <w:bodyDiv w:val="1"/>
      <w:marLeft w:val="0"/>
      <w:marRight w:val="0"/>
      <w:marTop w:val="0"/>
      <w:marBottom w:val="0"/>
      <w:divBdr>
        <w:top w:val="none" w:sz="0" w:space="0" w:color="auto"/>
        <w:left w:val="none" w:sz="0" w:space="0" w:color="auto"/>
        <w:bottom w:val="none" w:sz="0" w:space="0" w:color="auto"/>
        <w:right w:val="none" w:sz="0" w:space="0" w:color="auto"/>
      </w:divBdr>
    </w:div>
    <w:div w:id="434911465">
      <w:bodyDiv w:val="1"/>
      <w:marLeft w:val="0"/>
      <w:marRight w:val="0"/>
      <w:marTop w:val="0"/>
      <w:marBottom w:val="0"/>
      <w:divBdr>
        <w:top w:val="none" w:sz="0" w:space="0" w:color="auto"/>
        <w:left w:val="none" w:sz="0" w:space="0" w:color="auto"/>
        <w:bottom w:val="none" w:sz="0" w:space="0" w:color="auto"/>
        <w:right w:val="none" w:sz="0" w:space="0" w:color="auto"/>
      </w:divBdr>
    </w:div>
    <w:div w:id="462623328">
      <w:bodyDiv w:val="1"/>
      <w:marLeft w:val="0"/>
      <w:marRight w:val="0"/>
      <w:marTop w:val="0"/>
      <w:marBottom w:val="0"/>
      <w:divBdr>
        <w:top w:val="none" w:sz="0" w:space="0" w:color="auto"/>
        <w:left w:val="none" w:sz="0" w:space="0" w:color="auto"/>
        <w:bottom w:val="none" w:sz="0" w:space="0" w:color="auto"/>
        <w:right w:val="none" w:sz="0" w:space="0" w:color="auto"/>
      </w:divBdr>
    </w:div>
    <w:div w:id="503790578">
      <w:bodyDiv w:val="1"/>
      <w:marLeft w:val="0"/>
      <w:marRight w:val="0"/>
      <w:marTop w:val="0"/>
      <w:marBottom w:val="0"/>
      <w:divBdr>
        <w:top w:val="none" w:sz="0" w:space="0" w:color="auto"/>
        <w:left w:val="none" w:sz="0" w:space="0" w:color="auto"/>
        <w:bottom w:val="none" w:sz="0" w:space="0" w:color="auto"/>
        <w:right w:val="none" w:sz="0" w:space="0" w:color="auto"/>
      </w:divBdr>
    </w:div>
    <w:div w:id="518200997">
      <w:bodyDiv w:val="1"/>
      <w:marLeft w:val="0"/>
      <w:marRight w:val="0"/>
      <w:marTop w:val="0"/>
      <w:marBottom w:val="0"/>
      <w:divBdr>
        <w:top w:val="none" w:sz="0" w:space="0" w:color="auto"/>
        <w:left w:val="none" w:sz="0" w:space="0" w:color="auto"/>
        <w:bottom w:val="none" w:sz="0" w:space="0" w:color="auto"/>
        <w:right w:val="none" w:sz="0" w:space="0" w:color="auto"/>
      </w:divBdr>
    </w:div>
    <w:div w:id="551576549">
      <w:bodyDiv w:val="1"/>
      <w:marLeft w:val="0"/>
      <w:marRight w:val="0"/>
      <w:marTop w:val="0"/>
      <w:marBottom w:val="0"/>
      <w:divBdr>
        <w:top w:val="none" w:sz="0" w:space="0" w:color="auto"/>
        <w:left w:val="none" w:sz="0" w:space="0" w:color="auto"/>
        <w:bottom w:val="none" w:sz="0" w:space="0" w:color="auto"/>
        <w:right w:val="none" w:sz="0" w:space="0" w:color="auto"/>
      </w:divBdr>
    </w:div>
    <w:div w:id="562059446">
      <w:bodyDiv w:val="1"/>
      <w:marLeft w:val="0"/>
      <w:marRight w:val="0"/>
      <w:marTop w:val="0"/>
      <w:marBottom w:val="0"/>
      <w:divBdr>
        <w:top w:val="none" w:sz="0" w:space="0" w:color="auto"/>
        <w:left w:val="none" w:sz="0" w:space="0" w:color="auto"/>
        <w:bottom w:val="none" w:sz="0" w:space="0" w:color="auto"/>
        <w:right w:val="none" w:sz="0" w:space="0" w:color="auto"/>
      </w:divBdr>
    </w:div>
    <w:div w:id="567033111">
      <w:bodyDiv w:val="1"/>
      <w:marLeft w:val="0"/>
      <w:marRight w:val="0"/>
      <w:marTop w:val="0"/>
      <w:marBottom w:val="0"/>
      <w:divBdr>
        <w:top w:val="none" w:sz="0" w:space="0" w:color="auto"/>
        <w:left w:val="none" w:sz="0" w:space="0" w:color="auto"/>
        <w:bottom w:val="none" w:sz="0" w:space="0" w:color="auto"/>
        <w:right w:val="none" w:sz="0" w:space="0" w:color="auto"/>
      </w:divBdr>
    </w:div>
    <w:div w:id="604312201">
      <w:bodyDiv w:val="1"/>
      <w:marLeft w:val="0"/>
      <w:marRight w:val="0"/>
      <w:marTop w:val="0"/>
      <w:marBottom w:val="0"/>
      <w:divBdr>
        <w:top w:val="none" w:sz="0" w:space="0" w:color="auto"/>
        <w:left w:val="none" w:sz="0" w:space="0" w:color="auto"/>
        <w:bottom w:val="none" w:sz="0" w:space="0" w:color="auto"/>
        <w:right w:val="none" w:sz="0" w:space="0" w:color="auto"/>
      </w:divBdr>
    </w:div>
    <w:div w:id="613946648">
      <w:bodyDiv w:val="1"/>
      <w:marLeft w:val="0"/>
      <w:marRight w:val="0"/>
      <w:marTop w:val="0"/>
      <w:marBottom w:val="0"/>
      <w:divBdr>
        <w:top w:val="none" w:sz="0" w:space="0" w:color="auto"/>
        <w:left w:val="none" w:sz="0" w:space="0" w:color="auto"/>
        <w:bottom w:val="none" w:sz="0" w:space="0" w:color="auto"/>
        <w:right w:val="none" w:sz="0" w:space="0" w:color="auto"/>
      </w:divBdr>
    </w:div>
    <w:div w:id="621619170">
      <w:bodyDiv w:val="1"/>
      <w:marLeft w:val="0"/>
      <w:marRight w:val="0"/>
      <w:marTop w:val="0"/>
      <w:marBottom w:val="0"/>
      <w:divBdr>
        <w:top w:val="none" w:sz="0" w:space="0" w:color="auto"/>
        <w:left w:val="none" w:sz="0" w:space="0" w:color="auto"/>
        <w:bottom w:val="none" w:sz="0" w:space="0" w:color="auto"/>
        <w:right w:val="none" w:sz="0" w:space="0" w:color="auto"/>
      </w:divBdr>
    </w:div>
    <w:div w:id="647051346">
      <w:bodyDiv w:val="1"/>
      <w:marLeft w:val="0"/>
      <w:marRight w:val="0"/>
      <w:marTop w:val="0"/>
      <w:marBottom w:val="0"/>
      <w:divBdr>
        <w:top w:val="none" w:sz="0" w:space="0" w:color="auto"/>
        <w:left w:val="none" w:sz="0" w:space="0" w:color="auto"/>
        <w:bottom w:val="none" w:sz="0" w:space="0" w:color="auto"/>
        <w:right w:val="none" w:sz="0" w:space="0" w:color="auto"/>
      </w:divBdr>
    </w:div>
    <w:div w:id="655181710">
      <w:bodyDiv w:val="1"/>
      <w:marLeft w:val="0"/>
      <w:marRight w:val="0"/>
      <w:marTop w:val="0"/>
      <w:marBottom w:val="0"/>
      <w:divBdr>
        <w:top w:val="none" w:sz="0" w:space="0" w:color="auto"/>
        <w:left w:val="none" w:sz="0" w:space="0" w:color="auto"/>
        <w:bottom w:val="none" w:sz="0" w:space="0" w:color="auto"/>
        <w:right w:val="none" w:sz="0" w:space="0" w:color="auto"/>
      </w:divBdr>
    </w:div>
    <w:div w:id="695886788">
      <w:bodyDiv w:val="1"/>
      <w:marLeft w:val="0"/>
      <w:marRight w:val="0"/>
      <w:marTop w:val="0"/>
      <w:marBottom w:val="0"/>
      <w:divBdr>
        <w:top w:val="none" w:sz="0" w:space="0" w:color="auto"/>
        <w:left w:val="none" w:sz="0" w:space="0" w:color="auto"/>
        <w:bottom w:val="none" w:sz="0" w:space="0" w:color="auto"/>
        <w:right w:val="none" w:sz="0" w:space="0" w:color="auto"/>
      </w:divBdr>
    </w:div>
    <w:div w:id="700934606">
      <w:bodyDiv w:val="1"/>
      <w:marLeft w:val="0"/>
      <w:marRight w:val="0"/>
      <w:marTop w:val="0"/>
      <w:marBottom w:val="0"/>
      <w:divBdr>
        <w:top w:val="none" w:sz="0" w:space="0" w:color="auto"/>
        <w:left w:val="none" w:sz="0" w:space="0" w:color="auto"/>
        <w:bottom w:val="none" w:sz="0" w:space="0" w:color="auto"/>
        <w:right w:val="none" w:sz="0" w:space="0" w:color="auto"/>
      </w:divBdr>
      <w:divsChild>
        <w:div w:id="937106291">
          <w:marLeft w:val="360"/>
          <w:marRight w:val="0"/>
          <w:marTop w:val="0"/>
          <w:marBottom w:val="0"/>
          <w:divBdr>
            <w:top w:val="none" w:sz="0" w:space="0" w:color="auto"/>
            <w:left w:val="none" w:sz="0" w:space="0" w:color="auto"/>
            <w:bottom w:val="none" w:sz="0" w:space="0" w:color="auto"/>
            <w:right w:val="none" w:sz="0" w:space="0" w:color="auto"/>
          </w:divBdr>
        </w:div>
        <w:div w:id="266353306">
          <w:marLeft w:val="360"/>
          <w:marRight w:val="0"/>
          <w:marTop w:val="0"/>
          <w:marBottom w:val="0"/>
          <w:divBdr>
            <w:top w:val="none" w:sz="0" w:space="0" w:color="auto"/>
            <w:left w:val="none" w:sz="0" w:space="0" w:color="auto"/>
            <w:bottom w:val="none" w:sz="0" w:space="0" w:color="auto"/>
            <w:right w:val="none" w:sz="0" w:space="0" w:color="auto"/>
          </w:divBdr>
        </w:div>
        <w:div w:id="1679385162">
          <w:marLeft w:val="360"/>
          <w:marRight w:val="0"/>
          <w:marTop w:val="0"/>
          <w:marBottom w:val="0"/>
          <w:divBdr>
            <w:top w:val="none" w:sz="0" w:space="0" w:color="auto"/>
            <w:left w:val="none" w:sz="0" w:space="0" w:color="auto"/>
            <w:bottom w:val="none" w:sz="0" w:space="0" w:color="auto"/>
            <w:right w:val="none" w:sz="0" w:space="0" w:color="auto"/>
          </w:divBdr>
        </w:div>
        <w:div w:id="238028191">
          <w:marLeft w:val="360"/>
          <w:marRight w:val="0"/>
          <w:marTop w:val="0"/>
          <w:marBottom w:val="0"/>
          <w:divBdr>
            <w:top w:val="none" w:sz="0" w:space="0" w:color="auto"/>
            <w:left w:val="none" w:sz="0" w:space="0" w:color="auto"/>
            <w:bottom w:val="none" w:sz="0" w:space="0" w:color="auto"/>
            <w:right w:val="none" w:sz="0" w:space="0" w:color="auto"/>
          </w:divBdr>
        </w:div>
        <w:div w:id="193931905">
          <w:marLeft w:val="360"/>
          <w:marRight w:val="0"/>
          <w:marTop w:val="0"/>
          <w:marBottom w:val="0"/>
          <w:divBdr>
            <w:top w:val="none" w:sz="0" w:space="0" w:color="auto"/>
            <w:left w:val="none" w:sz="0" w:space="0" w:color="auto"/>
            <w:bottom w:val="none" w:sz="0" w:space="0" w:color="auto"/>
            <w:right w:val="none" w:sz="0" w:space="0" w:color="auto"/>
          </w:divBdr>
        </w:div>
        <w:div w:id="412356381">
          <w:marLeft w:val="360"/>
          <w:marRight w:val="0"/>
          <w:marTop w:val="0"/>
          <w:marBottom w:val="0"/>
          <w:divBdr>
            <w:top w:val="none" w:sz="0" w:space="0" w:color="auto"/>
            <w:left w:val="none" w:sz="0" w:space="0" w:color="auto"/>
            <w:bottom w:val="none" w:sz="0" w:space="0" w:color="auto"/>
            <w:right w:val="none" w:sz="0" w:space="0" w:color="auto"/>
          </w:divBdr>
        </w:div>
        <w:div w:id="2099059891">
          <w:marLeft w:val="360"/>
          <w:marRight w:val="0"/>
          <w:marTop w:val="0"/>
          <w:marBottom w:val="0"/>
          <w:divBdr>
            <w:top w:val="none" w:sz="0" w:space="0" w:color="auto"/>
            <w:left w:val="none" w:sz="0" w:space="0" w:color="auto"/>
            <w:bottom w:val="none" w:sz="0" w:space="0" w:color="auto"/>
            <w:right w:val="none" w:sz="0" w:space="0" w:color="auto"/>
          </w:divBdr>
        </w:div>
        <w:div w:id="517349352">
          <w:marLeft w:val="360"/>
          <w:marRight w:val="0"/>
          <w:marTop w:val="0"/>
          <w:marBottom w:val="0"/>
          <w:divBdr>
            <w:top w:val="none" w:sz="0" w:space="0" w:color="auto"/>
            <w:left w:val="none" w:sz="0" w:space="0" w:color="auto"/>
            <w:bottom w:val="none" w:sz="0" w:space="0" w:color="auto"/>
            <w:right w:val="none" w:sz="0" w:space="0" w:color="auto"/>
          </w:divBdr>
        </w:div>
      </w:divsChild>
    </w:div>
    <w:div w:id="707218647">
      <w:bodyDiv w:val="1"/>
      <w:marLeft w:val="0"/>
      <w:marRight w:val="0"/>
      <w:marTop w:val="0"/>
      <w:marBottom w:val="0"/>
      <w:divBdr>
        <w:top w:val="none" w:sz="0" w:space="0" w:color="auto"/>
        <w:left w:val="none" w:sz="0" w:space="0" w:color="auto"/>
        <w:bottom w:val="none" w:sz="0" w:space="0" w:color="auto"/>
        <w:right w:val="none" w:sz="0" w:space="0" w:color="auto"/>
      </w:divBdr>
    </w:div>
    <w:div w:id="760832499">
      <w:bodyDiv w:val="1"/>
      <w:marLeft w:val="0"/>
      <w:marRight w:val="0"/>
      <w:marTop w:val="0"/>
      <w:marBottom w:val="0"/>
      <w:divBdr>
        <w:top w:val="none" w:sz="0" w:space="0" w:color="auto"/>
        <w:left w:val="none" w:sz="0" w:space="0" w:color="auto"/>
        <w:bottom w:val="none" w:sz="0" w:space="0" w:color="auto"/>
        <w:right w:val="none" w:sz="0" w:space="0" w:color="auto"/>
      </w:divBdr>
    </w:div>
    <w:div w:id="765267423">
      <w:bodyDiv w:val="1"/>
      <w:marLeft w:val="0"/>
      <w:marRight w:val="0"/>
      <w:marTop w:val="0"/>
      <w:marBottom w:val="0"/>
      <w:divBdr>
        <w:top w:val="none" w:sz="0" w:space="0" w:color="auto"/>
        <w:left w:val="none" w:sz="0" w:space="0" w:color="auto"/>
        <w:bottom w:val="none" w:sz="0" w:space="0" w:color="auto"/>
        <w:right w:val="none" w:sz="0" w:space="0" w:color="auto"/>
      </w:divBdr>
    </w:div>
    <w:div w:id="765344493">
      <w:bodyDiv w:val="1"/>
      <w:marLeft w:val="0"/>
      <w:marRight w:val="0"/>
      <w:marTop w:val="0"/>
      <w:marBottom w:val="0"/>
      <w:divBdr>
        <w:top w:val="none" w:sz="0" w:space="0" w:color="auto"/>
        <w:left w:val="none" w:sz="0" w:space="0" w:color="auto"/>
        <w:bottom w:val="none" w:sz="0" w:space="0" w:color="auto"/>
        <w:right w:val="none" w:sz="0" w:space="0" w:color="auto"/>
      </w:divBdr>
    </w:div>
    <w:div w:id="765467116">
      <w:bodyDiv w:val="1"/>
      <w:marLeft w:val="0"/>
      <w:marRight w:val="0"/>
      <w:marTop w:val="0"/>
      <w:marBottom w:val="0"/>
      <w:divBdr>
        <w:top w:val="none" w:sz="0" w:space="0" w:color="auto"/>
        <w:left w:val="none" w:sz="0" w:space="0" w:color="auto"/>
        <w:bottom w:val="none" w:sz="0" w:space="0" w:color="auto"/>
        <w:right w:val="none" w:sz="0" w:space="0" w:color="auto"/>
      </w:divBdr>
    </w:div>
    <w:div w:id="785081281">
      <w:bodyDiv w:val="1"/>
      <w:marLeft w:val="0"/>
      <w:marRight w:val="0"/>
      <w:marTop w:val="0"/>
      <w:marBottom w:val="0"/>
      <w:divBdr>
        <w:top w:val="none" w:sz="0" w:space="0" w:color="auto"/>
        <w:left w:val="none" w:sz="0" w:space="0" w:color="auto"/>
        <w:bottom w:val="none" w:sz="0" w:space="0" w:color="auto"/>
        <w:right w:val="none" w:sz="0" w:space="0" w:color="auto"/>
      </w:divBdr>
    </w:div>
    <w:div w:id="787822909">
      <w:bodyDiv w:val="1"/>
      <w:marLeft w:val="0"/>
      <w:marRight w:val="0"/>
      <w:marTop w:val="0"/>
      <w:marBottom w:val="0"/>
      <w:divBdr>
        <w:top w:val="none" w:sz="0" w:space="0" w:color="auto"/>
        <w:left w:val="none" w:sz="0" w:space="0" w:color="auto"/>
        <w:bottom w:val="none" w:sz="0" w:space="0" w:color="auto"/>
        <w:right w:val="none" w:sz="0" w:space="0" w:color="auto"/>
      </w:divBdr>
    </w:div>
    <w:div w:id="793063946">
      <w:bodyDiv w:val="1"/>
      <w:marLeft w:val="0"/>
      <w:marRight w:val="0"/>
      <w:marTop w:val="0"/>
      <w:marBottom w:val="0"/>
      <w:divBdr>
        <w:top w:val="none" w:sz="0" w:space="0" w:color="auto"/>
        <w:left w:val="none" w:sz="0" w:space="0" w:color="auto"/>
        <w:bottom w:val="none" w:sz="0" w:space="0" w:color="auto"/>
        <w:right w:val="none" w:sz="0" w:space="0" w:color="auto"/>
      </w:divBdr>
    </w:div>
    <w:div w:id="804926635">
      <w:bodyDiv w:val="1"/>
      <w:marLeft w:val="0"/>
      <w:marRight w:val="0"/>
      <w:marTop w:val="0"/>
      <w:marBottom w:val="0"/>
      <w:divBdr>
        <w:top w:val="none" w:sz="0" w:space="0" w:color="auto"/>
        <w:left w:val="none" w:sz="0" w:space="0" w:color="auto"/>
        <w:bottom w:val="none" w:sz="0" w:space="0" w:color="auto"/>
        <w:right w:val="none" w:sz="0" w:space="0" w:color="auto"/>
      </w:divBdr>
    </w:div>
    <w:div w:id="807866814">
      <w:bodyDiv w:val="1"/>
      <w:marLeft w:val="0"/>
      <w:marRight w:val="0"/>
      <w:marTop w:val="0"/>
      <w:marBottom w:val="0"/>
      <w:divBdr>
        <w:top w:val="none" w:sz="0" w:space="0" w:color="auto"/>
        <w:left w:val="none" w:sz="0" w:space="0" w:color="auto"/>
        <w:bottom w:val="none" w:sz="0" w:space="0" w:color="auto"/>
        <w:right w:val="none" w:sz="0" w:space="0" w:color="auto"/>
      </w:divBdr>
    </w:div>
    <w:div w:id="813791023">
      <w:bodyDiv w:val="1"/>
      <w:marLeft w:val="0"/>
      <w:marRight w:val="0"/>
      <w:marTop w:val="0"/>
      <w:marBottom w:val="0"/>
      <w:divBdr>
        <w:top w:val="none" w:sz="0" w:space="0" w:color="auto"/>
        <w:left w:val="none" w:sz="0" w:space="0" w:color="auto"/>
        <w:bottom w:val="none" w:sz="0" w:space="0" w:color="auto"/>
        <w:right w:val="none" w:sz="0" w:space="0" w:color="auto"/>
      </w:divBdr>
    </w:div>
    <w:div w:id="829489526">
      <w:bodyDiv w:val="1"/>
      <w:marLeft w:val="0"/>
      <w:marRight w:val="0"/>
      <w:marTop w:val="0"/>
      <w:marBottom w:val="0"/>
      <w:divBdr>
        <w:top w:val="none" w:sz="0" w:space="0" w:color="auto"/>
        <w:left w:val="none" w:sz="0" w:space="0" w:color="auto"/>
        <w:bottom w:val="none" w:sz="0" w:space="0" w:color="auto"/>
        <w:right w:val="none" w:sz="0" w:space="0" w:color="auto"/>
      </w:divBdr>
    </w:div>
    <w:div w:id="832990351">
      <w:bodyDiv w:val="1"/>
      <w:marLeft w:val="0"/>
      <w:marRight w:val="0"/>
      <w:marTop w:val="0"/>
      <w:marBottom w:val="0"/>
      <w:divBdr>
        <w:top w:val="none" w:sz="0" w:space="0" w:color="auto"/>
        <w:left w:val="none" w:sz="0" w:space="0" w:color="auto"/>
        <w:bottom w:val="none" w:sz="0" w:space="0" w:color="auto"/>
        <w:right w:val="none" w:sz="0" w:space="0" w:color="auto"/>
      </w:divBdr>
    </w:div>
    <w:div w:id="834489755">
      <w:bodyDiv w:val="1"/>
      <w:marLeft w:val="0"/>
      <w:marRight w:val="0"/>
      <w:marTop w:val="0"/>
      <w:marBottom w:val="0"/>
      <w:divBdr>
        <w:top w:val="none" w:sz="0" w:space="0" w:color="auto"/>
        <w:left w:val="none" w:sz="0" w:space="0" w:color="auto"/>
        <w:bottom w:val="none" w:sz="0" w:space="0" w:color="auto"/>
        <w:right w:val="none" w:sz="0" w:space="0" w:color="auto"/>
      </w:divBdr>
    </w:div>
    <w:div w:id="874007473">
      <w:bodyDiv w:val="1"/>
      <w:marLeft w:val="0"/>
      <w:marRight w:val="0"/>
      <w:marTop w:val="0"/>
      <w:marBottom w:val="0"/>
      <w:divBdr>
        <w:top w:val="none" w:sz="0" w:space="0" w:color="auto"/>
        <w:left w:val="none" w:sz="0" w:space="0" w:color="auto"/>
        <w:bottom w:val="none" w:sz="0" w:space="0" w:color="auto"/>
        <w:right w:val="none" w:sz="0" w:space="0" w:color="auto"/>
      </w:divBdr>
      <w:divsChild>
        <w:div w:id="1957709760">
          <w:marLeft w:val="0"/>
          <w:marRight w:val="0"/>
          <w:marTop w:val="0"/>
          <w:marBottom w:val="0"/>
          <w:divBdr>
            <w:top w:val="none" w:sz="0" w:space="0" w:color="auto"/>
            <w:left w:val="none" w:sz="0" w:space="0" w:color="auto"/>
            <w:bottom w:val="none" w:sz="0" w:space="0" w:color="auto"/>
            <w:right w:val="none" w:sz="0" w:space="0" w:color="auto"/>
          </w:divBdr>
          <w:divsChild>
            <w:div w:id="1261986632">
              <w:marLeft w:val="0"/>
              <w:marRight w:val="0"/>
              <w:marTop w:val="0"/>
              <w:marBottom w:val="0"/>
              <w:divBdr>
                <w:top w:val="none" w:sz="0" w:space="0" w:color="auto"/>
                <w:left w:val="none" w:sz="0" w:space="0" w:color="auto"/>
                <w:bottom w:val="none" w:sz="0" w:space="0" w:color="auto"/>
                <w:right w:val="none" w:sz="0" w:space="0" w:color="auto"/>
              </w:divBdr>
              <w:divsChild>
                <w:div w:id="41806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126251">
      <w:bodyDiv w:val="1"/>
      <w:marLeft w:val="0"/>
      <w:marRight w:val="0"/>
      <w:marTop w:val="0"/>
      <w:marBottom w:val="0"/>
      <w:divBdr>
        <w:top w:val="none" w:sz="0" w:space="0" w:color="auto"/>
        <w:left w:val="none" w:sz="0" w:space="0" w:color="auto"/>
        <w:bottom w:val="none" w:sz="0" w:space="0" w:color="auto"/>
        <w:right w:val="none" w:sz="0" w:space="0" w:color="auto"/>
      </w:divBdr>
    </w:div>
    <w:div w:id="916594702">
      <w:bodyDiv w:val="1"/>
      <w:marLeft w:val="0"/>
      <w:marRight w:val="0"/>
      <w:marTop w:val="0"/>
      <w:marBottom w:val="0"/>
      <w:divBdr>
        <w:top w:val="none" w:sz="0" w:space="0" w:color="auto"/>
        <w:left w:val="none" w:sz="0" w:space="0" w:color="auto"/>
        <w:bottom w:val="none" w:sz="0" w:space="0" w:color="auto"/>
        <w:right w:val="none" w:sz="0" w:space="0" w:color="auto"/>
      </w:divBdr>
    </w:div>
    <w:div w:id="927233980">
      <w:bodyDiv w:val="1"/>
      <w:marLeft w:val="0"/>
      <w:marRight w:val="0"/>
      <w:marTop w:val="0"/>
      <w:marBottom w:val="0"/>
      <w:divBdr>
        <w:top w:val="none" w:sz="0" w:space="0" w:color="auto"/>
        <w:left w:val="none" w:sz="0" w:space="0" w:color="auto"/>
        <w:bottom w:val="none" w:sz="0" w:space="0" w:color="auto"/>
        <w:right w:val="none" w:sz="0" w:space="0" w:color="auto"/>
      </w:divBdr>
    </w:div>
    <w:div w:id="944458411">
      <w:bodyDiv w:val="1"/>
      <w:marLeft w:val="0"/>
      <w:marRight w:val="0"/>
      <w:marTop w:val="0"/>
      <w:marBottom w:val="0"/>
      <w:divBdr>
        <w:top w:val="none" w:sz="0" w:space="0" w:color="auto"/>
        <w:left w:val="none" w:sz="0" w:space="0" w:color="auto"/>
        <w:bottom w:val="none" w:sz="0" w:space="0" w:color="auto"/>
        <w:right w:val="none" w:sz="0" w:space="0" w:color="auto"/>
      </w:divBdr>
    </w:div>
    <w:div w:id="949358400">
      <w:bodyDiv w:val="1"/>
      <w:marLeft w:val="0"/>
      <w:marRight w:val="0"/>
      <w:marTop w:val="0"/>
      <w:marBottom w:val="0"/>
      <w:divBdr>
        <w:top w:val="none" w:sz="0" w:space="0" w:color="auto"/>
        <w:left w:val="none" w:sz="0" w:space="0" w:color="auto"/>
        <w:bottom w:val="none" w:sz="0" w:space="0" w:color="auto"/>
        <w:right w:val="none" w:sz="0" w:space="0" w:color="auto"/>
      </w:divBdr>
    </w:div>
    <w:div w:id="959840285">
      <w:bodyDiv w:val="1"/>
      <w:marLeft w:val="0"/>
      <w:marRight w:val="0"/>
      <w:marTop w:val="0"/>
      <w:marBottom w:val="0"/>
      <w:divBdr>
        <w:top w:val="none" w:sz="0" w:space="0" w:color="auto"/>
        <w:left w:val="none" w:sz="0" w:space="0" w:color="auto"/>
        <w:bottom w:val="none" w:sz="0" w:space="0" w:color="auto"/>
        <w:right w:val="none" w:sz="0" w:space="0" w:color="auto"/>
      </w:divBdr>
    </w:div>
    <w:div w:id="963461569">
      <w:bodyDiv w:val="1"/>
      <w:marLeft w:val="0"/>
      <w:marRight w:val="0"/>
      <w:marTop w:val="0"/>
      <w:marBottom w:val="0"/>
      <w:divBdr>
        <w:top w:val="none" w:sz="0" w:space="0" w:color="auto"/>
        <w:left w:val="none" w:sz="0" w:space="0" w:color="auto"/>
        <w:bottom w:val="none" w:sz="0" w:space="0" w:color="auto"/>
        <w:right w:val="none" w:sz="0" w:space="0" w:color="auto"/>
      </w:divBdr>
    </w:div>
    <w:div w:id="970286246">
      <w:bodyDiv w:val="1"/>
      <w:marLeft w:val="0"/>
      <w:marRight w:val="0"/>
      <w:marTop w:val="0"/>
      <w:marBottom w:val="0"/>
      <w:divBdr>
        <w:top w:val="none" w:sz="0" w:space="0" w:color="auto"/>
        <w:left w:val="none" w:sz="0" w:space="0" w:color="auto"/>
        <w:bottom w:val="none" w:sz="0" w:space="0" w:color="auto"/>
        <w:right w:val="none" w:sz="0" w:space="0" w:color="auto"/>
      </w:divBdr>
    </w:div>
    <w:div w:id="982782242">
      <w:bodyDiv w:val="1"/>
      <w:marLeft w:val="0"/>
      <w:marRight w:val="0"/>
      <w:marTop w:val="0"/>
      <w:marBottom w:val="0"/>
      <w:divBdr>
        <w:top w:val="none" w:sz="0" w:space="0" w:color="auto"/>
        <w:left w:val="none" w:sz="0" w:space="0" w:color="auto"/>
        <w:bottom w:val="none" w:sz="0" w:space="0" w:color="auto"/>
        <w:right w:val="none" w:sz="0" w:space="0" w:color="auto"/>
      </w:divBdr>
    </w:div>
    <w:div w:id="993610294">
      <w:bodyDiv w:val="1"/>
      <w:marLeft w:val="0"/>
      <w:marRight w:val="0"/>
      <w:marTop w:val="0"/>
      <w:marBottom w:val="0"/>
      <w:divBdr>
        <w:top w:val="none" w:sz="0" w:space="0" w:color="auto"/>
        <w:left w:val="none" w:sz="0" w:space="0" w:color="auto"/>
        <w:bottom w:val="none" w:sz="0" w:space="0" w:color="auto"/>
        <w:right w:val="none" w:sz="0" w:space="0" w:color="auto"/>
      </w:divBdr>
    </w:div>
    <w:div w:id="993804209">
      <w:bodyDiv w:val="1"/>
      <w:marLeft w:val="0"/>
      <w:marRight w:val="0"/>
      <w:marTop w:val="0"/>
      <w:marBottom w:val="0"/>
      <w:divBdr>
        <w:top w:val="none" w:sz="0" w:space="0" w:color="auto"/>
        <w:left w:val="none" w:sz="0" w:space="0" w:color="auto"/>
        <w:bottom w:val="none" w:sz="0" w:space="0" w:color="auto"/>
        <w:right w:val="none" w:sz="0" w:space="0" w:color="auto"/>
      </w:divBdr>
    </w:div>
    <w:div w:id="1022895970">
      <w:bodyDiv w:val="1"/>
      <w:marLeft w:val="0"/>
      <w:marRight w:val="0"/>
      <w:marTop w:val="0"/>
      <w:marBottom w:val="0"/>
      <w:divBdr>
        <w:top w:val="none" w:sz="0" w:space="0" w:color="auto"/>
        <w:left w:val="none" w:sz="0" w:space="0" w:color="auto"/>
        <w:bottom w:val="none" w:sz="0" w:space="0" w:color="auto"/>
        <w:right w:val="none" w:sz="0" w:space="0" w:color="auto"/>
      </w:divBdr>
    </w:div>
    <w:div w:id="1029260844">
      <w:bodyDiv w:val="1"/>
      <w:marLeft w:val="0"/>
      <w:marRight w:val="0"/>
      <w:marTop w:val="0"/>
      <w:marBottom w:val="0"/>
      <w:divBdr>
        <w:top w:val="none" w:sz="0" w:space="0" w:color="auto"/>
        <w:left w:val="none" w:sz="0" w:space="0" w:color="auto"/>
        <w:bottom w:val="none" w:sz="0" w:space="0" w:color="auto"/>
        <w:right w:val="none" w:sz="0" w:space="0" w:color="auto"/>
      </w:divBdr>
    </w:div>
    <w:div w:id="1030958077">
      <w:bodyDiv w:val="1"/>
      <w:marLeft w:val="0"/>
      <w:marRight w:val="0"/>
      <w:marTop w:val="0"/>
      <w:marBottom w:val="0"/>
      <w:divBdr>
        <w:top w:val="none" w:sz="0" w:space="0" w:color="auto"/>
        <w:left w:val="none" w:sz="0" w:space="0" w:color="auto"/>
        <w:bottom w:val="none" w:sz="0" w:space="0" w:color="auto"/>
        <w:right w:val="none" w:sz="0" w:space="0" w:color="auto"/>
      </w:divBdr>
    </w:div>
    <w:div w:id="1036588221">
      <w:bodyDiv w:val="1"/>
      <w:marLeft w:val="0"/>
      <w:marRight w:val="0"/>
      <w:marTop w:val="0"/>
      <w:marBottom w:val="0"/>
      <w:divBdr>
        <w:top w:val="none" w:sz="0" w:space="0" w:color="auto"/>
        <w:left w:val="none" w:sz="0" w:space="0" w:color="auto"/>
        <w:bottom w:val="none" w:sz="0" w:space="0" w:color="auto"/>
        <w:right w:val="none" w:sz="0" w:space="0" w:color="auto"/>
      </w:divBdr>
    </w:div>
    <w:div w:id="1055860611">
      <w:bodyDiv w:val="1"/>
      <w:marLeft w:val="0"/>
      <w:marRight w:val="0"/>
      <w:marTop w:val="0"/>
      <w:marBottom w:val="0"/>
      <w:divBdr>
        <w:top w:val="none" w:sz="0" w:space="0" w:color="auto"/>
        <w:left w:val="none" w:sz="0" w:space="0" w:color="auto"/>
        <w:bottom w:val="none" w:sz="0" w:space="0" w:color="auto"/>
        <w:right w:val="none" w:sz="0" w:space="0" w:color="auto"/>
      </w:divBdr>
    </w:div>
    <w:div w:id="1063597212">
      <w:bodyDiv w:val="1"/>
      <w:marLeft w:val="0"/>
      <w:marRight w:val="0"/>
      <w:marTop w:val="0"/>
      <w:marBottom w:val="0"/>
      <w:divBdr>
        <w:top w:val="none" w:sz="0" w:space="0" w:color="auto"/>
        <w:left w:val="none" w:sz="0" w:space="0" w:color="auto"/>
        <w:bottom w:val="none" w:sz="0" w:space="0" w:color="auto"/>
        <w:right w:val="none" w:sz="0" w:space="0" w:color="auto"/>
      </w:divBdr>
      <w:divsChild>
        <w:div w:id="673455891">
          <w:marLeft w:val="0"/>
          <w:marRight w:val="0"/>
          <w:marTop w:val="0"/>
          <w:marBottom w:val="0"/>
          <w:divBdr>
            <w:top w:val="none" w:sz="0" w:space="0" w:color="auto"/>
            <w:left w:val="none" w:sz="0" w:space="0" w:color="auto"/>
            <w:bottom w:val="none" w:sz="0" w:space="0" w:color="auto"/>
            <w:right w:val="none" w:sz="0" w:space="0" w:color="auto"/>
          </w:divBdr>
          <w:divsChild>
            <w:div w:id="5837526">
              <w:marLeft w:val="0"/>
              <w:marRight w:val="0"/>
              <w:marTop w:val="0"/>
              <w:marBottom w:val="0"/>
              <w:divBdr>
                <w:top w:val="none" w:sz="0" w:space="0" w:color="auto"/>
                <w:left w:val="none" w:sz="0" w:space="0" w:color="auto"/>
                <w:bottom w:val="none" w:sz="0" w:space="0" w:color="auto"/>
                <w:right w:val="none" w:sz="0" w:space="0" w:color="auto"/>
              </w:divBdr>
              <w:divsChild>
                <w:div w:id="156232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685952">
      <w:bodyDiv w:val="1"/>
      <w:marLeft w:val="0"/>
      <w:marRight w:val="0"/>
      <w:marTop w:val="0"/>
      <w:marBottom w:val="0"/>
      <w:divBdr>
        <w:top w:val="none" w:sz="0" w:space="0" w:color="auto"/>
        <w:left w:val="none" w:sz="0" w:space="0" w:color="auto"/>
        <w:bottom w:val="none" w:sz="0" w:space="0" w:color="auto"/>
        <w:right w:val="none" w:sz="0" w:space="0" w:color="auto"/>
      </w:divBdr>
    </w:div>
    <w:div w:id="1084255377">
      <w:bodyDiv w:val="1"/>
      <w:marLeft w:val="0"/>
      <w:marRight w:val="0"/>
      <w:marTop w:val="0"/>
      <w:marBottom w:val="0"/>
      <w:divBdr>
        <w:top w:val="none" w:sz="0" w:space="0" w:color="auto"/>
        <w:left w:val="none" w:sz="0" w:space="0" w:color="auto"/>
        <w:bottom w:val="none" w:sz="0" w:space="0" w:color="auto"/>
        <w:right w:val="none" w:sz="0" w:space="0" w:color="auto"/>
      </w:divBdr>
    </w:div>
    <w:div w:id="1089351999">
      <w:bodyDiv w:val="1"/>
      <w:marLeft w:val="0"/>
      <w:marRight w:val="0"/>
      <w:marTop w:val="0"/>
      <w:marBottom w:val="0"/>
      <w:divBdr>
        <w:top w:val="none" w:sz="0" w:space="0" w:color="auto"/>
        <w:left w:val="none" w:sz="0" w:space="0" w:color="auto"/>
        <w:bottom w:val="none" w:sz="0" w:space="0" w:color="auto"/>
        <w:right w:val="none" w:sz="0" w:space="0" w:color="auto"/>
      </w:divBdr>
    </w:div>
    <w:div w:id="1098791350">
      <w:bodyDiv w:val="1"/>
      <w:marLeft w:val="0"/>
      <w:marRight w:val="0"/>
      <w:marTop w:val="0"/>
      <w:marBottom w:val="0"/>
      <w:divBdr>
        <w:top w:val="none" w:sz="0" w:space="0" w:color="auto"/>
        <w:left w:val="none" w:sz="0" w:space="0" w:color="auto"/>
        <w:bottom w:val="none" w:sz="0" w:space="0" w:color="auto"/>
        <w:right w:val="none" w:sz="0" w:space="0" w:color="auto"/>
      </w:divBdr>
    </w:div>
    <w:div w:id="1119028373">
      <w:bodyDiv w:val="1"/>
      <w:marLeft w:val="0"/>
      <w:marRight w:val="0"/>
      <w:marTop w:val="0"/>
      <w:marBottom w:val="0"/>
      <w:divBdr>
        <w:top w:val="none" w:sz="0" w:space="0" w:color="auto"/>
        <w:left w:val="none" w:sz="0" w:space="0" w:color="auto"/>
        <w:bottom w:val="none" w:sz="0" w:space="0" w:color="auto"/>
        <w:right w:val="none" w:sz="0" w:space="0" w:color="auto"/>
      </w:divBdr>
      <w:divsChild>
        <w:div w:id="1959482546">
          <w:marLeft w:val="0"/>
          <w:marRight w:val="0"/>
          <w:marTop w:val="0"/>
          <w:marBottom w:val="0"/>
          <w:divBdr>
            <w:top w:val="none" w:sz="0" w:space="0" w:color="auto"/>
            <w:left w:val="none" w:sz="0" w:space="0" w:color="auto"/>
            <w:bottom w:val="none" w:sz="0" w:space="0" w:color="auto"/>
            <w:right w:val="none" w:sz="0" w:space="0" w:color="auto"/>
          </w:divBdr>
          <w:divsChild>
            <w:div w:id="1177504242">
              <w:marLeft w:val="0"/>
              <w:marRight w:val="0"/>
              <w:marTop w:val="0"/>
              <w:marBottom w:val="0"/>
              <w:divBdr>
                <w:top w:val="none" w:sz="0" w:space="0" w:color="auto"/>
                <w:left w:val="none" w:sz="0" w:space="0" w:color="auto"/>
                <w:bottom w:val="none" w:sz="0" w:space="0" w:color="auto"/>
                <w:right w:val="none" w:sz="0" w:space="0" w:color="auto"/>
              </w:divBdr>
              <w:divsChild>
                <w:div w:id="1502499934">
                  <w:marLeft w:val="0"/>
                  <w:marRight w:val="0"/>
                  <w:marTop w:val="0"/>
                  <w:marBottom w:val="0"/>
                  <w:divBdr>
                    <w:top w:val="none" w:sz="0" w:space="0" w:color="auto"/>
                    <w:left w:val="none" w:sz="0" w:space="0" w:color="auto"/>
                    <w:bottom w:val="none" w:sz="0" w:space="0" w:color="auto"/>
                    <w:right w:val="none" w:sz="0" w:space="0" w:color="auto"/>
                  </w:divBdr>
                  <w:divsChild>
                    <w:div w:id="146442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855461">
      <w:bodyDiv w:val="1"/>
      <w:marLeft w:val="0"/>
      <w:marRight w:val="0"/>
      <w:marTop w:val="0"/>
      <w:marBottom w:val="0"/>
      <w:divBdr>
        <w:top w:val="none" w:sz="0" w:space="0" w:color="auto"/>
        <w:left w:val="none" w:sz="0" w:space="0" w:color="auto"/>
        <w:bottom w:val="none" w:sz="0" w:space="0" w:color="auto"/>
        <w:right w:val="none" w:sz="0" w:space="0" w:color="auto"/>
      </w:divBdr>
    </w:div>
    <w:div w:id="1132403195">
      <w:bodyDiv w:val="1"/>
      <w:marLeft w:val="0"/>
      <w:marRight w:val="0"/>
      <w:marTop w:val="0"/>
      <w:marBottom w:val="0"/>
      <w:divBdr>
        <w:top w:val="none" w:sz="0" w:space="0" w:color="auto"/>
        <w:left w:val="none" w:sz="0" w:space="0" w:color="auto"/>
        <w:bottom w:val="none" w:sz="0" w:space="0" w:color="auto"/>
        <w:right w:val="none" w:sz="0" w:space="0" w:color="auto"/>
      </w:divBdr>
    </w:div>
    <w:div w:id="1136532659">
      <w:bodyDiv w:val="1"/>
      <w:marLeft w:val="0"/>
      <w:marRight w:val="0"/>
      <w:marTop w:val="0"/>
      <w:marBottom w:val="0"/>
      <w:divBdr>
        <w:top w:val="none" w:sz="0" w:space="0" w:color="auto"/>
        <w:left w:val="none" w:sz="0" w:space="0" w:color="auto"/>
        <w:bottom w:val="none" w:sz="0" w:space="0" w:color="auto"/>
        <w:right w:val="none" w:sz="0" w:space="0" w:color="auto"/>
      </w:divBdr>
    </w:div>
    <w:div w:id="1150173625">
      <w:bodyDiv w:val="1"/>
      <w:marLeft w:val="0"/>
      <w:marRight w:val="0"/>
      <w:marTop w:val="0"/>
      <w:marBottom w:val="0"/>
      <w:divBdr>
        <w:top w:val="none" w:sz="0" w:space="0" w:color="auto"/>
        <w:left w:val="none" w:sz="0" w:space="0" w:color="auto"/>
        <w:bottom w:val="none" w:sz="0" w:space="0" w:color="auto"/>
        <w:right w:val="none" w:sz="0" w:space="0" w:color="auto"/>
      </w:divBdr>
      <w:divsChild>
        <w:div w:id="1725327989">
          <w:marLeft w:val="0"/>
          <w:marRight w:val="0"/>
          <w:marTop w:val="0"/>
          <w:marBottom w:val="0"/>
          <w:divBdr>
            <w:top w:val="none" w:sz="0" w:space="0" w:color="auto"/>
            <w:left w:val="none" w:sz="0" w:space="0" w:color="auto"/>
            <w:bottom w:val="none" w:sz="0" w:space="0" w:color="auto"/>
            <w:right w:val="none" w:sz="0" w:space="0" w:color="auto"/>
          </w:divBdr>
          <w:divsChild>
            <w:div w:id="1499728676">
              <w:marLeft w:val="0"/>
              <w:marRight w:val="0"/>
              <w:marTop w:val="0"/>
              <w:marBottom w:val="0"/>
              <w:divBdr>
                <w:top w:val="none" w:sz="0" w:space="0" w:color="auto"/>
                <w:left w:val="none" w:sz="0" w:space="0" w:color="auto"/>
                <w:bottom w:val="none" w:sz="0" w:space="0" w:color="auto"/>
                <w:right w:val="none" w:sz="0" w:space="0" w:color="auto"/>
              </w:divBdr>
              <w:divsChild>
                <w:div w:id="164006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409035">
      <w:bodyDiv w:val="1"/>
      <w:marLeft w:val="0"/>
      <w:marRight w:val="0"/>
      <w:marTop w:val="0"/>
      <w:marBottom w:val="0"/>
      <w:divBdr>
        <w:top w:val="none" w:sz="0" w:space="0" w:color="auto"/>
        <w:left w:val="none" w:sz="0" w:space="0" w:color="auto"/>
        <w:bottom w:val="none" w:sz="0" w:space="0" w:color="auto"/>
        <w:right w:val="none" w:sz="0" w:space="0" w:color="auto"/>
      </w:divBdr>
    </w:div>
    <w:div w:id="1190755485">
      <w:bodyDiv w:val="1"/>
      <w:marLeft w:val="0"/>
      <w:marRight w:val="0"/>
      <w:marTop w:val="0"/>
      <w:marBottom w:val="0"/>
      <w:divBdr>
        <w:top w:val="none" w:sz="0" w:space="0" w:color="auto"/>
        <w:left w:val="none" w:sz="0" w:space="0" w:color="auto"/>
        <w:bottom w:val="none" w:sz="0" w:space="0" w:color="auto"/>
        <w:right w:val="none" w:sz="0" w:space="0" w:color="auto"/>
      </w:divBdr>
    </w:div>
    <w:div w:id="1190875109">
      <w:bodyDiv w:val="1"/>
      <w:marLeft w:val="0"/>
      <w:marRight w:val="0"/>
      <w:marTop w:val="0"/>
      <w:marBottom w:val="0"/>
      <w:divBdr>
        <w:top w:val="none" w:sz="0" w:space="0" w:color="auto"/>
        <w:left w:val="none" w:sz="0" w:space="0" w:color="auto"/>
        <w:bottom w:val="none" w:sz="0" w:space="0" w:color="auto"/>
        <w:right w:val="none" w:sz="0" w:space="0" w:color="auto"/>
      </w:divBdr>
      <w:divsChild>
        <w:div w:id="770779724">
          <w:marLeft w:val="0"/>
          <w:marRight w:val="0"/>
          <w:marTop w:val="0"/>
          <w:marBottom w:val="0"/>
          <w:divBdr>
            <w:top w:val="none" w:sz="0" w:space="0" w:color="auto"/>
            <w:left w:val="none" w:sz="0" w:space="0" w:color="auto"/>
            <w:bottom w:val="none" w:sz="0" w:space="0" w:color="auto"/>
            <w:right w:val="none" w:sz="0" w:space="0" w:color="auto"/>
          </w:divBdr>
          <w:divsChild>
            <w:div w:id="773020099">
              <w:marLeft w:val="0"/>
              <w:marRight w:val="0"/>
              <w:marTop w:val="0"/>
              <w:marBottom w:val="0"/>
              <w:divBdr>
                <w:top w:val="none" w:sz="0" w:space="0" w:color="auto"/>
                <w:left w:val="none" w:sz="0" w:space="0" w:color="auto"/>
                <w:bottom w:val="none" w:sz="0" w:space="0" w:color="auto"/>
                <w:right w:val="none" w:sz="0" w:space="0" w:color="auto"/>
              </w:divBdr>
              <w:divsChild>
                <w:div w:id="1846477475">
                  <w:marLeft w:val="0"/>
                  <w:marRight w:val="0"/>
                  <w:marTop w:val="0"/>
                  <w:marBottom w:val="0"/>
                  <w:divBdr>
                    <w:top w:val="none" w:sz="0" w:space="0" w:color="auto"/>
                    <w:left w:val="none" w:sz="0" w:space="0" w:color="auto"/>
                    <w:bottom w:val="none" w:sz="0" w:space="0" w:color="auto"/>
                    <w:right w:val="none" w:sz="0" w:space="0" w:color="auto"/>
                  </w:divBdr>
                  <w:divsChild>
                    <w:div w:id="206852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019243">
      <w:bodyDiv w:val="1"/>
      <w:marLeft w:val="0"/>
      <w:marRight w:val="0"/>
      <w:marTop w:val="0"/>
      <w:marBottom w:val="0"/>
      <w:divBdr>
        <w:top w:val="none" w:sz="0" w:space="0" w:color="auto"/>
        <w:left w:val="none" w:sz="0" w:space="0" w:color="auto"/>
        <w:bottom w:val="none" w:sz="0" w:space="0" w:color="auto"/>
        <w:right w:val="none" w:sz="0" w:space="0" w:color="auto"/>
      </w:divBdr>
    </w:div>
    <w:div w:id="1206288018">
      <w:bodyDiv w:val="1"/>
      <w:marLeft w:val="0"/>
      <w:marRight w:val="0"/>
      <w:marTop w:val="0"/>
      <w:marBottom w:val="0"/>
      <w:divBdr>
        <w:top w:val="none" w:sz="0" w:space="0" w:color="auto"/>
        <w:left w:val="none" w:sz="0" w:space="0" w:color="auto"/>
        <w:bottom w:val="none" w:sz="0" w:space="0" w:color="auto"/>
        <w:right w:val="none" w:sz="0" w:space="0" w:color="auto"/>
      </w:divBdr>
    </w:div>
    <w:div w:id="1221016003">
      <w:bodyDiv w:val="1"/>
      <w:marLeft w:val="0"/>
      <w:marRight w:val="0"/>
      <w:marTop w:val="0"/>
      <w:marBottom w:val="0"/>
      <w:divBdr>
        <w:top w:val="none" w:sz="0" w:space="0" w:color="auto"/>
        <w:left w:val="none" w:sz="0" w:space="0" w:color="auto"/>
        <w:bottom w:val="none" w:sz="0" w:space="0" w:color="auto"/>
        <w:right w:val="none" w:sz="0" w:space="0" w:color="auto"/>
      </w:divBdr>
    </w:div>
    <w:div w:id="1224296749">
      <w:bodyDiv w:val="1"/>
      <w:marLeft w:val="0"/>
      <w:marRight w:val="0"/>
      <w:marTop w:val="0"/>
      <w:marBottom w:val="0"/>
      <w:divBdr>
        <w:top w:val="none" w:sz="0" w:space="0" w:color="auto"/>
        <w:left w:val="none" w:sz="0" w:space="0" w:color="auto"/>
        <w:bottom w:val="none" w:sz="0" w:space="0" w:color="auto"/>
        <w:right w:val="none" w:sz="0" w:space="0" w:color="auto"/>
      </w:divBdr>
    </w:div>
    <w:div w:id="1229338858">
      <w:bodyDiv w:val="1"/>
      <w:marLeft w:val="0"/>
      <w:marRight w:val="0"/>
      <w:marTop w:val="0"/>
      <w:marBottom w:val="0"/>
      <w:divBdr>
        <w:top w:val="none" w:sz="0" w:space="0" w:color="auto"/>
        <w:left w:val="none" w:sz="0" w:space="0" w:color="auto"/>
        <w:bottom w:val="none" w:sz="0" w:space="0" w:color="auto"/>
        <w:right w:val="none" w:sz="0" w:space="0" w:color="auto"/>
      </w:divBdr>
    </w:div>
    <w:div w:id="1241018540">
      <w:bodyDiv w:val="1"/>
      <w:marLeft w:val="0"/>
      <w:marRight w:val="0"/>
      <w:marTop w:val="0"/>
      <w:marBottom w:val="0"/>
      <w:divBdr>
        <w:top w:val="none" w:sz="0" w:space="0" w:color="auto"/>
        <w:left w:val="none" w:sz="0" w:space="0" w:color="auto"/>
        <w:bottom w:val="none" w:sz="0" w:space="0" w:color="auto"/>
        <w:right w:val="none" w:sz="0" w:space="0" w:color="auto"/>
      </w:divBdr>
    </w:div>
    <w:div w:id="1267811109">
      <w:bodyDiv w:val="1"/>
      <w:marLeft w:val="0"/>
      <w:marRight w:val="0"/>
      <w:marTop w:val="0"/>
      <w:marBottom w:val="0"/>
      <w:divBdr>
        <w:top w:val="none" w:sz="0" w:space="0" w:color="auto"/>
        <w:left w:val="none" w:sz="0" w:space="0" w:color="auto"/>
        <w:bottom w:val="none" w:sz="0" w:space="0" w:color="auto"/>
        <w:right w:val="none" w:sz="0" w:space="0" w:color="auto"/>
      </w:divBdr>
    </w:div>
    <w:div w:id="1291396780">
      <w:bodyDiv w:val="1"/>
      <w:marLeft w:val="0"/>
      <w:marRight w:val="0"/>
      <w:marTop w:val="0"/>
      <w:marBottom w:val="0"/>
      <w:divBdr>
        <w:top w:val="none" w:sz="0" w:space="0" w:color="auto"/>
        <w:left w:val="none" w:sz="0" w:space="0" w:color="auto"/>
        <w:bottom w:val="none" w:sz="0" w:space="0" w:color="auto"/>
        <w:right w:val="none" w:sz="0" w:space="0" w:color="auto"/>
      </w:divBdr>
    </w:div>
    <w:div w:id="1304313105">
      <w:bodyDiv w:val="1"/>
      <w:marLeft w:val="0"/>
      <w:marRight w:val="0"/>
      <w:marTop w:val="0"/>
      <w:marBottom w:val="0"/>
      <w:divBdr>
        <w:top w:val="none" w:sz="0" w:space="0" w:color="auto"/>
        <w:left w:val="none" w:sz="0" w:space="0" w:color="auto"/>
        <w:bottom w:val="none" w:sz="0" w:space="0" w:color="auto"/>
        <w:right w:val="none" w:sz="0" w:space="0" w:color="auto"/>
      </w:divBdr>
    </w:div>
    <w:div w:id="1307591645">
      <w:bodyDiv w:val="1"/>
      <w:marLeft w:val="0"/>
      <w:marRight w:val="0"/>
      <w:marTop w:val="0"/>
      <w:marBottom w:val="0"/>
      <w:divBdr>
        <w:top w:val="none" w:sz="0" w:space="0" w:color="auto"/>
        <w:left w:val="none" w:sz="0" w:space="0" w:color="auto"/>
        <w:bottom w:val="none" w:sz="0" w:space="0" w:color="auto"/>
        <w:right w:val="none" w:sz="0" w:space="0" w:color="auto"/>
      </w:divBdr>
    </w:div>
    <w:div w:id="1319531114">
      <w:bodyDiv w:val="1"/>
      <w:marLeft w:val="0"/>
      <w:marRight w:val="0"/>
      <w:marTop w:val="0"/>
      <w:marBottom w:val="0"/>
      <w:divBdr>
        <w:top w:val="none" w:sz="0" w:space="0" w:color="auto"/>
        <w:left w:val="none" w:sz="0" w:space="0" w:color="auto"/>
        <w:bottom w:val="none" w:sz="0" w:space="0" w:color="auto"/>
        <w:right w:val="none" w:sz="0" w:space="0" w:color="auto"/>
      </w:divBdr>
    </w:div>
    <w:div w:id="1325890838">
      <w:bodyDiv w:val="1"/>
      <w:marLeft w:val="0"/>
      <w:marRight w:val="0"/>
      <w:marTop w:val="0"/>
      <w:marBottom w:val="0"/>
      <w:divBdr>
        <w:top w:val="none" w:sz="0" w:space="0" w:color="auto"/>
        <w:left w:val="none" w:sz="0" w:space="0" w:color="auto"/>
        <w:bottom w:val="none" w:sz="0" w:space="0" w:color="auto"/>
        <w:right w:val="none" w:sz="0" w:space="0" w:color="auto"/>
      </w:divBdr>
    </w:div>
    <w:div w:id="1342657805">
      <w:bodyDiv w:val="1"/>
      <w:marLeft w:val="0"/>
      <w:marRight w:val="0"/>
      <w:marTop w:val="0"/>
      <w:marBottom w:val="0"/>
      <w:divBdr>
        <w:top w:val="none" w:sz="0" w:space="0" w:color="auto"/>
        <w:left w:val="none" w:sz="0" w:space="0" w:color="auto"/>
        <w:bottom w:val="none" w:sz="0" w:space="0" w:color="auto"/>
        <w:right w:val="none" w:sz="0" w:space="0" w:color="auto"/>
      </w:divBdr>
    </w:div>
    <w:div w:id="1345669277">
      <w:bodyDiv w:val="1"/>
      <w:marLeft w:val="0"/>
      <w:marRight w:val="0"/>
      <w:marTop w:val="0"/>
      <w:marBottom w:val="0"/>
      <w:divBdr>
        <w:top w:val="none" w:sz="0" w:space="0" w:color="auto"/>
        <w:left w:val="none" w:sz="0" w:space="0" w:color="auto"/>
        <w:bottom w:val="none" w:sz="0" w:space="0" w:color="auto"/>
        <w:right w:val="none" w:sz="0" w:space="0" w:color="auto"/>
      </w:divBdr>
    </w:div>
    <w:div w:id="1348829054">
      <w:bodyDiv w:val="1"/>
      <w:marLeft w:val="0"/>
      <w:marRight w:val="0"/>
      <w:marTop w:val="0"/>
      <w:marBottom w:val="0"/>
      <w:divBdr>
        <w:top w:val="none" w:sz="0" w:space="0" w:color="auto"/>
        <w:left w:val="none" w:sz="0" w:space="0" w:color="auto"/>
        <w:bottom w:val="none" w:sz="0" w:space="0" w:color="auto"/>
        <w:right w:val="none" w:sz="0" w:space="0" w:color="auto"/>
      </w:divBdr>
      <w:divsChild>
        <w:div w:id="695468117">
          <w:marLeft w:val="0"/>
          <w:marRight w:val="0"/>
          <w:marTop w:val="0"/>
          <w:marBottom w:val="0"/>
          <w:divBdr>
            <w:top w:val="none" w:sz="0" w:space="0" w:color="auto"/>
            <w:left w:val="none" w:sz="0" w:space="0" w:color="auto"/>
            <w:bottom w:val="none" w:sz="0" w:space="0" w:color="auto"/>
            <w:right w:val="none" w:sz="0" w:space="0" w:color="auto"/>
          </w:divBdr>
          <w:divsChild>
            <w:div w:id="2044864569">
              <w:marLeft w:val="0"/>
              <w:marRight w:val="0"/>
              <w:marTop w:val="0"/>
              <w:marBottom w:val="0"/>
              <w:divBdr>
                <w:top w:val="none" w:sz="0" w:space="0" w:color="auto"/>
                <w:left w:val="none" w:sz="0" w:space="0" w:color="auto"/>
                <w:bottom w:val="none" w:sz="0" w:space="0" w:color="auto"/>
                <w:right w:val="none" w:sz="0" w:space="0" w:color="auto"/>
              </w:divBdr>
              <w:divsChild>
                <w:div w:id="187341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191278">
      <w:bodyDiv w:val="1"/>
      <w:marLeft w:val="0"/>
      <w:marRight w:val="0"/>
      <w:marTop w:val="0"/>
      <w:marBottom w:val="0"/>
      <w:divBdr>
        <w:top w:val="none" w:sz="0" w:space="0" w:color="auto"/>
        <w:left w:val="none" w:sz="0" w:space="0" w:color="auto"/>
        <w:bottom w:val="none" w:sz="0" w:space="0" w:color="auto"/>
        <w:right w:val="none" w:sz="0" w:space="0" w:color="auto"/>
      </w:divBdr>
    </w:div>
    <w:div w:id="1393697296">
      <w:bodyDiv w:val="1"/>
      <w:marLeft w:val="0"/>
      <w:marRight w:val="0"/>
      <w:marTop w:val="0"/>
      <w:marBottom w:val="0"/>
      <w:divBdr>
        <w:top w:val="none" w:sz="0" w:space="0" w:color="auto"/>
        <w:left w:val="none" w:sz="0" w:space="0" w:color="auto"/>
        <w:bottom w:val="none" w:sz="0" w:space="0" w:color="auto"/>
        <w:right w:val="none" w:sz="0" w:space="0" w:color="auto"/>
      </w:divBdr>
    </w:div>
    <w:div w:id="1433816787">
      <w:bodyDiv w:val="1"/>
      <w:marLeft w:val="0"/>
      <w:marRight w:val="0"/>
      <w:marTop w:val="0"/>
      <w:marBottom w:val="0"/>
      <w:divBdr>
        <w:top w:val="none" w:sz="0" w:space="0" w:color="auto"/>
        <w:left w:val="none" w:sz="0" w:space="0" w:color="auto"/>
        <w:bottom w:val="none" w:sz="0" w:space="0" w:color="auto"/>
        <w:right w:val="none" w:sz="0" w:space="0" w:color="auto"/>
      </w:divBdr>
    </w:div>
    <w:div w:id="1434663424">
      <w:bodyDiv w:val="1"/>
      <w:marLeft w:val="0"/>
      <w:marRight w:val="0"/>
      <w:marTop w:val="0"/>
      <w:marBottom w:val="0"/>
      <w:divBdr>
        <w:top w:val="none" w:sz="0" w:space="0" w:color="auto"/>
        <w:left w:val="none" w:sz="0" w:space="0" w:color="auto"/>
        <w:bottom w:val="none" w:sz="0" w:space="0" w:color="auto"/>
        <w:right w:val="none" w:sz="0" w:space="0" w:color="auto"/>
      </w:divBdr>
    </w:div>
    <w:div w:id="1447432222">
      <w:bodyDiv w:val="1"/>
      <w:marLeft w:val="0"/>
      <w:marRight w:val="0"/>
      <w:marTop w:val="0"/>
      <w:marBottom w:val="0"/>
      <w:divBdr>
        <w:top w:val="none" w:sz="0" w:space="0" w:color="auto"/>
        <w:left w:val="none" w:sz="0" w:space="0" w:color="auto"/>
        <w:bottom w:val="none" w:sz="0" w:space="0" w:color="auto"/>
        <w:right w:val="none" w:sz="0" w:space="0" w:color="auto"/>
      </w:divBdr>
    </w:div>
    <w:div w:id="1470050900">
      <w:bodyDiv w:val="1"/>
      <w:marLeft w:val="0"/>
      <w:marRight w:val="0"/>
      <w:marTop w:val="0"/>
      <w:marBottom w:val="0"/>
      <w:divBdr>
        <w:top w:val="none" w:sz="0" w:space="0" w:color="auto"/>
        <w:left w:val="none" w:sz="0" w:space="0" w:color="auto"/>
        <w:bottom w:val="none" w:sz="0" w:space="0" w:color="auto"/>
        <w:right w:val="none" w:sz="0" w:space="0" w:color="auto"/>
      </w:divBdr>
    </w:div>
    <w:div w:id="1487089706">
      <w:bodyDiv w:val="1"/>
      <w:marLeft w:val="0"/>
      <w:marRight w:val="0"/>
      <w:marTop w:val="0"/>
      <w:marBottom w:val="0"/>
      <w:divBdr>
        <w:top w:val="none" w:sz="0" w:space="0" w:color="auto"/>
        <w:left w:val="none" w:sz="0" w:space="0" w:color="auto"/>
        <w:bottom w:val="none" w:sz="0" w:space="0" w:color="auto"/>
        <w:right w:val="none" w:sz="0" w:space="0" w:color="auto"/>
      </w:divBdr>
    </w:div>
    <w:div w:id="1492135979">
      <w:bodyDiv w:val="1"/>
      <w:marLeft w:val="0"/>
      <w:marRight w:val="0"/>
      <w:marTop w:val="0"/>
      <w:marBottom w:val="0"/>
      <w:divBdr>
        <w:top w:val="none" w:sz="0" w:space="0" w:color="auto"/>
        <w:left w:val="none" w:sz="0" w:space="0" w:color="auto"/>
        <w:bottom w:val="none" w:sz="0" w:space="0" w:color="auto"/>
        <w:right w:val="none" w:sz="0" w:space="0" w:color="auto"/>
      </w:divBdr>
    </w:div>
    <w:div w:id="1523588688">
      <w:bodyDiv w:val="1"/>
      <w:marLeft w:val="0"/>
      <w:marRight w:val="0"/>
      <w:marTop w:val="0"/>
      <w:marBottom w:val="0"/>
      <w:divBdr>
        <w:top w:val="none" w:sz="0" w:space="0" w:color="auto"/>
        <w:left w:val="none" w:sz="0" w:space="0" w:color="auto"/>
        <w:bottom w:val="none" w:sz="0" w:space="0" w:color="auto"/>
        <w:right w:val="none" w:sz="0" w:space="0" w:color="auto"/>
      </w:divBdr>
    </w:div>
    <w:div w:id="1537692598">
      <w:bodyDiv w:val="1"/>
      <w:marLeft w:val="0"/>
      <w:marRight w:val="0"/>
      <w:marTop w:val="0"/>
      <w:marBottom w:val="0"/>
      <w:divBdr>
        <w:top w:val="none" w:sz="0" w:space="0" w:color="auto"/>
        <w:left w:val="none" w:sz="0" w:space="0" w:color="auto"/>
        <w:bottom w:val="none" w:sz="0" w:space="0" w:color="auto"/>
        <w:right w:val="none" w:sz="0" w:space="0" w:color="auto"/>
      </w:divBdr>
    </w:div>
    <w:div w:id="1540824098">
      <w:bodyDiv w:val="1"/>
      <w:marLeft w:val="0"/>
      <w:marRight w:val="0"/>
      <w:marTop w:val="0"/>
      <w:marBottom w:val="0"/>
      <w:divBdr>
        <w:top w:val="none" w:sz="0" w:space="0" w:color="auto"/>
        <w:left w:val="none" w:sz="0" w:space="0" w:color="auto"/>
        <w:bottom w:val="none" w:sz="0" w:space="0" w:color="auto"/>
        <w:right w:val="none" w:sz="0" w:space="0" w:color="auto"/>
      </w:divBdr>
    </w:div>
    <w:div w:id="1609894446">
      <w:bodyDiv w:val="1"/>
      <w:marLeft w:val="0"/>
      <w:marRight w:val="0"/>
      <w:marTop w:val="0"/>
      <w:marBottom w:val="0"/>
      <w:divBdr>
        <w:top w:val="none" w:sz="0" w:space="0" w:color="auto"/>
        <w:left w:val="none" w:sz="0" w:space="0" w:color="auto"/>
        <w:bottom w:val="none" w:sz="0" w:space="0" w:color="auto"/>
        <w:right w:val="none" w:sz="0" w:space="0" w:color="auto"/>
      </w:divBdr>
    </w:div>
    <w:div w:id="1612467046">
      <w:bodyDiv w:val="1"/>
      <w:marLeft w:val="0"/>
      <w:marRight w:val="0"/>
      <w:marTop w:val="0"/>
      <w:marBottom w:val="0"/>
      <w:divBdr>
        <w:top w:val="none" w:sz="0" w:space="0" w:color="auto"/>
        <w:left w:val="none" w:sz="0" w:space="0" w:color="auto"/>
        <w:bottom w:val="none" w:sz="0" w:space="0" w:color="auto"/>
        <w:right w:val="none" w:sz="0" w:space="0" w:color="auto"/>
      </w:divBdr>
    </w:div>
    <w:div w:id="1645117162">
      <w:bodyDiv w:val="1"/>
      <w:marLeft w:val="0"/>
      <w:marRight w:val="0"/>
      <w:marTop w:val="0"/>
      <w:marBottom w:val="0"/>
      <w:divBdr>
        <w:top w:val="none" w:sz="0" w:space="0" w:color="auto"/>
        <w:left w:val="none" w:sz="0" w:space="0" w:color="auto"/>
        <w:bottom w:val="none" w:sz="0" w:space="0" w:color="auto"/>
        <w:right w:val="none" w:sz="0" w:space="0" w:color="auto"/>
      </w:divBdr>
    </w:div>
    <w:div w:id="1649742177">
      <w:bodyDiv w:val="1"/>
      <w:marLeft w:val="0"/>
      <w:marRight w:val="0"/>
      <w:marTop w:val="0"/>
      <w:marBottom w:val="0"/>
      <w:divBdr>
        <w:top w:val="none" w:sz="0" w:space="0" w:color="auto"/>
        <w:left w:val="none" w:sz="0" w:space="0" w:color="auto"/>
        <w:bottom w:val="none" w:sz="0" w:space="0" w:color="auto"/>
        <w:right w:val="none" w:sz="0" w:space="0" w:color="auto"/>
      </w:divBdr>
    </w:div>
    <w:div w:id="1664695479">
      <w:bodyDiv w:val="1"/>
      <w:marLeft w:val="0"/>
      <w:marRight w:val="0"/>
      <w:marTop w:val="0"/>
      <w:marBottom w:val="0"/>
      <w:divBdr>
        <w:top w:val="none" w:sz="0" w:space="0" w:color="auto"/>
        <w:left w:val="none" w:sz="0" w:space="0" w:color="auto"/>
        <w:bottom w:val="none" w:sz="0" w:space="0" w:color="auto"/>
        <w:right w:val="none" w:sz="0" w:space="0" w:color="auto"/>
      </w:divBdr>
    </w:div>
    <w:div w:id="1664819674">
      <w:bodyDiv w:val="1"/>
      <w:marLeft w:val="0"/>
      <w:marRight w:val="0"/>
      <w:marTop w:val="0"/>
      <w:marBottom w:val="0"/>
      <w:divBdr>
        <w:top w:val="none" w:sz="0" w:space="0" w:color="auto"/>
        <w:left w:val="none" w:sz="0" w:space="0" w:color="auto"/>
        <w:bottom w:val="none" w:sz="0" w:space="0" w:color="auto"/>
        <w:right w:val="none" w:sz="0" w:space="0" w:color="auto"/>
      </w:divBdr>
    </w:div>
    <w:div w:id="1674917036">
      <w:bodyDiv w:val="1"/>
      <w:marLeft w:val="0"/>
      <w:marRight w:val="0"/>
      <w:marTop w:val="0"/>
      <w:marBottom w:val="0"/>
      <w:divBdr>
        <w:top w:val="none" w:sz="0" w:space="0" w:color="auto"/>
        <w:left w:val="none" w:sz="0" w:space="0" w:color="auto"/>
        <w:bottom w:val="none" w:sz="0" w:space="0" w:color="auto"/>
        <w:right w:val="none" w:sz="0" w:space="0" w:color="auto"/>
      </w:divBdr>
    </w:div>
    <w:div w:id="1675523753">
      <w:bodyDiv w:val="1"/>
      <w:marLeft w:val="0"/>
      <w:marRight w:val="0"/>
      <w:marTop w:val="0"/>
      <w:marBottom w:val="0"/>
      <w:divBdr>
        <w:top w:val="none" w:sz="0" w:space="0" w:color="auto"/>
        <w:left w:val="none" w:sz="0" w:space="0" w:color="auto"/>
        <w:bottom w:val="none" w:sz="0" w:space="0" w:color="auto"/>
        <w:right w:val="none" w:sz="0" w:space="0" w:color="auto"/>
      </w:divBdr>
    </w:div>
    <w:div w:id="1682244132">
      <w:bodyDiv w:val="1"/>
      <w:marLeft w:val="0"/>
      <w:marRight w:val="0"/>
      <w:marTop w:val="0"/>
      <w:marBottom w:val="0"/>
      <w:divBdr>
        <w:top w:val="none" w:sz="0" w:space="0" w:color="auto"/>
        <w:left w:val="none" w:sz="0" w:space="0" w:color="auto"/>
        <w:bottom w:val="none" w:sz="0" w:space="0" w:color="auto"/>
        <w:right w:val="none" w:sz="0" w:space="0" w:color="auto"/>
      </w:divBdr>
    </w:div>
    <w:div w:id="1712457941">
      <w:bodyDiv w:val="1"/>
      <w:marLeft w:val="0"/>
      <w:marRight w:val="0"/>
      <w:marTop w:val="0"/>
      <w:marBottom w:val="0"/>
      <w:divBdr>
        <w:top w:val="none" w:sz="0" w:space="0" w:color="auto"/>
        <w:left w:val="none" w:sz="0" w:space="0" w:color="auto"/>
        <w:bottom w:val="none" w:sz="0" w:space="0" w:color="auto"/>
        <w:right w:val="none" w:sz="0" w:space="0" w:color="auto"/>
      </w:divBdr>
    </w:div>
    <w:div w:id="1715274002">
      <w:bodyDiv w:val="1"/>
      <w:marLeft w:val="0"/>
      <w:marRight w:val="0"/>
      <w:marTop w:val="0"/>
      <w:marBottom w:val="0"/>
      <w:divBdr>
        <w:top w:val="none" w:sz="0" w:space="0" w:color="auto"/>
        <w:left w:val="none" w:sz="0" w:space="0" w:color="auto"/>
        <w:bottom w:val="none" w:sz="0" w:space="0" w:color="auto"/>
        <w:right w:val="none" w:sz="0" w:space="0" w:color="auto"/>
      </w:divBdr>
    </w:div>
    <w:div w:id="1719891452">
      <w:bodyDiv w:val="1"/>
      <w:marLeft w:val="0"/>
      <w:marRight w:val="0"/>
      <w:marTop w:val="0"/>
      <w:marBottom w:val="0"/>
      <w:divBdr>
        <w:top w:val="none" w:sz="0" w:space="0" w:color="auto"/>
        <w:left w:val="none" w:sz="0" w:space="0" w:color="auto"/>
        <w:bottom w:val="none" w:sz="0" w:space="0" w:color="auto"/>
        <w:right w:val="none" w:sz="0" w:space="0" w:color="auto"/>
      </w:divBdr>
    </w:div>
    <w:div w:id="1728718907">
      <w:bodyDiv w:val="1"/>
      <w:marLeft w:val="0"/>
      <w:marRight w:val="0"/>
      <w:marTop w:val="0"/>
      <w:marBottom w:val="0"/>
      <w:divBdr>
        <w:top w:val="none" w:sz="0" w:space="0" w:color="auto"/>
        <w:left w:val="none" w:sz="0" w:space="0" w:color="auto"/>
        <w:bottom w:val="none" w:sz="0" w:space="0" w:color="auto"/>
        <w:right w:val="none" w:sz="0" w:space="0" w:color="auto"/>
      </w:divBdr>
    </w:div>
    <w:div w:id="1769278431">
      <w:bodyDiv w:val="1"/>
      <w:marLeft w:val="0"/>
      <w:marRight w:val="0"/>
      <w:marTop w:val="0"/>
      <w:marBottom w:val="0"/>
      <w:divBdr>
        <w:top w:val="none" w:sz="0" w:space="0" w:color="auto"/>
        <w:left w:val="none" w:sz="0" w:space="0" w:color="auto"/>
        <w:bottom w:val="none" w:sz="0" w:space="0" w:color="auto"/>
        <w:right w:val="none" w:sz="0" w:space="0" w:color="auto"/>
      </w:divBdr>
    </w:div>
    <w:div w:id="1777208456">
      <w:bodyDiv w:val="1"/>
      <w:marLeft w:val="0"/>
      <w:marRight w:val="0"/>
      <w:marTop w:val="0"/>
      <w:marBottom w:val="0"/>
      <w:divBdr>
        <w:top w:val="none" w:sz="0" w:space="0" w:color="auto"/>
        <w:left w:val="none" w:sz="0" w:space="0" w:color="auto"/>
        <w:bottom w:val="none" w:sz="0" w:space="0" w:color="auto"/>
        <w:right w:val="none" w:sz="0" w:space="0" w:color="auto"/>
      </w:divBdr>
    </w:div>
    <w:div w:id="1818913219">
      <w:bodyDiv w:val="1"/>
      <w:marLeft w:val="0"/>
      <w:marRight w:val="0"/>
      <w:marTop w:val="0"/>
      <w:marBottom w:val="0"/>
      <w:divBdr>
        <w:top w:val="none" w:sz="0" w:space="0" w:color="auto"/>
        <w:left w:val="none" w:sz="0" w:space="0" w:color="auto"/>
        <w:bottom w:val="none" w:sz="0" w:space="0" w:color="auto"/>
        <w:right w:val="none" w:sz="0" w:space="0" w:color="auto"/>
      </w:divBdr>
    </w:div>
    <w:div w:id="1844734365">
      <w:bodyDiv w:val="1"/>
      <w:marLeft w:val="0"/>
      <w:marRight w:val="0"/>
      <w:marTop w:val="0"/>
      <w:marBottom w:val="0"/>
      <w:divBdr>
        <w:top w:val="none" w:sz="0" w:space="0" w:color="auto"/>
        <w:left w:val="none" w:sz="0" w:space="0" w:color="auto"/>
        <w:bottom w:val="none" w:sz="0" w:space="0" w:color="auto"/>
        <w:right w:val="none" w:sz="0" w:space="0" w:color="auto"/>
      </w:divBdr>
    </w:div>
    <w:div w:id="1862738221">
      <w:bodyDiv w:val="1"/>
      <w:marLeft w:val="0"/>
      <w:marRight w:val="0"/>
      <w:marTop w:val="0"/>
      <w:marBottom w:val="0"/>
      <w:divBdr>
        <w:top w:val="none" w:sz="0" w:space="0" w:color="auto"/>
        <w:left w:val="none" w:sz="0" w:space="0" w:color="auto"/>
        <w:bottom w:val="none" w:sz="0" w:space="0" w:color="auto"/>
        <w:right w:val="none" w:sz="0" w:space="0" w:color="auto"/>
      </w:divBdr>
    </w:div>
    <w:div w:id="1874492392">
      <w:bodyDiv w:val="1"/>
      <w:marLeft w:val="0"/>
      <w:marRight w:val="0"/>
      <w:marTop w:val="0"/>
      <w:marBottom w:val="0"/>
      <w:divBdr>
        <w:top w:val="none" w:sz="0" w:space="0" w:color="auto"/>
        <w:left w:val="none" w:sz="0" w:space="0" w:color="auto"/>
        <w:bottom w:val="none" w:sz="0" w:space="0" w:color="auto"/>
        <w:right w:val="none" w:sz="0" w:space="0" w:color="auto"/>
      </w:divBdr>
    </w:div>
    <w:div w:id="1876967578">
      <w:bodyDiv w:val="1"/>
      <w:marLeft w:val="0"/>
      <w:marRight w:val="0"/>
      <w:marTop w:val="0"/>
      <w:marBottom w:val="0"/>
      <w:divBdr>
        <w:top w:val="none" w:sz="0" w:space="0" w:color="auto"/>
        <w:left w:val="none" w:sz="0" w:space="0" w:color="auto"/>
        <w:bottom w:val="none" w:sz="0" w:space="0" w:color="auto"/>
        <w:right w:val="none" w:sz="0" w:space="0" w:color="auto"/>
      </w:divBdr>
    </w:div>
    <w:div w:id="1888832725">
      <w:bodyDiv w:val="1"/>
      <w:marLeft w:val="0"/>
      <w:marRight w:val="0"/>
      <w:marTop w:val="0"/>
      <w:marBottom w:val="0"/>
      <w:divBdr>
        <w:top w:val="none" w:sz="0" w:space="0" w:color="auto"/>
        <w:left w:val="none" w:sz="0" w:space="0" w:color="auto"/>
        <w:bottom w:val="none" w:sz="0" w:space="0" w:color="auto"/>
        <w:right w:val="none" w:sz="0" w:space="0" w:color="auto"/>
      </w:divBdr>
      <w:divsChild>
        <w:div w:id="684406400">
          <w:marLeft w:val="0"/>
          <w:marRight w:val="0"/>
          <w:marTop w:val="0"/>
          <w:marBottom w:val="0"/>
          <w:divBdr>
            <w:top w:val="none" w:sz="0" w:space="0" w:color="auto"/>
            <w:left w:val="none" w:sz="0" w:space="0" w:color="auto"/>
            <w:bottom w:val="none" w:sz="0" w:space="0" w:color="auto"/>
            <w:right w:val="none" w:sz="0" w:space="0" w:color="auto"/>
          </w:divBdr>
          <w:divsChild>
            <w:div w:id="344937342">
              <w:marLeft w:val="0"/>
              <w:marRight w:val="0"/>
              <w:marTop w:val="0"/>
              <w:marBottom w:val="0"/>
              <w:divBdr>
                <w:top w:val="none" w:sz="0" w:space="0" w:color="auto"/>
                <w:left w:val="none" w:sz="0" w:space="0" w:color="auto"/>
                <w:bottom w:val="none" w:sz="0" w:space="0" w:color="auto"/>
                <w:right w:val="none" w:sz="0" w:space="0" w:color="auto"/>
              </w:divBdr>
              <w:divsChild>
                <w:div w:id="169260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270811">
      <w:bodyDiv w:val="1"/>
      <w:marLeft w:val="0"/>
      <w:marRight w:val="0"/>
      <w:marTop w:val="0"/>
      <w:marBottom w:val="0"/>
      <w:divBdr>
        <w:top w:val="none" w:sz="0" w:space="0" w:color="auto"/>
        <w:left w:val="none" w:sz="0" w:space="0" w:color="auto"/>
        <w:bottom w:val="none" w:sz="0" w:space="0" w:color="auto"/>
        <w:right w:val="none" w:sz="0" w:space="0" w:color="auto"/>
      </w:divBdr>
    </w:div>
    <w:div w:id="1935237949">
      <w:bodyDiv w:val="1"/>
      <w:marLeft w:val="0"/>
      <w:marRight w:val="0"/>
      <w:marTop w:val="0"/>
      <w:marBottom w:val="0"/>
      <w:divBdr>
        <w:top w:val="none" w:sz="0" w:space="0" w:color="auto"/>
        <w:left w:val="none" w:sz="0" w:space="0" w:color="auto"/>
        <w:bottom w:val="none" w:sz="0" w:space="0" w:color="auto"/>
        <w:right w:val="none" w:sz="0" w:space="0" w:color="auto"/>
      </w:divBdr>
    </w:div>
    <w:div w:id="2016876246">
      <w:bodyDiv w:val="1"/>
      <w:marLeft w:val="0"/>
      <w:marRight w:val="0"/>
      <w:marTop w:val="0"/>
      <w:marBottom w:val="0"/>
      <w:divBdr>
        <w:top w:val="none" w:sz="0" w:space="0" w:color="auto"/>
        <w:left w:val="none" w:sz="0" w:space="0" w:color="auto"/>
        <w:bottom w:val="none" w:sz="0" w:space="0" w:color="auto"/>
        <w:right w:val="none" w:sz="0" w:space="0" w:color="auto"/>
      </w:divBdr>
    </w:div>
    <w:div w:id="2056393306">
      <w:bodyDiv w:val="1"/>
      <w:marLeft w:val="0"/>
      <w:marRight w:val="0"/>
      <w:marTop w:val="0"/>
      <w:marBottom w:val="0"/>
      <w:divBdr>
        <w:top w:val="none" w:sz="0" w:space="0" w:color="auto"/>
        <w:left w:val="none" w:sz="0" w:space="0" w:color="auto"/>
        <w:bottom w:val="none" w:sz="0" w:space="0" w:color="auto"/>
        <w:right w:val="none" w:sz="0" w:space="0" w:color="auto"/>
      </w:divBdr>
    </w:div>
    <w:div w:id="2059863169">
      <w:bodyDiv w:val="1"/>
      <w:marLeft w:val="0"/>
      <w:marRight w:val="0"/>
      <w:marTop w:val="0"/>
      <w:marBottom w:val="0"/>
      <w:divBdr>
        <w:top w:val="none" w:sz="0" w:space="0" w:color="auto"/>
        <w:left w:val="none" w:sz="0" w:space="0" w:color="auto"/>
        <w:bottom w:val="none" w:sz="0" w:space="0" w:color="auto"/>
        <w:right w:val="none" w:sz="0" w:space="0" w:color="auto"/>
      </w:divBdr>
    </w:div>
    <w:div w:id="2073120479">
      <w:bodyDiv w:val="1"/>
      <w:marLeft w:val="0"/>
      <w:marRight w:val="0"/>
      <w:marTop w:val="0"/>
      <w:marBottom w:val="0"/>
      <w:divBdr>
        <w:top w:val="none" w:sz="0" w:space="0" w:color="auto"/>
        <w:left w:val="none" w:sz="0" w:space="0" w:color="auto"/>
        <w:bottom w:val="none" w:sz="0" w:space="0" w:color="auto"/>
        <w:right w:val="none" w:sz="0" w:space="0" w:color="auto"/>
      </w:divBdr>
    </w:div>
    <w:div w:id="2084132934">
      <w:bodyDiv w:val="1"/>
      <w:marLeft w:val="0"/>
      <w:marRight w:val="0"/>
      <w:marTop w:val="0"/>
      <w:marBottom w:val="0"/>
      <w:divBdr>
        <w:top w:val="none" w:sz="0" w:space="0" w:color="auto"/>
        <w:left w:val="none" w:sz="0" w:space="0" w:color="auto"/>
        <w:bottom w:val="none" w:sz="0" w:space="0" w:color="auto"/>
        <w:right w:val="none" w:sz="0" w:space="0" w:color="auto"/>
      </w:divBdr>
    </w:div>
    <w:div w:id="2107460743">
      <w:bodyDiv w:val="1"/>
      <w:marLeft w:val="0"/>
      <w:marRight w:val="0"/>
      <w:marTop w:val="0"/>
      <w:marBottom w:val="0"/>
      <w:divBdr>
        <w:top w:val="none" w:sz="0" w:space="0" w:color="auto"/>
        <w:left w:val="none" w:sz="0" w:space="0" w:color="auto"/>
        <w:bottom w:val="none" w:sz="0" w:space="0" w:color="auto"/>
        <w:right w:val="none" w:sz="0" w:space="0" w:color="auto"/>
      </w:divBdr>
    </w:div>
    <w:div w:id="2111048354">
      <w:bodyDiv w:val="1"/>
      <w:marLeft w:val="0"/>
      <w:marRight w:val="0"/>
      <w:marTop w:val="0"/>
      <w:marBottom w:val="0"/>
      <w:divBdr>
        <w:top w:val="none" w:sz="0" w:space="0" w:color="auto"/>
        <w:left w:val="none" w:sz="0" w:space="0" w:color="auto"/>
        <w:bottom w:val="none" w:sz="0" w:space="0" w:color="auto"/>
        <w:right w:val="none" w:sz="0" w:space="0" w:color="auto"/>
      </w:divBdr>
    </w:div>
    <w:div w:id="2134127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Ree16</b:Tag>
    <b:SourceType>Book</b:SourceType>
    <b:Guid>{86EAD605-E6FB-4743-85D0-E6160C6CF768}</b:Guid>
    <b:Title>Leading, Managing and Developing People</b:Title>
    <b:Publisher>CIPD</b:Publisher>
    <b:City>London</b:City>
    <b:Year>2016</b:Year>
    <b:Author>
      <b:Author>
        <b:NameList>
          <b:Person>
            <b:Last>Rees</b:Last>
            <b:First>G</b:First>
          </b:Person>
          <b:Person>
            <b:Last>French</b:Last>
            <b:First>R</b:First>
          </b:Person>
        </b:NameList>
      </b:Author>
    </b:Author>
    <b:Edition>5th</b:Edition>
    <b:RefOrder>1</b:RefOrder>
  </b:Source>
  <b:Source>
    <b:Tag>Joh11</b:Tag>
    <b:SourceType>Book</b:SourceType>
    <b:Guid>{D22E54F7-5504-9E40-B05B-DEBBBB134599}</b:Guid>
    <b:Author>
      <b:Author>
        <b:NameList>
          <b:Person>
            <b:Last>Johnson</b:Last>
            <b:First>G</b:First>
          </b:Person>
          <b:Person>
            <b:Last>Scholes</b:Last>
            <b:First>K</b:First>
          </b:Person>
          <b:Person>
            <b:Last>Whittington</b:Last>
            <b:First>R</b:First>
          </b:Person>
        </b:NameList>
      </b:Author>
    </b:Author>
    <b:Title>Exploring Corporate Strategy</b:Title>
    <b:City>London</b:City>
    <b:Publisher>FT/Outnab</b:Publisher>
    <b:Year>2011</b:Year>
    <b:Edition>8th</b:Edition>
    <b:RefOrder>2</b:RefOrder>
  </b:Source>
  <b:Source>
    <b:Tag>Far151</b:Tag>
    <b:SourceType>Book</b:SourceType>
    <b:Guid>{05AA537C-13F3-9D49-9B87-06E3EDC93180}</b:Guid>
    <b:Author>
      <b:Author>
        <b:NameList>
          <b:Person>
            <b:Last>Farnham</b:Last>
            <b:First>D</b:First>
          </b:Person>
        </b:NameList>
      </b:Author>
    </b:Author>
    <b:Title>Human Resource Management in Context: Insights, Strategy and Solution</b:Title>
    <b:City>London</b:City>
    <b:Publisher>CIPD</b:Publisher>
    <b:Year>2015</b:Year>
    <b:Edition>4th</b:Edition>
    <b:RefOrder>3</b:RefOrder>
  </b:Source>
  <b:Source>
    <b:Tag>Sch97</b:Tag>
    <b:SourceType>Book</b:SourceType>
    <b:Guid>{8C996359-3DE4-3C48-A872-71CE6ABAC547}</b:Guid>
    <b:Author>
      <b:Author>
        <b:NameList>
          <b:Person>
            <b:Last>Schein</b:Last>
            <b:First>E</b:First>
          </b:Person>
        </b:NameList>
      </b:Author>
    </b:Author>
    <b:Title>Organisational Culture and Leadership</b:Title>
    <b:City>San Francisco</b:City>
    <b:Publisher>Josey-Bass</b:Publisher>
    <b:Year>1997</b:Year>
    <b:Edition>1st</b:Edition>
    <b:RefOrder>4</b:RefOrder>
  </b:Source>
  <b:Source>
    <b:Tag>Yuk12</b:Tag>
    <b:SourceType>Book</b:SourceType>
    <b:Guid>{0D1EDAB0-A5C1-3646-A396-6B64099EAF16}</b:Guid>
    <b:Author>
      <b:Author>
        <b:NameList>
          <b:Person>
            <b:Last>Yukl</b:Last>
            <b:First>G</b:First>
          </b:Person>
        </b:NameList>
      </b:Author>
    </b:Author>
    <b:Title>Leadership in Organisations</b:Title>
    <b:City>Harlow</b:City>
    <b:Publisher>Pearson</b:Publisher>
    <b:Year>2012</b:Year>
    <b:Edition>8th</b:Edition>
    <b:RefOrder>5</b:RefOrder>
  </b:Source>
  <b:Source>
    <b:Tag>Placeholder4</b:Tag>
    <b:SourceType>Book</b:SourceType>
    <b:Guid>{0D807FE6-618C-C04F-A35E-3FD4D463EA91}</b:Guid>
    <b:RefOrder>69</b:RefOrder>
  </b:Source>
  <b:Source>
    <b:Tag>Gri10</b:Tag>
    <b:SourceType>Book</b:SourceType>
    <b:Guid>{6C913D4D-C1F0-5A49-A67B-3779512BAEAD}</b:Guid>
    <b:Author>
      <b:Author>
        <b:NameList>
          <b:Person>
            <b:Last>Grint</b:Last>
            <b:First>K</b:First>
          </b:Person>
        </b:NameList>
      </b:Author>
    </b:Author>
    <b:Title>Leadership: A very short introduction</b:Title>
    <b:City>New York</b:City>
    <b:Publisher>Oxford University Press</b:Publisher>
    <b:Year>2010</b:Year>
    <b:Edition>1st</b:Edition>
    <b:RefOrder>6</b:RefOrder>
  </b:Source>
  <b:Source>
    <b:Tag>Jac11</b:Tag>
    <b:SourceType>Book</b:SourceType>
    <b:Guid>{2CD92363-BA99-5B46-98FE-22A17F40AEFC}</b:Guid>
    <b:Author>
      <b:Author>
        <b:NameList>
          <b:Person>
            <b:Last>Jackson</b:Last>
            <b:First>B</b:First>
          </b:Person>
          <b:Person>
            <b:Last>Perry</b:Last>
            <b:First>K</b:First>
          </b:Person>
        </b:NameList>
      </b:Author>
    </b:Author>
    <b:Title>A very short fairly interesting and reasonably cheap book about studying leadership</b:Title>
    <b:City>London</b:City>
    <b:Publisher>Sage</b:Publisher>
    <b:Year>2011</b:Year>
    <b:Edition>2nd</b:Edition>
    <b:RefOrder>7</b:RefOrder>
  </b:Source>
  <b:Source>
    <b:Tag>Hog12</b:Tag>
    <b:SourceType>Report</b:SourceType>
    <b:Guid>{0CC123E7-E974-2C4B-814A-D77CE02D1669}</b:Guid>
    <b:Title>Leadership: You're doing it wrong</b:Title>
    <b:Publisher>Hogan Assessment Systems Inc</b:Publisher>
    <b:Year>2012</b:Year>
    <b:Author>
      <b:Author>
        <b:Corporate>Hogan </b:Corporate>
      </b:Author>
    </b:Author>
    <b:RefOrder>9</b:RefOrder>
  </b:Source>
  <b:Source>
    <b:Tag>Tan73</b:Tag>
    <b:SourceType>JournalArticle</b:SourceType>
    <b:Guid>{6F8674EE-0FE7-0E47-A71A-FDEBBCFEA648}</b:Guid>
    <b:Title>How to choose a leadership pattern</b:Title>
    <b:Year>1973</b:Year>
    <b:Author>
      <b:Author>
        <b:NameList>
          <b:Person>
            <b:Last>Tannenbaum</b:Last>
            <b:First>R</b:First>
          </b:Person>
          <b:Person>
            <b:Last>Schmidt</b:Last>
            <b:Middle>H</b:Middle>
            <b:First>W</b:First>
          </b:Person>
        </b:NameList>
      </b:Author>
    </b:Author>
    <b:JournalName>Havard Business Review</b:JournalName>
    <b:Volume>27</b:Volume>
    <b:Issue>1</b:Issue>
    <b:Pages>162-180</b:Pages>
    <b:RefOrder>8</b:RefOrder>
  </b:Source>
  <b:Source>
    <b:Tag>Wat93</b:Tag>
    <b:SourceType>Book</b:SourceType>
    <b:Guid>{D1609F1D-B0B1-FF4A-9B0A-832333A33834}</b:Guid>
    <b:Title>Sculpting the learning organization: lessons in the art and science of systemic change</b:Title>
    <b:Year>1993</b:Year>
    <b:Author>
      <b:Author>
        <b:NameList>
          <b:Person>
            <b:Last>Watkins</b:Last>
            <b:First>K.E</b:First>
          </b:Person>
          <b:Person>
            <b:Last>Marsick</b:Last>
            <b:Middle>J</b:Middle>
            <b:First>V</b:First>
          </b:Person>
        </b:NameList>
      </b:Author>
    </b:Author>
    <b:City>San Francisco</b:City>
    <b:Publisher>Josey-Boss</b:Publisher>
    <b:Edition>1st</b:Edition>
    <b:RefOrder>10</b:RefOrder>
  </b:Source>
  <b:Source>
    <b:Tag>You19</b:Tag>
    <b:SourceType>Report</b:SourceType>
    <b:Guid>{D284EAD0-89AB-F140-94DC-68D1D60D481F}</b:Guid>
    <b:Title>Creating and developing positive organisational cultures for learning and inclusion</b:Title>
    <b:City>London</b:City>
    <b:Publisher>CIPD</b:Publisher>
    <b:Year>2019</b:Year>
    <b:Author>
      <b:Author>
        <b:NameList>
          <b:Person>
            <b:Last>Young</b:Last>
            <b:First>J</b:First>
          </b:Person>
        </b:NameList>
      </b:Author>
    </b:Author>
    <b:RefOrder>11</b:RefOrder>
  </b:Source>
  <b:Source>
    <b:Tag>Placeholder5</b:Tag>
    <b:SourceType>Report</b:SourceType>
    <b:Guid>{DCD59655-7392-684B-86BA-0930EA9AD9AF}</b:Guid>
    <b:RefOrder>70</b:RefOrder>
  </b:Source>
  <b:Source>
    <b:Tag>Mul071</b:Tag>
    <b:SourceType>Book</b:SourceType>
    <b:Guid>{5F0C4711-BF78-AD4C-950E-0FB4E877FF2A}</b:Guid>
    <b:Title>Management and Organisational Behaviour</b:Title>
    <b:Publisher>Pearson</b:Publisher>
    <b:City>Harlow</b:City>
    <b:Year>2007</b:Year>
    <b:Author>
      <b:Author>
        <b:NameList>
          <b:Person>
            <b:Last>Mullins</b:Last>
            <b:First>L.J</b:First>
          </b:Person>
        </b:NameList>
      </b:Author>
    </b:Author>
    <b:Edition>8th</b:Edition>
    <b:RefOrder>14</b:RefOrder>
  </b:Source>
  <b:Source>
    <b:Tag>Tay17</b:Tag>
    <b:SourceType>Report</b:SourceType>
    <b:Guid>{D54BBBF0-2792-FA41-9555-8D58463F789F}</b:Guid>
    <b:Title>Good Work - The Taylor Review of Modern Working Practices </b:Title>
    <b:Year>2017</b:Year>
    <b:Author>
      <b:Author>
        <b:NameList>
          <b:Person>
            <b:Last>Taylor</b:Last>
            <b:First>M</b:First>
          </b:Person>
        </b:NameList>
      </b:Author>
    </b:Author>
    <b:Publisher>UK Government</b:Publisher>
    <b:City>London</b:City>
    <b:RefOrder>17</b:RefOrder>
  </b:Source>
  <b:Source>
    <b:Tag>Alf10</b:Tag>
    <b:SourceType>Book</b:SourceType>
    <b:Guid>{F408D0EE-0249-F643-9E5E-3CECE56694CD}</b:Guid>
    <b:Title>Creating an engaged workforce: findings from the kingston employee engagement consortium project</b:Title>
    <b:Publisher>CIPD</b:Publisher>
    <b:City>London</b:City>
    <b:Year>2010</b:Year>
    <b:Author>
      <b:Author>
        <b:NameList>
          <b:Person>
            <b:Last>Alfes</b:Last>
            <b:First>K</b:First>
          </b:Person>
          <b:Person>
            <b:Last>Truss</b:Last>
            <b:First>C</b:First>
          </b:Person>
          <b:Person>
            <b:Last>Soane</b:Last>
            <b:Middle>C</b:Middle>
            <b:First>E</b:First>
          </b:Person>
          <b:Person>
            <b:Last>Rees</b:Last>
            <b:First>C</b:First>
          </b:Person>
          <b:Person>
            <b:Last>Gatenby</b:Last>
            <b:First>M</b:First>
          </b:Person>
        </b:NameList>
      </b:Author>
    </b:Author>
    <b:Edition>1st</b:Edition>
    <b:RefOrder>15</b:RefOrder>
  </b:Source>
  <b:Source>
    <b:Tag>Bol11</b:Tag>
    <b:SourceType>JournalArticle</b:SourceType>
    <b:Guid>{BD6D3A77-E5B6-2B47-A9F4-4D7118796497}</b:Guid>
    <b:Author>
      <b:Author>
        <b:NameList>
          <b:Person>
            <b:Last>Bolden</b:Last>
            <b:First>R</b:First>
          </b:Person>
        </b:NameList>
      </b:Author>
    </b:Author>
    <b:Title>Distributed Leadership in organisations: a review of theory and research</b:Title>
    <b:Year>2011</b:Year>
    <b:JournalName>International Journal of Management Reviews</b:JournalName>
    <b:Volume>13</b:Volume>
    <b:Issue>3</b:Issue>
    <b:Pages>251-269</b:Pages>
    <b:RefOrder>18</b:RefOrder>
  </b:Source>
  <b:Source>
    <b:Tag>Peo20</b:Tag>
    <b:SourceType>ArticleInAPeriodical</b:SourceType>
    <b:Guid>{E4670696-3AB7-0E45-85CD-B927E73E3777}</b:Guid>
    <b:Author>
      <b:Author>
        <b:Corporate>People Management</b:Corporate>
      </b:Author>
    </b:Author>
    <b:Title>The key to happy staff and patients is many leaders not few</b:Title>
    <b:JournalName>People Management</b:JournalName>
    <b:Year>2020</b:Year>
    <b:Pages>22-23</b:Pages>
    <b:Month>February</b:Month>
    <b:RefOrder>19</b:RefOrder>
  </b:Source>
  <b:Source>
    <b:Tag>Ins18</b:Tag>
    <b:SourceType>InternetSite</b:SourceType>
    <b:Guid>{9FA2CB5F-3980-BC42-990B-52979A7578EC}</b:Guid>
    <b:Title>Ethics at Work</b:Title>
    <b:Year>2018</b:Year>
    <b:Author>
      <b:Author>
        <b:Corporate>Institute of Business Ethics</b:Corporate>
      </b:Author>
    </b:Author>
    <b:URL>https://www.ibe.org.uk/resource/ibe-survey-report-ethics-at-work-2018-survey-of-employees-uk-int-pdf.html</b:URL>
    <b:YearAccessed>2020</b:YearAccessed>
    <b:MonthAccessed>May</b:MonthAccessed>
    <b:DayAccessed>19</b:DayAccessed>
    <b:RefOrder>13</b:RefOrder>
  </b:Source>
  <b:Source>
    <b:Tag>Armon</b:Tag>
    <b:SourceType>Book</b:SourceType>
    <b:Guid>{0982C563-887C-2D4C-9024-E822E4C1B6E7}</b:Guid>
    <b:Title>Managing Performance: Performance Management in action</b:Title>
    <b:Year>2005</b:Year>
    <b:Author>
      <b:Author>
        <b:NameList>
          <b:Person>
            <b:Last>Armstrong</b:Last>
            <b:First>M</b:First>
          </b:Person>
          <b:Person>
            <b:Last>Baron</b:Last>
          </b:Person>
        </b:NameList>
      </b:Author>
    </b:Author>
    <b:City>London</b:City>
    <b:Publisher>CIPD</b:Publisher>
    <b:RefOrder>20</b:RefOrder>
  </b:Source>
  <b:Source>
    <b:Tag>Coo87</b:Tag>
    <b:SourceType>BookSection</b:SourceType>
    <b:Guid>{A3E805E7-B8C5-FD40-B03D-969D3F68BE6D}</b:Guid>
    <b:Title>Appreciative inquiry in organisational life</b:Title>
    <b:City>Greenwich</b:City>
    <b:Publisher>JAI Press</b:Publisher>
    <b:Year>1987</b:Year>
    <b:Author>
      <b:Author>
        <b:NameList>
          <b:Person>
            <b:Last>Cooperrider</b:Last>
            <b:First>D.L</b:First>
          </b:Person>
          <b:Person>
            <b:Last>Srivastava</b:Last>
            <b:First>S</b:First>
          </b:Person>
        </b:NameList>
      </b:Author>
    </b:Author>
    <b:BookTitle>Research in Organisation change</b:BookTitle>
    <b:Pages>129-169</b:Pages>
    <b:RefOrder>23</b:RefOrder>
  </b:Source>
  <b:Source>
    <b:Tag>CIP1711</b:Tag>
    <b:SourceType>Report</b:SourceType>
    <b:Guid>{BED36990-8DE0-4348-A901-1609F5AA4679}</b:Guid>
    <b:Title>Strength based performance conversations: an organisational field trail</b:Title>
    <b:City>London</b:City>
    <b:Publisher>CIPD</b:Publisher>
    <b:Year>2017</b:Year>
    <b:Author>
      <b:Author>
        <b:Corporate>CIPD</b:Corporate>
      </b:Author>
    </b:Author>
    <b:RefOrder>24</b:RefOrder>
  </b:Source>
  <b:Source>
    <b:Tag>Box081</b:Tag>
    <b:SourceType>Book</b:SourceType>
    <b:Guid>{CCFF35B2-7A45-074A-877E-B04BFA5B4562}</b:Guid>
    <b:Title>Strategy and Human Resource Management</b:Title>
    <b:Publisher>Palgrave McMillan</b:Publisher>
    <b:City>Basingstoke</b:City>
    <b:Year>2008</b:Year>
    <b:Author>
      <b:Author>
        <b:NameList>
          <b:Person>
            <b:Last>Boxall</b:Last>
            <b:First>P</b:First>
          </b:Person>
          <b:Person>
            <b:Last>Purcell</b:Last>
            <b:First>J</b:First>
          </b:Person>
        </b:NameList>
      </b:Author>
    </b:Author>
    <b:Edition>2nd</b:Edition>
    <b:RefOrder>21</b:RefOrder>
  </b:Source>
  <b:Source>
    <b:Tag>CIP19</b:Tag>
    <b:SourceType>DocumentFromInternetSite</b:SourceType>
    <b:Guid>{CC46A43D-7054-E241-AD29-3EB36190949D}</b:Guid>
    <b:Title>Ethics at Work: An Employers Guide</b:Title>
    <b:URL>https://www.cipd.co.uk/Images/7919-ethics-guide_tcm18-66759.pdf</b:URL>
    <b:Year>2019a</b:Year>
    <b:YearAccessed>2020</b:YearAccessed>
    <b:MonthAccessed>May</b:MonthAccessed>
    <b:DayAccessed>19</b:DayAccessed>
    <b:Author>
      <b:Author>
        <b:Corporate>CIPD</b:Corporate>
      </b:Author>
    </b:Author>
    <b:Month>December</b:Month>
    <b:RefOrder>12</b:RefOrder>
  </b:Source>
  <b:Source>
    <b:Tag>CIP9b1</b:Tag>
    <b:SourceType>DocumentFromInternetSite</b:SourceType>
    <b:Guid>{728487D5-0329-774E-8419-BE6614B334DF}</b:Guid>
    <b:Title>Performance Reviews</b:Title>
    <b:Year>2019b</b:Year>
    <b:Author>
      <b:Author>
        <b:Corporate>CIPD</b:Corporate>
      </b:Author>
    </b:Author>
    <b:URL>https://www.cipd.co.uk/knowledge/fundamentals/people/performance/appraisals-factsheet#6546</b:URL>
    <b:Month>November</b:Month>
    <b:Day>30</b:Day>
    <b:YearAccessed>2020</b:YearAccessed>
    <b:MonthAccessed>May </b:MonthAccessed>
    <b:DayAccessed>19</b:DayAccessed>
    <b:RefOrder>22</b:RefOrder>
  </b:Source>
  <b:Source>
    <b:Tag>Van06</b:Tag>
    <b:SourceType>Report</b:SourceType>
    <b:Guid>{2280F14E-018E-8540-B1C9-195D4A14A334}</b:Guid>
    <b:Title>Employee Engagement and Commitment: A guide to understanding, measuring and increasing engagement in your organisation </b:Title>
    <b:Year>2006</b:Year>
    <b:Author>
      <b:Author>
        <b:NameList>
          <b:Person>
            <b:Last>Vance</b:Last>
            <b:First>R</b:First>
          </b:Person>
        </b:NameList>
      </b:Author>
    </b:Author>
    <b:Publisher>SHRM Foundation </b:Publisher>
    <b:RefOrder>26</b:RefOrder>
  </b:Source>
  <b:Source>
    <b:Tag>Kah90</b:Tag>
    <b:SourceType>JournalArticle</b:SourceType>
    <b:Guid>{622DFF9C-FD6E-C04D-BA84-C74C3B17FDEF}</b:Guid>
    <b:Title>Psychological conditions of personal engagement and disengagement at work</b:Title>
    <b:Year>1990</b:Year>
    <b:Author>
      <b:Author>
        <b:NameList>
          <b:Person>
            <b:Last>Kahn</b:Last>
            <b:First>W.A</b:First>
          </b:Person>
        </b:NameList>
      </b:Author>
    </b:Author>
    <b:JournalName>Academy of Management Journal</b:JournalName>
    <b:Volume>33</b:Volume>
    <b:Issue>4</b:Issue>
    <b:Pages>268-79</b:Pages>
    <b:RefOrder>27</b:RefOrder>
  </b:Source>
  <b:Source>
    <b:Tag>Mas01</b:Tag>
    <b:SourceType>JournalArticle</b:SourceType>
    <b:Guid>{F98E2A75-6B71-1F4B-B0BD-BB7A0618F5C6}</b:Guid>
    <b:Author>
      <b:Author>
        <b:NameList>
          <b:Person>
            <b:Last>Maslach</b:Last>
            <b:First>C</b:First>
          </b:Person>
          <b:Person>
            <b:Last>Schaufeli</b:Last>
            <b:Middle>B</b:Middle>
            <b:First>W</b:First>
          </b:Person>
          <b:Person>
            <b:Last>Leiter</b:Last>
            <b:Middle>P</b:Middle>
            <b:First>M</b:First>
          </b:Person>
        </b:NameList>
      </b:Author>
    </b:Author>
    <b:Title>Job burnout</b:Title>
    <b:JournalName>Annual Review of Psychology</b:JournalName>
    <b:Year>2001</b:Year>
    <b:Volume>52</b:Volume>
    <b:Pages>397-422</b:Pages>
    <b:RefOrder>28</b:RefOrder>
  </b:Source>
  <b:Source>
    <b:Tag>Mer15</b:Tag>
    <b:SourceType>Report</b:SourceType>
    <b:Guid>{C1ABB369-F347-9F49-868C-A65B7557B113}</b:Guid>
    <b:Title>The Future of HR</b:Title>
    <b:Year>2015</b:Year>
    <b:Author>
      <b:Author>
        <b:Corporate>Mercer</b:Corporate>
      </b:Author>
    </b:Author>
    <b:RefOrder>29</b:RefOrder>
  </b:Source>
  <b:Source>
    <b:Tag>Stu18</b:Tag>
    <b:SourceType>ArticleInAPeriodical</b:SourceType>
    <b:Guid>{CE41C913-BD85-C547-978D-993D3D7F02F3}</b:Guid>
    <b:Title>mployee experience vs. engagement, and 3 things you should start thinking about now</b:Title>
    <b:Year>2018</b:Year>
    <b:PeriodicalTitle>Forbes</b:PeriodicalTitle>
    <b:Month>May</b:Month>
    <b:Day>18</b:Day>
    <b:Author>
      <b:Author>
        <b:NameList>
          <b:Person>
            <b:Last>Sturt</b:Last>
            <b:First>D</b:First>
          </b:Person>
          <b:Person>
            <b:Last>Nordstrom</b:Last>
            <b:First>T</b:First>
          </b:Person>
        </b:NameList>
      </b:Author>
    </b:Author>
    <b:RefOrder>30</b:RefOrder>
  </b:Source>
  <b:Source>
    <b:Tag>Sch19</b:Tag>
    <b:SourceType>ArticleInAPeriodical</b:SourceType>
    <b:Guid>{5FC15C5F-74B3-AD4A-9965-A332E78778BD}</b:Guid>
    <b:Author>
      <b:Author>
        <b:NameList>
          <b:Person>
            <b:Last>Schwartz</b:Last>
            <b:First>J</b:First>
          </b:Person>
        </b:NameList>
      </b:Author>
    </b:Author>
    <b:Title>Reframing the future of work</b:Title>
    <b:PeriodicalTitle>MIT Sloan Management Review</b:PeriodicalTitle>
    <b:Year>2019</b:Year>
    <b:Month>February</b:Month>
    <b:Day>20</b:Day>
    <b:RefOrder>31</b:RefOrder>
  </b:Source>
  <b:Source>
    <b:Tag>Del191</b:Tag>
    <b:SourceType>Report</b:SourceType>
    <b:Guid>{E2F975BA-67FE-F74A-B430-A9CA197C0F5C}</b:Guid>
    <b:Title>Leading the Social Enterprise: Reinvent with a human focus</b:Title>
    <b:Year>2019</b:Year>
    <b:Author>
      <b:Author>
        <b:Corporate>Deloitte</b:Corporate>
      </b:Author>
    </b:Author>
    <b:RefOrder>32</b:RefOrder>
  </b:Source>
  <b:Source>
    <b:Tag>HRM19</b:Tag>
    <b:SourceType>ArticleInAPeriodical</b:SourceType>
    <b:Guid>{A070CF52-5EF1-A846-A210-80E3178DCF19}</b:Guid>
    <b:Title>Outstanding emoloyee engagement</b:Title>
    <b:Year>2019</b:Year>
    <b:Pages>13</b:Pages>
    <b:Author>
      <b:Author>
        <b:Corporate>HR Magazine</b:Corporate>
      </b:Author>
    </b:Author>
    <b:PeriodicalTitle>HR Magazine</b:PeriodicalTitle>
    <b:RefOrder>33</b:RefOrder>
  </b:Source>
  <b:Source>
    <b:Tag>Mac09</b:Tag>
    <b:SourceType>Book</b:SourceType>
    <b:Guid>{7B00A2FF-F101-3348-9ED4-C939CFC45F6F}</b:Guid>
    <b:Title>Engaging for success: Enhancing performance through employee engagement</b:Title>
    <b:Year>2009</b:Year>
    <b:Author>
      <b:Author>
        <b:NameList>
          <b:Person>
            <b:Last>Macloed</b:Last>
            <b:First>D</b:First>
          </b:Person>
          <b:Person>
            <b:Last>Clark</b:Last>
            <b:First>N</b:First>
          </b:Person>
        </b:NameList>
      </b:Author>
    </b:Author>
    <b:City>London</b:City>
    <b:RefOrder>40</b:RefOrder>
  </b:Source>
  <b:Source>
    <b:Tag>Cha12</b:Tag>
    <b:SourceType>DocumentFromInternetSite</b:SourceType>
    <b:Guid>{323CDC3C-900B-0743-919C-A90CB38FB909}</b:Guid>
    <b:Title>Four key enablers to employee engagement</b:Title>
    <b:Year>2012</b:Year>
    <b:Author>
      <b:Author>
        <b:NameList>
          <b:Person>
            <b:Last>Chamberlain</b:Last>
            <b:First>L</b:First>
          </b:Person>
        </b:NameList>
      </b:Author>
    </b:Author>
    <b:URL>https://www.personneltoday.com/hr/four-key-enablers-to-employee-engagement/</b:URL>
    <b:Month>January</b:Month>
    <b:Day>27</b:Day>
    <b:YearAccessed>2020</b:YearAccessed>
    <b:MonthAccessed>May</b:MonthAccessed>
    <b:DayAccessed>20</b:DayAccessed>
    <b:RefOrder>41</b:RefOrder>
  </b:Source>
  <b:Source>
    <b:Tag>Cha09</b:Tag>
    <b:SourceType>JournalArticle</b:SourceType>
    <b:Guid>{65D0F543-DF24-3A40-8ACD-8D8EDCB53198}</b:Guid>
    <b:Title>Meaningfulness, commitment and engagement: the intersection of a deeper level of intrinsic motivation</b:Title>
    <b:Year>2009</b:Year>
    <b:Author>
      <b:Author>
        <b:NameList>
          <b:Person>
            <b:Last>Chalofsky</b:Last>
            <b:First>N</b:First>
          </b:Person>
          <b:Person>
            <b:Last>Krishna</b:Last>
            <b:First>V</b:First>
          </b:Person>
        </b:NameList>
      </b:Author>
    </b:Author>
    <b:JournalName>Advances in developing human resources</b:JournalName>
    <b:Volume>11</b:Volume>
    <b:Issue>2</b:Issue>
    <b:Pages>189-203</b:Pages>
    <b:RefOrder>42</b:RefOrder>
  </b:Source>
  <b:Source>
    <b:Tag>CIP9c1</b:Tag>
    <b:SourceType>Report</b:SourceType>
    <b:Guid>{38BB43FF-F4BE-FA48-B773-1D81D7E9BBD8}</b:Guid>
    <b:Title>UK Working Lives</b:Title>
    <b:Year>2019c</b:Year>
    <b:Author>
      <b:Author>
        <b:Corporate>CIPD</b:Corporate>
      </b:Author>
    </b:Author>
    <b:Publisher>CIPD</b:Publisher>
    <b:City>London</b:City>
    <b:RefOrder>43</b:RefOrder>
  </b:Source>
  <b:Source>
    <b:Tag>The14</b:Tag>
    <b:SourceType>Report</b:SourceType>
    <b:Guid>{DB9A9853-F94F-D64E-A3D6-48C7B22EE51C}</b:Guid>
    <b:Title>The Future of Engagement Thought Piece Collection</b:Title>
    <b:Year>2014</b:Year>
    <b:Publisher>IES</b:Publisher>
    <b:City>Brighton</b:City>
    <b:Author>
      <b:Author>
        <b:NameList>
          <b:Person>
            <b:Last>Robinson</b:Last>
            <b:First>D</b:First>
          </b:Person>
          <b:Person>
            <b:Last>Gifford</b:Last>
            <b:First>J</b:First>
          </b:Person>
        </b:NameList>
      </b:Author>
    </b:Author>
    <b:RefOrder>50</b:RefOrder>
  </b:Source>
  <b:Source>
    <b:Tag>Fra13</b:Tag>
    <b:SourceType>JournalArticle</b:SourceType>
    <b:Guid>{EA60C231-D917-1843-85CB-5CC59271D8D9}</b:Guid>
    <b:Title>Opening Spaces for Conversational Practice: A Conduit for Effective Engagement Strategies and Productive Working Arrangements</b:Title>
    <b:Year>2013</b:Year>
    <b:Author>
      <b:Author>
        <b:NameList>
          <b:Person>
            <b:Last>Francis</b:Last>
            <b:First>H</b:First>
          </b:Person>
          <b:Person>
            <b:Last>Reddington</b:Last>
            <b:First>M</b:First>
          </b:Person>
        </b:NameList>
      </b:Author>
    </b:Author>
    <b:JournalName>nternational Journal of Human Resource Management</b:JournalName>
    <b:Volume>24</b:Volume>
    <b:Issue>14</b:Issue>
    <b:Pages>2713-2740</b:Pages>
    <b:RefOrder>51</b:RefOrder>
  </b:Source>
  <b:Source>
    <b:Tag>McL19</b:Tag>
    <b:SourceType>InternetSite</b:SourceType>
    <b:Guid>{2842CFDB-FBBE-9747-A96C-C7541C5B8F33}</b:Guid>
    <b:Title>Engage for Success</b:Title>
    <b:Year>2019</b:Year>
    <b:Author>
      <b:Author>
        <b:NameList>
          <b:Person>
            <b:Last>McLeod</b:Last>
            <b:First>D</b:First>
          </b:Person>
          <b:Person>
            <b:Last>Clarke</b:Last>
            <b:First>N</b:First>
          </b:Person>
        </b:NameList>
      </b:Author>
    </b:Author>
    <b:URL>https://engageforsuccess.org/employee-voice</b:URL>
    <b:YearAccessed>2020</b:YearAccessed>
    <b:MonthAccessed>May</b:MonthAccessed>
    <b:DayAccessed>20</b:DayAccessed>
    <b:RefOrder>49</b:RefOrder>
  </b:Source>
  <b:Source>
    <b:Tag>Robon</b:Tag>
    <b:SourceType>Report</b:SourceType>
    <b:Guid>{1B83547B-760D-C04B-A178-1FEF4F66476E}</b:Guid>
    <b:Title>hE EngagIng ManagEr SErIES The engaging manager and sticky situations</b:Title>
    <b:Year>2013</b:Year>
    <b:Author>
      <b:Author>
        <b:NameList>
          <b:Person>
            <b:Last>Robinson</b:Last>
            <b:First>D</b:First>
          </b:Person>
        </b:NameList>
      </b:Author>
    </b:Author>
    <b:Publisher>IES</b:Publisher>
    <b:City>Brighton</b:City>
    <b:RefOrder>46</b:RefOrder>
  </b:Source>
  <b:Source>
    <b:Tag>Lew11</b:Tag>
    <b:SourceType>Book</b:SourceType>
    <b:Guid>{F71C09F3-CCF7-8147-BE6A-0C1423C5FB55}</b:Guid>
    <b:Title>Management competencies for enhancing employee engagement</b:Title>
    <b:Publisher>CIPD</b:Publisher>
    <b:City>London</b:City>
    <b:Year>2011</b:Year>
    <b:Author>
      <b:Author>
        <b:NameList>
          <b:Person>
            <b:Last>Lewis</b:Last>
            <b:First>R</b:First>
          </b:Person>
          <b:Person>
            <b:Last>Donaldson-Feilder</b:Last>
            <b:First>E</b:First>
          </b:Person>
          <b:Person>
            <b:Last>Tharani</b:Last>
            <b:First>T</b:First>
          </b:Person>
        </b:NameList>
      </b:Author>
    </b:Author>
    <b:RefOrder>47</b:RefOrder>
  </b:Source>
  <b:Source>
    <b:Tag>IES18</b:Tag>
    <b:SourceType>Report</b:SourceType>
    <b:Guid>{CC3209D3-74C4-7D4E-874C-EFC5404F6948}</b:Guid>
    <b:Title>Supporting Line Managers to foster Engagement</b:Title>
    <b:Publisher>IEs</b:Publisher>
    <b:Year>2018</b:Year>
    <b:Author>
      <b:Author>
        <b:Corporate>IES</b:Corporate>
      </b:Author>
    </b:Author>
    <b:RefOrder>48</b:RefOrder>
  </b:Source>
  <b:Source>
    <b:Tag>CIP9d</b:Tag>
    <b:SourceType>DocumentFromInternetSite</b:SourceType>
    <b:Guid>{1EC42107-BA44-DD44-819D-1E9F67FA43DE}</b:Guid>
    <b:Title>HR business partnering</b:Title>
    <b:Year>2019d</b:Year>
    <b:Author>
      <b:Author>
        <b:Corporate>CIPD</b:Corporate>
      </b:Author>
    </b:Author>
    <b:URL>https://www.cipd.co.uk/knowledge/fundamentals/people/hr/business-partnering-factsheet</b:URL>
    <b:Month>Aug</b:Month>
    <b:Day>6</b:Day>
    <b:YearAccessed>2020</b:YearAccessed>
    <b:MonthAccessed>May</b:MonthAccessed>
    <b:DayAccessed>20</b:DayAccessed>
    <b:RefOrder>52</b:RefOrder>
  </b:Source>
  <b:Source>
    <b:Tag>Coo19</b:Tag>
    <b:SourceType>InternetSite</b:SourceType>
    <b:Guid>{A5022359-3BD8-4841-98ED-0BAA398E82AD}</b:Guid>
    <b:Title>Where next for the Ulrich model?</b:Title>
    <b:URL>https://www.hrmagazine.co.uk/article-details/where-next-for-the-ulrich-model</b:URL>
    <b:Year>2019</b:Year>
    <b:YearAccessed>2020</b:YearAccessed>
    <b:MonthAccessed>May</b:MonthAccessed>
    <b:DayAccessed>20</b:DayAccessed>
    <b:Author>
      <b:Author>
        <b:NameList>
          <b:Person>
            <b:Last>Cook</b:Last>
            <b:First>A</b:First>
          </b:Person>
        </b:NameList>
      </b:Author>
    </b:Author>
    <b:RefOrder>53</b:RefOrder>
  </b:Source>
  <b:Source>
    <b:Tag>Pit08</b:Tag>
    <b:SourceType>JournalArticle</b:SourceType>
    <b:Guid>{EE97E34D-F2DA-B543-A0C1-6920D3A707F4}</b:Guid>
    <b:Title>Backlash against HR business partner model</b:Title>
    <b:Year>2008</b:Year>
    <b:Author>
      <b:Author>
        <b:NameList>
          <b:Person>
            <b:Last>Pitcher</b:Last>
            <b:First>G</b:First>
          </b:Person>
        </b:NameList>
      </b:Author>
    </b:Author>
    <b:JournalName>Personnel Today</b:JournalName>
    <b:RefOrder>54</b:RefOrder>
  </b:Source>
  <b:Source>
    <b:Tag>CIP153</b:Tag>
    <b:SourceType>Report</b:SourceType>
    <b:Guid>{A98FD7AB-AD97-7F46-8226-5F3532430737}</b:Guid>
    <b:Title>Changing HR operating Models</b:Title>
    <b:Year>2015</b:Year>
    <b:Author>
      <b:Author>
        <b:Corporate>CIPD</b:Corporate>
      </b:Author>
    </b:Author>
    <b:Publisher>CIPD</b:Publisher>
    <b:City>London</b:City>
    <b:RefOrder>55</b:RefOrder>
  </b:Source>
  <b:Source>
    <b:Tag>Tru97</b:Tag>
    <b:SourceType>JournalArticle</b:SourceType>
    <b:Guid>{0B232B51-2B40-3A4E-8B7B-9A4FBE1D662C}</b:Guid>
    <b:Title>Soft and Hard Models of Human Resource Management</b:Title>
    <b:Year>1997</b:Year>
    <b:Author>
      <b:Author>
        <b:NameList>
          <b:Person>
            <b:Last>Truss</b:Last>
            <b:First>C</b:First>
          </b:Person>
          <b:Person>
            <b:Last>Gratton</b:Last>
            <b:First>K</b:First>
          </b:Person>
          <b:Person>
            <b:Last>Hope-Hailey</b:Last>
            <b:First>V</b:First>
          </b:Person>
          <b:Person>
            <b:Last>McGivern</b:Last>
            <b:First>P</b:First>
          </b:Person>
          <b:Person>
            <b:Last>Stiles</b:Last>
            <b:First>P</b:First>
          </b:Person>
        </b:NameList>
      </b:Author>
    </b:Author>
    <b:JournalName>Journal of Management Studies</b:JournalName>
    <b:Volume>34</b:Volume>
    <b:Issue>1</b:Issue>
    <b:RefOrder>56</b:RefOrder>
  </b:Source>
  <b:Source>
    <b:Tag>Her</b:Tag>
    <b:SourceType>Book</b:SourceType>
    <b:Guid>{F20C090B-9C88-5E4C-A619-7D12B89E76FE}</b:Guid>
    <b:Author>
      <b:Author>
        <b:NameList>
          <b:Person>
            <b:Last>Hersey</b:Last>
            <b:First>P</b:First>
          </b:Person>
          <b:Person>
            <b:Last>Blanchard</b:Last>
            <b:First>K</b:First>
          </b:Person>
          <b:Person>
            <b:Last>Johnson</b:Last>
            <b:First>D</b:First>
          </b:Person>
        </b:NameList>
      </b:Author>
    </b:Author>
    <b:Title>Management of organisational behaviour</b:Title>
    <b:City>London</b:City>
    <b:Publisher>Prentice Hall</b:Publisher>
    <b:Year>2001</b:Year>
    <b:Edition>8th</b:Edition>
    <b:RefOrder>60</b:RefOrder>
  </b:Source>
  <b:Source>
    <b:Tag>Ros90</b:Tag>
    <b:SourceType>JournalArticle</b:SourceType>
    <b:Guid>{A3DBB757-4521-2B4D-B691-489D872DC1C4}</b:Guid>
    <b:Author>
      <b:Author>
        <b:NameList>
          <b:Person>
            <b:Last>Rosener</b:Last>
            <b:First>J</b:First>
          </b:Person>
        </b:NameList>
      </b:Author>
    </b:Author>
    <b:Title>Ways women lead</b:Title>
    <b:Year>1990</b:Year>
    <b:JournalName>Havard Business Review</b:JournalName>
    <b:Pages>119-125</b:Pages>
    <b:RefOrder>61</b:RefOrder>
  </b:Source>
  <b:Source>
    <b:Tag>Gue</b:Tag>
    <b:SourceType>JournalArticle</b:SourceType>
    <b:Guid>{BBAB6D2D-E2EE-8340-A74D-AC6A86E947C0}</b:Guid>
    <b:Author>
      <b:Author>
        <b:NameList>
          <b:Person>
            <b:Last>Guest</b:Last>
            <b:First>D</b:First>
          </b:Person>
        </b:NameList>
      </b:Author>
    </b:Author>
    <b:Title>Flexible employment contracts, the psychological contract amd employee outcomes: an analysis and review of the evidence</b:Title>
    <b:JournalName>International Journal of Management Review</b:JournalName>
    <b:Year>2004</b:Year>
    <b:Volume>5</b:Volume>
    <b:Issue>1</b:Issue>
    <b:Pages>1-19</b:Pages>
    <b:RefOrder>62</b:RefOrder>
  </b:Source>
  <b:Source>
    <b:Tag>Bly92</b:Tag>
    <b:SourceType>Book</b:SourceType>
    <b:Guid>{6D74C5A7-940A-0342-AEFA-A048731957A7}</b:Guid>
    <b:Title>HRM and the limits of flexibility</b:Title>
    <b:Year>1992</b:Year>
    <b:Author>
      <b:Author>
        <b:NameList>
          <b:Person>
            <b:Last>Blyton</b:Last>
            <b:First>P</b:First>
          </b:Person>
          <b:Person>
            <b:Last>Morris</b:Last>
            <b:First>J</b:First>
          </b:Person>
        </b:NameList>
      </b:Author>
    </b:Author>
    <b:City>London</b:City>
    <b:Publisher>Sage</b:Publisher>
    <b:Edition>1st</b:Edition>
    <b:RefOrder>63</b:RefOrder>
  </b:Source>
  <b:Source>
    <b:Tag>IWG19</b:Tag>
    <b:SourceType>InternetSite</b:SourceType>
    <b:Guid>{BC91B944-0792-4E49-B24A-D1BBFCADC3F2}</b:Guid>
    <b:Title>Global Research shows that flexible working is now a deal breaker in the war for talent</b:Title>
    <b:Year>2019</b:Year>
    <b:Author>
      <b:Author>
        <b:Corporate>IWG</b:Corporate>
      </b:Author>
    </b:Author>
    <b:URL>https://www.iwgplc.com/MediaCentre/PressRelease/flexible-working-is-now-a-deal-breaker-in-the-war-for-talent</b:URL>
    <b:RefOrder>64</b:RefOrder>
  </b:Source>
  <b:Source>
    <b:Tag>Sag19</b:Tag>
    <b:SourceType>Report</b:SourceType>
    <b:Guid>{002C17EB-9433-3E40-AC39-69874F28D211}</b:Guid>
    <b:Title>The changing face of HR</b:Title>
    <b:Year>2019</b:Year>
    <b:Author>
      <b:Author>
        <b:Corporate>Sage</b:Corporate>
      </b:Author>
    </b:Author>
    <b:Publisher>Sage People</b:Publisher>
    <b:RefOrder>65</b:RefOrder>
  </b:Source>
  <b:Source>
    <b:Tag>Tho08</b:Tag>
    <b:SourceType>JournalArticle</b:SourceType>
    <b:Guid>{F963CC2E-C918-144C-B951-D63CB1DA9FDF}</b:Guid>
    <b:Title>The business benefits of flexible working</b:Title>
    <b:Year>2008</b:Year>
    <b:Author>
      <b:Author>
        <b:NameList>
          <b:Person>
            <b:Last>Thomson</b:Last>
            <b:First>P</b:First>
          </b:Person>
        </b:NameList>
      </b:Author>
    </b:Author>
    <b:JournalName>Strategic HR Review</b:JournalName>
    <b:Volume>7</b:Volume>
    <b:Issue>2</b:Issue>
    <b:Pages>17-22</b:Pages>
    <b:RefOrder>66</b:RefOrder>
  </b:Source>
  <b:Source>
    <b:Tag>Pau19</b:Tag>
    <b:SourceType>DocumentFromInternetSite</b:SourceType>
    <b:Guid>{CC5CB1A4-1A27-8141-B421-A04BAA027214}</b:Guid>
    <b:Title>Microsoft Japan tested a four day work week and productivity jumped by 40%</b:Title>
    <b:Year>2019</b:Year>
    <b:Author>
      <b:Author>
        <b:NameList>
          <b:Person>
            <b:Last>Paul</b:Last>
            <b:First>K</b:First>
          </b:Person>
        </b:NameList>
      </b:Author>
    </b:Author>
    <b:Month>November</b:Month>
    <b:Day>5</b:Day>
    <b:YearAccessed>2020</b:YearAccessed>
    <b:MonthAccessed>May</b:MonthAccessed>
    <b:DayAccessed>20</b:DayAccessed>
    <b:URL>https://www.theguardian.com/technology/2019/nov/04/microsoft-japan-four-day-work-week-productivity?CMP=fb_gu&amp;utm_medium=Social&amp;utm_source=Facebook&amp;fbclid=IwAR0QHfLdwF53oBP71Dx3mIflBlGYW--tCD-OowjcOsjhW-aKCb7-x0S5oNM#Echobox=1572905928</b:URL>
    <b:RefOrder>67</b:RefOrder>
  </b:Source>
  <b:Source>
    <b:Tag>DeM11</b:Tag>
    <b:SourceType>JournalArticle</b:SourceType>
    <b:Guid>{AF2EF619-A99E-5345-9AB9-3D7D02B86D64}</b:Guid>
    <b:Title>Flexible working and performance: a systematic review of the evidence for a business case</b:Title>
    <b:Year>2011</b:Year>
    <b:Author>
      <b:Author>
        <b:NameList>
          <b:Person>
            <b:Last>De Menzies</b:Last>
            <b:First>L</b:First>
          </b:Person>
          <b:Person>
            <b:Last>Kelliher</b:Last>
            <b:First>C</b:First>
          </b:Person>
        </b:NameList>
      </b:Author>
    </b:Author>
    <b:JournalName>International Journal of Management Reviews</b:JournalName>
    <b:Volume>13</b:Volume>
    <b:Issue>3</b:Issue>
    <b:Pages>180-187</b:Pages>
    <b:RefOrder>68</b:RefOrder>
  </b:Source>
  <b:Source>
    <b:Tag>Jam08</b:Tag>
    <b:SourceType>JournalArticle</b:SourceType>
    <b:Guid>{80954234-F000-D942-9905-B8B4D82DB621}</b:Guid>
    <b:Author>
      <b:Author>
        <b:NameList>
          <b:Person>
            <b:Last>Jamrog</b:Last>
            <b:First>J.J</b:First>
          </b:Person>
          <b:Person>
            <b:Last>Vickers</b:Last>
            <b:First>M</b:First>
          </b:Person>
          <b:Person>
            <b:Last>Overholt</b:Last>
            <b:First>MH</b:First>
          </b:Person>
          <b:Person>
            <b:Last>Morrison</b:Last>
            <b:Middle>L</b:Middle>
            <b:First>C</b:First>
          </b:Person>
        </b:NameList>
      </b:Author>
    </b:Author>
    <b:Title>High peroformance organisations: finding the elements of excellence.</b:Title>
    <b:JournalName>The Human Resource Planning Society Journal</b:JournalName>
    <b:Year>2008</b:Year>
    <b:Volume>31</b:Volume>
    <b:Issue>1</b:Issue>
    <b:Pages>20-38</b:Pages>
    <b:RefOrder>25</b:RefOrder>
  </b:Source>
  <b:Source>
    <b:Tag>CIP191</b:Tag>
    <b:SourceType>Report</b:SourceType>
    <b:Guid>{55E6E80D-9543-8049-BD69-CBC98B2E88AF}</b:Guid>
    <b:Title>Change Management</b:Title>
    <b:Year>2019e</b:Year>
    <b:Author>
      <b:Author>
        <b:Corporate>CIPD</b:Corporate>
      </b:Author>
    </b:Author>
    <b:Publisher>CIPD</b:Publisher>
    <b:City>London</b:City>
    <b:RefOrder>34</b:RefOrder>
  </b:Source>
  <b:Source>
    <b:Tag>Car03</b:Tag>
    <b:SourceType>Book</b:SourceType>
    <b:Guid>{DC15661D-4AD5-4D4E-AA9A-D5F4DABC0C6E}</b:Guid>
    <b:Title>Managing change in Organisations</b:Title>
    <b:Publisher>FT/Prentice Hall</b:Publisher>
    <b:City>Harlow</b:City>
    <b:Year>2003</b:Year>
    <b:Author>
      <b:Author>
        <b:NameList>
          <b:Person>
            <b:Last>Carnall</b:Last>
            <b:First>C</b:First>
          </b:Person>
        </b:NameList>
      </b:Author>
    </b:Author>
    <b:Edition>4th</b:Edition>
    <b:RefOrder>35</b:RefOrder>
  </b:Source>
  <b:Source>
    <b:Tag>Lew511</b:Tag>
    <b:SourceType>Book</b:SourceType>
    <b:Guid>{3A5F81A8-FAA3-7C4C-9CF5-4D0126044E1F}</b:Guid>
    <b:Author>
      <b:Author>
        <b:NameList>
          <b:Person>
            <b:Last>Lewin</b:Last>
            <b:First>K</b:First>
          </b:Person>
        </b:NameList>
      </b:Author>
    </b:Author>
    <b:Title>Field theory in social science</b:Title>
    <b:City>New York</b:City>
    <b:Publisher>Harper &amp; Row</b:Publisher>
    <b:Year>1951</b:Year>
    <b:RefOrder>36</b:RefOrder>
  </b:Source>
  <b:Source>
    <b:Tag>All08</b:Tag>
    <b:SourceType>JournalArticle</b:SourceType>
    <b:Guid>{0D407D96-549A-6B4F-97E9-92E30FC13E7E}</b:Guid>
    <b:Author>
      <b:Author>
        <b:NameList>
          <b:Person>
            <b:Last>Allio</b:Last>
            <b:First>R.J</b:First>
          </b:Person>
        </b:NameList>
      </b:Author>
    </b:Author>
    <b:Title>Prahalad heralds a new era of innovation</b:Title>
    <b:Year>2008</b:Year>
    <b:JournalName>Strategy and Leadership</b:JournalName>
    <b:Volume>36</b:Volume>
    <b:Issue>6</b:Issue>
    <b:Pages>11-14</b:Pages>
    <b:RefOrder>37</b:RefOrder>
  </b:Source>
  <b:Source>
    <b:Tag>Kub19</b:Tag>
    <b:SourceType>InternetSite</b:SourceType>
    <b:Guid>{11A537DC-1568-B14E-B150-D3FEFFE47E81}</b:Guid>
    <b:Title>The change curve</b:Title>
    <b:Year>2019</b:Year>
    <b:Author>
      <b:Author>
        <b:NameList>
          <b:Person>
            <b:Last>Kubler-Ross</b:Last>
            <b:First>E</b:First>
          </b:Person>
        </b:NameList>
      </b:Author>
    </b:Author>
    <b:URL>https://www.exeter.ac.uk/media/universityofexeter/humanresources/documents/learningdevelopment/the_change_curve.pdf</b:URL>
    <b:YearAccessed>2020</b:YearAccessed>
    <b:MonthAccessed>May</b:MonthAccessed>
    <b:DayAccessed>20</b:DayAccessed>
    <b:RefOrder>38</b:RefOrder>
  </b:Source>
  <b:Source>
    <b:Tag>CIP20</b:Tag>
    <b:SourceType>DocumentFromInternetSite</b:SourceType>
    <b:Guid>{44AD8A19-940A-6341-BD78-74129BA49086}</b:Guid>
    <b:Title>Employee Voice</b:Title>
    <b:Year>2020a</b:Year>
    <b:Author>
      <b:Author>
        <b:Corporate>CIPD</b:Corporate>
      </b:Author>
    </b:Author>
    <b:URL>https://www.cipd.co.uk/knowledge/fundamentals/relations/communication/voice-factsheet</b:URL>
    <b:Month>March</b:Month>
    <b:Day>24</b:Day>
    <b:YearAccessed>2020</b:YearAccessed>
    <b:MonthAccessed>May</b:MonthAccessed>
    <b:DayAccessed>19</b:DayAccessed>
    <b:RefOrder>16</b:RefOrder>
  </b:Source>
  <b:Source>
    <b:Tag>CIP201</b:Tag>
    <b:SourceType>DocumentFromInternetSite</b:SourceType>
    <b:Guid>{1E8F4E51-F5CB-9F49-9B6C-25302F6683AD}</b:Guid>
    <b:Title>Employee Communication</b:Title>
    <b:Year>2020</b:Year>
    <b:Author>
      <b:Author>
        <b:Corporate>CIPD</b:Corporate>
      </b:Author>
    </b:Author>
    <b:URL>https://www.cipd.co.uk/knowledge/fundamentals/relations/communication/factsheet</b:URL>
    <b:Month>April</b:Month>
    <b:Day>24</b:Day>
    <b:YearAccessed>2020b</b:YearAccessed>
    <b:MonthAccessed>May</b:MonthAccessed>
    <b:DayAccessed>20</b:DayAccessed>
    <b:RefOrder>44</b:RefOrder>
  </b:Source>
  <b:Source>
    <b:Tag>CIP202</b:Tag>
    <b:SourceType>Report</b:SourceType>
    <b:Guid>{B4A72850-4D22-4448-9A8F-96400321A2A3}</b:Guid>
    <b:Title>Coronavirus advice for employers</b:Title>
    <b:Year>2020c</b:Year>
    <b:Author>
      <b:Author>
        <b:Corporate>CIPD</b:Corporate>
      </b:Author>
    </b:Author>
    <b:Publisher>CIPD</b:Publisher>
    <b:City>London</b:City>
    <b:RefOrder>45</b:RefOrder>
  </b:Source>
  <b:Source>
    <b:Tag>CIP0d</b:Tag>
    <b:SourceType>DocumentFromInternetSite</b:SourceType>
    <b:Guid>{739BA004-14D0-9F4B-8C69-E294889F494D}</b:Guid>
    <b:Title>The psychological contract</b:Title>
    <b:URL>https://www.cipd.co.uk/knowledge/fundamentals/relations/employees/psychological-factsheet</b:URL>
    <b:Year>2020d</b:Year>
    <b:YearAccessed>2020</b:YearAccessed>
    <b:MonthAccessed>May</b:MonthAccessed>
    <b:DayAccessed>20</b:DayAccessed>
    <b:Author>
      <b:Author>
        <b:Corporate>CIPD</b:Corporate>
      </b:Author>
    </b:Author>
    <b:Month>February</b:Month>
    <b:Day>26</b:Day>
    <b:RefOrder>39</b:RefOrder>
  </b:Source>
  <b:Source>
    <b:Tag>Cra16</b:Tag>
    <b:SourceType>Book</b:SourceType>
    <b:Guid>{54A00094-5E11-AA48-93FD-51D1B5784089}</b:Guid>
    <b:Title>Business Ethics: Managing corporate citizenship and sustainability in the age of globalisation</b:Title>
    <b:Year>2016</b:Year>
    <b:Author>
      <b:Author>
        <b:NameList>
          <b:Person>
            <b:Last>Crane</b:Last>
            <b:First>A</b:First>
          </b:Person>
          <b:Person>
            <b:Last>Matten</b:Last>
            <b:First>D</b:First>
          </b:Person>
        </b:NameList>
      </b:Author>
    </b:Author>
    <b:City>Oxford</b:City>
    <b:Publisher>Oxford University Press</b:Publisher>
    <b:Edition>4th</b:Edition>
    <b:RefOrder>57</b:RefOrder>
  </b:Source>
  <b:Source>
    <b:Tag>Por</b:Tag>
    <b:SourceType>JournalArticle</b:SourceType>
    <b:Guid>{83D3B949-D9E1-9D49-A50A-189BAED719B2}</b:Guid>
    <b:Author>
      <b:Author>
        <b:NameList>
          <b:Person>
            <b:Last>Porter</b:Last>
            <b:First>M.E</b:First>
          </b:Person>
          <b:Person>
            <b:Last>Kramer</b:Last>
            <b:Middle>R</b:Middle>
            <b:First>M</b:First>
          </b:Person>
        </b:NameList>
      </b:Author>
    </b:Author>
    <b:Title>Strategy and Society: the link between competitive advantage and corporate social responsibility</b:Title>
    <b:Year>2006</b:Year>
    <b:JournalName>Harvard Business Review</b:JournalName>
    <b:Volume>84</b:Volume>
    <b:Issue>12</b:Issue>
    <b:Pages>78-92</b:Pages>
    <b:RefOrder>58</b:RefOrder>
  </b:Source>
  <b:Source>
    <b:Tag>HRM9b</b:Tag>
    <b:SourceType>Report</b:SourceType>
    <b:Guid>{E9FF4A31-E56F-DC43-BC0C-85004939BD1F}</b:Guid>
    <b:Title>Best CSR strategy Winner Mandarin Oriental </b:Title>
    <b:Year>2019b</b:Year>
    <b:Author>
      <b:Author>
        <b:Corporate>HR Magazine </b:Corporate>
      </b:Author>
    </b:Author>
    <b:Publisher>HR Magazine</b:Publisher>
    <b:City>London</b:City>
    <b:RefOrder>59</b:RefOrder>
  </b:Source>
</b:Sources>
</file>

<file path=customXml/itemProps1.xml><?xml version="1.0" encoding="utf-8"?>
<ds:datastoreItem xmlns:ds="http://schemas.openxmlformats.org/officeDocument/2006/customXml" ds:itemID="{DA42D985-90F2-904C-9376-F094DADD1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6027</Words>
  <Characters>34354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Howells</dc:creator>
  <cp:keywords/>
  <dc:description/>
  <cp:lastModifiedBy>Rebecca Howells</cp:lastModifiedBy>
  <cp:revision>2</cp:revision>
  <dcterms:created xsi:type="dcterms:W3CDTF">2020-05-20T17:43:00Z</dcterms:created>
  <dcterms:modified xsi:type="dcterms:W3CDTF">2020-05-20T17:43:00Z</dcterms:modified>
</cp:coreProperties>
</file>