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34593E" w14:textId="4B32FCB8" w:rsidR="00C6366A" w:rsidRDefault="00FE3DB9">
      <w:pPr>
        <w:spacing w:after="200" w:line="360" w:lineRule="auto"/>
        <w:jc w:val="center"/>
        <w:rPr>
          <w:rFonts w:ascii="Times New Roman" w:eastAsia="Times New Roman" w:hAnsi="Times New Roman" w:cs="Times New Roman"/>
          <w:b/>
          <w:sz w:val="32"/>
          <w:szCs w:val="32"/>
        </w:rPr>
      </w:pPr>
      <w:r>
        <w:rPr>
          <w:noProof/>
        </w:rPr>
        <w:drawing>
          <wp:inline distT="0" distB="0" distL="0" distR="0" wp14:anchorId="7E15EDAA" wp14:editId="2A4B9642">
            <wp:extent cx="2529236" cy="1001920"/>
            <wp:effectExtent l="0" t="0" r="0" b="1905"/>
            <wp:docPr id="1572473858"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473858" name="Picture 1" descr="A close up of black text&#10;&#10;Description automatically generated"/>
                    <pic:cNvPicPr/>
                  </pic:nvPicPr>
                  <pic:blipFill>
                    <a:blip r:embed="rId8"/>
                    <a:stretch>
                      <a:fillRect/>
                    </a:stretch>
                  </pic:blipFill>
                  <pic:spPr>
                    <a:xfrm>
                      <a:off x="0" y="0"/>
                      <a:ext cx="2548530" cy="1009563"/>
                    </a:xfrm>
                    <a:prstGeom prst="rect">
                      <a:avLst/>
                    </a:prstGeom>
                  </pic:spPr>
                </pic:pic>
              </a:graphicData>
            </a:graphic>
          </wp:inline>
        </w:drawing>
      </w:r>
    </w:p>
    <w:p w14:paraId="598E0057" w14:textId="77777777" w:rsidR="00FE3DB9" w:rsidRDefault="00FE3DB9" w:rsidP="00FE3DB9">
      <w:pPr>
        <w:spacing w:after="200" w:line="360" w:lineRule="auto"/>
        <w:rPr>
          <w:rFonts w:ascii="Times New Roman" w:eastAsia="Times New Roman" w:hAnsi="Times New Roman" w:cs="Times New Roman"/>
          <w:b/>
          <w:sz w:val="32"/>
          <w:szCs w:val="32"/>
        </w:rPr>
      </w:pPr>
    </w:p>
    <w:p w14:paraId="75CBAF02" w14:textId="77777777" w:rsidR="00FE3DB9" w:rsidRDefault="00FE3DB9">
      <w:pPr>
        <w:spacing w:after="200" w:line="360" w:lineRule="auto"/>
        <w:jc w:val="center"/>
        <w:rPr>
          <w:rFonts w:ascii="Times New Roman" w:eastAsia="Times New Roman" w:hAnsi="Times New Roman" w:cs="Times New Roman"/>
          <w:b/>
          <w:sz w:val="32"/>
          <w:szCs w:val="32"/>
        </w:rPr>
      </w:pPr>
    </w:p>
    <w:p w14:paraId="55C5C6B5" w14:textId="77777777" w:rsidR="00FE3DB9" w:rsidRDefault="00FE3DB9">
      <w:pPr>
        <w:spacing w:after="200" w:line="360" w:lineRule="auto"/>
        <w:jc w:val="center"/>
        <w:rPr>
          <w:rFonts w:ascii="Times New Roman" w:eastAsia="Times New Roman" w:hAnsi="Times New Roman" w:cs="Times New Roman"/>
          <w:b/>
          <w:sz w:val="32"/>
          <w:szCs w:val="32"/>
        </w:rPr>
      </w:pPr>
    </w:p>
    <w:p w14:paraId="7F62C960" w14:textId="77777777" w:rsidR="00FE3DB9" w:rsidRDefault="00FE3DB9">
      <w:pPr>
        <w:spacing w:after="200" w:line="360" w:lineRule="auto"/>
        <w:jc w:val="center"/>
        <w:rPr>
          <w:rFonts w:ascii="Times New Roman" w:eastAsia="Times New Roman" w:hAnsi="Times New Roman" w:cs="Times New Roman"/>
          <w:b/>
          <w:sz w:val="32"/>
          <w:szCs w:val="32"/>
        </w:rPr>
      </w:pPr>
    </w:p>
    <w:p w14:paraId="6E78BB22" w14:textId="77777777" w:rsidR="00FE3DB9" w:rsidRDefault="00FE3DB9">
      <w:pPr>
        <w:spacing w:after="200" w:line="360" w:lineRule="auto"/>
        <w:jc w:val="center"/>
        <w:rPr>
          <w:rFonts w:ascii="Times New Roman" w:eastAsia="Times New Roman" w:hAnsi="Times New Roman" w:cs="Times New Roman"/>
          <w:b/>
          <w:sz w:val="32"/>
          <w:szCs w:val="32"/>
        </w:rPr>
      </w:pPr>
    </w:p>
    <w:p w14:paraId="083BA249" w14:textId="0BD466CF" w:rsidR="00C6366A" w:rsidRDefault="007D2333">
      <w:pPr>
        <w:spacing w:after="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"Building the Future: Assessing the Google Headquarters Project in London"</w:t>
      </w:r>
    </w:p>
    <w:p w14:paraId="6CBE3A87" w14:textId="77777777" w:rsidR="00FE3DB9" w:rsidRDefault="00FE3DB9">
      <w:pPr>
        <w:spacing w:after="200" w:line="360" w:lineRule="auto"/>
        <w:jc w:val="center"/>
        <w:rPr>
          <w:rFonts w:ascii="Times New Roman" w:eastAsia="Times New Roman" w:hAnsi="Times New Roman" w:cs="Times New Roman"/>
          <w:b/>
          <w:sz w:val="32"/>
          <w:szCs w:val="32"/>
        </w:rPr>
      </w:pPr>
    </w:p>
    <w:p w14:paraId="78F66B39" w14:textId="77777777" w:rsidR="00FE3DB9" w:rsidRDefault="00FE3DB9">
      <w:pPr>
        <w:spacing w:after="200" w:line="360" w:lineRule="auto"/>
        <w:jc w:val="center"/>
        <w:rPr>
          <w:rFonts w:ascii="Times New Roman" w:eastAsia="Times New Roman" w:hAnsi="Times New Roman" w:cs="Times New Roman"/>
          <w:b/>
          <w:sz w:val="32"/>
          <w:szCs w:val="32"/>
        </w:rPr>
      </w:pPr>
    </w:p>
    <w:p w14:paraId="5E40151A" w14:textId="77777777" w:rsidR="00FE3DB9" w:rsidRDefault="00FE3DB9">
      <w:pPr>
        <w:spacing w:after="200" w:line="360" w:lineRule="auto"/>
        <w:jc w:val="center"/>
        <w:rPr>
          <w:rFonts w:ascii="Times New Roman" w:eastAsia="Times New Roman" w:hAnsi="Times New Roman" w:cs="Times New Roman"/>
          <w:b/>
          <w:sz w:val="32"/>
          <w:szCs w:val="32"/>
        </w:rPr>
      </w:pPr>
    </w:p>
    <w:p w14:paraId="40085B11" w14:textId="46002908" w:rsidR="00FE3DB9" w:rsidRPr="00CB5741" w:rsidRDefault="00FE3DB9" w:rsidP="00FE3DB9">
      <w:pPr>
        <w:rPr>
          <w:rFonts w:ascii="Times New Roman" w:hAnsi="Times New Roman" w:cs="Times New Roman"/>
          <w:b/>
          <w:bCs/>
          <w:i/>
          <w:iCs/>
          <w:color w:val="000000" w:themeColor="text1"/>
          <w:sz w:val="24"/>
          <w:szCs w:val="24"/>
        </w:rPr>
      </w:pPr>
      <w:r w:rsidRPr="00CB5741">
        <w:rPr>
          <w:rFonts w:ascii="Times New Roman" w:hAnsi="Times New Roman" w:cs="Times New Roman"/>
          <w:b/>
          <w:bCs/>
          <w:i/>
          <w:iCs/>
          <w:color w:val="000000" w:themeColor="text1"/>
          <w:sz w:val="24"/>
          <w:szCs w:val="24"/>
        </w:rPr>
        <w:t xml:space="preserve">Module: Project </w:t>
      </w:r>
      <w:r w:rsidR="00CB5741">
        <w:rPr>
          <w:rFonts w:ascii="Times New Roman" w:hAnsi="Times New Roman" w:cs="Times New Roman"/>
          <w:b/>
          <w:bCs/>
          <w:i/>
          <w:iCs/>
          <w:color w:val="000000" w:themeColor="text1"/>
          <w:sz w:val="24"/>
          <w:szCs w:val="24"/>
        </w:rPr>
        <w:t>Management</w:t>
      </w:r>
    </w:p>
    <w:p w14:paraId="1B9A5F10" w14:textId="19B916FF" w:rsidR="00FE3DB9" w:rsidRPr="00CB5741" w:rsidRDefault="00FE3DB9" w:rsidP="00FE3DB9">
      <w:pPr>
        <w:rPr>
          <w:rFonts w:ascii="Times New Roman" w:hAnsi="Times New Roman" w:cs="Times New Roman"/>
          <w:b/>
          <w:bCs/>
          <w:i/>
          <w:iCs/>
          <w:color w:val="000000" w:themeColor="text1"/>
          <w:sz w:val="24"/>
          <w:szCs w:val="24"/>
        </w:rPr>
      </w:pPr>
      <w:r w:rsidRPr="00CB5741">
        <w:rPr>
          <w:rFonts w:ascii="Times New Roman" w:hAnsi="Times New Roman" w:cs="Times New Roman"/>
          <w:b/>
          <w:bCs/>
          <w:i/>
          <w:iCs/>
          <w:color w:val="000000" w:themeColor="text1"/>
          <w:sz w:val="24"/>
          <w:szCs w:val="24"/>
        </w:rPr>
        <w:t>Code: LCBB500</w:t>
      </w:r>
      <w:r w:rsidR="00AC6E5B">
        <w:rPr>
          <w:rFonts w:ascii="Times New Roman" w:hAnsi="Times New Roman" w:cs="Times New Roman"/>
          <w:b/>
          <w:bCs/>
          <w:i/>
          <w:iCs/>
          <w:color w:val="000000" w:themeColor="text1"/>
          <w:sz w:val="24"/>
          <w:szCs w:val="24"/>
        </w:rPr>
        <w:t>5</w:t>
      </w:r>
    </w:p>
    <w:p w14:paraId="0C3DB205" w14:textId="77777777" w:rsidR="00FE3DB9" w:rsidRPr="00CB5741" w:rsidRDefault="00FE3DB9" w:rsidP="00FE3DB9">
      <w:pPr>
        <w:rPr>
          <w:rFonts w:ascii="Times New Roman" w:hAnsi="Times New Roman" w:cs="Times New Roman"/>
          <w:b/>
          <w:bCs/>
          <w:i/>
          <w:iCs/>
          <w:color w:val="000000" w:themeColor="text1"/>
          <w:sz w:val="24"/>
          <w:szCs w:val="24"/>
        </w:rPr>
      </w:pPr>
      <w:r w:rsidRPr="00CB5741">
        <w:rPr>
          <w:rFonts w:ascii="Times New Roman" w:hAnsi="Times New Roman" w:cs="Times New Roman"/>
          <w:b/>
          <w:bCs/>
          <w:i/>
          <w:iCs/>
          <w:color w:val="000000" w:themeColor="text1"/>
          <w:sz w:val="24"/>
          <w:szCs w:val="24"/>
        </w:rPr>
        <w:t>Lecturer:  Dr Anupam Mazumdar</w:t>
      </w:r>
    </w:p>
    <w:p w14:paraId="35E32F0D" w14:textId="77777777" w:rsidR="00FE3DB9" w:rsidRPr="00CB5741" w:rsidRDefault="00FE3DB9" w:rsidP="00FE3DB9">
      <w:pPr>
        <w:rPr>
          <w:rFonts w:ascii="Times New Roman" w:hAnsi="Times New Roman" w:cs="Times New Roman"/>
          <w:b/>
          <w:bCs/>
          <w:i/>
          <w:iCs/>
          <w:color w:val="000000" w:themeColor="text1"/>
          <w:sz w:val="24"/>
          <w:szCs w:val="24"/>
        </w:rPr>
      </w:pPr>
      <w:r w:rsidRPr="00CB5741">
        <w:rPr>
          <w:rFonts w:ascii="Times New Roman" w:hAnsi="Times New Roman" w:cs="Times New Roman"/>
          <w:b/>
          <w:bCs/>
          <w:i/>
          <w:iCs/>
          <w:color w:val="000000" w:themeColor="text1"/>
          <w:sz w:val="24"/>
          <w:szCs w:val="24"/>
        </w:rPr>
        <w:t>Name: Simona Vitelaru</w:t>
      </w:r>
    </w:p>
    <w:p w14:paraId="6790D944" w14:textId="77777777" w:rsidR="00FE3DB9" w:rsidRPr="00CB5741" w:rsidRDefault="00FE3DB9" w:rsidP="00FE3DB9">
      <w:pPr>
        <w:rPr>
          <w:rFonts w:ascii="Times New Roman" w:hAnsi="Times New Roman" w:cs="Times New Roman"/>
          <w:b/>
          <w:bCs/>
          <w:i/>
          <w:iCs/>
          <w:color w:val="000000" w:themeColor="text1"/>
          <w:sz w:val="24"/>
          <w:szCs w:val="24"/>
        </w:rPr>
      </w:pPr>
      <w:r w:rsidRPr="00CB5741">
        <w:rPr>
          <w:rFonts w:ascii="Times New Roman" w:hAnsi="Times New Roman" w:cs="Times New Roman"/>
          <w:b/>
          <w:bCs/>
          <w:i/>
          <w:iCs/>
          <w:color w:val="000000" w:themeColor="text1"/>
          <w:sz w:val="24"/>
          <w:szCs w:val="24"/>
        </w:rPr>
        <w:t>Student ID: 2133624</w:t>
      </w:r>
    </w:p>
    <w:p w14:paraId="60BE9C86" w14:textId="794FC861" w:rsidR="00C6366A" w:rsidRDefault="00C6366A">
      <w:pPr>
        <w:spacing w:after="200" w:line="360" w:lineRule="auto"/>
        <w:jc w:val="both"/>
      </w:pPr>
    </w:p>
    <w:p w14:paraId="32F1A092" w14:textId="760AF766" w:rsidR="00FE3DB9" w:rsidRDefault="00FE3DB9">
      <w:pPr>
        <w:spacing w:after="200" w:line="360" w:lineRule="auto"/>
        <w:jc w:val="both"/>
      </w:pPr>
      <w:r>
        <w:t xml:space="preserve">   </w:t>
      </w:r>
    </w:p>
    <w:p w14:paraId="34922786" w14:textId="77777777" w:rsidR="00FE3DB9" w:rsidRDefault="00FE3DB9">
      <w:pPr>
        <w:spacing w:after="200" w:line="360" w:lineRule="auto"/>
        <w:jc w:val="both"/>
        <w:rPr>
          <w:rFonts w:ascii="Times New Roman" w:eastAsia="Times New Roman" w:hAnsi="Times New Roman" w:cs="Times New Roman"/>
          <w:b/>
          <w:sz w:val="24"/>
          <w:szCs w:val="24"/>
        </w:rPr>
      </w:pPr>
    </w:p>
    <w:p w14:paraId="0B879BCC" w14:textId="77777777" w:rsidR="00C6366A" w:rsidRDefault="007D2333">
      <w:pPr>
        <w:pStyle w:val="Heading1"/>
        <w:jc w:val="center"/>
      </w:pPr>
      <w:bookmarkStart w:id="0" w:name="_khgcaosu8dn5" w:colFirst="0" w:colLast="0"/>
      <w:bookmarkEnd w:id="0"/>
      <w:r>
        <w:t>Table of Contents</w:t>
      </w:r>
    </w:p>
    <w:sdt>
      <w:sdtPr>
        <w:id w:val="-845099343"/>
        <w:docPartObj>
          <w:docPartGallery w:val="Table of Contents"/>
          <w:docPartUnique/>
        </w:docPartObj>
      </w:sdtPr>
      <w:sdtEndPr/>
      <w:sdtContent>
        <w:p w14:paraId="6C708FCA" w14:textId="77777777" w:rsidR="00C6366A" w:rsidRDefault="007D2333">
          <w:pPr>
            <w:widowControl w:val="0"/>
            <w:tabs>
              <w:tab w:val="right" w:pos="9360"/>
            </w:tabs>
            <w:spacing w:before="60" w:after="200" w:line="360" w:lineRule="auto"/>
            <w:jc w:val="both"/>
            <w:rPr>
              <w:rFonts w:ascii="Times New Roman" w:eastAsia="Times New Roman" w:hAnsi="Times New Roman" w:cs="Times New Roman"/>
              <w:b/>
              <w:color w:val="000000"/>
              <w:sz w:val="24"/>
              <w:szCs w:val="24"/>
            </w:rPr>
          </w:pPr>
          <w:r>
            <w:fldChar w:fldCharType="begin"/>
          </w:r>
          <w:r>
            <w:instrText xml:space="preserve"> TOC \h \u \z \t "Heading 1,1,Heading 2,2,Heading 3,3,Heading 4,4,Heading 5,5,Heading 6,6,"</w:instrText>
          </w:r>
          <w:r>
            <w:fldChar w:fldCharType="separate"/>
          </w:r>
          <w:hyperlink w:anchor="_xx13sf7jzk9l">
            <w:r>
              <w:rPr>
                <w:rFonts w:ascii="Times New Roman" w:eastAsia="Times New Roman" w:hAnsi="Times New Roman" w:cs="Times New Roman"/>
                <w:b/>
                <w:color w:val="000000"/>
                <w:sz w:val="24"/>
                <w:szCs w:val="24"/>
              </w:rPr>
              <w:t>I. Introduction</w:t>
            </w:r>
            <w:r>
              <w:rPr>
                <w:rFonts w:ascii="Times New Roman" w:eastAsia="Times New Roman" w:hAnsi="Times New Roman" w:cs="Times New Roman"/>
                <w:b/>
                <w:color w:val="000000"/>
                <w:sz w:val="24"/>
                <w:szCs w:val="24"/>
              </w:rPr>
              <w:tab/>
            </w:r>
          </w:hyperlink>
          <w:r>
            <w:fldChar w:fldCharType="begin"/>
          </w:r>
          <w:r>
            <w:instrText xml:space="preserve"> PAGEREF _xx13sf7jzk9l \h </w:instrText>
          </w:r>
          <w:r>
            <w:fldChar w:fldCharType="separate"/>
          </w:r>
          <w:r>
            <w:rPr>
              <w:rFonts w:ascii="Times New Roman" w:eastAsia="Times New Roman" w:hAnsi="Times New Roman" w:cs="Times New Roman"/>
              <w:b/>
              <w:sz w:val="24"/>
              <w:szCs w:val="24"/>
            </w:rPr>
            <w:t>3</w:t>
          </w:r>
          <w:r>
            <w:fldChar w:fldCharType="end"/>
          </w:r>
        </w:p>
        <w:p w14:paraId="35491871" w14:textId="77777777" w:rsidR="00C6366A" w:rsidRDefault="00C7211F">
          <w:pPr>
            <w:widowControl w:val="0"/>
            <w:tabs>
              <w:tab w:val="right" w:pos="9360"/>
            </w:tabs>
            <w:spacing w:before="60" w:after="200" w:line="360" w:lineRule="auto"/>
            <w:jc w:val="both"/>
            <w:rPr>
              <w:rFonts w:ascii="Times New Roman" w:eastAsia="Times New Roman" w:hAnsi="Times New Roman" w:cs="Times New Roman"/>
              <w:b/>
              <w:color w:val="000000"/>
              <w:sz w:val="24"/>
              <w:szCs w:val="24"/>
            </w:rPr>
          </w:pPr>
          <w:hyperlink w:anchor="_eq3qr0rh8ewg">
            <w:r w:rsidR="007D2333">
              <w:rPr>
                <w:rFonts w:ascii="Times New Roman" w:eastAsia="Times New Roman" w:hAnsi="Times New Roman" w:cs="Times New Roman"/>
                <w:b/>
                <w:color w:val="000000"/>
                <w:sz w:val="24"/>
                <w:szCs w:val="24"/>
              </w:rPr>
              <w:t>II. Budget Evaluation</w:t>
            </w:r>
            <w:r w:rsidR="007D2333">
              <w:rPr>
                <w:rFonts w:ascii="Times New Roman" w:eastAsia="Times New Roman" w:hAnsi="Times New Roman" w:cs="Times New Roman"/>
                <w:b/>
                <w:color w:val="000000"/>
                <w:sz w:val="24"/>
                <w:szCs w:val="24"/>
              </w:rPr>
              <w:tab/>
            </w:r>
          </w:hyperlink>
          <w:r w:rsidR="007D2333">
            <w:fldChar w:fldCharType="begin"/>
          </w:r>
          <w:r w:rsidR="007D2333">
            <w:instrText xml:space="preserve"> PAGEREF _eq3qr0rh8ewg \h </w:instrText>
          </w:r>
          <w:r w:rsidR="007D2333">
            <w:fldChar w:fldCharType="separate"/>
          </w:r>
          <w:r w:rsidR="007D2333">
            <w:rPr>
              <w:rFonts w:ascii="Times New Roman" w:eastAsia="Times New Roman" w:hAnsi="Times New Roman" w:cs="Times New Roman"/>
              <w:b/>
              <w:sz w:val="24"/>
              <w:szCs w:val="24"/>
            </w:rPr>
            <w:t>3</w:t>
          </w:r>
          <w:r w:rsidR="007D2333">
            <w:fldChar w:fldCharType="end"/>
          </w:r>
        </w:p>
        <w:p w14:paraId="503B7BA5" w14:textId="77777777" w:rsidR="00C6366A" w:rsidRDefault="00C7211F">
          <w:pPr>
            <w:widowControl w:val="0"/>
            <w:tabs>
              <w:tab w:val="right" w:pos="9360"/>
            </w:tabs>
            <w:spacing w:before="60" w:after="200" w:line="360" w:lineRule="auto"/>
            <w:jc w:val="both"/>
            <w:rPr>
              <w:rFonts w:ascii="Times New Roman" w:eastAsia="Times New Roman" w:hAnsi="Times New Roman" w:cs="Times New Roman"/>
              <w:b/>
              <w:color w:val="000000"/>
              <w:sz w:val="24"/>
              <w:szCs w:val="24"/>
            </w:rPr>
          </w:pPr>
          <w:hyperlink w:anchor="_cb43n4i87690">
            <w:r w:rsidR="007D2333">
              <w:rPr>
                <w:rFonts w:ascii="Times New Roman" w:eastAsia="Times New Roman" w:hAnsi="Times New Roman" w:cs="Times New Roman"/>
                <w:b/>
                <w:color w:val="000000"/>
                <w:sz w:val="24"/>
                <w:szCs w:val="24"/>
              </w:rPr>
              <w:t>III. Timeframe Evaluation</w:t>
            </w:r>
            <w:r w:rsidR="007D2333">
              <w:rPr>
                <w:rFonts w:ascii="Times New Roman" w:eastAsia="Times New Roman" w:hAnsi="Times New Roman" w:cs="Times New Roman"/>
                <w:b/>
                <w:color w:val="000000"/>
                <w:sz w:val="24"/>
                <w:szCs w:val="24"/>
              </w:rPr>
              <w:tab/>
            </w:r>
          </w:hyperlink>
          <w:r w:rsidR="007D2333">
            <w:fldChar w:fldCharType="begin"/>
          </w:r>
          <w:r w:rsidR="007D2333">
            <w:instrText xml:space="preserve"> PAGEREF _cb43n4i87690 \h </w:instrText>
          </w:r>
          <w:r w:rsidR="007D2333">
            <w:fldChar w:fldCharType="separate"/>
          </w:r>
          <w:r w:rsidR="007D2333">
            <w:rPr>
              <w:rFonts w:ascii="Times New Roman" w:eastAsia="Times New Roman" w:hAnsi="Times New Roman" w:cs="Times New Roman"/>
              <w:b/>
              <w:sz w:val="24"/>
              <w:szCs w:val="24"/>
            </w:rPr>
            <w:t>5</w:t>
          </w:r>
          <w:r w:rsidR="007D2333">
            <w:fldChar w:fldCharType="end"/>
          </w:r>
        </w:p>
        <w:p w14:paraId="1503458E" w14:textId="77777777" w:rsidR="00C6366A" w:rsidRDefault="00C7211F">
          <w:pPr>
            <w:widowControl w:val="0"/>
            <w:tabs>
              <w:tab w:val="right" w:pos="9360"/>
            </w:tabs>
            <w:spacing w:before="60" w:after="200" w:line="360" w:lineRule="auto"/>
            <w:jc w:val="both"/>
            <w:rPr>
              <w:rFonts w:ascii="Times New Roman" w:eastAsia="Times New Roman" w:hAnsi="Times New Roman" w:cs="Times New Roman"/>
              <w:b/>
              <w:color w:val="000000"/>
              <w:sz w:val="24"/>
              <w:szCs w:val="24"/>
            </w:rPr>
          </w:pPr>
          <w:hyperlink w:anchor="_vj9m19cn60e8">
            <w:r w:rsidR="007D2333">
              <w:rPr>
                <w:rFonts w:ascii="Times New Roman" w:eastAsia="Times New Roman" w:hAnsi="Times New Roman" w:cs="Times New Roman"/>
                <w:b/>
                <w:color w:val="000000"/>
                <w:sz w:val="24"/>
                <w:szCs w:val="24"/>
              </w:rPr>
              <w:t>IV. Quality Evaluation</w:t>
            </w:r>
            <w:r w:rsidR="007D2333">
              <w:rPr>
                <w:rFonts w:ascii="Times New Roman" w:eastAsia="Times New Roman" w:hAnsi="Times New Roman" w:cs="Times New Roman"/>
                <w:b/>
                <w:color w:val="000000"/>
                <w:sz w:val="24"/>
                <w:szCs w:val="24"/>
              </w:rPr>
              <w:tab/>
            </w:r>
          </w:hyperlink>
          <w:r w:rsidR="007D2333">
            <w:fldChar w:fldCharType="begin"/>
          </w:r>
          <w:r w:rsidR="007D2333">
            <w:instrText xml:space="preserve"> PAGEREF _vj9m19cn60e8 \h </w:instrText>
          </w:r>
          <w:r w:rsidR="007D2333">
            <w:fldChar w:fldCharType="separate"/>
          </w:r>
          <w:r w:rsidR="007D2333">
            <w:rPr>
              <w:rFonts w:ascii="Times New Roman" w:eastAsia="Times New Roman" w:hAnsi="Times New Roman" w:cs="Times New Roman"/>
              <w:b/>
              <w:sz w:val="24"/>
              <w:szCs w:val="24"/>
            </w:rPr>
            <w:t>6</w:t>
          </w:r>
          <w:r w:rsidR="007D2333">
            <w:fldChar w:fldCharType="end"/>
          </w:r>
        </w:p>
        <w:p w14:paraId="39901F8B" w14:textId="77777777" w:rsidR="00C6366A" w:rsidRDefault="00C7211F">
          <w:pPr>
            <w:widowControl w:val="0"/>
            <w:tabs>
              <w:tab w:val="right" w:pos="9360"/>
            </w:tabs>
            <w:spacing w:before="60" w:after="200" w:line="360" w:lineRule="auto"/>
            <w:jc w:val="both"/>
            <w:rPr>
              <w:rFonts w:ascii="Times New Roman" w:eastAsia="Times New Roman" w:hAnsi="Times New Roman" w:cs="Times New Roman"/>
              <w:b/>
              <w:color w:val="000000"/>
              <w:sz w:val="24"/>
              <w:szCs w:val="24"/>
            </w:rPr>
          </w:pPr>
          <w:hyperlink w:anchor="_xlk7gu987mem">
            <w:r w:rsidR="007D2333">
              <w:rPr>
                <w:rFonts w:ascii="Times New Roman" w:eastAsia="Times New Roman" w:hAnsi="Times New Roman" w:cs="Times New Roman"/>
                <w:b/>
                <w:color w:val="000000"/>
                <w:sz w:val="24"/>
                <w:szCs w:val="24"/>
              </w:rPr>
              <w:t>V. Stakeholder Evaluation</w:t>
            </w:r>
            <w:r w:rsidR="007D2333">
              <w:rPr>
                <w:rFonts w:ascii="Times New Roman" w:eastAsia="Times New Roman" w:hAnsi="Times New Roman" w:cs="Times New Roman"/>
                <w:b/>
                <w:color w:val="000000"/>
                <w:sz w:val="24"/>
                <w:szCs w:val="24"/>
              </w:rPr>
              <w:tab/>
            </w:r>
          </w:hyperlink>
          <w:r w:rsidR="007D2333">
            <w:fldChar w:fldCharType="begin"/>
          </w:r>
          <w:r w:rsidR="007D2333">
            <w:instrText xml:space="preserve"> PAGEREF _xlk7gu987mem \h </w:instrText>
          </w:r>
          <w:r w:rsidR="007D2333">
            <w:fldChar w:fldCharType="separate"/>
          </w:r>
          <w:r w:rsidR="007D2333">
            <w:rPr>
              <w:rFonts w:ascii="Times New Roman" w:eastAsia="Times New Roman" w:hAnsi="Times New Roman" w:cs="Times New Roman"/>
              <w:b/>
              <w:sz w:val="24"/>
              <w:szCs w:val="24"/>
            </w:rPr>
            <w:t>6</w:t>
          </w:r>
          <w:r w:rsidR="007D2333">
            <w:fldChar w:fldCharType="end"/>
          </w:r>
        </w:p>
        <w:p w14:paraId="6916F1DC" w14:textId="77777777" w:rsidR="00C6366A" w:rsidRDefault="00C7211F">
          <w:pPr>
            <w:widowControl w:val="0"/>
            <w:tabs>
              <w:tab w:val="right" w:pos="9360"/>
            </w:tabs>
            <w:spacing w:before="60" w:after="200" w:line="360" w:lineRule="auto"/>
            <w:jc w:val="both"/>
            <w:rPr>
              <w:rFonts w:ascii="Times New Roman" w:eastAsia="Times New Roman" w:hAnsi="Times New Roman" w:cs="Times New Roman"/>
              <w:b/>
              <w:color w:val="000000"/>
              <w:sz w:val="24"/>
              <w:szCs w:val="24"/>
            </w:rPr>
          </w:pPr>
          <w:hyperlink w:anchor="_5wivxacgf9gg">
            <w:r w:rsidR="007D2333">
              <w:rPr>
                <w:rFonts w:ascii="Times New Roman" w:eastAsia="Times New Roman" w:hAnsi="Times New Roman" w:cs="Times New Roman"/>
                <w:b/>
                <w:color w:val="000000"/>
                <w:sz w:val="24"/>
                <w:szCs w:val="24"/>
              </w:rPr>
              <w:t>VI. Risk Factors</w:t>
            </w:r>
            <w:r w:rsidR="007D2333">
              <w:rPr>
                <w:rFonts w:ascii="Times New Roman" w:eastAsia="Times New Roman" w:hAnsi="Times New Roman" w:cs="Times New Roman"/>
                <w:b/>
                <w:color w:val="000000"/>
                <w:sz w:val="24"/>
                <w:szCs w:val="24"/>
              </w:rPr>
              <w:tab/>
            </w:r>
          </w:hyperlink>
          <w:r w:rsidR="007D2333">
            <w:fldChar w:fldCharType="begin"/>
          </w:r>
          <w:r w:rsidR="007D2333">
            <w:instrText xml:space="preserve"> PAGEREF _5wivxacgf9gg \h </w:instrText>
          </w:r>
          <w:r w:rsidR="007D2333">
            <w:fldChar w:fldCharType="separate"/>
          </w:r>
          <w:r w:rsidR="007D2333">
            <w:rPr>
              <w:rFonts w:ascii="Times New Roman" w:eastAsia="Times New Roman" w:hAnsi="Times New Roman" w:cs="Times New Roman"/>
              <w:b/>
              <w:sz w:val="24"/>
              <w:szCs w:val="24"/>
            </w:rPr>
            <w:t>9</w:t>
          </w:r>
          <w:r w:rsidR="007D2333">
            <w:fldChar w:fldCharType="end"/>
          </w:r>
        </w:p>
        <w:p w14:paraId="30496103" w14:textId="77777777" w:rsidR="00C6366A" w:rsidRDefault="00C7211F">
          <w:pPr>
            <w:widowControl w:val="0"/>
            <w:tabs>
              <w:tab w:val="right" w:pos="9360"/>
            </w:tabs>
            <w:spacing w:before="60" w:after="200" w:line="360" w:lineRule="auto"/>
            <w:jc w:val="both"/>
            <w:rPr>
              <w:rFonts w:ascii="Times New Roman" w:eastAsia="Times New Roman" w:hAnsi="Times New Roman" w:cs="Times New Roman"/>
              <w:b/>
              <w:color w:val="000000"/>
              <w:sz w:val="24"/>
              <w:szCs w:val="24"/>
            </w:rPr>
          </w:pPr>
          <w:hyperlink w:anchor="_nysixblsul3">
            <w:r w:rsidR="007D2333">
              <w:rPr>
                <w:rFonts w:ascii="Times New Roman" w:eastAsia="Times New Roman" w:hAnsi="Times New Roman" w:cs="Times New Roman"/>
                <w:b/>
                <w:color w:val="000000"/>
                <w:sz w:val="24"/>
                <w:szCs w:val="24"/>
              </w:rPr>
              <w:t>VIII. References</w:t>
            </w:r>
            <w:r w:rsidR="007D2333">
              <w:rPr>
                <w:rFonts w:ascii="Times New Roman" w:eastAsia="Times New Roman" w:hAnsi="Times New Roman" w:cs="Times New Roman"/>
                <w:b/>
                <w:color w:val="000000"/>
                <w:sz w:val="24"/>
                <w:szCs w:val="24"/>
              </w:rPr>
              <w:tab/>
            </w:r>
          </w:hyperlink>
          <w:r w:rsidR="007D2333">
            <w:fldChar w:fldCharType="begin"/>
          </w:r>
          <w:r w:rsidR="007D2333">
            <w:instrText xml:space="preserve"> PAGEREF _nysixblsul3 \h </w:instrText>
          </w:r>
          <w:r w:rsidR="007D2333">
            <w:fldChar w:fldCharType="separate"/>
          </w:r>
          <w:r w:rsidR="007D2333">
            <w:rPr>
              <w:rFonts w:ascii="Times New Roman" w:eastAsia="Times New Roman" w:hAnsi="Times New Roman" w:cs="Times New Roman"/>
              <w:b/>
              <w:sz w:val="24"/>
              <w:szCs w:val="24"/>
            </w:rPr>
            <w:t>12</w:t>
          </w:r>
          <w:r w:rsidR="007D2333">
            <w:fldChar w:fldCharType="end"/>
          </w:r>
          <w:r w:rsidR="007D2333">
            <w:fldChar w:fldCharType="end"/>
          </w:r>
        </w:p>
      </w:sdtContent>
    </w:sdt>
    <w:p w14:paraId="0A1B6CA3" w14:textId="77777777" w:rsidR="00C6366A" w:rsidRDefault="007D2333">
      <w:pPr>
        <w:pStyle w:val="Heading1"/>
        <w:jc w:val="left"/>
      </w:pPr>
      <w:bookmarkStart w:id="1" w:name="_cjy1s2q6dui" w:colFirst="0" w:colLast="0"/>
      <w:bookmarkEnd w:id="1"/>
      <w:r>
        <w:br w:type="page"/>
      </w:r>
    </w:p>
    <w:p w14:paraId="592353B3" w14:textId="77777777" w:rsidR="00C6366A" w:rsidRDefault="007D2333">
      <w:pPr>
        <w:pStyle w:val="Heading1"/>
      </w:pPr>
      <w:bookmarkStart w:id="2" w:name="_xx13sf7jzk9l" w:colFirst="0" w:colLast="0"/>
      <w:bookmarkEnd w:id="2"/>
      <w:r>
        <w:t>I. Introduction</w:t>
      </w:r>
    </w:p>
    <w:p w14:paraId="3B4ED37E" w14:textId="7E370FDF" w:rsidR="00C6366A" w:rsidRDefault="007D2333">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Located in the </w:t>
      </w:r>
      <w:r w:rsidR="004E545C">
        <w:rPr>
          <w:rFonts w:ascii="Times New Roman" w:eastAsia="Times New Roman" w:hAnsi="Times New Roman" w:cs="Times New Roman"/>
          <w:sz w:val="24"/>
          <w:szCs w:val="24"/>
        </w:rPr>
        <w:t>center</w:t>
      </w:r>
      <w:r>
        <w:rPr>
          <w:rFonts w:ascii="Times New Roman" w:eastAsia="Times New Roman" w:hAnsi="Times New Roman" w:cs="Times New Roman"/>
          <w:sz w:val="24"/>
          <w:szCs w:val="24"/>
        </w:rPr>
        <w:t xml:space="preserve"> of the UK's capital city, the Google Headquarters Project in London's King's Cross is an innovative project that aims to completely change the corporate infrastructure scene. With an incredible </w:t>
      </w:r>
      <w:r w:rsidR="00571351">
        <w:rPr>
          <w:rFonts w:ascii="Times New Roman" w:eastAsia="Times New Roman" w:hAnsi="Times New Roman" w:cs="Times New Roman"/>
          <w:sz w:val="24"/>
          <w:szCs w:val="24"/>
        </w:rPr>
        <w:t>one-billion-pound</w:t>
      </w:r>
      <w:r>
        <w:rPr>
          <w:rFonts w:ascii="Times New Roman" w:eastAsia="Times New Roman" w:hAnsi="Times New Roman" w:cs="Times New Roman"/>
          <w:sz w:val="24"/>
          <w:szCs w:val="24"/>
        </w:rPr>
        <w:t xml:space="preserve"> budget, it is positioned to become a cutting-edge landmark and evidence of Google's dedication to growing outside of the US. The purpose of this evaluation is to provide a thorough analysis of the project's essential components, such as the budget, schedule, quality, stakeholders, and risk factors. Examining these elements in detail will help us understand the project's potential, possible obstacles, and overall effects on Google's worldwide operations as well as the local economy.</w:t>
      </w:r>
    </w:p>
    <w:p w14:paraId="5A145DF7" w14:textId="4CF6EE9D" w:rsidR="00C6366A" w:rsidRDefault="007D2333">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budget for the project is a </w:t>
      </w:r>
      <w:r>
        <w:rPr>
          <w:rFonts w:ascii="Times New Roman" w:eastAsia="Times New Roman" w:hAnsi="Times New Roman" w:cs="Times New Roman"/>
          <w:b/>
          <w:i/>
          <w:sz w:val="24"/>
          <w:szCs w:val="24"/>
        </w:rPr>
        <w:t>major subject of interest</w:t>
      </w:r>
      <w:r>
        <w:rPr>
          <w:rFonts w:ascii="Times New Roman" w:eastAsia="Times New Roman" w:hAnsi="Times New Roman" w:cs="Times New Roman"/>
          <w:sz w:val="24"/>
          <w:szCs w:val="24"/>
        </w:rPr>
        <w:t xml:space="preserve">. Given the size of the financial commitment, it is critical to evaluate resource allocation and make sure expenses are properly controlled to avoid overruns. Any budgetary variations might have a domino effect on the project's completion date and </w:t>
      </w:r>
      <w:r w:rsidR="004E545C">
        <w:rPr>
          <w:rFonts w:ascii="Times New Roman" w:eastAsia="Times New Roman" w:hAnsi="Times New Roman" w:cs="Times New Roman"/>
          <w:sz w:val="24"/>
          <w:szCs w:val="24"/>
        </w:rPr>
        <w:t>caliber</w:t>
      </w:r>
      <w:r>
        <w:rPr>
          <w:rFonts w:ascii="Times New Roman" w:eastAsia="Times New Roman" w:hAnsi="Times New Roman" w:cs="Times New Roman"/>
          <w:sz w:val="24"/>
          <w:szCs w:val="24"/>
        </w:rPr>
        <w:t xml:space="preserve"> (Abboud, 2023). The project's completion timeline is equally important. The project has more urgency now that it has a deadline of next year, so having a well-organized timeline with distinct milestones is crucial. In addition to interfering with operations, delays may increase expenses. For such a large </w:t>
      </w:r>
      <w:r w:rsidR="00571351">
        <w:rPr>
          <w:rFonts w:ascii="Times New Roman" w:eastAsia="Times New Roman" w:hAnsi="Times New Roman" w:cs="Times New Roman"/>
          <w:sz w:val="24"/>
          <w:szCs w:val="24"/>
        </w:rPr>
        <w:t>endeavour</w:t>
      </w:r>
      <w:r>
        <w:rPr>
          <w:rFonts w:ascii="Times New Roman" w:eastAsia="Times New Roman" w:hAnsi="Times New Roman" w:cs="Times New Roman"/>
          <w:sz w:val="24"/>
          <w:szCs w:val="24"/>
        </w:rPr>
        <w:t xml:space="preserve">, quality is critical. Severe quality control methods are necessary to </w:t>
      </w:r>
      <w:r w:rsidR="00571351">
        <w:rPr>
          <w:rFonts w:ascii="Times New Roman" w:eastAsia="Times New Roman" w:hAnsi="Times New Roman" w:cs="Times New Roman"/>
          <w:sz w:val="24"/>
          <w:szCs w:val="24"/>
        </w:rPr>
        <w:t>fulfil</w:t>
      </w:r>
      <w:r>
        <w:rPr>
          <w:rFonts w:ascii="Times New Roman" w:eastAsia="Times New Roman" w:hAnsi="Times New Roman" w:cs="Times New Roman"/>
          <w:b/>
          <w:i/>
          <w:sz w:val="24"/>
          <w:szCs w:val="24"/>
        </w:rPr>
        <w:t xml:space="preserve"> the goal</w:t>
      </w:r>
      <w:r>
        <w:rPr>
          <w:rFonts w:ascii="Times New Roman" w:eastAsia="Times New Roman" w:hAnsi="Times New Roman" w:cs="Times New Roman"/>
          <w:sz w:val="24"/>
          <w:szCs w:val="24"/>
        </w:rPr>
        <w:t xml:space="preserve"> of supplying up to 4,500 individuals with high-quality office space. </w:t>
      </w:r>
      <w:r w:rsidR="00571351">
        <w:rPr>
          <w:rFonts w:ascii="Times New Roman" w:eastAsia="Times New Roman" w:hAnsi="Times New Roman" w:cs="Times New Roman"/>
          <w:sz w:val="24"/>
          <w:szCs w:val="24"/>
        </w:rPr>
        <w:t>The long-term</w:t>
      </w:r>
      <w:r>
        <w:rPr>
          <w:rFonts w:ascii="Times New Roman" w:eastAsia="Times New Roman" w:hAnsi="Times New Roman" w:cs="Times New Roman"/>
          <w:sz w:val="24"/>
          <w:szCs w:val="24"/>
        </w:rPr>
        <w:t xml:space="preserve"> survival of the building depends on ensuring that it satisfies the highest requirements.</w:t>
      </w:r>
    </w:p>
    <w:p w14:paraId="5A65BAB9" w14:textId="77777777" w:rsidR="00C6366A" w:rsidRDefault="007D2333">
      <w:pPr>
        <w:pStyle w:val="Heading1"/>
      </w:pPr>
      <w:bookmarkStart w:id="3" w:name="_eq3qr0rh8ewg" w:colFirst="0" w:colLast="0"/>
      <w:bookmarkEnd w:id="3"/>
      <w:r>
        <w:t>II. Budget Evaluation</w:t>
      </w:r>
    </w:p>
    <w:p w14:paraId="0BB93DED" w14:textId="33F722B0" w:rsidR="00C6366A" w:rsidRDefault="007D2333">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huge project costing a billion pounds, the Google Headquarters Project is located in London. One of the most important aspects of project planning and execution is this initial budget allocation. It is an indication of </w:t>
      </w:r>
      <w:r>
        <w:rPr>
          <w:rFonts w:ascii="Times New Roman" w:eastAsia="Times New Roman" w:hAnsi="Times New Roman" w:cs="Times New Roman"/>
          <w:b/>
          <w:i/>
          <w:sz w:val="24"/>
          <w:szCs w:val="24"/>
        </w:rPr>
        <w:t>Google's financial support</w:t>
      </w:r>
      <w:r>
        <w:rPr>
          <w:rFonts w:ascii="Times New Roman" w:eastAsia="Times New Roman" w:hAnsi="Times New Roman" w:cs="Times New Roman"/>
          <w:sz w:val="24"/>
          <w:szCs w:val="24"/>
        </w:rPr>
        <w:t xml:space="preserve"> for this project (Barnett and Sichelman, 2020). An extensive analysis of the distribution of monies among the several project components—such as construction, design, amenities, and contingency reserves—is required to evaluate the original budget. Assessing the distribution of resources guarantees that the project's financial base is solid and in line with its goals. Sufficient </w:t>
      </w:r>
      <w:r>
        <w:rPr>
          <w:rFonts w:ascii="Times New Roman" w:eastAsia="Times New Roman" w:hAnsi="Times New Roman" w:cs="Times New Roman"/>
          <w:b/>
          <w:i/>
          <w:sz w:val="24"/>
          <w:szCs w:val="24"/>
        </w:rPr>
        <w:t>cost management</w:t>
      </w:r>
      <w:r>
        <w:rPr>
          <w:rFonts w:ascii="Times New Roman" w:eastAsia="Times New Roman" w:hAnsi="Times New Roman" w:cs="Times New Roman"/>
          <w:sz w:val="24"/>
          <w:szCs w:val="24"/>
        </w:rPr>
        <w:t xml:space="preserve"> and oversight systems are necessary to maintain the project's financial limitations. This entails putting procedures in place to monitor expenditure, examine spending trends, and instantly spot any cost overruns. Throughout the project, maintaining fiscal discipline requires regular financial reporting and audits. A precise procedure for </w:t>
      </w:r>
      <w:r w:rsidRPr="0054394F">
        <w:rPr>
          <w:rFonts w:ascii="Times New Roman" w:eastAsia="Times New Roman" w:hAnsi="Times New Roman" w:cs="Times New Roman"/>
          <w:sz w:val="24"/>
          <w:szCs w:val="24"/>
        </w:rPr>
        <w:t>authorizing and overseeing modifications and change orders may also</w:t>
      </w:r>
      <w:r w:rsidRPr="0054394F">
        <w:rPr>
          <w:rFonts w:ascii="Times New Roman" w:eastAsia="Times New Roman" w:hAnsi="Times New Roman" w:cs="Times New Roman"/>
          <w:b/>
          <w:i/>
          <w:sz w:val="24"/>
          <w:szCs w:val="24"/>
        </w:rPr>
        <w:t xml:space="preserve"> stop unforeseen costs </w:t>
      </w:r>
      <w:r w:rsidRPr="0054394F">
        <w:rPr>
          <w:rFonts w:ascii="Times New Roman" w:eastAsia="Times New Roman" w:hAnsi="Times New Roman" w:cs="Times New Roman"/>
          <w:sz w:val="24"/>
          <w:szCs w:val="24"/>
        </w:rPr>
        <w:t xml:space="preserve">from getting out of hand. Large-scale building projects often encounter unanticipated difficulties that might result in cost overruns, even with careful planning. These overruns may be the consequence of unanticipated site circumstances, changes to the design, or delays (Aslam, Baffoe-Twum and Saleem, 2019). </w:t>
      </w:r>
      <w:r w:rsidR="00571351" w:rsidRPr="0054394F">
        <w:rPr>
          <w:rFonts w:ascii="Times New Roman" w:eastAsia="Times New Roman" w:hAnsi="Times New Roman" w:cs="Times New Roman"/>
          <w:sz w:val="24"/>
          <w:szCs w:val="24"/>
        </w:rPr>
        <w:t>To</w:t>
      </w:r>
      <w:r w:rsidRPr="0054394F">
        <w:rPr>
          <w:rFonts w:ascii="Times New Roman" w:eastAsia="Times New Roman" w:hAnsi="Times New Roman" w:cs="Times New Roman"/>
          <w:sz w:val="24"/>
          <w:szCs w:val="24"/>
        </w:rPr>
        <w:t xml:space="preserve"> evaluate the possibility of cost overruns, historical data analysis, risk assessments, and the creation of backup plans are required. To make sure the project is financially viable and stays within its one-billion-pound budget, it is essential to identify possible overrun triggers and create methods to mitigate them. A proactive approach to cost control will support</w:t>
      </w:r>
      <w:r>
        <w:rPr>
          <w:rFonts w:ascii="Times New Roman" w:eastAsia="Times New Roman" w:hAnsi="Times New Roman" w:cs="Times New Roman"/>
          <w:sz w:val="24"/>
          <w:szCs w:val="24"/>
        </w:rPr>
        <w:t xml:space="preserve"> the project's successful completion and assist </w:t>
      </w:r>
      <w:r w:rsidR="00571351">
        <w:rPr>
          <w:rFonts w:ascii="Times New Roman" w:eastAsia="Times New Roman" w:hAnsi="Times New Roman" w:cs="Times New Roman"/>
          <w:sz w:val="24"/>
          <w:szCs w:val="24"/>
        </w:rPr>
        <w:t>in preserving</w:t>
      </w:r>
      <w:r>
        <w:rPr>
          <w:rFonts w:ascii="Times New Roman" w:eastAsia="Times New Roman" w:hAnsi="Times New Roman" w:cs="Times New Roman"/>
          <w:sz w:val="24"/>
          <w:szCs w:val="24"/>
        </w:rPr>
        <w:t xml:space="preserve"> financial stability.</w:t>
      </w:r>
    </w:p>
    <w:tbl>
      <w:tblPr>
        <w:tblStyle w:val="a"/>
        <w:tblW w:w="9360" w:type="dxa"/>
        <w:tblBorders>
          <w:top w:val="nil"/>
          <w:left w:val="nil"/>
          <w:bottom w:val="nil"/>
          <w:right w:val="nil"/>
          <w:insideH w:val="nil"/>
          <w:insideV w:val="nil"/>
        </w:tblBorders>
        <w:tblLayout w:type="fixed"/>
        <w:tblLook w:val="0600" w:firstRow="0" w:lastRow="0" w:firstColumn="0" w:lastColumn="0" w:noHBand="1" w:noVBand="1"/>
      </w:tblPr>
      <w:tblGrid>
        <w:gridCol w:w="3403"/>
        <w:gridCol w:w="5957"/>
      </w:tblGrid>
      <w:tr w:rsidR="00C6366A" w14:paraId="15985828" w14:textId="77777777">
        <w:trPr>
          <w:trHeight w:val="710"/>
        </w:trPr>
        <w:tc>
          <w:tcPr>
            <w:tcW w:w="3403" w:type="dxa"/>
            <w:tcBorders>
              <w:top w:val="single" w:sz="6" w:space="0" w:color="000000"/>
              <w:left w:val="single" w:sz="6" w:space="0" w:color="000000"/>
              <w:bottom w:val="single" w:sz="6" w:space="0" w:color="000000"/>
              <w:right w:val="single" w:sz="6" w:space="0" w:color="000000"/>
            </w:tcBorders>
            <w:shd w:val="clear" w:color="auto" w:fill="FFFF00"/>
            <w:tcMar>
              <w:top w:w="100" w:type="dxa"/>
              <w:left w:w="100" w:type="dxa"/>
              <w:bottom w:w="100" w:type="dxa"/>
              <w:right w:w="100" w:type="dxa"/>
            </w:tcMar>
            <w:vAlign w:val="bottom"/>
          </w:tcPr>
          <w:p w14:paraId="5C896418" w14:textId="77777777" w:rsidR="00C6366A" w:rsidRPr="0054394F" w:rsidRDefault="007D2333">
            <w:pPr>
              <w:spacing w:line="360" w:lineRule="auto"/>
              <w:jc w:val="center"/>
              <w:rPr>
                <w:rFonts w:ascii="Times New Roman" w:eastAsia="Times New Roman" w:hAnsi="Times New Roman" w:cs="Times New Roman"/>
                <w:sz w:val="24"/>
                <w:szCs w:val="24"/>
              </w:rPr>
            </w:pPr>
            <w:r w:rsidRPr="0054394F">
              <w:rPr>
                <w:rFonts w:ascii="Times New Roman" w:eastAsia="Times New Roman" w:hAnsi="Times New Roman" w:cs="Times New Roman"/>
                <w:b/>
                <w:sz w:val="24"/>
                <w:szCs w:val="24"/>
              </w:rPr>
              <w:t>Budget Evaluation</w:t>
            </w:r>
          </w:p>
        </w:tc>
        <w:tc>
          <w:tcPr>
            <w:tcW w:w="5956" w:type="dxa"/>
            <w:tcBorders>
              <w:top w:val="single" w:sz="6" w:space="0" w:color="000000"/>
              <w:left w:val="single" w:sz="6" w:space="0" w:color="000000"/>
              <w:bottom w:val="single" w:sz="6" w:space="0" w:color="000000"/>
              <w:right w:val="single" w:sz="6" w:space="0" w:color="000000"/>
            </w:tcBorders>
            <w:shd w:val="clear" w:color="auto" w:fill="FFFF00"/>
            <w:tcMar>
              <w:top w:w="100" w:type="dxa"/>
              <w:left w:w="100" w:type="dxa"/>
              <w:bottom w:w="100" w:type="dxa"/>
              <w:right w:w="100" w:type="dxa"/>
            </w:tcMar>
            <w:vAlign w:val="bottom"/>
          </w:tcPr>
          <w:p w14:paraId="1DD1D300" w14:textId="77777777" w:rsidR="00C6366A" w:rsidRDefault="007D2333">
            <w:pPr>
              <w:spacing w:line="360" w:lineRule="auto"/>
              <w:jc w:val="center"/>
              <w:rPr>
                <w:rFonts w:ascii="Times New Roman" w:eastAsia="Times New Roman" w:hAnsi="Times New Roman" w:cs="Times New Roman"/>
                <w:sz w:val="24"/>
                <w:szCs w:val="24"/>
              </w:rPr>
            </w:pPr>
            <w:r w:rsidRPr="0054394F">
              <w:rPr>
                <w:rFonts w:ascii="Times New Roman" w:eastAsia="Times New Roman" w:hAnsi="Times New Roman" w:cs="Times New Roman"/>
                <w:b/>
                <w:sz w:val="24"/>
                <w:szCs w:val="24"/>
              </w:rPr>
              <w:t>Description</w:t>
            </w:r>
          </w:p>
        </w:tc>
      </w:tr>
      <w:tr w:rsidR="00C6366A" w14:paraId="2D2699B3" w14:textId="77777777">
        <w:trPr>
          <w:trHeight w:val="695"/>
        </w:trPr>
        <w:tc>
          <w:tcPr>
            <w:tcW w:w="3403" w:type="dxa"/>
            <w:tcBorders>
              <w:top w:val="single" w:sz="6" w:space="0" w:color="000000"/>
              <w:left w:val="single" w:sz="6" w:space="0" w:color="000000"/>
              <w:bottom w:val="single" w:sz="6" w:space="0" w:color="000000"/>
              <w:right w:val="single" w:sz="6" w:space="0" w:color="000000"/>
            </w:tcBorders>
            <w:shd w:val="clear" w:color="auto" w:fill="00FF00"/>
            <w:tcMar>
              <w:top w:w="100" w:type="dxa"/>
              <w:left w:w="100" w:type="dxa"/>
              <w:bottom w:w="100" w:type="dxa"/>
              <w:right w:w="100" w:type="dxa"/>
            </w:tcMar>
            <w:vAlign w:val="center"/>
          </w:tcPr>
          <w:p w14:paraId="107AB001" w14:textId="77777777" w:rsidR="00C6366A" w:rsidRDefault="007D233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Initial Budget Allocation</w:t>
            </w:r>
          </w:p>
        </w:tc>
        <w:tc>
          <w:tcPr>
            <w:tcW w:w="5956" w:type="dxa"/>
            <w:tcBorders>
              <w:top w:val="single" w:sz="6" w:space="0" w:color="000000"/>
              <w:left w:val="single" w:sz="6" w:space="0" w:color="000000"/>
              <w:bottom w:val="single" w:sz="6" w:space="0" w:color="000000"/>
              <w:right w:val="single" w:sz="6" w:space="0" w:color="000000"/>
            </w:tcBorders>
            <w:shd w:val="clear" w:color="auto" w:fill="FF00FF"/>
            <w:tcMar>
              <w:top w:w="100" w:type="dxa"/>
              <w:left w:w="100" w:type="dxa"/>
              <w:bottom w:w="100" w:type="dxa"/>
              <w:right w:w="100" w:type="dxa"/>
            </w:tcMar>
            <w:vAlign w:val="center"/>
          </w:tcPr>
          <w:p w14:paraId="4DBED60D" w14:textId="77777777" w:rsidR="00C6366A" w:rsidRPr="0054394F" w:rsidRDefault="007D2333">
            <w:pPr>
              <w:spacing w:line="360" w:lineRule="auto"/>
              <w:jc w:val="both"/>
              <w:rPr>
                <w:rFonts w:ascii="Times New Roman" w:eastAsia="Times New Roman" w:hAnsi="Times New Roman" w:cs="Times New Roman"/>
                <w:sz w:val="24"/>
                <w:szCs w:val="24"/>
              </w:rPr>
            </w:pPr>
            <w:r w:rsidRPr="0054394F">
              <w:rPr>
                <w:rFonts w:ascii="Times New Roman" w:eastAsia="Times New Roman" w:hAnsi="Times New Roman" w:cs="Times New Roman"/>
                <w:sz w:val="24"/>
                <w:szCs w:val="24"/>
              </w:rPr>
              <w:t>£1,000,000,000 (one billion pounds)</w:t>
            </w:r>
          </w:p>
        </w:tc>
      </w:tr>
      <w:tr w:rsidR="00C6366A" w14:paraId="6315B95F" w14:textId="77777777">
        <w:trPr>
          <w:trHeight w:val="695"/>
        </w:trPr>
        <w:tc>
          <w:tcPr>
            <w:tcW w:w="3403" w:type="dxa"/>
            <w:tcBorders>
              <w:top w:val="single" w:sz="6" w:space="0" w:color="000000"/>
              <w:left w:val="single" w:sz="6" w:space="0" w:color="000000"/>
              <w:bottom w:val="single" w:sz="6" w:space="0" w:color="000000"/>
              <w:right w:val="single" w:sz="6" w:space="0" w:color="000000"/>
            </w:tcBorders>
            <w:shd w:val="clear" w:color="auto" w:fill="00FF00"/>
            <w:tcMar>
              <w:top w:w="100" w:type="dxa"/>
              <w:left w:w="100" w:type="dxa"/>
              <w:bottom w:w="100" w:type="dxa"/>
              <w:right w:w="100" w:type="dxa"/>
            </w:tcMar>
            <w:vAlign w:val="center"/>
          </w:tcPr>
          <w:p w14:paraId="3CE32DDC" w14:textId="77777777" w:rsidR="00C6366A" w:rsidRDefault="007D233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Budget Allocation Breakdown</w:t>
            </w:r>
          </w:p>
        </w:tc>
        <w:tc>
          <w:tcPr>
            <w:tcW w:w="5956" w:type="dxa"/>
            <w:tcBorders>
              <w:top w:val="single" w:sz="6" w:space="0" w:color="000000"/>
              <w:left w:val="single" w:sz="6" w:space="0" w:color="000000"/>
              <w:bottom w:val="single" w:sz="6" w:space="0" w:color="000000"/>
              <w:right w:val="single" w:sz="6" w:space="0" w:color="000000"/>
            </w:tcBorders>
            <w:shd w:val="clear" w:color="auto" w:fill="FF00FF"/>
            <w:tcMar>
              <w:top w:w="100" w:type="dxa"/>
              <w:left w:w="100" w:type="dxa"/>
              <w:bottom w:w="100" w:type="dxa"/>
              <w:right w:w="100" w:type="dxa"/>
            </w:tcMar>
            <w:vAlign w:val="center"/>
          </w:tcPr>
          <w:p w14:paraId="726335D9" w14:textId="77777777" w:rsidR="00C6366A" w:rsidRPr="0054394F" w:rsidRDefault="007D2333">
            <w:pPr>
              <w:spacing w:line="360" w:lineRule="auto"/>
              <w:jc w:val="both"/>
              <w:rPr>
                <w:rFonts w:ascii="Times New Roman" w:eastAsia="Times New Roman" w:hAnsi="Times New Roman" w:cs="Times New Roman"/>
                <w:sz w:val="24"/>
                <w:szCs w:val="24"/>
              </w:rPr>
            </w:pPr>
            <w:r w:rsidRPr="0054394F">
              <w:rPr>
                <w:rFonts w:ascii="Times New Roman" w:eastAsia="Times New Roman" w:hAnsi="Times New Roman" w:cs="Times New Roman"/>
                <w:sz w:val="24"/>
                <w:szCs w:val="24"/>
              </w:rPr>
              <w:t>- Construction: £600,000,000</w:t>
            </w:r>
          </w:p>
        </w:tc>
      </w:tr>
      <w:tr w:rsidR="00C6366A" w14:paraId="405B2F82" w14:textId="77777777">
        <w:trPr>
          <w:trHeight w:val="695"/>
        </w:trPr>
        <w:tc>
          <w:tcPr>
            <w:tcW w:w="3403" w:type="dxa"/>
            <w:tcBorders>
              <w:top w:val="single" w:sz="6" w:space="0" w:color="000000"/>
              <w:left w:val="single" w:sz="6" w:space="0" w:color="000000"/>
              <w:bottom w:val="single" w:sz="6" w:space="0" w:color="000000"/>
              <w:right w:val="single" w:sz="6" w:space="0" w:color="000000"/>
            </w:tcBorders>
            <w:shd w:val="clear" w:color="auto" w:fill="00FF00"/>
            <w:tcMar>
              <w:top w:w="100" w:type="dxa"/>
              <w:left w:w="100" w:type="dxa"/>
              <w:bottom w:w="100" w:type="dxa"/>
              <w:right w:w="100" w:type="dxa"/>
            </w:tcMar>
            <w:vAlign w:val="center"/>
          </w:tcPr>
          <w:p w14:paraId="53754ECC" w14:textId="77777777" w:rsidR="00C6366A" w:rsidRDefault="00C6366A">
            <w:pPr>
              <w:spacing w:line="360" w:lineRule="auto"/>
              <w:jc w:val="both"/>
              <w:rPr>
                <w:rFonts w:ascii="Times New Roman" w:eastAsia="Times New Roman" w:hAnsi="Times New Roman" w:cs="Times New Roman"/>
                <w:sz w:val="24"/>
                <w:szCs w:val="24"/>
              </w:rPr>
            </w:pPr>
          </w:p>
        </w:tc>
        <w:tc>
          <w:tcPr>
            <w:tcW w:w="5956" w:type="dxa"/>
            <w:tcBorders>
              <w:top w:val="single" w:sz="6" w:space="0" w:color="000000"/>
              <w:left w:val="single" w:sz="6" w:space="0" w:color="000000"/>
              <w:bottom w:val="single" w:sz="6" w:space="0" w:color="000000"/>
              <w:right w:val="single" w:sz="6" w:space="0" w:color="000000"/>
            </w:tcBorders>
            <w:shd w:val="clear" w:color="auto" w:fill="FF00FF"/>
            <w:tcMar>
              <w:top w:w="100" w:type="dxa"/>
              <w:left w:w="100" w:type="dxa"/>
              <w:bottom w:w="100" w:type="dxa"/>
              <w:right w:w="100" w:type="dxa"/>
            </w:tcMar>
            <w:vAlign w:val="center"/>
          </w:tcPr>
          <w:p w14:paraId="565CC76B" w14:textId="77777777" w:rsidR="00C6366A" w:rsidRPr="0054394F" w:rsidRDefault="007D2333">
            <w:pPr>
              <w:spacing w:line="360" w:lineRule="auto"/>
              <w:jc w:val="both"/>
              <w:rPr>
                <w:rFonts w:ascii="Times New Roman" w:eastAsia="Times New Roman" w:hAnsi="Times New Roman" w:cs="Times New Roman"/>
                <w:sz w:val="24"/>
                <w:szCs w:val="24"/>
              </w:rPr>
            </w:pPr>
            <w:r w:rsidRPr="0054394F">
              <w:rPr>
                <w:rFonts w:ascii="Times New Roman" w:eastAsia="Times New Roman" w:hAnsi="Times New Roman" w:cs="Times New Roman"/>
                <w:sz w:val="24"/>
                <w:szCs w:val="24"/>
              </w:rPr>
              <w:t>- Design and Architectural Fees: £100,000,000</w:t>
            </w:r>
          </w:p>
        </w:tc>
      </w:tr>
      <w:tr w:rsidR="00C6366A" w14:paraId="57D4D505" w14:textId="77777777">
        <w:trPr>
          <w:trHeight w:val="695"/>
        </w:trPr>
        <w:tc>
          <w:tcPr>
            <w:tcW w:w="3403" w:type="dxa"/>
            <w:tcBorders>
              <w:top w:val="single" w:sz="6" w:space="0" w:color="000000"/>
              <w:left w:val="single" w:sz="6" w:space="0" w:color="000000"/>
              <w:bottom w:val="single" w:sz="6" w:space="0" w:color="000000"/>
              <w:right w:val="single" w:sz="6" w:space="0" w:color="000000"/>
            </w:tcBorders>
            <w:shd w:val="clear" w:color="auto" w:fill="00FF00"/>
            <w:tcMar>
              <w:top w:w="100" w:type="dxa"/>
              <w:left w:w="100" w:type="dxa"/>
              <w:bottom w:w="100" w:type="dxa"/>
              <w:right w:w="100" w:type="dxa"/>
            </w:tcMar>
            <w:vAlign w:val="center"/>
          </w:tcPr>
          <w:p w14:paraId="053A6DB0" w14:textId="77777777" w:rsidR="00C6366A" w:rsidRDefault="00C6366A">
            <w:pPr>
              <w:spacing w:line="360" w:lineRule="auto"/>
              <w:jc w:val="both"/>
              <w:rPr>
                <w:rFonts w:ascii="Times New Roman" w:eastAsia="Times New Roman" w:hAnsi="Times New Roman" w:cs="Times New Roman"/>
                <w:sz w:val="24"/>
                <w:szCs w:val="24"/>
              </w:rPr>
            </w:pPr>
          </w:p>
        </w:tc>
        <w:tc>
          <w:tcPr>
            <w:tcW w:w="5956" w:type="dxa"/>
            <w:tcBorders>
              <w:top w:val="single" w:sz="6" w:space="0" w:color="000000"/>
              <w:left w:val="single" w:sz="6" w:space="0" w:color="000000"/>
              <w:bottom w:val="single" w:sz="6" w:space="0" w:color="000000"/>
              <w:right w:val="single" w:sz="6" w:space="0" w:color="000000"/>
            </w:tcBorders>
            <w:shd w:val="clear" w:color="auto" w:fill="FF00FF"/>
            <w:tcMar>
              <w:top w:w="100" w:type="dxa"/>
              <w:left w:w="100" w:type="dxa"/>
              <w:bottom w:w="100" w:type="dxa"/>
              <w:right w:w="100" w:type="dxa"/>
            </w:tcMar>
            <w:vAlign w:val="center"/>
          </w:tcPr>
          <w:p w14:paraId="2D8EBC26" w14:textId="77777777" w:rsidR="00C6366A" w:rsidRPr="0054394F" w:rsidRDefault="007D2333">
            <w:pPr>
              <w:spacing w:line="360" w:lineRule="auto"/>
              <w:jc w:val="both"/>
              <w:rPr>
                <w:rFonts w:ascii="Times New Roman" w:eastAsia="Times New Roman" w:hAnsi="Times New Roman" w:cs="Times New Roman"/>
                <w:sz w:val="24"/>
                <w:szCs w:val="24"/>
              </w:rPr>
            </w:pPr>
            <w:r w:rsidRPr="0054394F">
              <w:rPr>
                <w:rFonts w:ascii="Times New Roman" w:eastAsia="Times New Roman" w:hAnsi="Times New Roman" w:cs="Times New Roman"/>
                <w:sz w:val="24"/>
                <w:szCs w:val="24"/>
              </w:rPr>
              <w:t>- Amenities (Cafes, Gym, MUGA, Pool): £50,000,000</w:t>
            </w:r>
          </w:p>
        </w:tc>
      </w:tr>
      <w:tr w:rsidR="00C6366A" w14:paraId="5B5E62BA" w14:textId="77777777">
        <w:trPr>
          <w:trHeight w:val="695"/>
        </w:trPr>
        <w:tc>
          <w:tcPr>
            <w:tcW w:w="3403" w:type="dxa"/>
            <w:tcBorders>
              <w:top w:val="single" w:sz="6" w:space="0" w:color="000000"/>
              <w:left w:val="single" w:sz="6" w:space="0" w:color="000000"/>
              <w:bottom w:val="single" w:sz="6" w:space="0" w:color="000000"/>
              <w:right w:val="single" w:sz="6" w:space="0" w:color="000000"/>
            </w:tcBorders>
            <w:shd w:val="clear" w:color="auto" w:fill="00FF00"/>
            <w:tcMar>
              <w:top w:w="100" w:type="dxa"/>
              <w:left w:w="100" w:type="dxa"/>
              <w:bottom w:w="100" w:type="dxa"/>
              <w:right w:w="100" w:type="dxa"/>
            </w:tcMar>
            <w:vAlign w:val="center"/>
          </w:tcPr>
          <w:p w14:paraId="1AFD0B24" w14:textId="77777777" w:rsidR="00C6366A" w:rsidRDefault="00C6366A">
            <w:pPr>
              <w:spacing w:line="360" w:lineRule="auto"/>
              <w:jc w:val="both"/>
              <w:rPr>
                <w:rFonts w:ascii="Times New Roman" w:eastAsia="Times New Roman" w:hAnsi="Times New Roman" w:cs="Times New Roman"/>
                <w:sz w:val="24"/>
                <w:szCs w:val="24"/>
              </w:rPr>
            </w:pPr>
          </w:p>
        </w:tc>
        <w:tc>
          <w:tcPr>
            <w:tcW w:w="5956" w:type="dxa"/>
            <w:tcBorders>
              <w:top w:val="single" w:sz="6" w:space="0" w:color="000000"/>
              <w:left w:val="single" w:sz="6" w:space="0" w:color="000000"/>
              <w:bottom w:val="single" w:sz="6" w:space="0" w:color="000000"/>
              <w:right w:val="single" w:sz="6" w:space="0" w:color="000000"/>
            </w:tcBorders>
            <w:shd w:val="clear" w:color="auto" w:fill="FF00FF"/>
            <w:tcMar>
              <w:top w:w="100" w:type="dxa"/>
              <w:left w:w="100" w:type="dxa"/>
              <w:bottom w:w="100" w:type="dxa"/>
              <w:right w:w="100" w:type="dxa"/>
            </w:tcMar>
            <w:vAlign w:val="center"/>
          </w:tcPr>
          <w:p w14:paraId="78A13440" w14:textId="77777777" w:rsidR="00C6366A" w:rsidRPr="0054394F" w:rsidRDefault="007D2333">
            <w:pPr>
              <w:spacing w:line="360" w:lineRule="auto"/>
              <w:jc w:val="both"/>
              <w:rPr>
                <w:rFonts w:ascii="Times New Roman" w:eastAsia="Times New Roman" w:hAnsi="Times New Roman" w:cs="Times New Roman"/>
                <w:sz w:val="24"/>
                <w:szCs w:val="24"/>
              </w:rPr>
            </w:pPr>
            <w:r w:rsidRPr="0054394F">
              <w:rPr>
                <w:rFonts w:ascii="Times New Roman" w:eastAsia="Times New Roman" w:hAnsi="Times New Roman" w:cs="Times New Roman"/>
                <w:sz w:val="24"/>
                <w:szCs w:val="24"/>
              </w:rPr>
              <w:t>- Contingency Reserves: £100,000,000</w:t>
            </w:r>
          </w:p>
        </w:tc>
      </w:tr>
      <w:tr w:rsidR="00C6366A" w14:paraId="4DFB4BD8" w14:textId="77777777">
        <w:trPr>
          <w:trHeight w:val="695"/>
        </w:trPr>
        <w:tc>
          <w:tcPr>
            <w:tcW w:w="3403" w:type="dxa"/>
            <w:tcBorders>
              <w:top w:val="single" w:sz="6" w:space="0" w:color="000000"/>
              <w:left w:val="single" w:sz="6" w:space="0" w:color="000000"/>
              <w:bottom w:val="single" w:sz="6" w:space="0" w:color="000000"/>
              <w:right w:val="single" w:sz="6" w:space="0" w:color="000000"/>
            </w:tcBorders>
            <w:shd w:val="clear" w:color="auto" w:fill="00FF00"/>
            <w:tcMar>
              <w:top w:w="100" w:type="dxa"/>
              <w:left w:w="100" w:type="dxa"/>
              <w:bottom w:w="100" w:type="dxa"/>
              <w:right w:w="100" w:type="dxa"/>
            </w:tcMar>
            <w:vAlign w:val="center"/>
          </w:tcPr>
          <w:p w14:paraId="4EFE4D90" w14:textId="77777777" w:rsidR="00C6366A" w:rsidRDefault="00C6366A">
            <w:pPr>
              <w:spacing w:line="360" w:lineRule="auto"/>
              <w:jc w:val="both"/>
              <w:rPr>
                <w:rFonts w:ascii="Times New Roman" w:eastAsia="Times New Roman" w:hAnsi="Times New Roman" w:cs="Times New Roman"/>
                <w:sz w:val="24"/>
                <w:szCs w:val="24"/>
              </w:rPr>
            </w:pPr>
          </w:p>
        </w:tc>
        <w:tc>
          <w:tcPr>
            <w:tcW w:w="5956" w:type="dxa"/>
            <w:tcBorders>
              <w:top w:val="single" w:sz="6" w:space="0" w:color="000000"/>
              <w:left w:val="single" w:sz="6" w:space="0" w:color="000000"/>
              <w:bottom w:val="single" w:sz="6" w:space="0" w:color="000000"/>
              <w:right w:val="single" w:sz="6" w:space="0" w:color="000000"/>
            </w:tcBorders>
            <w:shd w:val="clear" w:color="auto" w:fill="FF00FF"/>
            <w:tcMar>
              <w:top w:w="100" w:type="dxa"/>
              <w:left w:w="100" w:type="dxa"/>
              <w:bottom w:w="100" w:type="dxa"/>
              <w:right w:w="100" w:type="dxa"/>
            </w:tcMar>
            <w:vAlign w:val="center"/>
          </w:tcPr>
          <w:p w14:paraId="0CF27EE8" w14:textId="77777777" w:rsidR="00C6366A" w:rsidRPr="0054394F" w:rsidRDefault="007D2333">
            <w:pPr>
              <w:spacing w:line="360" w:lineRule="auto"/>
              <w:jc w:val="both"/>
              <w:rPr>
                <w:rFonts w:ascii="Times New Roman" w:eastAsia="Times New Roman" w:hAnsi="Times New Roman" w:cs="Times New Roman"/>
                <w:sz w:val="24"/>
                <w:szCs w:val="24"/>
              </w:rPr>
            </w:pPr>
            <w:r w:rsidRPr="0054394F">
              <w:rPr>
                <w:rFonts w:ascii="Times New Roman" w:eastAsia="Times New Roman" w:hAnsi="Times New Roman" w:cs="Times New Roman"/>
                <w:sz w:val="24"/>
                <w:szCs w:val="24"/>
              </w:rPr>
              <w:t>- Miscellaneous and Unforeseen Expenses: £150,000,000</w:t>
            </w:r>
          </w:p>
        </w:tc>
      </w:tr>
      <w:tr w:rsidR="00C6366A" w14:paraId="0F45E683" w14:textId="77777777">
        <w:trPr>
          <w:trHeight w:val="335"/>
        </w:trPr>
        <w:tc>
          <w:tcPr>
            <w:tcW w:w="3403" w:type="dxa"/>
            <w:tcBorders>
              <w:top w:val="single" w:sz="6" w:space="0" w:color="000000"/>
              <w:left w:val="single" w:sz="6" w:space="0" w:color="000000"/>
              <w:bottom w:val="single" w:sz="6" w:space="0" w:color="000000"/>
              <w:right w:val="single" w:sz="6" w:space="0" w:color="000000"/>
            </w:tcBorders>
            <w:shd w:val="clear" w:color="auto" w:fill="00FF00"/>
            <w:tcMar>
              <w:top w:w="100" w:type="dxa"/>
              <w:left w:w="100" w:type="dxa"/>
              <w:bottom w:w="100" w:type="dxa"/>
              <w:right w:w="100" w:type="dxa"/>
            </w:tcMar>
            <w:vAlign w:val="center"/>
          </w:tcPr>
          <w:p w14:paraId="3C9974D6" w14:textId="77777777" w:rsidR="00C6366A" w:rsidRDefault="00C6366A">
            <w:pPr>
              <w:spacing w:line="360" w:lineRule="auto"/>
              <w:jc w:val="both"/>
              <w:rPr>
                <w:rFonts w:ascii="Times New Roman" w:eastAsia="Times New Roman" w:hAnsi="Times New Roman" w:cs="Times New Roman"/>
                <w:sz w:val="24"/>
                <w:szCs w:val="24"/>
              </w:rPr>
            </w:pPr>
          </w:p>
        </w:tc>
        <w:tc>
          <w:tcPr>
            <w:tcW w:w="5956" w:type="dxa"/>
            <w:tcBorders>
              <w:top w:val="single" w:sz="6" w:space="0" w:color="000000"/>
              <w:left w:val="single" w:sz="6" w:space="0" w:color="000000"/>
              <w:bottom w:val="single" w:sz="6" w:space="0" w:color="000000"/>
              <w:right w:val="single" w:sz="6" w:space="0" w:color="000000"/>
            </w:tcBorders>
            <w:shd w:val="clear" w:color="auto" w:fill="FF00FF"/>
            <w:tcMar>
              <w:top w:w="100" w:type="dxa"/>
              <w:left w:w="100" w:type="dxa"/>
              <w:bottom w:w="100" w:type="dxa"/>
              <w:right w:w="100" w:type="dxa"/>
            </w:tcMar>
            <w:vAlign w:val="center"/>
          </w:tcPr>
          <w:p w14:paraId="662407A3" w14:textId="77777777" w:rsidR="00C6366A" w:rsidRPr="0054394F" w:rsidRDefault="00C6366A">
            <w:pPr>
              <w:spacing w:line="360" w:lineRule="auto"/>
              <w:jc w:val="both"/>
              <w:rPr>
                <w:rFonts w:ascii="Times New Roman" w:eastAsia="Times New Roman" w:hAnsi="Times New Roman" w:cs="Times New Roman"/>
                <w:sz w:val="24"/>
                <w:szCs w:val="24"/>
              </w:rPr>
            </w:pPr>
          </w:p>
        </w:tc>
      </w:tr>
      <w:tr w:rsidR="00C6366A" w14:paraId="7C90CD3A" w14:textId="77777777">
        <w:trPr>
          <w:trHeight w:val="695"/>
        </w:trPr>
        <w:tc>
          <w:tcPr>
            <w:tcW w:w="3403" w:type="dxa"/>
            <w:tcBorders>
              <w:top w:val="single" w:sz="6" w:space="0" w:color="000000"/>
              <w:left w:val="single" w:sz="6" w:space="0" w:color="000000"/>
              <w:bottom w:val="single" w:sz="6" w:space="0" w:color="000000"/>
              <w:right w:val="single" w:sz="6" w:space="0" w:color="000000"/>
            </w:tcBorders>
            <w:shd w:val="clear" w:color="auto" w:fill="00FF00"/>
            <w:tcMar>
              <w:top w:w="100" w:type="dxa"/>
              <w:left w:w="100" w:type="dxa"/>
              <w:bottom w:w="100" w:type="dxa"/>
              <w:right w:w="100" w:type="dxa"/>
            </w:tcMar>
            <w:vAlign w:val="center"/>
          </w:tcPr>
          <w:p w14:paraId="07A8F175" w14:textId="77777777" w:rsidR="00C6366A" w:rsidRDefault="007D233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Cost Control and Monitoring</w:t>
            </w:r>
          </w:p>
        </w:tc>
        <w:tc>
          <w:tcPr>
            <w:tcW w:w="5956" w:type="dxa"/>
            <w:tcBorders>
              <w:top w:val="single" w:sz="6" w:space="0" w:color="000000"/>
              <w:left w:val="single" w:sz="6" w:space="0" w:color="000000"/>
              <w:bottom w:val="single" w:sz="6" w:space="0" w:color="000000"/>
              <w:right w:val="single" w:sz="6" w:space="0" w:color="000000"/>
            </w:tcBorders>
            <w:shd w:val="clear" w:color="auto" w:fill="FF00FF"/>
            <w:tcMar>
              <w:top w:w="100" w:type="dxa"/>
              <w:left w:w="100" w:type="dxa"/>
              <w:bottom w:w="100" w:type="dxa"/>
              <w:right w:w="100" w:type="dxa"/>
            </w:tcMar>
            <w:vAlign w:val="center"/>
          </w:tcPr>
          <w:p w14:paraId="7743BC04" w14:textId="75E7A50C" w:rsidR="00C6366A" w:rsidRPr="0054394F" w:rsidRDefault="007D2333">
            <w:pPr>
              <w:spacing w:line="360" w:lineRule="auto"/>
              <w:jc w:val="both"/>
              <w:rPr>
                <w:rFonts w:ascii="Times New Roman" w:eastAsia="Times New Roman" w:hAnsi="Times New Roman" w:cs="Times New Roman"/>
                <w:sz w:val="24"/>
                <w:szCs w:val="24"/>
              </w:rPr>
            </w:pPr>
            <w:r w:rsidRPr="0054394F">
              <w:rPr>
                <w:rFonts w:ascii="Times New Roman" w:eastAsia="Times New Roman" w:hAnsi="Times New Roman" w:cs="Times New Roman"/>
                <w:sz w:val="24"/>
                <w:szCs w:val="24"/>
              </w:rPr>
              <w:t xml:space="preserve">- Implementation of </w:t>
            </w:r>
            <w:r w:rsidR="00571351" w:rsidRPr="0054394F">
              <w:rPr>
                <w:rFonts w:ascii="Times New Roman" w:eastAsia="Times New Roman" w:hAnsi="Times New Roman" w:cs="Times New Roman"/>
                <w:sz w:val="24"/>
                <w:szCs w:val="24"/>
              </w:rPr>
              <w:t xml:space="preserve">a </w:t>
            </w:r>
            <w:r w:rsidRPr="0054394F">
              <w:rPr>
                <w:rFonts w:ascii="Times New Roman" w:eastAsia="Times New Roman" w:hAnsi="Times New Roman" w:cs="Times New Roman"/>
                <w:sz w:val="24"/>
                <w:szCs w:val="24"/>
              </w:rPr>
              <w:t>real-time expense tracking system</w:t>
            </w:r>
          </w:p>
        </w:tc>
      </w:tr>
      <w:tr w:rsidR="00C6366A" w14:paraId="5D001F8A" w14:textId="77777777">
        <w:trPr>
          <w:trHeight w:val="695"/>
        </w:trPr>
        <w:tc>
          <w:tcPr>
            <w:tcW w:w="3403" w:type="dxa"/>
            <w:tcBorders>
              <w:top w:val="single" w:sz="6" w:space="0" w:color="000000"/>
              <w:left w:val="single" w:sz="6" w:space="0" w:color="000000"/>
              <w:bottom w:val="single" w:sz="6" w:space="0" w:color="000000"/>
              <w:right w:val="single" w:sz="6" w:space="0" w:color="000000"/>
            </w:tcBorders>
            <w:shd w:val="clear" w:color="auto" w:fill="00FF00"/>
            <w:tcMar>
              <w:top w:w="100" w:type="dxa"/>
              <w:left w:w="100" w:type="dxa"/>
              <w:bottom w:w="100" w:type="dxa"/>
              <w:right w:w="100" w:type="dxa"/>
            </w:tcMar>
            <w:vAlign w:val="center"/>
          </w:tcPr>
          <w:p w14:paraId="5A1E19F0" w14:textId="77777777" w:rsidR="00C6366A" w:rsidRDefault="00C6366A">
            <w:pPr>
              <w:spacing w:line="360" w:lineRule="auto"/>
              <w:jc w:val="both"/>
              <w:rPr>
                <w:rFonts w:ascii="Times New Roman" w:eastAsia="Times New Roman" w:hAnsi="Times New Roman" w:cs="Times New Roman"/>
                <w:sz w:val="24"/>
                <w:szCs w:val="24"/>
              </w:rPr>
            </w:pPr>
          </w:p>
        </w:tc>
        <w:tc>
          <w:tcPr>
            <w:tcW w:w="5956" w:type="dxa"/>
            <w:tcBorders>
              <w:top w:val="single" w:sz="6" w:space="0" w:color="000000"/>
              <w:left w:val="single" w:sz="6" w:space="0" w:color="000000"/>
              <w:bottom w:val="single" w:sz="6" w:space="0" w:color="000000"/>
              <w:right w:val="single" w:sz="6" w:space="0" w:color="000000"/>
            </w:tcBorders>
            <w:shd w:val="clear" w:color="auto" w:fill="FF00FF"/>
            <w:tcMar>
              <w:top w:w="100" w:type="dxa"/>
              <w:left w:w="100" w:type="dxa"/>
              <w:bottom w:w="100" w:type="dxa"/>
              <w:right w:w="100" w:type="dxa"/>
            </w:tcMar>
            <w:vAlign w:val="center"/>
          </w:tcPr>
          <w:p w14:paraId="4FD5ED5E" w14:textId="77777777" w:rsidR="00C6366A" w:rsidRDefault="007D233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Regular financial reporting and audits</w:t>
            </w:r>
          </w:p>
        </w:tc>
      </w:tr>
      <w:tr w:rsidR="00C6366A" w14:paraId="53745D93" w14:textId="77777777">
        <w:trPr>
          <w:trHeight w:val="695"/>
        </w:trPr>
        <w:tc>
          <w:tcPr>
            <w:tcW w:w="3403" w:type="dxa"/>
            <w:tcBorders>
              <w:top w:val="single" w:sz="6" w:space="0" w:color="000000"/>
              <w:left w:val="single" w:sz="6" w:space="0" w:color="000000"/>
              <w:bottom w:val="single" w:sz="6" w:space="0" w:color="000000"/>
              <w:right w:val="single" w:sz="6" w:space="0" w:color="000000"/>
            </w:tcBorders>
            <w:shd w:val="clear" w:color="auto" w:fill="00FF00"/>
            <w:tcMar>
              <w:top w:w="100" w:type="dxa"/>
              <w:left w:w="100" w:type="dxa"/>
              <w:bottom w:w="100" w:type="dxa"/>
              <w:right w:w="100" w:type="dxa"/>
            </w:tcMar>
            <w:vAlign w:val="center"/>
          </w:tcPr>
          <w:p w14:paraId="68C6DCA7" w14:textId="77777777" w:rsidR="00C6366A" w:rsidRDefault="00C6366A">
            <w:pPr>
              <w:spacing w:line="360" w:lineRule="auto"/>
              <w:jc w:val="both"/>
              <w:rPr>
                <w:rFonts w:ascii="Times New Roman" w:eastAsia="Times New Roman" w:hAnsi="Times New Roman" w:cs="Times New Roman"/>
                <w:sz w:val="24"/>
                <w:szCs w:val="24"/>
              </w:rPr>
            </w:pPr>
          </w:p>
        </w:tc>
        <w:tc>
          <w:tcPr>
            <w:tcW w:w="5956" w:type="dxa"/>
            <w:tcBorders>
              <w:top w:val="single" w:sz="6" w:space="0" w:color="000000"/>
              <w:left w:val="single" w:sz="6" w:space="0" w:color="000000"/>
              <w:bottom w:val="single" w:sz="6" w:space="0" w:color="000000"/>
              <w:right w:val="single" w:sz="6" w:space="0" w:color="000000"/>
            </w:tcBorders>
            <w:shd w:val="clear" w:color="auto" w:fill="FF00FF"/>
            <w:tcMar>
              <w:top w:w="100" w:type="dxa"/>
              <w:left w:w="100" w:type="dxa"/>
              <w:bottom w:w="100" w:type="dxa"/>
              <w:right w:w="100" w:type="dxa"/>
            </w:tcMar>
            <w:vAlign w:val="center"/>
          </w:tcPr>
          <w:p w14:paraId="300BE59C" w14:textId="77777777" w:rsidR="00C6366A" w:rsidRDefault="007D233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Approval process for change orders and variations</w:t>
            </w:r>
          </w:p>
        </w:tc>
      </w:tr>
      <w:tr w:rsidR="00C6366A" w14:paraId="46F86772" w14:textId="77777777">
        <w:trPr>
          <w:trHeight w:val="335"/>
        </w:trPr>
        <w:tc>
          <w:tcPr>
            <w:tcW w:w="3403" w:type="dxa"/>
            <w:tcBorders>
              <w:top w:val="single" w:sz="6" w:space="0" w:color="000000"/>
              <w:left w:val="single" w:sz="6" w:space="0" w:color="000000"/>
              <w:bottom w:val="single" w:sz="6" w:space="0" w:color="000000"/>
              <w:right w:val="single" w:sz="6" w:space="0" w:color="000000"/>
            </w:tcBorders>
            <w:shd w:val="clear" w:color="auto" w:fill="00FF00"/>
            <w:tcMar>
              <w:top w:w="100" w:type="dxa"/>
              <w:left w:w="100" w:type="dxa"/>
              <w:bottom w:w="100" w:type="dxa"/>
              <w:right w:w="100" w:type="dxa"/>
            </w:tcMar>
            <w:vAlign w:val="center"/>
          </w:tcPr>
          <w:p w14:paraId="3236AA51" w14:textId="77777777" w:rsidR="00C6366A" w:rsidRDefault="00C6366A">
            <w:pPr>
              <w:spacing w:line="360" w:lineRule="auto"/>
              <w:jc w:val="both"/>
              <w:rPr>
                <w:rFonts w:ascii="Times New Roman" w:eastAsia="Times New Roman" w:hAnsi="Times New Roman" w:cs="Times New Roman"/>
                <w:sz w:val="24"/>
                <w:szCs w:val="24"/>
              </w:rPr>
            </w:pPr>
          </w:p>
        </w:tc>
        <w:tc>
          <w:tcPr>
            <w:tcW w:w="5956" w:type="dxa"/>
            <w:tcBorders>
              <w:top w:val="single" w:sz="6" w:space="0" w:color="000000"/>
              <w:left w:val="single" w:sz="6" w:space="0" w:color="000000"/>
              <w:bottom w:val="single" w:sz="6" w:space="0" w:color="000000"/>
              <w:right w:val="single" w:sz="6" w:space="0" w:color="000000"/>
            </w:tcBorders>
            <w:shd w:val="clear" w:color="auto" w:fill="FF00FF"/>
            <w:tcMar>
              <w:top w:w="100" w:type="dxa"/>
              <w:left w:w="100" w:type="dxa"/>
              <w:bottom w:w="100" w:type="dxa"/>
              <w:right w:w="100" w:type="dxa"/>
            </w:tcMar>
            <w:vAlign w:val="center"/>
          </w:tcPr>
          <w:p w14:paraId="7630BE10" w14:textId="77777777" w:rsidR="00C6366A" w:rsidRDefault="00C6366A">
            <w:pPr>
              <w:spacing w:line="360" w:lineRule="auto"/>
              <w:jc w:val="both"/>
              <w:rPr>
                <w:rFonts w:ascii="Times New Roman" w:eastAsia="Times New Roman" w:hAnsi="Times New Roman" w:cs="Times New Roman"/>
                <w:sz w:val="24"/>
                <w:szCs w:val="24"/>
              </w:rPr>
            </w:pPr>
          </w:p>
        </w:tc>
      </w:tr>
      <w:tr w:rsidR="00C6366A" w14:paraId="3B875B4F" w14:textId="77777777">
        <w:trPr>
          <w:trHeight w:val="695"/>
        </w:trPr>
        <w:tc>
          <w:tcPr>
            <w:tcW w:w="3403" w:type="dxa"/>
            <w:tcBorders>
              <w:top w:val="single" w:sz="6" w:space="0" w:color="000000"/>
              <w:left w:val="single" w:sz="6" w:space="0" w:color="000000"/>
              <w:bottom w:val="single" w:sz="6" w:space="0" w:color="000000"/>
              <w:right w:val="single" w:sz="6" w:space="0" w:color="000000"/>
            </w:tcBorders>
            <w:shd w:val="clear" w:color="auto" w:fill="00FF00"/>
            <w:tcMar>
              <w:top w:w="100" w:type="dxa"/>
              <w:left w:w="100" w:type="dxa"/>
              <w:bottom w:w="100" w:type="dxa"/>
              <w:right w:w="100" w:type="dxa"/>
            </w:tcMar>
            <w:vAlign w:val="center"/>
          </w:tcPr>
          <w:p w14:paraId="42A54F04" w14:textId="77777777" w:rsidR="00C6366A" w:rsidRDefault="007D233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Potential Cost Overruns</w:t>
            </w:r>
          </w:p>
        </w:tc>
        <w:tc>
          <w:tcPr>
            <w:tcW w:w="5956" w:type="dxa"/>
            <w:tcBorders>
              <w:top w:val="single" w:sz="6" w:space="0" w:color="000000"/>
              <w:left w:val="single" w:sz="6" w:space="0" w:color="000000"/>
              <w:bottom w:val="single" w:sz="6" w:space="0" w:color="000000"/>
              <w:right w:val="single" w:sz="6" w:space="0" w:color="000000"/>
            </w:tcBorders>
            <w:shd w:val="clear" w:color="auto" w:fill="FF00FF"/>
            <w:tcMar>
              <w:top w:w="100" w:type="dxa"/>
              <w:left w:w="100" w:type="dxa"/>
              <w:bottom w:w="100" w:type="dxa"/>
              <w:right w:w="100" w:type="dxa"/>
            </w:tcMar>
            <w:vAlign w:val="center"/>
          </w:tcPr>
          <w:p w14:paraId="5AD514AF" w14:textId="77777777" w:rsidR="00C6366A" w:rsidRDefault="007D233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Identification of potential triggers for overruns</w:t>
            </w:r>
          </w:p>
        </w:tc>
      </w:tr>
      <w:tr w:rsidR="00C6366A" w14:paraId="6BFB0B36" w14:textId="77777777">
        <w:trPr>
          <w:trHeight w:val="695"/>
        </w:trPr>
        <w:tc>
          <w:tcPr>
            <w:tcW w:w="3403" w:type="dxa"/>
            <w:tcBorders>
              <w:top w:val="single" w:sz="6" w:space="0" w:color="000000"/>
              <w:left w:val="single" w:sz="6" w:space="0" w:color="000000"/>
              <w:bottom w:val="single" w:sz="6" w:space="0" w:color="000000"/>
              <w:right w:val="single" w:sz="6" w:space="0" w:color="000000"/>
            </w:tcBorders>
            <w:shd w:val="clear" w:color="auto" w:fill="00FF00"/>
            <w:tcMar>
              <w:top w:w="100" w:type="dxa"/>
              <w:left w:w="100" w:type="dxa"/>
              <w:bottom w:w="100" w:type="dxa"/>
              <w:right w:w="100" w:type="dxa"/>
            </w:tcMar>
            <w:vAlign w:val="center"/>
          </w:tcPr>
          <w:p w14:paraId="52C6C874" w14:textId="77777777" w:rsidR="00C6366A" w:rsidRDefault="00C6366A">
            <w:pPr>
              <w:spacing w:line="360" w:lineRule="auto"/>
              <w:jc w:val="both"/>
              <w:rPr>
                <w:rFonts w:ascii="Times New Roman" w:eastAsia="Times New Roman" w:hAnsi="Times New Roman" w:cs="Times New Roman"/>
                <w:sz w:val="24"/>
                <w:szCs w:val="24"/>
              </w:rPr>
            </w:pPr>
          </w:p>
        </w:tc>
        <w:tc>
          <w:tcPr>
            <w:tcW w:w="5956" w:type="dxa"/>
            <w:tcBorders>
              <w:top w:val="single" w:sz="6" w:space="0" w:color="000000"/>
              <w:left w:val="single" w:sz="6" w:space="0" w:color="000000"/>
              <w:bottom w:val="single" w:sz="6" w:space="0" w:color="000000"/>
              <w:right w:val="single" w:sz="6" w:space="0" w:color="000000"/>
            </w:tcBorders>
            <w:shd w:val="clear" w:color="auto" w:fill="FF00FF"/>
            <w:tcMar>
              <w:top w:w="100" w:type="dxa"/>
              <w:left w:w="100" w:type="dxa"/>
              <w:bottom w:w="100" w:type="dxa"/>
              <w:right w:w="100" w:type="dxa"/>
            </w:tcMar>
            <w:vAlign w:val="center"/>
          </w:tcPr>
          <w:p w14:paraId="2F04F36B" w14:textId="77777777" w:rsidR="00C6366A" w:rsidRDefault="007D233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Risk assessment and contingency plans</w:t>
            </w:r>
          </w:p>
        </w:tc>
      </w:tr>
      <w:tr w:rsidR="00C6366A" w14:paraId="555C9980" w14:textId="77777777">
        <w:trPr>
          <w:trHeight w:val="695"/>
        </w:trPr>
        <w:tc>
          <w:tcPr>
            <w:tcW w:w="3403" w:type="dxa"/>
            <w:tcBorders>
              <w:top w:val="single" w:sz="6" w:space="0" w:color="000000"/>
              <w:left w:val="single" w:sz="6" w:space="0" w:color="000000"/>
              <w:bottom w:val="single" w:sz="6" w:space="0" w:color="000000"/>
              <w:right w:val="single" w:sz="6" w:space="0" w:color="000000"/>
            </w:tcBorders>
            <w:shd w:val="clear" w:color="auto" w:fill="00FF00"/>
            <w:tcMar>
              <w:top w:w="100" w:type="dxa"/>
              <w:left w:w="100" w:type="dxa"/>
              <w:bottom w:w="100" w:type="dxa"/>
              <w:right w:w="100" w:type="dxa"/>
            </w:tcMar>
            <w:vAlign w:val="center"/>
          </w:tcPr>
          <w:p w14:paraId="18EA116D" w14:textId="77777777" w:rsidR="00C6366A" w:rsidRDefault="00C6366A">
            <w:pPr>
              <w:spacing w:line="360" w:lineRule="auto"/>
              <w:jc w:val="both"/>
              <w:rPr>
                <w:rFonts w:ascii="Times New Roman" w:eastAsia="Times New Roman" w:hAnsi="Times New Roman" w:cs="Times New Roman"/>
                <w:sz w:val="24"/>
                <w:szCs w:val="24"/>
              </w:rPr>
            </w:pPr>
          </w:p>
        </w:tc>
        <w:tc>
          <w:tcPr>
            <w:tcW w:w="5956" w:type="dxa"/>
            <w:tcBorders>
              <w:top w:val="single" w:sz="6" w:space="0" w:color="000000"/>
              <w:left w:val="single" w:sz="6" w:space="0" w:color="000000"/>
              <w:bottom w:val="single" w:sz="6" w:space="0" w:color="000000"/>
              <w:right w:val="single" w:sz="6" w:space="0" w:color="000000"/>
            </w:tcBorders>
            <w:shd w:val="clear" w:color="auto" w:fill="FF00FF"/>
            <w:tcMar>
              <w:top w:w="100" w:type="dxa"/>
              <w:left w:w="100" w:type="dxa"/>
              <w:bottom w:w="100" w:type="dxa"/>
              <w:right w:w="100" w:type="dxa"/>
            </w:tcMar>
            <w:vAlign w:val="center"/>
          </w:tcPr>
          <w:p w14:paraId="66AB5158" w14:textId="77777777" w:rsidR="00C6366A" w:rsidRDefault="007D233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Historical data analysis to anticipate challenges</w:t>
            </w:r>
          </w:p>
        </w:tc>
      </w:tr>
    </w:tbl>
    <w:p w14:paraId="5C7998FE" w14:textId="77777777" w:rsidR="00C6366A" w:rsidRDefault="00C6366A">
      <w:pPr>
        <w:spacing w:after="200" w:line="360" w:lineRule="auto"/>
        <w:jc w:val="both"/>
        <w:rPr>
          <w:rFonts w:ascii="Times New Roman" w:eastAsia="Times New Roman" w:hAnsi="Times New Roman" w:cs="Times New Roman"/>
          <w:sz w:val="24"/>
          <w:szCs w:val="24"/>
        </w:rPr>
      </w:pPr>
    </w:p>
    <w:p w14:paraId="3FEF2BC7" w14:textId="77777777" w:rsidR="00C6366A" w:rsidRDefault="007D2333">
      <w:pPr>
        <w:pStyle w:val="Heading1"/>
      </w:pPr>
      <w:bookmarkStart w:id="4" w:name="_cb43n4i87690" w:colFirst="0" w:colLast="0"/>
      <w:bookmarkEnd w:id="4"/>
      <w:r>
        <w:t>III. Timeframe Evaluation</w:t>
      </w:r>
    </w:p>
    <w:p w14:paraId="556F5386" w14:textId="2DB77B00" w:rsidR="00C6366A" w:rsidRDefault="007D2333">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most important aspects of the Google Headquarters Project in London is the timeframe. Since the project's inauguration is scheduled for the near future, a thorough examination of its chronology is essential. A thorough examination of significant dates and benchmarks should be part of this research, taking into consideration different stages including design, building, and amenity setup. By looking over the timetable, project managers may create a</w:t>
      </w:r>
      <w:r>
        <w:rPr>
          <w:rFonts w:ascii="Times New Roman" w:eastAsia="Times New Roman" w:hAnsi="Times New Roman" w:cs="Times New Roman"/>
          <w:b/>
          <w:i/>
          <w:sz w:val="24"/>
          <w:szCs w:val="24"/>
        </w:rPr>
        <w:t xml:space="preserve"> clear plan of action</w:t>
      </w:r>
      <w:r>
        <w:rPr>
          <w:rFonts w:ascii="Times New Roman" w:eastAsia="Times New Roman" w:hAnsi="Times New Roman" w:cs="Times New Roman"/>
          <w:sz w:val="24"/>
          <w:szCs w:val="24"/>
        </w:rPr>
        <w:t xml:space="preserve"> and make sure that every work is completed in a way that will enable the project to be completed by the deadline. The foundation of every effective project management strategy is a </w:t>
      </w:r>
      <w:r w:rsidR="00571351">
        <w:rPr>
          <w:rFonts w:ascii="Times New Roman" w:eastAsia="Times New Roman" w:hAnsi="Times New Roman" w:cs="Times New Roman"/>
          <w:sz w:val="24"/>
          <w:szCs w:val="24"/>
        </w:rPr>
        <w:t>well-established</w:t>
      </w:r>
      <w:r>
        <w:rPr>
          <w:rFonts w:ascii="Times New Roman" w:eastAsia="Times New Roman" w:hAnsi="Times New Roman" w:cs="Times New Roman"/>
          <w:sz w:val="24"/>
          <w:szCs w:val="24"/>
        </w:rPr>
        <w:t xml:space="preserve"> project timeline (Turner, 2022). Having an explicit and comprehensive timeline is critical to the Google Headquarters Project. All project stakeholders may use it as a reference point to determine when certain tasks should be finished. A well-organized timetable helps with </w:t>
      </w:r>
      <w:r>
        <w:rPr>
          <w:rFonts w:ascii="Times New Roman" w:eastAsia="Times New Roman" w:hAnsi="Times New Roman" w:cs="Times New Roman"/>
          <w:b/>
          <w:i/>
          <w:sz w:val="24"/>
          <w:szCs w:val="24"/>
        </w:rPr>
        <w:t xml:space="preserve">resource allocation, risk management, and coordination </w:t>
      </w:r>
      <w:r w:rsidR="00571351">
        <w:rPr>
          <w:rFonts w:ascii="Times New Roman" w:eastAsia="Times New Roman" w:hAnsi="Times New Roman" w:cs="Times New Roman"/>
          <w:b/>
          <w:i/>
          <w:sz w:val="24"/>
          <w:szCs w:val="24"/>
        </w:rPr>
        <w:t>among</w:t>
      </w:r>
      <w:r>
        <w:rPr>
          <w:rFonts w:ascii="Times New Roman" w:eastAsia="Times New Roman" w:hAnsi="Times New Roman" w:cs="Times New Roman"/>
          <w:sz w:val="24"/>
          <w:szCs w:val="24"/>
        </w:rPr>
        <w:t xml:space="preserve"> project teams. </w:t>
      </w:r>
      <w:r w:rsidR="00CB5741">
        <w:rPr>
          <w:rFonts w:ascii="Times New Roman" w:eastAsia="Times New Roman" w:hAnsi="Times New Roman" w:cs="Times New Roman"/>
          <w:sz w:val="24"/>
          <w:szCs w:val="24"/>
        </w:rPr>
        <w:t>Seeing</w:t>
      </w:r>
      <w:r>
        <w:rPr>
          <w:rFonts w:ascii="Times New Roman" w:eastAsia="Times New Roman" w:hAnsi="Times New Roman" w:cs="Times New Roman"/>
          <w:sz w:val="24"/>
          <w:szCs w:val="24"/>
        </w:rPr>
        <w:t xml:space="preserve"> possible linkages and bottlenecks enables proactive problem-solving and speeds up the resolution of problems. A clear timeline also gives investors and stakeholders confidence by letting them know that the project is on track to be completed on time. With a project this size, delays may have serious repercussions. Due to rising </w:t>
      </w:r>
      <w:r w:rsidR="004E545C">
        <w:rPr>
          <w:rFonts w:ascii="Times New Roman" w:eastAsia="Times New Roman" w:hAnsi="Times New Roman" w:cs="Times New Roman"/>
          <w:sz w:val="24"/>
          <w:szCs w:val="24"/>
        </w:rPr>
        <w:t>labour</w:t>
      </w:r>
      <w:r>
        <w:rPr>
          <w:rFonts w:ascii="Times New Roman" w:eastAsia="Times New Roman" w:hAnsi="Times New Roman" w:cs="Times New Roman"/>
          <w:sz w:val="24"/>
          <w:szCs w:val="24"/>
        </w:rPr>
        <w:t xml:space="preserve"> and material costs, project delays may result in higher costs. It may also cause delays in the project's overall schedule, which might </w:t>
      </w:r>
      <w:r w:rsidR="004E545C">
        <w:rPr>
          <w:rFonts w:ascii="Times New Roman" w:eastAsia="Times New Roman" w:hAnsi="Times New Roman" w:cs="Times New Roman"/>
          <w:sz w:val="24"/>
          <w:szCs w:val="24"/>
        </w:rPr>
        <w:t>affect</w:t>
      </w:r>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Google's operational commitments</w:t>
      </w:r>
      <w:r>
        <w:rPr>
          <w:rFonts w:ascii="Times New Roman" w:eastAsia="Times New Roman" w:hAnsi="Times New Roman" w:cs="Times New Roman"/>
          <w:sz w:val="24"/>
          <w:szCs w:val="24"/>
        </w:rPr>
        <w:t xml:space="preserve"> and goals (Sepasgozar</w:t>
      </w:r>
      <w:r>
        <w:rPr>
          <w:rFonts w:ascii="Times New Roman" w:eastAsia="Times New Roman" w:hAnsi="Times New Roman" w:cs="Times New Roman"/>
          <w:i/>
          <w:sz w:val="24"/>
          <w:szCs w:val="24"/>
        </w:rPr>
        <w:t xml:space="preserve"> et al</w:t>
      </w:r>
      <w:r>
        <w:rPr>
          <w:rFonts w:ascii="Times New Roman" w:eastAsia="Times New Roman" w:hAnsi="Times New Roman" w:cs="Times New Roman"/>
          <w:sz w:val="24"/>
          <w:szCs w:val="24"/>
        </w:rPr>
        <w:t xml:space="preserve">., 2019). Contractual fines and legal conflicts with suppliers and contractors may also arise from delays. Additionally, delays in a project may lower employee morale and damage the project's reputation. It is essential to acknowledge that any postponements in the development and opening of the new headquarters may impede Google's capacity to leverage the expected advantages of the establishment and its function in bolstering the knowledge-based economy in King's Cross and the Knowledge Quarter. </w:t>
      </w:r>
    </w:p>
    <w:p w14:paraId="2AE41A8A" w14:textId="77777777" w:rsidR="00C6366A" w:rsidRDefault="007D2333">
      <w:pPr>
        <w:pStyle w:val="Heading1"/>
      </w:pPr>
      <w:bookmarkStart w:id="5" w:name="_vj9m19cn60e8" w:colFirst="0" w:colLast="0"/>
      <w:bookmarkEnd w:id="5"/>
      <w:r>
        <w:t>IV. Quality Evaluation</w:t>
      </w:r>
    </w:p>
    <w:p w14:paraId="0BDAF854" w14:textId="29A1138B" w:rsidR="00C6366A" w:rsidRDefault="007D2333">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London-based Google Headquarters Project has established high standards for excellence. These goals include the new headquarters' layout, features, and construction </w:t>
      </w:r>
      <w:r w:rsidR="00CB5741">
        <w:rPr>
          <w:rFonts w:ascii="Times New Roman" w:eastAsia="Times New Roman" w:hAnsi="Times New Roman" w:cs="Times New Roman"/>
          <w:sz w:val="24"/>
          <w:szCs w:val="24"/>
        </w:rPr>
        <w:t>to create</w:t>
      </w:r>
      <w:r>
        <w:rPr>
          <w:rFonts w:ascii="Times New Roman" w:eastAsia="Times New Roman" w:hAnsi="Times New Roman" w:cs="Times New Roman"/>
          <w:sz w:val="24"/>
          <w:szCs w:val="24"/>
        </w:rPr>
        <w:t xml:space="preserve"> a cutting-edge work environment that can accommodate 4,500 employees (</w:t>
      </w:r>
      <w:r w:rsidR="00CB5741">
        <w:rPr>
          <w:rFonts w:ascii="Times New Roman" w:eastAsia="Times New Roman" w:hAnsi="Times New Roman" w:cs="Times New Roman"/>
          <w:sz w:val="24"/>
          <w:szCs w:val="24"/>
        </w:rPr>
        <w:t>Slavid, 2020</w:t>
      </w:r>
      <w:r>
        <w:rPr>
          <w:rFonts w:ascii="Times New Roman" w:eastAsia="Times New Roman" w:hAnsi="Times New Roman" w:cs="Times New Roman"/>
          <w:sz w:val="24"/>
          <w:szCs w:val="24"/>
        </w:rPr>
        <w:t xml:space="preserve">). The project's goal is to create a state-of-the-art, visually beautiful space that encourages creativity and productivity. The building's architectural integrity, user comfort, sustainability, energy efficiency, and safety are among the </w:t>
      </w:r>
      <w:r>
        <w:rPr>
          <w:rFonts w:ascii="Times New Roman" w:eastAsia="Times New Roman" w:hAnsi="Times New Roman" w:cs="Times New Roman"/>
          <w:b/>
          <w:i/>
          <w:sz w:val="24"/>
          <w:szCs w:val="24"/>
        </w:rPr>
        <w:t>primary quality goals</w:t>
      </w:r>
      <w:r>
        <w:rPr>
          <w:rFonts w:ascii="Times New Roman" w:eastAsia="Times New Roman" w:hAnsi="Times New Roman" w:cs="Times New Roman"/>
          <w:sz w:val="24"/>
          <w:szCs w:val="24"/>
        </w:rPr>
        <w:t xml:space="preserve">. These goals demonstrate Google's dedication to building a top-notch workplace and making a beneficial impact on the </w:t>
      </w:r>
      <w:r w:rsidR="004E545C">
        <w:rPr>
          <w:rFonts w:ascii="Times New Roman" w:eastAsia="Times New Roman" w:hAnsi="Times New Roman" w:cs="Times New Roman"/>
          <w:sz w:val="24"/>
          <w:szCs w:val="24"/>
        </w:rPr>
        <w:t>neighborhood</w:t>
      </w:r>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Robust quality control procedures</w:t>
      </w:r>
      <w:r>
        <w:rPr>
          <w:rFonts w:ascii="Times New Roman" w:eastAsia="Times New Roman" w:hAnsi="Times New Roman" w:cs="Times New Roman"/>
          <w:sz w:val="24"/>
          <w:szCs w:val="24"/>
        </w:rPr>
        <w:t xml:space="preserve"> and inspections are necessary to guarantee that the project accomplishes its quality goals. Strict quality assurance procedures should be used throughout the design and construction stages. At crucial junctures in the project, trained specialists should do routine inspections to evaluate compliance with construction standards and design requirements. Structural integrity, safety procedures, environmental sustainability, and adherence to local laws should all be included in quality control (Okpala and Korzeniowska, 2023). It is also important to thoroughly inspect the materials and craftsmanship to find any deviations from the established quality standards. The long-term viability and profitability of the project depend on maintaining high standards of quality throughout. This entails proactive problem-solving of any emerging concerns or deviations as well as ongoing oversight of quality control procedures. To quickly resolve quality issues, quality assurance teams should work closely with contractors and subcontractors (Chung and Mutis, 2020). Establishing efficient lines of communication is necessary to guarantee that all project stakeholders share responsibility for quality. Respecting high standards of quality not only keeps </w:t>
      </w:r>
      <w:r>
        <w:rPr>
          <w:rFonts w:ascii="Times New Roman" w:eastAsia="Times New Roman" w:hAnsi="Times New Roman" w:cs="Times New Roman"/>
          <w:b/>
          <w:i/>
          <w:sz w:val="24"/>
          <w:szCs w:val="24"/>
        </w:rPr>
        <w:t>Google and its staff happy</w:t>
      </w:r>
      <w:r>
        <w:rPr>
          <w:rFonts w:ascii="Times New Roman" w:eastAsia="Times New Roman" w:hAnsi="Times New Roman" w:cs="Times New Roman"/>
          <w:sz w:val="24"/>
          <w:szCs w:val="24"/>
        </w:rPr>
        <w:t xml:space="preserve">, but also improves the project's standing and adds to the expanding knowledge-based economy in King's Cross and the Knowledge Quarter. </w:t>
      </w:r>
    </w:p>
    <w:p w14:paraId="6A7559F9" w14:textId="77777777" w:rsidR="00C6366A" w:rsidRDefault="007D2333">
      <w:pPr>
        <w:pStyle w:val="Heading1"/>
      </w:pPr>
      <w:bookmarkStart w:id="6" w:name="_xlk7gu987mem" w:colFirst="0" w:colLast="0"/>
      <w:bookmarkEnd w:id="6"/>
      <w:r>
        <w:t>V. Stakeholder Evaluation</w:t>
      </w:r>
    </w:p>
    <w:p w14:paraId="33098CC9" w14:textId="77777777" w:rsidR="00C6366A" w:rsidRDefault="007D2333">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Google has a stake in the timely and effective construction of the new headquarters as the project owner. All provide the leadership, resources, and vision required to carry out the project. In order to provide permits, approve applications, and guarantee adherence to zoning and construction codes, government organizations and local regulatory authorities are essential. Their participation is essential to the legal and regulatory components of the project (Haklay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Up to 4,500 Google workers will be housed at the </w:t>
      </w:r>
      <w:r>
        <w:rPr>
          <w:rFonts w:ascii="Times New Roman" w:eastAsia="Times New Roman" w:hAnsi="Times New Roman" w:cs="Times New Roman"/>
          <w:b/>
          <w:i/>
          <w:sz w:val="24"/>
          <w:szCs w:val="24"/>
        </w:rPr>
        <w:t>new headquarters</w:t>
      </w:r>
      <w:r>
        <w:rPr>
          <w:rFonts w:ascii="Times New Roman" w:eastAsia="Times New Roman" w:hAnsi="Times New Roman" w:cs="Times New Roman"/>
          <w:sz w:val="24"/>
          <w:szCs w:val="24"/>
        </w:rPr>
        <w:t>. Their productivity, happiness, and general well-being are critical, which makes them important stakeholders. Their advice on the layout and functioning of workstations is quite helpful.</w:t>
      </w:r>
    </w:p>
    <w:p w14:paraId="106AC101" w14:textId="5274861C" w:rsidR="00C6366A" w:rsidRDefault="007D2333">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effects of the project on the </w:t>
      </w:r>
      <w:r w:rsidR="00FE3DB9">
        <w:rPr>
          <w:rFonts w:ascii="Times New Roman" w:eastAsia="Times New Roman" w:hAnsi="Times New Roman" w:cs="Times New Roman"/>
          <w:sz w:val="24"/>
          <w:szCs w:val="24"/>
        </w:rPr>
        <w:t>neighborhood</w:t>
      </w:r>
      <w:r>
        <w:rPr>
          <w:rFonts w:ascii="Times New Roman" w:eastAsia="Times New Roman" w:hAnsi="Times New Roman" w:cs="Times New Roman"/>
          <w:sz w:val="24"/>
          <w:szCs w:val="24"/>
        </w:rPr>
        <w:t xml:space="preserve"> are of concern to the King's Cross local community. This covers issues with noise, traffic, the project's overall influence on the growth of the neighborhood, and the environment. Businesses in charge of designing, building, and providing facilities are essential players. Their work directly affects the </w:t>
      </w:r>
      <w:r>
        <w:rPr>
          <w:rFonts w:ascii="Times New Roman" w:eastAsia="Times New Roman" w:hAnsi="Times New Roman" w:cs="Times New Roman"/>
          <w:b/>
          <w:i/>
          <w:sz w:val="24"/>
          <w:szCs w:val="24"/>
        </w:rPr>
        <w:t>budget, schedule, and quality</w:t>
      </w:r>
      <w:r>
        <w:rPr>
          <w:rFonts w:ascii="Times New Roman" w:eastAsia="Times New Roman" w:hAnsi="Times New Roman" w:cs="Times New Roman"/>
          <w:sz w:val="24"/>
          <w:szCs w:val="24"/>
        </w:rPr>
        <w:t xml:space="preserve"> of the project. The project's success is of great importance to those who have made financial investments in </w:t>
      </w:r>
      <w:r w:rsidR="00FE3DB9">
        <w:rPr>
          <w:rFonts w:ascii="Times New Roman" w:eastAsia="Times New Roman" w:hAnsi="Times New Roman" w:cs="Times New Roman"/>
          <w:sz w:val="24"/>
          <w:szCs w:val="24"/>
        </w:rPr>
        <w:t>Google since</w:t>
      </w:r>
      <w:r>
        <w:rPr>
          <w:rFonts w:ascii="Times New Roman" w:eastAsia="Times New Roman" w:hAnsi="Times New Roman" w:cs="Times New Roman"/>
          <w:sz w:val="24"/>
          <w:szCs w:val="24"/>
        </w:rPr>
        <w:t xml:space="preserve"> it might impact the company's long-term financial performance and reputation.</w:t>
      </w:r>
    </w:p>
    <w:p w14:paraId="6A7B0FDD" w14:textId="77777777" w:rsidR="00C6366A" w:rsidRDefault="007D2333">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Consistent Project Updates It is essential to provide project stakeholders with timely and accurate project updates on a consistent basis. This covers any updates to the project's scope or timetable, as well as any progress reports or milestones that have been reached. Open lines of communication, such as newsletters or </w:t>
      </w:r>
      <w:r>
        <w:rPr>
          <w:rFonts w:ascii="Times New Roman" w:eastAsia="Times New Roman" w:hAnsi="Times New Roman" w:cs="Times New Roman"/>
          <w:b/>
          <w:i/>
          <w:sz w:val="24"/>
          <w:szCs w:val="24"/>
        </w:rPr>
        <w:t>project-specific websites</w:t>
      </w:r>
      <w:r>
        <w:rPr>
          <w:rFonts w:ascii="Times New Roman" w:eastAsia="Times New Roman" w:hAnsi="Times New Roman" w:cs="Times New Roman"/>
          <w:sz w:val="24"/>
          <w:szCs w:val="24"/>
        </w:rPr>
        <w:t>, may promote this. Consultation with the Public Getting involved with the local community in the form of public consultations and meetings is an effective way to address their problems and collect their opinion. It encourages openness and has the potential to lead to improved community support for the project (Leckel, Veilleux and Dana, 2020). Participation of workers Participation of Google workers in the design and planning stages helps to guarantee that their individual requirements and preferences are taken into account. It is possible to acquire their feedback via the use of surveys, focus groups, and seminars.</w:t>
      </w:r>
    </w:p>
    <w:p w14:paraId="0E1C7C96" w14:textId="288BD09E" w:rsidR="00C6366A" w:rsidRDefault="007D2333">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Approaches Based on Collaboration The cultivation of a feeling of ownership and shared responsibility may be achieved via collaborative engagement with contractors, suppliers, and subcontractors. This has the potential to contribute to enhanced performance as well as quality results (Saffar and Obeidat, 2020). Establishing Clear Communication Channels and Points of Contact for Stakeholders The process of information sharing and </w:t>
      </w:r>
      <w:r w:rsidR="00CB5741">
        <w:rPr>
          <w:rFonts w:ascii="Times New Roman" w:eastAsia="Times New Roman" w:hAnsi="Times New Roman" w:cs="Times New Roman"/>
          <w:sz w:val="24"/>
          <w:szCs w:val="24"/>
        </w:rPr>
        <w:t>problem-solving</w:t>
      </w:r>
      <w:r>
        <w:rPr>
          <w:rFonts w:ascii="Times New Roman" w:eastAsia="Times New Roman" w:hAnsi="Times New Roman" w:cs="Times New Roman"/>
          <w:sz w:val="24"/>
          <w:szCs w:val="24"/>
        </w:rPr>
        <w:t xml:space="preserve"> may be made much easier by establishing and maintaining clear communication channels and points of contact for all stakeholders. This guarantees that complaints will be handled in a timely manner.</w:t>
      </w:r>
    </w:p>
    <w:p w14:paraId="75E43E29" w14:textId="77777777" w:rsidR="00C6366A" w:rsidRDefault="007D2333">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Google Headquarters Project has a number of challenges in terms of managing its stakeholders, including the need to strike a balance between competing interests, adhere to rules, and meet expectations. Nevertheless, these obstacles also bring possibilities, such as gaining support for the project, increasing the quality of the project via the input of stakeholders, and strengthening Google's reputation and the community's faith in the company (Levy, 2021). The effective participation of project stakeholders may eventually result in a more successful project conclusion, which will have a good influence not just on Google but also on the local community.</w:t>
      </w:r>
    </w:p>
    <w:tbl>
      <w:tblPr>
        <w:tblStyle w:val="a0"/>
        <w:tblW w:w="9360" w:type="dxa"/>
        <w:tblBorders>
          <w:top w:val="nil"/>
          <w:left w:val="nil"/>
          <w:bottom w:val="nil"/>
          <w:right w:val="nil"/>
          <w:insideH w:val="nil"/>
          <w:insideV w:val="nil"/>
        </w:tblBorders>
        <w:tblLayout w:type="fixed"/>
        <w:tblLook w:val="0600" w:firstRow="0" w:lastRow="0" w:firstColumn="0" w:lastColumn="0" w:noHBand="1" w:noVBand="1"/>
      </w:tblPr>
      <w:tblGrid>
        <w:gridCol w:w="2625"/>
        <w:gridCol w:w="1710"/>
        <w:gridCol w:w="2235"/>
        <w:gridCol w:w="2790"/>
      </w:tblGrid>
      <w:tr w:rsidR="00C6366A" w14:paraId="5126625C" w14:textId="77777777">
        <w:trPr>
          <w:trHeight w:val="1070"/>
        </w:trPr>
        <w:tc>
          <w:tcPr>
            <w:tcW w:w="2625" w:type="dxa"/>
            <w:tcBorders>
              <w:top w:val="single" w:sz="6" w:space="0" w:color="000000"/>
              <w:left w:val="single" w:sz="6" w:space="0" w:color="000000"/>
              <w:bottom w:val="single" w:sz="6" w:space="0" w:color="000000"/>
              <w:right w:val="single" w:sz="6" w:space="0" w:color="000000"/>
            </w:tcBorders>
            <w:shd w:val="clear" w:color="auto" w:fill="FFF2CC"/>
            <w:tcMar>
              <w:top w:w="100" w:type="dxa"/>
              <w:left w:w="100" w:type="dxa"/>
              <w:bottom w:w="100" w:type="dxa"/>
              <w:right w:w="100" w:type="dxa"/>
            </w:tcMar>
            <w:vAlign w:val="bottom"/>
          </w:tcPr>
          <w:p w14:paraId="5031A986" w14:textId="77777777" w:rsidR="00C6366A" w:rsidRDefault="007D233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Stakeholder</w:t>
            </w:r>
          </w:p>
        </w:tc>
        <w:tc>
          <w:tcPr>
            <w:tcW w:w="1710" w:type="dxa"/>
            <w:tcBorders>
              <w:top w:val="single" w:sz="6" w:space="0" w:color="000000"/>
              <w:left w:val="single" w:sz="6" w:space="0" w:color="000000"/>
              <w:bottom w:val="single" w:sz="6" w:space="0" w:color="000000"/>
              <w:right w:val="single" w:sz="6" w:space="0" w:color="000000"/>
            </w:tcBorders>
            <w:shd w:val="clear" w:color="auto" w:fill="FFF2CC"/>
            <w:tcMar>
              <w:top w:w="100" w:type="dxa"/>
              <w:left w:w="100" w:type="dxa"/>
              <w:bottom w:w="100" w:type="dxa"/>
              <w:right w:w="100" w:type="dxa"/>
            </w:tcMar>
            <w:vAlign w:val="bottom"/>
          </w:tcPr>
          <w:p w14:paraId="1C415279" w14:textId="77777777" w:rsidR="00C6366A" w:rsidRDefault="007D233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Role/Interest</w:t>
            </w:r>
          </w:p>
        </w:tc>
        <w:tc>
          <w:tcPr>
            <w:tcW w:w="2235" w:type="dxa"/>
            <w:tcBorders>
              <w:top w:val="single" w:sz="6" w:space="0" w:color="000000"/>
              <w:left w:val="single" w:sz="6" w:space="0" w:color="000000"/>
              <w:bottom w:val="single" w:sz="6" w:space="0" w:color="000000"/>
              <w:right w:val="single" w:sz="6" w:space="0" w:color="000000"/>
            </w:tcBorders>
            <w:shd w:val="clear" w:color="auto" w:fill="FFF2CC"/>
            <w:tcMar>
              <w:top w:w="100" w:type="dxa"/>
              <w:left w:w="100" w:type="dxa"/>
              <w:bottom w:w="100" w:type="dxa"/>
              <w:right w:w="100" w:type="dxa"/>
            </w:tcMar>
            <w:vAlign w:val="bottom"/>
          </w:tcPr>
          <w:p w14:paraId="1105A8CD" w14:textId="77777777" w:rsidR="00C6366A" w:rsidRDefault="007D233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Communication Strategy</w:t>
            </w:r>
          </w:p>
        </w:tc>
        <w:tc>
          <w:tcPr>
            <w:tcW w:w="2790" w:type="dxa"/>
            <w:tcBorders>
              <w:top w:val="single" w:sz="6" w:space="0" w:color="000000"/>
              <w:left w:val="single" w:sz="6" w:space="0" w:color="000000"/>
              <w:bottom w:val="single" w:sz="6" w:space="0" w:color="000000"/>
              <w:right w:val="single" w:sz="6" w:space="0" w:color="000000"/>
            </w:tcBorders>
            <w:shd w:val="clear" w:color="auto" w:fill="FFF2CC"/>
            <w:tcMar>
              <w:top w:w="100" w:type="dxa"/>
              <w:left w:w="100" w:type="dxa"/>
              <w:bottom w:w="100" w:type="dxa"/>
              <w:right w:w="100" w:type="dxa"/>
            </w:tcMar>
            <w:vAlign w:val="bottom"/>
          </w:tcPr>
          <w:p w14:paraId="212986D5" w14:textId="77777777" w:rsidR="00C6366A" w:rsidRDefault="007D233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Challenges/Opportunities</w:t>
            </w:r>
          </w:p>
        </w:tc>
      </w:tr>
      <w:tr w:rsidR="00C6366A" w14:paraId="20C0F1E7" w14:textId="77777777">
        <w:trPr>
          <w:trHeight w:val="1055"/>
        </w:trPr>
        <w:tc>
          <w:tcPr>
            <w:tcW w:w="2625" w:type="dxa"/>
            <w:tcBorders>
              <w:top w:val="single" w:sz="6" w:space="0" w:color="000000"/>
              <w:left w:val="single" w:sz="6" w:space="0" w:color="000000"/>
              <w:bottom w:val="single" w:sz="6" w:space="0" w:color="000000"/>
              <w:right w:val="single" w:sz="6" w:space="0" w:color="000000"/>
            </w:tcBorders>
            <w:shd w:val="clear" w:color="auto" w:fill="FF0000"/>
            <w:tcMar>
              <w:top w:w="100" w:type="dxa"/>
              <w:left w:w="100" w:type="dxa"/>
              <w:bottom w:w="100" w:type="dxa"/>
              <w:right w:w="100" w:type="dxa"/>
            </w:tcMar>
            <w:vAlign w:val="center"/>
          </w:tcPr>
          <w:p w14:paraId="48983A1D" w14:textId="77777777" w:rsidR="00C6366A" w:rsidRDefault="007D2333">
            <w:pPr>
              <w:spacing w:line="360" w:lineRule="auto"/>
              <w:rPr>
                <w:rFonts w:ascii="Times New Roman" w:eastAsia="Times New Roman" w:hAnsi="Times New Roman" w:cs="Times New Roman"/>
                <w:b/>
                <w:color w:val="FFFFFF"/>
                <w:sz w:val="24"/>
                <w:szCs w:val="24"/>
              </w:rPr>
            </w:pPr>
            <w:r>
              <w:rPr>
                <w:rFonts w:ascii="Times New Roman" w:eastAsia="Times New Roman" w:hAnsi="Times New Roman" w:cs="Times New Roman"/>
                <w:b/>
                <w:color w:val="FFFFFF"/>
                <w:sz w:val="24"/>
                <w:szCs w:val="24"/>
              </w:rPr>
              <w:t>Google</w:t>
            </w:r>
          </w:p>
        </w:tc>
        <w:tc>
          <w:tcPr>
            <w:tcW w:w="1710" w:type="dxa"/>
            <w:tcBorders>
              <w:top w:val="single" w:sz="6" w:space="0" w:color="000000"/>
              <w:left w:val="single" w:sz="6" w:space="0" w:color="000000"/>
              <w:bottom w:val="single" w:sz="6" w:space="0" w:color="000000"/>
              <w:right w:val="single" w:sz="6" w:space="0" w:color="000000"/>
            </w:tcBorders>
            <w:shd w:val="clear" w:color="auto" w:fill="FCE5CD"/>
            <w:tcMar>
              <w:top w:w="100" w:type="dxa"/>
              <w:left w:w="100" w:type="dxa"/>
              <w:bottom w:w="100" w:type="dxa"/>
              <w:right w:w="100" w:type="dxa"/>
            </w:tcMar>
            <w:vAlign w:val="center"/>
          </w:tcPr>
          <w:p w14:paraId="12FA4A72" w14:textId="77777777" w:rsidR="00C6366A" w:rsidRDefault="007D233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Project Owner</w:t>
            </w:r>
          </w:p>
        </w:tc>
        <w:tc>
          <w:tcPr>
            <w:tcW w:w="2235" w:type="dxa"/>
            <w:tcBorders>
              <w:top w:val="single" w:sz="6" w:space="0" w:color="000000"/>
              <w:left w:val="single" w:sz="6" w:space="0" w:color="000000"/>
              <w:bottom w:val="single" w:sz="6" w:space="0" w:color="000000"/>
              <w:right w:val="single" w:sz="6" w:space="0" w:color="000000"/>
            </w:tcBorders>
            <w:shd w:val="clear" w:color="auto" w:fill="FCE5CD"/>
            <w:tcMar>
              <w:top w:w="100" w:type="dxa"/>
              <w:left w:w="100" w:type="dxa"/>
              <w:bottom w:w="100" w:type="dxa"/>
              <w:right w:w="100" w:type="dxa"/>
            </w:tcMar>
            <w:vAlign w:val="center"/>
          </w:tcPr>
          <w:p w14:paraId="2706BE13" w14:textId="77777777" w:rsidR="00C6366A" w:rsidRDefault="007D233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Regular updates on project progress.</w:t>
            </w:r>
          </w:p>
        </w:tc>
        <w:tc>
          <w:tcPr>
            <w:tcW w:w="2790" w:type="dxa"/>
            <w:tcBorders>
              <w:top w:val="single" w:sz="6" w:space="0" w:color="000000"/>
              <w:left w:val="single" w:sz="6" w:space="0" w:color="000000"/>
              <w:bottom w:val="single" w:sz="6" w:space="0" w:color="000000"/>
              <w:right w:val="single" w:sz="6" w:space="0" w:color="000000"/>
            </w:tcBorders>
            <w:shd w:val="clear" w:color="auto" w:fill="FCE5CD"/>
            <w:tcMar>
              <w:top w:w="100" w:type="dxa"/>
              <w:left w:w="100" w:type="dxa"/>
              <w:bottom w:w="100" w:type="dxa"/>
              <w:right w:w="100" w:type="dxa"/>
            </w:tcMar>
            <w:vAlign w:val="center"/>
          </w:tcPr>
          <w:p w14:paraId="48B69D64" w14:textId="77777777" w:rsidR="00C6366A" w:rsidRDefault="007D233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Opportunity: Direct control and resources.</w:t>
            </w:r>
          </w:p>
        </w:tc>
      </w:tr>
      <w:tr w:rsidR="00C6366A" w14:paraId="21E57A6D" w14:textId="77777777">
        <w:trPr>
          <w:trHeight w:val="1415"/>
        </w:trPr>
        <w:tc>
          <w:tcPr>
            <w:tcW w:w="2625" w:type="dxa"/>
            <w:tcBorders>
              <w:top w:val="single" w:sz="6" w:space="0" w:color="000000"/>
              <w:left w:val="single" w:sz="6" w:space="0" w:color="000000"/>
              <w:bottom w:val="single" w:sz="6" w:space="0" w:color="000000"/>
              <w:right w:val="single" w:sz="6" w:space="0" w:color="000000"/>
            </w:tcBorders>
            <w:shd w:val="clear" w:color="auto" w:fill="FF0000"/>
            <w:tcMar>
              <w:top w:w="100" w:type="dxa"/>
              <w:left w:w="100" w:type="dxa"/>
              <w:bottom w:w="100" w:type="dxa"/>
              <w:right w:w="100" w:type="dxa"/>
            </w:tcMar>
            <w:vAlign w:val="center"/>
          </w:tcPr>
          <w:p w14:paraId="250CE5F7" w14:textId="77777777" w:rsidR="00C6366A" w:rsidRDefault="00C6366A">
            <w:pPr>
              <w:spacing w:line="360" w:lineRule="auto"/>
              <w:rPr>
                <w:rFonts w:ascii="Times New Roman" w:eastAsia="Times New Roman" w:hAnsi="Times New Roman" w:cs="Times New Roman"/>
                <w:b/>
                <w:color w:val="FFFFFF"/>
                <w:sz w:val="24"/>
                <w:szCs w:val="24"/>
              </w:rPr>
            </w:pPr>
          </w:p>
        </w:tc>
        <w:tc>
          <w:tcPr>
            <w:tcW w:w="1710" w:type="dxa"/>
            <w:tcBorders>
              <w:top w:val="single" w:sz="6" w:space="0" w:color="000000"/>
              <w:left w:val="single" w:sz="6" w:space="0" w:color="000000"/>
              <w:bottom w:val="single" w:sz="6" w:space="0" w:color="000000"/>
              <w:right w:val="single" w:sz="6" w:space="0" w:color="000000"/>
            </w:tcBorders>
            <w:shd w:val="clear" w:color="auto" w:fill="FCE5CD"/>
            <w:tcMar>
              <w:top w:w="100" w:type="dxa"/>
              <w:left w:w="100" w:type="dxa"/>
              <w:bottom w:w="100" w:type="dxa"/>
              <w:right w:w="100" w:type="dxa"/>
            </w:tcMar>
            <w:vAlign w:val="center"/>
          </w:tcPr>
          <w:p w14:paraId="7ADEED4C" w14:textId="77777777" w:rsidR="00C6366A" w:rsidRDefault="00C6366A">
            <w:pPr>
              <w:spacing w:line="360" w:lineRule="auto"/>
              <w:rPr>
                <w:rFonts w:ascii="Times New Roman" w:eastAsia="Times New Roman" w:hAnsi="Times New Roman" w:cs="Times New Roman"/>
                <w:sz w:val="24"/>
                <w:szCs w:val="24"/>
              </w:rPr>
            </w:pPr>
          </w:p>
        </w:tc>
        <w:tc>
          <w:tcPr>
            <w:tcW w:w="2235" w:type="dxa"/>
            <w:tcBorders>
              <w:top w:val="single" w:sz="6" w:space="0" w:color="000000"/>
              <w:left w:val="single" w:sz="6" w:space="0" w:color="000000"/>
              <w:bottom w:val="single" w:sz="6" w:space="0" w:color="000000"/>
              <w:right w:val="single" w:sz="6" w:space="0" w:color="000000"/>
            </w:tcBorders>
            <w:shd w:val="clear" w:color="auto" w:fill="FCE5CD"/>
            <w:tcMar>
              <w:top w:w="100" w:type="dxa"/>
              <w:left w:w="100" w:type="dxa"/>
              <w:bottom w:w="100" w:type="dxa"/>
              <w:right w:w="100" w:type="dxa"/>
            </w:tcMar>
            <w:vAlign w:val="center"/>
          </w:tcPr>
          <w:p w14:paraId="55428221" w14:textId="77777777" w:rsidR="00C6366A" w:rsidRDefault="007D233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Engagement with Google employees for feedback.</w:t>
            </w:r>
          </w:p>
        </w:tc>
        <w:tc>
          <w:tcPr>
            <w:tcW w:w="2790" w:type="dxa"/>
            <w:tcBorders>
              <w:top w:val="single" w:sz="6" w:space="0" w:color="000000"/>
              <w:left w:val="single" w:sz="6" w:space="0" w:color="000000"/>
              <w:bottom w:val="single" w:sz="6" w:space="0" w:color="000000"/>
              <w:right w:val="single" w:sz="6" w:space="0" w:color="000000"/>
            </w:tcBorders>
            <w:shd w:val="clear" w:color="auto" w:fill="FCE5CD"/>
            <w:tcMar>
              <w:top w:w="100" w:type="dxa"/>
              <w:left w:w="100" w:type="dxa"/>
              <w:bottom w:w="100" w:type="dxa"/>
              <w:right w:w="100" w:type="dxa"/>
            </w:tcMar>
            <w:vAlign w:val="center"/>
          </w:tcPr>
          <w:p w14:paraId="7387200D" w14:textId="77777777" w:rsidR="00C6366A" w:rsidRDefault="007D233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Challenge: Ensuring alignment with objectives.</w:t>
            </w:r>
          </w:p>
        </w:tc>
      </w:tr>
      <w:tr w:rsidR="00C6366A" w14:paraId="66419002" w14:textId="77777777">
        <w:trPr>
          <w:trHeight w:val="1415"/>
        </w:trPr>
        <w:tc>
          <w:tcPr>
            <w:tcW w:w="2625" w:type="dxa"/>
            <w:tcBorders>
              <w:top w:val="single" w:sz="6" w:space="0" w:color="000000"/>
              <w:left w:val="single" w:sz="6" w:space="0" w:color="000000"/>
              <w:bottom w:val="single" w:sz="6" w:space="0" w:color="000000"/>
              <w:right w:val="single" w:sz="6" w:space="0" w:color="000000"/>
            </w:tcBorders>
            <w:shd w:val="clear" w:color="auto" w:fill="FF0000"/>
            <w:tcMar>
              <w:top w:w="100" w:type="dxa"/>
              <w:left w:w="100" w:type="dxa"/>
              <w:bottom w:w="100" w:type="dxa"/>
              <w:right w:w="100" w:type="dxa"/>
            </w:tcMar>
            <w:vAlign w:val="center"/>
          </w:tcPr>
          <w:p w14:paraId="7B966A0E" w14:textId="77777777" w:rsidR="00C6366A" w:rsidRDefault="007D2333">
            <w:pPr>
              <w:spacing w:line="360" w:lineRule="auto"/>
              <w:rPr>
                <w:rFonts w:ascii="Times New Roman" w:eastAsia="Times New Roman" w:hAnsi="Times New Roman" w:cs="Times New Roman"/>
                <w:b/>
                <w:color w:val="FFFFFF"/>
                <w:sz w:val="24"/>
                <w:szCs w:val="24"/>
              </w:rPr>
            </w:pPr>
            <w:r>
              <w:rPr>
                <w:rFonts w:ascii="Times New Roman" w:eastAsia="Times New Roman" w:hAnsi="Times New Roman" w:cs="Times New Roman"/>
                <w:b/>
                <w:color w:val="FFFFFF"/>
                <w:sz w:val="24"/>
                <w:szCs w:val="24"/>
              </w:rPr>
              <w:t>Local Authorities</w:t>
            </w:r>
          </w:p>
        </w:tc>
        <w:tc>
          <w:tcPr>
            <w:tcW w:w="1710" w:type="dxa"/>
            <w:tcBorders>
              <w:top w:val="single" w:sz="6" w:space="0" w:color="000000"/>
              <w:left w:val="single" w:sz="6" w:space="0" w:color="000000"/>
              <w:bottom w:val="single" w:sz="6" w:space="0" w:color="000000"/>
              <w:right w:val="single" w:sz="6" w:space="0" w:color="000000"/>
            </w:tcBorders>
            <w:shd w:val="clear" w:color="auto" w:fill="FCE5CD"/>
            <w:tcMar>
              <w:top w:w="100" w:type="dxa"/>
              <w:left w:w="100" w:type="dxa"/>
              <w:bottom w:w="100" w:type="dxa"/>
              <w:right w:w="100" w:type="dxa"/>
            </w:tcMar>
            <w:vAlign w:val="center"/>
          </w:tcPr>
          <w:p w14:paraId="546F9FB5" w14:textId="77777777" w:rsidR="00C6366A" w:rsidRDefault="007D233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Regulatory Oversight</w:t>
            </w:r>
          </w:p>
        </w:tc>
        <w:tc>
          <w:tcPr>
            <w:tcW w:w="2235" w:type="dxa"/>
            <w:tcBorders>
              <w:top w:val="single" w:sz="6" w:space="0" w:color="000000"/>
              <w:left w:val="single" w:sz="6" w:space="0" w:color="000000"/>
              <w:bottom w:val="single" w:sz="6" w:space="0" w:color="000000"/>
              <w:right w:val="single" w:sz="6" w:space="0" w:color="000000"/>
            </w:tcBorders>
            <w:shd w:val="clear" w:color="auto" w:fill="FCE5CD"/>
            <w:tcMar>
              <w:top w:w="100" w:type="dxa"/>
              <w:left w:w="100" w:type="dxa"/>
              <w:bottom w:w="100" w:type="dxa"/>
              <w:right w:w="100" w:type="dxa"/>
            </w:tcMar>
            <w:vAlign w:val="center"/>
          </w:tcPr>
          <w:p w14:paraId="594ECFEC" w14:textId="77777777" w:rsidR="00C6366A" w:rsidRDefault="007D233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Compliance with regulations and permits.</w:t>
            </w:r>
          </w:p>
        </w:tc>
        <w:tc>
          <w:tcPr>
            <w:tcW w:w="2790" w:type="dxa"/>
            <w:tcBorders>
              <w:top w:val="single" w:sz="6" w:space="0" w:color="000000"/>
              <w:left w:val="single" w:sz="6" w:space="0" w:color="000000"/>
              <w:bottom w:val="single" w:sz="6" w:space="0" w:color="000000"/>
              <w:right w:val="single" w:sz="6" w:space="0" w:color="000000"/>
            </w:tcBorders>
            <w:shd w:val="clear" w:color="auto" w:fill="FCE5CD"/>
            <w:tcMar>
              <w:top w:w="100" w:type="dxa"/>
              <w:left w:w="100" w:type="dxa"/>
              <w:bottom w:w="100" w:type="dxa"/>
              <w:right w:w="100" w:type="dxa"/>
            </w:tcMar>
            <w:vAlign w:val="center"/>
          </w:tcPr>
          <w:p w14:paraId="3F8B8386" w14:textId="77777777" w:rsidR="00C6366A" w:rsidRDefault="007D233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Opportunity: Support for project approvals.</w:t>
            </w:r>
          </w:p>
        </w:tc>
      </w:tr>
      <w:tr w:rsidR="00C6366A" w14:paraId="31AB3DED" w14:textId="77777777">
        <w:trPr>
          <w:trHeight w:val="1055"/>
        </w:trPr>
        <w:tc>
          <w:tcPr>
            <w:tcW w:w="2625" w:type="dxa"/>
            <w:tcBorders>
              <w:top w:val="single" w:sz="6" w:space="0" w:color="000000"/>
              <w:left w:val="single" w:sz="6" w:space="0" w:color="000000"/>
              <w:bottom w:val="single" w:sz="6" w:space="0" w:color="000000"/>
              <w:right w:val="single" w:sz="6" w:space="0" w:color="000000"/>
            </w:tcBorders>
            <w:shd w:val="clear" w:color="auto" w:fill="FF0000"/>
            <w:tcMar>
              <w:top w:w="100" w:type="dxa"/>
              <w:left w:w="100" w:type="dxa"/>
              <w:bottom w:w="100" w:type="dxa"/>
              <w:right w:w="100" w:type="dxa"/>
            </w:tcMar>
            <w:vAlign w:val="center"/>
          </w:tcPr>
          <w:p w14:paraId="7C3E7EE1" w14:textId="77777777" w:rsidR="00C6366A" w:rsidRDefault="00C6366A">
            <w:pPr>
              <w:spacing w:line="360" w:lineRule="auto"/>
              <w:rPr>
                <w:rFonts w:ascii="Times New Roman" w:eastAsia="Times New Roman" w:hAnsi="Times New Roman" w:cs="Times New Roman"/>
                <w:b/>
                <w:color w:val="FFFFFF"/>
                <w:sz w:val="24"/>
                <w:szCs w:val="24"/>
              </w:rPr>
            </w:pPr>
          </w:p>
        </w:tc>
        <w:tc>
          <w:tcPr>
            <w:tcW w:w="1710" w:type="dxa"/>
            <w:tcBorders>
              <w:top w:val="single" w:sz="6" w:space="0" w:color="000000"/>
              <w:left w:val="single" w:sz="6" w:space="0" w:color="000000"/>
              <w:bottom w:val="single" w:sz="6" w:space="0" w:color="000000"/>
              <w:right w:val="single" w:sz="6" w:space="0" w:color="000000"/>
            </w:tcBorders>
            <w:shd w:val="clear" w:color="auto" w:fill="FCE5CD"/>
            <w:tcMar>
              <w:top w:w="100" w:type="dxa"/>
              <w:left w:w="100" w:type="dxa"/>
              <w:bottom w:w="100" w:type="dxa"/>
              <w:right w:w="100" w:type="dxa"/>
            </w:tcMar>
            <w:vAlign w:val="center"/>
          </w:tcPr>
          <w:p w14:paraId="04967BFF" w14:textId="77777777" w:rsidR="00C6366A" w:rsidRDefault="00C6366A">
            <w:pPr>
              <w:spacing w:line="360" w:lineRule="auto"/>
              <w:rPr>
                <w:rFonts w:ascii="Times New Roman" w:eastAsia="Times New Roman" w:hAnsi="Times New Roman" w:cs="Times New Roman"/>
                <w:sz w:val="24"/>
                <w:szCs w:val="24"/>
              </w:rPr>
            </w:pPr>
          </w:p>
        </w:tc>
        <w:tc>
          <w:tcPr>
            <w:tcW w:w="2235" w:type="dxa"/>
            <w:tcBorders>
              <w:top w:val="single" w:sz="6" w:space="0" w:color="000000"/>
              <w:left w:val="single" w:sz="6" w:space="0" w:color="000000"/>
              <w:bottom w:val="single" w:sz="6" w:space="0" w:color="000000"/>
              <w:right w:val="single" w:sz="6" w:space="0" w:color="000000"/>
            </w:tcBorders>
            <w:shd w:val="clear" w:color="auto" w:fill="FCE5CD"/>
            <w:tcMar>
              <w:top w:w="100" w:type="dxa"/>
              <w:left w:w="100" w:type="dxa"/>
              <w:bottom w:w="100" w:type="dxa"/>
              <w:right w:w="100" w:type="dxa"/>
            </w:tcMar>
            <w:vAlign w:val="center"/>
          </w:tcPr>
          <w:p w14:paraId="1C1F9BAA" w14:textId="77777777" w:rsidR="00C6366A" w:rsidRDefault="007D233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Public consultations and meetings.</w:t>
            </w:r>
          </w:p>
        </w:tc>
        <w:tc>
          <w:tcPr>
            <w:tcW w:w="2790" w:type="dxa"/>
            <w:tcBorders>
              <w:top w:val="single" w:sz="6" w:space="0" w:color="000000"/>
              <w:left w:val="single" w:sz="6" w:space="0" w:color="000000"/>
              <w:bottom w:val="single" w:sz="6" w:space="0" w:color="000000"/>
              <w:right w:val="single" w:sz="6" w:space="0" w:color="000000"/>
            </w:tcBorders>
            <w:shd w:val="clear" w:color="auto" w:fill="FCE5CD"/>
            <w:tcMar>
              <w:top w:w="100" w:type="dxa"/>
              <w:left w:w="100" w:type="dxa"/>
              <w:bottom w:w="100" w:type="dxa"/>
              <w:right w:w="100" w:type="dxa"/>
            </w:tcMar>
            <w:vAlign w:val="center"/>
          </w:tcPr>
          <w:p w14:paraId="03A37AD0" w14:textId="77777777" w:rsidR="00C6366A" w:rsidRDefault="007D233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Challenge: Balancing regulations with project goals.</w:t>
            </w:r>
          </w:p>
        </w:tc>
      </w:tr>
      <w:tr w:rsidR="00C6366A" w14:paraId="145CA72C" w14:textId="77777777">
        <w:trPr>
          <w:trHeight w:val="1055"/>
        </w:trPr>
        <w:tc>
          <w:tcPr>
            <w:tcW w:w="2625" w:type="dxa"/>
            <w:tcBorders>
              <w:top w:val="single" w:sz="6" w:space="0" w:color="000000"/>
              <w:left w:val="single" w:sz="6" w:space="0" w:color="000000"/>
              <w:bottom w:val="single" w:sz="6" w:space="0" w:color="000000"/>
              <w:right w:val="single" w:sz="6" w:space="0" w:color="000000"/>
            </w:tcBorders>
            <w:shd w:val="clear" w:color="auto" w:fill="FF0000"/>
            <w:tcMar>
              <w:top w:w="100" w:type="dxa"/>
              <w:left w:w="100" w:type="dxa"/>
              <w:bottom w:w="100" w:type="dxa"/>
              <w:right w:w="100" w:type="dxa"/>
            </w:tcMar>
            <w:vAlign w:val="center"/>
          </w:tcPr>
          <w:p w14:paraId="11738810" w14:textId="77777777" w:rsidR="00C6366A" w:rsidRDefault="007D2333">
            <w:pPr>
              <w:spacing w:line="360" w:lineRule="auto"/>
              <w:rPr>
                <w:rFonts w:ascii="Times New Roman" w:eastAsia="Times New Roman" w:hAnsi="Times New Roman" w:cs="Times New Roman"/>
                <w:b/>
                <w:color w:val="FFFFFF"/>
                <w:sz w:val="24"/>
                <w:szCs w:val="24"/>
              </w:rPr>
            </w:pPr>
            <w:r>
              <w:rPr>
                <w:rFonts w:ascii="Times New Roman" w:eastAsia="Times New Roman" w:hAnsi="Times New Roman" w:cs="Times New Roman"/>
                <w:b/>
                <w:color w:val="FFFFFF"/>
                <w:sz w:val="24"/>
                <w:szCs w:val="24"/>
              </w:rPr>
              <w:t>Employees</w:t>
            </w:r>
          </w:p>
        </w:tc>
        <w:tc>
          <w:tcPr>
            <w:tcW w:w="1710" w:type="dxa"/>
            <w:tcBorders>
              <w:top w:val="single" w:sz="6" w:space="0" w:color="000000"/>
              <w:left w:val="single" w:sz="6" w:space="0" w:color="000000"/>
              <w:bottom w:val="single" w:sz="6" w:space="0" w:color="000000"/>
              <w:right w:val="single" w:sz="6" w:space="0" w:color="000000"/>
            </w:tcBorders>
            <w:shd w:val="clear" w:color="auto" w:fill="FCE5CD"/>
            <w:tcMar>
              <w:top w:w="100" w:type="dxa"/>
              <w:left w:w="100" w:type="dxa"/>
              <w:bottom w:w="100" w:type="dxa"/>
              <w:right w:w="100" w:type="dxa"/>
            </w:tcMar>
            <w:vAlign w:val="center"/>
          </w:tcPr>
          <w:p w14:paraId="183794EC" w14:textId="77777777" w:rsidR="00C6366A" w:rsidRDefault="007D233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Users/Satisfaction</w:t>
            </w:r>
          </w:p>
        </w:tc>
        <w:tc>
          <w:tcPr>
            <w:tcW w:w="2235" w:type="dxa"/>
            <w:tcBorders>
              <w:top w:val="single" w:sz="6" w:space="0" w:color="000000"/>
              <w:left w:val="single" w:sz="6" w:space="0" w:color="000000"/>
              <w:bottom w:val="single" w:sz="6" w:space="0" w:color="000000"/>
              <w:right w:val="single" w:sz="6" w:space="0" w:color="000000"/>
            </w:tcBorders>
            <w:shd w:val="clear" w:color="auto" w:fill="FCE5CD"/>
            <w:tcMar>
              <w:top w:w="100" w:type="dxa"/>
              <w:left w:w="100" w:type="dxa"/>
              <w:bottom w:w="100" w:type="dxa"/>
              <w:right w:w="100" w:type="dxa"/>
            </w:tcMar>
            <w:vAlign w:val="center"/>
          </w:tcPr>
          <w:p w14:paraId="2758E3AC" w14:textId="77777777" w:rsidR="00C6366A" w:rsidRDefault="007D233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Employee surveys and workshops for input.</w:t>
            </w:r>
          </w:p>
        </w:tc>
        <w:tc>
          <w:tcPr>
            <w:tcW w:w="2790" w:type="dxa"/>
            <w:tcBorders>
              <w:top w:val="single" w:sz="6" w:space="0" w:color="000000"/>
              <w:left w:val="single" w:sz="6" w:space="0" w:color="000000"/>
              <w:bottom w:val="single" w:sz="6" w:space="0" w:color="000000"/>
              <w:right w:val="single" w:sz="6" w:space="0" w:color="000000"/>
            </w:tcBorders>
            <w:shd w:val="clear" w:color="auto" w:fill="FCE5CD"/>
            <w:tcMar>
              <w:top w:w="100" w:type="dxa"/>
              <w:left w:w="100" w:type="dxa"/>
              <w:bottom w:w="100" w:type="dxa"/>
              <w:right w:w="100" w:type="dxa"/>
            </w:tcMar>
            <w:vAlign w:val="center"/>
          </w:tcPr>
          <w:p w14:paraId="18231155" w14:textId="77777777" w:rsidR="00C6366A" w:rsidRDefault="007D233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Opportunity: Improved workspace design.</w:t>
            </w:r>
          </w:p>
        </w:tc>
      </w:tr>
      <w:tr w:rsidR="00C6366A" w14:paraId="55D6B2FE" w14:textId="77777777">
        <w:trPr>
          <w:trHeight w:val="1415"/>
        </w:trPr>
        <w:tc>
          <w:tcPr>
            <w:tcW w:w="2625" w:type="dxa"/>
            <w:tcBorders>
              <w:top w:val="single" w:sz="6" w:space="0" w:color="000000"/>
              <w:left w:val="single" w:sz="6" w:space="0" w:color="000000"/>
              <w:bottom w:val="single" w:sz="6" w:space="0" w:color="000000"/>
              <w:right w:val="single" w:sz="6" w:space="0" w:color="000000"/>
            </w:tcBorders>
            <w:shd w:val="clear" w:color="auto" w:fill="FF0000"/>
            <w:tcMar>
              <w:top w:w="100" w:type="dxa"/>
              <w:left w:w="100" w:type="dxa"/>
              <w:bottom w:w="100" w:type="dxa"/>
              <w:right w:w="100" w:type="dxa"/>
            </w:tcMar>
            <w:vAlign w:val="center"/>
          </w:tcPr>
          <w:p w14:paraId="41860CCA" w14:textId="77777777" w:rsidR="00C6366A" w:rsidRDefault="007D2333">
            <w:pPr>
              <w:spacing w:line="360" w:lineRule="auto"/>
              <w:rPr>
                <w:rFonts w:ascii="Times New Roman" w:eastAsia="Times New Roman" w:hAnsi="Times New Roman" w:cs="Times New Roman"/>
                <w:b/>
                <w:color w:val="FFFFFF"/>
                <w:sz w:val="24"/>
                <w:szCs w:val="24"/>
              </w:rPr>
            </w:pPr>
            <w:r>
              <w:rPr>
                <w:rFonts w:ascii="Times New Roman" w:eastAsia="Times New Roman" w:hAnsi="Times New Roman" w:cs="Times New Roman"/>
                <w:b/>
                <w:color w:val="FFFFFF"/>
                <w:sz w:val="24"/>
                <w:szCs w:val="24"/>
              </w:rPr>
              <w:t>Community</w:t>
            </w:r>
          </w:p>
        </w:tc>
        <w:tc>
          <w:tcPr>
            <w:tcW w:w="1710" w:type="dxa"/>
            <w:tcBorders>
              <w:top w:val="single" w:sz="6" w:space="0" w:color="000000"/>
              <w:left w:val="single" w:sz="6" w:space="0" w:color="000000"/>
              <w:bottom w:val="single" w:sz="6" w:space="0" w:color="000000"/>
              <w:right w:val="single" w:sz="6" w:space="0" w:color="000000"/>
            </w:tcBorders>
            <w:shd w:val="clear" w:color="auto" w:fill="FCE5CD"/>
            <w:tcMar>
              <w:top w:w="100" w:type="dxa"/>
              <w:left w:w="100" w:type="dxa"/>
              <w:bottom w:w="100" w:type="dxa"/>
              <w:right w:w="100" w:type="dxa"/>
            </w:tcMar>
            <w:vAlign w:val="center"/>
          </w:tcPr>
          <w:p w14:paraId="4EA57800" w14:textId="77777777" w:rsidR="00C6366A" w:rsidRDefault="007D233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Local Impact</w:t>
            </w:r>
          </w:p>
        </w:tc>
        <w:tc>
          <w:tcPr>
            <w:tcW w:w="2235" w:type="dxa"/>
            <w:tcBorders>
              <w:top w:val="single" w:sz="6" w:space="0" w:color="000000"/>
              <w:left w:val="single" w:sz="6" w:space="0" w:color="000000"/>
              <w:bottom w:val="single" w:sz="6" w:space="0" w:color="000000"/>
              <w:right w:val="single" w:sz="6" w:space="0" w:color="000000"/>
            </w:tcBorders>
            <w:shd w:val="clear" w:color="auto" w:fill="FCE5CD"/>
            <w:tcMar>
              <w:top w:w="100" w:type="dxa"/>
              <w:left w:w="100" w:type="dxa"/>
              <w:bottom w:w="100" w:type="dxa"/>
              <w:right w:w="100" w:type="dxa"/>
            </w:tcMar>
            <w:vAlign w:val="center"/>
          </w:tcPr>
          <w:p w14:paraId="3CF970F1" w14:textId="77777777" w:rsidR="00C6366A" w:rsidRDefault="007D233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Public consultations and addressing concerns.</w:t>
            </w:r>
          </w:p>
        </w:tc>
        <w:tc>
          <w:tcPr>
            <w:tcW w:w="2790" w:type="dxa"/>
            <w:tcBorders>
              <w:top w:val="single" w:sz="6" w:space="0" w:color="000000"/>
              <w:left w:val="single" w:sz="6" w:space="0" w:color="000000"/>
              <w:bottom w:val="single" w:sz="6" w:space="0" w:color="000000"/>
              <w:right w:val="single" w:sz="6" w:space="0" w:color="000000"/>
            </w:tcBorders>
            <w:shd w:val="clear" w:color="auto" w:fill="FCE5CD"/>
            <w:tcMar>
              <w:top w:w="100" w:type="dxa"/>
              <w:left w:w="100" w:type="dxa"/>
              <w:bottom w:w="100" w:type="dxa"/>
              <w:right w:w="100" w:type="dxa"/>
            </w:tcMar>
            <w:vAlign w:val="center"/>
          </w:tcPr>
          <w:p w14:paraId="486E9854" w14:textId="77777777" w:rsidR="00C6366A" w:rsidRDefault="007D233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Challenge: Managing community expectations.</w:t>
            </w:r>
          </w:p>
        </w:tc>
      </w:tr>
      <w:tr w:rsidR="00C6366A" w14:paraId="2A4BC1F8" w14:textId="77777777">
        <w:trPr>
          <w:trHeight w:val="1415"/>
        </w:trPr>
        <w:tc>
          <w:tcPr>
            <w:tcW w:w="2625" w:type="dxa"/>
            <w:tcBorders>
              <w:top w:val="single" w:sz="6" w:space="0" w:color="000000"/>
              <w:left w:val="single" w:sz="6" w:space="0" w:color="000000"/>
              <w:bottom w:val="single" w:sz="6" w:space="0" w:color="000000"/>
              <w:right w:val="single" w:sz="6" w:space="0" w:color="000000"/>
            </w:tcBorders>
            <w:shd w:val="clear" w:color="auto" w:fill="FF0000"/>
            <w:tcMar>
              <w:top w:w="100" w:type="dxa"/>
              <w:left w:w="100" w:type="dxa"/>
              <w:bottom w:w="100" w:type="dxa"/>
              <w:right w:w="100" w:type="dxa"/>
            </w:tcMar>
            <w:vAlign w:val="center"/>
          </w:tcPr>
          <w:p w14:paraId="289DAA5E" w14:textId="77777777" w:rsidR="00C6366A" w:rsidRDefault="007D2333">
            <w:pPr>
              <w:spacing w:line="360" w:lineRule="auto"/>
              <w:rPr>
                <w:rFonts w:ascii="Times New Roman" w:eastAsia="Times New Roman" w:hAnsi="Times New Roman" w:cs="Times New Roman"/>
                <w:b/>
                <w:color w:val="FFFFFF"/>
                <w:sz w:val="24"/>
                <w:szCs w:val="24"/>
              </w:rPr>
            </w:pPr>
            <w:r>
              <w:rPr>
                <w:rFonts w:ascii="Times New Roman" w:eastAsia="Times New Roman" w:hAnsi="Times New Roman" w:cs="Times New Roman"/>
                <w:b/>
                <w:color w:val="FFFFFF"/>
                <w:sz w:val="24"/>
                <w:szCs w:val="24"/>
              </w:rPr>
              <w:t>Contractors/Suppliers</w:t>
            </w:r>
          </w:p>
        </w:tc>
        <w:tc>
          <w:tcPr>
            <w:tcW w:w="1710" w:type="dxa"/>
            <w:tcBorders>
              <w:top w:val="single" w:sz="6" w:space="0" w:color="000000"/>
              <w:left w:val="single" w:sz="6" w:space="0" w:color="000000"/>
              <w:bottom w:val="single" w:sz="6" w:space="0" w:color="000000"/>
              <w:right w:val="single" w:sz="6" w:space="0" w:color="000000"/>
            </w:tcBorders>
            <w:shd w:val="clear" w:color="auto" w:fill="FCE5CD"/>
            <w:tcMar>
              <w:top w:w="100" w:type="dxa"/>
              <w:left w:w="100" w:type="dxa"/>
              <w:bottom w:w="100" w:type="dxa"/>
              <w:right w:w="100" w:type="dxa"/>
            </w:tcMar>
            <w:vAlign w:val="center"/>
          </w:tcPr>
          <w:p w14:paraId="439DA7CC" w14:textId="77777777" w:rsidR="00C6366A" w:rsidRDefault="007D233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Project Execution</w:t>
            </w:r>
          </w:p>
        </w:tc>
        <w:tc>
          <w:tcPr>
            <w:tcW w:w="2235" w:type="dxa"/>
            <w:tcBorders>
              <w:top w:val="single" w:sz="6" w:space="0" w:color="000000"/>
              <w:left w:val="single" w:sz="6" w:space="0" w:color="000000"/>
              <w:bottom w:val="single" w:sz="6" w:space="0" w:color="000000"/>
              <w:right w:val="single" w:sz="6" w:space="0" w:color="000000"/>
            </w:tcBorders>
            <w:shd w:val="clear" w:color="auto" w:fill="FCE5CD"/>
            <w:tcMar>
              <w:top w:w="100" w:type="dxa"/>
              <w:left w:w="100" w:type="dxa"/>
              <w:bottom w:w="100" w:type="dxa"/>
              <w:right w:w="100" w:type="dxa"/>
            </w:tcMar>
            <w:vAlign w:val="center"/>
          </w:tcPr>
          <w:p w14:paraId="123B1A2C" w14:textId="77777777" w:rsidR="00C6366A" w:rsidRDefault="007D233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Collaborative approaches and quality control.</w:t>
            </w:r>
          </w:p>
        </w:tc>
        <w:tc>
          <w:tcPr>
            <w:tcW w:w="2790" w:type="dxa"/>
            <w:tcBorders>
              <w:top w:val="single" w:sz="6" w:space="0" w:color="000000"/>
              <w:left w:val="single" w:sz="6" w:space="0" w:color="000000"/>
              <w:bottom w:val="single" w:sz="6" w:space="0" w:color="000000"/>
              <w:right w:val="single" w:sz="6" w:space="0" w:color="000000"/>
            </w:tcBorders>
            <w:shd w:val="clear" w:color="auto" w:fill="FCE5CD"/>
            <w:tcMar>
              <w:top w:w="100" w:type="dxa"/>
              <w:left w:w="100" w:type="dxa"/>
              <w:bottom w:w="100" w:type="dxa"/>
              <w:right w:w="100" w:type="dxa"/>
            </w:tcMar>
            <w:vAlign w:val="center"/>
          </w:tcPr>
          <w:p w14:paraId="0067D464" w14:textId="77777777" w:rsidR="00C6366A" w:rsidRDefault="007D233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Opportunity: Enhanced project performance.</w:t>
            </w:r>
          </w:p>
        </w:tc>
      </w:tr>
      <w:tr w:rsidR="00C6366A" w14:paraId="0E3C3EF8" w14:textId="77777777">
        <w:trPr>
          <w:trHeight w:val="1055"/>
        </w:trPr>
        <w:tc>
          <w:tcPr>
            <w:tcW w:w="2625" w:type="dxa"/>
            <w:tcBorders>
              <w:top w:val="single" w:sz="6" w:space="0" w:color="000000"/>
              <w:left w:val="single" w:sz="6" w:space="0" w:color="000000"/>
              <w:bottom w:val="single" w:sz="6" w:space="0" w:color="000000"/>
              <w:right w:val="single" w:sz="6" w:space="0" w:color="000000"/>
            </w:tcBorders>
            <w:shd w:val="clear" w:color="auto" w:fill="FF0000"/>
            <w:tcMar>
              <w:top w:w="100" w:type="dxa"/>
              <w:left w:w="100" w:type="dxa"/>
              <w:bottom w:w="100" w:type="dxa"/>
              <w:right w:w="100" w:type="dxa"/>
            </w:tcMar>
            <w:vAlign w:val="center"/>
          </w:tcPr>
          <w:p w14:paraId="375CFF11" w14:textId="77777777" w:rsidR="00C6366A" w:rsidRDefault="007D2333">
            <w:pPr>
              <w:spacing w:line="360" w:lineRule="auto"/>
              <w:rPr>
                <w:rFonts w:ascii="Times New Roman" w:eastAsia="Times New Roman" w:hAnsi="Times New Roman" w:cs="Times New Roman"/>
                <w:b/>
                <w:color w:val="FFFFFF"/>
                <w:sz w:val="24"/>
                <w:szCs w:val="24"/>
              </w:rPr>
            </w:pPr>
            <w:r>
              <w:rPr>
                <w:rFonts w:ascii="Times New Roman" w:eastAsia="Times New Roman" w:hAnsi="Times New Roman" w:cs="Times New Roman"/>
                <w:b/>
                <w:color w:val="FFFFFF"/>
                <w:sz w:val="24"/>
                <w:szCs w:val="24"/>
              </w:rPr>
              <w:t>Investors/Shareholders</w:t>
            </w:r>
          </w:p>
        </w:tc>
        <w:tc>
          <w:tcPr>
            <w:tcW w:w="1710" w:type="dxa"/>
            <w:tcBorders>
              <w:top w:val="single" w:sz="6" w:space="0" w:color="000000"/>
              <w:left w:val="single" w:sz="6" w:space="0" w:color="000000"/>
              <w:bottom w:val="single" w:sz="6" w:space="0" w:color="000000"/>
              <w:right w:val="single" w:sz="6" w:space="0" w:color="000000"/>
            </w:tcBorders>
            <w:shd w:val="clear" w:color="auto" w:fill="FCE5CD"/>
            <w:tcMar>
              <w:top w:w="100" w:type="dxa"/>
              <w:left w:w="100" w:type="dxa"/>
              <w:bottom w:w="100" w:type="dxa"/>
              <w:right w:w="100" w:type="dxa"/>
            </w:tcMar>
            <w:vAlign w:val="center"/>
          </w:tcPr>
          <w:p w14:paraId="05B20B57" w14:textId="77777777" w:rsidR="00C6366A" w:rsidRDefault="007D233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Financial Stake</w:t>
            </w:r>
          </w:p>
        </w:tc>
        <w:tc>
          <w:tcPr>
            <w:tcW w:w="2235" w:type="dxa"/>
            <w:tcBorders>
              <w:top w:val="single" w:sz="6" w:space="0" w:color="000000"/>
              <w:left w:val="single" w:sz="6" w:space="0" w:color="000000"/>
              <w:bottom w:val="single" w:sz="6" w:space="0" w:color="000000"/>
              <w:right w:val="single" w:sz="6" w:space="0" w:color="000000"/>
            </w:tcBorders>
            <w:shd w:val="clear" w:color="auto" w:fill="FCE5CD"/>
            <w:tcMar>
              <w:top w:w="100" w:type="dxa"/>
              <w:left w:w="100" w:type="dxa"/>
              <w:bottom w:w="100" w:type="dxa"/>
              <w:right w:w="100" w:type="dxa"/>
            </w:tcMar>
            <w:vAlign w:val="center"/>
          </w:tcPr>
          <w:p w14:paraId="1A69CC1E" w14:textId="77777777" w:rsidR="00C6366A" w:rsidRDefault="007D233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Periodic financial and progress reports.</w:t>
            </w:r>
          </w:p>
        </w:tc>
        <w:tc>
          <w:tcPr>
            <w:tcW w:w="2790" w:type="dxa"/>
            <w:tcBorders>
              <w:top w:val="single" w:sz="6" w:space="0" w:color="000000"/>
              <w:left w:val="single" w:sz="6" w:space="0" w:color="000000"/>
              <w:bottom w:val="single" w:sz="6" w:space="0" w:color="000000"/>
              <w:right w:val="single" w:sz="6" w:space="0" w:color="000000"/>
            </w:tcBorders>
            <w:shd w:val="clear" w:color="auto" w:fill="FCE5CD"/>
            <w:tcMar>
              <w:top w:w="100" w:type="dxa"/>
              <w:left w:w="100" w:type="dxa"/>
              <w:bottom w:w="100" w:type="dxa"/>
              <w:right w:w="100" w:type="dxa"/>
            </w:tcMar>
            <w:vAlign w:val="center"/>
          </w:tcPr>
          <w:p w14:paraId="67C8679F" w14:textId="77777777" w:rsidR="00C6366A" w:rsidRDefault="007D233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Challenge: Meeting financial expectations.</w:t>
            </w:r>
          </w:p>
        </w:tc>
      </w:tr>
    </w:tbl>
    <w:p w14:paraId="38485B67" w14:textId="77777777" w:rsidR="00C6366A" w:rsidRDefault="00C6366A">
      <w:pPr>
        <w:spacing w:after="200" w:line="360" w:lineRule="auto"/>
        <w:jc w:val="both"/>
        <w:rPr>
          <w:rFonts w:ascii="Times New Roman" w:eastAsia="Times New Roman" w:hAnsi="Times New Roman" w:cs="Times New Roman"/>
          <w:sz w:val="24"/>
          <w:szCs w:val="24"/>
        </w:rPr>
      </w:pPr>
    </w:p>
    <w:p w14:paraId="4AE757CF" w14:textId="77777777" w:rsidR="00C6366A" w:rsidRDefault="007D2333">
      <w:pPr>
        <w:pStyle w:val="Heading1"/>
      </w:pPr>
      <w:bookmarkStart w:id="7" w:name="_5wivxacgf9gg" w:colFirst="0" w:colLast="0"/>
      <w:bookmarkEnd w:id="7"/>
      <w:r>
        <w:t>VI. Risk Factors</w:t>
      </w:r>
    </w:p>
    <w:p w14:paraId="28206E6D" w14:textId="2ABD2E04" w:rsidR="00C6366A" w:rsidRDefault="007D2333">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Numerous possible dangers might affect the Google Headquarters Project in London's successful completion and operation. Difficulties with regulations and permits are one major danger. It may be difficult and time-consuming to get the required permissions and licenses from local authorities, which might cause delays and higher expenses. Unexpected site circumstances or design changes are examples of construction-related risks. These may result in project delays and cost overruns. Additional risks include market and economic volatility, which may have a long-term impact on project funding and office </w:t>
      </w:r>
      <w:r>
        <w:rPr>
          <w:rFonts w:ascii="Times New Roman" w:eastAsia="Times New Roman" w:hAnsi="Times New Roman" w:cs="Times New Roman"/>
          <w:b/>
          <w:i/>
          <w:sz w:val="24"/>
          <w:szCs w:val="24"/>
        </w:rPr>
        <w:t>space demand.</w:t>
      </w:r>
      <w:r>
        <w:rPr>
          <w:rFonts w:ascii="Times New Roman" w:eastAsia="Times New Roman" w:hAnsi="Times New Roman" w:cs="Times New Roman"/>
          <w:sz w:val="24"/>
          <w:szCs w:val="24"/>
        </w:rPr>
        <w:t xml:space="preserve"> Weather-related issues, for example, have the potential to impede construction efforts and cause delays in the project's completion date (Durdyev and Hosseini, 2020). Finally, hazards associated with the personnel, like disagreements or labor shortages, might hinder the pace of </w:t>
      </w:r>
      <w:r w:rsidR="00FE3DB9">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building. To handle these possible risks proactively and guarantee the successful completion of the Google Headquarters Project, mitigation techniques, backup plans, and continuous risk assessment are essential.</w:t>
      </w:r>
    </w:p>
    <w:p w14:paraId="7F391759" w14:textId="2A87EB09" w:rsidR="00C6366A" w:rsidRDefault="007D2333">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certain possible dangers associated with the Google Headquarters Project in </w:t>
      </w:r>
      <w:r>
        <w:rPr>
          <w:rFonts w:ascii="Times New Roman" w:eastAsia="Times New Roman" w:hAnsi="Times New Roman" w:cs="Times New Roman"/>
          <w:b/>
          <w:i/>
          <w:sz w:val="24"/>
          <w:szCs w:val="24"/>
        </w:rPr>
        <w:t xml:space="preserve">London, </w:t>
      </w:r>
      <w:r>
        <w:rPr>
          <w:rFonts w:ascii="Times New Roman" w:eastAsia="Times New Roman" w:hAnsi="Times New Roman" w:cs="Times New Roman"/>
          <w:sz w:val="24"/>
          <w:szCs w:val="24"/>
        </w:rPr>
        <w:t>and it is critical to comprehend how these risks may affect the project's outcome. First and foremost, issues with permits and regulations may have far-reaching effects. Permit delays or rejections might cause the project's timetable to be disrupted, increasing costs and missing opportunities (</w:t>
      </w:r>
      <w:r w:rsidR="00FE3DB9">
        <w:rPr>
          <w:rFonts w:ascii="Times New Roman" w:eastAsia="Times New Roman" w:hAnsi="Times New Roman" w:cs="Times New Roman"/>
          <w:sz w:val="24"/>
          <w:szCs w:val="24"/>
        </w:rPr>
        <w:t>Rashid, 2020</w:t>
      </w:r>
      <w:r>
        <w:rPr>
          <w:rFonts w:ascii="Times New Roman" w:eastAsia="Times New Roman" w:hAnsi="Times New Roman" w:cs="Times New Roman"/>
          <w:sz w:val="24"/>
          <w:szCs w:val="24"/>
        </w:rPr>
        <w:t xml:space="preserve">). Unforeseen occurrences like bad weather, </w:t>
      </w:r>
      <w:r w:rsidR="0011406E">
        <w:rPr>
          <w:rFonts w:ascii="Times New Roman" w:eastAsia="Times New Roman" w:hAnsi="Times New Roman" w:cs="Times New Roman"/>
          <w:sz w:val="24"/>
          <w:szCs w:val="24"/>
        </w:rPr>
        <w:t>labour</w:t>
      </w:r>
      <w:r>
        <w:rPr>
          <w:rFonts w:ascii="Times New Roman" w:eastAsia="Times New Roman" w:hAnsi="Times New Roman" w:cs="Times New Roman"/>
          <w:sz w:val="24"/>
          <w:szCs w:val="24"/>
        </w:rPr>
        <w:t xml:space="preserve"> strikes, or supply chain interruptions may present a serious risk. Delays in construction, rising expenses, and possible quality problems might result from this. Variations in the economy, such as shifts in material pricing or currency rates, might </w:t>
      </w:r>
      <w:r w:rsidR="0011406E">
        <w:rPr>
          <w:rFonts w:ascii="Times New Roman" w:eastAsia="Times New Roman" w:hAnsi="Times New Roman" w:cs="Times New Roman"/>
          <w:sz w:val="24"/>
          <w:szCs w:val="24"/>
        </w:rPr>
        <w:t>affect</w:t>
      </w:r>
      <w:r>
        <w:rPr>
          <w:rFonts w:ascii="Times New Roman" w:eastAsia="Times New Roman" w:hAnsi="Times New Roman" w:cs="Times New Roman"/>
          <w:sz w:val="24"/>
          <w:szCs w:val="24"/>
        </w:rPr>
        <w:t xml:space="preserve"> the project's financial </w:t>
      </w:r>
      <w:proofErr w:type="gramStart"/>
      <w:r>
        <w:rPr>
          <w:rFonts w:ascii="Times New Roman" w:eastAsia="Times New Roman" w:hAnsi="Times New Roman" w:cs="Times New Roman"/>
          <w:sz w:val="24"/>
          <w:szCs w:val="24"/>
        </w:rPr>
        <w:t>sustainability</w:t>
      </w:r>
      <w:proofErr w:type="gramEnd"/>
      <w:r>
        <w:rPr>
          <w:rFonts w:ascii="Times New Roman" w:eastAsia="Times New Roman" w:hAnsi="Times New Roman" w:cs="Times New Roman"/>
          <w:sz w:val="24"/>
          <w:szCs w:val="24"/>
        </w:rPr>
        <w:t xml:space="preserve"> and may call for preventative mitigation. In addition, project management risks including scope modifications and poor risk management may cause delays and budget overruns. It is essential to address these risks as soon as possible </w:t>
      </w:r>
      <w:r w:rsidR="00CB5741">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maintain the project's timeliness, quality, and budget.</w:t>
      </w:r>
    </w:p>
    <w:p w14:paraId="4C41A3AC" w14:textId="3FFA7E7D" w:rsidR="00C6366A" w:rsidRDefault="0054394F">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w:t>
      </w:r>
      <w:r w:rsidR="007D2333">
        <w:rPr>
          <w:rFonts w:ascii="Times New Roman" w:eastAsia="Times New Roman" w:hAnsi="Times New Roman" w:cs="Times New Roman"/>
          <w:sz w:val="24"/>
          <w:szCs w:val="24"/>
        </w:rPr>
        <w:t xml:space="preserve"> anticipate problems and guarantee project success, risk mitigation techniques and backup plans are essential parts of the Google Headquarters Project in London. </w:t>
      </w:r>
      <w:r>
        <w:rPr>
          <w:rFonts w:ascii="Times New Roman" w:eastAsia="Times New Roman" w:hAnsi="Times New Roman" w:cs="Times New Roman"/>
          <w:sz w:val="24"/>
          <w:szCs w:val="24"/>
        </w:rPr>
        <w:t>To</w:t>
      </w:r>
      <w:r w:rsidR="007D2333">
        <w:rPr>
          <w:rFonts w:ascii="Times New Roman" w:eastAsia="Times New Roman" w:hAnsi="Times New Roman" w:cs="Times New Roman"/>
          <w:sz w:val="24"/>
          <w:szCs w:val="24"/>
        </w:rPr>
        <w:t xml:space="preserve"> reduce the possibility of budget overruns, a thorough cost control system that includes strict change order approval procedures and </w:t>
      </w:r>
      <w:r w:rsidR="007D2333">
        <w:rPr>
          <w:rFonts w:ascii="Times New Roman" w:eastAsia="Times New Roman" w:hAnsi="Times New Roman" w:cs="Times New Roman"/>
          <w:b/>
          <w:i/>
          <w:sz w:val="24"/>
          <w:szCs w:val="24"/>
        </w:rPr>
        <w:t xml:space="preserve">frequent financial reporting </w:t>
      </w:r>
      <w:r w:rsidR="007D2333">
        <w:rPr>
          <w:rFonts w:ascii="Times New Roman" w:eastAsia="Times New Roman" w:hAnsi="Times New Roman" w:cs="Times New Roman"/>
          <w:sz w:val="24"/>
          <w:szCs w:val="24"/>
        </w:rPr>
        <w:t xml:space="preserve">will be put in place. This will assist in keeping a careful eye on spending and avoiding unexpected expense increases. A clear project plan with buffer times built in for important tasks will be created to prevent project delays (Andiyan </w:t>
      </w:r>
      <w:r w:rsidR="007D2333">
        <w:rPr>
          <w:rFonts w:ascii="Times New Roman" w:eastAsia="Times New Roman" w:hAnsi="Times New Roman" w:cs="Times New Roman"/>
          <w:i/>
          <w:sz w:val="24"/>
          <w:szCs w:val="24"/>
        </w:rPr>
        <w:t>et al</w:t>
      </w:r>
      <w:r w:rsidR="007D2333">
        <w:rPr>
          <w:rFonts w:ascii="Times New Roman" w:eastAsia="Times New Roman" w:hAnsi="Times New Roman" w:cs="Times New Roman"/>
          <w:sz w:val="24"/>
          <w:szCs w:val="24"/>
        </w:rPr>
        <w:t xml:space="preserve">., 2021). This plan will enable prompt problem-solving to keep the project on track and flexibility in the event of unforeseen </w:t>
      </w:r>
      <w:r w:rsidR="00FE3DB9">
        <w:rPr>
          <w:rFonts w:ascii="Times New Roman" w:eastAsia="Times New Roman" w:hAnsi="Times New Roman" w:cs="Times New Roman"/>
          <w:sz w:val="24"/>
          <w:szCs w:val="24"/>
        </w:rPr>
        <w:t>setbacks.</w:t>
      </w:r>
      <w:r w:rsidR="007D2333">
        <w:rPr>
          <w:rFonts w:ascii="Times New Roman" w:eastAsia="Times New Roman" w:hAnsi="Times New Roman" w:cs="Times New Roman"/>
          <w:sz w:val="24"/>
          <w:szCs w:val="24"/>
        </w:rPr>
        <w:t xml:space="preserve"> To maintain the intended level of quality during construction, quality control procedures include regular inspections, quality assurance testing, and adherence to industry standards. </w:t>
      </w:r>
      <w:r w:rsidR="00CB5741">
        <w:rPr>
          <w:rFonts w:ascii="Times New Roman" w:eastAsia="Times New Roman" w:hAnsi="Times New Roman" w:cs="Times New Roman"/>
          <w:sz w:val="24"/>
          <w:szCs w:val="24"/>
        </w:rPr>
        <w:t>To</w:t>
      </w:r>
      <w:r w:rsidR="007D2333">
        <w:rPr>
          <w:rFonts w:ascii="Times New Roman" w:eastAsia="Times New Roman" w:hAnsi="Times New Roman" w:cs="Times New Roman"/>
          <w:sz w:val="24"/>
          <w:szCs w:val="24"/>
        </w:rPr>
        <w:t xml:space="preserve"> guarantee that project goals are fulfilled, any departures from quality standards will immediately result in remedial action. </w:t>
      </w:r>
    </w:p>
    <w:tbl>
      <w:tblPr>
        <w:tblStyle w:val="a1"/>
        <w:tblW w:w="9360" w:type="dxa"/>
        <w:tblBorders>
          <w:top w:val="nil"/>
          <w:left w:val="nil"/>
          <w:bottom w:val="nil"/>
          <w:right w:val="nil"/>
          <w:insideH w:val="nil"/>
          <w:insideV w:val="nil"/>
        </w:tblBorders>
        <w:tblLayout w:type="fixed"/>
        <w:tblLook w:val="0600" w:firstRow="0" w:lastRow="0" w:firstColumn="0" w:lastColumn="0" w:noHBand="1" w:noVBand="1"/>
      </w:tblPr>
      <w:tblGrid>
        <w:gridCol w:w="2270"/>
        <w:gridCol w:w="7090"/>
      </w:tblGrid>
      <w:tr w:rsidR="00C6366A" w14:paraId="03EDC5C5" w14:textId="77777777">
        <w:trPr>
          <w:trHeight w:val="710"/>
        </w:trPr>
        <w:tc>
          <w:tcPr>
            <w:tcW w:w="2270" w:type="dxa"/>
            <w:tcBorders>
              <w:top w:val="single" w:sz="6" w:space="0" w:color="000000"/>
              <w:left w:val="single" w:sz="6" w:space="0" w:color="000000"/>
              <w:bottom w:val="single" w:sz="6" w:space="0" w:color="000000"/>
              <w:right w:val="single" w:sz="6" w:space="0" w:color="000000"/>
            </w:tcBorders>
            <w:shd w:val="clear" w:color="auto" w:fill="FFFF00"/>
            <w:tcMar>
              <w:top w:w="100" w:type="dxa"/>
              <w:left w:w="100" w:type="dxa"/>
              <w:bottom w:w="100" w:type="dxa"/>
              <w:right w:w="100" w:type="dxa"/>
            </w:tcMar>
            <w:vAlign w:val="bottom"/>
          </w:tcPr>
          <w:p w14:paraId="0D30DE5F" w14:textId="77777777" w:rsidR="00C6366A" w:rsidRDefault="007D233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Risk Factor</w:t>
            </w:r>
          </w:p>
        </w:tc>
        <w:tc>
          <w:tcPr>
            <w:tcW w:w="7089" w:type="dxa"/>
            <w:tcBorders>
              <w:top w:val="single" w:sz="6" w:space="0" w:color="000000"/>
              <w:left w:val="single" w:sz="6" w:space="0" w:color="000000"/>
              <w:bottom w:val="single" w:sz="6" w:space="0" w:color="000000"/>
              <w:right w:val="single" w:sz="6" w:space="0" w:color="000000"/>
            </w:tcBorders>
            <w:shd w:val="clear" w:color="auto" w:fill="FFFF00"/>
            <w:tcMar>
              <w:top w:w="100" w:type="dxa"/>
              <w:left w:w="100" w:type="dxa"/>
              <w:bottom w:w="100" w:type="dxa"/>
              <w:right w:w="100" w:type="dxa"/>
            </w:tcMar>
            <w:vAlign w:val="bottom"/>
          </w:tcPr>
          <w:p w14:paraId="26CF90AB" w14:textId="77777777" w:rsidR="00C6366A" w:rsidRDefault="007D233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Description</w:t>
            </w:r>
          </w:p>
        </w:tc>
      </w:tr>
      <w:tr w:rsidR="00C6366A" w14:paraId="74AAD20C" w14:textId="77777777">
        <w:trPr>
          <w:trHeight w:val="1055"/>
        </w:trPr>
        <w:tc>
          <w:tcPr>
            <w:tcW w:w="2270" w:type="dxa"/>
            <w:tcBorders>
              <w:top w:val="single" w:sz="6" w:space="0" w:color="000000"/>
              <w:left w:val="single" w:sz="6" w:space="0" w:color="000000"/>
              <w:bottom w:val="single" w:sz="6" w:space="0" w:color="000000"/>
              <w:right w:val="single" w:sz="6" w:space="0" w:color="000000"/>
            </w:tcBorders>
            <w:shd w:val="clear" w:color="auto" w:fill="00FF00"/>
            <w:tcMar>
              <w:top w:w="100" w:type="dxa"/>
              <w:left w:w="100" w:type="dxa"/>
              <w:bottom w:w="100" w:type="dxa"/>
              <w:right w:w="100" w:type="dxa"/>
            </w:tcMar>
            <w:vAlign w:val="center"/>
          </w:tcPr>
          <w:p w14:paraId="53C8BB48" w14:textId="77777777" w:rsidR="00C6366A" w:rsidRPr="0054394F" w:rsidRDefault="007D2333">
            <w:pPr>
              <w:spacing w:line="360" w:lineRule="auto"/>
              <w:rPr>
                <w:rFonts w:ascii="Times New Roman" w:eastAsia="Times New Roman" w:hAnsi="Times New Roman" w:cs="Times New Roman"/>
                <w:b/>
                <w:color w:val="000000" w:themeColor="text1"/>
                <w:sz w:val="24"/>
                <w:szCs w:val="24"/>
              </w:rPr>
            </w:pPr>
            <w:r w:rsidRPr="0054394F">
              <w:rPr>
                <w:rFonts w:ascii="Times New Roman" w:eastAsia="Times New Roman" w:hAnsi="Times New Roman" w:cs="Times New Roman"/>
                <w:b/>
                <w:color w:val="000000" w:themeColor="text1"/>
                <w:sz w:val="24"/>
                <w:szCs w:val="24"/>
              </w:rPr>
              <w:t>Budget Overruns</w:t>
            </w:r>
          </w:p>
        </w:tc>
        <w:tc>
          <w:tcPr>
            <w:tcW w:w="7089" w:type="dxa"/>
            <w:tcBorders>
              <w:top w:val="single" w:sz="6" w:space="0" w:color="000000"/>
              <w:left w:val="single" w:sz="6" w:space="0" w:color="000000"/>
              <w:bottom w:val="single" w:sz="6" w:space="0" w:color="000000"/>
              <w:right w:val="single" w:sz="6" w:space="0" w:color="000000"/>
            </w:tcBorders>
            <w:shd w:val="clear" w:color="auto" w:fill="FFF2CC"/>
            <w:tcMar>
              <w:top w:w="100" w:type="dxa"/>
              <w:left w:w="100" w:type="dxa"/>
              <w:bottom w:w="100" w:type="dxa"/>
              <w:right w:w="100" w:type="dxa"/>
            </w:tcMar>
            <w:vAlign w:val="center"/>
          </w:tcPr>
          <w:p w14:paraId="56C59325" w14:textId="77777777" w:rsidR="00C6366A" w:rsidRDefault="007D233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Potential for exceeding the allocated £1 billion budget due to unforeseen expenses or scope changes.</w:t>
            </w:r>
          </w:p>
        </w:tc>
      </w:tr>
      <w:tr w:rsidR="00C6366A" w14:paraId="4A6A787D" w14:textId="77777777">
        <w:trPr>
          <w:trHeight w:val="1055"/>
        </w:trPr>
        <w:tc>
          <w:tcPr>
            <w:tcW w:w="2270" w:type="dxa"/>
            <w:tcBorders>
              <w:top w:val="single" w:sz="6" w:space="0" w:color="000000"/>
              <w:left w:val="single" w:sz="6" w:space="0" w:color="000000"/>
              <w:bottom w:val="single" w:sz="6" w:space="0" w:color="000000"/>
              <w:right w:val="single" w:sz="6" w:space="0" w:color="000000"/>
            </w:tcBorders>
            <w:shd w:val="clear" w:color="auto" w:fill="00FF00"/>
            <w:tcMar>
              <w:top w:w="100" w:type="dxa"/>
              <w:left w:w="100" w:type="dxa"/>
              <w:bottom w:w="100" w:type="dxa"/>
              <w:right w:w="100" w:type="dxa"/>
            </w:tcMar>
            <w:vAlign w:val="center"/>
          </w:tcPr>
          <w:p w14:paraId="58490DDE" w14:textId="77777777" w:rsidR="00C6366A" w:rsidRPr="0054394F" w:rsidRDefault="007D2333">
            <w:pPr>
              <w:spacing w:line="360" w:lineRule="auto"/>
              <w:rPr>
                <w:rFonts w:ascii="Times New Roman" w:eastAsia="Times New Roman" w:hAnsi="Times New Roman" w:cs="Times New Roman"/>
                <w:b/>
                <w:color w:val="000000" w:themeColor="text1"/>
                <w:sz w:val="24"/>
                <w:szCs w:val="24"/>
              </w:rPr>
            </w:pPr>
            <w:r w:rsidRPr="0054394F">
              <w:rPr>
                <w:rFonts w:ascii="Times New Roman" w:eastAsia="Times New Roman" w:hAnsi="Times New Roman" w:cs="Times New Roman"/>
                <w:b/>
                <w:color w:val="000000" w:themeColor="text1"/>
                <w:sz w:val="24"/>
                <w:szCs w:val="24"/>
              </w:rPr>
              <w:t>Project Delays</w:t>
            </w:r>
          </w:p>
        </w:tc>
        <w:tc>
          <w:tcPr>
            <w:tcW w:w="7089" w:type="dxa"/>
            <w:tcBorders>
              <w:top w:val="single" w:sz="6" w:space="0" w:color="000000"/>
              <w:left w:val="single" w:sz="6" w:space="0" w:color="000000"/>
              <w:bottom w:val="single" w:sz="6" w:space="0" w:color="000000"/>
              <w:right w:val="single" w:sz="6" w:space="0" w:color="000000"/>
            </w:tcBorders>
            <w:shd w:val="clear" w:color="auto" w:fill="FFF2CC"/>
            <w:tcMar>
              <w:top w:w="100" w:type="dxa"/>
              <w:left w:w="100" w:type="dxa"/>
              <w:bottom w:w="100" w:type="dxa"/>
              <w:right w:w="100" w:type="dxa"/>
            </w:tcMar>
            <w:vAlign w:val="center"/>
          </w:tcPr>
          <w:p w14:paraId="05A5F311" w14:textId="77777777" w:rsidR="00C6366A" w:rsidRDefault="007D233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Risk of delays in construction, design, or regulatory approvals, impacting the project's timeline.</w:t>
            </w:r>
          </w:p>
        </w:tc>
      </w:tr>
      <w:tr w:rsidR="00C6366A" w14:paraId="63C21E8A" w14:textId="77777777">
        <w:trPr>
          <w:trHeight w:val="1055"/>
        </w:trPr>
        <w:tc>
          <w:tcPr>
            <w:tcW w:w="2270" w:type="dxa"/>
            <w:tcBorders>
              <w:top w:val="single" w:sz="6" w:space="0" w:color="000000"/>
              <w:left w:val="single" w:sz="6" w:space="0" w:color="000000"/>
              <w:bottom w:val="single" w:sz="6" w:space="0" w:color="000000"/>
              <w:right w:val="single" w:sz="6" w:space="0" w:color="000000"/>
            </w:tcBorders>
            <w:shd w:val="clear" w:color="auto" w:fill="00FF00"/>
            <w:tcMar>
              <w:top w:w="100" w:type="dxa"/>
              <w:left w:w="100" w:type="dxa"/>
              <w:bottom w:w="100" w:type="dxa"/>
              <w:right w:w="100" w:type="dxa"/>
            </w:tcMar>
            <w:vAlign w:val="center"/>
          </w:tcPr>
          <w:p w14:paraId="719D3EC8" w14:textId="77777777" w:rsidR="00C6366A" w:rsidRPr="0054394F" w:rsidRDefault="007D2333">
            <w:pPr>
              <w:spacing w:line="360" w:lineRule="auto"/>
              <w:rPr>
                <w:rFonts w:ascii="Times New Roman" w:eastAsia="Times New Roman" w:hAnsi="Times New Roman" w:cs="Times New Roman"/>
                <w:b/>
                <w:color w:val="000000" w:themeColor="text1"/>
                <w:sz w:val="24"/>
                <w:szCs w:val="24"/>
              </w:rPr>
            </w:pPr>
            <w:r w:rsidRPr="0054394F">
              <w:rPr>
                <w:rFonts w:ascii="Times New Roman" w:eastAsia="Times New Roman" w:hAnsi="Times New Roman" w:cs="Times New Roman"/>
                <w:b/>
                <w:color w:val="000000" w:themeColor="text1"/>
                <w:sz w:val="24"/>
                <w:szCs w:val="24"/>
              </w:rPr>
              <w:t>Quality Control</w:t>
            </w:r>
          </w:p>
        </w:tc>
        <w:tc>
          <w:tcPr>
            <w:tcW w:w="7089" w:type="dxa"/>
            <w:tcBorders>
              <w:top w:val="single" w:sz="6" w:space="0" w:color="000000"/>
              <w:left w:val="single" w:sz="6" w:space="0" w:color="000000"/>
              <w:bottom w:val="single" w:sz="6" w:space="0" w:color="000000"/>
              <w:right w:val="single" w:sz="6" w:space="0" w:color="000000"/>
            </w:tcBorders>
            <w:shd w:val="clear" w:color="auto" w:fill="FFF2CC"/>
            <w:tcMar>
              <w:top w:w="100" w:type="dxa"/>
              <w:left w:w="100" w:type="dxa"/>
              <w:bottom w:w="100" w:type="dxa"/>
              <w:right w:w="100" w:type="dxa"/>
            </w:tcMar>
            <w:vAlign w:val="center"/>
          </w:tcPr>
          <w:p w14:paraId="387E63A9" w14:textId="77777777" w:rsidR="00C6366A" w:rsidRDefault="007D233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Risk of subpar quality in construction, design, or amenities, affecting user satisfaction and project reputation.</w:t>
            </w:r>
          </w:p>
        </w:tc>
      </w:tr>
      <w:tr w:rsidR="00C6366A" w14:paraId="2813015D" w14:textId="77777777">
        <w:trPr>
          <w:trHeight w:val="1055"/>
        </w:trPr>
        <w:tc>
          <w:tcPr>
            <w:tcW w:w="2270" w:type="dxa"/>
            <w:tcBorders>
              <w:top w:val="single" w:sz="6" w:space="0" w:color="000000"/>
              <w:left w:val="single" w:sz="6" w:space="0" w:color="000000"/>
              <w:bottom w:val="single" w:sz="6" w:space="0" w:color="000000"/>
              <w:right w:val="single" w:sz="6" w:space="0" w:color="000000"/>
            </w:tcBorders>
            <w:shd w:val="clear" w:color="auto" w:fill="00FF00"/>
            <w:tcMar>
              <w:top w:w="100" w:type="dxa"/>
              <w:left w:w="100" w:type="dxa"/>
              <w:bottom w:w="100" w:type="dxa"/>
              <w:right w:w="100" w:type="dxa"/>
            </w:tcMar>
            <w:vAlign w:val="center"/>
          </w:tcPr>
          <w:p w14:paraId="291A6D4D" w14:textId="77777777" w:rsidR="00C6366A" w:rsidRPr="0054394F" w:rsidRDefault="007D2333">
            <w:pPr>
              <w:spacing w:line="360" w:lineRule="auto"/>
              <w:rPr>
                <w:rFonts w:ascii="Times New Roman" w:eastAsia="Times New Roman" w:hAnsi="Times New Roman" w:cs="Times New Roman"/>
                <w:b/>
                <w:color w:val="000000" w:themeColor="text1"/>
                <w:sz w:val="24"/>
                <w:szCs w:val="24"/>
              </w:rPr>
            </w:pPr>
            <w:r w:rsidRPr="0054394F">
              <w:rPr>
                <w:rFonts w:ascii="Times New Roman" w:eastAsia="Times New Roman" w:hAnsi="Times New Roman" w:cs="Times New Roman"/>
                <w:b/>
                <w:color w:val="000000" w:themeColor="text1"/>
                <w:sz w:val="24"/>
                <w:szCs w:val="24"/>
              </w:rPr>
              <w:t>Stakeholder Disputes</w:t>
            </w:r>
          </w:p>
        </w:tc>
        <w:tc>
          <w:tcPr>
            <w:tcW w:w="7089" w:type="dxa"/>
            <w:tcBorders>
              <w:top w:val="single" w:sz="6" w:space="0" w:color="000000"/>
              <w:left w:val="single" w:sz="6" w:space="0" w:color="000000"/>
              <w:bottom w:val="single" w:sz="6" w:space="0" w:color="000000"/>
              <w:right w:val="single" w:sz="6" w:space="0" w:color="000000"/>
            </w:tcBorders>
            <w:shd w:val="clear" w:color="auto" w:fill="FFF2CC"/>
            <w:tcMar>
              <w:top w:w="100" w:type="dxa"/>
              <w:left w:w="100" w:type="dxa"/>
              <w:bottom w:w="100" w:type="dxa"/>
              <w:right w:w="100" w:type="dxa"/>
            </w:tcMar>
            <w:vAlign w:val="center"/>
          </w:tcPr>
          <w:p w14:paraId="75DFDC4A" w14:textId="77777777" w:rsidR="00C6366A" w:rsidRDefault="007D233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Potential conflicts with stakeholders, including local authorities, employees, or the community.</w:t>
            </w:r>
          </w:p>
        </w:tc>
      </w:tr>
      <w:tr w:rsidR="00C6366A" w14:paraId="403C465E" w14:textId="77777777">
        <w:trPr>
          <w:trHeight w:val="1055"/>
        </w:trPr>
        <w:tc>
          <w:tcPr>
            <w:tcW w:w="2270" w:type="dxa"/>
            <w:tcBorders>
              <w:top w:val="single" w:sz="6" w:space="0" w:color="000000"/>
              <w:left w:val="single" w:sz="6" w:space="0" w:color="000000"/>
              <w:bottom w:val="single" w:sz="6" w:space="0" w:color="000000"/>
              <w:right w:val="single" w:sz="6" w:space="0" w:color="000000"/>
            </w:tcBorders>
            <w:shd w:val="clear" w:color="auto" w:fill="00FF00"/>
            <w:tcMar>
              <w:top w:w="100" w:type="dxa"/>
              <w:left w:w="100" w:type="dxa"/>
              <w:bottom w:w="100" w:type="dxa"/>
              <w:right w:w="100" w:type="dxa"/>
            </w:tcMar>
            <w:vAlign w:val="center"/>
          </w:tcPr>
          <w:p w14:paraId="7C2817A3" w14:textId="77777777" w:rsidR="00C6366A" w:rsidRPr="0054394F" w:rsidRDefault="007D2333">
            <w:pPr>
              <w:spacing w:line="360" w:lineRule="auto"/>
              <w:rPr>
                <w:rFonts w:ascii="Times New Roman" w:eastAsia="Times New Roman" w:hAnsi="Times New Roman" w:cs="Times New Roman"/>
                <w:b/>
                <w:color w:val="000000" w:themeColor="text1"/>
                <w:sz w:val="24"/>
                <w:szCs w:val="24"/>
              </w:rPr>
            </w:pPr>
            <w:r w:rsidRPr="0054394F">
              <w:rPr>
                <w:rFonts w:ascii="Times New Roman" w:eastAsia="Times New Roman" w:hAnsi="Times New Roman" w:cs="Times New Roman"/>
                <w:b/>
                <w:color w:val="000000" w:themeColor="text1"/>
                <w:sz w:val="24"/>
                <w:szCs w:val="24"/>
              </w:rPr>
              <w:t>Regulatory Compliance</w:t>
            </w:r>
          </w:p>
        </w:tc>
        <w:tc>
          <w:tcPr>
            <w:tcW w:w="7089" w:type="dxa"/>
            <w:tcBorders>
              <w:top w:val="single" w:sz="6" w:space="0" w:color="000000"/>
              <w:left w:val="single" w:sz="6" w:space="0" w:color="000000"/>
              <w:bottom w:val="single" w:sz="6" w:space="0" w:color="000000"/>
              <w:right w:val="single" w:sz="6" w:space="0" w:color="000000"/>
            </w:tcBorders>
            <w:shd w:val="clear" w:color="auto" w:fill="FFF2CC"/>
            <w:tcMar>
              <w:top w:w="100" w:type="dxa"/>
              <w:left w:w="100" w:type="dxa"/>
              <w:bottom w:w="100" w:type="dxa"/>
              <w:right w:w="100" w:type="dxa"/>
            </w:tcMar>
            <w:vAlign w:val="center"/>
          </w:tcPr>
          <w:p w14:paraId="291FB3AA" w14:textId="77777777" w:rsidR="00C6366A" w:rsidRDefault="007D233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Risks associated with navigating complex regulations, permits, and compliance requirements.</w:t>
            </w:r>
          </w:p>
        </w:tc>
      </w:tr>
      <w:tr w:rsidR="00C6366A" w14:paraId="1BC0F1D8" w14:textId="77777777">
        <w:trPr>
          <w:trHeight w:val="1055"/>
        </w:trPr>
        <w:tc>
          <w:tcPr>
            <w:tcW w:w="2270" w:type="dxa"/>
            <w:tcBorders>
              <w:top w:val="single" w:sz="6" w:space="0" w:color="000000"/>
              <w:left w:val="single" w:sz="6" w:space="0" w:color="000000"/>
              <w:bottom w:val="single" w:sz="6" w:space="0" w:color="000000"/>
              <w:right w:val="single" w:sz="6" w:space="0" w:color="000000"/>
            </w:tcBorders>
            <w:shd w:val="clear" w:color="auto" w:fill="00FF00"/>
            <w:tcMar>
              <w:top w:w="100" w:type="dxa"/>
              <w:left w:w="100" w:type="dxa"/>
              <w:bottom w:w="100" w:type="dxa"/>
              <w:right w:w="100" w:type="dxa"/>
            </w:tcMar>
            <w:vAlign w:val="center"/>
          </w:tcPr>
          <w:p w14:paraId="6364542C" w14:textId="77777777" w:rsidR="00C6366A" w:rsidRPr="0054394F" w:rsidRDefault="007D2333">
            <w:pPr>
              <w:spacing w:line="360" w:lineRule="auto"/>
              <w:rPr>
                <w:rFonts w:ascii="Times New Roman" w:eastAsia="Times New Roman" w:hAnsi="Times New Roman" w:cs="Times New Roman"/>
                <w:b/>
                <w:color w:val="000000" w:themeColor="text1"/>
                <w:sz w:val="24"/>
                <w:szCs w:val="24"/>
              </w:rPr>
            </w:pPr>
            <w:r w:rsidRPr="0054394F">
              <w:rPr>
                <w:rFonts w:ascii="Times New Roman" w:eastAsia="Times New Roman" w:hAnsi="Times New Roman" w:cs="Times New Roman"/>
                <w:b/>
                <w:color w:val="000000" w:themeColor="text1"/>
                <w:sz w:val="24"/>
                <w:szCs w:val="24"/>
              </w:rPr>
              <w:t>Economic Fluctuations</w:t>
            </w:r>
          </w:p>
        </w:tc>
        <w:tc>
          <w:tcPr>
            <w:tcW w:w="7089" w:type="dxa"/>
            <w:tcBorders>
              <w:top w:val="single" w:sz="6" w:space="0" w:color="000000"/>
              <w:left w:val="single" w:sz="6" w:space="0" w:color="000000"/>
              <w:bottom w:val="single" w:sz="6" w:space="0" w:color="000000"/>
              <w:right w:val="single" w:sz="6" w:space="0" w:color="000000"/>
            </w:tcBorders>
            <w:shd w:val="clear" w:color="auto" w:fill="FFF2CC"/>
            <w:tcMar>
              <w:top w:w="100" w:type="dxa"/>
              <w:left w:w="100" w:type="dxa"/>
              <w:bottom w:w="100" w:type="dxa"/>
              <w:right w:w="100" w:type="dxa"/>
            </w:tcMar>
            <w:vAlign w:val="center"/>
          </w:tcPr>
          <w:p w14:paraId="1AFDF587" w14:textId="77777777" w:rsidR="00C6366A" w:rsidRDefault="007D233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Exposure to economic downturns or fluctuations that could impact project financing and viability.</w:t>
            </w:r>
          </w:p>
        </w:tc>
      </w:tr>
      <w:tr w:rsidR="00C6366A" w14:paraId="28EE877C" w14:textId="77777777">
        <w:trPr>
          <w:trHeight w:val="1055"/>
        </w:trPr>
        <w:tc>
          <w:tcPr>
            <w:tcW w:w="2270" w:type="dxa"/>
            <w:tcBorders>
              <w:top w:val="single" w:sz="6" w:space="0" w:color="000000"/>
              <w:left w:val="single" w:sz="6" w:space="0" w:color="000000"/>
              <w:bottom w:val="single" w:sz="6" w:space="0" w:color="000000"/>
              <w:right w:val="single" w:sz="6" w:space="0" w:color="000000"/>
            </w:tcBorders>
            <w:shd w:val="clear" w:color="auto" w:fill="00FF00"/>
            <w:tcMar>
              <w:top w:w="100" w:type="dxa"/>
              <w:left w:w="100" w:type="dxa"/>
              <w:bottom w:w="100" w:type="dxa"/>
              <w:right w:w="100" w:type="dxa"/>
            </w:tcMar>
            <w:vAlign w:val="center"/>
          </w:tcPr>
          <w:p w14:paraId="540AAEFA" w14:textId="77777777" w:rsidR="00C6366A" w:rsidRPr="0054394F" w:rsidRDefault="007D2333">
            <w:pPr>
              <w:spacing w:line="360" w:lineRule="auto"/>
              <w:rPr>
                <w:rFonts w:ascii="Times New Roman" w:eastAsia="Times New Roman" w:hAnsi="Times New Roman" w:cs="Times New Roman"/>
                <w:b/>
                <w:color w:val="000000" w:themeColor="text1"/>
                <w:sz w:val="24"/>
                <w:szCs w:val="24"/>
              </w:rPr>
            </w:pPr>
            <w:r w:rsidRPr="0054394F">
              <w:rPr>
                <w:rFonts w:ascii="Times New Roman" w:eastAsia="Times New Roman" w:hAnsi="Times New Roman" w:cs="Times New Roman"/>
                <w:b/>
                <w:color w:val="000000" w:themeColor="text1"/>
                <w:sz w:val="24"/>
                <w:szCs w:val="24"/>
              </w:rPr>
              <w:t>Environmental Concerns</w:t>
            </w:r>
          </w:p>
        </w:tc>
        <w:tc>
          <w:tcPr>
            <w:tcW w:w="7089" w:type="dxa"/>
            <w:tcBorders>
              <w:top w:val="single" w:sz="6" w:space="0" w:color="000000"/>
              <w:left w:val="single" w:sz="6" w:space="0" w:color="000000"/>
              <w:bottom w:val="single" w:sz="6" w:space="0" w:color="000000"/>
              <w:right w:val="single" w:sz="6" w:space="0" w:color="000000"/>
            </w:tcBorders>
            <w:shd w:val="clear" w:color="auto" w:fill="FFF2CC"/>
            <w:tcMar>
              <w:top w:w="100" w:type="dxa"/>
              <w:left w:w="100" w:type="dxa"/>
              <w:bottom w:w="100" w:type="dxa"/>
              <w:right w:w="100" w:type="dxa"/>
            </w:tcMar>
            <w:vAlign w:val="center"/>
          </w:tcPr>
          <w:p w14:paraId="38E79FE9" w14:textId="77777777" w:rsidR="00C6366A" w:rsidRDefault="007D233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Potential environmental challenges or objections related to construction or sustainability goals.</w:t>
            </w:r>
          </w:p>
        </w:tc>
      </w:tr>
      <w:tr w:rsidR="00C6366A" w14:paraId="77E2C105" w14:textId="77777777">
        <w:trPr>
          <w:trHeight w:val="695"/>
        </w:trPr>
        <w:tc>
          <w:tcPr>
            <w:tcW w:w="2270" w:type="dxa"/>
            <w:tcBorders>
              <w:top w:val="single" w:sz="6" w:space="0" w:color="000000"/>
              <w:left w:val="single" w:sz="6" w:space="0" w:color="000000"/>
              <w:bottom w:val="single" w:sz="6" w:space="0" w:color="000000"/>
              <w:right w:val="single" w:sz="6" w:space="0" w:color="000000"/>
            </w:tcBorders>
            <w:shd w:val="clear" w:color="auto" w:fill="00FF00"/>
            <w:tcMar>
              <w:top w:w="100" w:type="dxa"/>
              <w:left w:w="100" w:type="dxa"/>
              <w:bottom w:w="100" w:type="dxa"/>
              <w:right w:w="100" w:type="dxa"/>
            </w:tcMar>
            <w:vAlign w:val="center"/>
          </w:tcPr>
          <w:p w14:paraId="61D071B8" w14:textId="77777777" w:rsidR="00C6366A" w:rsidRPr="0054394F" w:rsidRDefault="007D2333">
            <w:pPr>
              <w:spacing w:line="360" w:lineRule="auto"/>
              <w:rPr>
                <w:rFonts w:ascii="Times New Roman" w:eastAsia="Times New Roman" w:hAnsi="Times New Roman" w:cs="Times New Roman"/>
                <w:b/>
                <w:color w:val="000000" w:themeColor="text1"/>
                <w:sz w:val="24"/>
                <w:szCs w:val="24"/>
              </w:rPr>
            </w:pPr>
            <w:r w:rsidRPr="0054394F">
              <w:rPr>
                <w:rFonts w:ascii="Times New Roman" w:eastAsia="Times New Roman" w:hAnsi="Times New Roman" w:cs="Times New Roman"/>
                <w:b/>
                <w:color w:val="000000" w:themeColor="text1"/>
                <w:sz w:val="24"/>
                <w:szCs w:val="24"/>
              </w:rPr>
              <w:t>Unforeseen Events</w:t>
            </w:r>
          </w:p>
        </w:tc>
        <w:tc>
          <w:tcPr>
            <w:tcW w:w="7089" w:type="dxa"/>
            <w:tcBorders>
              <w:top w:val="single" w:sz="6" w:space="0" w:color="000000"/>
              <w:left w:val="single" w:sz="6" w:space="0" w:color="000000"/>
              <w:bottom w:val="single" w:sz="6" w:space="0" w:color="000000"/>
              <w:right w:val="single" w:sz="6" w:space="0" w:color="000000"/>
            </w:tcBorders>
            <w:shd w:val="clear" w:color="auto" w:fill="FFF2CC"/>
            <w:tcMar>
              <w:top w:w="100" w:type="dxa"/>
              <w:left w:w="100" w:type="dxa"/>
              <w:bottom w:w="100" w:type="dxa"/>
              <w:right w:w="100" w:type="dxa"/>
            </w:tcMar>
            <w:vAlign w:val="center"/>
          </w:tcPr>
          <w:p w14:paraId="14A7793C" w14:textId="77777777" w:rsidR="00C6366A" w:rsidRDefault="007D233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Risks from unexpected events such as natural disasters, accidents, or global crises.</w:t>
            </w:r>
          </w:p>
        </w:tc>
      </w:tr>
      <w:tr w:rsidR="00C6366A" w14:paraId="2CA1E33A" w14:textId="77777777">
        <w:trPr>
          <w:trHeight w:val="1055"/>
        </w:trPr>
        <w:tc>
          <w:tcPr>
            <w:tcW w:w="2270" w:type="dxa"/>
            <w:tcBorders>
              <w:top w:val="single" w:sz="6" w:space="0" w:color="000000"/>
              <w:left w:val="single" w:sz="6" w:space="0" w:color="000000"/>
              <w:bottom w:val="single" w:sz="6" w:space="0" w:color="000000"/>
              <w:right w:val="single" w:sz="6" w:space="0" w:color="000000"/>
            </w:tcBorders>
            <w:shd w:val="clear" w:color="auto" w:fill="00FF00"/>
            <w:tcMar>
              <w:top w:w="100" w:type="dxa"/>
              <w:left w:w="100" w:type="dxa"/>
              <w:bottom w:w="100" w:type="dxa"/>
              <w:right w:w="100" w:type="dxa"/>
            </w:tcMar>
            <w:vAlign w:val="center"/>
          </w:tcPr>
          <w:p w14:paraId="5113CEEE" w14:textId="77777777" w:rsidR="00C6366A" w:rsidRPr="0054394F" w:rsidRDefault="007D2333">
            <w:pPr>
              <w:spacing w:line="360" w:lineRule="auto"/>
              <w:rPr>
                <w:rFonts w:ascii="Times New Roman" w:eastAsia="Times New Roman" w:hAnsi="Times New Roman" w:cs="Times New Roman"/>
                <w:b/>
                <w:color w:val="000000" w:themeColor="text1"/>
                <w:sz w:val="24"/>
                <w:szCs w:val="24"/>
              </w:rPr>
            </w:pPr>
            <w:r w:rsidRPr="0054394F">
              <w:rPr>
                <w:rFonts w:ascii="Times New Roman" w:eastAsia="Times New Roman" w:hAnsi="Times New Roman" w:cs="Times New Roman"/>
                <w:b/>
                <w:color w:val="000000" w:themeColor="text1"/>
                <w:sz w:val="24"/>
                <w:szCs w:val="24"/>
              </w:rPr>
              <w:t>Supply Chain Disruptions</w:t>
            </w:r>
          </w:p>
        </w:tc>
        <w:tc>
          <w:tcPr>
            <w:tcW w:w="7089" w:type="dxa"/>
            <w:tcBorders>
              <w:top w:val="single" w:sz="6" w:space="0" w:color="000000"/>
              <w:left w:val="single" w:sz="6" w:space="0" w:color="000000"/>
              <w:bottom w:val="single" w:sz="6" w:space="0" w:color="000000"/>
              <w:right w:val="single" w:sz="6" w:space="0" w:color="000000"/>
            </w:tcBorders>
            <w:shd w:val="clear" w:color="auto" w:fill="FFF2CC"/>
            <w:tcMar>
              <w:top w:w="100" w:type="dxa"/>
              <w:left w:w="100" w:type="dxa"/>
              <w:bottom w:w="100" w:type="dxa"/>
              <w:right w:w="100" w:type="dxa"/>
            </w:tcMar>
            <w:vAlign w:val="center"/>
          </w:tcPr>
          <w:p w14:paraId="7FF672DF" w14:textId="77777777" w:rsidR="00C6366A" w:rsidRDefault="007D233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Disruptions in the supply chain affecting the availability of construction materials or services.</w:t>
            </w:r>
          </w:p>
        </w:tc>
      </w:tr>
    </w:tbl>
    <w:p w14:paraId="5996F878" w14:textId="77777777" w:rsidR="00C6366A" w:rsidRDefault="00C6366A">
      <w:pPr>
        <w:spacing w:after="200" w:line="360" w:lineRule="auto"/>
        <w:jc w:val="both"/>
        <w:rPr>
          <w:rFonts w:ascii="Times New Roman" w:eastAsia="Times New Roman" w:hAnsi="Times New Roman" w:cs="Times New Roman"/>
          <w:sz w:val="24"/>
          <w:szCs w:val="24"/>
        </w:rPr>
      </w:pPr>
    </w:p>
    <w:p w14:paraId="45B15B27" w14:textId="77777777" w:rsidR="00CB5741" w:rsidRDefault="00CB5741">
      <w:pPr>
        <w:spacing w:after="200" w:line="360" w:lineRule="auto"/>
        <w:jc w:val="both"/>
        <w:rPr>
          <w:rFonts w:ascii="Times New Roman" w:eastAsia="Times New Roman" w:hAnsi="Times New Roman" w:cs="Times New Roman"/>
          <w:sz w:val="24"/>
          <w:szCs w:val="24"/>
        </w:rPr>
      </w:pPr>
    </w:p>
    <w:p w14:paraId="45E9AD6E" w14:textId="77777777" w:rsidR="00CB5741" w:rsidRDefault="00CB5741">
      <w:pPr>
        <w:spacing w:after="200" w:line="360" w:lineRule="auto"/>
        <w:jc w:val="both"/>
        <w:rPr>
          <w:rFonts w:ascii="Times New Roman" w:eastAsia="Times New Roman" w:hAnsi="Times New Roman" w:cs="Times New Roman"/>
          <w:sz w:val="24"/>
          <w:szCs w:val="24"/>
        </w:rPr>
      </w:pPr>
    </w:p>
    <w:p w14:paraId="4DDC668A" w14:textId="77777777" w:rsidR="00CB5741" w:rsidRDefault="00CB5741">
      <w:pPr>
        <w:spacing w:after="200" w:line="360" w:lineRule="auto"/>
        <w:jc w:val="both"/>
        <w:rPr>
          <w:rFonts w:ascii="Times New Roman" w:eastAsia="Times New Roman" w:hAnsi="Times New Roman" w:cs="Times New Roman"/>
          <w:sz w:val="24"/>
          <w:szCs w:val="24"/>
        </w:rPr>
      </w:pPr>
    </w:p>
    <w:p w14:paraId="622655C0" w14:textId="77777777" w:rsidR="00CB5741" w:rsidRDefault="00CB5741">
      <w:pPr>
        <w:spacing w:after="200" w:line="360" w:lineRule="auto"/>
        <w:jc w:val="both"/>
        <w:rPr>
          <w:rFonts w:ascii="Times New Roman" w:eastAsia="Times New Roman" w:hAnsi="Times New Roman" w:cs="Times New Roman"/>
          <w:sz w:val="24"/>
          <w:szCs w:val="24"/>
        </w:rPr>
      </w:pPr>
    </w:p>
    <w:p w14:paraId="0FC6E99D" w14:textId="77777777" w:rsidR="00C6366A" w:rsidRDefault="007D2333">
      <w:pP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VII. Conclusion</w:t>
      </w:r>
    </w:p>
    <w:p w14:paraId="5CFCF397" w14:textId="31600613" w:rsidR="00C6366A" w:rsidRDefault="007D2333">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evaluation of the Google Headquarters Project in London reveals </w:t>
      </w:r>
      <w:r w:rsidR="00CB5741">
        <w:rPr>
          <w:rFonts w:ascii="Times New Roman" w:eastAsia="Times New Roman" w:hAnsi="Times New Roman" w:cs="Times New Roman"/>
          <w:sz w:val="24"/>
          <w:szCs w:val="24"/>
        </w:rPr>
        <w:t>a few</w:t>
      </w:r>
      <w:r>
        <w:rPr>
          <w:rFonts w:ascii="Times New Roman" w:eastAsia="Times New Roman" w:hAnsi="Times New Roman" w:cs="Times New Roman"/>
          <w:sz w:val="24"/>
          <w:szCs w:val="24"/>
        </w:rPr>
        <w:t xml:space="preserve"> crucial elements that are essential to the project's effective implementation. The project has a significant budget of one billion pounds, which emphasizes how important it is to closely monitor and manage costs </w:t>
      </w:r>
      <w:r w:rsidR="00CB5741">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avoid any overruns. Given the short timeframe for inauguration, a clear project schedule is essential, requiring meticulous planning and proactive problem-solving to prevent project delays. Superiority is crucial when it comes to architectural design and construction. Since the project's goal is to provide top-notch office space and facilities, strict quality control procedures and ongoing inspections are necessary to make sure the project achieves its goals. Navigating the many interests and concerns of stakeholders, such as Google, local government, workers, and the community, requires effective stakeholder engagement and communication. Through proactive stakeholder engagement and meeting their demands, the project may gain support, enhance quality, and foster trust. Thorough risk reduction techniques and backup procedures are necessary to quickly handle any issues and preserve project stability. To guarantee the project's overall success, these plans should cover the money, time, and quality as well as other important factors. Comprehensive risk assessments to identify possible obstacles and the creation of backup plans to deal with them are further components of risk mitigation. These plans could contain methods for emergency response, changes in resource distribution, and substitute suppliers. </w:t>
      </w:r>
    </w:p>
    <w:p w14:paraId="6F19D39A" w14:textId="77777777" w:rsidR="00C6366A" w:rsidRDefault="00C6366A">
      <w:pPr>
        <w:spacing w:after="200" w:line="360" w:lineRule="auto"/>
        <w:jc w:val="both"/>
        <w:rPr>
          <w:rFonts w:ascii="Times New Roman" w:eastAsia="Times New Roman" w:hAnsi="Times New Roman" w:cs="Times New Roman"/>
          <w:sz w:val="24"/>
          <w:szCs w:val="24"/>
        </w:rPr>
      </w:pPr>
    </w:p>
    <w:p w14:paraId="4CD79C6D" w14:textId="77777777" w:rsidR="00C6366A" w:rsidRDefault="007D2333">
      <w:pPr>
        <w:pStyle w:val="Heading1"/>
        <w:widowControl w:val="0"/>
      </w:pPr>
      <w:bookmarkStart w:id="8" w:name="_2o21zn4wio70" w:colFirst="0" w:colLast="0"/>
      <w:bookmarkEnd w:id="8"/>
      <w:r>
        <w:br w:type="page"/>
      </w:r>
    </w:p>
    <w:p w14:paraId="0698E794" w14:textId="77777777" w:rsidR="00C6366A" w:rsidRDefault="007D2333">
      <w:pPr>
        <w:pStyle w:val="Heading1"/>
        <w:widowControl w:val="0"/>
      </w:pPr>
      <w:bookmarkStart w:id="9" w:name="_nysixblsul3" w:colFirst="0" w:colLast="0"/>
      <w:bookmarkEnd w:id="9"/>
      <w:r>
        <w:t>VIII. References</w:t>
      </w:r>
    </w:p>
    <w:p w14:paraId="32F8D469" w14:textId="77777777" w:rsidR="00C6366A" w:rsidRPr="00CB5741" w:rsidRDefault="007D2333" w:rsidP="00CB5741">
      <w:pPr>
        <w:pStyle w:val="ListParagraph"/>
        <w:numPr>
          <w:ilvl w:val="0"/>
          <w:numId w:val="1"/>
        </w:numPr>
        <w:spacing w:after="200" w:line="360" w:lineRule="auto"/>
        <w:jc w:val="both"/>
        <w:rPr>
          <w:rFonts w:ascii="Times New Roman" w:eastAsia="Times New Roman" w:hAnsi="Times New Roman" w:cs="Times New Roman"/>
          <w:sz w:val="24"/>
          <w:szCs w:val="24"/>
        </w:rPr>
      </w:pPr>
      <w:r w:rsidRPr="00CB5741">
        <w:rPr>
          <w:rFonts w:ascii="Times New Roman" w:eastAsia="Times New Roman" w:hAnsi="Times New Roman" w:cs="Times New Roman"/>
          <w:sz w:val="24"/>
          <w:szCs w:val="24"/>
        </w:rPr>
        <w:t>Abboud, P., 2023. THE IMPACT OF A SEVERE ECONOMIC AND FINANCIAL CRISIS ON CONSTRUCTION THE CASE OF LEBANON (Doctoral dissertation).</w:t>
      </w:r>
    </w:p>
    <w:p w14:paraId="0EF98A1A" w14:textId="12626622" w:rsidR="00C6366A" w:rsidRPr="00CB5741" w:rsidRDefault="007D2333" w:rsidP="00CB5741">
      <w:pPr>
        <w:pStyle w:val="ListParagraph"/>
        <w:numPr>
          <w:ilvl w:val="0"/>
          <w:numId w:val="1"/>
        </w:numPr>
        <w:spacing w:after="200" w:line="360" w:lineRule="auto"/>
        <w:jc w:val="both"/>
        <w:rPr>
          <w:rFonts w:ascii="Times New Roman" w:eastAsia="Times New Roman" w:hAnsi="Times New Roman" w:cs="Times New Roman"/>
          <w:sz w:val="24"/>
          <w:szCs w:val="24"/>
        </w:rPr>
      </w:pPr>
      <w:r w:rsidRPr="00CB5741">
        <w:rPr>
          <w:rFonts w:ascii="Times New Roman" w:eastAsia="Times New Roman" w:hAnsi="Times New Roman" w:cs="Times New Roman"/>
          <w:sz w:val="24"/>
          <w:szCs w:val="24"/>
        </w:rPr>
        <w:t xml:space="preserve">Andiyan, A., Putra, R.M., </w:t>
      </w:r>
      <w:proofErr w:type="spellStart"/>
      <w:r w:rsidRPr="00CB5741">
        <w:rPr>
          <w:rFonts w:ascii="Times New Roman" w:eastAsia="Times New Roman" w:hAnsi="Times New Roman" w:cs="Times New Roman"/>
          <w:sz w:val="24"/>
          <w:szCs w:val="24"/>
        </w:rPr>
        <w:t>Rembulan</w:t>
      </w:r>
      <w:proofErr w:type="spellEnd"/>
      <w:r w:rsidRPr="00CB5741">
        <w:rPr>
          <w:rFonts w:ascii="Times New Roman" w:eastAsia="Times New Roman" w:hAnsi="Times New Roman" w:cs="Times New Roman"/>
          <w:sz w:val="24"/>
          <w:szCs w:val="24"/>
        </w:rPr>
        <w:t xml:space="preserve">, G.D. and </w:t>
      </w:r>
      <w:proofErr w:type="spellStart"/>
      <w:r w:rsidRPr="00CB5741">
        <w:rPr>
          <w:rFonts w:ascii="Times New Roman" w:eastAsia="Times New Roman" w:hAnsi="Times New Roman" w:cs="Times New Roman"/>
          <w:sz w:val="24"/>
          <w:szCs w:val="24"/>
        </w:rPr>
        <w:t>Tannady</w:t>
      </w:r>
      <w:proofErr w:type="spellEnd"/>
      <w:r w:rsidRPr="00CB5741">
        <w:rPr>
          <w:rFonts w:ascii="Times New Roman" w:eastAsia="Times New Roman" w:hAnsi="Times New Roman" w:cs="Times New Roman"/>
          <w:sz w:val="24"/>
          <w:szCs w:val="24"/>
        </w:rPr>
        <w:t xml:space="preserve">, H., 2021, June. Construction project evaluation using CPM-Crashing, CPM-PERT and CCPM </w:t>
      </w:r>
      <w:r w:rsidR="00CB5741">
        <w:rPr>
          <w:rFonts w:ascii="Times New Roman" w:eastAsia="Times New Roman" w:hAnsi="Times New Roman" w:cs="Times New Roman"/>
          <w:sz w:val="24"/>
          <w:szCs w:val="24"/>
        </w:rPr>
        <w:t>to</w:t>
      </w:r>
      <w:r w:rsidRPr="00CB5741">
        <w:rPr>
          <w:rFonts w:ascii="Times New Roman" w:eastAsia="Times New Roman" w:hAnsi="Times New Roman" w:cs="Times New Roman"/>
          <w:sz w:val="24"/>
          <w:szCs w:val="24"/>
        </w:rPr>
        <w:t xml:space="preserve"> minimize project delays. In Journal of Physics: Conference Series (Vol. 1933, No. 1, p. 012096). IOP Publishing.</w:t>
      </w:r>
    </w:p>
    <w:p w14:paraId="1633C5A4" w14:textId="77777777" w:rsidR="00C6366A" w:rsidRPr="00CB5741" w:rsidRDefault="007D2333" w:rsidP="00CB5741">
      <w:pPr>
        <w:pStyle w:val="ListParagraph"/>
        <w:numPr>
          <w:ilvl w:val="0"/>
          <w:numId w:val="1"/>
        </w:numPr>
        <w:spacing w:after="200" w:line="360" w:lineRule="auto"/>
        <w:jc w:val="both"/>
        <w:rPr>
          <w:rFonts w:ascii="Times New Roman" w:eastAsia="Times New Roman" w:hAnsi="Times New Roman" w:cs="Times New Roman"/>
          <w:sz w:val="24"/>
          <w:szCs w:val="24"/>
        </w:rPr>
      </w:pPr>
      <w:r w:rsidRPr="00CB5741">
        <w:rPr>
          <w:rFonts w:ascii="Times New Roman" w:eastAsia="Times New Roman" w:hAnsi="Times New Roman" w:cs="Times New Roman"/>
          <w:sz w:val="24"/>
          <w:szCs w:val="24"/>
        </w:rPr>
        <w:t>Aslam, M., Baffoe-Twum, E.E. and Saleem, F., 2019. Design Changes in Construction Projects Causes and Impact on the Cost. Civil Engineering Journal, 5(7), pp.1647-1655.</w:t>
      </w:r>
    </w:p>
    <w:p w14:paraId="5B31CEE9" w14:textId="77777777" w:rsidR="00C6366A" w:rsidRPr="00CB5741" w:rsidRDefault="007D2333" w:rsidP="00CB5741">
      <w:pPr>
        <w:pStyle w:val="ListParagraph"/>
        <w:numPr>
          <w:ilvl w:val="0"/>
          <w:numId w:val="1"/>
        </w:numPr>
        <w:spacing w:after="200" w:line="360" w:lineRule="auto"/>
        <w:jc w:val="both"/>
        <w:rPr>
          <w:rFonts w:ascii="Times New Roman" w:eastAsia="Times New Roman" w:hAnsi="Times New Roman" w:cs="Times New Roman"/>
          <w:sz w:val="24"/>
          <w:szCs w:val="24"/>
        </w:rPr>
      </w:pPr>
      <w:r w:rsidRPr="00CB5741">
        <w:rPr>
          <w:rFonts w:ascii="Times New Roman" w:eastAsia="Times New Roman" w:hAnsi="Times New Roman" w:cs="Times New Roman"/>
          <w:sz w:val="24"/>
          <w:szCs w:val="24"/>
        </w:rPr>
        <w:t xml:space="preserve">Barnett, J.M. and Sichelman, T., 2020. The case for </w:t>
      </w:r>
      <w:proofErr w:type="spellStart"/>
      <w:r w:rsidRPr="00CB5741">
        <w:rPr>
          <w:rFonts w:ascii="Times New Roman" w:eastAsia="Times New Roman" w:hAnsi="Times New Roman" w:cs="Times New Roman"/>
          <w:sz w:val="24"/>
          <w:szCs w:val="24"/>
        </w:rPr>
        <w:t>noncompetes</w:t>
      </w:r>
      <w:proofErr w:type="spellEnd"/>
      <w:r w:rsidRPr="00CB5741">
        <w:rPr>
          <w:rFonts w:ascii="Times New Roman" w:eastAsia="Times New Roman" w:hAnsi="Times New Roman" w:cs="Times New Roman"/>
          <w:sz w:val="24"/>
          <w:szCs w:val="24"/>
        </w:rPr>
        <w:t>. U. Chi. L. Rev., 87, p.953.</w:t>
      </w:r>
    </w:p>
    <w:p w14:paraId="20DBB28A" w14:textId="77777777" w:rsidR="00C6366A" w:rsidRPr="00CB5741" w:rsidRDefault="007D2333" w:rsidP="00CB5741">
      <w:pPr>
        <w:pStyle w:val="ListParagraph"/>
        <w:numPr>
          <w:ilvl w:val="0"/>
          <w:numId w:val="1"/>
        </w:numPr>
        <w:spacing w:after="200" w:line="360" w:lineRule="auto"/>
        <w:jc w:val="both"/>
        <w:rPr>
          <w:rFonts w:ascii="Times New Roman" w:eastAsia="Times New Roman" w:hAnsi="Times New Roman" w:cs="Times New Roman"/>
          <w:sz w:val="24"/>
          <w:szCs w:val="24"/>
        </w:rPr>
      </w:pPr>
      <w:r w:rsidRPr="00CB5741">
        <w:rPr>
          <w:rFonts w:ascii="Times New Roman" w:eastAsia="Times New Roman" w:hAnsi="Times New Roman" w:cs="Times New Roman"/>
          <w:sz w:val="24"/>
          <w:szCs w:val="24"/>
        </w:rPr>
        <w:t>Chung, A. and Mutis, I., 2020. Quality Assurance and Quality Control of High-Rise Enclosure Design Using Lean Principles. Practice Periodical on Structural Design and Construction, 25(1), p.05019008.</w:t>
      </w:r>
    </w:p>
    <w:p w14:paraId="275D0F35" w14:textId="77777777" w:rsidR="00C6366A" w:rsidRPr="00CB5741" w:rsidRDefault="007D2333" w:rsidP="00CB5741">
      <w:pPr>
        <w:pStyle w:val="ListParagraph"/>
        <w:numPr>
          <w:ilvl w:val="0"/>
          <w:numId w:val="1"/>
        </w:numPr>
        <w:spacing w:after="200" w:line="360" w:lineRule="auto"/>
        <w:jc w:val="both"/>
        <w:rPr>
          <w:rFonts w:ascii="Times New Roman" w:eastAsia="Times New Roman" w:hAnsi="Times New Roman" w:cs="Times New Roman"/>
          <w:sz w:val="24"/>
          <w:szCs w:val="24"/>
        </w:rPr>
      </w:pPr>
      <w:r w:rsidRPr="00CB5741">
        <w:rPr>
          <w:rFonts w:ascii="Times New Roman" w:eastAsia="Times New Roman" w:hAnsi="Times New Roman" w:cs="Times New Roman"/>
          <w:sz w:val="24"/>
          <w:szCs w:val="24"/>
        </w:rPr>
        <w:t>Durdyev, S. and Hosseini, M.R., 2020. Causes of delays on construction projects: a comprehensive list. International Journal of Managing Projects in Business, 13(1), pp.20-46.</w:t>
      </w:r>
    </w:p>
    <w:p w14:paraId="381D2B23" w14:textId="77777777" w:rsidR="00C6366A" w:rsidRPr="00CB5741" w:rsidRDefault="007D2333" w:rsidP="00CB5741">
      <w:pPr>
        <w:pStyle w:val="ListParagraph"/>
        <w:numPr>
          <w:ilvl w:val="0"/>
          <w:numId w:val="1"/>
        </w:numPr>
        <w:spacing w:after="200" w:line="360" w:lineRule="auto"/>
        <w:jc w:val="both"/>
        <w:rPr>
          <w:rFonts w:ascii="Times New Roman" w:eastAsia="Times New Roman" w:hAnsi="Times New Roman" w:cs="Times New Roman"/>
          <w:sz w:val="24"/>
          <w:szCs w:val="24"/>
        </w:rPr>
      </w:pPr>
      <w:r w:rsidRPr="00CB5741">
        <w:rPr>
          <w:rFonts w:ascii="Times New Roman" w:eastAsia="Times New Roman" w:hAnsi="Times New Roman" w:cs="Times New Roman"/>
          <w:sz w:val="24"/>
          <w:szCs w:val="24"/>
        </w:rPr>
        <w:t xml:space="preserve">Haklay, M.M., </w:t>
      </w:r>
      <w:proofErr w:type="spellStart"/>
      <w:r w:rsidRPr="00CB5741">
        <w:rPr>
          <w:rFonts w:ascii="Times New Roman" w:eastAsia="Times New Roman" w:hAnsi="Times New Roman" w:cs="Times New Roman"/>
          <w:sz w:val="24"/>
          <w:szCs w:val="24"/>
        </w:rPr>
        <w:t>Dörler</w:t>
      </w:r>
      <w:proofErr w:type="spellEnd"/>
      <w:r w:rsidRPr="00CB5741">
        <w:rPr>
          <w:rFonts w:ascii="Times New Roman" w:eastAsia="Times New Roman" w:hAnsi="Times New Roman" w:cs="Times New Roman"/>
          <w:sz w:val="24"/>
          <w:szCs w:val="24"/>
        </w:rPr>
        <w:t xml:space="preserve">, D., Heigl, F., Manzoni, M., Hecker, S. and </w:t>
      </w:r>
      <w:proofErr w:type="spellStart"/>
      <w:r w:rsidRPr="00CB5741">
        <w:rPr>
          <w:rFonts w:ascii="Times New Roman" w:eastAsia="Times New Roman" w:hAnsi="Times New Roman" w:cs="Times New Roman"/>
          <w:sz w:val="24"/>
          <w:szCs w:val="24"/>
        </w:rPr>
        <w:t>Vohland</w:t>
      </w:r>
      <w:proofErr w:type="spellEnd"/>
      <w:r w:rsidRPr="00CB5741">
        <w:rPr>
          <w:rFonts w:ascii="Times New Roman" w:eastAsia="Times New Roman" w:hAnsi="Times New Roman" w:cs="Times New Roman"/>
          <w:sz w:val="24"/>
          <w:szCs w:val="24"/>
        </w:rPr>
        <w:t>, K., 2021. What is citizen science? The challenges of definition. The science of citizen science, 13.</w:t>
      </w:r>
    </w:p>
    <w:p w14:paraId="520CB11C" w14:textId="77777777" w:rsidR="00C6366A" w:rsidRPr="00CB5741" w:rsidRDefault="007D2333" w:rsidP="00CB5741">
      <w:pPr>
        <w:pStyle w:val="ListParagraph"/>
        <w:numPr>
          <w:ilvl w:val="0"/>
          <w:numId w:val="1"/>
        </w:numPr>
        <w:spacing w:after="200" w:line="360" w:lineRule="auto"/>
        <w:jc w:val="both"/>
        <w:rPr>
          <w:rFonts w:ascii="Times New Roman" w:eastAsia="Times New Roman" w:hAnsi="Times New Roman" w:cs="Times New Roman"/>
          <w:sz w:val="24"/>
          <w:szCs w:val="24"/>
        </w:rPr>
      </w:pPr>
      <w:r w:rsidRPr="00CB5741">
        <w:rPr>
          <w:rFonts w:ascii="Times New Roman" w:eastAsia="Times New Roman" w:hAnsi="Times New Roman" w:cs="Times New Roman"/>
          <w:sz w:val="24"/>
          <w:szCs w:val="24"/>
        </w:rPr>
        <w:t>Leckel, A., Veilleux, S. and Dana, L.P., 2020. Local Open Innovation: A means for public policy to increase collaboration for innovation in SMEs. Technological Forecasting and Social Change, 153, p.119891.</w:t>
      </w:r>
    </w:p>
    <w:p w14:paraId="4BF35F61" w14:textId="77777777" w:rsidR="00C6366A" w:rsidRPr="00CB5741" w:rsidRDefault="007D2333" w:rsidP="00CB5741">
      <w:pPr>
        <w:pStyle w:val="ListParagraph"/>
        <w:numPr>
          <w:ilvl w:val="0"/>
          <w:numId w:val="1"/>
        </w:numPr>
        <w:spacing w:after="200" w:line="360" w:lineRule="auto"/>
        <w:jc w:val="both"/>
        <w:rPr>
          <w:rFonts w:ascii="Times New Roman" w:eastAsia="Times New Roman" w:hAnsi="Times New Roman" w:cs="Times New Roman"/>
          <w:sz w:val="24"/>
          <w:szCs w:val="24"/>
        </w:rPr>
      </w:pPr>
      <w:r w:rsidRPr="00CB5741">
        <w:rPr>
          <w:rFonts w:ascii="Times New Roman" w:eastAsia="Times New Roman" w:hAnsi="Times New Roman" w:cs="Times New Roman"/>
          <w:sz w:val="24"/>
          <w:szCs w:val="24"/>
        </w:rPr>
        <w:t>Levy, S., 2021. In the plex: How Google thinks, works, and shapes our lives. Simon &amp; Schuster.</w:t>
      </w:r>
    </w:p>
    <w:p w14:paraId="529EEEC5" w14:textId="77777777" w:rsidR="00C6366A" w:rsidRPr="00CB5741" w:rsidRDefault="007D2333" w:rsidP="00CB5741">
      <w:pPr>
        <w:pStyle w:val="ListParagraph"/>
        <w:numPr>
          <w:ilvl w:val="0"/>
          <w:numId w:val="1"/>
        </w:numPr>
        <w:spacing w:after="200" w:line="360" w:lineRule="auto"/>
        <w:jc w:val="both"/>
        <w:rPr>
          <w:rFonts w:ascii="Times New Roman" w:eastAsia="Times New Roman" w:hAnsi="Times New Roman" w:cs="Times New Roman"/>
          <w:sz w:val="24"/>
          <w:szCs w:val="24"/>
        </w:rPr>
      </w:pPr>
      <w:r w:rsidRPr="00CB5741">
        <w:rPr>
          <w:rFonts w:ascii="Times New Roman" w:eastAsia="Times New Roman" w:hAnsi="Times New Roman" w:cs="Times New Roman"/>
          <w:sz w:val="24"/>
          <w:szCs w:val="24"/>
        </w:rPr>
        <w:t xml:space="preserve">Okpala, C.O.R. and Korzeniowska, M., 2023. Understanding the relevance of quality management in </w:t>
      </w:r>
      <w:proofErr w:type="spellStart"/>
      <w:r w:rsidRPr="00CB5741">
        <w:rPr>
          <w:rFonts w:ascii="Times New Roman" w:eastAsia="Times New Roman" w:hAnsi="Times New Roman" w:cs="Times New Roman"/>
          <w:sz w:val="24"/>
          <w:szCs w:val="24"/>
        </w:rPr>
        <w:t>agro</w:t>
      </w:r>
      <w:proofErr w:type="spellEnd"/>
      <w:r w:rsidRPr="00CB5741">
        <w:rPr>
          <w:rFonts w:ascii="Times New Roman" w:eastAsia="Times New Roman" w:hAnsi="Times New Roman" w:cs="Times New Roman"/>
          <w:sz w:val="24"/>
          <w:szCs w:val="24"/>
        </w:rPr>
        <w:t>-food product industry: From ethical considerations to assuring food hygiene quality safety standards and its associated processes. Food Reviews International, 39(4), pp.1879-1952.</w:t>
      </w:r>
    </w:p>
    <w:p w14:paraId="363ACFF0" w14:textId="77777777" w:rsidR="00C6366A" w:rsidRPr="00CB5741" w:rsidRDefault="007D2333" w:rsidP="00CB5741">
      <w:pPr>
        <w:pStyle w:val="ListParagraph"/>
        <w:numPr>
          <w:ilvl w:val="0"/>
          <w:numId w:val="1"/>
        </w:numPr>
        <w:spacing w:after="200" w:line="360" w:lineRule="auto"/>
        <w:jc w:val="both"/>
        <w:rPr>
          <w:rFonts w:ascii="Times New Roman" w:eastAsia="Times New Roman" w:hAnsi="Times New Roman" w:cs="Times New Roman"/>
          <w:sz w:val="24"/>
          <w:szCs w:val="24"/>
        </w:rPr>
      </w:pPr>
      <w:r w:rsidRPr="00CB5741">
        <w:rPr>
          <w:rFonts w:ascii="Times New Roman" w:eastAsia="Times New Roman" w:hAnsi="Times New Roman" w:cs="Times New Roman"/>
          <w:sz w:val="24"/>
          <w:szCs w:val="24"/>
        </w:rPr>
        <w:t>Rashid, Y., 2020. Analysis of delay factors and their effects on construction projects. Management Science Letters, 10(6), pp.1197-1204.</w:t>
      </w:r>
    </w:p>
    <w:p w14:paraId="0947F1E6" w14:textId="77777777" w:rsidR="00C6366A" w:rsidRPr="00CB5741" w:rsidRDefault="007D2333" w:rsidP="00CB5741">
      <w:pPr>
        <w:pStyle w:val="ListParagraph"/>
        <w:numPr>
          <w:ilvl w:val="0"/>
          <w:numId w:val="1"/>
        </w:numPr>
        <w:spacing w:after="200" w:line="360" w:lineRule="auto"/>
        <w:jc w:val="both"/>
        <w:rPr>
          <w:rFonts w:ascii="Times New Roman" w:eastAsia="Times New Roman" w:hAnsi="Times New Roman" w:cs="Times New Roman"/>
          <w:sz w:val="24"/>
          <w:szCs w:val="24"/>
        </w:rPr>
      </w:pPr>
      <w:r w:rsidRPr="00CB5741">
        <w:rPr>
          <w:rFonts w:ascii="Times New Roman" w:eastAsia="Times New Roman" w:hAnsi="Times New Roman" w:cs="Times New Roman"/>
          <w:sz w:val="24"/>
          <w:szCs w:val="24"/>
        </w:rPr>
        <w:t>Saffar, N. and Obeidat, A., 2020. The effect of total quality management practices on employee performance: The moderating role of knowledge sharing. Management Science Letters, 10(1), pp.77-90.</w:t>
      </w:r>
    </w:p>
    <w:p w14:paraId="2817B183" w14:textId="77777777" w:rsidR="00C6366A" w:rsidRPr="00CB5741" w:rsidRDefault="007D2333" w:rsidP="00CB5741">
      <w:pPr>
        <w:pStyle w:val="ListParagraph"/>
        <w:numPr>
          <w:ilvl w:val="0"/>
          <w:numId w:val="1"/>
        </w:numPr>
        <w:spacing w:after="200" w:line="360" w:lineRule="auto"/>
        <w:jc w:val="both"/>
        <w:rPr>
          <w:rFonts w:ascii="Times New Roman" w:eastAsia="Times New Roman" w:hAnsi="Times New Roman" w:cs="Times New Roman"/>
          <w:sz w:val="24"/>
          <w:szCs w:val="24"/>
        </w:rPr>
      </w:pPr>
      <w:r w:rsidRPr="00CB5741">
        <w:rPr>
          <w:rFonts w:ascii="Times New Roman" w:eastAsia="Times New Roman" w:hAnsi="Times New Roman" w:cs="Times New Roman"/>
          <w:sz w:val="24"/>
          <w:szCs w:val="24"/>
        </w:rPr>
        <w:t xml:space="preserve">Sepasgozar, S.M., Karimi, R., </w:t>
      </w:r>
      <w:proofErr w:type="spellStart"/>
      <w:r w:rsidRPr="00CB5741">
        <w:rPr>
          <w:rFonts w:ascii="Times New Roman" w:eastAsia="Times New Roman" w:hAnsi="Times New Roman" w:cs="Times New Roman"/>
          <w:sz w:val="24"/>
          <w:szCs w:val="24"/>
        </w:rPr>
        <w:t>Shirowzhan</w:t>
      </w:r>
      <w:proofErr w:type="spellEnd"/>
      <w:r w:rsidRPr="00CB5741">
        <w:rPr>
          <w:rFonts w:ascii="Times New Roman" w:eastAsia="Times New Roman" w:hAnsi="Times New Roman" w:cs="Times New Roman"/>
          <w:sz w:val="24"/>
          <w:szCs w:val="24"/>
        </w:rPr>
        <w:t xml:space="preserve">, S., </w:t>
      </w:r>
      <w:proofErr w:type="spellStart"/>
      <w:r w:rsidRPr="00CB5741">
        <w:rPr>
          <w:rFonts w:ascii="Times New Roman" w:eastAsia="Times New Roman" w:hAnsi="Times New Roman" w:cs="Times New Roman"/>
          <w:sz w:val="24"/>
          <w:szCs w:val="24"/>
        </w:rPr>
        <w:t>Mojtahedi</w:t>
      </w:r>
      <w:proofErr w:type="spellEnd"/>
      <w:r w:rsidRPr="00CB5741">
        <w:rPr>
          <w:rFonts w:ascii="Times New Roman" w:eastAsia="Times New Roman" w:hAnsi="Times New Roman" w:cs="Times New Roman"/>
          <w:sz w:val="24"/>
          <w:szCs w:val="24"/>
        </w:rPr>
        <w:t xml:space="preserve">, M., </w:t>
      </w:r>
      <w:proofErr w:type="spellStart"/>
      <w:r w:rsidRPr="00CB5741">
        <w:rPr>
          <w:rFonts w:ascii="Times New Roman" w:eastAsia="Times New Roman" w:hAnsi="Times New Roman" w:cs="Times New Roman"/>
          <w:sz w:val="24"/>
          <w:szCs w:val="24"/>
        </w:rPr>
        <w:t>Ebrahimzadeh</w:t>
      </w:r>
      <w:proofErr w:type="spellEnd"/>
      <w:r w:rsidRPr="00CB5741">
        <w:rPr>
          <w:rFonts w:ascii="Times New Roman" w:eastAsia="Times New Roman" w:hAnsi="Times New Roman" w:cs="Times New Roman"/>
          <w:sz w:val="24"/>
          <w:szCs w:val="24"/>
        </w:rPr>
        <w:t>, S. and McCarthy, D., 2019. Delay causes and emerging digital tools: A novel model of delay analysis, including integrated project delivery and PMBOK. Buildings, 9(9), p.191.</w:t>
      </w:r>
    </w:p>
    <w:p w14:paraId="3001C7D5" w14:textId="77777777" w:rsidR="00C6366A" w:rsidRPr="00CB5741" w:rsidRDefault="007D2333" w:rsidP="00CB5741">
      <w:pPr>
        <w:pStyle w:val="ListParagraph"/>
        <w:numPr>
          <w:ilvl w:val="0"/>
          <w:numId w:val="1"/>
        </w:numPr>
        <w:spacing w:after="200" w:line="360" w:lineRule="auto"/>
        <w:jc w:val="both"/>
        <w:rPr>
          <w:rFonts w:ascii="Times New Roman" w:eastAsia="Times New Roman" w:hAnsi="Times New Roman" w:cs="Times New Roman"/>
          <w:sz w:val="24"/>
          <w:szCs w:val="24"/>
        </w:rPr>
      </w:pPr>
      <w:r w:rsidRPr="00CB5741">
        <w:rPr>
          <w:rFonts w:ascii="Times New Roman" w:eastAsia="Times New Roman" w:hAnsi="Times New Roman" w:cs="Times New Roman"/>
          <w:sz w:val="24"/>
          <w:szCs w:val="24"/>
        </w:rPr>
        <w:t>Slavid, R., 2020. New Work, New Workspace: Innovative design in a connected world. Routledge.</w:t>
      </w:r>
    </w:p>
    <w:p w14:paraId="4F5BF6AB" w14:textId="77777777" w:rsidR="00C6366A" w:rsidRPr="00CB5741" w:rsidRDefault="007D2333" w:rsidP="00CB5741">
      <w:pPr>
        <w:pStyle w:val="ListParagraph"/>
        <w:numPr>
          <w:ilvl w:val="0"/>
          <w:numId w:val="1"/>
        </w:numPr>
        <w:spacing w:after="200" w:line="360" w:lineRule="auto"/>
        <w:jc w:val="both"/>
        <w:rPr>
          <w:rFonts w:ascii="Times New Roman" w:eastAsia="Times New Roman" w:hAnsi="Times New Roman" w:cs="Times New Roman"/>
          <w:sz w:val="24"/>
          <w:szCs w:val="24"/>
        </w:rPr>
      </w:pPr>
      <w:r w:rsidRPr="00CB5741">
        <w:rPr>
          <w:rFonts w:ascii="Times New Roman" w:eastAsia="Times New Roman" w:hAnsi="Times New Roman" w:cs="Times New Roman"/>
          <w:sz w:val="24"/>
          <w:szCs w:val="24"/>
        </w:rPr>
        <w:t>Turner, J.R., 2022. The handbook of project-based management. Prentice Hall.</w:t>
      </w:r>
    </w:p>
    <w:p w14:paraId="1612D21E" w14:textId="77777777" w:rsidR="00C6366A" w:rsidRDefault="00C6366A">
      <w:pPr>
        <w:widowControl w:val="0"/>
        <w:rPr>
          <w:rFonts w:ascii="Times New Roman" w:eastAsia="Times New Roman" w:hAnsi="Times New Roman" w:cs="Times New Roman"/>
          <w:sz w:val="24"/>
          <w:szCs w:val="24"/>
        </w:rPr>
      </w:pPr>
    </w:p>
    <w:p w14:paraId="6B139420" w14:textId="77777777" w:rsidR="00C6366A" w:rsidRDefault="00C6366A"/>
    <w:sectPr w:rsidR="00C6366A" w:rsidSect="007D2333">
      <w:footerReference w:type="default" r:id="rId9"/>
      <w:headerReference w:type="first" r:id="rId10"/>
      <w:footerReference w:type="firs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A013CA" w14:textId="77777777" w:rsidR="00C7211F" w:rsidRDefault="00C7211F">
      <w:pPr>
        <w:spacing w:line="240" w:lineRule="auto"/>
      </w:pPr>
      <w:r>
        <w:separator/>
      </w:r>
    </w:p>
  </w:endnote>
  <w:endnote w:type="continuationSeparator" w:id="0">
    <w:p w14:paraId="74C9DF84" w14:textId="77777777" w:rsidR="00C7211F" w:rsidRDefault="00C7211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150340" w14:textId="77777777" w:rsidR="00C6366A" w:rsidRDefault="007D2333">
    <w:pPr>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571351">
      <w:rPr>
        <w:rFonts w:ascii="Times New Roman" w:eastAsia="Times New Roman" w:hAnsi="Times New Roman" w:cs="Times New Roman"/>
        <w:noProof/>
        <w:sz w:val="24"/>
        <w:szCs w:val="24"/>
      </w:rPr>
      <w:t>2</w:t>
    </w:r>
    <w:r>
      <w:rPr>
        <w:rFonts w:ascii="Times New Roman" w:eastAsia="Times New Roman" w:hAnsi="Times New Roman" w:cs="Times New Roman"/>
        <w:sz w:val="24"/>
        <w:szCs w:val="24"/>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15119E" w14:textId="77777777" w:rsidR="00C6366A" w:rsidRDefault="007D2333">
    <w:pPr>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571351">
      <w:rPr>
        <w:rFonts w:ascii="Times New Roman" w:eastAsia="Times New Roman" w:hAnsi="Times New Roman" w:cs="Times New Roman"/>
        <w:noProof/>
        <w:sz w:val="24"/>
        <w:szCs w:val="24"/>
      </w:rPr>
      <w:t>1</w:t>
    </w:r>
    <w:r>
      <w:rPr>
        <w:rFonts w:ascii="Times New Roman" w:eastAsia="Times New Roman" w:hAnsi="Times New Roman" w:cs="Times New Roman"/>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A7D9E2" w14:textId="77777777" w:rsidR="00C7211F" w:rsidRDefault="00C7211F">
      <w:pPr>
        <w:spacing w:line="240" w:lineRule="auto"/>
      </w:pPr>
      <w:r>
        <w:separator/>
      </w:r>
    </w:p>
  </w:footnote>
  <w:footnote w:type="continuationSeparator" w:id="0">
    <w:p w14:paraId="11B89888" w14:textId="77777777" w:rsidR="00C7211F" w:rsidRDefault="00C7211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70B574" w14:textId="77777777" w:rsidR="00C6366A" w:rsidRDefault="00C6366A"/>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F35DA7"/>
    <w:multiLevelType w:val="hybridMultilevel"/>
    <w:tmpl w:val="416E690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8674552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66A"/>
    <w:rsid w:val="0011406E"/>
    <w:rsid w:val="002B234C"/>
    <w:rsid w:val="00437BBC"/>
    <w:rsid w:val="004E545C"/>
    <w:rsid w:val="0054394F"/>
    <w:rsid w:val="00571351"/>
    <w:rsid w:val="007D2333"/>
    <w:rsid w:val="00AC6E5B"/>
    <w:rsid w:val="00B41E10"/>
    <w:rsid w:val="00C6366A"/>
    <w:rsid w:val="00C7211F"/>
    <w:rsid w:val="00CB5741"/>
    <w:rsid w:val="00E45824"/>
    <w:rsid w:val="00FE3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C394D8"/>
  <w15:docId w15:val="{98DC447F-BE49-F34E-AC9C-04A5A836A0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CB574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D16376-4B2B-1847-9C25-0531C59023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3347</Words>
  <Characters>19078</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simona vitelaru</cp:lastModifiedBy>
  <cp:revision>3</cp:revision>
  <dcterms:created xsi:type="dcterms:W3CDTF">2023-11-29T15:18:00Z</dcterms:created>
  <dcterms:modified xsi:type="dcterms:W3CDTF">2023-11-29T15:18:00Z</dcterms:modified>
</cp:coreProperties>
</file>