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91F1F" w14:textId="77777777" w:rsidR="00880451" w:rsidRPr="00C16BF8" w:rsidRDefault="00880451" w:rsidP="009F30F7">
      <w:pPr>
        <w:spacing w:line="360" w:lineRule="auto"/>
        <w:jc w:val="both"/>
        <w:rPr>
          <w:rFonts w:ascii="Arial" w:hAnsi="Arial" w:cs="Arial"/>
        </w:rPr>
      </w:pPr>
      <w:r w:rsidRPr="00C16BF8">
        <w:rPr>
          <w:rFonts w:ascii="Arial" w:hAnsi="Arial" w:cs="Arial"/>
          <w:noProof/>
        </w:rPr>
        <w:drawing>
          <wp:anchor distT="0" distB="0" distL="114300" distR="114300" simplePos="0" relativeHeight="251658240" behindDoc="1" locked="0" layoutInCell="1" allowOverlap="1" wp14:anchorId="753D0D8B" wp14:editId="423D85E8">
            <wp:simplePos x="0" y="0"/>
            <wp:positionH relativeFrom="margin">
              <wp:posOffset>892175</wp:posOffset>
            </wp:positionH>
            <wp:positionV relativeFrom="paragraph">
              <wp:posOffset>13970</wp:posOffset>
            </wp:positionV>
            <wp:extent cx="3664585" cy="1172210"/>
            <wp:effectExtent l="0" t="0" r="0" b="0"/>
            <wp:wrapTight wrapText="bothSides">
              <wp:wrapPolygon edited="0">
                <wp:start x="898" y="3510"/>
                <wp:lineTo x="898" y="10531"/>
                <wp:lineTo x="1572" y="15445"/>
                <wp:lineTo x="2246" y="17200"/>
                <wp:lineTo x="2358" y="17902"/>
                <wp:lineTo x="13025" y="17902"/>
                <wp:lineTo x="13025" y="15445"/>
                <wp:lineTo x="15383" y="15445"/>
                <wp:lineTo x="17292" y="12988"/>
                <wp:lineTo x="17180" y="9829"/>
                <wp:lineTo x="21334" y="8776"/>
                <wp:lineTo x="21334" y="5265"/>
                <wp:lineTo x="19313" y="3510"/>
                <wp:lineTo x="898" y="3510"/>
              </wp:wrapPolygon>
            </wp:wrapTight>
            <wp:docPr id="1"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8">
                      <a:extLst>
                        <a:ext uri="{28A0092B-C50C-407E-A947-70E740481C1C}">
                          <a14:useLocalDpi xmlns:a14="http://schemas.microsoft.com/office/drawing/2010/main" val="0"/>
                        </a:ext>
                      </a:extLst>
                    </a:blip>
                    <a:srcRect r="23643"/>
                    <a:stretch>
                      <a:fillRect/>
                    </a:stretch>
                  </pic:blipFill>
                  <pic:spPr bwMode="auto">
                    <a:xfrm>
                      <a:off x="0" y="0"/>
                      <a:ext cx="3664585" cy="1172210"/>
                    </a:xfrm>
                    <a:prstGeom prst="rect">
                      <a:avLst/>
                    </a:prstGeom>
                    <a:noFill/>
                  </pic:spPr>
                </pic:pic>
              </a:graphicData>
            </a:graphic>
            <wp14:sizeRelH relativeFrom="margin">
              <wp14:pctWidth>0</wp14:pctWidth>
            </wp14:sizeRelH>
            <wp14:sizeRelV relativeFrom="page">
              <wp14:pctHeight>0</wp14:pctHeight>
            </wp14:sizeRelV>
          </wp:anchor>
        </w:drawing>
      </w:r>
    </w:p>
    <w:p w14:paraId="5ECBAB8C" w14:textId="77777777" w:rsidR="00880451" w:rsidRPr="00C16BF8" w:rsidRDefault="00880451" w:rsidP="009F30F7">
      <w:pPr>
        <w:spacing w:line="360" w:lineRule="auto"/>
        <w:jc w:val="both"/>
        <w:rPr>
          <w:rFonts w:ascii="Arial" w:hAnsi="Arial" w:cs="Arial"/>
        </w:rPr>
      </w:pPr>
    </w:p>
    <w:p w14:paraId="4680F80C" w14:textId="77777777" w:rsidR="00880451" w:rsidRPr="00C16BF8" w:rsidRDefault="00880451" w:rsidP="009F30F7">
      <w:pPr>
        <w:spacing w:line="360" w:lineRule="auto"/>
        <w:jc w:val="both"/>
        <w:rPr>
          <w:rFonts w:ascii="Arial" w:hAnsi="Arial" w:cs="Arial"/>
        </w:rPr>
      </w:pPr>
    </w:p>
    <w:p w14:paraId="5CB8B1D5" w14:textId="77777777" w:rsidR="00880451" w:rsidRPr="00C16BF8" w:rsidRDefault="00880451" w:rsidP="009F30F7">
      <w:pPr>
        <w:spacing w:line="360" w:lineRule="auto"/>
        <w:jc w:val="both"/>
        <w:rPr>
          <w:rFonts w:ascii="Arial" w:hAnsi="Arial" w:cs="Arial"/>
        </w:rPr>
      </w:pPr>
    </w:p>
    <w:p w14:paraId="348B318A" w14:textId="77777777" w:rsidR="00880451" w:rsidRPr="00C16BF8" w:rsidRDefault="00880451" w:rsidP="009F30F7">
      <w:pPr>
        <w:spacing w:line="360" w:lineRule="auto"/>
        <w:ind w:right="1229"/>
        <w:jc w:val="both"/>
        <w:rPr>
          <w:rFonts w:ascii="Arial" w:hAnsi="Arial" w:cs="Arial"/>
        </w:rPr>
      </w:pPr>
    </w:p>
    <w:p w14:paraId="5AF849F5" w14:textId="77777777" w:rsidR="00880451" w:rsidRPr="00C16BF8" w:rsidRDefault="00880451" w:rsidP="009F30F7">
      <w:pPr>
        <w:spacing w:line="360" w:lineRule="auto"/>
        <w:ind w:right="1229"/>
        <w:jc w:val="center"/>
        <w:rPr>
          <w:rFonts w:ascii="Arial" w:hAnsi="Arial" w:cs="Arial"/>
          <w:b/>
          <w:sz w:val="60"/>
          <w:szCs w:val="60"/>
        </w:rPr>
      </w:pPr>
      <w:r w:rsidRPr="00C16BF8">
        <w:rPr>
          <w:rFonts w:ascii="Arial" w:hAnsi="Arial" w:cs="Arial"/>
          <w:b/>
          <w:sz w:val="60"/>
          <w:szCs w:val="60"/>
        </w:rPr>
        <w:t>Institute of Inner-City Learning Birmingham Campus</w:t>
      </w:r>
    </w:p>
    <w:p w14:paraId="023A1925" w14:textId="77777777" w:rsidR="00880451" w:rsidRPr="00C16BF8" w:rsidRDefault="00880451" w:rsidP="009F30F7">
      <w:pPr>
        <w:pStyle w:val="BodyText"/>
        <w:spacing w:line="360" w:lineRule="auto"/>
        <w:jc w:val="center"/>
        <w:rPr>
          <w:rFonts w:cs="Arial"/>
          <w:b/>
          <w:sz w:val="20"/>
        </w:rPr>
      </w:pPr>
    </w:p>
    <w:p w14:paraId="09E34B74" w14:textId="77777777" w:rsidR="00880451" w:rsidRPr="00C16BF8" w:rsidRDefault="00880451" w:rsidP="009F30F7">
      <w:pPr>
        <w:spacing w:line="360" w:lineRule="auto"/>
        <w:jc w:val="center"/>
        <w:rPr>
          <w:rFonts w:ascii="Arial" w:hAnsi="Arial" w:cs="Arial"/>
          <w:sz w:val="60"/>
          <w:szCs w:val="60"/>
        </w:rPr>
      </w:pPr>
      <w:r w:rsidRPr="00C16BF8">
        <w:rPr>
          <w:rFonts w:ascii="Arial" w:hAnsi="Arial" w:cs="Arial"/>
          <w:b/>
          <w:sz w:val="60"/>
          <w:szCs w:val="60"/>
        </w:rPr>
        <w:t>BSc (Hons) Health and Social Care</w:t>
      </w:r>
      <w:r w:rsidRPr="00C16BF8">
        <w:rPr>
          <w:rFonts w:ascii="Arial" w:hAnsi="Arial" w:cs="Arial"/>
          <w:sz w:val="60"/>
          <w:szCs w:val="60"/>
        </w:rPr>
        <w:br/>
      </w:r>
    </w:p>
    <w:p w14:paraId="6FD25EA8" w14:textId="77777777" w:rsidR="00880451" w:rsidRPr="00C16BF8" w:rsidRDefault="00880451" w:rsidP="009F30F7">
      <w:pPr>
        <w:spacing w:line="360" w:lineRule="auto"/>
        <w:jc w:val="both"/>
        <w:rPr>
          <w:rFonts w:ascii="Arial" w:hAnsi="Arial" w:cs="Arial"/>
          <w:sz w:val="70"/>
          <w:szCs w:val="70"/>
        </w:rPr>
      </w:pPr>
    </w:p>
    <w:p w14:paraId="748648BB" w14:textId="77777777" w:rsidR="00880451" w:rsidRPr="00C16BF8" w:rsidRDefault="00880451" w:rsidP="009F30F7">
      <w:pPr>
        <w:spacing w:line="360" w:lineRule="auto"/>
        <w:jc w:val="both"/>
        <w:rPr>
          <w:rFonts w:ascii="Arial" w:hAnsi="Arial" w:cs="Arial"/>
          <w:sz w:val="70"/>
          <w:szCs w:val="70"/>
        </w:rPr>
      </w:pPr>
    </w:p>
    <w:p w14:paraId="5EA12CA3" w14:textId="77777777" w:rsidR="007016AC" w:rsidRPr="00C16BF8" w:rsidRDefault="007016AC" w:rsidP="009F30F7">
      <w:pPr>
        <w:spacing w:line="360" w:lineRule="auto"/>
        <w:jc w:val="both"/>
        <w:rPr>
          <w:rFonts w:ascii="Arial" w:hAnsi="Arial" w:cs="Arial"/>
        </w:rPr>
      </w:pPr>
    </w:p>
    <w:p w14:paraId="683A490C" w14:textId="77777777" w:rsidR="00880451" w:rsidRPr="00C16BF8" w:rsidRDefault="00880451" w:rsidP="009F30F7">
      <w:pPr>
        <w:spacing w:line="360" w:lineRule="auto"/>
        <w:jc w:val="center"/>
        <w:rPr>
          <w:rFonts w:ascii="Arial" w:eastAsia="Times New Roman" w:hAnsi="Arial" w:cs="Arial"/>
          <w:b/>
          <w:sz w:val="32"/>
          <w:szCs w:val="28"/>
        </w:rPr>
      </w:pPr>
      <w:r w:rsidRPr="00C16BF8">
        <w:rPr>
          <w:rFonts w:ascii="Arial" w:eastAsia="Times New Roman" w:hAnsi="Arial" w:cs="Arial"/>
          <w:b/>
          <w:sz w:val="32"/>
          <w:szCs w:val="28"/>
        </w:rPr>
        <w:lastRenderedPageBreak/>
        <w:t>DECLARATION</w:t>
      </w:r>
    </w:p>
    <w:p w14:paraId="1F11376A"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This work has not previously been accepted in substance for any degree and is not being concurrently submitted in candidature for any degree</w:t>
      </w:r>
    </w:p>
    <w:p w14:paraId="7287A01E" w14:textId="7A7BCA07" w:rsidR="00880451" w:rsidRPr="00C32357" w:rsidRDefault="00880451" w:rsidP="009F30F7">
      <w:pPr>
        <w:spacing w:line="360" w:lineRule="auto"/>
        <w:jc w:val="both"/>
        <w:rPr>
          <w:rFonts w:ascii="Arial" w:eastAsia="Times New Roman" w:hAnsi="Arial" w:cs="Arial"/>
          <w:sz w:val="24"/>
          <w:szCs w:val="24"/>
        </w:rPr>
      </w:pPr>
      <w:r w:rsidRPr="00C16BF8">
        <w:rPr>
          <w:rFonts w:ascii="Arial" w:eastAsia="Times New Roman" w:hAnsi="Arial" w:cs="Arial"/>
        </w:rPr>
        <w:t>Signed</w:t>
      </w:r>
      <w:r w:rsidR="00C32357">
        <w:rPr>
          <w:rFonts w:ascii="Arial" w:eastAsia="Times New Roman" w:hAnsi="Arial" w:cs="Arial"/>
        </w:rPr>
        <w:t xml:space="preserve"> …… </w:t>
      </w:r>
      <w:r w:rsidR="00C32357">
        <w:rPr>
          <w:rFonts w:ascii="Arial" w:eastAsia="Times New Roman" w:hAnsi="Arial" w:cs="Arial"/>
          <w:sz w:val="40"/>
          <w:szCs w:val="40"/>
        </w:rPr>
        <w:t xml:space="preserve">  </w:t>
      </w:r>
      <w:r w:rsidR="00C32357">
        <w:rPr>
          <w:rFonts w:ascii="Arial" w:eastAsia="Times New Roman" w:hAnsi="Arial" w:cs="Arial"/>
          <w:sz w:val="24"/>
          <w:szCs w:val="24"/>
        </w:rPr>
        <w:t>Shazia Shaban</w:t>
      </w:r>
    </w:p>
    <w:p w14:paraId="58168B18" w14:textId="7974DFA2"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Date……</w:t>
      </w:r>
      <w:r w:rsidR="00C32357">
        <w:rPr>
          <w:rFonts w:ascii="Arial" w:eastAsia="Times New Roman" w:hAnsi="Arial" w:cs="Arial"/>
        </w:rPr>
        <w:t>27\11\2025</w:t>
      </w:r>
    </w:p>
    <w:p w14:paraId="73E2FCA5" w14:textId="77777777" w:rsidR="00880451" w:rsidRPr="00C16BF8" w:rsidRDefault="00880451" w:rsidP="009F30F7">
      <w:pPr>
        <w:spacing w:line="360" w:lineRule="auto"/>
        <w:jc w:val="both"/>
        <w:rPr>
          <w:rFonts w:ascii="Arial" w:eastAsia="Times New Roman" w:hAnsi="Arial" w:cs="Arial"/>
          <w:bCs/>
          <w:kern w:val="32"/>
        </w:rPr>
      </w:pPr>
      <w:r w:rsidRPr="00C16BF8">
        <w:rPr>
          <w:rFonts w:ascii="Arial" w:eastAsia="Times New Roman" w:hAnsi="Arial" w:cs="Arial"/>
          <w:b/>
        </w:rPr>
        <w:t xml:space="preserve">STATEMENT 1 </w:t>
      </w:r>
    </w:p>
    <w:p w14:paraId="6603397B" w14:textId="77777777" w:rsidR="00880451" w:rsidRPr="00C16BF8" w:rsidRDefault="00880451" w:rsidP="009F30F7">
      <w:pPr>
        <w:spacing w:line="360" w:lineRule="auto"/>
        <w:jc w:val="both"/>
        <w:rPr>
          <w:rFonts w:ascii="Arial" w:eastAsia="Times New Roman" w:hAnsi="Arial" w:cs="Arial"/>
          <w:kern w:val="2"/>
        </w:rPr>
      </w:pPr>
      <w:r w:rsidRPr="00C16BF8">
        <w:rPr>
          <w:rFonts w:ascii="Arial" w:eastAsia="Times New Roman" w:hAnsi="Arial" w:cs="Arial"/>
        </w:rPr>
        <w:t>This dissertation is being submitted in partial fulfilment of the requirements for the degree of BSc.</w:t>
      </w:r>
    </w:p>
    <w:p w14:paraId="24C1011F" w14:textId="38F4C7A5"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Signed……</w:t>
      </w:r>
      <w:r w:rsidR="00C32357">
        <w:rPr>
          <w:rFonts w:ascii="Arial" w:eastAsia="Times New Roman" w:hAnsi="Arial" w:cs="Arial"/>
        </w:rPr>
        <w:t>Shazia Shaban</w:t>
      </w:r>
    </w:p>
    <w:p w14:paraId="1B54C925" w14:textId="3F03CC9B"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Date……</w:t>
      </w:r>
      <w:r w:rsidR="00C32357">
        <w:rPr>
          <w:rFonts w:ascii="Arial" w:eastAsia="Times New Roman" w:hAnsi="Arial" w:cs="Arial"/>
        </w:rPr>
        <w:t>27\11\2025</w:t>
      </w:r>
    </w:p>
    <w:p w14:paraId="1EB563D7"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b/>
        </w:rPr>
        <w:t>STATEMENT 2</w:t>
      </w:r>
    </w:p>
    <w:p w14:paraId="2FC3E8F4"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09CC94D0" w14:textId="6351EBFD"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Signed……</w:t>
      </w:r>
      <w:r w:rsidR="00C32357">
        <w:rPr>
          <w:rFonts w:ascii="Arial" w:eastAsia="Times New Roman" w:hAnsi="Arial" w:cs="Arial"/>
        </w:rPr>
        <w:t>Shazia Shaban</w:t>
      </w:r>
    </w:p>
    <w:p w14:paraId="08759D92" w14:textId="08B20D69"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Date………</w:t>
      </w:r>
      <w:r w:rsidR="00C32357">
        <w:rPr>
          <w:rFonts w:ascii="Arial" w:eastAsia="Times New Roman" w:hAnsi="Arial" w:cs="Arial"/>
        </w:rPr>
        <w:t>27\11\2025</w:t>
      </w:r>
      <w:r w:rsidRPr="00C16BF8">
        <w:rPr>
          <w:rFonts w:ascii="Arial" w:eastAsia="Times New Roman" w:hAnsi="Arial" w:cs="Arial"/>
        </w:rPr>
        <w:t xml:space="preserve"> </w:t>
      </w:r>
    </w:p>
    <w:p w14:paraId="232AB1BF"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b/>
        </w:rPr>
        <w:t>STATEMENT 3</w:t>
      </w:r>
    </w:p>
    <w:p w14:paraId="37F1BFB5"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0545BFE" w14:textId="3ABA8A79"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Signed……</w:t>
      </w:r>
      <w:r w:rsidR="00C32357">
        <w:rPr>
          <w:rFonts w:ascii="Arial" w:eastAsia="Times New Roman" w:hAnsi="Arial" w:cs="Arial"/>
        </w:rPr>
        <w:t>Shazia Shaban</w:t>
      </w:r>
    </w:p>
    <w:p w14:paraId="4F5A05ED" w14:textId="081B92D7" w:rsidR="00880451" w:rsidRPr="00C16BF8" w:rsidRDefault="00880451" w:rsidP="009F30F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rPr>
      </w:pPr>
      <w:r w:rsidRPr="00C16BF8">
        <w:rPr>
          <w:rFonts w:ascii="Arial" w:eastAsia="Times New Roman" w:hAnsi="Arial" w:cs="Arial"/>
        </w:rPr>
        <w:t>Date………</w:t>
      </w:r>
      <w:r w:rsidR="00C32357">
        <w:rPr>
          <w:rFonts w:ascii="Arial" w:eastAsia="Times New Roman" w:hAnsi="Arial" w:cs="Arial"/>
        </w:rPr>
        <w:t>27\11\2025</w:t>
      </w:r>
    </w:p>
    <w:p w14:paraId="4BA22918" w14:textId="77777777" w:rsidR="00880451" w:rsidRPr="00C16BF8" w:rsidRDefault="00880451" w:rsidP="009F30F7">
      <w:pPr>
        <w:spacing w:line="360" w:lineRule="auto"/>
        <w:jc w:val="both"/>
        <w:rPr>
          <w:rFonts w:ascii="Arial" w:eastAsia="Times New Roman" w:hAnsi="Arial" w:cs="Arial"/>
          <w:b/>
        </w:rPr>
      </w:pPr>
      <w:r w:rsidRPr="00C16BF8">
        <w:rPr>
          <w:rFonts w:ascii="Arial" w:eastAsia="Times New Roman" w:hAnsi="Arial" w:cs="Arial"/>
          <w:b/>
        </w:rPr>
        <w:t>STATEMENT 4</w:t>
      </w:r>
    </w:p>
    <w:p w14:paraId="270F48F3" w14:textId="77777777"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I hereby give consent for my dissertation, if accepted, to be available on the university’s IT system to those who have consent to use the system.</w:t>
      </w:r>
    </w:p>
    <w:p w14:paraId="106E53D8" w14:textId="5F733998" w:rsidR="00880451" w:rsidRPr="00C16BF8" w:rsidRDefault="00880451" w:rsidP="009F30F7">
      <w:pPr>
        <w:spacing w:line="360" w:lineRule="auto"/>
        <w:jc w:val="both"/>
        <w:rPr>
          <w:rFonts w:ascii="Arial" w:eastAsia="Times New Roman" w:hAnsi="Arial" w:cs="Arial"/>
        </w:rPr>
      </w:pPr>
      <w:r w:rsidRPr="00C16BF8">
        <w:rPr>
          <w:rFonts w:ascii="Arial" w:eastAsia="Times New Roman" w:hAnsi="Arial" w:cs="Arial"/>
        </w:rPr>
        <w:t>Signed……</w:t>
      </w:r>
      <w:r w:rsidR="00C32357">
        <w:rPr>
          <w:rFonts w:ascii="Arial" w:eastAsia="Times New Roman" w:hAnsi="Arial" w:cs="Arial"/>
        </w:rPr>
        <w:t>Shazia Shaban</w:t>
      </w:r>
    </w:p>
    <w:p w14:paraId="73933678" w14:textId="027B790B" w:rsidR="00880451" w:rsidRPr="00C16BF8" w:rsidRDefault="00880451" w:rsidP="009F30F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rPr>
      </w:pPr>
      <w:r w:rsidRPr="00C16BF8">
        <w:rPr>
          <w:rFonts w:ascii="Arial" w:eastAsia="Times New Roman" w:hAnsi="Arial" w:cs="Arial"/>
        </w:rPr>
        <w:t>Date………</w:t>
      </w:r>
      <w:r w:rsidR="00C32357">
        <w:rPr>
          <w:rFonts w:ascii="Arial" w:eastAsia="Times New Roman" w:hAnsi="Arial" w:cs="Arial"/>
        </w:rPr>
        <w:t>27\11\2025</w:t>
      </w:r>
    </w:p>
    <w:p w14:paraId="719D91DA" w14:textId="77777777" w:rsidR="00880451" w:rsidRPr="00C16BF8" w:rsidRDefault="00880451" w:rsidP="009F30F7">
      <w:pPr>
        <w:spacing w:line="360" w:lineRule="auto"/>
        <w:jc w:val="both"/>
        <w:rPr>
          <w:rFonts w:ascii="Arial" w:eastAsiaTheme="minorEastAsia" w:hAnsi="Arial" w:cs="Arial"/>
        </w:rPr>
      </w:pPr>
    </w:p>
    <w:p w14:paraId="44F14691" w14:textId="77777777" w:rsidR="00A557CD" w:rsidRPr="00C16BF8" w:rsidRDefault="00A557CD" w:rsidP="009F30F7">
      <w:pPr>
        <w:pStyle w:val="NormalWeb"/>
        <w:spacing w:line="360" w:lineRule="auto"/>
        <w:jc w:val="both"/>
        <w:rPr>
          <w:rFonts w:ascii="Arial" w:hAnsi="Arial" w:cs="Arial"/>
        </w:rPr>
      </w:pPr>
    </w:p>
    <w:p w14:paraId="3D597F3A" w14:textId="2E849689" w:rsidR="000747E3" w:rsidRPr="00C32357" w:rsidRDefault="000747E3" w:rsidP="00C32357">
      <w:pPr>
        <w:spacing w:line="360" w:lineRule="auto"/>
        <w:jc w:val="center"/>
        <w:rPr>
          <w:rFonts w:ascii="Arial" w:hAnsi="Arial" w:cs="Arial"/>
          <w:b/>
          <w:sz w:val="44"/>
        </w:rPr>
      </w:pPr>
      <w:r w:rsidRPr="00C16BF8">
        <w:rPr>
          <w:rFonts w:ascii="Arial" w:hAnsi="Arial" w:cs="Arial"/>
          <w:b/>
          <w:sz w:val="44"/>
        </w:rPr>
        <w:t xml:space="preserve">The </w:t>
      </w:r>
      <w:r w:rsidR="00A557CD" w:rsidRPr="00C16BF8">
        <w:rPr>
          <w:rFonts w:ascii="Arial" w:hAnsi="Arial" w:cs="Arial"/>
          <w:b/>
          <w:sz w:val="44"/>
        </w:rPr>
        <w:t xml:space="preserve">Impact </w:t>
      </w:r>
      <w:r w:rsidR="009F30F7" w:rsidRPr="00C16BF8">
        <w:rPr>
          <w:rFonts w:ascii="Arial" w:hAnsi="Arial" w:cs="Arial"/>
          <w:b/>
          <w:sz w:val="44"/>
        </w:rPr>
        <w:t>of</w:t>
      </w:r>
      <w:r w:rsidR="00A557CD" w:rsidRPr="00C16BF8">
        <w:rPr>
          <w:rFonts w:ascii="Arial" w:hAnsi="Arial" w:cs="Arial"/>
          <w:b/>
          <w:sz w:val="44"/>
        </w:rPr>
        <w:t xml:space="preserve"> </w:t>
      </w:r>
      <w:r w:rsidRPr="00C16BF8">
        <w:rPr>
          <w:rFonts w:ascii="Arial" w:hAnsi="Arial" w:cs="Arial"/>
          <w:b/>
          <w:sz w:val="44"/>
        </w:rPr>
        <w:t>COVID</w:t>
      </w:r>
      <w:r w:rsidR="00A557CD" w:rsidRPr="00C16BF8">
        <w:rPr>
          <w:rFonts w:ascii="Arial" w:hAnsi="Arial" w:cs="Arial"/>
          <w:b/>
          <w:sz w:val="44"/>
        </w:rPr>
        <w:t xml:space="preserve">-19 Pandemic On Healthcare Staff </w:t>
      </w:r>
      <w:r w:rsidR="009F30F7" w:rsidRPr="00C16BF8">
        <w:rPr>
          <w:rFonts w:ascii="Arial" w:hAnsi="Arial" w:cs="Arial"/>
          <w:b/>
          <w:sz w:val="44"/>
        </w:rPr>
        <w:t>in</w:t>
      </w:r>
      <w:r w:rsidR="00A557CD" w:rsidRPr="00C16BF8">
        <w:rPr>
          <w:rFonts w:ascii="Arial" w:hAnsi="Arial" w:cs="Arial"/>
          <w:b/>
          <w:sz w:val="44"/>
        </w:rPr>
        <w:t xml:space="preserve"> The </w:t>
      </w:r>
      <w:r w:rsidRPr="00C16BF8">
        <w:rPr>
          <w:rFonts w:ascii="Arial" w:hAnsi="Arial" w:cs="Arial"/>
          <w:b/>
          <w:sz w:val="44"/>
        </w:rPr>
        <w:t>UK</w:t>
      </w:r>
      <w:r w:rsidR="00A557CD" w:rsidRPr="00C16BF8">
        <w:rPr>
          <w:rFonts w:ascii="Arial" w:hAnsi="Arial" w:cs="Arial"/>
          <w:b/>
          <w:sz w:val="44"/>
        </w:rPr>
        <w:t xml:space="preserve">: </w:t>
      </w:r>
      <w:r w:rsidRPr="00C16BF8">
        <w:rPr>
          <w:rFonts w:ascii="Arial" w:hAnsi="Arial" w:cs="Arial"/>
          <w:b/>
          <w:sz w:val="44"/>
        </w:rPr>
        <w:t xml:space="preserve">A </w:t>
      </w:r>
      <w:r w:rsidR="00A557CD" w:rsidRPr="00C16BF8">
        <w:rPr>
          <w:rFonts w:ascii="Arial" w:hAnsi="Arial" w:cs="Arial"/>
          <w:b/>
          <w:sz w:val="44"/>
        </w:rPr>
        <w:t xml:space="preserve">Thematic Synthesis </w:t>
      </w:r>
      <w:r w:rsidR="009F30F7" w:rsidRPr="00C16BF8">
        <w:rPr>
          <w:rFonts w:ascii="Arial" w:hAnsi="Arial" w:cs="Arial"/>
          <w:b/>
          <w:sz w:val="44"/>
        </w:rPr>
        <w:t>of</w:t>
      </w:r>
      <w:r w:rsidR="00A557CD" w:rsidRPr="00C16BF8">
        <w:rPr>
          <w:rFonts w:ascii="Arial" w:hAnsi="Arial" w:cs="Arial"/>
          <w:b/>
          <w:sz w:val="44"/>
        </w:rPr>
        <w:t xml:space="preserve"> Qualitative Studies On Mental Health, Burnout, And Coping Strategies</w:t>
      </w:r>
    </w:p>
    <w:p w14:paraId="2D729A5B" w14:textId="12CCE9DD" w:rsidR="000747E3" w:rsidRDefault="00C32357" w:rsidP="009F30F7">
      <w:pPr>
        <w:pStyle w:val="NormalWeb"/>
        <w:spacing w:line="360" w:lineRule="auto"/>
        <w:jc w:val="both"/>
        <w:rPr>
          <w:rFonts w:ascii="Arial" w:hAnsi="Arial" w:cs="Arial"/>
          <w:sz w:val="40"/>
          <w:szCs w:val="40"/>
        </w:rPr>
      </w:pPr>
      <w:r>
        <w:rPr>
          <w:rFonts w:ascii="Arial" w:hAnsi="Arial" w:cs="Arial"/>
          <w:sz w:val="40"/>
          <w:szCs w:val="40"/>
        </w:rPr>
        <w:t>Student Name: Shazia Shaban</w:t>
      </w:r>
    </w:p>
    <w:p w14:paraId="2B2FB7D5" w14:textId="77AA7000" w:rsidR="00C32357" w:rsidRDefault="00C32357" w:rsidP="009F30F7">
      <w:pPr>
        <w:pStyle w:val="NormalWeb"/>
        <w:spacing w:line="360" w:lineRule="auto"/>
        <w:jc w:val="both"/>
        <w:rPr>
          <w:rFonts w:ascii="Arial" w:hAnsi="Arial" w:cs="Arial"/>
          <w:sz w:val="40"/>
          <w:szCs w:val="40"/>
        </w:rPr>
      </w:pPr>
      <w:r>
        <w:rPr>
          <w:rFonts w:ascii="Arial" w:hAnsi="Arial" w:cs="Arial"/>
          <w:sz w:val="40"/>
          <w:szCs w:val="40"/>
        </w:rPr>
        <w:t>Student Number: 2224730</w:t>
      </w:r>
    </w:p>
    <w:p w14:paraId="36DF462C" w14:textId="1D06EFF4" w:rsidR="00C32357" w:rsidRPr="00C32357" w:rsidRDefault="00C32357" w:rsidP="009F30F7">
      <w:pPr>
        <w:pStyle w:val="NormalWeb"/>
        <w:spacing w:line="360" w:lineRule="auto"/>
        <w:jc w:val="both"/>
        <w:rPr>
          <w:rFonts w:ascii="Arial" w:hAnsi="Arial" w:cs="Arial"/>
          <w:sz w:val="40"/>
          <w:szCs w:val="40"/>
        </w:rPr>
      </w:pPr>
      <w:r>
        <w:rPr>
          <w:rFonts w:ascii="Arial" w:hAnsi="Arial" w:cs="Arial"/>
          <w:sz w:val="40"/>
          <w:szCs w:val="40"/>
        </w:rPr>
        <w:t>Module Code: BMHP6020</w:t>
      </w:r>
    </w:p>
    <w:p w14:paraId="494B4B87" w14:textId="5C9C4D9D" w:rsidR="00C32357" w:rsidRPr="00C32357" w:rsidRDefault="00960FC7" w:rsidP="009F30F7">
      <w:pPr>
        <w:pStyle w:val="NormalWeb"/>
        <w:spacing w:line="360" w:lineRule="auto"/>
        <w:jc w:val="both"/>
        <w:rPr>
          <w:rFonts w:ascii="Arial" w:hAnsi="Arial" w:cs="Arial"/>
          <w:sz w:val="40"/>
          <w:szCs w:val="40"/>
        </w:rPr>
      </w:pPr>
      <w:r>
        <w:rPr>
          <w:rFonts w:ascii="Arial" w:hAnsi="Arial" w:cs="Arial"/>
          <w:sz w:val="40"/>
          <w:szCs w:val="40"/>
        </w:rPr>
        <w:t>Lecturer Name: Chloe Harries</w:t>
      </w:r>
    </w:p>
    <w:p w14:paraId="20985713" w14:textId="77777777" w:rsidR="000747E3" w:rsidRPr="00C16BF8" w:rsidRDefault="000747E3" w:rsidP="009F30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sz w:val="40"/>
          <w:szCs w:val="40"/>
        </w:rPr>
      </w:pPr>
      <w:r w:rsidRPr="00C16BF8">
        <w:rPr>
          <w:rFonts w:ascii="Arial" w:eastAsia="Arial Unicode MS" w:hAnsi="Arial" w:cs="Arial"/>
          <w:sz w:val="40"/>
          <w:szCs w:val="40"/>
        </w:rPr>
        <w:t>Dissertation submitted as part of the requirements for the award BSc (Hons) Health and Social Care</w:t>
      </w:r>
    </w:p>
    <w:p w14:paraId="0F51285B" w14:textId="77777777" w:rsidR="000747E3" w:rsidRPr="00C16BF8" w:rsidRDefault="000747E3" w:rsidP="009F30F7">
      <w:pPr>
        <w:pStyle w:val="NormalWeb"/>
        <w:spacing w:line="360" w:lineRule="auto"/>
        <w:jc w:val="both"/>
        <w:rPr>
          <w:rFonts w:ascii="Arial" w:hAnsi="Arial" w:cs="Arial"/>
        </w:rPr>
      </w:pPr>
    </w:p>
    <w:p w14:paraId="3785E43B" w14:textId="77777777" w:rsidR="00880451" w:rsidRPr="00C16BF8" w:rsidRDefault="00880451" w:rsidP="009F30F7">
      <w:pPr>
        <w:pStyle w:val="NormalWeb"/>
        <w:spacing w:line="360" w:lineRule="auto"/>
        <w:jc w:val="both"/>
        <w:rPr>
          <w:rFonts w:ascii="Arial" w:hAnsi="Arial" w:cs="Arial"/>
        </w:rPr>
      </w:pPr>
    </w:p>
    <w:p w14:paraId="2691759D" w14:textId="77777777" w:rsidR="000747E3" w:rsidRPr="00C16BF8" w:rsidRDefault="000747E3" w:rsidP="009F30F7">
      <w:pPr>
        <w:pStyle w:val="NormalWeb"/>
        <w:spacing w:line="360" w:lineRule="auto"/>
        <w:jc w:val="both"/>
        <w:rPr>
          <w:rFonts w:ascii="Arial" w:hAnsi="Arial" w:cs="Arial"/>
        </w:rPr>
      </w:pPr>
    </w:p>
    <w:p w14:paraId="3559DB22" w14:textId="77777777" w:rsidR="000747E3" w:rsidRPr="00C16BF8" w:rsidRDefault="000747E3" w:rsidP="009F30F7">
      <w:pPr>
        <w:pStyle w:val="NormalWeb"/>
        <w:spacing w:line="360" w:lineRule="auto"/>
        <w:jc w:val="both"/>
        <w:rPr>
          <w:rFonts w:ascii="Arial" w:hAnsi="Arial" w:cs="Arial"/>
        </w:rPr>
      </w:pPr>
    </w:p>
    <w:p w14:paraId="53386BAF" w14:textId="77777777" w:rsidR="00F94D52" w:rsidRPr="00C16BF8" w:rsidRDefault="00F94D52" w:rsidP="00FA7090">
      <w:pPr>
        <w:pStyle w:val="NormalWeb"/>
        <w:spacing w:line="360" w:lineRule="auto"/>
        <w:jc w:val="center"/>
        <w:rPr>
          <w:rFonts w:ascii="Arial" w:hAnsi="Arial" w:cs="Arial"/>
          <w:b/>
          <w:sz w:val="32"/>
        </w:rPr>
      </w:pPr>
      <w:r w:rsidRPr="00C16BF8">
        <w:rPr>
          <w:rFonts w:ascii="Arial" w:hAnsi="Arial" w:cs="Arial"/>
          <w:b/>
          <w:sz w:val="32"/>
        </w:rPr>
        <w:t>ACKNOWLEDGEMENTS</w:t>
      </w:r>
    </w:p>
    <w:p w14:paraId="36880B97" w14:textId="77777777" w:rsidR="00F94D52" w:rsidRPr="00C16BF8" w:rsidRDefault="00F94D52" w:rsidP="009F30F7">
      <w:pPr>
        <w:pStyle w:val="NormalWeb"/>
        <w:spacing w:line="360" w:lineRule="auto"/>
        <w:jc w:val="both"/>
        <w:rPr>
          <w:rFonts w:ascii="Arial" w:hAnsi="Arial" w:cs="Arial"/>
          <w:sz w:val="22"/>
        </w:rPr>
      </w:pPr>
      <w:r w:rsidRPr="00C16BF8">
        <w:rPr>
          <w:rFonts w:ascii="Arial" w:hAnsi="Arial" w:cs="Arial"/>
          <w:sz w:val="22"/>
        </w:rPr>
        <w:t>I would like to express my sincere gratitude to my supervisor for their guidance, constructive feedback, and steady encouragement throughout this Independent Project. Their insights helped me refine my thinking and keep the work focused and rigorous.</w:t>
      </w:r>
    </w:p>
    <w:p w14:paraId="1C3172BB" w14:textId="77777777" w:rsidR="00F94D52" w:rsidRPr="00C16BF8" w:rsidRDefault="00F94D52" w:rsidP="009F30F7">
      <w:pPr>
        <w:pStyle w:val="NormalWeb"/>
        <w:spacing w:line="360" w:lineRule="auto"/>
        <w:jc w:val="both"/>
        <w:rPr>
          <w:rFonts w:ascii="Arial" w:hAnsi="Arial" w:cs="Arial"/>
          <w:sz w:val="22"/>
        </w:rPr>
      </w:pPr>
      <w:r w:rsidRPr="00C16BF8">
        <w:rPr>
          <w:rFonts w:ascii="Arial" w:hAnsi="Arial" w:cs="Arial"/>
          <w:sz w:val="22"/>
        </w:rPr>
        <w:t>My thanks also go to the academic and library teams for their support with literature searching and access to resources, which proved invaluable for a desk-based, qualitative synthesis of this scope. I am grateful to the programme lecturers for their teaching across the BSc (Hons) Health and Social Care, which shaped the skills and perspectives I brought to this dissertation.</w:t>
      </w:r>
    </w:p>
    <w:p w14:paraId="300B1F5D" w14:textId="77777777" w:rsidR="00F94D52" w:rsidRPr="00C16BF8" w:rsidRDefault="00F94D52" w:rsidP="009F30F7">
      <w:pPr>
        <w:pStyle w:val="NormalWeb"/>
        <w:spacing w:line="360" w:lineRule="auto"/>
        <w:jc w:val="both"/>
        <w:rPr>
          <w:rFonts w:ascii="Arial" w:hAnsi="Arial" w:cs="Arial"/>
          <w:sz w:val="22"/>
        </w:rPr>
      </w:pPr>
      <w:r w:rsidRPr="00C16BF8">
        <w:rPr>
          <w:rFonts w:ascii="Arial" w:hAnsi="Arial" w:cs="Arial"/>
          <w:sz w:val="22"/>
        </w:rPr>
        <w:t>I extend heartfelt appreciation to healthcare workers across the UK whose experiences and reflections form the foundation of this work. Although this project is based on published studies, the courage and professionalism evident in those accounts inspired the aims, analysis, and recommendations presented here.</w:t>
      </w:r>
    </w:p>
    <w:p w14:paraId="35BF0BCD" w14:textId="77777777" w:rsidR="00F94D52" w:rsidRPr="00C16BF8" w:rsidRDefault="00F94D52" w:rsidP="009F30F7">
      <w:pPr>
        <w:pStyle w:val="NormalWeb"/>
        <w:spacing w:line="360" w:lineRule="auto"/>
        <w:jc w:val="both"/>
        <w:rPr>
          <w:rFonts w:ascii="Arial" w:hAnsi="Arial" w:cs="Arial"/>
          <w:sz w:val="22"/>
        </w:rPr>
      </w:pPr>
      <w:r w:rsidRPr="00C16BF8">
        <w:rPr>
          <w:rFonts w:ascii="Arial" w:hAnsi="Arial" w:cs="Arial"/>
          <w:sz w:val="22"/>
        </w:rPr>
        <w:t>To my family and friends, thank you for your patience, understanding, and encouragement during the research and writing process. Your support made it possible to balance study with other commitments.</w:t>
      </w:r>
    </w:p>
    <w:p w14:paraId="7D348937" w14:textId="77777777" w:rsidR="00F94D52" w:rsidRPr="00C16BF8" w:rsidRDefault="00F94D52" w:rsidP="009F30F7">
      <w:pPr>
        <w:pStyle w:val="NormalWeb"/>
        <w:spacing w:line="360" w:lineRule="auto"/>
        <w:jc w:val="both"/>
        <w:rPr>
          <w:rFonts w:ascii="Arial" w:hAnsi="Arial" w:cs="Arial"/>
          <w:sz w:val="22"/>
        </w:rPr>
      </w:pPr>
      <w:r w:rsidRPr="00C16BF8">
        <w:rPr>
          <w:rFonts w:ascii="Arial" w:hAnsi="Arial" w:cs="Arial"/>
          <w:sz w:val="22"/>
        </w:rPr>
        <w:t>Finally, I am grateful to my peers for their thoughtful discussions and mutual support, which sustained motivation and sharpened ideas along the way. Any errors or omissions are my own.</w:t>
      </w:r>
    </w:p>
    <w:p w14:paraId="638109B3" w14:textId="77777777" w:rsidR="00FA7090" w:rsidRPr="00C16BF8" w:rsidRDefault="00FA7090" w:rsidP="009F30F7">
      <w:pPr>
        <w:pStyle w:val="NormalWeb"/>
        <w:spacing w:line="360" w:lineRule="auto"/>
        <w:jc w:val="both"/>
        <w:rPr>
          <w:rFonts w:ascii="Arial" w:hAnsi="Arial" w:cs="Arial"/>
        </w:rPr>
      </w:pPr>
    </w:p>
    <w:p w14:paraId="685E08A4" w14:textId="77777777" w:rsidR="00FA7090" w:rsidRPr="00C16BF8" w:rsidRDefault="00FA7090" w:rsidP="009F30F7">
      <w:pPr>
        <w:pStyle w:val="NormalWeb"/>
        <w:spacing w:line="360" w:lineRule="auto"/>
        <w:jc w:val="both"/>
        <w:rPr>
          <w:rFonts w:ascii="Arial" w:hAnsi="Arial" w:cs="Arial"/>
        </w:rPr>
      </w:pPr>
    </w:p>
    <w:p w14:paraId="7A7E7C01" w14:textId="77777777" w:rsidR="00FA7090" w:rsidRPr="00C16BF8" w:rsidRDefault="00FA7090" w:rsidP="009F30F7">
      <w:pPr>
        <w:pStyle w:val="NormalWeb"/>
        <w:spacing w:line="360" w:lineRule="auto"/>
        <w:jc w:val="both"/>
        <w:rPr>
          <w:rFonts w:ascii="Arial" w:hAnsi="Arial" w:cs="Arial"/>
        </w:rPr>
      </w:pPr>
    </w:p>
    <w:p w14:paraId="616818F0" w14:textId="77777777" w:rsidR="00FA7090" w:rsidRPr="00C16BF8" w:rsidRDefault="00FA7090" w:rsidP="009F30F7">
      <w:pPr>
        <w:pStyle w:val="NormalWeb"/>
        <w:spacing w:line="360" w:lineRule="auto"/>
        <w:jc w:val="both"/>
        <w:rPr>
          <w:rFonts w:ascii="Arial" w:hAnsi="Arial" w:cs="Arial"/>
        </w:rPr>
      </w:pPr>
    </w:p>
    <w:p w14:paraId="7191A2A6" w14:textId="77777777" w:rsidR="000747E3" w:rsidRPr="00C16BF8" w:rsidRDefault="000747E3" w:rsidP="009F30F7">
      <w:pPr>
        <w:pStyle w:val="NormalWeb"/>
        <w:spacing w:line="360" w:lineRule="auto"/>
        <w:jc w:val="both"/>
        <w:rPr>
          <w:rFonts w:ascii="Arial" w:hAnsi="Arial" w:cs="Arial"/>
        </w:rPr>
      </w:pPr>
    </w:p>
    <w:p w14:paraId="7B19B6FB" w14:textId="77777777" w:rsidR="00365A92" w:rsidRPr="00C16BF8" w:rsidRDefault="00365A92" w:rsidP="009F30F7">
      <w:pPr>
        <w:pStyle w:val="NormalWeb"/>
        <w:spacing w:line="360" w:lineRule="auto"/>
        <w:jc w:val="both"/>
        <w:rPr>
          <w:rFonts w:ascii="Arial" w:hAnsi="Arial" w:cs="Arial"/>
        </w:rPr>
      </w:pPr>
    </w:p>
    <w:p w14:paraId="248DC4FB" w14:textId="77777777" w:rsidR="00365A92" w:rsidRPr="00C16BF8" w:rsidRDefault="00365A92" w:rsidP="009F30F7">
      <w:pPr>
        <w:pStyle w:val="NormalWeb"/>
        <w:spacing w:line="360" w:lineRule="auto"/>
        <w:jc w:val="both"/>
        <w:rPr>
          <w:rFonts w:ascii="Arial" w:hAnsi="Arial" w:cs="Arial"/>
        </w:rPr>
      </w:pPr>
    </w:p>
    <w:p w14:paraId="6DCA8628" w14:textId="77777777" w:rsidR="00DC4335" w:rsidRPr="00C16BF8" w:rsidRDefault="00DC4335" w:rsidP="00365A92">
      <w:pPr>
        <w:pStyle w:val="NormalWeb"/>
        <w:spacing w:line="360" w:lineRule="auto"/>
        <w:jc w:val="center"/>
        <w:rPr>
          <w:rFonts w:ascii="Arial" w:hAnsi="Arial" w:cs="Arial"/>
          <w:b/>
          <w:sz w:val="32"/>
        </w:rPr>
      </w:pPr>
      <w:r w:rsidRPr="00C16BF8">
        <w:rPr>
          <w:rFonts w:ascii="Arial" w:hAnsi="Arial" w:cs="Arial"/>
          <w:b/>
          <w:sz w:val="32"/>
        </w:rPr>
        <w:t>ABSTRACT</w:t>
      </w:r>
    </w:p>
    <w:p w14:paraId="0D89967C" w14:textId="77777777" w:rsidR="00DC4335" w:rsidRPr="00C16BF8" w:rsidRDefault="00DC4335" w:rsidP="009F30F7">
      <w:pPr>
        <w:pStyle w:val="NormalWeb"/>
        <w:spacing w:line="360" w:lineRule="auto"/>
        <w:jc w:val="both"/>
        <w:rPr>
          <w:rFonts w:ascii="Arial" w:hAnsi="Arial" w:cs="Arial"/>
          <w:b/>
          <w:sz w:val="22"/>
        </w:rPr>
      </w:pPr>
      <w:r w:rsidRPr="00C16BF8">
        <w:rPr>
          <w:rFonts w:ascii="Arial" w:hAnsi="Arial" w:cs="Arial"/>
          <w:b/>
          <w:sz w:val="22"/>
        </w:rPr>
        <w:t>Purpose, aim and objectives:</w:t>
      </w:r>
      <w:r w:rsidR="009D1156" w:rsidRPr="00C16BF8">
        <w:rPr>
          <w:rFonts w:ascii="Arial" w:hAnsi="Arial" w:cs="Arial"/>
          <w:b/>
          <w:sz w:val="22"/>
        </w:rPr>
        <w:t xml:space="preserve"> </w:t>
      </w:r>
      <w:r w:rsidRPr="00C16BF8">
        <w:rPr>
          <w:rFonts w:ascii="Arial" w:hAnsi="Arial" w:cs="Arial"/>
          <w:sz w:val="22"/>
        </w:rPr>
        <w:t>This dissertation synthesises qualitative evidence on how the COVID-19 pandemic affected the mental health of UK healthcare workers (HCWs). The aim was to understand the psychological burden (stress, anxiety, depression, insomnia/PTSD-type reactions, burnout and moral distress), the lived experience of staff across UK settings, the strengths and limitations of coping strategies, and to generate actionable recommendations for support systems, policy and future planning. The work matters for health and social care because staff wellbeing underpins safe, compassionate, and sustainable services, workforce retention, and preparedness for future shocks. Four objectives guided the study: (1) outline core psychological outcomes; (2) synthesise frontline experiences across ICU/acute, ED/ambulance, primary/community care and care homes; (3) evaluate coping strategies and their limitations; and (4) propose evidence-informed, setting-sensitive recommendations.</w:t>
      </w:r>
    </w:p>
    <w:p w14:paraId="725EC087" w14:textId="77777777" w:rsidR="00DC4335" w:rsidRPr="00C16BF8" w:rsidRDefault="00DC4335" w:rsidP="009F30F7">
      <w:pPr>
        <w:pStyle w:val="NormalWeb"/>
        <w:spacing w:line="360" w:lineRule="auto"/>
        <w:jc w:val="both"/>
        <w:rPr>
          <w:rFonts w:ascii="Arial" w:hAnsi="Arial" w:cs="Arial"/>
          <w:b/>
          <w:sz w:val="22"/>
        </w:rPr>
      </w:pPr>
      <w:r w:rsidRPr="00C16BF8">
        <w:rPr>
          <w:rFonts w:ascii="Arial" w:hAnsi="Arial" w:cs="Arial"/>
          <w:b/>
          <w:sz w:val="22"/>
        </w:rPr>
        <w:t>Methods:</w:t>
      </w:r>
      <w:r w:rsidR="009D1156" w:rsidRPr="00C16BF8">
        <w:rPr>
          <w:rFonts w:ascii="Arial" w:hAnsi="Arial" w:cs="Arial"/>
          <w:b/>
          <w:sz w:val="22"/>
        </w:rPr>
        <w:t xml:space="preserve"> </w:t>
      </w:r>
      <w:r w:rsidRPr="00C16BF8">
        <w:rPr>
          <w:rFonts w:ascii="Arial" w:hAnsi="Arial" w:cs="Arial"/>
          <w:sz w:val="22"/>
        </w:rPr>
        <w:t>A desk-based, literature-led study was conducted using thematic analysis of UK-relevant qualitative research and rapid reviews published since 2020. Searches used structured keywords and Boolean operators across academic databases and reputable organisational sources. Studies were screened with inclusion/exclusion criteria, validated with skimming and the CRAAP test, and analysed through iterative coding into themes.</w:t>
      </w:r>
    </w:p>
    <w:p w14:paraId="380CDEB3" w14:textId="77777777" w:rsidR="00DC4335" w:rsidRPr="00C16BF8" w:rsidRDefault="00DC4335" w:rsidP="009F30F7">
      <w:pPr>
        <w:pStyle w:val="NormalWeb"/>
        <w:spacing w:line="360" w:lineRule="auto"/>
        <w:jc w:val="both"/>
        <w:rPr>
          <w:rFonts w:ascii="Arial" w:hAnsi="Arial" w:cs="Arial"/>
          <w:b/>
          <w:sz w:val="22"/>
        </w:rPr>
      </w:pPr>
      <w:r w:rsidRPr="00C16BF8">
        <w:rPr>
          <w:rFonts w:ascii="Arial" w:hAnsi="Arial" w:cs="Arial"/>
          <w:b/>
          <w:sz w:val="22"/>
        </w:rPr>
        <w:t>Findings:</w:t>
      </w:r>
      <w:r w:rsidR="009D1156" w:rsidRPr="00C16BF8">
        <w:rPr>
          <w:rFonts w:ascii="Arial" w:hAnsi="Arial" w:cs="Arial"/>
          <w:b/>
          <w:sz w:val="22"/>
        </w:rPr>
        <w:t xml:space="preserve"> </w:t>
      </w:r>
      <w:r w:rsidRPr="00C16BF8">
        <w:rPr>
          <w:rFonts w:ascii="Arial" w:hAnsi="Arial" w:cs="Arial"/>
          <w:sz w:val="22"/>
        </w:rPr>
        <w:t>Theme 1 identified substantial psychological burden, with burnout and moral distress linked to extreme demands, uncertainty and constrained resources. Theme 2 showed that setting shaped stressors and supports: ICU/acute (mortality, visitor restrictions), ED/ambulance (unceasing pace), primary/community (remote triage, isolation), and care homes (high loss, perceived neglect). Theme 3 found peer solidarity, embedded psychological input and practical “resource gains” were most acceptable and useful; uptake was limited by time pressure, stigma/confidentiality concerns, offer–need mismatch and inequity. Theme 4 translated evidence into multi-level recommendations spanning staffing/rotas and protected recovery, compassionate leadership and just culture, embedded psychology and peer structures, equity and ethics support, metrics with action loops, and surge preparedness.</w:t>
      </w:r>
    </w:p>
    <w:p w14:paraId="60C842FB" w14:textId="77777777" w:rsidR="00DC4335" w:rsidRPr="00C16BF8" w:rsidRDefault="00DC4335" w:rsidP="009F30F7">
      <w:pPr>
        <w:pStyle w:val="NormalWeb"/>
        <w:spacing w:line="360" w:lineRule="auto"/>
        <w:jc w:val="both"/>
        <w:rPr>
          <w:rFonts w:ascii="Arial" w:hAnsi="Arial" w:cs="Arial"/>
          <w:b/>
          <w:sz w:val="22"/>
        </w:rPr>
      </w:pPr>
      <w:r w:rsidRPr="00C16BF8">
        <w:rPr>
          <w:rFonts w:ascii="Arial" w:hAnsi="Arial" w:cs="Arial"/>
          <w:b/>
          <w:sz w:val="22"/>
        </w:rPr>
        <w:t>Limitations and barriers:</w:t>
      </w:r>
      <w:r w:rsidR="009D1156" w:rsidRPr="00C16BF8">
        <w:rPr>
          <w:rFonts w:ascii="Arial" w:hAnsi="Arial" w:cs="Arial"/>
          <w:b/>
          <w:sz w:val="22"/>
        </w:rPr>
        <w:t xml:space="preserve"> </w:t>
      </w:r>
      <w:r w:rsidRPr="00C16BF8">
        <w:rPr>
          <w:rFonts w:ascii="Arial" w:hAnsi="Arial" w:cs="Arial"/>
          <w:sz w:val="22"/>
        </w:rPr>
        <w:t>Reliance on secondary literature, uneven coverage across roles/settings, and evolving policies limit generalisability; time and access constraints reported by staff can also hinder implementation.</w:t>
      </w:r>
    </w:p>
    <w:p w14:paraId="7DBE7BBC" w14:textId="77777777" w:rsidR="00DC4335" w:rsidRPr="00C16BF8" w:rsidRDefault="00DC4335" w:rsidP="009F30F7">
      <w:pPr>
        <w:pStyle w:val="NormalWeb"/>
        <w:spacing w:line="360" w:lineRule="auto"/>
        <w:jc w:val="both"/>
        <w:rPr>
          <w:rFonts w:ascii="Arial" w:hAnsi="Arial" w:cs="Arial"/>
          <w:b/>
          <w:sz w:val="22"/>
        </w:rPr>
      </w:pPr>
      <w:r w:rsidRPr="00C16BF8">
        <w:rPr>
          <w:rFonts w:ascii="Arial" w:hAnsi="Arial" w:cs="Arial"/>
          <w:b/>
          <w:sz w:val="22"/>
        </w:rPr>
        <w:t>Recommendations and impact:</w:t>
      </w:r>
      <w:r w:rsidR="009D1156" w:rsidRPr="00C16BF8">
        <w:rPr>
          <w:rFonts w:ascii="Arial" w:hAnsi="Arial" w:cs="Arial"/>
          <w:b/>
          <w:sz w:val="22"/>
        </w:rPr>
        <w:t xml:space="preserve"> </w:t>
      </w:r>
      <w:r w:rsidRPr="00C16BF8">
        <w:rPr>
          <w:rFonts w:ascii="Arial" w:hAnsi="Arial" w:cs="Arial"/>
          <w:sz w:val="22"/>
        </w:rPr>
        <w:t>Prioritise protected breaks and recovery-oriented rotas; embed psychologically informed, brief, in-workflow support; institutionalise ethics huddles and blame-free debriefs; ensure equity for all staff groups; monitor wellbeing/process indicators with rapid improvement cycles. Implications span practice (team design, supervision), policy (People Plan alignment, parity clauses), education (micro-skills for recovery), and research (longitudinal and under-represented settings).</w:t>
      </w:r>
    </w:p>
    <w:p w14:paraId="0F9DD25C" w14:textId="77777777" w:rsidR="00E02572" w:rsidRPr="00C16BF8" w:rsidRDefault="00E02572" w:rsidP="009F30F7">
      <w:pPr>
        <w:pStyle w:val="NormalWeb"/>
        <w:spacing w:line="360" w:lineRule="auto"/>
        <w:jc w:val="both"/>
        <w:rPr>
          <w:rFonts w:ascii="Arial" w:hAnsi="Arial" w:cs="Arial"/>
          <w:sz w:val="22"/>
        </w:rPr>
      </w:pPr>
    </w:p>
    <w:p w14:paraId="349BDF07" w14:textId="77777777" w:rsidR="009D1156" w:rsidRPr="00C16BF8" w:rsidRDefault="009D1156" w:rsidP="009F30F7">
      <w:pPr>
        <w:pStyle w:val="NormalWeb"/>
        <w:spacing w:line="360" w:lineRule="auto"/>
        <w:jc w:val="both"/>
        <w:rPr>
          <w:rFonts w:ascii="Arial" w:hAnsi="Arial" w:cs="Arial"/>
          <w:sz w:val="22"/>
        </w:rPr>
      </w:pPr>
    </w:p>
    <w:p w14:paraId="5AC7CD95" w14:textId="77777777" w:rsidR="009D1156" w:rsidRPr="00C16BF8" w:rsidRDefault="009D1156" w:rsidP="009F30F7">
      <w:pPr>
        <w:pStyle w:val="NormalWeb"/>
        <w:spacing w:line="360" w:lineRule="auto"/>
        <w:jc w:val="both"/>
        <w:rPr>
          <w:rFonts w:ascii="Arial" w:hAnsi="Arial" w:cs="Arial"/>
          <w:sz w:val="22"/>
        </w:rPr>
      </w:pPr>
    </w:p>
    <w:p w14:paraId="3E26B641" w14:textId="77777777" w:rsidR="009D1156" w:rsidRPr="00C16BF8" w:rsidRDefault="009D1156" w:rsidP="009F30F7">
      <w:pPr>
        <w:pStyle w:val="NormalWeb"/>
        <w:spacing w:line="360" w:lineRule="auto"/>
        <w:jc w:val="both"/>
        <w:rPr>
          <w:rFonts w:ascii="Arial" w:hAnsi="Arial" w:cs="Arial"/>
          <w:sz w:val="22"/>
        </w:rPr>
      </w:pPr>
    </w:p>
    <w:p w14:paraId="6E2AAF61" w14:textId="77777777" w:rsidR="009D1156" w:rsidRPr="00C16BF8" w:rsidRDefault="009D1156" w:rsidP="009F30F7">
      <w:pPr>
        <w:pStyle w:val="NormalWeb"/>
        <w:spacing w:line="360" w:lineRule="auto"/>
        <w:jc w:val="both"/>
        <w:rPr>
          <w:rFonts w:ascii="Arial" w:hAnsi="Arial" w:cs="Arial"/>
          <w:sz w:val="22"/>
        </w:rPr>
      </w:pPr>
    </w:p>
    <w:p w14:paraId="76971F49" w14:textId="77777777" w:rsidR="009D1156" w:rsidRPr="00C16BF8" w:rsidRDefault="009D1156" w:rsidP="009F30F7">
      <w:pPr>
        <w:pStyle w:val="NormalWeb"/>
        <w:spacing w:line="360" w:lineRule="auto"/>
        <w:jc w:val="both"/>
        <w:rPr>
          <w:rFonts w:ascii="Arial" w:hAnsi="Arial" w:cs="Arial"/>
          <w:sz w:val="22"/>
        </w:rPr>
      </w:pPr>
    </w:p>
    <w:p w14:paraId="1E9827E3" w14:textId="77777777" w:rsidR="009D1156" w:rsidRPr="00C16BF8" w:rsidRDefault="009D1156" w:rsidP="009F30F7">
      <w:pPr>
        <w:pStyle w:val="NormalWeb"/>
        <w:spacing w:line="360" w:lineRule="auto"/>
        <w:jc w:val="both"/>
        <w:rPr>
          <w:rFonts w:ascii="Arial" w:hAnsi="Arial" w:cs="Arial"/>
          <w:sz w:val="22"/>
        </w:rPr>
      </w:pPr>
    </w:p>
    <w:p w14:paraId="4E3EE663" w14:textId="77777777" w:rsidR="009D1156" w:rsidRPr="00C16BF8" w:rsidRDefault="009D1156" w:rsidP="009F30F7">
      <w:pPr>
        <w:pStyle w:val="NormalWeb"/>
        <w:spacing w:line="360" w:lineRule="auto"/>
        <w:jc w:val="both"/>
        <w:rPr>
          <w:rFonts w:ascii="Arial" w:hAnsi="Arial" w:cs="Arial"/>
          <w:sz w:val="22"/>
        </w:rPr>
      </w:pPr>
    </w:p>
    <w:p w14:paraId="5E194346" w14:textId="77777777" w:rsidR="009D1156" w:rsidRPr="00C16BF8" w:rsidRDefault="009D1156" w:rsidP="009F30F7">
      <w:pPr>
        <w:pStyle w:val="NormalWeb"/>
        <w:spacing w:line="360" w:lineRule="auto"/>
        <w:jc w:val="both"/>
        <w:rPr>
          <w:rFonts w:ascii="Arial" w:hAnsi="Arial" w:cs="Arial"/>
          <w:sz w:val="22"/>
        </w:rPr>
      </w:pPr>
    </w:p>
    <w:p w14:paraId="0A36B012" w14:textId="77777777" w:rsidR="009D1156" w:rsidRPr="00C16BF8" w:rsidRDefault="009D1156" w:rsidP="009F30F7">
      <w:pPr>
        <w:pStyle w:val="NormalWeb"/>
        <w:spacing w:line="360" w:lineRule="auto"/>
        <w:jc w:val="both"/>
        <w:rPr>
          <w:rFonts w:ascii="Arial" w:hAnsi="Arial" w:cs="Arial"/>
          <w:sz w:val="22"/>
        </w:rPr>
      </w:pPr>
    </w:p>
    <w:p w14:paraId="6F0D5BA2" w14:textId="77777777" w:rsidR="009D1156" w:rsidRPr="00C16BF8" w:rsidRDefault="009D1156" w:rsidP="009F30F7">
      <w:pPr>
        <w:pStyle w:val="NormalWeb"/>
        <w:spacing w:line="360" w:lineRule="auto"/>
        <w:jc w:val="both"/>
        <w:rPr>
          <w:rFonts w:ascii="Arial" w:hAnsi="Arial" w:cs="Arial"/>
          <w:sz w:val="22"/>
        </w:rPr>
      </w:pPr>
    </w:p>
    <w:p w14:paraId="6E813F6C" w14:textId="77777777" w:rsidR="009D1156" w:rsidRPr="00C16BF8" w:rsidRDefault="009D1156" w:rsidP="009F30F7">
      <w:pPr>
        <w:pStyle w:val="NormalWeb"/>
        <w:spacing w:line="360" w:lineRule="auto"/>
        <w:jc w:val="both"/>
        <w:rPr>
          <w:rFonts w:ascii="Arial" w:hAnsi="Arial" w:cs="Arial"/>
          <w:sz w:val="22"/>
        </w:rPr>
      </w:pPr>
    </w:p>
    <w:p w14:paraId="6F6B0FE3" w14:textId="77777777" w:rsidR="009D1156" w:rsidRPr="00C16BF8" w:rsidRDefault="009D1156" w:rsidP="009F30F7">
      <w:pPr>
        <w:pStyle w:val="NormalWeb"/>
        <w:spacing w:line="360" w:lineRule="auto"/>
        <w:jc w:val="both"/>
        <w:rPr>
          <w:rFonts w:ascii="Arial" w:hAnsi="Arial" w:cs="Arial"/>
          <w:sz w:val="22"/>
        </w:rPr>
      </w:pPr>
    </w:p>
    <w:p w14:paraId="794D68D4" w14:textId="77777777" w:rsidR="009D1156" w:rsidRPr="00C16BF8" w:rsidRDefault="009D1156" w:rsidP="009F30F7">
      <w:pPr>
        <w:pStyle w:val="NormalWeb"/>
        <w:spacing w:line="360" w:lineRule="auto"/>
        <w:jc w:val="both"/>
        <w:rPr>
          <w:rFonts w:ascii="Arial" w:hAnsi="Arial" w:cs="Arial"/>
          <w:sz w:val="22"/>
        </w:rPr>
      </w:pPr>
    </w:p>
    <w:p w14:paraId="29BB867A" w14:textId="77777777" w:rsidR="00C16BF8" w:rsidRPr="00C16BF8" w:rsidRDefault="00C16BF8" w:rsidP="009F30F7">
      <w:pPr>
        <w:pStyle w:val="NormalWeb"/>
        <w:spacing w:line="360" w:lineRule="auto"/>
        <w:jc w:val="both"/>
        <w:rPr>
          <w:rFonts w:ascii="Arial" w:hAnsi="Arial" w:cs="Arial"/>
          <w:sz w:val="22"/>
        </w:rPr>
      </w:pPr>
    </w:p>
    <w:p w14:paraId="1A22BABC" w14:textId="77777777" w:rsidR="00C16BF8" w:rsidRPr="00C16BF8" w:rsidRDefault="00C16BF8" w:rsidP="009F30F7">
      <w:pPr>
        <w:pStyle w:val="NormalWeb"/>
        <w:spacing w:line="360" w:lineRule="auto"/>
        <w:jc w:val="both"/>
        <w:rPr>
          <w:rFonts w:ascii="Arial" w:hAnsi="Arial" w:cs="Arial"/>
          <w:sz w:val="22"/>
        </w:rPr>
      </w:pPr>
    </w:p>
    <w:p w14:paraId="41626B8E" w14:textId="77777777" w:rsidR="00C16BF8" w:rsidRPr="00C16BF8" w:rsidRDefault="00C16BF8" w:rsidP="00C16BF8">
      <w:pPr>
        <w:pStyle w:val="NormalWeb"/>
        <w:spacing w:before="120" w:beforeAutospacing="0" w:after="120" w:afterAutospacing="0" w:line="360" w:lineRule="auto"/>
        <w:jc w:val="center"/>
        <w:rPr>
          <w:rFonts w:ascii="Arial" w:hAnsi="Arial" w:cs="Arial"/>
          <w:b/>
          <w:sz w:val="32"/>
        </w:rPr>
      </w:pPr>
      <w:r w:rsidRPr="00C16BF8">
        <w:rPr>
          <w:rFonts w:ascii="Arial" w:hAnsi="Arial" w:cs="Arial"/>
          <w:b/>
          <w:sz w:val="32"/>
        </w:rPr>
        <w:t>TABLE OF CONTENTS</w:t>
      </w:r>
    </w:p>
    <w:p w14:paraId="77C4F555" w14:textId="77777777" w:rsidR="00C16BF8" w:rsidRPr="00AF5BDE" w:rsidRDefault="00C16BF8" w:rsidP="00C16BF8">
      <w:pPr>
        <w:pStyle w:val="TOC1"/>
        <w:tabs>
          <w:tab w:val="right" w:leader="dot" w:pos="9350"/>
        </w:tabs>
        <w:spacing w:before="120" w:after="120" w:line="360" w:lineRule="auto"/>
        <w:rPr>
          <w:rFonts w:ascii="Arial" w:hAnsi="Arial" w:cs="Arial"/>
          <w:noProof/>
        </w:rPr>
      </w:pPr>
      <w:r w:rsidRPr="00AF5BDE">
        <w:rPr>
          <w:rFonts w:ascii="Arial" w:hAnsi="Arial" w:cs="Arial"/>
        </w:rPr>
        <w:fldChar w:fldCharType="begin"/>
      </w:r>
      <w:r w:rsidRPr="00AF5BDE">
        <w:rPr>
          <w:rFonts w:ascii="Arial" w:hAnsi="Arial" w:cs="Arial"/>
        </w:rPr>
        <w:instrText xml:space="preserve"> TOC \o "1-3" \h \z \u </w:instrText>
      </w:r>
      <w:r w:rsidRPr="00AF5BDE">
        <w:rPr>
          <w:rFonts w:ascii="Arial" w:hAnsi="Arial" w:cs="Arial"/>
        </w:rPr>
        <w:fldChar w:fldCharType="separate"/>
      </w:r>
      <w:hyperlink w:anchor="_Toc209387728" w:history="1">
        <w:r w:rsidRPr="00AF5BDE">
          <w:rPr>
            <w:rStyle w:val="Hyperlink"/>
            <w:rFonts w:ascii="Arial" w:hAnsi="Arial" w:cs="Arial"/>
            <w:noProof/>
          </w:rPr>
          <w:t>CHAPTER 1: Introduction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_Toc209387728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12</w:t>
        </w:r>
        <w:r w:rsidRPr="00AF5BDE">
          <w:rPr>
            <w:rFonts w:ascii="Arial" w:hAnsi="Arial" w:cs="Arial"/>
            <w:noProof/>
            <w:webHidden/>
          </w:rPr>
          <w:fldChar w:fldCharType="end"/>
        </w:r>
      </w:hyperlink>
    </w:p>
    <w:p w14:paraId="5A04BA69"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29" w:history="1">
        <w:r w:rsidRPr="00AF5BDE">
          <w:rPr>
            <w:rStyle w:val="Hyperlink"/>
            <w:rFonts w:ascii="Arial" w:hAnsi="Arial" w:cs="Arial"/>
            <w:noProof/>
          </w:rPr>
          <w:t>1.1 Introduction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_Toc209387729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12</w:t>
        </w:r>
        <w:r w:rsidRPr="00AF5BDE">
          <w:rPr>
            <w:rFonts w:ascii="Arial" w:hAnsi="Arial" w:cs="Arial"/>
            <w:noProof/>
            <w:webHidden/>
          </w:rPr>
          <w:fldChar w:fldCharType="end"/>
        </w:r>
      </w:hyperlink>
    </w:p>
    <w:p w14:paraId="027023CB"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30" w:history="1">
        <w:r w:rsidRPr="00AF5BDE">
          <w:rPr>
            <w:rStyle w:val="Hyperlink"/>
            <w:rFonts w:ascii="Arial" w:hAnsi="Arial" w:cs="Arial"/>
            <w:noProof/>
          </w:rPr>
          <w:t>1.2 Definitions and Terminology</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12</w:t>
        </w:r>
        <w:r w:rsidRPr="00AF5BDE">
          <w:rPr>
            <w:rFonts w:ascii="Arial" w:hAnsi="Arial" w:cs="Arial"/>
            <w:noProof/>
            <w:webHidden/>
          </w:rPr>
          <w:fldChar w:fldCharType="end"/>
        </w:r>
      </w:hyperlink>
    </w:p>
    <w:p w14:paraId="2319C777"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31" w:history="1">
        <w:r w:rsidRPr="00AF5BDE">
          <w:rPr>
            <w:rStyle w:val="Hyperlink"/>
            <w:rFonts w:ascii="Arial" w:hAnsi="Arial" w:cs="Arial"/>
            <w:noProof/>
          </w:rPr>
          <w:t>Definitions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12</w:t>
        </w:r>
        <w:r w:rsidRPr="00AF5BDE">
          <w:rPr>
            <w:rFonts w:ascii="Arial" w:hAnsi="Arial" w:cs="Arial"/>
            <w:noProof/>
            <w:webHidden/>
          </w:rPr>
          <w:fldChar w:fldCharType="end"/>
        </w:r>
      </w:hyperlink>
    </w:p>
    <w:p w14:paraId="2F05D3DC"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32" w:history="1">
        <w:r w:rsidRPr="00AF5BDE">
          <w:rPr>
            <w:rStyle w:val="Hyperlink"/>
            <w:rFonts w:ascii="Arial" w:hAnsi="Arial" w:cs="Arial"/>
            <w:noProof/>
          </w:rPr>
          <w:t>Acronyms and abbreviations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13</w:t>
        </w:r>
        <w:r w:rsidRPr="00AF5BDE">
          <w:rPr>
            <w:rFonts w:ascii="Arial" w:hAnsi="Arial" w:cs="Arial"/>
            <w:noProof/>
            <w:webHidden/>
          </w:rPr>
          <w:fldChar w:fldCharType="end"/>
        </w:r>
      </w:hyperlink>
    </w:p>
    <w:p w14:paraId="0D9D6F2C"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33" w:history="1">
        <w:r w:rsidRPr="00AF5BDE">
          <w:rPr>
            <w:rStyle w:val="Hyperlink"/>
            <w:rFonts w:ascii="Arial" w:hAnsi="Arial" w:cs="Arial"/>
            <w:noProof/>
          </w:rPr>
          <w:t>1.3 Rationale for Research</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14</w:t>
        </w:r>
        <w:r w:rsidRPr="00AF5BDE">
          <w:rPr>
            <w:rFonts w:ascii="Arial" w:hAnsi="Arial" w:cs="Arial"/>
            <w:noProof/>
            <w:webHidden/>
          </w:rPr>
          <w:fldChar w:fldCharType="end"/>
        </w:r>
      </w:hyperlink>
    </w:p>
    <w:p w14:paraId="6BBEB310"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34" w:history="1">
        <w:r w:rsidRPr="00AF5BDE">
          <w:rPr>
            <w:rStyle w:val="Hyperlink"/>
            <w:rFonts w:ascii="Arial" w:hAnsi="Arial" w:cs="Arial"/>
            <w:noProof/>
          </w:rPr>
          <w:t>1.4 Aim and Objectives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14</w:t>
        </w:r>
        <w:r w:rsidRPr="00AF5BDE">
          <w:rPr>
            <w:rFonts w:ascii="Arial" w:hAnsi="Arial" w:cs="Arial"/>
            <w:noProof/>
            <w:webHidden/>
          </w:rPr>
          <w:fldChar w:fldCharType="end"/>
        </w:r>
      </w:hyperlink>
    </w:p>
    <w:p w14:paraId="0DE862FA"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35" w:history="1">
        <w:r w:rsidRPr="00AF5BDE">
          <w:rPr>
            <w:rStyle w:val="Hyperlink"/>
            <w:rFonts w:ascii="Arial" w:hAnsi="Arial" w:cs="Arial"/>
            <w:noProof/>
          </w:rPr>
          <w:t>Research Aim</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14</w:t>
        </w:r>
        <w:r w:rsidRPr="00AF5BDE">
          <w:rPr>
            <w:rFonts w:ascii="Arial" w:hAnsi="Arial" w:cs="Arial"/>
            <w:noProof/>
            <w:webHidden/>
          </w:rPr>
          <w:fldChar w:fldCharType="end"/>
        </w:r>
      </w:hyperlink>
    </w:p>
    <w:p w14:paraId="2729D588"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36" w:history="1">
        <w:r w:rsidRPr="00AF5BDE">
          <w:rPr>
            <w:rStyle w:val="Hyperlink"/>
            <w:rFonts w:ascii="Arial" w:hAnsi="Arial" w:cs="Arial"/>
            <w:noProof/>
          </w:rPr>
          <w:t>Research objectives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15</w:t>
        </w:r>
        <w:r w:rsidRPr="00AF5BDE">
          <w:rPr>
            <w:rFonts w:ascii="Arial" w:hAnsi="Arial" w:cs="Arial"/>
            <w:noProof/>
            <w:webHidden/>
          </w:rPr>
          <w:fldChar w:fldCharType="end"/>
        </w:r>
      </w:hyperlink>
    </w:p>
    <w:p w14:paraId="0AF18B8A"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37" w:history="1">
        <w:r w:rsidRPr="00AF5BDE">
          <w:rPr>
            <w:rStyle w:val="Hyperlink"/>
            <w:rFonts w:ascii="Arial" w:hAnsi="Arial" w:cs="Arial"/>
            <w:noProof/>
          </w:rPr>
          <w:t>1.5 Conclusion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15</w:t>
        </w:r>
        <w:r w:rsidRPr="00AF5BDE">
          <w:rPr>
            <w:rFonts w:ascii="Arial" w:hAnsi="Arial" w:cs="Arial"/>
            <w:noProof/>
            <w:webHidden/>
          </w:rPr>
          <w:fldChar w:fldCharType="end"/>
        </w:r>
      </w:hyperlink>
    </w:p>
    <w:p w14:paraId="6F82EB65" w14:textId="77777777" w:rsidR="00C16BF8" w:rsidRPr="00AF5BDE" w:rsidRDefault="00C16BF8" w:rsidP="00C16BF8">
      <w:pPr>
        <w:pStyle w:val="TOC1"/>
        <w:tabs>
          <w:tab w:val="right" w:leader="dot" w:pos="9350"/>
        </w:tabs>
        <w:spacing w:before="120" w:after="120" w:line="360" w:lineRule="auto"/>
        <w:rPr>
          <w:rFonts w:ascii="Arial" w:hAnsi="Arial" w:cs="Arial"/>
          <w:noProof/>
        </w:rPr>
      </w:pPr>
      <w:hyperlink w:anchor="_Toc209387738" w:history="1">
        <w:r w:rsidRPr="00AF5BDE">
          <w:rPr>
            <w:rStyle w:val="Hyperlink"/>
            <w:rFonts w:ascii="Arial" w:hAnsi="Arial" w:cs="Arial"/>
            <w:noProof/>
          </w:rPr>
          <w:t>CHAPTER 2 – Background Information and Analysis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16</w:t>
        </w:r>
        <w:r w:rsidRPr="00AF5BDE">
          <w:rPr>
            <w:rFonts w:ascii="Arial" w:hAnsi="Arial" w:cs="Arial"/>
            <w:noProof/>
            <w:webHidden/>
          </w:rPr>
          <w:fldChar w:fldCharType="end"/>
        </w:r>
      </w:hyperlink>
    </w:p>
    <w:p w14:paraId="0C8D7FB9"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39" w:history="1">
        <w:r w:rsidRPr="00AF5BDE">
          <w:rPr>
            <w:rStyle w:val="Hyperlink"/>
            <w:rFonts w:ascii="Arial" w:hAnsi="Arial" w:cs="Arial"/>
            <w:noProof/>
          </w:rPr>
          <w:t>2.1 Introduction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_Toc209387739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16</w:t>
        </w:r>
        <w:r w:rsidRPr="00AF5BDE">
          <w:rPr>
            <w:rFonts w:ascii="Arial" w:hAnsi="Arial" w:cs="Arial"/>
            <w:noProof/>
            <w:webHidden/>
          </w:rPr>
          <w:fldChar w:fldCharType="end"/>
        </w:r>
      </w:hyperlink>
    </w:p>
    <w:p w14:paraId="2B69A3C4"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0" w:history="1">
        <w:r w:rsidRPr="00AF5BDE">
          <w:rPr>
            <w:rStyle w:val="Hyperlink"/>
            <w:rFonts w:ascii="Arial" w:hAnsi="Arial" w:cs="Arial"/>
            <w:noProof/>
          </w:rPr>
          <w:t>2.2 Historical Background</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16</w:t>
        </w:r>
        <w:r w:rsidRPr="00AF5BDE">
          <w:rPr>
            <w:rFonts w:ascii="Arial" w:hAnsi="Arial" w:cs="Arial"/>
            <w:noProof/>
            <w:webHidden/>
          </w:rPr>
          <w:fldChar w:fldCharType="end"/>
        </w:r>
      </w:hyperlink>
    </w:p>
    <w:p w14:paraId="0EBC5B97"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1" w:history="1">
        <w:r w:rsidRPr="00AF5BDE">
          <w:rPr>
            <w:rStyle w:val="Hyperlink"/>
            <w:rFonts w:ascii="Arial" w:hAnsi="Arial" w:cs="Arial"/>
            <w:noProof/>
          </w:rPr>
          <w:t>2.3 Theoretical Background</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17</w:t>
        </w:r>
        <w:r w:rsidRPr="00AF5BDE">
          <w:rPr>
            <w:rFonts w:ascii="Arial" w:hAnsi="Arial" w:cs="Arial"/>
            <w:noProof/>
            <w:webHidden/>
          </w:rPr>
          <w:fldChar w:fldCharType="end"/>
        </w:r>
      </w:hyperlink>
    </w:p>
    <w:p w14:paraId="6B126AF9"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2" w:history="1">
        <w:r w:rsidRPr="00AF5BDE">
          <w:rPr>
            <w:rStyle w:val="Hyperlink"/>
            <w:rFonts w:ascii="Arial" w:hAnsi="Arial" w:cs="Arial"/>
            <w:noProof/>
          </w:rPr>
          <w:t>2.4 International Context</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19</w:t>
        </w:r>
        <w:r w:rsidRPr="00AF5BDE">
          <w:rPr>
            <w:rFonts w:ascii="Arial" w:hAnsi="Arial" w:cs="Arial"/>
            <w:noProof/>
            <w:webHidden/>
          </w:rPr>
          <w:fldChar w:fldCharType="end"/>
        </w:r>
      </w:hyperlink>
    </w:p>
    <w:p w14:paraId="3C9EB85C"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3" w:history="1">
        <w:r w:rsidRPr="00AF5BDE">
          <w:rPr>
            <w:rStyle w:val="Hyperlink"/>
            <w:rFonts w:ascii="Arial" w:hAnsi="Arial" w:cs="Arial"/>
            <w:noProof/>
          </w:rPr>
          <w:t>2.5 National/Local UK Context</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20</w:t>
        </w:r>
        <w:r w:rsidRPr="00AF5BDE">
          <w:rPr>
            <w:rFonts w:ascii="Arial" w:hAnsi="Arial" w:cs="Arial"/>
            <w:noProof/>
            <w:webHidden/>
          </w:rPr>
          <w:fldChar w:fldCharType="end"/>
        </w:r>
      </w:hyperlink>
    </w:p>
    <w:p w14:paraId="30137C7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44" w:history="1">
        <w:r w:rsidRPr="00AF5BDE">
          <w:rPr>
            <w:rStyle w:val="Hyperlink"/>
            <w:rFonts w:ascii="Arial" w:hAnsi="Arial" w:cs="Arial"/>
            <w:noProof/>
          </w:rPr>
          <w:t>UK perspective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20</w:t>
        </w:r>
        <w:r w:rsidRPr="00AF5BDE">
          <w:rPr>
            <w:rFonts w:ascii="Arial" w:hAnsi="Arial" w:cs="Arial"/>
            <w:noProof/>
            <w:webHidden/>
          </w:rPr>
          <w:fldChar w:fldCharType="end"/>
        </w:r>
      </w:hyperlink>
    </w:p>
    <w:p w14:paraId="769A88F1"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45" w:history="1">
        <w:r w:rsidRPr="00AF5BDE">
          <w:rPr>
            <w:rStyle w:val="Hyperlink"/>
            <w:rFonts w:ascii="Arial" w:hAnsi="Arial" w:cs="Arial"/>
            <w:noProof/>
          </w:rPr>
          <w:t>Policy and regulation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20</w:t>
        </w:r>
        <w:r w:rsidRPr="00AF5BDE">
          <w:rPr>
            <w:rFonts w:ascii="Arial" w:hAnsi="Arial" w:cs="Arial"/>
            <w:noProof/>
            <w:webHidden/>
          </w:rPr>
          <w:fldChar w:fldCharType="end"/>
        </w:r>
      </w:hyperlink>
    </w:p>
    <w:p w14:paraId="218469BB"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46" w:history="1">
        <w:r w:rsidRPr="00AF5BDE">
          <w:rPr>
            <w:rStyle w:val="Hyperlink"/>
            <w:rFonts w:ascii="Arial" w:hAnsi="Arial" w:cs="Arial"/>
            <w:noProof/>
          </w:rPr>
          <w:t>Local context and variation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20</w:t>
        </w:r>
        <w:r w:rsidRPr="00AF5BDE">
          <w:rPr>
            <w:rFonts w:ascii="Arial" w:hAnsi="Arial" w:cs="Arial"/>
            <w:noProof/>
            <w:webHidden/>
          </w:rPr>
          <w:fldChar w:fldCharType="end"/>
        </w:r>
      </w:hyperlink>
    </w:p>
    <w:p w14:paraId="6FD8FF3A"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7" w:history="1">
        <w:r w:rsidRPr="00AF5BDE">
          <w:rPr>
            <w:rStyle w:val="Hyperlink"/>
            <w:rFonts w:ascii="Arial" w:hAnsi="Arial" w:cs="Arial"/>
            <w:noProof/>
          </w:rPr>
          <w:t>2.6 Conclusion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21</w:t>
        </w:r>
        <w:r w:rsidRPr="00AF5BDE">
          <w:rPr>
            <w:rFonts w:ascii="Arial" w:hAnsi="Arial" w:cs="Arial"/>
            <w:noProof/>
            <w:webHidden/>
          </w:rPr>
          <w:fldChar w:fldCharType="end"/>
        </w:r>
      </w:hyperlink>
    </w:p>
    <w:p w14:paraId="72C43B2B" w14:textId="77777777" w:rsidR="00C16BF8" w:rsidRPr="00AF5BDE" w:rsidRDefault="00C16BF8" w:rsidP="00C16BF8">
      <w:pPr>
        <w:pStyle w:val="TOC1"/>
        <w:tabs>
          <w:tab w:val="right" w:leader="dot" w:pos="9350"/>
        </w:tabs>
        <w:spacing w:before="120" w:after="120" w:line="360" w:lineRule="auto"/>
        <w:rPr>
          <w:rFonts w:ascii="Arial" w:hAnsi="Arial" w:cs="Arial"/>
          <w:noProof/>
        </w:rPr>
      </w:pPr>
      <w:hyperlink w:anchor="_Toc209387748" w:history="1">
        <w:r w:rsidRPr="00AF5BDE">
          <w:rPr>
            <w:rStyle w:val="Hyperlink"/>
            <w:rFonts w:ascii="Arial" w:hAnsi="Arial" w:cs="Arial"/>
            <w:noProof/>
          </w:rPr>
          <w:t>CHAPTER 3 – Methods and Search Strategy</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22</w:t>
        </w:r>
        <w:r w:rsidRPr="00AF5BDE">
          <w:rPr>
            <w:rFonts w:ascii="Arial" w:hAnsi="Arial" w:cs="Arial"/>
            <w:noProof/>
            <w:webHidden/>
          </w:rPr>
          <w:fldChar w:fldCharType="end"/>
        </w:r>
      </w:hyperlink>
    </w:p>
    <w:p w14:paraId="6D1EDE6C"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49" w:history="1">
        <w:r w:rsidRPr="00AF5BDE">
          <w:rPr>
            <w:rStyle w:val="Hyperlink"/>
            <w:rFonts w:ascii="Arial" w:hAnsi="Arial" w:cs="Arial"/>
            <w:noProof/>
          </w:rPr>
          <w:t>3.1 Introduction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_Toc209387749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22</w:t>
        </w:r>
        <w:r w:rsidRPr="00AF5BDE">
          <w:rPr>
            <w:rFonts w:ascii="Arial" w:hAnsi="Arial" w:cs="Arial"/>
            <w:noProof/>
            <w:webHidden/>
          </w:rPr>
          <w:fldChar w:fldCharType="end"/>
        </w:r>
      </w:hyperlink>
    </w:p>
    <w:p w14:paraId="5447D489"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0" w:history="1">
        <w:r w:rsidRPr="00AF5BDE">
          <w:rPr>
            <w:rStyle w:val="Hyperlink"/>
            <w:rFonts w:ascii="Arial" w:hAnsi="Arial" w:cs="Arial"/>
            <w:noProof/>
          </w:rPr>
          <w:t>3.2 Search Strategy</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22</w:t>
        </w:r>
        <w:r w:rsidRPr="00AF5BDE">
          <w:rPr>
            <w:rFonts w:ascii="Arial" w:hAnsi="Arial" w:cs="Arial"/>
            <w:noProof/>
            <w:webHidden/>
          </w:rPr>
          <w:fldChar w:fldCharType="end"/>
        </w:r>
      </w:hyperlink>
    </w:p>
    <w:p w14:paraId="62B17CFC"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1" w:history="1">
        <w:r w:rsidRPr="00AF5BDE">
          <w:rPr>
            <w:rStyle w:val="Hyperlink"/>
            <w:rFonts w:ascii="Arial" w:hAnsi="Arial" w:cs="Arial"/>
            <w:noProof/>
          </w:rPr>
          <w:t>3.3 Searching for Information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23</w:t>
        </w:r>
        <w:r w:rsidRPr="00AF5BDE">
          <w:rPr>
            <w:rFonts w:ascii="Arial" w:hAnsi="Arial" w:cs="Arial"/>
            <w:noProof/>
            <w:webHidden/>
          </w:rPr>
          <w:fldChar w:fldCharType="end"/>
        </w:r>
      </w:hyperlink>
    </w:p>
    <w:p w14:paraId="4E14BAFE"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2" w:history="1">
        <w:r w:rsidRPr="00AF5BDE">
          <w:rPr>
            <w:rStyle w:val="Hyperlink"/>
            <w:rFonts w:ascii="Arial" w:hAnsi="Arial" w:cs="Arial"/>
            <w:noProof/>
          </w:rPr>
          <w:t>3.4 Research Validation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26</w:t>
        </w:r>
        <w:r w:rsidRPr="00AF5BDE">
          <w:rPr>
            <w:rFonts w:ascii="Arial" w:hAnsi="Arial" w:cs="Arial"/>
            <w:noProof/>
            <w:webHidden/>
          </w:rPr>
          <w:fldChar w:fldCharType="end"/>
        </w:r>
      </w:hyperlink>
    </w:p>
    <w:p w14:paraId="0C568E40"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3" w:history="1">
        <w:r w:rsidRPr="00AF5BDE">
          <w:rPr>
            <w:rStyle w:val="Hyperlink"/>
            <w:rFonts w:ascii="Arial" w:hAnsi="Arial" w:cs="Arial"/>
            <w:noProof/>
          </w:rPr>
          <w:t>3.5 Inclusion and Exclusion Criteria</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26</w:t>
        </w:r>
        <w:r w:rsidRPr="00AF5BDE">
          <w:rPr>
            <w:rFonts w:ascii="Arial" w:hAnsi="Arial" w:cs="Arial"/>
            <w:noProof/>
            <w:webHidden/>
          </w:rPr>
          <w:fldChar w:fldCharType="end"/>
        </w:r>
      </w:hyperlink>
    </w:p>
    <w:p w14:paraId="6F9BD6E8"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4" w:history="1">
        <w:r w:rsidRPr="00AF5BDE">
          <w:rPr>
            <w:rStyle w:val="Hyperlink"/>
            <w:rFonts w:ascii="Arial" w:hAnsi="Arial" w:cs="Arial"/>
            <w:noProof/>
          </w:rPr>
          <w:t>3.6 Analyzing Research</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27</w:t>
        </w:r>
        <w:r w:rsidRPr="00AF5BDE">
          <w:rPr>
            <w:rFonts w:ascii="Arial" w:hAnsi="Arial" w:cs="Arial"/>
            <w:noProof/>
            <w:webHidden/>
          </w:rPr>
          <w:fldChar w:fldCharType="end"/>
        </w:r>
      </w:hyperlink>
    </w:p>
    <w:p w14:paraId="4890822F"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5" w:history="1">
        <w:r w:rsidRPr="00AF5BDE">
          <w:rPr>
            <w:rStyle w:val="Hyperlink"/>
            <w:rFonts w:ascii="Arial" w:hAnsi="Arial" w:cs="Arial"/>
            <w:noProof/>
          </w:rPr>
          <w:t>3.7 Ethical Considerations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28</w:t>
        </w:r>
        <w:r w:rsidRPr="00AF5BDE">
          <w:rPr>
            <w:rFonts w:ascii="Arial" w:hAnsi="Arial" w:cs="Arial"/>
            <w:noProof/>
            <w:webHidden/>
          </w:rPr>
          <w:fldChar w:fldCharType="end"/>
        </w:r>
      </w:hyperlink>
    </w:p>
    <w:p w14:paraId="6ADF214F"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6" w:history="1">
        <w:r w:rsidRPr="00AF5BDE">
          <w:rPr>
            <w:rStyle w:val="Hyperlink"/>
            <w:rFonts w:ascii="Arial" w:hAnsi="Arial" w:cs="Arial"/>
            <w:noProof/>
          </w:rPr>
          <w:t>3.8 Chapter Conclusion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28</w:t>
        </w:r>
        <w:r w:rsidRPr="00AF5BDE">
          <w:rPr>
            <w:rFonts w:ascii="Arial" w:hAnsi="Arial" w:cs="Arial"/>
            <w:noProof/>
            <w:webHidden/>
          </w:rPr>
          <w:fldChar w:fldCharType="end"/>
        </w:r>
      </w:hyperlink>
    </w:p>
    <w:p w14:paraId="0D0DC48B" w14:textId="77777777" w:rsidR="00C16BF8" w:rsidRPr="00AF5BDE" w:rsidRDefault="00C16BF8" w:rsidP="00C16BF8">
      <w:pPr>
        <w:pStyle w:val="TOC1"/>
        <w:tabs>
          <w:tab w:val="right" w:leader="dot" w:pos="9350"/>
        </w:tabs>
        <w:spacing w:before="120" w:after="120" w:line="360" w:lineRule="auto"/>
        <w:rPr>
          <w:rFonts w:ascii="Arial" w:hAnsi="Arial" w:cs="Arial"/>
          <w:noProof/>
        </w:rPr>
      </w:pPr>
      <w:hyperlink w:anchor="_Toc209387757" w:history="1">
        <w:r w:rsidRPr="00AF5BDE">
          <w:rPr>
            <w:rStyle w:val="Hyperlink"/>
            <w:rFonts w:ascii="Arial" w:hAnsi="Arial" w:cs="Arial"/>
            <w:noProof/>
          </w:rPr>
          <w:t>CHAPTER 4 – Findings and Discussion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29</w:t>
        </w:r>
        <w:r w:rsidRPr="00AF5BDE">
          <w:rPr>
            <w:rFonts w:ascii="Arial" w:hAnsi="Arial" w:cs="Arial"/>
            <w:noProof/>
            <w:webHidden/>
          </w:rPr>
          <w:fldChar w:fldCharType="end"/>
        </w:r>
      </w:hyperlink>
    </w:p>
    <w:p w14:paraId="6439D140"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8" w:history="1">
        <w:r w:rsidRPr="00AF5BDE">
          <w:rPr>
            <w:rStyle w:val="Hyperlink"/>
            <w:rFonts w:ascii="Arial" w:hAnsi="Arial" w:cs="Arial"/>
            <w:noProof/>
          </w:rPr>
          <w:t>4.1 Introduction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29</w:t>
        </w:r>
        <w:r w:rsidRPr="00AF5BDE">
          <w:rPr>
            <w:rFonts w:ascii="Arial" w:hAnsi="Arial" w:cs="Arial"/>
            <w:noProof/>
            <w:webHidden/>
          </w:rPr>
          <w:fldChar w:fldCharType="end"/>
        </w:r>
      </w:hyperlink>
    </w:p>
    <w:p w14:paraId="191D6C67"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59" w:history="1">
        <w:r w:rsidRPr="00AF5BDE">
          <w:rPr>
            <w:rStyle w:val="Hyperlink"/>
            <w:rFonts w:ascii="Arial" w:hAnsi="Arial" w:cs="Arial"/>
            <w:noProof/>
          </w:rPr>
          <w:t>4.2 Thematic Analysis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_Toc209387759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29</w:t>
        </w:r>
        <w:r w:rsidRPr="00AF5BDE">
          <w:rPr>
            <w:rFonts w:ascii="Arial" w:hAnsi="Arial" w:cs="Arial"/>
            <w:noProof/>
            <w:webHidden/>
          </w:rPr>
          <w:fldChar w:fldCharType="end"/>
        </w:r>
      </w:hyperlink>
    </w:p>
    <w:p w14:paraId="18D47154"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60" w:history="1">
        <w:r w:rsidRPr="00AF5BDE">
          <w:rPr>
            <w:rStyle w:val="Hyperlink"/>
            <w:rFonts w:ascii="Arial" w:hAnsi="Arial" w:cs="Arial"/>
            <w:noProof/>
          </w:rPr>
          <w:t>4.3 Theme 1 - Psychological Burden: Stress, Anxiety, Depression, Burnout and Moral Distress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30</w:t>
        </w:r>
        <w:r w:rsidRPr="00AF5BDE">
          <w:rPr>
            <w:rFonts w:ascii="Arial" w:hAnsi="Arial" w:cs="Arial"/>
            <w:noProof/>
            <w:webHidden/>
          </w:rPr>
          <w:fldChar w:fldCharType="end"/>
        </w:r>
      </w:hyperlink>
    </w:p>
    <w:p w14:paraId="290C690D"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1" w:history="1">
        <w:r w:rsidRPr="00AF5BDE">
          <w:rPr>
            <w:rStyle w:val="Hyperlink"/>
            <w:rFonts w:ascii="Arial" w:hAnsi="Arial" w:cs="Arial"/>
            <w:noProof/>
          </w:rPr>
          <w:t>4.3.1 Definition, scope and Context</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30</w:t>
        </w:r>
        <w:r w:rsidRPr="00AF5BDE">
          <w:rPr>
            <w:rFonts w:ascii="Arial" w:hAnsi="Arial" w:cs="Arial"/>
            <w:noProof/>
            <w:webHidden/>
          </w:rPr>
          <w:fldChar w:fldCharType="end"/>
        </w:r>
      </w:hyperlink>
    </w:p>
    <w:p w14:paraId="5C26E0C7"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2" w:history="1">
        <w:r w:rsidRPr="00AF5BDE">
          <w:rPr>
            <w:rStyle w:val="Hyperlink"/>
            <w:rFonts w:ascii="Arial" w:eastAsia="Times New Roman" w:hAnsi="Arial" w:cs="Arial"/>
            <w:noProof/>
          </w:rPr>
          <w:t>4.3.2 Link to Objective 1</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31</w:t>
        </w:r>
        <w:r w:rsidRPr="00AF5BDE">
          <w:rPr>
            <w:rFonts w:ascii="Arial" w:hAnsi="Arial" w:cs="Arial"/>
            <w:noProof/>
            <w:webHidden/>
          </w:rPr>
          <w:fldChar w:fldCharType="end"/>
        </w:r>
      </w:hyperlink>
    </w:p>
    <w:p w14:paraId="5A8A0FF4"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3" w:history="1">
        <w:r w:rsidRPr="00AF5BDE">
          <w:rPr>
            <w:rStyle w:val="Hyperlink"/>
            <w:rFonts w:ascii="Arial" w:hAnsi="Arial" w:cs="Arial"/>
            <w:noProof/>
          </w:rPr>
          <w:t>4.3.3 What Qualitative Studies Report?</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31</w:t>
        </w:r>
        <w:r w:rsidRPr="00AF5BDE">
          <w:rPr>
            <w:rFonts w:ascii="Arial" w:hAnsi="Arial" w:cs="Arial"/>
            <w:noProof/>
            <w:webHidden/>
          </w:rPr>
          <w:fldChar w:fldCharType="end"/>
        </w:r>
      </w:hyperlink>
    </w:p>
    <w:p w14:paraId="7D92DF6D"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4" w:history="1">
        <w:r w:rsidRPr="00AF5BDE">
          <w:rPr>
            <w:rStyle w:val="Hyperlink"/>
            <w:rFonts w:ascii="Arial" w:hAnsi="Arial" w:cs="Arial"/>
            <w:noProof/>
          </w:rPr>
          <w:t>4.3.4 Theoretical Interpretation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32</w:t>
        </w:r>
        <w:r w:rsidRPr="00AF5BDE">
          <w:rPr>
            <w:rFonts w:ascii="Arial" w:hAnsi="Arial" w:cs="Arial"/>
            <w:noProof/>
            <w:webHidden/>
          </w:rPr>
          <w:fldChar w:fldCharType="end"/>
        </w:r>
      </w:hyperlink>
    </w:p>
    <w:p w14:paraId="069245FF"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5" w:history="1">
        <w:r w:rsidRPr="00AF5BDE">
          <w:rPr>
            <w:rStyle w:val="Hyperlink"/>
            <w:rFonts w:ascii="Arial" w:hAnsi="Arial" w:cs="Arial"/>
            <w:noProof/>
          </w:rPr>
          <w:t>4.3.5 Illustrative articles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32</w:t>
        </w:r>
        <w:r w:rsidRPr="00AF5BDE">
          <w:rPr>
            <w:rFonts w:ascii="Arial" w:hAnsi="Arial" w:cs="Arial"/>
            <w:noProof/>
            <w:webHidden/>
          </w:rPr>
          <w:fldChar w:fldCharType="end"/>
        </w:r>
      </w:hyperlink>
    </w:p>
    <w:p w14:paraId="3494029B"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6" w:history="1">
        <w:r w:rsidRPr="00AF5BDE">
          <w:rPr>
            <w:rStyle w:val="Hyperlink"/>
            <w:rFonts w:ascii="Arial" w:hAnsi="Arial" w:cs="Arial"/>
            <w:noProof/>
          </w:rPr>
          <w:t>4.3.6 Implications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33</w:t>
        </w:r>
        <w:r w:rsidRPr="00AF5BDE">
          <w:rPr>
            <w:rFonts w:ascii="Arial" w:hAnsi="Arial" w:cs="Arial"/>
            <w:noProof/>
            <w:webHidden/>
          </w:rPr>
          <w:fldChar w:fldCharType="end"/>
        </w:r>
      </w:hyperlink>
    </w:p>
    <w:p w14:paraId="2D34CC47"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67" w:history="1">
        <w:r w:rsidRPr="00AF5BDE">
          <w:rPr>
            <w:rStyle w:val="Hyperlink"/>
            <w:rFonts w:ascii="Arial" w:hAnsi="Arial" w:cs="Arial"/>
            <w:noProof/>
          </w:rPr>
          <w:t>4.4 Theme 2 - Lived Experience Across UK Settings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33</w:t>
        </w:r>
        <w:r w:rsidRPr="00AF5BDE">
          <w:rPr>
            <w:rFonts w:ascii="Arial" w:hAnsi="Arial" w:cs="Arial"/>
            <w:noProof/>
            <w:webHidden/>
          </w:rPr>
          <w:fldChar w:fldCharType="end"/>
        </w:r>
      </w:hyperlink>
    </w:p>
    <w:p w14:paraId="5D8D7CB5"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8" w:history="1">
        <w:r w:rsidRPr="00AF5BDE">
          <w:rPr>
            <w:rStyle w:val="Hyperlink"/>
            <w:rFonts w:ascii="Arial" w:hAnsi="Arial" w:cs="Arial"/>
            <w:noProof/>
          </w:rPr>
          <w:t>4.4.1 Definition and scope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33</w:t>
        </w:r>
        <w:r w:rsidRPr="00AF5BDE">
          <w:rPr>
            <w:rFonts w:ascii="Arial" w:hAnsi="Arial" w:cs="Arial"/>
            <w:noProof/>
            <w:webHidden/>
          </w:rPr>
          <w:fldChar w:fldCharType="end"/>
        </w:r>
      </w:hyperlink>
    </w:p>
    <w:p w14:paraId="17F61F72"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69" w:history="1">
        <w:r w:rsidRPr="00AF5BDE">
          <w:rPr>
            <w:rStyle w:val="Hyperlink"/>
            <w:rFonts w:ascii="Arial" w:hAnsi="Arial" w:cs="Arial"/>
            <w:noProof/>
          </w:rPr>
          <w:t>4.4.2 Link to Objective 2</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_Toc209387769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33</w:t>
        </w:r>
        <w:r w:rsidRPr="00AF5BDE">
          <w:rPr>
            <w:rFonts w:ascii="Arial" w:hAnsi="Arial" w:cs="Arial"/>
            <w:noProof/>
            <w:webHidden/>
          </w:rPr>
          <w:fldChar w:fldCharType="end"/>
        </w:r>
      </w:hyperlink>
    </w:p>
    <w:p w14:paraId="58211D4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0" w:history="1">
        <w:r w:rsidRPr="00AF5BDE">
          <w:rPr>
            <w:rStyle w:val="Hyperlink"/>
            <w:rFonts w:ascii="Arial" w:hAnsi="Arial" w:cs="Arial"/>
            <w:noProof/>
          </w:rPr>
          <w:t>4.4.3 Acute and Critical Care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34</w:t>
        </w:r>
        <w:r w:rsidRPr="00AF5BDE">
          <w:rPr>
            <w:rFonts w:ascii="Arial" w:hAnsi="Arial" w:cs="Arial"/>
            <w:noProof/>
            <w:webHidden/>
          </w:rPr>
          <w:fldChar w:fldCharType="end"/>
        </w:r>
      </w:hyperlink>
    </w:p>
    <w:p w14:paraId="096CDD80"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1" w:history="1">
        <w:r w:rsidRPr="00AF5BDE">
          <w:rPr>
            <w:rStyle w:val="Hyperlink"/>
            <w:rFonts w:ascii="Arial" w:hAnsi="Arial" w:cs="Arial"/>
            <w:noProof/>
          </w:rPr>
          <w:t>4.4.4 Emergency and Ambulance Services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34</w:t>
        </w:r>
        <w:r w:rsidRPr="00AF5BDE">
          <w:rPr>
            <w:rFonts w:ascii="Arial" w:hAnsi="Arial" w:cs="Arial"/>
            <w:noProof/>
            <w:webHidden/>
          </w:rPr>
          <w:fldChar w:fldCharType="end"/>
        </w:r>
      </w:hyperlink>
    </w:p>
    <w:p w14:paraId="307A2D8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2" w:history="1">
        <w:r w:rsidRPr="00AF5BDE">
          <w:rPr>
            <w:rStyle w:val="Hyperlink"/>
            <w:rFonts w:ascii="Arial" w:hAnsi="Arial" w:cs="Arial"/>
            <w:noProof/>
          </w:rPr>
          <w:t>4.4.5 Primary and Community Care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34</w:t>
        </w:r>
        <w:r w:rsidRPr="00AF5BDE">
          <w:rPr>
            <w:rFonts w:ascii="Arial" w:hAnsi="Arial" w:cs="Arial"/>
            <w:noProof/>
            <w:webHidden/>
          </w:rPr>
          <w:fldChar w:fldCharType="end"/>
        </w:r>
      </w:hyperlink>
    </w:p>
    <w:p w14:paraId="5A314618"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3" w:history="1">
        <w:r w:rsidRPr="00AF5BDE">
          <w:rPr>
            <w:rStyle w:val="Hyperlink"/>
            <w:rFonts w:ascii="Arial" w:hAnsi="Arial" w:cs="Arial"/>
            <w:noProof/>
          </w:rPr>
          <w:t>4.4.6 Care Homes and Long-Term Care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35</w:t>
        </w:r>
        <w:r w:rsidRPr="00AF5BDE">
          <w:rPr>
            <w:rFonts w:ascii="Arial" w:hAnsi="Arial" w:cs="Arial"/>
            <w:noProof/>
            <w:webHidden/>
          </w:rPr>
          <w:fldChar w:fldCharType="end"/>
        </w:r>
      </w:hyperlink>
    </w:p>
    <w:p w14:paraId="2F5AED72"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4" w:history="1">
        <w:r w:rsidRPr="00AF5BDE">
          <w:rPr>
            <w:rStyle w:val="Hyperlink"/>
            <w:rFonts w:ascii="Arial" w:hAnsi="Arial" w:cs="Arial"/>
            <w:noProof/>
          </w:rPr>
          <w:t>4.4.7 Cross-cutting UK contextual factors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35</w:t>
        </w:r>
        <w:r w:rsidRPr="00AF5BDE">
          <w:rPr>
            <w:rFonts w:ascii="Arial" w:hAnsi="Arial" w:cs="Arial"/>
            <w:noProof/>
            <w:webHidden/>
          </w:rPr>
          <w:fldChar w:fldCharType="end"/>
        </w:r>
      </w:hyperlink>
    </w:p>
    <w:p w14:paraId="4E540960"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5" w:history="1">
        <w:r w:rsidRPr="00AF5BDE">
          <w:rPr>
            <w:rStyle w:val="Hyperlink"/>
            <w:rFonts w:ascii="Arial" w:hAnsi="Arial" w:cs="Arial"/>
            <w:noProof/>
          </w:rPr>
          <w:t>4.4.8 Illustrative Articles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35</w:t>
        </w:r>
        <w:r w:rsidRPr="00AF5BDE">
          <w:rPr>
            <w:rFonts w:ascii="Arial" w:hAnsi="Arial" w:cs="Arial"/>
            <w:noProof/>
            <w:webHidden/>
          </w:rPr>
          <w:fldChar w:fldCharType="end"/>
        </w:r>
      </w:hyperlink>
    </w:p>
    <w:p w14:paraId="08F89559"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6" w:history="1">
        <w:r w:rsidRPr="00AF5BDE">
          <w:rPr>
            <w:rStyle w:val="Hyperlink"/>
            <w:rFonts w:ascii="Arial" w:hAnsi="Arial" w:cs="Arial"/>
            <w:noProof/>
          </w:rPr>
          <w:t>4.4.9 Implications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36</w:t>
        </w:r>
        <w:r w:rsidRPr="00AF5BDE">
          <w:rPr>
            <w:rFonts w:ascii="Arial" w:hAnsi="Arial" w:cs="Arial"/>
            <w:noProof/>
            <w:webHidden/>
          </w:rPr>
          <w:fldChar w:fldCharType="end"/>
        </w:r>
      </w:hyperlink>
    </w:p>
    <w:p w14:paraId="43863945"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77" w:history="1">
        <w:r w:rsidRPr="00AF5BDE">
          <w:rPr>
            <w:rStyle w:val="Hyperlink"/>
            <w:rFonts w:ascii="Arial" w:hAnsi="Arial" w:cs="Arial"/>
            <w:noProof/>
          </w:rPr>
          <w:t>4.5 Theme 3 - Coping Strategies: Strengths and Limitations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36</w:t>
        </w:r>
        <w:r w:rsidRPr="00AF5BDE">
          <w:rPr>
            <w:rFonts w:ascii="Arial" w:hAnsi="Arial" w:cs="Arial"/>
            <w:noProof/>
            <w:webHidden/>
          </w:rPr>
          <w:fldChar w:fldCharType="end"/>
        </w:r>
      </w:hyperlink>
    </w:p>
    <w:p w14:paraId="0F4FDFEA"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8" w:history="1">
        <w:r w:rsidRPr="00AF5BDE">
          <w:rPr>
            <w:rStyle w:val="Hyperlink"/>
            <w:rFonts w:ascii="Arial" w:hAnsi="Arial" w:cs="Arial"/>
            <w:noProof/>
          </w:rPr>
          <w:t>4.5.1 Definitions and Scope</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36</w:t>
        </w:r>
        <w:r w:rsidRPr="00AF5BDE">
          <w:rPr>
            <w:rFonts w:ascii="Arial" w:hAnsi="Arial" w:cs="Arial"/>
            <w:noProof/>
            <w:webHidden/>
          </w:rPr>
          <w:fldChar w:fldCharType="end"/>
        </w:r>
      </w:hyperlink>
    </w:p>
    <w:p w14:paraId="064DD14E"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79" w:history="1">
        <w:r w:rsidRPr="00AF5BDE">
          <w:rPr>
            <w:rStyle w:val="Hyperlink"/>
            <w:rFonts w:ascii="Arial" w:hAnsi="Arial" w:cs="Arial"/>
            <w:noProof/>
          </w:rPr>
          <w:t>4.5.2 Link to Objective 3</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_Toc209387779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37</w:t>
        </w:r>
        <w:r w:rsidRPr="00AF5BDE">
          <w:rPr>
            <w:rFonts w:ascii="Arial" w:hAnsi="Arial" w:cs="Arial"/>
            <w:noProof/>
            <w:webHidden/>
          </w:rPr>
          <w:fldChar w:fldCharType="end"/>
        </w:r>
      </w:hyperlink>
    </w:p>
    <w:p w14:paraId="726340C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0" w:history="1">
        <w:r w:rsidRPr="00AF5BDE">
          <w:rPr>
            <w:rStyle w:val="Hyperlink"/>
            <w:rFonts w:ascii="Arial" w:hAnsi="Arial" w:cs="Arial"/>
            <w:noProof/>
          </w:rPr>
          <w:t>4.5.3 What worked (perceived strengths)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37</w:t>
        </w:r>
        <w:r w:rsidRPr="00AF5BDE">
          <w:rPr>
            <w:rFonts w:ascii="Arial" w:hAnsi="Arial" w:cs="Arial"/>
            <w:noProof/>
            <w:webHidden/>
          </w:rPr>
          <w:fldChar w:fldCharType="end"/>
        </w:r>
      </w:hyperlink>
    </w:p>
    <w:p w14:paraId="64B8E8E8"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1" w:history="1">
        <w:r w:rsidRPr="00AF5BDE">
          <w:rPr>
            <w:rStyle w:val="Hyperlink"/>
            <w:rFonts w:ascii="Arial" w:hAnsi="Arial" w:cs="Arial"/>
            <w:noProof/>
          </w:rPr>
          <w:t>4.5.4 Limitations and Barriers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38</w:t>
        </w:r>
        <w:r w:rsidRPr="00AF5BDE">
          <w:rPr>
            <w:rFonts w:ascii="Arial" w:hAnsi="Arial" w:cs="Arial"/>
            <w:noProof/>
            <w:webHidden/>
          </w:rPr>
          <w:fldChar w:fldCharType="end"/>
        </w:r>
      </w:hyperlink>
    </w:p>
    <w:p w14:paraId="24CC0B9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2" w:history="1">
        <w:r w:rsidRPr="00AF5BDE">
          <w:rPr>
            <w:rStyle w:val="Hyperlink"/>
            <w:rFonts w:ascii="Arial" w:hAnsi="Arial" w:cs="Arial"/>
            <w:noProof/>
          </w:rPr>
          <w:t>4.5.5 Illustrative Articles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39</w:t>
        </w:r>
        <w:r w:rsidRPr="00AF5BDE">
          <w:rPr>
            <w:rFonts w:ascii="Arial" w:hAnsi="Arial" w:cs="Arial"/>
            <w:noProof/>
            <w:webHidden/>
          </w:rPr>
          <w:fldChar w:fldCharType="end"/>
        </w:r>
      </w:hyperlink>
    </w:p>
    <w:p w14:paraId="42E54445"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3" w:history="1">
        <w:r w:rsidRPr="00AF5BDE">
          <w:rPr>
            <w:rStyle w:val="Hyperlink"/>
            <w:rFonts w:ascii="Arial" w:hAnsi="Arial" w:cs="Arial"/>
            <w:noProof/>
          </w:rPr>
          <w:t>4.5.6 Theoretical Integration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39</w:t>
        </w:r>
        <w:r w:rsidRPr="00AF5BDE">
          <w:rPr>
            <w:rFonts w:ascii="Arial" w:hAnsi="Arial" w:cs="Arial"/>
            <w:noProof/>
            <w:webHidden/>
          </w:rPr>
          <w:fldChar w:fldCharType="end"/>
        </w:r>
      </w:hyperlink>
    </w:p>
    <w:p w14:paraId="7078EF8B"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4" w:history="1">
        <w:r w:rsidRPr="00AF5BDE">
          <w:rPr>
            <w:rStyle w:val="Hyperlink"/>
            <w:rFonts w:ascii="Arial" w:hAnsi="Arial" w:cs="Arial"/>
            <w:noProof/>
          </w:rPr>
          <w:t>4.5.7 Implications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40</w:t>
        </w:r>
        <w:r w:rsidRPr="00AF5BDE">
          <w:rPr>
            <w:rFonts w:ascii="Arial" w:hAnsi="Arial" w:cs="Arial"/>
            <w:noProof/>
            <w:webHidden/>
          </w:rPr>
          <w:fldChar w:fldCharType="end"/>
        </w:r>
      </w:hyperlink>
    </w:p>
    <w:p w14:paraId="6A8A9796"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85" w:history="1">
        <w:r w:rsidRPr="00AF5BDE">
          <w:rPr>
            <w:rStyle w:val="Hyperlink"/>
            <w:rFonts w:ascii="Arial" w:hAnsi="Arial" w:cs="Arial"/>
            <w:noProof/>
          </w:rPr>
          <w:t>4.6 Theme 4 - Recommendations for Support Systems, Policy and Future Planning</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40</w:t>
        </w:r>
        <w:r w:rsidRPr="00AF5BDE">
          <w:rPr>
            <w:rFonts w:ascii="Arial" w:hAnsi="Arial" w:cs="Arial"/>
            <w:noProof/>
            <w:webHidden/>
          </w:rPr>
          <w:fldChar w:fldCharType="end"/>
        </w:r>
      </w:hyperlink>
    </w:p>
    <w:p w14:paraId="61E64B81"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6" w:history="1">
        <w:r w:rsidRPr="00AF5BDE">
          <w:rPr>
            <w:rStyle w:val="Hyperlink"/>
            <w:rFonts w:ascii="Arial" w:hAnsi="Arial" w:cs="Arial"/>
            <w:noProof/>
          </w:rPr>
          <w:t>4.6.1 From findings to action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40</w:t>
        </w:r>
        <w:r w:rsidRPr="00AF5BDE">
          <w:rPr>
            <w:rFonts w:ascii="Arial" w:hAnsi="Arial" w:cs="Arial"/>
            <w:noProof/>
            <w:webHidden/>
          </w:rPr>
          <w:fldChar w:fldCharType="end"/>
        </w:r>
      </w:hyperlink>
    </w:p>
    <w:p w14:paraId="5AEB70EC"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7" w:history="1">
        <w:r w:rsidRPr="00AF5BDE">
          <w:rPr>
            <w:rStyle w:val="Hyperlink"/>
            <w:rFonts w:ascii="Arial" w:eastAsia="Times New Roman" w:hAnsi="Arial" w:cs="Arial"/>
            <w:noProof/>
          </w:rPr>
          <w:t>4.6.2 Link to Objective 4</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41</w:t>
        </w:r>
        <w:r w:rsidRPr="00AF5BDE">
          <w:rPr>
            <w:rFonts w:ascii="Arial" w:hAnsi="Arial" w:cs="Arial"/>
            <w:noProof/>
            <w:webHidden/>
          </w:rPr>
          <w:fldChar w:fldCharType="end"/>
        </w:r>
      </w:hyperlink>
    </w:p>
    <w:p w14:paraId="1557FE81"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8" w:history="1">
        <w:r w:rsidRPr="00AF5BDE">
          <w:rPr>
            <w:rStyle w:val="Hyperlink"/>
            <w:rFonts w:ascii="Arial" w:hAnsi="Arial" w:cs="Arial"/>
            <w:noProof/>
          </w:rPr>
          <w:t>4.6.3 System and Organisational Design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41</w:t>
        </w:r>
        <w:r w:rsidRPr="00AF5BDE">
          <w:rPr>
            <w:rFonts w:ascii="Arial" w:hAnsi="Arial" w:cs="Arial"/>
            <w:noProof/>
            <w:webHidden/>
          </w:rPr>
          <w:fldChar w:fldCharType="end"/>
        </w:r>
      </w:hyperlink>
    </w:p>
    <w:p w14:paraId="6BCB5C80"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89" w:history="1">
        <w:r w:rsidRPr="00AF5BDE">
          <w:rPr>
            <w:rStyle w:val="Hyperlink"/>
            <w:rFonts w:ascii="Arial" w:hAnsi="Arial" w:cs="Arial"/>
            <w:noProof/>
          </w:rPr>
          <w:t>4.6.4 Clinical and Team-Level Supports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_Toc209387789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42</w:t>
        </w:r>
        <w:r w:rsidRPr="00AF5BDE">
          <w:rPr>
            <w:rFonts w:ascii="Arial" w:hAnsi="Arial" w:cs="Arial"/>
            <w:noProof/>
            <w:webHidden/>
          </w:rPr>
          <w:fldChar w:fldCharType="end"/>
        </w:r>
      </w:hyperlink>
    </w:p>
    <w:p w14:paraId="73A878D5"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0" w:history="1">
        <w:r w:rsidRPr="00AF5BDE">
          <w:rPr>
            <w:rStyle w:val="Hyperlink"/>
            <w:rFonts w:ascii="Arial" w:hAnsi="Arial" w:cs="Arial"/>
            <w:noProof/>
          </w:rPr>
          <w:t>4.6.5 Monitoring and Learning</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43</w:t>
        </w:r>
        <w:r w:rsidRPr="00AF5BDE">
          <w:rPr>
            <w:rFonts w:ascii="Arial" w:hAnsi="Arial" w:cs="Arial"/>
            <w:noProof/>
            <w:webHidden/>
          </w:rPr>
          <w:fldChar w:fldCharType="end"/>
        </w:r>
      </w:hyperlink>
    </w:p>
    <w:p w14:paraId="21307798"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1" w:history="1">
        <w:r w:rsidRPr="00AF5BDE">
          <w:rPr>
            <w:rStyle w:val="Hyperlink"/>
            <w:rFonts w:ascii="Arial" w:hAnsi="Arial" w:cs="Arial"/>
            <w:noProof/>
          </w:rPr>
          <w:t>4.6.6 Policy alignment</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43</w:t>
        </w:r>
        <w:r w:rsidRPr="00AF5BDE">
          <w:rPr>
            <w:rFonts w:ascii="Arial" w:hAnsi="Arial" w:cs="Arial"/>
            <w:noProof/>
            <w:webHidden/>
          </w:rPr>
          <w:fldChar w:fldCharType="end"/>
        </w:r>
      </w:hyperlink>
    </w:p>
    <w:p w14:paraId="5B68D191"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92" w:history="1">
        <w:r w:rsidRPr="00AF5BDE">
          <w:rPr>
            <w:rStyle w:val="Hyperlink"/>
            <w:rFonts w:ascii="Arial" w:hAnsi="Arial" w:cs="Arial"/>
            <w:noProof/>
          </w:rPr>
          <w:t>4.7 Chapter Conclusion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44</w:t>
        </w:r>
        <w:r w:rsidRPr="00AF5BDE">
          <w:rPr>
            <w:rFonts w:ascii="Arial" w:hAnsi="Arial" w:cs="Arial"/>
            <w:noProof/>
            <w:webHidden/>
          </w:rPr>
          <w:fldChar w:fldCharType="end"/>
        </w:r>
      </w:hyperlink>
    </w:p>
    <w:p w14:paraId="5F3C8F3A" w14:textId="77777777" w:rsidR="00C16BF8" w:rsidRPr="00AF5BDE" w:rsidRDefault="00C16BF8" w:rsidP="00C16BF8">
      <w:pPr>
        <w:pStyle w:val="TOC1"/>
        <w:tabs>
          <w:tab w:val="right" w:leader="dot" w:pos="9350"/>
        </w:tabs>
        <w:spacing w:before="120" w:after="120" w:line="360" w:lineRule="auto"/>
        <w:rPr>
          <w:rFonts w:ascii="Arial" w:hAnsi="Arial" w:cs="Arial"/>
          <w:noProof/>
        </w:rPr>
      </w:pPr>
      <w:hyperlink w:anchor="_Toc209387793" w:history="1">
        <w:r w:rsidRPr="00AF5BDE">
          <w:rPr>
            <w:rStyle w:val="Hyperlink"/>
            <w:rFonts w:ascii="Arial" w:hAnsi="Arial" w:cs="Arial"/>
            <w:noProof/>
          </w:rPr>
          <w:t>CHAPTER 5 – Conclusion and Recommendations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45</w:t>
        </w:r>
        <w:r w:rsidRPr="00AF5BDE">
          <w:rPr>
            <w:rFonts w:ascii="Arial" w:hAnsi="Arial" w:cs="Arial"/>
            <w:noProof/>
            <w:webHidden/>
          </w:rPr>
          <w:fldChar w:fldCharType="end"/>
        </w:r>
      </w:hyperlink>
    </w:p>
    <w:p w14:paraId="314F7EF6"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94" w:history="1">
        <w:r w:rsidRPr="00AF5BDE">
          <w:rPr>
            <w:rStyle w:val="Hyperlink"/>
            <w:rFonts w:ascii="Arial" w:eastAsia="Times New Roman" w:hAnsi="Arial" w:cs="Arial"/>
            <w:noProof/>
          </w:rPr>
          <w:t>5.1 Overall Conclusion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45</w:t>
        </w:r>
        <w:r w:rsidRPr="00AF5BDE">
          <w:rPr>
            <w:rFonts w:ascii="Arial" w:hAnsi="Arial" w:cs="Arial"/>
            <w:noProof/>
            <w:webHidden/>
          </w:rPr>
          <w:fldChar w:fldCharType="end"/>
        </w:r>
      </w:hyperlink>
    </w:p>
    <w:p w14:paraId="51C66381"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795" w:history="1">
        <w:r w:rsidRPr="00AF5BDE">
          <w:rPr>
            <w:rStyle w:val="Hyperlink"/>
            <w:rFonts w:ascii="Arial" w:eastAsia="Times New Roman" w:hAnsi="Arial" w:cs="Arial"/>
            <w:noProof/>
          </w:rPr>
          <w:t>5.2 Recommendations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_Toc209387795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46</w:t>
        </w:r>
        <w:r w:rsidRPr="00AF5BDE">
          <w:rPr>
            <w:rFonts w:ascii="Arial" w:hAnsi="Arial" w:cs="Arial"/>
            <w:noProof/>
            <w:webHidden/>
          </w:rPr>
          <w:fldChar w:fldCharType="end"/>
        </w:r>
      </w:hyperlink>
    </w:p>
    <w:p w14:paraId="42E43849"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6" w:history="1">
        <w:r w:rsidRPr="00AF5BDE">
          <w:rPr>
            <w:rStyle w:val="Hyperlink"/>
            <w:rFonts w:ascii="Arial" w:eastAsia="Times New Roman" w:hAnsi="Arial" w:cs="Arial"/>
            <w:noProof/>
          </w:rPr>
          <w:t>5.2.1 Recommendation 1: Protect Recovery Time and Stabilise Work Through Rota and Staffing Design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_Toc209387796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46</w:t>
        </w:r>
        <w:r w:rsidRPr="00AF5BDE">
          <w:rPr>
            <w:rFonts w:ascii="Arial" w:hAnsi="Arial" w:cs="Arial"/>
            <w:noProof/>
            <w:webHidden/>
          </w:rPr>
          <w:fldChar w:fldCharType="end"/>
        </w:r>
      </w:hyperlink>
    </w:p>
    <w:p w14:paraId="48501BFD"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7" w:history="1">
        <w:r w:rsidRPr="00AF5BDE">
          <w:rPr>
            <w:rStyle w:val="Hyperlink"/>
            <w:rFonts w:ascii="Arial" w:eastAsia="Times New Roman" w:hAnsi="Arial" w:cs="Arial"/>
            <w:noProof/>
          </w:rPr>
          <w:t>5.2.2 Recommendation 2: Embed Psychologically-Informed Support into the Flow of Work</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_Toc209387797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46</w:t>
        </w:r>
        <w:r w:rsidRPr="00AF5BDE">
          <w:rPr>
            <w:rFonts w:ascii="Arial" w:hAnsi="Arial" w:cs="Arial"/>
            <w:noProof/>
            <w:webHidden/>
          </w:rPr>
          <w:fldChar w:fldCharType="end"/>
        </w:r>
      </w:hyperlink>
    </w:p>
    <w:p w14:paraId="444EA016"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8" w:history="1">
        <w:r w:rsidRPr="00AF5BDE">
          <w:rPr>
            <w:rStyle w:val="Hyperlink"/>
            <w:rFonts w:ascii="Arial" w:eastAsia="Times New Roman" w:hAnsi="Arial" w:cs="Arial"/>
            <w:noProof/>
          </w:rPr>
          <w:t>5.2.3 Recommendation 3: Build Ethics and Equity into Everyday Operations (Moral Injury Mitigation and Fair Access)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_Toc209387798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47</w:t>
        </w:r>
        <w:r w:rsidRPr="00AF5BDE">
          <w:rPr>
            <w:rFonts w:ascii="Arial" w:hAnsi="Arial" w:cs="Arial"/>
            <w:noProof/>
            <w:webHidden/>
          </w:rPr>
          <w:fldChar w:fldCharType="end"/>
        </w:r>
      </w:hyperlink>
    </w:p>
    <w:p w14:paraId="17604A68"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799" w:history="1">
        <w:r w:rsidRPr="00AF5BDE">
          <w:rPr>
            <w:rStyle w:val="Hyperlink"/>
            <w:rFonts w:ascii="Arial" w:eastAsia="Times New Roman" w:hAnsi="Arial" w:cs="Arial"/>
            <w:noProof/>
          </w:rPr>
          <w:t>5.2.4 Cross-Cutting Enablers and Phased Implementation</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_Toc209387799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48</w:t>
        </w:r>
        <w:r w:rsidRPr="00AF5BDE">
          <w:rPr>
            <w:rFonts w:ascii="Arial" w:hAnsi="Arial" w:cs="Arial"/>
            <w:noProof/>
            <w:webHidden/>
          </w:rPr>
          <w:fldChar w:fldCharType="end"/>
        </w:r>
      </w:hyperlink>
    </w:p>
    <w:p w14:paraId="64132629" w14:textId="77777777" w:rsidR="00C16BF8" w:rsidRPr="00AF5BDE" w:rsidRDefault="00C16BF8" w:rsidP="00C16BF8">
      <w:pPr>
        <w:pStyle w:val="TOC1"/>
        <w:tabs>
          <w:tab w:val="right" w:leader="dot" w:pos="9350"/>
        </w:tabs>
        <w:spacing w:before="120" w:after="120" w:line="360" w:lineRule="auto"/>
        <w:rPr>
          <w:rFonts w:ascii="Arial" w:hAnsi="Arial" w:cs="Arial"/>
          <w:noProof/>
        </w:rPr>
      </w:pPr>
      <w:hyperlink w:anchor="_Toc209387800" w:history="1">
        <w:r w:rsidRPr="00AF5BDE">
          <w:rPr>
            <w:rStyle w:val="Hyperlink"/>
            <w:rFonts w:ascii="Arial" w:hAnsi="Arial" w:cs="Arial"/>
            <w:noProof/>
          </w:rPr>
          <w:t>CHAPTER 6: References and Appendices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_Toc209387800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49</w:t>
        </w:r>
        <w:r w:rsidRPr="00AF5BDE">
          <w:rPr>
            <w:rFonts w:ascii="Arial" w:hAnsi="Arial" w:cs="Arial"/>
            <w:noProof/>
            <w:webHidden/>
          </w:rPr>
          <w:fldChar w:fldCharType="end"/>
        </w:r>
      </w:hyperlink>
    </w:p>
    <w:p w14:paraId="4DABDD71"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801" w:history="1">
        <w:r w:rsidRPr="00AF5BDE">
          <w:rPr>
            <w:rStyle w:val="Hyperlink"/>
            <w:rFonts w:ascii="Arial" w:hAnsi="Arial" w:cs="Arial"/>
            <w:noProof/>
          </w:rPr>
          <w:t>References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_Toc209387801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49</w:t>
        </w:r>
        <w:r w:rsidRPr="00AF5BDE">
          <w:rPr>
            <w:rFonts w:ascii="Arial" w:hAnsi="Arial" w:cs="Arial"/>
            <w:noProof/>
            <w:webHidden/>
          </w:rPr>
          <w:fldChar w:fldCharType="end"/>
        </w:r>
      </w:hyperlink>
    </w:p>
    <w:p w14:paraId="555B1D21" w14:textId="77777777" w:rsidR="00C16BF8" w:rsidRPr="00AF5BDE" w:rsidRDefault="00C16BF8" w:rsidP="00C16BF8">
      <w:pPr>
        <w:pStyle w:val="TOC2"/>
        <w:tabs>
          <w:tab w:val="right" w:leader="dot" w:pos="9350"/>
        </w:tabs>
        <w:spacing w:before="120" w:after="120" w:line="360" w:lineRule="auto"/>
        <w:rPr>
          <w:rFonts w:ascii="Arial" w:hAnsi="Arial" w:cs="Arial"/>
          <w:noProof/>
        </w:rPr>
      </w:pPr>
      <w:hyperlink w:anchor="_Toc209387802" w:history="1">
        <w:r w:rsidRPr="00AF5BDE">
          <w:rPr>
            <w:rStyle w:val="Hyperlink"/>
            <w:rFonts w:ascii="Arial" w:hAnsi="Arial" w:cs="Arial"/>
            <w:noProof/>
          </w:rPr>
          <w:t>Appendices</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_Toc209387802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60</w:t>
        </w:r>
        <w:r w:rsidRPr="00AF5BDE">
          <w:rPr>
            <w:rFonts w:ascii="Arial" w:hAnsi="Arial" w:cs="Arial"/>
            <w:noProof/>
            <w:webHidden/>
          </w:rPr>
          <w:fldChar w:fldCharType="end"/>
        </w:r>
      </w:hyperlink>
    </w:p>
    <w:p w14:paraId="2379561A"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803" w:history="1">
        <w:r w:rsidRPr="00AF5BDE">
          <w:rPr>
            <w:rStyle w:val="Hyperlink"/>
            <w:rFonts w:ascii="Arial" w:hAnsi="Arial" w:cs="Arial"/>
            <w:noProof/>
          </w:rPr>
          <w:t>Appendix A: Academic Poster</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_Toc209387803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60</w:t>
        </w:r>
        <w:r w:rsidRPr="00AF5BDE">
          <w:rPr>
            <w:rFonts w:ascii="Arial" w:hAnsi="Arial" w:cs="Arial"/>
            <w:noProof/>
            <w:webHidden/>
          </w:rPr>
          <w:fldChar w:fldCharType="end"/>
        </w:r>
      </w:hyperlink>
    </w:p>
    <w:p w14:paraId="00E8F87E" w14:textId="77777777" w:rsidR="00C16BF8" w:rsidRPr="00AF5BDE" w:rsidRDefault="00C16BF8" w:rsidP="00C16BF8">
      <w:pPr>
        <w:pStyle w:val="TOC3"/>
        <w:tabs>
          <w:tab w:val="right" w:leader="dot" w:pos="9350"/>
        </w:tabs>
        <w:spacing w:before="120" w:after="120" w:line="360" w:lineRule="auto"/>
        <w:rPr>
          <w:rFonts w:ascii="Arial" w:hAnsi="Arial" w:cs="Arial"/>
          <w:noProof/>
        </w:rPr>
      </w:pPr>
      <w:hyperlink w:anchor="_Toc209387804" w:history="1">
        <w:r w:rsidRPr="00AF5BDE">
          <w:rPr>
            <w:rStyle w:val="Hyperlink"/>
            <w:rFonts w:ascii="Arial" w:hAnsi="Arial" w:cs="Arial"/>
            <w:noProof/>
          </w:rPr>
          <w:t>Appendix B: Themes Summary</w:t>
        </w:r>
        <w:r w:rsidRPr="00AF5BDE">
          <w:rPr>
            <w:rFonts w:ascii="Arial" w:hAnsi="Arial" w:cs="Arial"/>
            <w:noProof/>
            <w:webHidden/>
          </w:rPr>
          <w:tab/>
        </w:r>
        <w:r w:rsidRPr="00AF5BDE">
          <w:rPr>
            <w:rFonts w:ascii="Arial" w:hAnsi="Arial" w:cs="Arial"/>
            <w:noProof/>
            <w:webHidden/>
          </w:rPr>
          <w:fldChar w:fldCharType="begin"/>
        </w:r>
        <w:r w:rsidRPr="00AF5BDE">
          <w:rPr>
            <w:rFonts w:ascii="Arial" w:hAnsi="Arial" w:cs="Arial"/>
            <w:noProof/>
            <w:webHidden/>
          </w:rPr>
          <w:instrText xml:space="preserve"> PAGEREF _Toc209387804 \h </w:instrText>
        </w:r>
        <w:r w:rsidRPr="00AF5BDE">
          <w:rPr>
            <w:rFonts w:ascii="Arial" w:hAnsi="Arial" w:cs="Arial"/>
            <w:noProof/>
            <w:webHidden/>
          </w:rPr>
        </w:r>
        <w:r w:rsidRPr="00AF5BDE">
          <w:rPr>
            <w:rFonts w:ascii="Arial" w:hAnsi="Arial" w:cs="Arial"/>
            <w:noProof/>
            <w:webHidden/>
          </w:rPr>
          <w:fldChar w:fldCharType="separate"/>
        </w:r>
        <w:r w:rsidR="00AF5BDE">
          <w:rPr>
            <w:rFonts w:ascii="Arial" w:hAnsi="Arial" w:cs="Arial"/>
            <w:noProof/>
            <w:webHidden/>
          </w:rPr>
          <w:t>63</w:t>
        </w:r>
        <w:r w:rsidRPr="00AF5BDE">
          <w:rPr>
            <w:rFonts w:ascii="Arial" w:hAnsi="Arial" w:cs="Arial"/>
            <w:noProof/>
            <w:webHidden/>
          </w:rPr>
          <w:fldChar w:fldCharType="end"/>
        </w:r>
      </w:hyperlink>
    </w:p>
    <w:p w14:paraId="0491B379" w14:textId="77777777" w:rsidR="00C16BF8" w:rsidRPr="00AF5BDE" w:rsidRDefault="00C16BF8" w:rsidP="00C16BF8">
      <w:pPr>
        <w:pStyle w:val="NormalWeb"/>
        <w:spacing w:before="120" w:beforeAutospacing="0" w:after="120" w:afterAutospacing="0" w:line="360" w:lineRule="auto"/>
        <w:jc w:val="both"/>
        <w:rPr>
          <w:rFonts w:ascii="Arial" w:hAnsi="Arial" w:cs="Arial"/>
          <w:sz w:val="22"/>
        </w:rPr>
      </w:pPr>
      <w:r w:rsidRPr="00AF5BDE">
        <w:rPr>
          <w:rFonts w:ascii="Arial" w:hAnsi="Arial" w:cs="Arial"/>
          <w:sz w:val="22"/>
        </w:rPr>
        <w:fldChar w:fldCharType="end"/>
      </w:r>
    </w:p>
    <w:p w14:paraId="649ED730"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3CB2348C"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1B96ACDD"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7E725121"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029F5DB2"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36DA2F23"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6B4F1167"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535B9C65"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7C8BB1D1"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1631AB0B"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0A7B9240"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41A65F24"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269CC345"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66FBE3B7"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685BBF6A"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22CB40D8"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6A835131" w14:textId="77777777" w:rsidR="00C16BF8" w:rsidRDefault="00C16BF8" w:rsidP="00C16BF8">
      <w:pPr>
        <w:pStyle w:val="NormalWeb"/>
        <w:spacing w:before="120" w:beforeAutospacing="0" w:after="120" w:afterAutospacing="0" w:line="360" w:lineRule="auto"/>
        <w:jc w:val="both"/>
        <w:rPr>
          <w:rFonts w:ascii="Arial" w:hAnsi="Arial" w:cs="Arial"/>
          <w:sz w:val="22"/>
        </w:rPr>
      </w:pPr>
    </w:p>
    <w:p w14:paraId="4ACEC3E1" w14:textId="77777777" w:rsidR="00C16BF8" w:rsidRDefault="00C16BF8" w:rsidP="00C16BF8">
      <w:pPr>
        <w:pStyle w:val="NormalWeb"/>
        <w:spacing w:before="120" w:beforeAutospacing="0" w:after="120" w:afterAutospacing="0" w:line="360" w:lineRule="auto"/>
        <w:jc w:val="both"/>
        <w:rPr>
          <w:rFonts w:ascii="Arial" w:hAnsi="Arial" w:cs="Arial"/>
          <w:sz w:val="22"/>
        </w:rPr>
      </w:pPr>
    </w:p>
    <w:p w14:paraId="793D6AF9" w14:textId="77777777" w:rsidR="00C16BF8" w:rsidRDefault="00C16BF8" w:rsidP="00C16BF8">
      <w:pPr>
        <w:pStyle w:val="NormalWeb"/>
        <w:spacing w:before="120" w:beforeAutospacing="0" w:after="120" w:afterAutospacing="0" w:line="360" w:lineRule="auto"/>
        <w:jc w:val="both"/>
        <w:rPr>
          <w:rFonts w:ascii="Arial" w:hAnsi="Arial" w:cs="Arial"/>
          <w:sz w:val="22"/>
        </w:rPr>
      </w:pPr>
    </w:p>
    <w:p w14:paraId="443DC34D" w14:textId="77777777" w:rsidR="00C16BF8" w:rsidRDefault="00C16BF8" w:rsidP="00C16BF8">
      <w:pPr>
        <w:pStyle w:val="NormalWeb"/>
        <w:spacing w:before="120" w:beforeAutospacing="0" w:after="120" w:afterAutospacing="0" w:line="360" w:lineRule="auto"/>
        <w:jc w:val="both"/>
        <w:rPr>
          <w:rFonts w:ascii="Arial" w:hAnsi="Arial" w:cs="Arial"/>
          <w:sz w:val="22"/>
        </w:rPr>
      </w:pPr>
    </w:p>
    <w:p w14:paraId="107A29BB" w14:textId="77777777" w:rsidR="00C16BF8" w:rsidRDefault="00C16BF8" w:rsidP="00C16BF8">
      <w:pPr>
        <w:pStyle w:val="NormalWeb"/>
        <w:spacing w:before="120" w:beforeAutospacing="0" w:after="120" w:afterAutospacing="0" w:line="360" w:lineRule="auto"/>
        <w:jc w:val="both"/>
        <w:rPr>
          <w:rFonts w:ascii="Arial" w:hAnsi="Arial" w:cs="Arial"/>
          <w:sz w:val="22"/>
        </w:rPr>
      </w:pPr>
    </w:p>
    <w:p w14:paraId="399FACB9"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p>
    <w:p w14:paraId="3DB1FB1E" w14:textId="77777777" w:rsidR="00C16BF8" w:rsidRPr="00C16BF8" w:rsidRDefault="00C16BF8" w:rsidP="00C16BF8">
      <w:pPr>
        <w:pStyle w:val="NormalWeb"/>
        <w:spacing w:before="120" w:beforeAutospacing="0" w:after="120" w:afterAutospacing="0" w:line="360" w:lineRule="auto"/>
        <w:jc w:val="center"/>
        <w:rPr>
          <w:rFonts w:ascii="Arial" w:hAnsi="Arial" w:cs="Arial"/>
          <w:b/>
          <w:sz w:val="32"/>
        </w:rPr>
      </w:pPr>
      <w:r w:rsidRPr="00C16BF8">
        <w:rPr>
          <w:rFonts w:ascii="Arial" w:hAnsi="Arial" w:cs="Arial"/>
          <w:b/>
          <w:sz w:val="32"/>
        </w:rPr>
        <w:t>LIST OF FIGURES</w:t>
      </w:r>
    </w:p>
    <w:p w14:paraId="6FFB736E" w14:textId="77777777" w:rsidR="00C16BF8" w:rsidRPr="00C16BF8" w:rsidRDefault="00C16BF8" w:rsidP="00C16BF8">
      <w:pPr>
        <w:pStyle w:val="TableofFigures"/>
        <w:tabs>
          <w:tab w:val="right" w:leader="dot" w:pos="9350"/>
        </w:tabs>
        <w:spacing w:before="120" w:after="120" w:line="360" w:lineRule="auto"/>
        <w:rPr>
          <w:rFonts w:ascii="Arial" w:hAnsi="Arial" w:cs="Arial"/>
          <w:noProof/>
        </w:rPr>
      </w:pPr>
      <w:r w:rsidRPr="00C16BF8">
        <w:rPr>
          <w:rFonts w:ascii="Arial" w:hAnsi="Arial" w:cs="Arial"/>
        </w:rPr>
        <w:fldChar w:fldCharType="begin"/>
      </w:r>
      <w:r w:rsidRPr="00C16BF8">
        <w:rPr>
          <w:rFonts w:ascii="Arial" w:hAnsi="Arial" w:cs="Arial"/>
        </w:rPr>
        <w:instrText xml:space="preserve"> TOC \h \z \c "Figure" </w:instrText>
      </w:r>
      <w:r w:rsidRPr="00C16BF8">
        <w:rPr>
          <w:rFonts w:ascii="Arial" w:hAnsi="Arial" w:cs="Arial"/>
        </w:rPr>
        <w:fldChar w:fldCharType="separate"/>
      </w:r>
      <w:hyperlink w:anchor="_Toc209387805" w:history="1">
        <w:r w:rsidRPr="00C16BF8">
          <w:rPr>
            <w:rStyle w:val="Hyperlink"/>
            <w:rFonts w:ascii="Arial" w:hAnsi="Arial" w:cs="Arial"/>
            <w:noProof/>
          </w:rPr>
          <w:t>Figure 1: Search Strategy (Made by using Word Tool)</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_Toc209387805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23</w:t>
        </w:r>
        <w:r w:rsidRPr="00C16BF8">
          <w:rPr>
            <w:rFonts w:ascii="Arial" w:hAnsi="Arial" w:cs="Arial"/>
            <w:noProof/>
            <w:webHidden/>
          </w:rPr>
          <w:fldChar w:fldCharType="end"/>
        </w:r>
      </w:hyperlink>
    </w:p>
    <w:p w14:paraId="1C883262" w14:textId="77777777" w:rsidR="00C16BF8" w:rsidRPr="00C16BF8" w:rsidRDefault="00C16BF8" w:rsidP="00C16BF8">
      <w:pPr>
        <w:pStyle w:val="TableofFigures"/>
        <w:tabs>
          <w:tab w:val="right" w:leader="dot" w:pos="9350"/>
        </w:tabs>
        <w:spacing w:before="120" w:after="120" w:line="360" w:lineRule="auto"/>
        <w:rPr>
          <w:rFonts w:ascii="Arial" w:hAnsi="Arial" w:cs="Arial"/>
          <w:noProof/>
        </w:rPr>
      </w:pPr>
      <w:hyperlink w:anchor="_Toc209387806" w:history="1">
        <w:r w:rsidRPr="00C16BF8">
          <w:rPr>
            <w:rStyle w:val="Hyperlink"/>
            <w:rFonts w:ascii="Arial" w:hAnsi="Arial" w:cs="Arial"/>
            <w:noProof/>
          </w:rPr>
          <w:t>Figure 2: Search Strategy Map (Made by using Visual Paradigm Tool)</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_Toc209387806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24</w:t>
        </w:r>
        <w:r w:rsidRPr="00C16BF8">
          <w:rPr>
            <w:rFonts w:ascii="Arial" w:hAnsi="Arial" w:cs="Arial"/>
            <w:noProof/>
            <w:webHidden/>
          </w:rPr>
          <w:fldChar w:fldCharType="end"/>
        </w:r>
      </w:hyperlink>
    </w:p>
    <w:p w14:paraId="300190FA" w14:textId="77777777" w:rsidR="00C16BF8" w:rsidRPr="00C16BF8" w:rsidRDefault="00C16BF8" w:rsidP="00C16BF8">
      <w:pPr>
        <w:pStyle w:val="TableofFigures"/>
        <w:tabs>
          <w:tab w:val="right" w:leader="dot" w:pos="9350"/>
        </w:tabs>
        <w:spacing w:before="120" w:after="120" w:line="360" w:lineRule="auto"/>
        <w:rPr>
          <w:rFonts w:ascii="Arial" w:hAnsi="Arial" w:cs="Arial"/>
          <w:noProof/>
        </w:rPr>
      </w:pPr>
      <w:hyperlink w:anchor="_Toc209387807" w:history="1">
        <w:r w:rsidRPr="00C16BF8">
          <w:rPr>
            <w:rStyle w:val="Hyperlink"/>
            <w:rFonts w:ascii="Arial" w:hAnsi="Arial" w:cs="Arial"/>
            <w:noProof/>
          </w:rPr>
          <w:t>Figure 3: PRISMA Diagram (Made by using WordTool)</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_Toc209387807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25</w:t>
        </w:r>
        <w:r w:rsidRPr="00C16BF8">
          <w:rPr>
            <w:rFonts w:ascii="Arial" w:hAnsi="Arial" w:cs="Arial"/>
            <w:noProof/>
            <w:webHidden/>
          </w:rPr>
          <w:fldChar w:fldCharType="end"/>
        </w:r>
      </w:hyperlink>
    </w:p>
    <w:p w14:paraId="47238336" w14:textId="77777777" w:rsidR="00C16BF8" w:rsidRPr="00C16BF8" w:rsidRDefault="00C16BF8" w:rsidP="00C16BF8">
      <w:pPr>
        <w:pStyle w:val="TableofFigures"/>
        <w:tabs>
          <w:tab w:val="right" w:leader="dot" w:pos="9350"/>
        </w:tabs>
        <w:spacing w:before="120" w:after="120" w:line="360" w:lineRule="auto"/>
        <w:rPr>
          <w:rFonts w:ascii="Arial" w:hAnsi="Arial" w:cs="Arial"/>
          <w:noProof/>
        </w:rPr>
      </w:pPr>
      <w:hyperlink w:anchor="_Toc209387808" w:history="1">
        <w:r w:rsidRPr="00C16BF8">
          <w:rPr>
            <w:rStyle w:val="Hyperlink"/>
            <w:rFonts w:ascii="Arial" w:hAnsi="Arial" w:cs="Arial"/>
            <w:noProof/>
          </w:rPr>
          <w:t>Figure 4: Inclusion/exclusion Decision Tree (Made by using Visual Paradigm Tool)</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_Toc209387808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27</w:t>
        </w:r>
        <w:r w:rsidRPr="00C16BF8">
          <w:rPr>
            <w:rFonts w:ascii="Arial" w:hAnsi="Arial" w:cs="Arial"/>
            <w:noProof/>
            <w:webHidden/>
          </w:rPr>
          <w:fldChar w:fldCharType="end"/>
        </w:r>
      </w:hyperlink>
    </w:p>
    <w:p w14:paraId="386D97E4" w14:textId="77777777" w:rsidR="00C16BF8" w:rsidRPr="00C16BF8" w:rsidRDefault="00C16BF8" w:rsidP="00C16BF8">
      <w:pPr>
        <w:pStyle w:val="NormalWeb"/>
        <w:spacing w:before="120" w:beforeAutospacing="0" w:after="120" w:afterAutospacing="0" w:line="360" w:lineRule="auto"/>
        <w:jc w:val="both"/>
        <w:rPr>
          <w:rFonts w:ascii="Arial" w:hAnsi="Arial" w:cs="Arial"/>
          <w:sz w:val="22"/>
        </w:rPr>
      </w:pPr>
      <w:r w:rsidRPr="00C16BF8">
        <w:rPr>
          <w:rFonts w:ascii="Arial" w:hAnsi="Arial" w:cs="Arial"/>
          <w:sz w:val="22"/>
        </w:rPr>
        <w:fldChar w:fldCharType="end"/>
      </w:r>
    </w:p>
    <w:p w14:paraId="5F68E788" w14:textId="77777777" w:rsidR="00C16BF8" w:rsidRPr="00F32271" w:rsidRDefault="00C16BF8" w:rsidP="00F32271">
      <w:pPr>
        <w:pStyle w:val="NormalWeb"/>
        <w:spacing w:before="120" w:beforeAutospacing="0" w:after="120" w:afterAutospacing="0" w:line="360" w:lineRule="auto"/>
        <w:jc w:val="center"/>
        <w:rPr>
          <w:rFonts w:ascii="Arial" w:hAnsi="Arial" w:cs="Arial"/>
          <w:b/>
          <w:sz w:val="32"/>
        </w:rPr>
      </w:pPr>
      <w:r w:rsidRPr="00F32271">
        <w:rPr>
          <w:rFonts w:ascii="Arial" w:hAnsi="Arial" w:cs="Arial"/>
          <w:b/>
          <w:sz w:val="32"/>
        </w:rPr>
        <w:t>LIST OF TABLES</w:t>
      </w:r>
    </w:p>
    <w:p w14:paraId="56874736" w14:textId="77777777" w:rsidR="00C16BF8" w:rsidRPr="00C16BF8" w:rsidRDefault="00C16BF8" w:rsidP="00C16BF8">
      <w:pPr>
        <w:pStyle w:val="TableofFigures"/>
        <w:tabs>
          <w:tab w:val="right" w:leader="dot" w:pos="9350"/>
        </w:tabs>
        <w:spacing w:before="120" w:after="120" w:line="360" w:lineRule="auto"/>
        <w:rPr>
          <w:rFonts w:ascii="Arial" w:eastAsiaTheme="minorEastAsia" w:hAnsi="Arial" w:cs="Arial"/>
          <w:noProof/>
        </w:rPr>
      </w:pPr>
      <w:r w:rsidRPr="00C16BF8">
        <w:rPr>
          <w:rFonts w:ascii="Arial" w:hAnsi="Arial" w:cs="Arial"/>
        </w:rPr>
        <w:fldChar w:fldCharType="begin"/>
      </w:r>
      <w:r w:rsidRPr="00C16BF8">
        <w:rPr>
          <w:rFonts w:ascii="Arial" w:hAnsi="Arial" w:cs="Arial"/>
        </w:rPr>
        <w:instrText xml:space="preserve"> TOC \h \z \c "Table" </w:instrText>
      </w:r>
      <w:r w:rsidRPr="00C16BF8">
        <w:rPr>
          <w:rFonts w:ascii="Arial" w:hAnsi="Arial" w:cs="Arial"/>
        </w:rPr>
        <w:fldChar w:fldCharType="separate"/>
      </w:r>
      <w:hyperlink w:anchor="_Toc209387809" w:history="1">
        <w:r w:rsidRPr="00C16BF8">
          <w:rPr>
            <w:rStyle w:val="Hyperlink"/>
            <w:rFonts w:ascii="Arial" w:hAnsi="Arial" w:cs="Arial"/>
            <w:noProof/>
          </w:rPr>
          <w:t>Table 1: Academic Poster</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_Toc209387809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60</w:t>
        </w:r>
        <w:r w:rsidRPr="00C16BF8">
          <w:rPr>
            <w:rFonts w:ascii="Arial" w:hAnsi="Arial" w:cs="Arial"/>
            <w:noProof/>
            <w:webHidden/>
          </w:rPr>
          <w:fldChar w:fldCharType="end"/>
        </w:r>
      </w:hyperlink>
    </w:p>
    <w:p w14:paraId="1EC3D7A8" w14:textId="77777777" w:rsidR="00C16BF8" w:rsidRPr="00C16BF8" w:rsidRDefault="00C16BF8" w:rsidP="00C16BF8">
      <w:pPr>
        <w:pStyle w:val="TableofFigures"/>
        <w:tabs>
          <w:tab w:val="right" w:leader="dot" w:pos="9350"/>
        </w:tabs>
        <w:spacing w:before="120" w:after="120" w:line="360" w:lineRule="auto"/>
        <w:rPr>
          <w:rFonts w:ascii="Arial" w:eastAsiaTheme="minorEastAsia" w:hAnsi="Arial" w:cs="Arial"/>
          <w:noProof/>
        </w:rPr>
      </w:pPr>
      <w:hyperlink w:anchor="_Toc209387810" w:history="1">
        <w:r w:rsidRPr="00C16BF8">
          <w:rPr>
            <w:rStyle w:val="Hyperlink"/>
            <w:rFonts w:ascii="Arial" w:hAnsi="Arial" w:cs="Arial"/>
            <w:noProof/>
          </w:rPr>
          <w:t>Table 2: Themes Summary</w:t>
        </w:r>
        <w:r w:rsidRPr="00C16BF8">
          <w:rPr>
            <w:rFonts w:ascii="Arial" w:hAnsi="Arial" w:cs="Arial"/>
            <w:noProof/>
            <w:webHidden/>
          </w:rPr>
          <w:tab/>
        </w:r>
        <w:r w:rsidRPr="00C16BF8">
          <w:rPr>
            <w:rFonts w:ascii="Arial" w:hAnsi="Arial" w:cs="Arial"/>
            <w:noProof/>
            <w:webHidden/>
          </w:rPr>
          <w:fldChar w:fldCharType="begin"/>
        </w:r>
        <w:r w:rsidRPr="00C16BF8">
          <w:rPr>
            <w:rFonts w:ascii="Arial" w:hAnsi="Arial" w:cs="Arial"/>
            <w:noProof/>
            <w:webHidden/>
          </w:rPr>
          <w:instrText xml:space="preserve"> PAGEREF _Toc209387810 \h </w:instrText>
        </w:r>
        <w:r w:rsidRPr="00C16BF8">
          <w:rPr>
            <w:rFonts w:ascii="Arial" w:hAnsi="Arial" w:cs="Arial"/>
            <w:noProof/>
            <w:webHidden/>
          </w:rPr>
        </w:r>
        <w:r w:rsidRPr="00C16BF8">
          <w:rPr>
            <w:rFonts w:ascii="Arial" w:hAnsi="Arial" w:cs="Arial"/>
            <w:noProof/>
            <w:webHidden/>
          </w:rPr>
          <w:fldChar w:fldCharType="separate"/>
        </w:r>
        <w:r w:rsidR="00AF5BDE">
          <w:rPr>
            <w:rFonts w:ascii="Arial" w:hAnsi="Arial" w:cs="Arial"/>
            <w:noProof/>
            <w:webHidden/>
          </w:rPr>
          <w:t>63</w:t>
        </w:r>
        <w:r w:rsidRPr="00C16BF8">
          <w:rPr>
            <w:rFonts w:ascii="Arial" w:hAnsi="Arial" w:cs="Arial"/>
            <w:noProof/>
            <w:webHidden/>
          </w:rPr>
          <w:fldChar w:fldCharType="end"/>
        </w:r>
      </w:hyperlink>
    </w:p>
    <w:p w14:paraId="5A35173B" w14:textId="77777777" w:rsidR="00C16BF8" w:rsidRDefault="00C16BF8" w:rsidP="00C16BF8">
      <w:pPr>
        <w:pStyle w:val="NormalWeb"/>
        <w:spacing w:before="120" w:beforeAutospacing="0" w:after="120" w:afterAutospacing="0" w:line="360" w:lineRule="auto"/>
        <w:jc w:val="both"/>
        <w:rPr>
          <w:rFonts w:ascii="Arial" w:hAnsi="Arial" w:cs="Arial"/>
          <w:sz w:val="22"/>
        </w:rPr>
      </w:pPr>
      <w:r w:rsidRPr="00C16BF8">
        <w:rPr>
          <w:rFonts w:ascii="Arial" w:hAnsi="Arial" w:cs="Arial"/>
          <w:sz w:val="22"/>
        </w:rPr>
        <w:fldChar w:fldCharType="end"/>
      </w:r>
    </w:p>
    <w:p w14:paraId="41C90C0C"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58E00B7D"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2625A02A"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0C7E385D"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6144F7BD"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2DE0F117"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298DDA9F"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4208C261"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6515DB0D"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12817D6F"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0CB5BA88" w14:textId="77777777" w:rsidR="00F32271" w:rsidRDefault="00F32271" w:rsidP="00C16BF8">
      <w:pPr>
        <w:pStyle w:val="NormalWeb"/>
        <w:spacing w:before="120" w:beforeAutospacing="0" w:after="120" w:afterAutospacing="0" w:line="360" w:lineRule="auto"/>
        <w:jc w:val="both"/>
        <w:rPr>
          <w:rFonts w:ascii="Arial" w:hAnsi="Arial" w:cs="Arial"/>
          <w:sz w:val="22"/>
        </w:rPr>
      </w:pPr>
    </w:p>
    <w:p w14:paraId="32C1B784" w14:textId="77777777" w:rsidR="00F32271" w:rsidRPr="00C16BF8" w:rsidRDefault="00F32271" w:rsidP="00C16BF8">
      <w:pPr>
        <w:pStyle w:val="NormalWeb"/>
        <w:spacing w:before="120" w:beforeAutospacing="0" w:after="120" w:afterAutospacing="0" w:line="360" w:lineRule="auto"/>
        <w:jc w:val="both"/>
        <w:rPr>
          <w:rFonts w:ascii="Arial" w:hAnsi="Arial" w:cs="Arial"/>
          <w:sz w:val="22"/>
        </w:rPr>
      </w:pPr>
    </w:p>
    <w:p w14:paraId="4CAA2110" w14:textId="77777777" w:rsidR="00E02572" w:rsidRPr="00C16BF8" w:rsidRDefault="00E02572" w:rsidP="0013498E">
      <w:pPr>
        <w:pStyle w:val="Heading1"/>
      </w:pPr>
      <w:bookmarkStart w:id="0" w:name="_Toc209387728"/>
      <w:r w:rsidRPr="00C16BF8">
        <w:t>CHAPTER 1: Introduction</w:t>
      </w:r>
      <w:bookmarkEnd w:id="0"/>
    </w:p>
    <w:p w14:paraId="35C3420C" w14:textId="77777777" w:rsidR="00E02572" w:rsidRPr="00C16BF8" w:rsidRDefault="00E02572" w:rsidP="009F30F7">
      <w:pPr>
        <w:pStyle w:val="Heading2"/>
        <w:spacing w:line="360" w:lineRule="auto"/>
        <w:jc w:val="both"/>
        <w:rPr>
          <w:rFonts w:ascii="Arial" w:hAnsi="Arial" w:cs="Arial"/>
          <w:b/>
          <w:color w:val="000000" w:themeColor="text1"/>
        </w:rPr>
      </w:pPr>
      <w:bookmarkStart w:id="1" w:name="_Toc209387729"/>
      <w:r w:rsidRPr="00C16BF8">
        <w:rPr>
          <w:rFonts w:ascii="Arial" w:hAnsi="Arial" w:cs="Arial"/>
          <w:b/>
          <w:color w:val="000000" w:themeColor="text1"/>
        </w:rPr>
        <w:t>1.1 Introduction</w:t>
      </w:r>
      <w:bookmarkEnd w:id="1"/>
      <w:r w:rsidRPr="00C16BF8">
        <w:rPr>
          <w:rFonts w:ascii="Arial" w:hAnsi="Arial" w:cs="Arial"/>
          <w:b/>
          <w:color w:val="000000" w:themeColor="text1"/>
        </w:rPr>
        <w:t xml:space="preserve"> </w:t>
      </w:r>
    </w:p>
    <w:p w14:paraId="1EC99B08"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The COVID-19 pandemic exerted unprecedented pressure on health systems worldwide, and the United Kingdom (UK) was no exception. Fron</w:t>
      </w:r>
      <w:r w:rsidR="00D8690F" w:rsidRPr="00C16BF8">
        <w:rPr>
          <w:rFonts w:ascii="Arial" w:hAnsi="Arial" w:cs="Arial"/>
          <w:color w:val="000000" w:themeColor="text1"/>
          <w:sz w:val="22"/>
        </w:rPr>
        <w:t xml:space="preserve">tline healthcare workers (HCWs), </w:t>
      </w:r>
      <w:r w:rsidRPr="00C16BF8">
        <w:rPr>
          <w:rFonts w:ascii="Arial" w:hAnsi="Arial" w:cs="Arial"/>
          <w:color w:val="000000" w:themeColor="text1"/>
          <w:sz w:val="22"/>
        </w:rPr>
        <w:t>including nurses, doctors, allied professionals, c</w:t>
      </w:r>
      <w:r w:rsidR="00D8690F" w:rsidRPr="00C16BF8">
        <w:rPr>
          <w:rFonts w:ascii="Arial" w:hAnsi="Arial" w:cs="Arial"/>
          <w:color w:val="000000" w:themeColor="text1"/>
          <w:sz w:val="22"/>
        </w:rPr>
        <w:t xml:space="preserve">are staff and support personnel, </w:t>
      </w:r>
      <w:r w:rsidRPr="00C16BF8">
        <w:rPr>
          <w:rFonts w:ascii="Arial" w:hAnsi="Arial" w:cs="Arial"/>
          <w:color w:val="000000" w:themeColor="text1"/>
          <w:sz w:val="22"/>
        </w:rPr>
        <w:t>faced sustained exposure to high patient mortality, fast-changing protocols, resource scarcity, and fears of contracting and transmitting the virus. These conditions have been consistently linked in the literature to heightened stress, anxiety, depression, sleep disturbance, and features of trauma and moral distress, alongside elevated risks of occupational burnout (Ornell et al., 2020; Tsamakis et al., 2020; Sun et al., 2021). International evidence from early epicentres and subsequent waves indicates that such psychological burdens were not transient but, for many, cumulative; the demands of prolonged surge conditions, backlog recovery, and staff shortages further compounded risk (Hall, 2020; Gupta et al., 2021).</w:t>
      </w:r>
    </w:p>
    <w:p w14:paraId="374D3F20"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In response, individuals and organisations mobilis</w:t>
      </w:r>
      <w:r w:rsidR="00EB746A" w:rsidRPr="00C16BF8">
        <w:rPr>
          <w:rFonts w:ascii="Arial" w:hAnsi="Arial" w:cs="Arial"/>
          <w:color w:val="000000" w:themeColor="text1"/>
          <w:sz w:val="22"/>
        </w:rPr>
        <w:t xml:space="preserve">ed a range of coping strategies, </w:t>
      </w:r>
      <w:r w:rsidRPr="00C16BF8">
        <w:rPr>
          <w:rFonts w:ascii="Arial" w:hAnsi="Arial" w:cs="Arial"/>
          <w:color w:val="000000" w:themeColor="text1"/>
          <w:sz w:val="22"/>
        </w:rPr>
        <w:t>from informal peer support and reflective practice to formal psychological services, enhanced supervision, rota redesign, and practical supports such as rest spaces and accommodation. Yet studies report uneven uptake, acceptability and effectiveness across contexts, with many HCWs perceiving gaps between need and provision (Wu, Styra and Gold, 2020; Sun et al., 2021).</w:t>
      </w:r>
    </w:p>
    <w:p w14:paraId="297B7176"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This dissertation aims to conduct a thematic synthesis of qualitative studies exploring the mental health impacts, occupational burnout, and coping strategies among HCWs in the UK during the COVID-19 pandemic. By consolidating lived-experience evidence across settings and professions, the study seeks to clarify recurring patterns and contextual nuances, inform targeted mental-health and organisational supports, and contribute to crisis preparedness and workforce-resilience planning within health and social care in the UK.</w:t>
      </w:r>
    </w:p>
    <w:p w14:paraId="7FBC969A" w14:textId="77777777" w:rsidR="00E02572" w:rsidRPr="00C16BF8" w:rsidRDefault="00E02572" w:rsidP="009F30F7">
      <w:pPr>
        <w:pStyle w:val="Heading2"/>
        <w:spacing w:line="360" w:lineRule="auto"/>
        <w:jc w:val="both"/>
        <w:rPr>
          <w:rFonts w:ascii="Arial" w:hAnsi="Arial" w:cs="Arial"/>
          <w:b/>
          <w:color w:val="000000" w:themeColor="text1"/>
        </w:rPr>
      </w:pPr>
      <w:bookmarkStart w:id="2" w:name="_Toc209387730"/>
      <w:r w:rsidRPr="00C16BF8">
        <w:rPr>
          <w:rFonts w:ascii="Arial" w:hAnsi="Arial" w:cs="Arial"/>
          <w:b/>
          <w:color w:val="000000" w:themeColor="text1"/>
        </w:rPr>
        <w:t>1.2 Definitions and Terminology</w:t>
      </w:r>
      <w:bookmarkEnd w:id="2"/>
      <w:r w:rsidRPr="00C16BF8">
        <w:rPr>
          <w:rFonts w:ascii="Arial" w:hAnsi="Arial" w:cs="Arial"/>
          <w:b/>
          <w:color w:val="000000" w:themeColor="text1"/>
        </w:rPr>
        <w:t xml:space="preserve"> </w:t>
      </w:r>
    </w:p>
    <w:p w14:paraId="00EA90E1" w14:textId="77777777" w:rsidR="00851301" w:rsidRPr="00C16BF8" w:rsidRDefault="00851301" w:rsidP="009F30F7">
      <w:pPr>
        <w:pStyle w:val="Heading3"/>
        <w:spacing w:line="360" w:lineRule="auto"/>
        <w:jc w:val="both"/>
        <w:rPr>
          <w:rFonts w:ascii="Arial" w:hAnsi="Arial" w:cs="Arial"/>
          <w:b/>
          <w:color w:val="000000" w:themeColor="text1"/>
        </w:rPr>
      </w:pPr>
      <w:bookmarkStart w:id="3" w:name="_Toc209387731"/>
      <w:r w:rsidRPr="00C16BF8">
        <w:rPr>
          <w:rFonts w:ascii="Arial" w:hAnsi="Arial" w:cs="Arial"/>
          <w:b/>
          <w:color w:val="000000" w:themeColor="text1"/>
        </w:rPr>
        <w:t>Definitions</w:t>
      </w:r>
      <w:bookmarkEnd w:id="3"/>
    </w:p>
    <w:p w14:paraId="41C4AFD3"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b/>
          <w:color w:val="000000" w:themeColor="text1"/>
          <w:sz w:val="22"/>
        </w:rPr>
        <w:t>Healthcare worker (HCW):</w:t>
      </w:r>
      <w:r w:rsidRPr="00C16BF8">
        <w:rPr>
          <w:rFonts w:ascii="Arial" w:hAnsi="Arial" w:cs="Arial"/>
          <w:color w:val="000000" w:themeColor="text1"/>
          <w:sz w:val="22"/>
        </w:rPr>
        <w:t xml:space="preserve"> Any paid member of staff delivering health or social care, clinical or non-clinical, in NHS or independent sectors (Hall, 2020). This broad definition reflects the multidisciplinary reality of UK service delivery.</w:t>
      </w:r>
    </w:p>
    <w:p w14:paraId="319A1250"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b/>
          <w:color w:val="000000" w:themeColor="text1"/>
          <w:sz w:val="22"/>
        </w:rPr>
        <w:t>Mental health problems:</w:t>
      </w:r>
      <w:r w:rsidRPr="00C16BF8">
        <w:rPr>
          <w:rFonts w:ascii="Arial" w:hAnsi="Arial" w:cs="Arial"/>
          <w:color w:val="000000" w:themeColor="text1"/>
          <w:sz w:val="22"/>
        </w:rPr>
        <w:t xml:space="preserve"> Clinically significant symptoms (e.g., anxiety, depression, insomnia, PTSD-related features) and sub-clinical distress affecting functioning or wellbeing (Ornell et al., 2020; Sun et al., 2021). Using an inclusive definition recognises the spectrum of responses during crises.</w:t>
      </w:r>
    </w:p>
    <w:p w14:paraId="7EBD5223"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b/>
          <w:color w:val="000000" w:themeColor="text1"/>
          <w:sz w:val="22"/>
        </w:rPr>
        <w:t xml:space="preserve">Occupational burnout: </w:t>
      </w:r>
      <w:r w:rsidRPr="00C16BF8">
        <w:rPr>
          <w:rFonts w:ascii="Arial" w:hAnsi="Arial" w:cs="Arial"/>
          <w:color w:val="000000" w:themeColor="text1"/>
          <w:sz w:val="22"/>
        </w:rPr>
        <w:t>A work-related syndrome marked by emotional exhaustion, depersonalisation/cynicism and reduced professional efficacy, arising from chronic workplace stress not successfully managed (Tsamakis et al., 2020; Sun et al., 2021). Its relevance here lies in the sustained, high-strain conditions of pandemic care.</w:t>
      </w:r>
    </w:p>
    <w:p w14:paraId="40050911"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b/>
          <w:color w:val="000000" w:themeColor="text1"/>
          <w:sz w:val="22"/>
        </w:rPr>
        <w:t>Moral distress/moral injury:</w:t>
      </w:r>
      <w:r w:rsidRPr="00C16BF8">
        <w:rPr>
          <w:rFonts w:ascii="Arial" w:hAnsi="Arial" w:cs="Arial"/>
          <w:color w:val="000000" w:themeColor="text1"/>
          <w:sz w:val="22"/>
        </w:rPr>
        <w:t xml:space="preserve"> Persistent distress when one’s actions or constraints violate moral/professional values (e.g., resource rationing, restricted family contact) (Wu, Styra and Gold, 2020; Hall, 2020). Including this construct captures value-laden dilemmas common in pandemic care.</w:t>
      </w:r>
    </w:p>
    <w:p w14:paraId="1C39B0DD"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b/>
          <w:color w:val="000000" w:themeColor="text1"/>
          <w:sz w:val="22"/>
        </w:rPr>
        <w:t>Coping strategies:</w:t>
      </w:r>
      <w:r w:rsidRPr="00C16BF8">
        <w:rPr>
          <w:rFonts w:ascii="Arial" w:hAnsi="Arial" w:cs="Arial"/>
          <w:color w:val="000000" w:themeColor="text1"/>
          <w:sz w:val="22"/>
        </w:rPr>
        <w:t xml:space="preserve"> Cognitive, behavioural, social, organisational or spiritual methods used to manage </w:t>
      </w:r>
      <w:r w:rsidR="002A1746" w:rsidRPr="00C16BF8">
        <w:rPr>
          <w:rFonts w:ascii="Arial" w:hAnsi="Arial" w:cs="Arial"/>
          <w:color w:val="000000" w:themeColor="text1"/>
          <w:sz w:val="22"/>
        </w:rPr>
        <w:t xml:space="preserve">stressors and regulate emotions, </w:t>
      </w:r>
      <w:r w:rsidRPr="00C16BF8">
        <w:rPr>
          <w:rFonts w:ascii="Arial" w:hAnsi="Arial" w:cs="Arial"/>
          <w:color w:val="000000" w:themeColor="text1"/>
          <w:sz w:val="22"/>
        </w:rPr>
        <w:t>ranging from informal peer debriefs to formal counselling and rota changes (Wu, Styra and Gold, 2020; Sun et al., 2021).</w:t>
      </w:r>
    </w:p>
    <w:p w14:paraId="6C42C009"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Thematic synthesis: A qualitative evidence-synthesis approach involving line-by-line coding of study findings, development of descriptive themes, and generation of higher-order analytical themes that integrate insights across studies (Sun et al., 2021).</w:t>
      </w:r>
    </w:p>
    <w:p w14:paraId="57CE0A7C" w14:textId="77777777" w:rsidR="00E02572" w:rsidRPr="00C16BF8" w:rsidRDefault="00E02572" w:rsidP="009F30F7">
      <w:pPr>
        <w:pStyle w:val="Heading3"/>
        <w:spacing w:line="360" w:lineRule="auto"/>
        <w:jc w:val="both"/>
        <w:rPr>
          <w:rFonts w:ascii="Arial" w:hAnsi="Arial" w:cs="Arial"/>
          <w:b/>
          <w:color w:val="000000" w:themeColor="text1"/>
        </w:rPr>
      </w:pPr>
      <w:bookmarkStart w:id="4" w:name="_Toc209387732"/>
      <w:r w:rsidRPr="00C16BF8">
        <w:rPr>
          <w:rFonts w:ascii="Arial" w:hAnsi="Arial" w:cs="Arial"/>
          <w:b/>
          <w:color w:val="000000" w:themeColor="text1"/>
        </w:rPr>
        <w:t>Acronyms and abbreviations</w:t>
      </w:r>
      <w:bookmarkEnd w:id="4"/>
    </w:p>
    <w:p w14:paraId="16752292" w14:textId="77777777" w:rsidR="00383886" w:rsidRPr="00C16BF8" w:rsidRDefault="00383886"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Acronyms and abbreviations include:</w:t>
      </w:r>
    </w:p>
    <w:p w14:paraId="26BC079E"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HCW: Healthcare Worker</w:t>
      </w:r>
    </w:p>
    <w:p w14:paraId="167D044E"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NHS: National Health Service</w:t>
      </w:r>
    </w:p>
    <w:p w14:paraId="551AD7E3"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PPE: Personal Protective Equipment</w:t>
      </w:r>
    </w:p>
    <w:p w14:paraId="01D8F81C"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PTSD: Post-Traumatic Stress Disorder</w:t>
      </w:r>
    </w:p>
    <w:p w14:paraId="7BB2F913"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UK: United Kingdom</w:t>
      </w:r>
    </w:p>
    <w:p w14:paraId="1C0A42DF" w14:textId="77777777" w:rsidR="00E02572" w:rsidRPr="00C16BF8" w:rsidRDefault="00E02572" w:rsidP="009F30F7">
      <w:pPr>
        <w:pStyle w:val="NormalWeb"/>
        <w:numPr>
          <w:ilvl w:val="0"/>
          <w:numId w:val="1"/>
        </w:numPr>
        <w:spacing w:line="360" w:lineRule="auto"/>
        <w:jc w:val="both"/>
        <w:rPr>
          <w:rFonts w:ascii="Arial" w:hAnsi="Arial" w:cs="Arial"/>
          <w:color w:val="000000" w:themeColor="text1"/>
          <w:sz w:val="22"/>
        </w:rPr>
      </w:pPr>
      <w:r w:rsidRPr="00C16BF8">
        <w:rPr>
          <w:rFonts w:ascii="Arial" w:hAnsi="Arial" w:cs="Arial"/>
          <w:color w:val="000000" w:themeColor="text1"/>
          <w:sz w:val="22"/>
        </w:rPr>
        <w:t>COVID-19: Coronavirus Disease 2019</w:t>
      </w:r>
    </w:p>
    <w:p w14:paraId="50B41DE2" w14:textId="77777777" w:rsidR="00E02572" w:rsidRPr="00C16BF8" w:rsidRDefault="00E02572" w:rsidP="009F30F7">
      <w:pPr>
        <w:pStyle w:val="Heading2"/>
        <w:spacing w:line="360" w:lineRule="auto"/>
        <w:jc w:val="both"/>
        <w:rPr>
          <w:rFonts w:ascii="Arial" w:hAnsi="Arial" w:cs="Arial"/>
          <w:b/>
          <w:color w:val="000000" w:themeColor="text1"/>
        </w:rPr>
      </w:pPr>
      <w:bookmarkStart w:id="5" w:name="_Toc209387733"/>
      <w:r w:rsidRPr="00C16BF8">
        <w:rPr>
          <w:rFonts w:ascii="Arial" w:hAnsi="Arial" w:cs="Arial"/>
          <w:b/>
          <w:color w:val="000000" w:themeColor="text1"/>
        </w:rPr>
        <w:t>1.3 Rat</w:t>
      </w:r>
      <w:r w:rsidR="002A1746" w:rsidRPr="00C16BF8">
        <w:rPr>
          <w:rFonts w:ascii="Arial" w:hAnsi="Arial" w:cs="Arial"/>
          <w:b/>
          <w:color w:val="000000" w:themeColor="text1"/>
        </w:rPr>
        <w:t>ionale for Research</w:t>
      </w:r>
      <w:bookmarkEnd w:id="5"/>
      <w:r w:rsidR="002A1746" w:rsidRPr="00C16BF8">
        <w:rPr>
          <w:rFonts w:ascii="Arial" w:hAnsi="Arial" w:cs="Arial"/>
          <w:b/>
          <w:color w:val="000000" w:themeColor="text1"/>
        </w:rPr>
        <w:t xml:space="preserve"> </w:t>
      </w:r>
    </w:p>
    <w:p w14:paraId="28EB3BC6"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The choice to focus on UK HCWs’ psychological experiences during COVID-19 reflects converging evidence that pandemic conditions amplified pre-existing workload pressures, introduced novel moral dilemmas, and intensified risks of burnout and distress (Hall, 2020; Gupta et al., 2021). While quantitative studies have mapped prevalence and correlates of mental-health outcomes, qualitative research provides granular insight into meanings</w:t>
      </w:r>
      <w:r w:rsidR="004D1297" w:rsidRPr="00C16BF8">
        <w:rPr>
          <w:rFonts w:ascii="Arial" w:hAnsi="Arial" w:cs="Arial"/>
          <w:color w:val="000000" w:themeColor="text1"/>
          <w:sz w:val="22"/>
        </w:rPr>
        <w:t xml:space="preserve">, contexts and coping processes, </w:t>
      </w:r>
      <w:r w:rsidRPr="00C16BF8">
        <w:rPr>
          <w:rFonts w:ascii="Arial" w:hAnsi="Arial" w:cs="Arial"/>
          <w:color w:val="000000" w:themeColor="text1"/>
          <w:sz w:val="22"/>
        </w:rPr>
        <w:t>crucial for designing supports that are acceptable and effective in real-world settings (Ornell et al., 2020; Tsamakis et al., 2020). A thematic synthesis can integrate findings across diverse UK settings and professions, moving beyond single-site accounts to identify transferable lessons for practice and policy (Sun et al., 2021).</w:t>
      </w:r>
    </w:p>
    <w:p w14:paraId="6360D825" w14:textId="77777777" w:rsidR="00E02572" w:rsidRPr="00C16BF8" w:rsidRDefault="00E02572" w:rsidP="009F30F7">
      <w:pPr>
        <w:pStyle w:val="NormalWeb"/>
        <w:spacing w:line="360" w:lineRule="auto"/>
        <w:jc w:val="both"/>
        <w:rPr>
          <w:rFonts w:ascii="Arial" w:hAnsi="Arial" w:cs="Arial"/>
          <w:color w:val="000000" w:themeColor="text1"/>
        </w:rPr>
      </w:pPr>
      <w:r w:rsidRPr="00C16BF8">
        <w:rPr>
          <w:rFonts w:ascii="Arial" w:hAnsi="Arial" w:cs="Arial"/>
          <w:color w:val="000000" w:themeColor="text1"/>
          <w:sz w:val="22"/>
        </w:rPr>
        <w:t>First, existing literature is fragmented across professions and settings, limiting a consolidated understanding of shared stressors and context-specific nuances (Hall, 2020; Tsamakis et al., 2020). Second, many reports document coping initiatives but provide limited comparative insight into perceived usefulness, f</w:t>
      </w:r>
      <w:r w:rsidR="004D1297" w:rsidRPr="00C16BF8">
        <w:rPr>
          <w:rFonts w:ascii="Arial" w:hAnsi="Arial" w:cs="Arial"/>
          <w:color w:val="000000" w:themeColor="text1"/>
          <w:sz w:val="22"/>
        </w:rPr>
        <w:t xml:space="preserve">easibility and equity of access, </w:t>
      </w:r>
      <w:r w:rsidRPr="00C16BF8">
        <w:rPr>
          <w:rFonts w:ascii="Arial" w:hAnsi="Arial" w:cs="Arial"/>
          <w:color w:val="000000" w:themeColor="text1"/>
          <w:sz w:val="22"/>
        </w:rPr>
        <w:t>particularly in under-resourced or non-hospital settings (Wu, Styra and Gold, 2020; Sun et al., 2021). Third, moral distress and the interplay between organisational factors (e.g., staffing, PPE access, rota design) and individual wellbeing are acknowledged but insufficiently synthesised in UK-specific qualitative evidence (Ornell et al., 2020; Gupta et al., 2021). This dissertation addresses these gaps by (a) collating UK qualitative studies published between 2020 and 2024, (b) thematically synthesising HCWs’ experiences of mental health and burnout, and (c) analysing perceived strengths and limitations of coping strategies to generate practice-relevant, context-aware recommendations</w:t>
      </w:r>
      <w:r w:rsidRPr="00C16BF8">
        <w:rPr>
          <w:rFonts w:ascii="Arial" w:hAnsi="Arial" w:cs="Arial"/>
          <w:color w:val="000000" w:themeColor="text1"/>
        </w:rPr>
        <w:t>.</w:t>
      </w:r>
    </w:p>
    <w:p w14:paraId="1550ECA5" w14:textId="77777777" w:rsidR="00E02572" w:rsidRPr="00C16BF8" w:rsidRDefault="00E02572" w:rsidP="009F30F7">
      <w:pPr>
        <w:pStyle w:val="Heading2"/>
        <w:spacing w:line="360" w:lineRule="auto"/>
        <w:jc w:val="both"/>
        <w:rPr>
          <w:rFonts w:ascii="Arial" w:hAnsi="Arial" w:cs="Arial"/>
          <w:b/>
          <w:color w:val="000000" w:themeColor="text1"/>
        </w:rPr>
      </w:pPr>
      <w:bookmarkStart w:id="6" w:name="_Toc209387734"/>
      <w:r w:rsidRPr="00C16BF8">
        <w:rPr>
          <w:rFonts w:ascii="Arial" w:hAnsi="Arial" w:cs="Arial"/>
          <w:b/>
          <w:color w:val="000000" w:themeColor="text1"/>
        </w:rPr>
        <w:t>1.4</w:t>
      </w:r>
      <w:r w:rsidR="00851301" w:rsidRPr="00C16BF8">
        <w:rPr>
          <w:rFonts w:ascii="Arial" w:hAnsi="Arial" w:cs="Arial"/>
          <w:b/>
          <w:color w:val="000000" w:themeColor="text1"/>
        </w:rPr>
        <w:t xml:space="preserve"> Aim and Objectives</w:t>
      </w:r>
      <w:bookmarkEnd w:id="6"/>
    </w:p>
    <w:p w14:paraId="5C932A51" w14:textId="77777777" w:rsidR="00E02572" w:rsidRPr="00C16BF8" w:rsidRDefault="00E02572" w:rsidP="009F30F7">
      <w:pPr>
        <w:pStyle w:val="Heading3"/>
        <w:spacing w:line="360" w:lineRule="auto"/>
        <w:jc w:val="both"/>
        <w:rPr>
          <w:rFonts w:ascii="Arial" w:hAnsi="Arial" w:cs="Arial"/>
          <w:b/>
          <w:color w:val="000000" w:themeColor="text1"/>
        </w:rPr>
      </w:pPr>
      <w:bookmarkStart w:id="7" w:name="_Toc209387735"/>
      <w:r w:rsidRPr="00C16BF8">
        <w:rPr>
          <w:rFonts w:ascii="Arial" w:hAnsi="Arial" w:cs="Arial"/>
          <w:b/>
          <w:color w:val="000000" w:themeColor="text1"/>
        </w:rPr>
        <w:t xml:space="preserve">Research </w:t>
      </w:r>
      <w:r w:rsidR="00851301" w:rsidRPr="00C16BF8">
        <w:rPr>
          <w:rFonts w:ascii="Arial" w:hAnsi="Arial" w:cs="Arial"/>
          <w:b/>
          <w:color w:val="000000" w:themeColor="text1"/>
        </w:rPr>
        <w:t>Aim</w:t>
      </w:r>
      <w:bookmarkEnd w:id="7"/>
    </w:p>
    <w:p w14:paraId="14CB3DFE"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To synthesise qualitative evidence on how the COVID-19 pandemic affected healthcare personnel in the UK ps</w:t>
      </w:r>
      <w:r w:rsidR="00E64318" w:rsidRPr="00C16BF8">
        <w:rPr>
          <w:rFonts w:ascii="Arial" w:hAnsi="Arial" w:cs="Arial"/>
          <w:color w:val="000000" w:themeColor="text1"/>
          <w:sz w:val="22"/>
        </w:rPr>
        <w:t xml:space="preserve">ychologically, </w:t>
      </w:r>
      <w:r w:rsidRPr="00C16BF8">
        <w:rPr>
          <w:rFonts w:ascii="Arial" w:hAnsi="Arial" w:cs="Arial"/>
          <w:color w:val="000000" w:themeColor="text1"/>
          <w:sz w:val="22"/>
        </w:rPr>
        <w:t>focusing on mental-health challenges, occupationa</w:t>
      </w:r>
      <w:r w:rsidR="00E64318" w:rsidRPr="00C16BF8">
        <w:rPr>
          <w:rFonts w:ascii="Arial" w:hAnsi="Arial" w:cs="Arial"/>
          <w:color w:val="000000" w:themeColor="text1"/>
          <w:sz w:val="22"/>
        </w:rPr>
        <w:t xml:space="preserve">l burnout and coping strategies, </w:t>
      </w:r>
      <w:r w:rsidRPr="00C16BF8">
        <w:rPr>
          <w:rFonts w:ascii="Arial" w:hAnsi="Arial" w:cs="Arial"/>
          <w:color w:val="000000" w:themeColor="text1"/>
          <w:sz w:val="22"/>
        </w:rPr>
        <w:t>in order to inform responsive supports, workforce resilience, and future crisis preparedness.</w:t>
      </w:r>
    </w:p>
    <w:p w14:paraId="54160793" w14:textId="77777777" w:rsidR="00E02572" w:rsidRPr="00C16BF8" w:rsidRDefault="00E02572" w:rsidP="009F30F7">
      <w:pPr>
        <w:pStyle w:val="Heading3"/>
        <w:spacing w:line="360" w:lineRule="auto"/>
        <w:jc w:val="both"/>
        <w:rPr>
          <w:rFonts w:ascii="Arial" w:hAnsi="Arial" w:cs="Arial"/>
          <w:b/>
          <w:color w:val="000000" w:themeColor="text1"/>
        </w:rPr>
      </w:pPr>
      <w:bookmarkStart w:id="8" w:name="_Toc209387736"/>
      <w:r w:rsidRPr="00C16BF8">
        <w:rPr>
          <w:rFonts w:ascii="Arial" w:hAnsi="Arial" w:cs="Arial"/>
          <w:b/>
          <w:color w:val="000000" w:themeColor="text1"/>
        </w:rPr>
        <w:t>Research objectives</w:t>
      </w:r>
      <w:bookmarkEnd w:id="8"/>
    </w:p>
    <w:p w14:paraId="6C2D651F" w14:textId="77777777" w:rsidR="00245CB8" w:rsidRPr="00C16BF8" w:rsidRDefault="00245CB8" w:rsidP="009F30F7">
      <w:pPr>
        <w:pStyle w:val="ListParagraph"/>
        <w:numPr>
          <w:ilvl w:val="0"/>
          <w:numId w:val="2"/>
        </w:numPr>
        <w:spacing w:line="360" w:lineRule="auto"/>
        <w:jc w:val="both"/>
        <w:rPr>
          <w:rFonts w:ascii="Arial" w:hAnsi="Arial" w:cs="Arial"/>
          <w:iCs/>
          <w:color w:val="000000" w:themeColor="text1"/>
          <w:sz w:val="22"/>
        </w:rPr>
      </w:pPr>
      <w:r w:rsidRPr="00C16BF8">
        <w:rPr>
          <w:rFonts w:ascii="Arial" w:hAnsi="Arial" w:cs="Arial"/>
          <w:b/>
          <w:iCs/>
          <w:color w:val="000000" w:themeColor="text1"/>
          <w:sz w:val="22"/>
        </w:rPr>
        <w:t>Objective 1:</w:t>
      </w:r>
      <w:r w:rsidRPr="00C16BF8">
        <w:rPr>
          <w:rFonts w:ascii="Arial" w:hAnsi="Arial" w:cs="Arial"/>
          <w:iCs/>
          <w:color w:val="000000" w:themeColor="text1"/>
          <w:sz w:val="22"/>
        </w:rPr>
        <w:t xml:space="preserve"> To outline and discuss the most well-known psychological issues, such as stress, anxiety, and burnout that people in the healthcare sector have to deal with because of the COVID-19 pandemic.</w:t>
      </w:r>
    </w:p>
    <w:p w14:paraId="248D447C" w14:textId="77777777" w:rsidR="00245CB8" w:rsidRPr="00C16BF8" w:rsidRDefault="0051621E" w:rsidP="009F30F7">
      <w:pPr>
        <w:pStyle w:val="ListParagraph"/>
        <w:numPr>
          <w:ilvl w:val="0"/>
          <w:numId w:val="2"/>
        </w:numPr>
        <w:spacing w:line="360" w:lineRule="auto"/>
        <w:jc w:val="both"/>
        <w:rPr>
          <w:rFonts w:ascii="Arial" w:hAnsi="Arial" w:cs="Arial"/>
          <w:iCs/>
          <w:color w:val="000000" w:themeColor="text1"/>
          <w:sz w:val="22"/>
        </w:rPr>
      </w:pPr>
      <w:r w:rsidRPr="00C16BF8">
        <w:rPr>
          <w:rFonts w:ascii="Arial" w:hAnsi="Arial" w:cs="Arial"/>
          <w:b/>
          <w:iCs/>
          <w:color w:val="000000" w:themeColor="text1"/>
          <w:sz w:val="22"/>
        </w:rPr>
        <w:t>Objective 2</w:t>
      </w:r>
      <w:r w:rsidR="00245CB8" w:rsidRPr="00C16BF8">
        <w:rPr>
          <w:rFonts w:ascii="Arial" w:hAnsi="Arial" w:cs="Arial"/>
          <w:b/>
          <w:iCs/>
          <w:color w:val="000000" w:themeColor="text1"/>
          <w:sz w:val="22"/>
        </w:rPr>
        <w:t>:</w:t>
      </w:r>
      <w:r w:rsidR="00245CB8" w:rsidRPr="00C16BF8">
        <w:rPr>
          <w:rFonts w:ascii="Arial" w:hAnsi="Arial" w:cs="Arial"/>
          <w:iCs/>
          <w:color w:val="000000" w:themeColor="text1"/>
          <w:sz w:val="22"/>
        </w:rPr>
        <w:t xml:space="preserve"> To conduct qualitative research studies that examine how frontline health workers experience health care in a range of UK healthcare locations.</w:t>
      </w:r>
    </w:p>
    <w:p w14:paraId="5A890404" w14:textId="77777777" w:rsidR="00245CB8" w:rsidRPr="00C16BF8" w:rsidRDefault="0051621E" w:rsidP="009F30F7">
      <w:pPr>
        <w:pStyle w:val="ListParagraph"/>
        <w:numPr>
          <w:ilvl w:val="0"/>
          <w:numId w:val="2"/>
        </w:numPr>
        <w:spacing w:line="360" w:lineRule="auto"/>
        <w:jc w:val="both"/>
        <w:rPr>
          <w:rFonts w:ascii="Arial" w:hAnsi="Arial" w:cs="Arial"/>
          <w:iCs/>
          <w:color w:val="000000" w:themeColor="text1"/>
          <w:sz w:val="22"/>
        </w:rPr>
      </w:pPr>
      <w:r w:rsidRPr="00C16BF8">
        <w:rPr>
          <w:rFonts w:ascii="Arial" w:hAnsi="Arial" w:cs="Arial"/>
          <w:b/>
          <w:iCs/>
          <w:color w:val="000000" w:themeColor="text1"/>
          <w:sz w:val="22"/>
        </w:rPr>
        <w:t>Objective 3</w:t>
      </w:r>
      <w:r w:rsidR="00245CB8" w:rsidRPr="00C16BF8">
        <w:rPr>
          <w:rFonts w:ascii="Arial" w:hAnsi="Arial" w:cs="Arial"/>
          <w:b/>
          <w:iCs/>
          <w:color w:val="000000" w:themeColor="text1"/>
          <w:sz w:val="22"/>
        </w:rPr>
        <w:t xml:space="preserve">: </w:t>
      </w:r>
      <w:r w:rsidR="00245CB8" w:rsidRPr="00C16BF8">
        <w:rPr>
          <w:rFonts w:ascii="Arial" w:hAnsi="Arial" w:cs="Arial"/>
          <w:iCs/>
          <w:color w:val="000000" w:themeColor="text1"/>
          <w:sz w:val="22"/>
        </w:rPr>
        <w:t>To will examine the strengths and weaknesses of coping strategies employed by employees to deal with the effects of mental health during the pandemic.</w:t>
      </w:r>
    </w:p>
    <w:p w14:paraId="556BE56B" w14:textId="77777777" w:rsidR="00E02572" w:rsidRPr="00C16BF8" w:rsidRDefault="0051621E" w:rsidP="009F30F7">
      <w:pPr>
        <w:pStyle w:val="ListParagraph"/>
        <w:numPr>
          <w:ilvl w:val="0"/>
          <w:numId w:val="2"/>
        </w:numPr>
        <w:spacing w:line="360" w:lineRule="auto"/>
        <w:jc w:val="both"/>
        <w:rPr>
          <w:rFonts w:ascii="Arial" w:hAnsi="Arial" w:cs="Arial"/>
          <w:iCs/>
          <w:color w:val="000000" w:themeColor="text1"/>
          <w:sz w:val="22"/>
        </w:rPr>
      </w:pPr>
      <w:r w:rsidRPr="00C16BF8">
        <w:rPr>
          <w:rFonts w:ascii="Arial" w:hAnsi="Arial" w:cs="Arial"/>
          <w:b/>
          <w:iCs/>
          <w:color w:val="000000" w:themeColor="text1"/>
          <w:sz w:val="22"/>
        </w:rPr>
        <w:t>Objective 4</w:t>
      </w:r>
      <w:r w:rsidR="00472FCE" w:rsidRPr="00C16BF8">
        <w:rPr>
          <w:rFonts w:ascii="Arial" w:hAnsi="Arial" w:cs="Arial"/>
          <w:b/>
          <w:iCs/>
          <w:color w:val="000000" w:themeColor="text1"/>
          <w:sz w:val="22"/>
        </w:rPr>
        <w:t>:</w:t>
      </w:r>
      <w:r w:rsidR="00472FCE" w:rsidRPr="00C16BF8">
        <w:rPr>
          <w:rFonts w:ascii="Arial" w:hAnsi="Arial" w:cs="Arial"/>
          <w:iCs/>
          <w:color w:val="000000" w:themeColor="text1"/>
          <w:sz w:val="22"/>
        </w:rPr>
        <w:t xml:space="preserve"> To o</w:t>
      </w:r>
      <w:r w:rsidR="00245CB8" w:rsidRPr="00C16BF8">
        <w:rPr>
          <w:rFonts w:ascii="Arial" w:hAnsi="Arial" w:cs="Arial"/>
          <w:iCs/>
          <w:color w:val="000000" w:themeColor="text1"/>
          <w:sz w:val="22"/>
        </w:rPr>
        <w:t>ffer suggestions on mental health support systems, policies and planning of the future response to crisis within the healthcare industry</w:t>
      </w:r>
      <w:r w:rsidR="00E02572" w:rsidRPr="00C16BF8">
        <w:rPr>
          <w:rFonts w:ascii="Arial" w:hAnsi="Arial" w:cs="Arial"/>
          <w:color w:val="000000" w:themeColor="text1"/>
          <w:sz w:val="22"/>
        </w:rPr>
        <w:t>.</w:t>
      </w:r>
    </w:p>
    <w:p w14:paraId="274D1D27"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The study will include peer-reviewed qualitative studies and relevant UK policy documents published between 2020 and 2024 to capture pandemic-period and immediate post-surge learning. A thematic synthesis method will be employed to identify patterns, divergences and context-sensitive insights capable of informing practical interventions and policy.</w:t>
      </w:r>
    </w:p>
    <w:p w14:paraId="54642E7E" w14:textId="77777777" w:rsidR="00E02572" w:rsidRPr="00C16BF8" w:rsidRDefault="00E02572" w:rsidP="009F30F7">
      <w:pPr>
        <w:pStyle w:val="Heading2"/>
        <w:spacing w:line="360" w:lineRule="auto"/>
        <w:jc w:val="both"/>
        <w:rPr>
          <w:rFonts w:ascii="Arial" w:hAnsi="Arial" w:cs="Arial"/>
          <w:b/>
          <w:color w:val="000000" w:themeColor="text1"/>
        </w:rPr>
      </w:pPr>
      <w:bookmarkStart w:id="9" w:name="_Toc209387737"/>
      <w:r w:rsidRPr="00C16BF8">
        <w:rPr>
          <w:rFonts w:ascii="Arial" w:hAnsi="Arial" w:cs="Arial"/>
          <w:b/>
          <w:color w:val="000000" w:themeColor="text1"/>
        </w:rPr>
        <w:t>1.5 Conclusion</w:t>
      </w:r>
      <w:bookmarkEnd w:id="9"/>
      <w:r w:rsidRPr="00C16BF8">
        <w:rPr>
          <w:rFonts w:ascii="Arial" w:hAnsi="Arial" w:cs="Arial"/>
          <w:b/>
          <w:color w:val="000000" w:themeColor="text1"/>
        </w:rPr>
        <w:t xml:space="preserve"> </w:t>
      </w:r>
    </w:p>
    <w:p w14:paraId="225882FF"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This chapter established the dissertation’s focus on the psychological impact of COVID-19 on UK HCWs, situating the topic within contemporary evidence that links pandemic working conditions to stress, anxiety, moral distress and occupational burnout, and highlighting variability in the perceived usefulness of coping supports. Clear definitions were set out to anchor subsequent analysis, and the rationale was articulated in relation to fragmented literature and the need for a UK-specific, qualitative thematic synthesis. The overarching aim and four objectives were presented to guide the inquiry toward practice-relevant, context-aware recommendations for workforce wellbeing and crisis preparedness.</w:t>
      </w:r>
    </w:p>
    <w:p w14:paraId="38A647B4" w14:textId="77777777" w:rsidR="00E02572" w:rsidRPr="00C16BF8" w:rsidRDefault="00E02572" w:rsidP="009F30F7">
      <w:pPr>
        <w:pStyle w:val="NormalWeb"/>
        <w:spacing w:line="360" w:lineRule="auto"/>
        <w:jc w:val="both"/>
        <w:rPr>
          <w:rFonts w:ascii="Arial" w:hAnsi="Arial" w:cs="Arial"/>
          <w:color w:val="000000" w:themeColor="text1"/>
          <w:sz w:val="22"/>
        </w:rPr>
      </w:pPr>
      <w:r w:rsidRPr="00C16BF8">
        <w:rPr>
          <w:rFonts w:ascii="Arial" w:hAnsi="Arial" w:cs="Arial"/>
          <w:color w:val="000000" w:themeColor="text1"/>
          <w:sz w:val="22"/>
        </w:rPr>
        <w:t>Signposting to Chapter 2: Chapter 2 provides a critical literature review. It will map key themes in the qualitative and quantitative evidence on HCW mental health during COVID-19, examine theoretical lenses (e.g., occupational stress and burnout frameworks; moral distress), and position the proposed synthesis within existing scholarship to refine inclusion criteria and analytic focus.</w:t>
      </w:r>
    </w:p>
    <w:p w14:paraId="5E19A0C7" w14:textId="77777777" w:rsidR="009D728F" w:rsidRPr="00C16BF8" w:rsidRDefault="009D728F" w:rsidP="009F30F7">
      <w:pPr>
        <w:spacing w:line="360" w:lineRule="auto"/>
        <w:jc w:val="both"/>
        <w:rPr>
          <w:rFonts w:ascii="Arial" w:hAnsi="Arial" w:cs="Arial"/>
          <w:color w:val="000000" w:themeColor="text1"/>
        </w:rPr>
      </w:pPr>
    </w:p>
    <w:p w14:paraId="1839CAB6" w14:textId="77777777" w:rsidR="00445273" w:rsidRPr="00C16BF8" w:rsidRDefault="00445273" w:rsidP="009F30F7">
      <w:pPr>
        <w:spacing w:line="360" w:lineRule="auto"/>
        <w:jc w:val="both"/>
        <w:rPr>
          <w:rFonts w:ascii="Arial" w:hAnsi="Arial" w:cs="Arial"/>
          <w:color w:val="000000" w:themeColor="text1"/>
        </w:rPr>
      </w:pPr>
    </w:p>
    <w:p w14:paraId="7C22687A" w14:textId="77777777" w:rsidR="00445273" w:rsidRPr="009C325F" w:rsidRDefault="00445273" w:rsidP="0013498E">
      <w:pPr>
        <w:pStyle w:val="Heading1"/>
      </w:pPr>
      <w:bookmarkStart w:id="10" w:name="_Toc209387738"/>
      <w:r w:rsidRPr="009C325F">
        <w:t>CHAPTER 2 – Background Information and Analysis</w:t>
      </w:r>
      <w:bookmarkEnd w:id="10"/>
    </w:p>
    <w:p w14:paraId="4F0F11A5" w14:textId="77777777" w:rsidR="00445273" w:rsidRPr="009C325F" w:rsidRDefault="00445273" w:rsidP="009F30F7">
      <w:pPr>
        <w:pStyle w:val="Heading2"/>
        <w:spacing w:line="360" w:lineRule="auto"/>
        <w:jc w:val="both"/>
        <w:rPr>
          <w:rFonts w:ascii="Arial" w:hAnsi="Arial" w:cs="Arial"/>
          <w:b/>
          <w:color w:val="000000" w:themeColor="text1"/>
        </w:rPr>
      </w:pPr>
      <w:bookmarkStart w:id="11" w:name="_Toc209387739"/>
      <w:r w:rsidRPr="009C325F">
        <w:rPr>
          <w:rFonts w:ascii="Arial" w:hAnsi="Arial" w:cs="Arial"/>
          <w:b/>
          <w:color w:val="000000" w:themeColor="text1"/>
        </w:rPr>
        <w:t>2.1 Introduction</w:t>
      </w:r>
      <w:bookmarkEnd w:id="11"/>
      <w:r w:rsidRPr="009C325F">
        <w:rPr>
          <w:rFonts w:ascii="Arial" w:hAnsi="Arial" w:cs="Arial"/>
          <w:b/>
          <w:color w:val="000000" w:themeColor="text1"/>
        </w:rPr>
        <w:t xml:space="preserve"> </w:t>
      </w:r>
    </w:p>
    <w:p w14:paraId="1024D491"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This chapter builds the foundation for the dissertation by setting out the historical, theoretical and contextual background to the psychological impact of the COVID-19 pandemic on healthcare workers (HCWs). It first sketches a brief historical arc of healthcare worker wellbeing, placing the pandemic within longer-running concerns about stress, burnout and organisational risk. It then introduces key theories, occupational stress frameworks, burnout theory, Job Demands Resources (JD-R), Effort Reward Imbalance (ERI), Conservation of Resources (COR), moral distress/injury, social support and resilience, and considers how they have been applied to crises and pandemics. The chapter next widens the lens to international experience, outlining global patterns, policies and practice responses, before narrowing to the United Kingdom’s national and local context, including the NHS policy environment and workforce initiatives during the pandemic. Taken together, these sections clarify why a qualitative thematic synthesis focused on mental health, burnout and coping among UK HCWs is both timely and necessary.</w:t>
      </w:r>
    </w:p>
    <w:p w14:paraId="6FFB682F" w14:textId="77777777" w:rsidR="00445273" w:rsidRPr="009C325F" w:rsidRDefault="00445273" w:rsidP="009F30F7">
      <w:pPr>
        <w:pStyle w:val="Heading2"/>
        <w:spacing w:line="360" w:lineRule="auto"/>
        <w:jc w:val="both"/>
        <w:rPr>
          <w:rFonts w:ascii="Arial" w:hAnsi="Arial" w:cs="Arial"/>
          <w:b/>
          <w:color w:val="000000" w:themeColor="text1"/>
        </w:rPr>
      </w:pPr>
      <w:bookmarkStart w:id="12" w:name="_Toc209387740"/>
      <w:r w:rsidRPr="009C325F">
        <w:rPr>
          <w:rFonts w:ascii="Arial" w:hAnsi="Arial" w:cs="Arial"/>
          <w:b/>
          <w:color w:val="000000" w:themeColor="text1"/>
        </w:rPr>
        <w:t>2.2 Historical Background</w:t>
      </w:r>
      <w:bookmarkEnd w:id="12"/>
      <w:r w:rsidRPr="009C325F">
        <w:rPr>
          <w:rFonts w:ascii="Arial" w:hAnsi="Arial" w:cs="Arial"/>
          <w:b/>
          <w:color w:val="000000" w:themeColor="text1"/>
        </w:rPr>
        <w:t xml:space="preserve"> </w:t>
      </w:r>
    </w:p>
    <w:p w14:paraId="1AD8C50B"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Concerns about stress and emotional burden in healthcare pre-date COVID-19. Classic occupational health research from the late 20th century documented high psychological demands, shift work, exposure to trauma, and role conflict among clinicians (Karasek, 1979; Maslach &amp; Jackson, 1981; Cooper et al., 1988). Burnout emerged as a salient construct in helping professions, characterised by emotional exhaustion, depersonalisation and reduced personal accomplishment (Maslach &amp; Jackson, 1981; Maslach &amp; Leiter, 2016). Long before SARS-CoV-2, epidemics and disasters highlighted the vulnerability of HCWs: the 2003 SARS outbreak and the 2009 H1N1 pandemic were linked to anxiety, PTSD-like symptoms and moral strain among staff, with effects mediated by perceived risk, PPE access, stigma, workload and organisational trust (Maunder et al., 2006; Nickell et al., 2004; Grace et al., 2005; Goulia et al., 2010).</w:t>
      </w:r>
    </w:p>
    <w:p w14:paraId="090BF51E"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The 2014–2016 Ebola crisis further underscored that occupational exposure fears and social isolation can erode wellbeing even when infection is avoided (Shultz et al., 2016). Parallel literatures on patient safety and workforce resilience emphasised the role of staffing, safety culture, and supportive leadership in mitigating harm to both patients and staff (Aiken et al., 2012; West et al., 2014). In the UK</w:t>
      </w:r>
      <w:r w:rsidR="00555A86" w:rsidRPr="009C325F">
        <w:rPr>
          <w:rFonts w:ascii="Arial" w:hAnsi="Arial" w:cs="Arial"/>
          <w:color w:val="000000" w:themeColor="text1"/>
          <w:sz w:val="22"/>
        </w:rPr>
        <w:t xml:space="preserve">, recurring workforce pressures, </w:t>
      </w:r>
      <w:r w:rsidRPr="009C325F">
        <w:rPr>
          <w:rFonts w:ascii="Arial" w:hAnsi="Arial" w:cs="Arial"/>
          <w:color w:val="000000" w:themeColor="text1"/>
          <w:sz w:val="22"/>
        </w:rPr>
        <w:t>vacancy rate</w:t>
      </w:r>
      <w:r w:rsidR="00555A86" w:rsidRPr="009C325F">
        <w:rPr>
          <w:rFonts w:ascii="Arial" w:hAnsi="Arial" w:cs="Arial"/>
          <w:color w:val="000000" w:themeColor="text1"/>
          <w:sz w:val="22"/>
        </w:rPr>
        <w:t xml:space="preserve">s, rota gaps, and rising demand, </w:t>
      </w:r>
      <w:r w:rsidRPr="009C325F">
        <w:rPr>
          <w:rFonts w:ascii="Arial" w:hAnsi="Arial" w:cs="Arial"/>
          <w:color w:val="000000" w:themeColor="text1"/>
          <w:sz w:val="22"/>
        </w:rPr>
        <w:t>were already visible in national surveys before 2020, with growing evidence of burnout risks in emergency care and primary care (Campbell et al., 2013; NHS Staff Survey, 2019).</w:t>
      </w:r>
    </w:p>
    <w:p w14:paraId="2AC72344"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Against this backdrop, COVID-19 accelerated and concentrated existing stressors while adding novel ones: rapidly changing protocols, high mortality, triage controversies, infection risk, redeployment, and isolation from family supports (Ornell et al., 2020; Hall, 2020; Wu, Styra &amp; Gold, 2020). Early 2020 reports from China, Italy and later the US and UK described widespread anxiety, insomnia, depressive symptoms and acute stress among HCWs (Lai et al., 2020; Rossi et al., 2020; Greenberg et al., 2020). Subsequent reviews suggested that these impacts could persist, especially when compounded by staff shortages and recovery backlogs (Pappa et al., 2020; Sun et al., 2021; De Kock et al., 2021).</w:t>
      </w:r>
    </w:p>
    <w:p w14:paraId="34A0B75A"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Foundational scholarly contributions include the development of burnout assessment (Maslach &amp; Jackson, 1981), stress-coping theory (Lazarus &amp; Folkman, 1984), and the JD-R framework (Bakker &amp; Demerouti, 2007; Demerouti et al., 2001). In pandemic-specific contexts, Greenberg and colleagues helped foreground moral injury and staff support principles for COVID-19 in the UK (Greenberg et al., 2</w:t>
      </w:r>
      <w:r w:rsidR="00CE7805" w:rsidRPr="009C325F">
        <w:rPr>
          <w:rFonts w:ascii="Arial" w:hAnsi="Arial" w:cs="Arial"/>
          <w:color w:val="000000" w:themeColor="text1"/>
          <w:sz w:val="22"/>
        </w:rPr>
        <w:t xml:space="preserve">020), while global institutions, WHO and ILO, </w:t>
      </w:r>
      <w:r w:rsidRPr="009C325F">
        <w:rPr>
          <w:rFonts w:ascii="Arial" w:hAnsi="Arial" w:cs="Arial"/>
          <w:color w:val="000000" w:themeColor="text1"/>
          <w:sz w:val="22"/>
        </w:rPr>
        <w:t>promoted guidance on HCW safety, mental health and decent work conditions (WHO, 2020; ILO, 2022). UK initiatives such as NHS England’s People Plan and national helplines institutionalised wellbeing supports at scale, marking a policy milestone in workforce mental health (NHS England, 2020; NHS England, 2021).</w:t>
      </w:r>
    </w:p>
    <w:p w14:paraId="14A6D4C2" w14:textId="77777777" w:rsidR="00445273" w:rsidRPr="009C325F" w:rsidRDefault="00445273" w:rsidP="009F30F7">
      <w:pPr>
        <w:pStyle w:val="Heading2"/>
        <w:spacing w:line="360" w:lineRule="auto"/>
        <w:jc w:val="both"/>
        <w:rPr>
          <w:rFonts w:ascii="Arial" w:hAnsi="Arial" w:cs="Arial"/>
          <w:b/>
          <w:color w:val="000000" w:themeColor="text1"/>
        </w:rPr>
      </w:pPr>
      <w:bookmarkStart w:id="13" w:name="_Toc209387741"/>
      <w:r w:rsidRPr="009C325F">
        <w:rPr>
          <w:rFonts w:ascii="Arial" w:hAnsi="Arial" w:cs="Arial"/>
          <w:b/>
          <w:color w:val="000000" w:themeColor="text1"/>
        </w:rPr>
        <w:t>2.3 The</w:t>
      </w:r>
      <w:r w:rsidR="009A5A31" w:rsidRPr="009C325F">
        <w:rPr>
          <w:rFonts w:ascii="Arial" w:hAnsi="Arial" w:cs="Arial"/>
          <w:b/>
          <w:color w:val="000000" w:themeColor="text1"/>
        </w:rPr>
        <w:t>oretical Background</w:t>
      </w:r>
      <w:bookmarkEnd w:id="13"/>
      <w:r w:rsidR="009A5A31" w:rsidRPr="009C325F">
        <w:rPr>
          <w:rFonts w:ascii="Arial" w:hAnsi="Arial" w:cs="Arial"/>
          <w:b/>
          <w:color w:val="000000" w:themeColor="text1"/>
        </w:rPr>
        <w:t xml:space="preserve"> </w:t>
      </w:r>
    </w:p>
    <w:p w14:paraId="5F3CE0E1" w14:textId="77777777" w:rsidR="00445273" w:rsidRPr="009C325F" w:rsidRDefault="003A2500"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Burnout theory:</w:t>
      </w:r>
      <w:r w:rsidR="00445273" w:rsidRPr="009C325F">
        <w:rPr>
          <w:rFonts w:ascii="Arial" w:hAnsi="Arial" w:cs="Arial"/>
          <w:color w:val="000000" w:themeColor="text1"/>
          <w:sz w:val="22"/>
        </w:rPr>
        <w:t xml:space="preserve"> Burnout reflects chronic, unmanaged work stress presenting in emotional exhaustion, depersonalisation and reduced efficacy (Maslach &amp; Jackson, 1981; Maslach &amp; Leiter, 2016). In healthcare, burnout is linked to errors, lower patient satisfaction and staff turnover (Panagioti et al., 2018).</w:t>
      </w:r>
    </w:p>
    <w:p w14:paraId="3D8BFFBD"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Lazarus &amp; Folkman tr</w:t>
      </w:r>
      <w:r w:rsidR="003A2500" w:rsidRPr="009C325F">
        <w:rPr>
          <w:rFonts w:ascii="Arial" w:hAnsi="Arial" w:cs="Arial"/>
          <w:color w:val="000000" w:themeColor="text1"/>
          <w:sz w:val="22"/>
        </w:rPr>
        <w:t>ansactional stress–coping model:</w:t>
      </w:r>
      <w:r w:rsidRPr="009C325F">
        <w:rPr>
          <w:rFonts w:ascii="Arial" w:hAnsi="Arial" w:cs="Arial"/>
          <w:color w:val="000000" w:themeColor="text1"/>
          <w:sz w:val="22"/>
        </w:rPr>
        <w:t xml:space="preserve"> Stress arises from the appraisal of demands relative to coping resources; coping strategies (problem-focused, emotion-focused) modulate outcomes (Lazarus &amp; Folkman, 1984). This lens helps interpret variance in HCW responses to similar stressors.</w:t>
      </w:r>
    </w:p>
    <w:p w14:paraId="3EDED3FF" w14:textId="77777777" w:rsidR="00445273" w:rsidRPr="009C325F" w:rsidRDefault="003A2500"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Job Demands–Resources (JD-R):</w:t>
      </w:r>
      <w:r w:rsidR="00445273" w:rsidRPr="009C325F">
        <w:rPr>
          <w:rFonts w:ascii="Arial" w:hAnsi="Arial" w:cs="Arial"/>
          <w:color w:val="000000" w:themeColor="text1"/>
          <w:sz w:val="22"/>
        </w:rPr>
        <w:t xml:space="preserve"> The JD-R model posits that high demands (workload, emotional load, time pressure) and inadequate resources (autonomy, support, feedback) drive strain and burnout, while resources foster engagement and buffer demands (Demerouti et al., 2001; Bakker &amp; Demerouti, 2007).</w:t>
      </w:r>
    </w:p>
    <w:p w14:paraId="0577AB6B" w14:textId="77777777" w:rsidR="00445273" w:rsidRPr="009C325F" w:rsidRDefault="00701879"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Effort–Reward Imbalance (ERI):</w:t>
      </w:r>
      <w:r w:rsidR="00445273" w:rsidRPr="009C325F">
        <w:rPr>
          <w:rFonts w:ascii="Arial" w:hAnsi="Arial" w:cs="Arial"/>
          <w:color w:val="000000" w:themeColor="text1"/>
          <w:sz w:val="22"/>
        </w:rPr>
        <w:t xml:space="preserve"> ERI theory holds that high effort unbalanced by low reward (pay, esteem, job security) produces sustained stress with health consequences (Siegrist, 1996). During COVID-19, perceived societal praise sometimes contrasted with perceived organisational reward or safety, intensifying imbalance.</w:t>
      </w:r>
    </w:p>
    <w:p w14:paraId="5AF7C9D0" w14:textId="77777777" w:rsidR="00445273" w:rsidRPr="009C325F" w:rsidRDefault="00701879"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Conservation of Resources (COR):</w:t>
      </w:r>
      <w:r w:rsidR="00445273" w:rsidRPr="009C325F">
        <w:rPr>
          <w:rFonts w:ascii="Arial" w:hAnsi="Arial" w:cs="Arial"/>
          <w:color w:val="000000" w:themeColor="text1"/>
          <w:sz w:val="22"/>
        </w:rPr>
        <w:t xml:space="preserve"> COR theory predicts stress when valued resources (time, energy, health, social support) are threatened or lost; resource gains can offset losses (Hobfoll, 1989; 2018). PPE access, rest, and team support are resource dynamics central to HCW wellbeing in crises.</w:t>
      </w:r>
    </w:p>
    <w:p w14:paraId="6F061543" w14:textId="77777777" w:rsidR="00445273" w:rsidRPr="009C325F" w:rsidRDefault="00701879"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Moral distress/injury:</w:t>
      </w:r>
      <w:r w:rsidR="00445273" w:rsidRPr="009C325F">
        <w:rPr>
          <w:rFonts w:ascii="Arial" w:hAnsi="Arial" w:cs="Arial"/>
          <w:color w:val="000000" w:themeColor="text1"/>
          <w:sz w:val="22"/>
        </w:rPr>
        <w:t xml:space="preserve"> Originating in nursing ethics and military psychology, moral distress/injury refers to suffering tied to perceived violations of one’s moral code, such as rationing care or working without adequate protection (Litz et al., 2009; Jameton, 1984; Greenberg et al., 2020).</w:t>
      </w:r>
    </w:p>
    <w:p w14:paraId="576AB056" w14:textId="77777777" w:rsidR="00445273" w:rsidRPr="009C325F" w:rsidRDefault="00701879"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Social support and resilience:</w:t>
      </w:r>
      <w:r w:rsidR="00445273" w:rsidRPr="009C325F">
        <w:rPr>
          <w:rFonts w:ascii="Arial" w:hAnsi="Arial" w:cs="Arial"/>
          <w:color w:val="000000" w:themeColor="text1"/>
          <w:sz w:val="22"/>
        </w:rPr>
        <w:t xml:space="preserve"> Perceived support from colleagues/leaders and organisational justice enhance resilience, defined as the capacity to adapt and recover from adversity (West et al., 2014; Robertson et al., 2015).</w:t>
      </w:r>
    </w:p>
    <w:p w14:paraId="32FBBCF8"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Empirical COVID-19 research maps closely onto these frameworks. High job demands (surges, mortality, information load) with constrained resources (staffing, PPE, time) predict burnout (JD-R) (Pappa et al., 2020; De Kock et al., 2021). Per</w:t>
      </w:r>
      <w:r w:rsidR="00D530CD" w:rsidRPr="009C325F">
        <w:rPr>
          <w:rFonts w:ascii="Arial" w:hAnsi="Arial" w:cs="Arial"/>
          <w:color w:val="000000" w:themeColor="text1"/>
          <w:sz w:val="22"/>
        </w:rPr>
        <w:t xml:space="preserve">ceived effort–reward gaps (ERI) </w:t>
      </w:r>
      <w:r w:rsidRPr="009C325F">
        <w:rPr>
          <w:rFonts w:ascii="Arial" w:hAnsi="Arial" w:cs="Arial"/>
          <w:color w:val="000000" w:themeColor="text1"/>
          <w:sz w:val="22"/>
        </w:rPr>
        <w:t>e.g., risk exposure vs. inad</w:t>
      </w:r>
      <w:r w:rsidR="00D530CD" w:rsidRPr="009C325F">
        <w:rPr>
          <w:rFonts w:ascii="Arial" w:hAnsi="Arial" w:cs="Arial"/>
          <w:color w:val="000000" w:themeColor="text1"/>
          <w:sz w:val="22"/>
        </w:rPr>
        <w:t xml:space="preserve">equate compensation/recognition, </w:t>
      </w:r>
      <w:r w:rsidRPr="009C325F">
        <w:rPr>
          <w:rFonts w:ascii="Arial" w:hAnsi="Arial" w:cs="Arial"/>
          <w:color w:val="000000" w:themeColor="text1"/>
          <w:sz w:val="22"/>
        </w:rPr>
        <w:t>correlate with distress (Serrano-Ripoll et al., 2020). COR processes are evident where resource loss spirals (sleep, social connection) escalate strain, while resource gains (peer support, safe staffing, rest hubs) buffer harm (Kinman et al., 2020). Moral injury frameworks help explain distress arising from triage, visitor restrictions and end-of-life care constraints (Greenberg et al., 2020).</w:t>
      </w:r>
    </w:p>
    <w:p w14:paraId="7E8D34E1"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These theories offer complementary, not competing, insights. Burnout theory excels at characterising outcomes but is less explicit about antecedent structures; JD-R and ERI locate organisational levers (demands/resources; reward balance) yet can under-specify ethical dimensions captured by moral injury. COR synthesises multi-level resource dynamics but can be broad, challenging measurement. Stress–coping theory foregrounds appraisal and agency but risks individualising systemic problems if not paired with organisational analysis. A synthesis that integrates these lenses can guide multi-level interventions.</w:t>
      </w:r>
    </w:p>
    <w:p w14:paraId="0A32A430" w14:textId="77777777" w:rsidR="00445273" w:rsidRPr="009C325F" w:rsidRDefault="00445273" w:rsidP="009F30F7">
      <w:pPr>
        <w:pStyle w:val="Heading2"/>
        <w:spacing w:line="360" w:lineRule="auto"/>
        <w:jc w:val="both"/>
        <w:rPr>
          <w:rFonts w:ascii="Arial" w:hAnsi="Arial" w:cs="Arial"/>
          <w:b/>
          <w:color w:val="000000" w:themeColor="text1"/>
        </w:rPr>
      </w:pPr>
      <w:bookmarkStart w:id="14" w:name="_Toc209387742"/>
      <w:r w:rsidRPr="009C325F">
        <w:rPr>
          <w:rFonts w:ascii="Arial" w:hAnsi="Arial" w:cs="Arial"/>
          <w:b/>
          <w:color w:val="000000" w:themeColor="text1"/>
        </w:rPr>
        <w:t>2.4 In</w:t>
      </w:r>
      <w:r w:rsidR="00365F42" w:rsidRPr="009C325F">
        <w:rPr>
          <w:rFonts w:ascii="Arial" w:hAnsi="Arial" w:cs="Arial"/>
          <w:b/>
          <w:color w:val="000000" w:themeColor="text1"/>
        </w:rPr>
        <w:t>ternational Context</w:t>
      </w:r>
      <w:bookmarkEnd w:id="14"/>
      <w:r w:rsidR="00365F42" w:rsidRPr="009C325F">
        <w:rPr>
          <w:rFonts w:ascii="Arial" w:hAnsi="Arial" w:cs="Arial"/>
          <w:b/>
          <w:color w:val="000000" w:themeColor="text1"/>
        </w:rPr>
        <w:t xml:space="preserve"> </w:t>
      </w:r>
    </w:p>
    <w:p w14:paraId="53D17012"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 xml:space="preserve">Global evidence shows elevated rates of anxiety, depression, insomnia, distress and burnout among HCWs during COVID-19, with variability by role, setting and pandemic phase (Pappa et al., 2020; Salazar de Pablo et al., 2020; Kisely et al., 2020; Chen et al., 2022). Risk factors repeatedly include female gender, nursing role, frontline status, inadequate PPE, high exposure to COVID-19 units, and prior mental health history; protective factors include social support, perceived control, training and adequate protection (Lai et al., 2020; Spoorthy et al., 2020; Sanghera et al., 2020). International bodies (WHO, ILO, OECD) urged comprehensive </w:t>
      </w:r>
      <w:r w:rsidR="00D25AE8" w:rsidRPr="009C325F">
        <w:rPr>
          <w:rFonts w:ascii="Arial" w:hAnsi="Arial" w:cs="Arial"/>
          <w:color w:val="000000" w:themeColor="text1"/>
          <w:sz w:val="22"/>
        </w:rPr>
        <w:t xml:space="preserve">approaches, </w:t>
      </w:r>
      <w:r w:rsidRPr="009C325F">
        <w:rPr>
          <w:rFonts w:ascii="Arial" w:hAnsi="Arial" w:cs="Arial"/>
          <w:color w:val="000000" w:themeColor="text1"/>
          <w:sz w:val="22"/>
        </w:rPr>
        <w:t>safe staffing, PPE, rest, fair pay, mental health services, anti-stigma efforts, and leadership communicat</w:t>
      </w:r>
      <w:r w:rsidR="00370816" w:rsidRPr="009C325F">
        <w:rPr>
          <w:rFonts w:ascii="Arial" w:hAnsi="Arial" w:cs="Arial"/>
          <w:color w:val="000000" w:themeColor="text1"/>
          <w:sz w:val="22"/>
        </w:rPr>
        <w:t xml:space="preserve">ion (WHO, 2020; OECD, 2021; </w:t>
      </w:r>
      <w:r w:rsidRPr="009C325F">
        <w:rPr>
          <w:rFonts w:ascii="Arial" w:hAnsi="Arial" w:cs="Arial"/>
          <w:color w:val="000000" w:themeColor="text1"/>
          <w:sz w:val="22"/>
        </w:rPr>
        <w:t>ILO, 2022).</w:t>
      </w:r>
    </w:p>
    <w:p w14:paraId="24C549F1"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Countries differed in surge timing, health-system capacity, and workforce policies. Italy’s early surge highlighted psychological trauma among hospital staff (Rossi et al., 2020). Singapore emphasised infection control, accommodation, and targeted psychological support with comparatively favourable distress profiles among some groups (Tan et al., 2020). In Spain and Latin America, high exposures and resource constraints correlated with distress and burnout (Luceño-Moreno et al., 2020; Vizheh et al., 2020). The US reported wide variation by state and hospital, with moral injury commonly discussed (Shanafelt et al., 2020).</w:t>
      </w:r>
    </w:p>
    <w:p w14:paraId="3FB26F81" w14:textId="77777777" w:rsidR="00445273" w:rsidRPr="009C325F" w:rsidRDefault="00445273" w:rsidP="009F30F7">
      <w:pPr>
        <w:pStyle w:val="NormalWeb"/>
        <w:spacing w:line="360" w:lineRule="auto"/>
        <w:jc w:val="both"/>
        <w:rPr>
          <w:rFonts w:ascii="Arial" w:hAnsi="Arial" w:cs="Arial"/>
          <w:b/>
          <w:color w:val="000000" w:themeColor="text1"/>
          <w:sz w:val="22"/>
        </w:rPr>
      </w:pPr>
      <w:r w:rsidRPr="009C325F">
        <w:rPr>
          <w:rFonts w:ascii="Arial" w:hAnsi="Arial" w:cs="Arial"/>
          <w:b/>
          <w:color w:val="000000" w:themeColor="text1"/>
          <w:sz w:val="22"/>
        </w:rPr>
        <w:t>Case examples</w:t>
      </w:r>
    </w:p>
    <w:p w14:paraId="3B6C703F"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Singapore: Multi-pronged staff support (clear comms, segregated teams, accommodations, psychological first aid) accompanied lower self-reported anxiety/depression among some professional groups versus early European hotspots (Tan et al., 2020).</w:t>
      </w:r>
    </w:p>
    <w:p w14:paraId="4A1AE632"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Italy: Early, intense exposure associated with clinically significant anxiety/depression among frontline HCWs (Rossi et al., 2020).</w:t>
      </w:r>
    </w:p>
    <w:p w14:paraId="04FDE6AE"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Spain: National surveys reported high burnout and distress, with PPE shortages and fear of infecting family as key drivers (Luceño-Moreno et al., 2020).</w:t>
      </w:r>
    </w:p>
    <w:p w14:paraId="1B8764E0"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Canada: Recommendations emphasised organisational justice, moral injury mitigation and accessible supports (Spoorthy et al., 2020; Wu, Styra &amp; Gold, 2020).</w:t>
      </w:r>
    </w:p>
    <w:p w14:paraId="343599AD"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These patterns support a view that structural conditions (demands, resources, safety) interact with individual vulnerabilities, validating JD-R, ERI and COR interpretations across settings (Bakker &amp; Demerouti, 2007; Hobfoll, 2018).</w:t>
      </w:r>
    </w:p>
    <w:p w14:paraId="07555373" w14:textId="77777777" w:rsidR="00445273" w:rsidRPr="009C325F" w:rsidRDefault="00445273" w:rsidP="009F30F7">
      <w:pPr>
        <w:pStyle w:val="Heading2"/>
        <w:spacing w:line="360" w:lineRule="auto"/>
        <w:jc w:val="both"/>
        <w:rPr>
          <w:rFonts w:ascii="Arial" w:hAnsi="Arial" w:cs="Arial"/>
          <w:b/>
          <w:color w:val="000000" w:themeColor="text1"/>
        </w:rPr>
      </w:pPr>
      <w:bookmarkStart w:id="15" w:name="_Toc209387743"/>
      <w:r w:rsidRPr="009C325F">
        <w:rPr>
          <w:rFonts w:ascii="Arial" w:hAnsi="Arial" w:cs="Arial"/>
          <w:b/>
          <w:color w:val="000000" w:themeColor="text1"/>
        </w:rPr>
        <w:t>2.5 Nation</w:t>
      </w:r>
      <w:r w:rsidR="00DA255B" w:rsidRPr="009C325F">
        <w:rPr>
          <w:rFonts w:ascii="Arial" w:hAnsi="Arial" w:cs="Arial"/>
          <w:b/>
          <w:color w:val="000000" w:themeColor="text1"/>
        </w:rPr>
        <w:t>al/Local UK Context</w:t>
      </w:r>
      <w:bookmarkEnd w:id="15"/>
      <w:r w:rsidR="00DA255B" w:rsidRPr="009C325F">
        <w:rPr>
          <w:rFonts w:ascii="Arial" w:hAnsi="Arial" w:cs="Arial"/>
          <w:b/>
          <w:color w:val="000000" w:themeColor="text1"/>
        </w:rPr>
        <w:t xml:space="preserve"> </w:t>
      </w:r>
    </w:p>
    <w:p w14:paraId="6F6F0ED5" w14:textId="77777777" w:rsidR="00445273" w:rsidRPr="009C325F" w:rsidRDefault="00445273" w:rsidP="009F30F7">
      <w:pPr>
        <w:pStyle w:val="Heading3"/>
        <w:spacing w:line="360" w:lineRule="auto"/>
        <w:jc w:val="both"/>
        <w:rPr>
          <w:rFonts w:ascii="Arial" w:hAnsi="Arial" w:cs="Arial"/>
          <w:b/>
          <w:color w:val="000000" w:themeColor="text1"/>
        </w:rPr>
      </w:pPr>
      <w:bookmarkStart w:id="16" w:name="_Toc209387744"/>
      <w:r w:rsidRPr="009C325F">
        <w:rPr>
          <w:rFonts w:ascii="Arial" w:hAnsi="Arial" w:cs="Arial"/>
          <w:b/>
          <w:color w:val="000000" w:themeColor="text1"/>
        </w:rPr>
        <w:t>UK perspective</w:t>
      </w:r>
      <w:bookmarkEnd w:id="16"/>
    </w:p>
    <w:p w14:paraId="1298FA17"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The UK experienced repeated COVID-19 waves, high hospital occupancy and sustained backlog pressures. Early UK analyses and first-person accounts described fear of infection, redeployment stress, moral challenges around end-of-life care, and exhaustion (Greenberg et al., 2020; Kinman et al., 2020). National workforce indicators already signalled strain pre-pandemic; COVID-19 compounded this, with NHS Staff Survey items on stress, presenteeism and intentions to leave raising concern in 2020–2022 (NHS Staff Survey, 2020). UK reviews highlighted disproportionate impacts on nurses, ethnic minority staff, and those in critical care and emergency settings (Sanghera et al., 2020; De Kock et al., 2021).</w:t>
      </w:r>
    </w:p>
    <w:p w14:paraId="11BF0FD0" w14:textId="77777777" w:rsidR="00445273" w:rsidRPr="009C325F" w:rsidRDefault="00445273" w:rsidP="009F30F7">
      <w:pPr>
        <w:pStyle w:val="Heading3"/>
        <w:spacing w:line="360" w:lineRule="auto"/>
        <w:jc w:val="both"/>
        <w:rPr>
          <w:rFonts w:ascii="Arial" w:hAnsi="Arial" w:cs="Arial"/>
          <w:b/>
          <w:color w:val="000000" w:themeColor="text1"/>
        </w:rPr>
      </w:pPr>
      <w:bookmarkStart w:id="17" w:name="_Toc209387745"/>
      <w:r w:rsidRPr="009C325F">
        <w:rPr>
          <w:rFonts w:ascii="Arial" w:hAnsi="Arial" w:cs="Arial"/>
          <w:b/>
          <w:color w:val="000000" w:themeColor="text1"/>
        </w:rPr>
        <w:t>Policy and regulation</w:t>
      </w:r>
      <w:bookmarkEnd w:id="17"/>
    </w:p>
    <w:p w14:paraId="69CE4EAA"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NHS England’s People Plan (2020) and subsequent People Promise and wellbeing initiatives prioritised rest spaces, psychological support, helplines, apps, and manager training (NHS England, 2020; 2021). The NICE guideline on PTSD (NG116) and workplace health guidance informed trauma-aware responses (NICE, 2018; NICE, 2021). The Faculty of Intensive Care Medicine and Royal Colleges issued staff wellbeing statements and toolkits (FICM, 2020; RCP, 2020; RCN, 2020). The Health and Safety Executive (HSE) reiterated Management Standards for work-related stress and duty-of-care obligations (HSE, 2019; 2020). Parallel equality and risk-assessment guidance sought to protect at-risk groups, including Black and minority ethnic staff (NHS England, 2020; PHE, 2020).</w:t>
      </w:r>
    </w:p>
    <w:p w14:paraId="2AACC120" w14:textId="77777777" w:rsidR="00445273" w:rsidRPr="009C325F" w:rsidRDefault="00445273" w:rsidP="009F30F7">
      <w:pPr>
        <w:pStyle w:val="Heading3"/>
        <w:spacing w:line="360" w:lineRule="auto"/>
        <w:jc w:val="both"/>
        <w:rPr>
          <w:rFonts w:ascii="Arial" w:hAnsi="Arial" w:cs="Arial"/>
          <w:b/>
          <w:color w:val="000000" w:themeColor="text1"/>
        </w:rPr>
      </w:pPr>
      <w:bookmarkStart w:id="18" w:name="_Toc209387746"/>
      <w:r w:rsidRPr="009C325F">
        <w:rPr>
          <w:rFonts w:ascii="Arial" w:hAnsi="Arial" w:cs="Arial"/>
          <w:b/>
          <w:color w:val="000000" w:themeColor="text1"/>
        </w:rPr>
        <w:t>Local context and variation</w:t>
      </w:r>
      <w:bookmarkEnd w:id="18"/>
    </w:p>
    <w:p w14:paraId="4079BBA5"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Trusts and Integrated Care Systems implemented varied supports: “wobble rooms,” Schwartz Rounds, peer-support networks, fast-track psychology, debrief models, flexible rotas, accommodation, and enhanced occupational health (Kinman et al., 2020; Blake et al., 2020). Implementation quality, accessibility and uptake varied, with barriers including stigma, time pressure, and perceptions that organisational causes (staffing, workload) were not adequately addressed (Samarasekera et al., 2021; Billings et al., 2021). Primary care and social care often reported fewer formal supports relative to acute trusts despite significant exposure and moral load (RCGP, 2020; Rajan et al., 2020). The cumulative effect of demand, delayed care backlogs and vacancies sustained high job demands through 2022–2023, prolonging risk of burnout and mental health symptoms (NHS Confederation, 2021; BMA, 2021).</w:t>
      </w:r>
    </w:p>
    <w:p w14:paraId="19208CAC" w14:textId="77777777" w:rsidR="00445273" w:rsidRPr="009C325F" w:rsidRDefault="0011681F"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In short</w:t>
      </w:r>
      <w:r w:rsidR="00445273" w:rsidRPr="009C325F">
        <w:rPr>
          <w:rFonts w:ascii="Arial" w:hAnsi="Arial" w:cs="Arial"/>
          <w:color w:val="000000" w:themeColor="text1"/>
          <w:sz w:val="22"/>
        </w:rPr>
        <w:t>, UK evidence aligns with international patterns but is conditioned by NHS structures, staffing norms, and national policy choices. The need for context-sensi</w:t>
      </w:r>
      <w:r w:rsidRPr="009C325F">
        <w:rPr>
          <w:rFonts w:ascii="Arial" w:hAnsi="Arial" w:cs="Arial"/>
          <w:color w:val="000000" w:themeColor="text1"/>
          <w:sz w:val="22"/>
        </w:rPr>
        <w:t xml:space="preserve">tive, multi-level interventions, </w:t>
      </w:r>
      <w:r w:rsidR="00445273" w:rsidRPr="009C325F">
        <w:rPr>
          <w:rFonts w:ascii="Arial" w:hAnsi="Arial" w:cs="Arial"/>
          <w:color w:val="000000" w:themeColor="text1"/>
          <w:sz w:val="22"/>
        </w:rPr>
        <w:t xml:space="preserve">combining individual </w:t>
      </w:r>
      <w:r w:rsidRPr="009C325F">
        <w:rPr>
          <w:rFonts w:ascii="Arial" w:hAnsi="Arial" w:cs="Arial"/>
          <w:color w:val="000000" w:themeColor="text1"/>
          <w:sz w:val="22"/>
        </w:rPr>
        <w:t xml:space="preserve">supports with structural change, </w:t>
      </w:r>
      <w:r w:rsidR="00445273" w:rsidRPr="009C325F">
        <w:rPr>
          <w:rFonts w:ascii="Arial" w:hAnsi="Arial" w:cs="Arial"/>
          <w:color w:val="000000" w:themeColor="text1"/>
          <w:sz w:val="22"/>
        </w:rPr>
        <w:t>emerges clearly (Greenberg et al., 2020; Kinman et al., 2020; West et al., 2014).</w:t>
      </w:r>
    </w:p>
    <w:p w14:paraId="10C17343" w14:textId="77777777" w:rsidR="00445273" w:rsidRPr="009C325F" w:rsidRDefault="002F553D" w:rsidP="009F30F7">
      <w:pPr>
        <w:pStyle w:val="Heading2"/>
        <w:spacing w:line="360" w:lineRule="auto"/>
        <w:jc w:val="both"/>
        <w:rPr>
          <w:rFonts w:ascii="Arial" w:hAnsi="Arial" w:cs="Arial"/>
          <w:b/>
          <w:color w:val="000000" w:themeColor="text1"/>
        </w:rPr>
      </w:pPr>
      <w:bookmarkStart w:id="19" w:name="_Toc209387747"/>
      <w:r w:rsidRPr="009C325F">
        <w:rPr>
          <w:rFonts w:ascii="Arial" w:hAnsi="Arial" w:cs="Arial"/>
          <w:b/>
          <w:color w:val="000000" w:themeColor="text1"/>
        </w:rPr>
        <w:t>2.6 Conclusion</w:t>
      </w:r>
      <w:bookmarkEnd w:id="19"/>
      <w:r w:rsidRPr="009C325F">
        <w:rPr>
          <w:rFonts w:ascii="Arial" w:hAnsi="Arial" w:cs="Arial"/>
          <w:b/>
          <w:color w:val="000000" w:themeColor="text1"/>
        </w:rPr>
        <w:t xml:space="preserve"> </w:t>
      </w:r>
    </w:p>
    <w:p w14:paraId="686F7D78"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Historically, HCW wellbeing has been a persistent concern, sharpened by prior outbreaks and workforc</w:t>
      </w:r>
      <w:r w:rsidR="0011681F" w:rsidRPr="009C325F">
        <w:rPr>
          <w:rFonts w:ascii="Arial" w:hAnsi="Arial" w:cs="Arial"/>
          <w:color w:val="000000" w:themeColor="text1"/>
          <w:sz w:val="22"/>
        </w:rPr>
        <w:t xml:space="preserve">e pressures. Theoretical lenses, </w:t>
      </w:r>
      <w:r w:rsidRPr="009C325F">
        <w:rPr>
          <w:rFonts w:ascii="Arial" w:hAnsi="Arial" w:cs="Arial"/>
          <w:color w:val="000000" w:themeColor="text1"/>
          <w:sz w:val="22"/>
        </w:rPr>
        <w:t>burnout, stres</w:t>
      </w:r>
      <w:r w:rsidR="0011681F" w:rsidRPr="009C325F">
        <w:rPr>
          <w:rFonts w:ascii="Arial" w:hAnsi="Arial" w:cs="Arial"/>
          <w:color w:val="000000" w:themeColor="text1"/>
          <w:sz w:val="22"/>
        </w:rPr>
        <w:t xml:space="preserve">s </w:t>
      </w:r>
      <w:r w:rsidRPr="009C325F">
        <w:rPr>
          <w:rFonts w:ascii="Arial" w:hAnsi="Arial" w:cs="Arial"/>
          <w:color w:val="000000" w:themeColor="text1"/>
          <w:sz w:val="22"/>
        </w:rPr>
        <w:t>coping, J</w:t>
      </w:r>
      <w:r w:rsidR="002F553D" w:rsidRPr="009C325F">
        <w:rPr>
          <w:rFonts w:ascii="Arial" w:hAnsi="Arial" w:cs="Arial"/>
          <w:color w:val="000000" w:themeColor="text1"/>
          <w:sz w:val="22"/>
        </w:rPr>
        <w:t xml:space="preserve">D-R, ERI, COR, and moral injury, </w:t>
      </w:r>
      <w:r w:rsidRPr="009C325F">
        <w:rPr>
          <w:rFonts w:ascii="Arial" w:hAnsi="Arial" w:cs="Arial"/>
          <w:color w:val="000000" w:themeColor="text1"/>
          <w:sz w:val="22"/>
        </w:rPr>
        <w:t>offer complementary explanations for how pandemic-era demands and resources translated into psychological harm or resilience. International experience underscores common risk and protective factors, while country approaches and system capacity modulate outcomes. In the UK, pre-existing workforce stressors combined with intense surges to heighten risks, prompting national policies and local innovations whose accessibility and perceived adequacy varied.</w:t>
      </w:r>
    </w:p>
    <w:p w14:paraId="182D6446" w14:textId="77777777" w:rsidR="00445273" w:rsidRPr="009C325F" w:rsidRDefault="00445273"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This background underlines the value of a UK-focused qualitative thematic synthesis to consolidate lived-experience insights on mental health, burnout and coping. The synthesis will inform practical, context-aware recommendations. The next chapter (Methodology) will detail inclusion criteria, search strategy, quality appraisal and the thematic synthesis approach that operationalises the conceptual frames introduced here.</w:t>
      </w:r>
    </w:p>
    <w:p w14:paraId="206C98B0" w14:textId="77777777" w:rsidR="000704D8" w:rsidRPr="009C325F" w:rsidRDefault="000704D8" w:rsidP="009F30F7">
      <w:pPr>
        <w:pStyle w:val="NormalWeb"/>
        <w:spacing w:line="360" w:lineRule="auto"/>
        <w:jc w:val="both"/>
        <w:rPr>
          <w:rFonts w:ascii="Arial" w:hAnsi="Arial" w:cs="Arial"/>
          <w:color w:val="000000" w:themeColor="text1"/>
          <w:sz w:val="22"/>
        </w:rPr>
      </w:pPr>
    </w:p>
    <w:p w14:paraId="012A67D1" w14:textId="77777777" w:rsidR="000704D8" w:rsidRPr="009C325F" w:rsidRDefault="000704D8" w:rsidP="009F30F7">
      <w:pPr>
        <w:pStyle w:val="NormalWeb"/>
        <w:spacing w:line="360" w:lineRule="auto"/>
        <w:jc w:val="both"/>
        <w:rPr>
          <w:rFonts w:ascii="Arial" w:hAnsi="Arial" w:cs="Arial"/>
          <w:color w:val="000000" w:themeColor="text1"/>
          <w:sz w:val="22"/>
        </w:rPr>
      </w:pPr>
    </w:p>
    <w:p w14:paraId="52DD622A" w14:textId="77777777" w:rsidR="00527F8F" w:rsidRPr="009C325F" w:rsidRDefault="00527F8F" w:rsidP="0013498E">
      <w:pPr>
        <w:pStyle w:val="Heading1"/>
      </w:pPr>
      <w:bookmarkStart w:id="20" w:name="_Toc209387748"/>
      <w:r w:rsidRPr="009C325F">
        <w:t>CHAPTER 3 – Methods and Search Strategy</w:t>
      </w:r>
      <w:bookmarkEnd w:id="20"/>
    </w:p>
    <w:p w14:paraId="120BC9AB" w14:textId="77777777" w:rsidR="000704D8" w:rsidRPr="009C325F" w:rsidRDefault="000704D8" w:rsidP="000704D8">
      <w:pPr>
        <w:rPr>
          <w:rFonts w:ascii="Arial" w:hAnsi="Arial" w:cs="Arial"/>
          <w:color w:val="000000" w:themeColor="text1"/>
        </w:rPr>
      </w:pPr>
      <w:r w:rsidRPr="009C325F">
        <w:rPr>
          <w:rFonts w:ascii="Arial" w:hAnsi="Arial" w:cs="Arial"/>
          <w:color w:val="000000" w:themeColor="text1"/>
        </w:rPr>
        <w:t xml:space="preserve">Academic research poster for </w:t>
      </w:r>
      <w:r w:rsidR="00EC6B17" w:rsidRPr="009C325F">
        <w:rPr>
          <w:rFonts w:ascii="Arial" w:hAnsi="Arial" w:cs="Arial"/>
          <w:color w:val="000000" w:themeColor="text1"/>
        </w:rPr>
        <w:t>methodology</w:t>
      </w:r>
      <w:r w:rsidRPr="009C325F">
        <w:rPr>
          <w:rFonts w:ascii="Arial" w:hAnsi="Arial" w:cs="Arial"/>
          <w:color w:val="000000" w:themeColor="text1"/>
        </w:rPr>
        <w:t xml:space="preserve"> is drafted as appendix A.</w:t>
      </w:r>
    </w:p>
    <w:p w14:paraId="69444CFB" w14:textId="77777777" w:rsidR="00527F8F" w:rsidRPr="009C325F" w:rsidRDefault="0092217E" w:rsidP="009F30F7">
      <w:pPr>
        <w:pStyle w:val="Heading2"/>
        <w:spacing w:line="360" w:lineRule="auto"/>
        <w:jc w:val="both"/>
        <w:rPr>
          <w:rFonts w:ascii="Arial" w:hAnsi="Arial" w:cs="Arial"/>
          <w:b/>
          <w:color w:val="000000" w:themeColor="text1"/>
        </w:rPr>
      </w:pPr>
      <w:bookmarkStart w:id="21" w:name="_Toc209387749"/>
      <w:r w:rsidRPr="009C325F">
        <w:rPr>
          <w:rFonts w:ascii="Arial" w:hAnsi="Arial" w:cs="Arial"/>
          <w:b/>
          <w:color w:val="000000" w:themeColor="text1"/>
        </w:rPr>
        <w:t>3.1 Introduction</w:t>
      </w:r>
      <w:bookmarkEnd w:id="21"/>
      <w:r w:rsidRPr="009C325F">
        <w:rPr>
          <w:rFonts w:ascii="Arial" w:hAnsi="Arial" w:cs="Arial"/>
          <w:b/>
          <w:color w:val="000000" w:themeColor="text1"/>
        </w:rPr>
        <w:t xml:space="preserve"> </w:t>
      </w:r>
    </w:p>
    <w:p w14:paraId="7C4A2B4C" w14:textId="77777777" w:rsidR="00527F8F" w:rsidRPr="009C325F" w:rsidRDefault="00527F8F" w:rsidP="009F30F7">
      <w:pPr>
        <w:pStyle w:val="NormalWeb"/>
        <w:spacing w:line="360" w:lineRule="auto"/>
        <w:jc w:val="both"/>
        <w:rPr>
          <w:rFonts w:ascii="Arial" w:hAnsi="Arial" w:cs="Arial"/>
          <w:color w:val="000000" w:themeColor="text1"/>
          <w:sz w:val="22"/>
        </w:rPr>
      </w:pPr>
      <w:r w:rsidRPr="009C325F">
        <w:rPr>
          <w:rFonts w:ascii="Arial" w:hAnsi="Arial" w:cs="Arial"/>
          <w:color w:val="000000" w:themeColor="text1"/>
          <w:sz w:val="22"/>
        </w:rPr>
        <w:t>This chapter explains the desk-based, literature-based methodology used to identify, appraise, and synthesise evidence on the psychological impact of COVID-19 on UK healthcare workers (HCWs). It expands the steps that were summarised in the academic method</w:t>
      </w:r>
      <w:r w:rsidR="0092217E" w:rsidRPr="009C325F">
        <w:rPr>
          <w:rFonts w:ascii="Arial" w:hAnsi="Arial" w:cs="Arial"/>
          <w:color w:val="000000" w:themeColor="text1"/>
          <w:sz w:val="22"/>
        </w:rPr>
        <w:t xml:space="preserve">ology poster, </w:t>
      </w:r>
      <w:r w:rsidRPr="009C325F">
        <w:rPr>
          <w:rFonts w:ascii="Arial" w:hAnsi="Arial" w:cs="Arial"/>
          <w:color w:val="000000" w:themeColor="text1"/>
          <w:sz w:val="22"/>
        </w:rPr>
        <w:t>covering search strategy, source selection, validation, inclusion/exclusion</w:t>
      </w:r>
      <w:r w:rsidR="0092217E" w:rsidRPr="009C325F">
        <w:rPr>
          <w:rFonts w:ascii="Arial" w:hAnsi="Arial" w:cs="Arial"/>
          <w:color w:val="000000" w:themeColor="text1"/>
          <w:sz w:val="22"/>
        </w:rPr>
        <w:t xml:space="preserve"> criteria, analysis, and ethics, </w:t>
      </w:r>
      <w:r w:rsidRPr="009C325F">
        <w:rPr>
          <w:rFonts w:ascii="Arial" w:hAnsi="Arial" w:cs="Arial"/>
          <w:color w:val="000000" w:themeColor="text1"/>
          <w:sz w:val="22"/>
        </w:rPr>
        <w:t>so that the review is explicit, transparent, and reproducible (Petticrew &amp; Roberts, 2006; Booth, Sutton &amp; Papaioannou, 2016). These methods are integral to building a credible evidence base for the thematic findings presented in Chapter 4, consistent with good practice for qualitative evidence syntheses and structured reviews.</w:t>
      </w:r>
    </w:p>
    <w:p w14:paraId="446BF4F3" w14:textId="77777777" w:rsidR="00527F8F" w:rsidRPr="009C325F" w:rsidRDefault="00527F8F" w:rsidP="009F30F7">
      <w:pPr>
        <w:pStyle w:val="Heading2"/>
        <w:spacing w:line="360" w:lineRule="auto"/>
        <w:jc w:val="both"/>
        <w:rPr>
          <w:rFonts w:ascii="Arial" w:hAnsi="Arial" w:cs="Arial"/>
          <w:b/>
          <w:color w:val="000000" w:themeColor="text1"/>
        </w:rPr>
      </w:pPr>
      <w:bookmarkStart w:id="22" w:name="_Toc209387750"/>
      <w:r w:rsidRPr="009C325F">
        <w:rPr>
          <w:rFonts w:ascii="Arial" w:hAnsi="Arial" w:cs="Arial"/>
          <w:b/>
          <w:color w:val="000000" w:themeColor="text1"/>
        </w:rPr>
        <w:t>3.2 Search Strategy</w:t>
      </w:r>
      <w:bookmarkEnd w:id="22"/>
      <w:r w:rsidRPr="009C325F">
        <w:rPr>
          <w:rFonts w:ascii="Arial" w:hAnsi="Arial" w:cs="Arial"/>
          <w:b/>
          <w:color w:val="000000" w:themeColor="text1"/>
        </w:rPr>
        <w:t xml:space="preserve"> </w:t>
      </w:r>
    </w:p>
    <w:p w14:paraId="7CA0EF4E" w14:textId="77777777" w:rsidR="00527F8F" w:rsidRPr="009C325F" w:rsidRDefault="004D1552"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Developing keywords:</w:t>
      </w:r>
      <w:r w:rsidR="00527F8F" w:rsidRPr="009C325F">
        <w:rPr>
          <w:rFonts w:ascii="Arial" w:hAnsi="Arial" w:cs="Arial"/>
          <w:color w:val="000000" w:themeColor="text1"/>
          <w:sz w:val="22"/>
        </w:rPr>
        <w:t xml:space="preserve"> From the title/research question, core keywords were derived and expanded with synonyms and controlled vocabulary: healthcare worker, health professional, NHS staff; COVID-19, SARS-CoV-2; mental health, psychological distress, anxiety, depression, insomnia, PTSD; burnout; coping, resilience, support; United Kingdom, UK, England, Scotland, Wales, Northern Ireland (Schardt et al., 2007; Booth et al., 2016).</w:t>
      </w:r>
    </w:p>
    <w:p w14:paraId="45098C28" w14:textId="77777777" w:rsidR="00527F8F" w:rsidRPr="009C325F" w:rsidRDefault="004D1552"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Boolean operators:</w:t>
      </w:r>
      <w:r w:rsidR="00527F8F" w:rsidRPr="009C325F">
        <w:rPr>
          <w:rFonts w:ascii="Arial" w:hAnsi="Arial" w:cs="Arial"/>
          <w:color w:val="000000" w:themeColor="text1"/>
          <w:sz w:val="22"/>
        </w:rPr>
        <w:t xml:space="preserve"> Terms were combined using AND/OR/NOT and proximity operators (e.g., (“health* worker*” OR nurse* OR clinician*) AND (COVID* OR SARS-CoV-2) AND (burnout OR “mental health”) AND (UK OR “United Kingdom” NOT “United States”)) to improve precision/recall (Bates, 1989; Booth et al., 2016).</w:t>
      </w:r>
    </w:p>
    <w:p w14:paraId="1A52A816" w14:textId="77777777" w:rsidR="00527F8F" w:rsidRPr="009C325F" w:rsidRDefault="004D1552"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Structured plan:</w:t>
      </w:r>
      <w:r w:rsidRPr="009C325F">
        <w:rPr>
          <w:rFonts w:ascii="Arial" w:hAnsi="Arial" w:cs="Arial"/>
          <w:color w:val="000000" w:themeColor="text1"/>
          <w:sz w:val="22"/>
        </w:rPr>
        <w:t xml:space="preserve"> Iterative pearl-growing</w:t>
      </w:r>
      <w:r w:rsidR="00527F8F" w:rsidRPr="009C325F">
        <w:rPr>
          <w:rFonts w:ascii="Arial" w:hAnsi="Arial" w:cs="Arial"/>
          <w:color w:val="000000" w:themeColor="text1"/>
          <w:sz w:val="22"/>
        </w:rPr>
        <w:t xml:space="preserve"> and backward/forward citation chasing were recorded in a search log with date, database, string, hits, and keep/exclude notes (Gough et al., 2012; Page et al., 2021).</w:t>
      </w:r>
    </w:p>
    <w:p w14:paraId="70070764" w14:textId="77777777" w:rsidR="004552A2" w:rsidRPr="009C325F" w:rsidRDefault="004552A2" w:rsidP="004552A2">
      <w:pPr>
        <w:pStyle w:val="NormalWeb"/>
        <w:keepNext/>
        <w:spacing w:line="360" w:lineRule="auto"/>
        <w:jc w:val="center"/>
        <w:rPr>
          <w:rFonts w:ascii="Arial" w:hAnsi="Arial" w:cs="Arial"/>
          <w:color w:val="000000" w:themeColor="text1"/>
        </w:rPr>
      </w:pPr>
      <w:r w:rsidRPr="009C325F">
        <w:rPr>
          <w:rFonts w:ascii="Arial" w:hAnsi="Arial" w:cs="Arial"/>
          <w:noProof/>
          <w:color w:val="000000" w:themeColor="text1"/>
        </w:rPr>
        <w:drawing>
          <wp:inline distT="0" distB="0" distL="0" distR="0" wp14:anchorId="4D46EB39" wp14:editId="34BAD0A9">
            <wp:extent cx="6002020" cy="4564743"/>
            <wp:effectExtent l="19050" t="19050" r="17780" b="2667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8B37865" w14:textId="77777777" w:rsidR="004552A2" w:rsidRPr="009C325F" w:rsidRDefault="004552A2" w:rsidP="004552A2">
      <w:pPr>
        <w:pStyle w:val="Caption"/>
        <w:jc w:val="center"/>
        <w:rPr>
          <w:rFonts w:ascii="Arial" w:hAnsi="Arial" w:cs="Arial"/>
          <w:color w:val="000000" w:themeColor="text1"/>
        </w:rPr>
      </w:pPr>
      <w:bookmarkStart w:id="23" w:name="_Toc209387805"/>
      <w:r w:rsidRPr="009C325F">
        <w:rPr>
          <w:rFonts w:ascii="Arial" w:hAnsi="Arial" w:cs="Arial"/>
          <w:color w:val="000000" w:themeColor="text1"/>
        </w:rPr>
        <w:t xml:space="preserve">Figure </w:t>
      </w:r>
      <w:r w:rsidRPr="009C325F">
        <w:rPr>
          <w:rFonts w:ascii="Arial" w:hAnsi="Arial" w:cs="Arial"/>
          <w:color w:val="000000" w:themeColor="text1"/>
        </w:rPr>
        <w:fldChar w:fldCharType="begin"/>
      </w:r>
      <w:r w:rsidRPr="009C325F">
        <w:rPr>
          <w:rFonts w:ascii="Arial" w:hAnsi="Arial" w:cs="Arial"/>
          <w:color w:val="000000" w:themeColor="text1"/>
        </w:rPr>
        <w:instrText xml:space="preserve"> SEQ Figure \* ARABIC </w:instrText>
      </w:r>
      <w:r w:rsidRPr="009C325F">
        <w:rPr>
          <w:rFonts w:ascii="Arial" w:hAnsi="Arial" w:cs="Arial"/>
          <w:color w:val="000000" w:themeColor="text1"/>
        </w:rPr>
        <w:fldChar w:fldCharType="separate"/>
      </w:r>
      <w:r w:rsidR="00F85BE5" w:rsidRPr="009C325F">
        <w:rPr>
          <w:rFonts w:ascii="Arial" w:hAnsi="Arial" w:cs="Arial"/>
          <w:noProof/>
          <w:color w:val="000000" w:themeColor="text1"/>
        </w:rPr>
        <w:t>1</w:t>
      </w:r>
      <w:r w:rsidRPr="009C325F">
        <w:rPr>
          <w:rFonts w:ascii="Arial" w:hAnsi="Arial" w:cs="Arial"/>
          <w:color w:val="000000" w:themeColor="text1"/>
        </w:rPr>
        <w:fldChar w:fldCharType="end"/>
      </w:r>
      <w:r w:rsidRPr="009C325F">
        <w:rPr>
          <w:rFonts w:ascii="Arial" w:hAnsi="Arial" w:cs="Arial"/>
          <w:color w:val="000000" w:themeColor="text1"/>
        </w:rPr>
        <w:t>: Search Strategy</w:t>
      </w:r>
      <w:r w:rsidR="004B5ED3" w:rsidRPr="009C325F">
        <w:rPr>
          <w:rFonts w:ascii="Arial" w:hAnsi="Arial" w:cs="Arial"/>
          <w:color w:val="000000" w:themeColor="text1"/>
        </w:rPr>
        <w:t xml:space="preserve"> (Made by using Word Tool)</w:t>
      </w:r>
      <w:bookmarkEnd w:id="23"/>
    </w:p>
    <w:p w14:paraId="781E9846" w14:textId="77777777" w:rsidR="00527F8F" w:rsidRPr="009C325F" w:rsidRDefault="00527F8F" w:rsidP="009F30F7">
      <w:pPr>
        <w:pStyle w:val="Heading2"/>
        <w:spacing w:line="360" w:lineRule="auto"/>
        <w:jc w:val="both"/>
        <w:rPr>
          <w:rFonts w:ascii="Arial" w:hAnsi="Arial" w:cs="Arial"/>
          <w:b/>
          <w:color w:val="000000" w:themeColor="text1"/>
        </w:rPr>
      </w:pPr>
      <w:bookmarkStart w:id="24" w:name="_Toc209387751"/>
      <w:r w:rsidRPr="009C325F">
        <w:rPr>
          <w:rFonts w:ascii="Arial" w:hAnsi="Arial" w:cs="Arial"/>
          <w:b/>
          <w:color w:val="000000" w:themeColor="text1"/>
        </w:rPr>
        <w:t>3.3 S</w:t>
      </w:r>
      <w:r w:rsidR="00B511CF" w:rsidRPr="009C325F">
        <w:rPr>
          <w:rFonts w:ascii="Arial" w:hAnsi="Arial" w:cs="Arial"/>
          <w:b/>
          <w:color w:val="000000" w:themeColor="text1"/>
        </w:rPr>
        <w:t>earching for Information</w:t>
      </w:r>
      <w:bookmarkEnd w:id="24"/>
      <w:r w:rsidR="00B511CF" w:rsidRPr="009C325F">
        <w:rPr>
          <w:rFonts w:ascii="Arial" w:hAnsi="Arial" w:cs="Arial"/>
          <w:b/>
          <w:color w:val="000000" w:themeColor="text1"/>
        </w:rPr>
        <w:t xml:space="preserve"> </w:t>
      </w:r>
    </w:p>
    <w:p w14:paraId="48C4B09D" w14:textId="77777777" w:rsidR="00527F8F" w:rsidRPr="009C325F" w:rsidRDefault="00B511CF"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Databases and platforms:</w:t>
      </w:r>
      <w:r w:rsidRPr="009C325F">
        <w:rPr>
          <w:rFonts w:ascii="Arial" w:hAnsi="Arial" w:cs="Arial"/>
          <w:color w:val="000000" w:themeColor="text1"/>
          <w:sz w:val="22"/>
        </w:rPr>
        <w:t xml:space="preserve"> </w:t>
      </w:r>
      <w:r w:rsidR="00527F8F" w:rsidRPr="009C325F">
        <w:rPr>
          <w:rFonts w:ascii="Arial" w:hAnsi="Arial" w:cs="Arial"/>
          <w:color w:val="000000" w:themeColor="text1"/>
          <w:sz w:val="22"/>
        </w:rPr>
        <w:t>Searches targeted multidisciplinary and health databases with strong coverage and indexing: MEDLINE/PubMed, CINAHL, PsycINFO, Scopus, Web of Science, and Google Scholar for grey discovery and citation tracking. These were chosen to capture clinical, psychological, and organisational literatures relevant to HCWs’ experiences</w:t>
      </w:r>
      <w:r w:rsidR="00CF0308" w:rsidRPr="009C325F">
        <w:rPr>
          <w:rFonts w:ascii="Arial" w:hAnsi="Arial" w:cs="Arial"/>
          <w:color w:val="000000" w:themeColor="text1"/>
          <w:sz w:val="22"/>
        </w:rPr>
        <w:t xml:space="preserve"> (Greenhalgh, Th</w:t>
      </w:r>
      <w:r w:rsidR="00C91ED4" w:rsidRPr="009C325F">
        <w:rPr>
          <w:rFonts w:ascii="Arial" w:hAnsi="Arial" w:cs="Arial"/>
          <w:color w:val="000000" w:themeColor="text1"/>
          <w:sz w:val="22"/>
        </w:rPr>
        <w:t>orne &amp; Malterud, 2018</w:t>
      </w:r>
      <w:r w:rsidR="00CF0308" w:rsidRPr="009C325F">
        <w:rPr>
          <w:rFonts w:ascii="Arial" w:hAnsi="Arial" w:cs="Arial"/>
          <w:color w:val="000000" w:themeColor="text1"/>
          <w:sz w:val="22"/>
        </w:rPr>
        <w:t>)</w:t>
      </w:r>
      <w:r w:rsidR="00527F8F" w:rsidRPr="009C325F">
        <w:rPr>
          <w:rFonts w:ascii="Arial" w:hAnsi="Arial" w:cs="Arial"/>
          <w:color w:val="000000" w:themeColor="text1"/>
          <w:sz w:val="22"/>
        </w:rPr>
        <w:t>. UK policy/guidance relevant to context mapping (e.g., NICE, NHS England) was catalogued but not treated as primary data for qualitative synthesis (Petticrew &amp; Roberts, 2006).</w:t>
      </w:r>
    </w:p>
    <w:p w14:paraId="3CB84230" w14:textId="77777777" w:rsidR="00527F8F" w:rsidRPr="009C325F" w:rsidRDefault="00C91ED4"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Filters:</w:t>
      </w:r>
      <w:r w:rsidR="00527F8F" w:rsidRPr="009C325F">
        <w:rPr>
          <w:rFonts w:ascii="Arial" w:hAnsi="Arial" w:cs="Arial"/>
          <w:color w:val="000000" w:themeColor="text1"/>
          <w:sz w:val="22"/>
        </w:rPr>
        <w:t xml:space="preserve"> Date limits reflected the pandemic window and immediate aftermath (Jan 2020–Dec 2024), language was restricted to English, and study-type filters prioritised qualitative designs (interviews, focus groups, open-ended surveys) and UK-relevant evidence (Thomas &amp; Harden, 2008; Page et al., 2021).</w:t>
      </w:r>
    </w:p>
    <w:p w14:paraId="03D00C66" w14:textId="77777777" w:rsidR="00527F8F" w:rsidRPr="009C325F" w:rsidRDefault="00594496" w:rsidP="009F30F7">
      <w:pPr>
        <w:pStyle w:val="NormalWeb"/>
        <w:spacing w:line="360" w:lineRule="auto"/>
        <w:jc w:val="both"/>
        <w:rPr>
          <w:rFonts w:ascii="Arial" w:hAnsi="Arial" w:cs="Arial"/>
          <w:color w:val="000000" w:themeColor="text1"/>
          <w:sz w:val="22"/>
        </w:rPr>
      </w:pPr>
      <w:r w:rsidRPr="009C325F">
        <w:rPr>
          <w:rFonts w:ascii="Arial" w:hAnsi="Arial" w:cs="Arial"/>
          <w:b/>
          <w:color w:val="000000" w:themeColor="text1"/>
          <w:sz w:val="22"/>
        </w:rPr>
        <w:t>Process and Adjustments:</w:t>
      </w:r>
      <w:r w:rsidRPr="009C325F">
        <w:rPr>
          <w:rFonts w:ascii="Arial" w:hAnsi="Arial" w:cs="Arial"/>
          <w:color w:val="000000" w:themeColor="text1"/>
          <w:sz w:val="22"/>
        </w:rPr>
        <w:t xml:space="preserve"> </w:t>
      </w:r>
      <w:r w:rsidR="00527F8F" w:rsidRPr="009C325F">
        <w:rPr>
          <w:rFonts w:ascii="Arial" w:hAnsi="Arial" w:cs="Arial"/>
          <w:color w:val="000000" w:themeColor="text1"/>
          <w:sz w:val="22"/>
        </w:rPr>
        <w:t>The s</w:t>
      </w:r>
      <w:r w:rsidR="005271F9" w:rsidRPr="009C325F">
        <w:rPr>
          <w:rFonts w:ascii="Arial" w:hAnsi="Arial" w:cs="Arial"/>
          <w:color w:val="000000" w:themeColor="text1"/>
          <w:sz w:val="22"/>
        </w:rPr>
        <w:t>trategy was iteratively refined,</w:t>
      </w:r>
      <w:r w:rsidR="00527F8F" w:rsidRPr="009C325F">
        <w:rPr>
          <w:rFonts w:ascii="Arial" w:hAnsi="Arial" w:cs="Arial"/>
          <w:color w:val="000000" w:themeColor="text1"/>
          <w:sz w:val="22"/>
        </w:rPr>
        <w:t xml:space="preserve"> exploding subject headings (e.g., Health Personnel/, Burnout, Professional/), testing proximity (e.g., burn* NEAR/3 (clinician* OR nurse*)), and adding setting terms (e.g., acute, primary care, care homes) when noise was high. Backward reference checking of seminal reviews and forward citation tracking in Scopus/Web of Science ensured coverage (Bates, 1989; Snyder, 2019). A source-tracking spreadsheet recorded bibliographic data, methods, population, setting, and relevance judgments to aid screening and transparency (Gough et al., 2012).</w:t>
      </w:r>
    </w:p>
    <w:p w14:paraId="5F785A2D" w14:textId="77777777" w:rsidR="00D401C9" w:rsidRPr="009C325F" w:rsidRDefault="00D401C9" w:rsidP="00D401C9">
      <w:pPr>
        <w:pStyle w:val="NormalWeb"/>
        <w:keepNext/>
        <w:spacing w:line="360" w:lineRule="auto"/>
        <w:jc w:val="center"/>
        <w:rPr>
          <w:rFonts w:ascii="Arial" w:hAnsi="Arial" w:cs="Arial"/>
          <w:color w:val="000000" w:themeColor="text1"/>
        </w:rPr>
      </w:pPr>
      <w:r w:rsidRPr="009C325F">
        <w:rPr>
          <w:rFonts w:ascii="Arial" w:hAnsi="Arial" w:cs="Arial"/>
          <w:noProof/>
          <w:color w:val="000000" w:themeColor="text1"/>
        </w:rPr>
        <w:drawing>
          <wp:inline distT="0" distB="0" distL="0" distR="0" wp14:anchorId="7DE3ACE5" wp14:editId="226CD4AA">
            <wp:extent cx="4181295" cy="4920343"/>
            <wp:effectExtent l="76200" t="76200" r="124460" b="128270"/>
            <wp:docPr id="4" name="Picture 4" descr="C:\Users\fame\Downloads\ChatGPT Image Sep 21, 2025, 10_29_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me\Downloads\ChatGPT Image Sep 21, 2025, 10_29_09 PM.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408" b="12142"/>
                    <a:stretch/>
                  </pic:blipFill>
                  <pic:spPr bwMode="auto">
                    <a:xfrm>
                      <a:off x="0" y="0"/>
                      <a:ext cx="4213993" cy="4958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728683C" w14:textId="77777777" w:rsidR="00D401C9" w:rsidRPr="009C325F" w:rsidRDefault="00D401C9" w:rsidP="00D401C9">
      <w:pPr>
        <w:pStyle w:val="Caption"/>
        <w:jc w:val="center"/>
        <w:rPr>
          <w:rFonts w:ascii="Arial" w:hAnsi="Arial" w:cs="Arial"/>
          <w:color w:val="000000" w:themeColor="text1"/>
        </w:rPr>
      </w:pPr>
      <w:bookmarkStart w:id="25" w:name="_Toc209387806"/>
      <w:r w:rsidRPr="009C325F">
        <w:rPr>
          <w:rFonts w:ascii="Arial" w:hAnsi="Arial" w:cs="Arial"/>
          <w:color w:val="000000" w:themeColor="text1"/>
        </w:rPr>
        <w:t xml:space="preserve">Figure </w:t>
      </w:r>
      <w:r w:rsidRPr="009C325F">
        <w:rPr>
          <w:rFonts w:ascii="Arial" w:hAnsi="Arial" w:cs="Arial"/>
          <w:color w:val="000000" w:themeColor="text1"/>
        </w:rPr>
        <w:fldChar w:fldCharType="begin"/>
      </w:r>
      <w:r w:rsidRPr="009C325F">
        <w:rPr>
          <w:rFonts w:ascii="Arial" w:hAnsi="Arial" w:cs="Arial"/>
          <w:color w:val="000000" w:themeColor="text1"/>
        </w:rPr>
        <w:instrText xml:space="preserve"> SEQ Figure \* ARABIC </w:instrText>
      </w:r>
      <w:r w:rsidRPr="009C325F">
        <w:rPr>
          <w:rFonts w:ascii="Arial" w:hAnsi="Arial" w:cs="Arial"/>
          <w:color w:val="000000" w:themeColor="text1"/>
        </w:rPr>
        <w:fldChar w:fldCharType="separate"/>
      </w:r>
      <w:r w:rsidR="00F85BE5" w:rsidRPr="009C325F">
        <w:rPr>
          <w:rFonts w:ascii="Arial" w:hAnsi="Arial" w:cs="Arial"/>
          <w:noProof/>
          <w:color w:val="000000" w:themeColor="text1"/>
        </w:rPr>
        <w:t>2</w:t>
      </w:r>
      <w:r w:rsidRPr="009C325F">
        <w:rPr>
          <w:rFonts w:ascii="Arial" w:hAnsi="Arial" w:cs="Arial"/>
          <w:color w:val="000000" w:themeColor="text1"/>
        </w:rPr>
        <w:fldChar w:fldCharType="end"/>
      </w:r>
      <w:r w:rsidRPr="009C325F">
        <w:rPr>
          <w:rFonts w:ascii="Arial" w:hAnsi="Arial" w:cs="Arial"/>
          <w:color w:val="000000" w:themeColor="text1"/>
        </w:rPr>
        <w:t>: Search Strategy Map</w:t>
      </w:r>
      <w:r w:rsidR="004B5ED3" w:rsidRPr="009C325F">
        <w:rPr>
          <w:rFonts w:ascii="Arial" w:hAnsi="Arial" w:cs="Arial"/>
          <w:color w:val="000000" w:themeColor="text1"/>
        </w:rPr>
        <w:t xml:space="preserve"> (Made by using Visual Paradigm Tool)</w:t>
      </w:r>
      <w:bookmarkEnd w:id="25"/>
    </w:p>
    <w:p w14:paraId="54339140" w14:textId="77777777" w:rsidR="00D02873" w:rsidRPr="00453378" w:rsidRDefault="00DE4317"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b/>
          <w:color w:val="000000" w:themeColor="text1"/>
          <w:szCs w:val="24"/>
        </w:rPr>
        <w:t>Final Records:</w:t>
      </w:r>
      <w:r w:rsidRPr="00453378">
        <w:rPr>
          <w:rFonts w:ascii="Arial" w:eastAsia="Times New Roman" w:hAnsi="Arial" w:cs="Arial"/>
          <w:color w:val="000000" w:themeColor="text1"/>
          <w:szCs w:val="24"/>
        </w:rPr>
        <w:t xml:space="preserve"> In total, 1,248 records were identified (database searches n = 1,112; organisational/grey literature n = 136). </w:t>
      </w:r>
    </w:p>
    <w:p w14:paraId="59581AB7" w14:textId="77777777" w:rsidR="004552A2" w:rsidRPr="009C325F" w:rsidRDefault="004552A2" w:rsidP="004552A2">
      <w:pPr>
        <w:keepNext/>
        <w:spacing w:before="100" w:beforeAutospacing="1" w:after="100" w:afterAutospacing="1" w:line="360" w:lineRule="auto"/>
        <w:jc w:val="center"/>
        <w:rPr>
          <w:rFonts w:ascii="Arial" w:hAnsi="Arial" w:cs="Arial"/>
          <w:color w:val="000000" w:themeColor="text1"/>
        </w:rPr>
      </w:pPr>
      <w:r w:rsidRPr="009C325F">
        <w:rPr>
          <w:rFonts w:ascii="Arial" w:hAnsi="Arial" w:cs="Arial"/>
          <w:noProof/>
          <w:color w:val="000000" w:themeColor="text1"/>
        </w:rPr>
        <w:drawing>
          <wp:inline distT="0" distB="0" distL="0" distR="0" wp14:anchorId="442740D2" wp14:editId="30EE8192">
            <wp:extent cx="4114800" cy="4064000"/>
            <wp:effectExtent l="19050" t="57150" r="1905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405CFD9" w14:textId="77777777" w:rsidR="004552A2" w:rsidRPr="009C325F" w:rsidRDefault="004552A2" w:rsidP="004552A2">
      <w:pPr>
        <w:pStyle w:val="Caption"/>
        <w:jc w:val="center"/>
        <w:rPr>
          <w:rFonts w:ascii="Arial" w:eastAsia="Times New Roman" w:hAnsi="Arial" w:cs="Arial"/>
          <w:color w:val="000000" w:themeColor="text1"/>
          <w:sz w:val="24"/>
          <w:szCs w:val="24"/>
        </w:rPr>
      </w:pPr>
      <w:bookmarkStart w:id="26" w:name="_Toc209387807"/>
      <w:r w:rsidRPr="009C325F">
        <w:rPr>
          <w:rFonts w:ascii="Arial" w:hAnsi="Arial" w:cs="Arial"/>
          <w:color w:val="000000" w:themeColor="text1"/>
        </w:rPr>
        <w:t xml:space="preserve">Figure </w:t>
      </w:r>
      <w:r w:rsidRPr="009C325F">
        <w:rPr>
          <w:rFonts w:ascii="Arial" w:hAnsi="Arial" w:cs="Arial"/>
          <w:color w:val="000000" w:themeColor="text1"/>
        </w:rPr>
        <w:fldChar w:fldCharType="begin"/>
      </w:r>
      <w:r w:rsidRPr="009C325F">
        <w:rPr>
          <w:rFonts w:ascii="Arial" w:hAnsi="Arial" w:cs="Arial"/>
          <w:color w:val="000000" w:themeColor="text1"/>
        </w:rPr>
        <w:instrText xml:space="preserve"> SEQ Figure \* ARABIC </w:instrText>
      </w:r>
      <w:r w:rsidRPr="009C325F">
        <w:rPr>
          <w:rFonts w:ascii="Arial" w:hAnsi="Arial" w:cs="Arial"/>
          <w:color w:val="000000" w:themeColor="text1"/>
        </w:rPr>
        <w:fldChar w:fldCharType="separate"/>
      </w:r>
      <w:r w:rsidR="00F85BE5" w:rsidRPr="009C325F">
        <w:rPr>
          <w:rFonts w:ascii="Arial" w:hAnsi="Arial" w:cs="Arial"/>
          <w:noProof/>
          <w:color w:val="000000" w:themeColor="text1"/>
        </w:rPr>
        <w:t>3</w:t>
      </w:r>
      <w:r w:rsidRPr="009C325F">
        <w:rPr>
          <w:rFonts w:ascii="Arial" w:hAnsi="Arial" w:cs="Arial"/>
          <w:color w:val="000000" w:themeColor="text1"/>
        </w:rPr>
        <w:fldChar w:fldCharType="end"/>
      </w:r>
      <w:r w:rsidRPr="009C325F">
        <w:rPr>
          <w:rFonts w:ascii="Arial" w:hAnsi="Arial" w:cs="Arial"/>
          <w:color w:val="000000" w:themeColor="text1"/>
        </w:rPr>
        <w:t>: PRISMA Diagram</w:t>
      </w:r>
      <w:r w:rsidR="004B5ED3" w:rsidRPr="009C325F">
        <w:rPr>
          <w:rFonts w:ascii="Arial" w:hAnsi="Arial" w:cs="Arial"/>
          <w:color w:val="000000" w:themeColor="text1"/>
        </w:rPr>
        <w:t xml:space="preserve"> (Made by using WordTool)</w:t>
      </w:r>
      <w:bookmarkEnd w:id="26"/>
    </w:p>
    <w:p w14:paraId="0E038ADB" w14:textId="77777777" w:rsidR="004552A2" w:rsidRPr="00453378" w:rsidRDefault="004552A2"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After removing 312 duplicates, 936 records remained for title/abstract screening; 742 were excluded as off-topic, non-scholarly, or clearly outside scope. 194 full texts were assessed for eligibility. Of these, 131 were excluded with reasons (non-UK focus n = 49; not qualitative/insufficient qualitative data n = 37; not about healthcare worker’s n = 29; inaccessible/insufficient methodological detail n = 16). The final synthesis included 63 sources, comprising peer-reviewed qualitative studies and syntheses, key policy/organisational reports (e.g., NHS/NICE/HSE/WHO), and relevant scholarly books that informed concepts and analysis.</w:t>
      </w:r>
    </w:p>
    <w:p w14:paraId="38F2B0ED" w14:textId="77777777" w:rsidR="00527F8F" w:rsidRPr="009C325F" w:rsidRDefault="00527F8F" w:rsidP="009F30F7">
      <w:pPr>
        <w:pStyle w:val="Heading2"/>
        <w:spacing w:line="360" w:lineRule="auto"/>
        <w:jc w:val="both"/>
        <w:rPr>
          <w:rFonts w:ascii="Arial" w:hAnsi="Arial" w:cs="Arial"/>
          <w:b/>
          <w:color w:val="000000" w:themeColor="text1"/>
        </w:rPr>
      </w:pPr>
      <w:bookmarkStart w:id="27" w:name="_Toc209387752"/>
      <w:r w:rsidRPr="009C325F">
        <w:rPr>
          <w:rFonts w:ascii="Arial" w:hAnsi="Arial" w:cs="Arial"/>
          <w:b/>
          <w:color w:val="000000" w:themeColor="text1"/>
        </w:rPr>
        <w:t>3.4 Research V</w:t>
      </w:r>
      <w:r w:rsidR="005271F9" w:rsidRPr="009C325F">
        <w:rPr>
          <w:rFonts w:ascii="Arial" w:hAnsi="Arial" w:cs="Arial"/>
          <w:b/>
          <w:color w:val="000000" w:themeColor="text1"/>
        </w:rPr>
        <w:t>alidation</w:t>
      </w:r>
      <w:bookmarkEnd w:id="27"/>
      <w:r w:rsidR="005271F9" w:rsidRPr="009C325F">
        <w:rPr>
          <w:rFonts w:ascii="Arial" w:hAnsi="Arial" w:cs="Arial"/>
          <w:b/>
          <w:color w:val="000000" w:themeColor="text1"/>
        </w:rPr>
        <w:t xml:space="preserve"> </w:t>
      </w:r>
    </w:p>
    <w:p w14:paraId="517A44DF" w14:textId="77777777" w:rsidR="00527F8F" w:rsidRPr="00453378" w:rsidRDefault="005271F9"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Skimming techniques:</w:t>
      </w:r>
      <w:r w:rsidR="00527F8F" w:rsidRPr="00453378">
        <w:rPr>
          <w:rFonts w:ascii="Arial" w:hAnsi="Arial" w:cs="Arial"/>
          <w:color w:val="000000" w:themeColor="text1"/>
          <w:sz w:val="22"/>
        </w:rPr>
        <w:t xml:space="preserve"> Titles/abstracts were screened first; potentially eligible records were skim-read in the introduction, methods, results, and conclusions to judge topical fit (population, phenomenon, context) before full-text appraisal (Snyder, 2019; Petticrew &amp; Roberts, 2006).</w:t>
      </w:r>
    </w:p>
    <w:p w14:paraId="5AB0F182" w14:textId="77777777" w:rsidR="00527F8F" w:rsidRPr="00453378" w:rsidRDefault="000729AD"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CRAAP test:</w:t>
      </w:r>
      <w:r w:rsidRPr="00453378">
        <w:rPr>
          <w:rFonts w:ascii="Arial" w:hAnsi="Arial" w:cs="Arial"/>
          <w:color w:val="000000" w:themeColor="text1"/>
          <w:sz w:val="22"/>
        </w:rPr>
        <w:t xml:space="preserve"> </w:t>
      </w:r>
      <w:r w:rsidR="00527F8F" w:rsidRPr="00453378">
        <w:rPr>
          <w:rFonts w:ascii="Arial" w:hAnsi="Arial" w:cs="Arial"/>
          <w:color w:val="000000" w:themeColor="text1"/>
          <w:sz w:val="22"/>
        </w:rPr>
        <w:t>Relevance and credibility were a</w:t>
      </w:r>
      <w:r w:rsidR="005271F9" w:rsidRPr="00453378">
        <w:rPr>
          <w:rFonts w:ascii="Arial" w:hAnsi="Arial" w:cs="Arial"/>
          <w:color w:val="000000" w:themeColor="text1"/>
          <w:sz w:val="22"/>
        </w:rPr>
        <w:t xml:space="preserve">ssessed with the CRAAP criteria, </w:t>
      </w:r>
      <w:r w:rsidR="00527F8F" w:rsidRPr="00453378">
        <w:rPr>
          <w:rFonts w:ascii="Arial" w:hAnsi="Arial" w:cs="Arial"/>
          <w:color w:val="000000" w:themeColor="text1"/>
          <w:sz w:val="22"/>
        </w:rPr>
        <w:t>Currency, Relevanc</w:t>
      </w:r>
      <w:r w:rsidR="005271F9" w:rsidRPr="00453378">
        <w:rPr>
          <w:rFonts w:ascii="Arial" w:hAnsi="Arial" w:cs="Arial"/>
          <w:color w:val="000000" w:themeColor="text1"/>
          <w:sz w:val="22"/>
        </w:rPr>
        <w:t xml:space="preserve">e, Authority, Accuracy, Purpose, </w:t>
      </w:r>
      <w:r w:rsidR="00527F8F" w:rsidRPr="00453378">
        <w:rPr>
          <w:rFonts w:ascii="Arial" w:hAnsi="Arial" w:cs="Arial"/>
          <w:color w:val="000000" w:themeColor="text1"/>
          <w:sz w:val="22"/>
        </w:rPr>
        <w:t>recognising that qualitative insights may appear in diverse journals; priority was given to current, UK-relevant, peer-reviewed work with transparent methods and ethical statements (Blakeslee, 2004; Greenhalgh et al., 2018).</w:t>
      </w:r>
    </w:p>
    <w:p w14:paraId="512DE18A" w14:textId="77777777" w:rsidR="00527F8F" w:rsidRPr="00453378" w:rsidRDefault="000729AD"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Decision-making:</w:t>
      </w:r>
      <w:r w:rsidR="00527F8F" w:rsidRPr="00453378">
        <w:rPr>
          <w:rFonts w:ascii="Arial" w:hAnsi="Arial" w:cs="Arial"/>
          <w:color w:val="000000" w:themeColor="text1"/>
          <w:sz w:val="22"/>
        </w:rPr>
        <w:t xml:space="preserve"> For example, a study offering rich first-person accounts from UK ICU nurses with clear sampling, data collection, and thematic analysis, and published in a reputable journal, was included despite a modest sample, because methodological clarity and thick description supported trustworthiness (Tong, Sainsbury &amp; Craig, 2007; Nowell, Norris, White &amp; Moules, 2017). Conversely, commentary pieces or anecdotal reports without methods were excluded (Petticrew &amp; Roberts, 2006).</w:t>
      </w:r>
    </w:p>
    <w:p w14:paraId="683258C0" w14:textId="77777777" w:rsidR="00527F8F" w:rsidRPr="009C325F" w:rsidRDefault="00527F8F" w:rsidP="009F30F7">
      <w:pPr>
        <w:pStyle w:val="Heading2"/>
        <w:spacing w:line="360" w:lineRule="auto"/>
        <w:jc w:val="both"/>
        <w:rPr>
          <w:rFonts w:ascii="Arial" w:hAnsi="Arial" w:cs="Arial"/>
          <w:b/>
          <w:color w:val="000000" w:themeColor="text1"/>
        </w:rPr>
      </w:pPr>
      <w:bookmarkStart w:id="28" w:name="_Toc209387753"/>
      <w:r w:rsidRPr="009C325F">
        <w:rPr>
          <w:rFonts w:ascii="Arial" w:hAnsi="Arial" w:cs="Arial"/>
          <w:b/>
          <w:color w:val="000000" w:themeColor="text1"/>
        </w:rPr>
        <w:t>3.5 Inclusion and</w:t>
      </w:r>
      <w:r w:rsidR="0029181C" w:rsidRPr="009C325F">
        <w:rPr>
          <w:rFonts w:ascii="Arial" w:hAnsi="Arial" w:cs="Arial"/>
          <w:b/>
          <w:color w:val="000000" w:themeColor="text1"/>
        </w:rPr>
        <w:t xml:space="preserve"> Exclusion Criteria</w:t>
      </w:r>
      <w:bookmarkEnd w:id="28"/>
      <w:r w:rsidR="0029181C" w:rsidRPr="009C325F">
        <w:rPr>
          <w:rFonts w:ascii="Arial" w:hAnsi="Arial" w:cs="Arial"/>
          <w:b/>
          <w:color w:val="000000" w:themeColor="text1"/>
        </w:rPr>
        <w:t xml:space="preserve"> </w:t>
      </w:r>
    </w:p>
    <w:p w14:paraId="6E83B3FC" w14:textId="77777777" w:rsidR="00527F8F" w:rsidRPr="00453378" w:rsidRDefault="0029181C"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 xml:space="preserve">Inclusion: </w:t>
      </w:r>
      <w:r w:rsidR="00527F8F" w:rsidRPr="00453378">
        <w:rPr>
          <w:rFonts w:ascii="Arial" w:hAnsi="Arial" w:cs="Arial"/>
          <w:color w:val="000000" w:themeColor="text1"/>
          <w:sz w:val="22"/>
        </w:rPr>
        <w:t>Peer-reviewed qualitative or mixed-methods studies with an extractable qualitative component; UK HCWs (clinical and non-clinical) in health/social care settings; outcomes on mental health/psychological wellbeing, burnout, moral distress/injury, coping/support; 2020–2024; English (Thomas &amp; Harden, 2008; Page et al., 2021).</w:t>
      </w:r>
    </w:p>
    <w:p w14:paraId="4D9CBC83"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Excl</w:t>
      </w:r>
      <w:r w:rsidR="0029181C" w:rsidRPr="00453378">
        <w:rPr>
          <w:rFonts w:ascii="Arial" w:hAnsi="Arial" w:cs="Arial"/>
          <w:b/>
          <w:color w:val="000000" w:themeColor="text1"/>
          <w:sz w:val="22"/>
        </w:rPr>
        <w:t>usion:</w:t>
      </w:r>
      <w:r w:rsidRPr="00453378">
        <w:rPr>
          <w:rFonts w:ascii="Arial" w:hAnsi="Arial" w:cs="Arial"/>
          <w:color w:val="000000" w:themeColor="text1"/>
          <w:sz w:val="22"/>
        </w:rPr>
        <w:t xml:space="preserve"> Opinion pieces, editorials, non-UK primary studies (unless providing essential methodological/theoretical context), purely quantitative prevalence studies without qualitative data, non-English, and pre-2010 work not directly informing pandemic context (Petticrew &amp; Roberts, 2006; Booth et al., 2016).</w:t>
      </w:r>
    </w:p>
    <w:p w14:paraId="10F8D212"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These criteria focus the synthesis o</w:t>
      </w:r>
      <w:r w:rsidR="0029181C" w:rsidRPr="00453378">
        <w:rPr>
          <w:rFonts w:ascii="Arial" w:hAnsi="Arial" w:cs="Arial"/>
          <w:color w:val="000000" w:themeColor="text1"/>
          <w:sz w:val="22"/>
        </w:rPr>
        <w:t>n lived experience and meaning, a</w:t>
      </w:r>
      <w:r w:rsidRPr="00453378">
        <w:rPr>
          <w:rFonts w:ascii="Arial" w:hAnsi="Arial" w:cs="Arial"/>
          <w:color w:val="000000" w:themeColor="text1"/>
          <w:sz w:val="22"/>
        </w:rPr>
        <w:t>ppr</w:t>
      </w:r>
      <w:r w:rsidR="0029181C" w:rsidRPr="00453378">
        <w:rPr>
          <w:rFonts w:ascii="Arial" w:hAnsi="Arial" w:cs="Arial"/>
          <w:color w:val="000000" w:themeColor="text1"/>
          <w:sz w:val="22"/>
        </w:rPr>
        <w:t xml:space="preserve">opriate for a thematic approach, </w:t>
      </w:r>
      <w:r w:rsidRPr="00453378">
        <w:rPr>
          <w:rFonts w:ascii="Arial" w:hAnsi="Arial" w:cs="Arial"/>
          <w:color w:val="000000" w:themeColor="text1"/>
          <w:sz w:val="22"/>
        </w:rPr>
        <w:t>while maintaining recency and relevance to the UK context (Thomas &amp; Harden, 2008; Gough et al., 2012).</w:t>
      </w:r>
    </w:p>
    <w:p w14:paraId="349FC645" w14:textId="77777777" w:rsidR="00F85BE5" w:rsidRPr="009C325F" w:rsidRDefault="00F85BE5" w:rsidP="00F85BE5">
      <w:pPr>
        <w:keepNext/>
        <w:spacing w:before="100" w:beforeAutospacing="1" w:after="100" w:afterAutospacing="1" w:line="240" w:lineRule="auto"/>
        <w:jc w:val="center"/>
        <w:rPr>
          <w:rFonts w:ascii="Arial" w:hAnsi="Arial" w:cs="Arial"/>
          <w:color w:val="000000" w:themeColor="text1"/>
        </w:rPr>
      </w:pPr>
      <w:r w:rsidRPr="009C325F">
        <w:rPr>
          <w:rFonts w:ascii="Arial" w:eastAsia="Times New Roman" w:hAnsi="Arial" w:cs="Arial"/>
          <w:noProof/>
          <w:color w:val="000000" w:themeColor="text1"/>
          <w:sz w:val="24"/>
          <w:szCs w:val="24"/>
        </w:rPr>
        <w:drawing>
          <wp:inline distT="0" distB="0" distL="0" distR="0" wp14:anchorId="48ED8A3E" wp14:editId="5BDD3BF2">
            <wp:extent cx="3430209" cy="5145314"/>
            <wp:effectExtent l="76200" t="76200" r="132715" b="132080"/>
            <wp:docPr id="2" name="Picture 2" descr="C:\Users\fame\Downloads\ChatGPT Image Sep 21, 2025, 10_31_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me\Downloads\ChatGPT Image Sep 21, 2025, 10_31_41 PM.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38499" cy="5157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8614B6" w14:textId="77777777" w:rsidR="00F85BE5" w:rsidRPr="009C325F" w:rsidRDefault="00F85BE5" w:rsidP="00F85BE5">
      <w:pPr>
        <w:pStyle w:val="Caption"/>
        <w:jc w:val="center"/>
        <w:rPr>
          <w:rFonts w:ascii="Arial" w:eastAsia="Times New Roman" w:hAnsi="Arial" w:cs="Arial"/>
          <w:color w:val="000000" w:themeColor="text1"/>
          <w:sz w:val="24"/>
          <w:szCs w:val="24"/>
        </w:rPr>
      </w:pPr>
      <w:bookmarkStart w:id="29" w:name="_Toc209387808"/>
      <w:r w:rsidRPr="009C325F">
        <w:rPr>
          <w:rFonts w:ascii="Arial" w:hAnsi="Arial" w:cs="Arial"/>
          <w:color w:val="000000" w:themeColor="text1"/>
        </w:rPr>
        <w:t xml:space="preserve">Figure </w:t>
      </w:r>
      <w:r w:rsidRPr="009C325F">
        <w:rPr>
          <w:rFonts w:ascii="Arial" w:hAnsi="Arial" w:cs="Arial"/>
          <w:color w:val="000000" w:themeColor="text1"/>
        </w:rPr>
        <w:fldChar w:fldCharType="begin"/>
      </w:r>
      <w:r w:rsidRPr="009C325F">
        <w:rPr>
          <w:rFonts w:ascii="Arial" w:hAnsi="Arial" w:cs="Arial"/>
          <w:color w:val="000000" w:themeColor="text1"/>
        </w:rPr>
        <w:instrText xml:space="preserve"> SEQ Figure \* ARABIC </w:instrText>
      </w:r>
      <w:r w:rsidRPr="009C325F">
        <w:rPr>
          <w:rFonts w:ascii="Arial" w:hAnsi="Arial" w:cs="Arial"/>
          <w:color w:val="000000" w:themeColor="text1"/>
        </w:rPr>
        <w:fldChar w:fldCharType="separate"/>
      </w:r>
      <w:r w:rsidRPr="009C325F">
        <w:rPr>
          <w:rFonts w:ascii="Arial" w:hAnsi="Arial" w:cs="Arial"/>
          <w:noProof/>
          <w:color w:val="000000" w:themeColor="text1"/>
        </w:rPr>
        <w:t>4</w:t>
      </w:r>
      <w:r w:rsidRPr="009C325F">
        <w:rPr>
          <w:rFonts w:ascii="Arial" w:hAnsi="Arial" w:cs="Arial"/>
          <w:color w:val="000000" w:themeColor="text1"/>
        </w:rPr>
        <w:fldChar w:fldCharType="end"/>
      </w:r>
      <w:r w:rsidRPr="009C325F">
        <w:rPr>
          <w:rFonts w:ascii="Arial" w:hAnsi="Arial" w:cs="Arial"/>
          <w:color w:val="000000" w:themeColor="text1"/>
        </w:rPr>
        <w:t>: Inclusion/exclusion Decision Tree</w:t>
      </w:r>
      <w:r w:rsidR="004B5ED3" w:rsidRPr="009C325F">
        <w:rPr>
          <w:rFonts w:ascii="Arial" w:hAnsi="Arial" w:cs="Arial"/>
          <w:color w:val="000000" w:themeColor="text1"/>
        </w:rPr>
        <w:t xml:space="preserve"> (Made by using Visual Paradigm Tool)</w:t>
      </w:r>
      <w:bookmarkEnd w:id="29"/>
    </w:p>
    <w:p w14:paraId="62D58D8A" w14:textId="77777777" w:rsidR="00527F8F" w:rsidRPr="009C325F" w:rsidRDefault="00527F8F" w:rsidP="009F30F7">
      <w:pPr>
        <w:pStyle w:val="Heading2"/>
        <w:spacing w:line="360" w:lineRule="auto"/>
        <w:jc w:val="both"/>
        <w:rPr>
          <w:rFonts w:ascii="Arial" w:hAnsi="Arial" w:cs="Arial"/>
          <w:b/>
          <w:color w:val="000000" w:themeColor="text1"/>
        </w:rPr>
      </w:pPr>
      <w:bookmarkStart w:id="30" w:name="_Toc209387754"/>
      <w:r w:rsidRPr="009C325F">
        <w:rPr>
          <w:rFonts w:ascii="Arial" w:hAnsi="Arial" w:cs="Arial"/>
          <w:b/>
          <w:color w:val="000000" w:themeColor="text1"/>
        </w:rPr>
        <w:t xml:space="preserve">3.6 </w:t>
      </w:r>
      <w:r w:rsidR="00977C3B" w:rsidRPr="009C325F">
        <w:rPr>
          <w:rFonts w:ascii="Arial" w:hAnsi="Arial" w:cs="Arial"/>
          <w:b/>
          <w:color w:val="000000" w:themeColor="text1"/>
        </w:rPr>
        <w:t>Analyzing</w:t>
      </w:r>
      <w:r w:rsidRPr="009C325F">
        <w:rPr>
          <w:rFonts w:ascii="Arial" w:hAnsi="Arial" w:cs="Arial"/>
          <w:b/>
          <w:color w:val="000000" w:themeColor="text1"/>
        </w:rPr>
        <w:t xml:space="preserve"> Research</w:t>
      </w:r>
      <w:bookmarkEnd w:id="30"/>
      <w:r w:rsidRPr="009C325F">
        <w:rPr>
          <w:rFonts w:ascii="Arial" w:hAnsi="Arial" w:cs="Arial"/>
          <w:b/>
          <w:color w:val="000000" w:themeColor="text1"/>
        </w:rPr>
        <w:t xml:space="preserve"> </w:t>
      </w:r>
    </w:p>
    <w:p w14:paraId="35A3D80D"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 three-stage thematic synthesis was used: (1) line-by-line coding of findings (participant quotes and authors’ interpretations), (2) grouping codes into descriptive categories, and (3) generating higher-order analytical themes that answer the review question (Thomas &amp; Harden, 2008).</w:t>
      </w:r>
    </w:p>
    <w:p w14:paraId="69A43A4B"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Coding began inductively, then was iteratively related to sensitising concepts from the theoretical background (e.g., burnout, Job Demands–Resources, moral injury) to integrate data-driven and theory-informed insight without forcing fit (Braun &amp; Clarke, 2006; Noblit &amp; Hare, 1988).</w:t>
      </w:r>
    </w:p>
    <w:p w14:paraId="5C5D4BB3"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 coding framework was maintained in a spreadsheet with colour-coding, memo fields, and an audit trail of code/theme revisions. Trustworthiness strategies included reflexive memoing, peer debrief on code/theme stability, and attention to disconfirming cases (Nowell et al., 2017; Sandelowski &amp; Barroso, 2007). These outputs feed directly into Chapter 4’s thematic structure.</w:t>
      </w:r>
    </w:p>
    <w:p w14:paraId="022E06EB" w14:textId="77777777" w:rsidR="00527F8F" w:rsidRPr="009C325F" w:rsidRDefault="00527F8F" w:rsidP="009F30F7">
      <w:pPr>
        <w:pStyle w:val="Heading2"/>
        <w:spacing w:line="360" w:lineRule="auto"/>
        <w:jc w:val="both"/>
        <w:rPr>
          <w:rFonts w:ascii="Arial" w:hAnsi="Arial" w:cs="Arial"/>
          <w:b/>
          <w:color w:val="000000" w:themeColor="text1"/>
        </w:rPr>
      </w:pPr>
      <w:bookmarkStart w:id="31" w:name="_Toc209387755"/>
      <w:r w:rsidRPr="009C325F">
        <w:rPr>
          <w:rFonts w:ascii="Arial" w:hAnsi="Arial" w:cs="Arial"/>
          <w:b/>
          <w:color w:val="000000" w:themeColor="text1"/>
        </w:rPr>
        <w:t>3.7 Ethical Considerations</w:t>
      </w:r>
      <w:bookmarkEnd w:id="31"/>
      <w:r w:rsidRPr="009C325F">
        <w:rPr>
          <w:rFonts w:ascii="Arial" w:hAnsi="Arial" w:cs="Arial"/>
          <w:b/>
          <w:color w:val="000000" w:themeColor="text1"/>
        </w:rPr>
        <w:t xml:space="preserve"> </w:t>
      </w:r>
    </w:p>
    <w:p w14:paraId="3ACC26A2"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desk-based review used publicly available literature; no new human data were collected. Ethical conduct focused on accurate representation of primary authors’ accounts, faithful quotation/paraphrase, and complete citation consistent with Harvard style. Quality appraisal was applied evenhandedly, avoiding selective inclusion that would bias conclusions (Petticrew &amp; Roberts, 2006). Reflexivity statements in memos noted the researcher’s assumptions (e.g., expectations about staffing or leadership effects) and</w:t>
      </w:r>
      <w:r w:rsidR="00FA0A82" w:rsidRPr="00453378">
        <w:rPr>
          <w:rFonts w:ascii="Arial" w:hAnsi="Arial" w:cs="Arial"/>
          <w:color w:val="000000" w:themeColor="text1"/>
          <w:sz w:val="22"/>
        </w:rPr>
        <w:t xml:space="preserve"> their management during </w:t>
      </w:r>
      <w:r w:rsidRPr="00453378">
        <w:rPr>
          <w:rFonts w:ascii="Arial" w:hAnsi="Arial" w:cs="Arial"/>
          <w:color w:val="000000" w:themeColor="text1"/>
          <w:sz w:val="22"/>
        </w:rPr>
        <w:t>interpretation (Nowell et al., 2017).</w:t>
      </w:r>
    </w:p>
    <w:p w14:paraId="44F2F6B6" w14:textId="77777777" w:rsidR="00527F8F" w:rsidRPr="009C325F" w:rsidRDefault="00527F8F" w:rsidP="009F30F7">
      <w:pPr>
        <w:pStyle w:val="Heading2"/>
        <w:spacing w:line="360" w:lineRule="auto"/>
        <w:jc w:val="both"/>
        <w:rPr>
          <w:rFonts w:ascii="Arial" w:hAnsi="Arial" w:cs="Arial"/>
          <w:b/>
          <w:color w:val="000000" w:themeColor="text1"/>
        </w:rPr>
      </w:pPr>
      <w:bookmarkStart w:id="32" w:name="_Toc209387756"/>
      <w:r w:rsidRPr="009C325F">
        <w:rPr>
          <w:rFonts w:ascii="Arial" w:hAnsi="Arial" w:cs="Arial"/>
          <w:b/>
          <w:color w:val="000000" w:themeColor="text1"/>
        </w:rPr>
        <w:t>3.8</w:t>
      </w:r>
      <w:r w:rsidR="00AF5388" w:rsidRPr="009C325F">
        <w:rPr>
          <w:rFonts w:ascii="Arial" w:hAnsi="Arial" w:cs="Arial"/>
          <w:b/>
          <w:color w:val="000000" w:themeColor="text1"/>
        </w:rPr>
        <w:t xml:space="preserve"> Chapter Conclusion</w:t>
      </w:r>
      <w:bookmarkEnd w:id="32"/>
      <w:r w:rsidR="00AF5388" w:rsidRPr="009C325F">
        <w:rPr>
          <w:rFonts w:ascii="Arial" w:hAnsi="Arial" w:cs="Arial"/>
          <w:b/>
          <w:color w:val="000000" w:themeColor="text1"/>
        </w:rPr>
        <w:t xml:space="preserve"> </w:t>
      </w:r>
    </w:p>
    <w:p w14:paraId="37EF7723" w14:textId="77777777" w:rsidR="00527F8F" w:rsidRPr="00453378" w:rsidRDefault="00527F8F"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In summary, a structured, transparent search was executed across major databases, refined with Boolean logic, proximity operators, and citation chasing. Studies were screened and validated via skimming and CRAAP-informed checks, then selected against explicit inclusion/exclusion criteria prioritising recent, UK-focused qualitative evidence</w:t>
      </w:r>
      <w:r w:rsidR="00627DA9" w:rsidRPr="00453378">
        <w:rPr>
          <w:rFonts w:ascii="Arial" w:hAnsi="Arial" w:cs="Arial"/>
          <w:color w:val="000000" w:themeColor="text1"/>
          <w:sz w:val="22"/>
        </w:rPr>
        <w:t xml:space="preserve">. A rigorous thematic synthesis, </w:t>
      </w:r>
      <w:r w:rsidRPr="00453378">
        <w:rPr>
          <w:rFonts w:ascii="Arial" w:hAnsi="Arial" w:cs="Arial"/>
          <w:color w:val="000000" w:themeColor="text1"/>
          <w:sz w:val="22"/>
        </w:rPr>
        <w:t>supported by a documented coding fra</w:t>
      </w:r>
      <w:r w:rsidR="00627DA9" w:rsidRPr="00453378">
        <w:rPr>
          <w:rFonts w:ascii="Arial" w:hAnsi="Arial" w:cs="Arial"/>
          <w:color w:val="000000" w:themeColor="text1"/>
          <w:sz w:val="22"/>
        </w:rPr>
        <w:t xml:space="preserve">mework, memos, and peer debrief, </w:t>
      </w:r>
      <w:r w:rsidRPr="00453378">
        <w:rPr>
          <w:rFonts w:ascii="Arial" w:hAnsi="Arial" w:cs="Arial"/>
          <w:color w:val="000000" w:themeColor="text1"/>
          <w:sz w:val="22"/>
        </w:rPr>
        <w:t>will underpin Chapter 4, where findings are presented as clear, practice-relevant themes linked to the dissertation’s aims and the theoreti</w:t>
      </w:r>
      <w:r w:rsidR="00627DA9" w:rsidRPr="00453378">
        <w:rPr>
          <w:rFonts w:ascii="Arial" w:hAnsi="Arial" w:cs="Arial"/>
          <w:color w:val="000000" w:themeColor="text1"/>
          <w:sz w:val="22"/>
        </w:rPr>
        <w:t>cal lenses outlined previously.</w:t>
      </w:r>
    </w:p>
    <w:p w14:paraId="78BA5D71" w14:textId="77777777" w:rsidR="007C7148" w:rsidRDefault="007C7148" w:rsidP="009F30F7">
      <w:pPr>
        <w:pStyle w:val="NormalWeb"/>
        <w:spacing w:line="360" w:lineRule="auto"/>
        <w:jc w:val="both"/>
        <w:rPr>
          <w:rFonts w:ascii="Arial" w:hAnsi="Arial" w:cs="Arial"/>
          <w:color w:val="000000" w:themeColor="text1"/>
        </w:rPr>
      </w:pPr>
    </w:p>
    <w:p w14:paraId="209FAF30" w14:textId="77777777" w:rsidR="00453378" w:rsidRDefault="00453378" w:rsidP="009F30F7">
      <w:pPr>
        <w:pStyle w:val="NormalWeb"/>
        <w:spacing w:line="360" w:lineRule="auto"/>
        <w:jc w:val="both"/>
        <w:rPr>
          <w:rFonts w:ascii="Arial" w:hAnsi="Arial" w:cs="Arial"/>
          <w:color w:val="000000" w:themeColor="text1"/>
        </w:rPr>
      </w:pPr>
    </w:p>
    <w:p w14:paraId="29109716" w14:textId="77777777" w:rsidR="00453378" w:rsidRDefault="00453378" w:rsidP="009F30F7">
      <w:pPr>
        <w:pStyle w:val="NormalWeb"/>
        <w:spacing w:line="360" w:lineRule="auto"/>
        <w:jc w:val="both"/>
        <w:rPr>
          <w:rFonts w:ascii="Arial" w:hAnsi="Arial" w:cs="Arial"/>
          <w:color w:val="000000" w:themeColor="text1"/>
        </w:rPr>
      </w:pPr>
    </w:p>
    <w:p w14:paraId="7C80E7E0" w14:textId="77777777" w:rsidR="00453378" w:rsidRPr="009C325F" w:rsidRDefault="00453378" w:rsidP="009F30F7">
      <w:pPr>
        <w:pStyle w:val="NormalWeb"/>
        <w:spacing w:line="360" w:lineRule="auto"/>
        <w:jc w:val="both"/>
        <w:rPr>
          <w:rFonts w:ascii="Arial" w:hAnsi="Arial" w:cs="Arial"/>
          <w:color w:val="000000" w:themeColor="text1"/>
        </w:rPr>
      </w:pPr>
    </w:p>
    <w:p w14:paraId="784C881D" w14:textId="77777777" w:rsidR="006511A1" w:rsidRPr="00C16BF8" w:rsidRDefault="006511A1" w:rsidP="0013498E">
      <w:pPr>
        <w:pStyle w:val="Heading1"/>
      </w:pPr>
      <w:bookmarkStart w:id="33" w:name="_Toc209387757"/>
      <w:r w:rsidRPr="00C16BF8">
        <w:t>CHAPTER 4 – Findings and Discussion</w:t>
      </w:r>
      <w:bookmarkEnd w:id="33"/>
    </w:p>
    <w:p w14:paraId="2B0EB799" w14:textId="77777777" w:rsidR="006511A1" w:rsidRPr="00C16BF8" w:rsidRDefault="006511A1" w:rsidP="009F30F7">
      <w:pPr>
        <w:pStyle w:val="Heading2"/>
        <w:spacing w:line="360" w:lineRule="auto"/>
        <w:jc w:val="both"/>
        <w:rPr>
          <w:rFonts w:ascii="Arial" w:hAnsi="Arial" w:cs="Arial"/>
          <w:b/>
          <w:color w:val="000000" w:themeColor="text1"/>
        </w:rPr>
      </w:pPr>
      <w:bookmarkStart w:id="34" w:name="_Toc209387758"/>
      <w:r w:rsidRPr="00C16BF8">
        <w:rPr>
          <w:rFonts w:ascii="Arial" w:hAnsi="Arial" w:cs="Arial"/>
          <w:b/>
          <w:color w:val="000000" w:themeColor="text1"/>
        </w:rPr>
        <w:t>4.1 Introduction</w:t>
      </w:r>
      <w:bookmarkEnd w:id="34"/>
      <w:r w:rsidRPr="00C16BF8">
        <w:rPr>
          <w:rFonts w:ascii="Arial" w:hAnsi="Arial" w:cs="Arial"/>
          <w:b/>
          <w:color w:val="000000" w:themeColor="text1"/>
        </w:rPr>
        <w:t xml:space="preserve"> </w:t>
      </w:r>
    </w:p>
    <w:p w14:paraId="6EA6342F"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chapter presents and discusses the findings from the thematic synthesis of qualitative literature on how the COVID-19 pandemic affected healthcare workers (HCWs) in the UK. After outlining the</w:t>
      </w:r>
      <w:r w:rsidR="00D36F76" w:rsidRPr="00453378">
        <w:rPr>
          <w:rFonts w:ascii="Arial" w:hAnsi="Arial" w:cs="Arial"/>
          <w:color w:val="000000" w:themeColor="text1"/>
          <w:sz w:val="22"/>
        </w:rPr>
        <w:t xml:space="preserve"> analytic approach, four themes, </w:t>
      </w:r>
      <w:r w:rsidRPr="00453378">
        <w:rPr>
          <w:rFonts w:ascii="Arial" w:hAnsi="Arial" w:cs="Arial"/>
          <w:color w:val="000000" w:themeColor="text1"/>
          <w:sz w:val="22"/>
        </w:rPr>
        <w:t>mapped to the study objecti</w:t>
      </w:r>
      <w:r w:rsidR="005F36DB" w:rsidRPr="00453378">
        <w:rPr>
          <w:rFonts w:ascii="Arial" w:hAnsi="Arial" w:cs="Arial"/>
          <w:color w:val="000000" w:themeColor="text1"/>
          <w:sz w:val="22"/>
        </w:rPr>
        <w:t xml:space="preserve">ves, </w:t>
      </w:r>
      <w:r w:rsidRPr="00453378">
        <w:rPr>
          <w:rFonts w:ascii="Arial" w:hAnsi="Arial" w:cs="Arial"/>
          <w:color w:val="000000" w:themeColor="text1"/>
          <w:sz w:val="22"/>
        </w:rPr>
        <w:t>are examined: (1) psychological burden (stress, anxiety, depression, sleep disturbance, PTSD-type symptoms, burnout, moral distress), (2) lived experience across UK settings, (3) coping strategies and their perceived strengths/limitations, and (4) implications for policy, services and future crisis planning. Each theme integrates evidence across studies, relates observations to theory (e.g., JD-R, COR, ERI, moral injury), and considers convergences/divergences, before drawing practice-relevant implications.</w:t>
      </w:r>
    </w:p>
    <w:p w14:paraId="792CD37A" w14:textId="77777777" w:rsidR="006511A1" w:rsidRPr="00C16BF8" w:rsidRDefault="006511A1" w:rsidP="009F30F7">
      <w:pPr>
        <w:pStyle w:val="Heading2"/>
        <w:spacing w:line="360" w:lineRule="auto"/>
        <w:jc w:val="both"/>
        <w:rPr>
          <w:rFonts w:ascii="Arial" w:hAnsi="Arial" w:cs="Arial"/>
          <w:b/>
          <w:color w:val="000000" w:themeColor="text1"/>
        </w:rPr>
      </w:pPr>
      <w:bookmarkStart w:id="35" w:name="_Toc209387759"/>
      <w:r w:rsidRPr="00C16BF8">
        <w:rPr>
          <w:rFonts w:ascii="Arial" w:hAnsi="Arial" w:cs="Arial"/>
          <w:b/>
          <w:color w:val="000000" w:themeColor="text1"/>
        </w:rPr>
        <w:t>4.2 Thematic Analysis</w:t>
      </w:r>
      <w:bookmarkEnd w:id="35"/>
      <w:r w:rsidRPr="00C16BF8">
        <w:rPr>
          <w:rFonts w:ascii="Arial" w:hAnsi="Arial" w:cs="Arial"/>
          <w:b/>
          <w:color w:val="000000" w:themeColor="text1"/>
        </w:rPr>
        <w:t xml:space="preserve"> </w:t>
      </w:r>
    </w:p>
    <w:p w14:paraId="47B9D872" w14:textId="77777777" w:rsidR="00413E22" w:rsidRDefault="006511A1" w:rsidP="00413E22">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synthesis followed a thematic analysis approach suited to secondary evidence: inductive line-by-line coding of the “findings” sections of included qualitative studies (participant quotations and authors’ interpretations), grouping codes into descriptive categories, and developing higher-order analytic themes that answer the review question (Thomas and Harden, 2008; Braun and Clarke, 2006). Trustworthiness was supported through an audit trail, reflexive memos, attention to disconfirming cases, and peer debrief on code/theme stability (Nowell et al., 2017).</w:t>
      </w:r>
    </w:p>
    <w:p w14:paraId="3FB16142" w14:textId="77777777" w:rsidR="00413E22" w:rsidRPr="00F2093C" w:rsidRDefault="00413E22" w:rsidP="00413E22">
      <w:pPr>
        <w:pStyle w:val="NormalWeb"/>
        <w:spacing w:line="360" w:lineRule="auto"/>
        <w:jc w:val="both"/>
        <w:rPr>
          <w:rFonts w:ascii="Arial" w:hAnsi="Arial" w:cs="Arial"/>
          <w:color w:val="000000" w:themeColor="text1"/>
          <w:sz w:val="20"/>
        </w:rPr>
      </w:pPr>
      <w:r w:rsidRPr="00413E22">
        <w:rPr>
          <w:rFonts w:ascii="Arial" w:hAnsi="Arial" w:cs="Arial"/>
          <w:sz w:val="22"/>
        </w:rPr>
        <w:t>These themes were developed directly from the coded data recorded in the Results Summary Table (Appendix B), which documents how individual codes were grouped into descriptive categories and higher-order analytical themes.</w:t>
      </w:r>
    </w:p>
    <w:p w14:paraId="12ED04A2"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Following the search and screening process described in Chapter 3, included UK-relevant qualitative studies were imported into a coding spreadsheet. Initial codes (e.g., “fear of infecting family”, “moral conflict at end-of-life”, “redeployment strain”, “peer solidarity”, “time barrier to support”, “rest space helps”, “rota instability”) were iteratively clustered. The resulting analytic structure comprised four themes aligned with the dissertation objectives:</w:t>
      </w:r>
    </w:p>
    <w:p w14:paraId="29D784A8" w14:textId="77777777" w:rsidR="006511A1" w:rsidRPr="00453378" w:rsidRDefault="006511A1" w:rsidP="009F30F7">
      <w:pPr>
        <w:pStyle w:val="NormalWeb"/>
        <w:numPr>
          <w:ilvl w:val="0"/>
          <w:numId w:val="3"/>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1: Psychological burden during COVID-19 (stress, anxiety, depression, sleep disturbance, PTSD-type symptoms, burnout, moral distress/moral injury).</w:t>
      </w:r>
    </w:p>
    <w:p w14:paraId="4C08F7A6" w14:textId="77777777" w:rsidR="006511A1" w:rsidRPr="00453378" w:rsidRDefault="006511A1" w:rsidP="009F30F7">
      <w:pPr>
        <w:pStyle w:val="NormalWeb"/>
        <w:numPr>
          <w:ilvl w:val="0"/>
          <w:numId w:val="3"/>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2: Lived experience across UK settings (acute, critical care, emergency/ambulance, primary/community care, care homes).</w:t>
      </w:r>
    </w:p>
    <w:p w14:paraId="0F11743F" w14:textId="77777777" w:rsidR="006511A1" w:rsidRPr="00453378" w:rsidRDefault="001D5338" w:rsidP="009F30F7">
      <w:pPr>
        <w:pStyle w:val="NormalWeb"/>
        <w:numPr>
          <w:ilvl w:val="0"/>
          <w:numId w:val="3"/>
        </w:numPr>
        <w:spacing w:line="360" w:lineRule="auto"/>
        <w:jc w:val="both"/>
        <w:rPr>
          <w:rFonts w:ascii="Arial" w:hAnsi="Arial" w:cs="Arial"/>
          <w:color w:val="000000" w:themeColor="text1"/>
          <w:sz w:val="22"/>
        </w:rPr>
      </w:pPr>
      <w:r w:rsidRPr="00453378">
        <w:rPr>
          <w:rFonts w:ascii="Arial" w:hAnsi="Arial" w:cs="Arial"/>
          <w:color w:val="000000" w:themeColor="text1"/>
          <w:sz w:val="22"/>
        </w:rPr>
        <w:t xml:space="preserve">Theme 3: Coping strategies, </w:t>
      </w:r>
      <w:r w:rsidR="006511A1" w:rsidRPr="00453378">
        <w:rPr>
          <w:rFonts w:ascii="Arial" w:hAnsi="Arial" w:cs="Arial"/>
          <w:color w:val="000000" w:themeColor="text1"/>
          <w:sz w:val="22"/>
        </w:rPr>
        <w:t>strengths and limitations (individual, social, organisational).</w:t>
      </w:r>
    </w:p>
    <w:p w14:paraId="2BA55FAB" w14:textId="77777777" w:rsidR="006511A1" w:rsidRPr="00453378" w:rsidRDefault="006511A1" w:rsidP="009F30F7">
      <w:pPr>
        <w:pStyle w:val="NormalWeb"/>
        <w:numPr>
          <w:ilvl w:val="0"/>
          <w:numId w:val="3"/>
        </w:numPr>
        <w:spacing w:line="360" w:lineRule="auto"/>
        <w:jc w:val="both"/>
        <w:rPr>
          <w:rFonts w:ascii="Arial" w:hAnsi="Arial" w:cs="Arial"/>
          <w:color w:val="000000" w:themeColor="text1"/>
          <w:sz w:val="22"/>
        </w:rPr>
      </w:pPr>
      <w:r w:rsidRPr="00453378">
        <w:rPr>
          <w:rFonts w:ascii="Arial" w:hAnsi="Arial" w:cs="Arial"/>
          <w:color w:val="000000" w:themeColor="text1"/>
          <w:sz w:val="22"/>
        </w:rPr>
        <w:t>Theme 4: Recommendations for support systems, policies, and future crisis planning.</w:t>
      </w:r>
    </w:p>
    <w:p w14:paraId="0253E13E"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 xml:space="preserve">These themes are explored below with </w:t>
      </w:r>
      <w:r w:rsidR="0088327B" w:rsidRPr="00453378">
        <w:rPr>
          <w:rFonts w:ascii="Arial" w:hAnsi="Arial" w:cs="Arial"/>
          <w:color w:val="000000" w:themeColor="text1"/>
          <w:sz w:val="22"/>
        </w:rPr>
        <w:t>reference to theoretical frames.</w:t>
      </w:r>
    </w:p>
    <w:p w14:paraId="66F4AAE3" w14:textId="77777777" w:rsidR="006511A1" w:rsidRPr="00C16BF8" w:rsidRDefault="003426D7" w:rsidP="009F30F7">
      <w:pPr>
        <w:pStyle w:val="Heading2"/>
        <w:spacing w:line="360" w:lineRule="auto"/>
        <w:jc w:val="both"/>
        <w:rPr>
          <w:rFonts w:ascii="Arial" w:hAnsi="Arial" w:cs="Arial"/>
          <w:b/>
          <w:color w:val="000000" w:themeColor="text1"/>
        </w:rPr>
      </w:pPr>
      <w:bookmarkStart w:id="36" w:name="_Toc209387760"/>
      <w:r w:rsidRPr="00C16BF8">
        <w:rPr>
          <w:rFonts w:ascii="Arial" w:hAnsi="Arial" w:cs="Arial"/>
          <w:b/>
          <w:color w:val="000000" w:themeColor="text1"/>
        </w:rPr>
        <w:t xml:space="preserve">4.3 Theme 1 - </w:t>
      </w:r>
      <w:r w:rsidR="006511A1" w:rsidRPr="00C16BF8">
        <w:rPr>
          <w:rFonts w:ascii="Arial" w:hAnsi="Arial" w:cs="Arial"/>
          <w:b/>
          <w:color w:val="000000" w:themeColor="text1"/>
        </w:rPr>
        <w:t>Psychological Burden: Stress, Anxiety, Depression, Burnout and Moral Distress</w:t>
      </w:r>
      <w:bookmarkEnd w:id="36"/>
      <w:r w:rsidR="006511A1" w:rsidRPr="00C16BF8">
        <w:rPr>
          <w:rFonts w:ascii="Arial" w:hAnsi="Arial" w:cs="Arial"/>
          <w:b/>
          <w:color w:val="000000" w:themeColor="text1"/>
        </w:rPr>
        <w:t xml:space="preserve"> </w:t>
      </w:r>
    </w:p>
    <w:p w14:paraId="534CBC7A" w14:textId="77777777" w:rsidR="006511A1" w:rsidRPr="00C16BF8" w:rsidRDefault="009C3ADA" w:rsidP="009F30F7">
      <w:pPr>
        <w:pStyle w:val="Heading3"/>
        <w:spacing w:line="360" w:lineRule="auto"/>
        <w:jc w:val="both"/>
        <w:rPr>
          <w:rFonts w:ascii="Arial" w:hAnsi="Arial" w:cs="Arial"/>
          <w:b/>
          <w:color w:val="000000" w:themeColor="text1"/>
        </w:rPr>
      </w:pPr>
      <w:bookmarkStart w:id="37" w:name="_Toc209387761"/>
      <w:r w:rsidRPr="00C16BF8">
        <w:rPr>
          <w:rFonts w:ascii="Arial" w:hAnsi="Arial" w:cs="Arial"/>
          <w:b/>
          <w:color w:val="000000" w:themeColor="text1"/>
        </w:rPr>
        <w:t xml:space="preserve">4.3.1 </w:t>
      </w:r>
      <w:r w:rsidR="00D33295" w:rsidRPr="00C16BF8">
        <w:rPr>
          <w:rFonts w:ascii="Arial" w:hAnsi="Arial" w:cs="Arial"/>
          <w:b/>
          <w:color w:val="000000" w:themeColor="text1"/>
        </w:rPr>
        <w:t xml:space="preserve">Definition, </w:t>
      </w:r>
      <w:r w:rsidR="006511A1" w:rsidRPr="00C16BF8">
        <w:rPr>
          <w:rFonts w:ascii="Arial" w:hAnsi="Arial" w:cs="Arial"/>
          <w:b/>
          <w:color w:val="000000" w:themeColor="text1"/>
        </w:rPr>
        <w:t>scope</w:t>
      </w:r>
      <w:r w:rsidR="00D33295" w:rsidRPr="00C16BF8">
        <w:rPr>
          <w:rFonts w:ascii="Arial" w:hAnsi="Arial" w:cs="Arial"/>
          <w:b/>
          <w:color w:val="000000" w:themeColor="text1"/>
        </w:rPr>
        <w:t xml:space="preserve"> and Context</w:t>
      </w:r>
      <w:bookmarkEnd w:id="37"/>
    </w:p>
    <w:p w14:paraId="41E78862"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For this synthesis, psychological burden encompasses the spectrum of adverse mental health outcomes repor</w:t>
      </w:r>
      <w:r w:rsidR="00453378">
        <w:rPr>
          <w:rFonts w:ascii="Arial" w:hAnsi="Arial" w:cs="Arial"/>
          <w:color w:val="000000" w:themeColor="text1"/>
          <w:sz w:val="22"/>
        </w:rPr>
        <w:t xml:space="preserve">ted by HCWs during the pandemic </w:t>
      </w:r>
      <w:r w:rsidRPr="00453378">
        <w:rPr>
          <w:rFonts w:ascii="Arial" w:hAnsi="Arial" w:cs="Arial"/>
          <w:color w:val="000000" w:themeColor="text1"/>
          <w:sz w:val="22"/>
        </w:rPr>
        <w:t>stress, anxiety, depressive symptoms, insomnia, post-</w:t>
      </w:r>
      <w:r w:rsidR="00453378">
        <w:rPr>
          <w:rFonts w:ascii="Arial" w:hAnsi="Arial" w:cs="Arial"/>
          <w:color w:val="000000" w:themeColor="text1"/>
          <w:sz w:val="22"/>
        </w:rPr>
        <w:t xml:space="preserve">traumatic stress-type reactions </w:t>
      </w:r>
      <w:r w:rsidRPr="00453378">
        <w:rPr>
          <w:rFonts w:ascii="Arial" w:hAnsi="Arial" w:cs="Arial"/>
          <w:color w:val="000000" w:themeColor="text1"/>
          <w:sz w:val="22"/>
        </w:rPr>
        <w:t>and the work-related syndrome of burnout (emotional exhaustion, depersonalisation, reduced professional efficacy) alongside moral distress/moral injury, i.e., sustained distress rooted in perceived violations of core values under constrained conditions (Maslach and Jackson, 1981; Maslach and Leiter, 2016; Litz et al., 2009; Greenberg et al., 2020).</w:t>
      </w:r>
    </w:p>
    <w:p w14:paraId="6A67FF4D"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Historically, caring professions have been vulnerable to burnout and stress from high demands and emotional labour (Karasek, 1979; Maslach and Jackson, 1981). Pre-pandemic UK indicators already signalled workload pressures and rising stress (NHS Staff Survey, 2019). COVID-19 intensified these through high mortality, rapidly changing protocols, PPE uncertainty, redeployment, and isolation from usual supports (Hall, 2020; Ornell et al., 2020; Wu, Styra and Gold, 2020).</w:t>
      </w:r>
    </w:p>
    <w:p w14:paraId="32BA15CC"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dissertation asks how the pandemic affected UK HCWs’ mental health and how staff coped. Understanding the burden is foundational to interpreting coping responses and designing feasible supports.</w:t>
      </w:r>
    </w:p>
    <w:p w14:paraId="27E3115F" w14:textId="77777777" w:rsidR="00623419" w:rsidRPr="00C16BF8" w:rsidRDefault="009C3ADA" w:rsidP="009F30F7">
      <w:pPr>
        <w:pStyle w:val="Heading3"/>
        <w:spacing w:line="360" w:lineRule="auto"/>
        <w:jc w:val="both"/>
        <w:rPr>
          <w:rFonts w:ascii="Arial" w:eastAsia="Times New Roman" w:hAnsi="Arial" w:cs="Arial"/>
          <w:b/>
          <w:color w:val="000000" w:themeColor="text1"/>
        </w:rPr>
      </w:pPr>
      <w:bookmarkStart w:id="38" w:name="_Toc209387762"/>
      <w:r w:rsidRPr="00C16BF8">
        <w:rPr>
          <w:rFonts w:ascii="Arial" w:eastAsia="Times New Roman" w:hAnsi="Arial" w:cs="Arial"/>
          <w:b/>
          <w:color w:val="000000" w:themeColor="text1"/>
        </w:rPr>
        <w:t xml:space="preserve">4.3.2 </w:t>
      </w:r>
      <w:r w:rsidR="00623419" w:rsidRPr="00C16BF8">
        <w:rPr>
          <w:rFonts w:ascii="Arial" w:eastAsia="Times New Roman" w:hAnsi="Arial" w:cs="Arial"/>
          <w:b/>
          <w:color w:val="000000" w:themeColor="text1"/>
        </w:rPr>
        <w:t>Link to Objective 1</w:t>
      </w:r>
      <w:bookmarkEnd w:id="38"/>
      <w:r w:rsidR="00623419" w:rsidRPr="00C16BF8">
        <w:rPr>
          <w:rFonts w:ascii="Arial" w:eastAsia="Times New Roman" w:hAnsi="Arial" w:cs="Arial"/>
          <w:b/>
          <w:color w:val="000000" w:themeColor="text1"/>
        </w:rPr>
        <w:t xml:space="preserve"> </w:t>
      </w:r>
    </w:p>
    <w:p w14:paraId="4D1E3052" w14:textId="77777777" w:rsidR="00623419" w:rsidRPr="00453378" w:rsidRDefault="00623419"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fulfils Objective 1 by outlining the principal psychological sequelae among UK HCWs during COVID-19, stress, anxiety, depression, insomnia/PTSD-type symptoms, burnout and moral distress, as evidenced across qualitative accounts (Billings et al., 2021; De Kock et al., 2021; Greenberg et al., 2020; Maslach and Leiter, 2016). It also clarifies how organisational conditions amplified or buffered these outcomes, framing the burden through JD-R, COR, ERI and moral-injury lenses (Demerouti et al., 2001; Hobfoll, 2018; Siegrist, 1996; Litz et al., 2009). This mapping establishes the baseline problem that Themes 3–4 aim to address via coping supports and policy/system design.</w:t>
      </w:r>
    </w:p>
    <w:p w14:paraId="1A308638" w14:textId="77777777" w:rsidR="006511A1" w:rsidRPr="00C16BF8" w:rsidRDefault="009C3ADA" w:rsidP="009F30F7">
      <w:pPr>
        <w:pStyle w:val="Heading3"/>
        <w:spacing w:line="360" w:lineRule="auto"/>
        <w:jc w:val="both"/>
        <w:rPr>
          <w:rFonts w:ascii="Arial" w:hAnsi="Arial" w:cs="Arial"/>
          <w:b/>
          <w:color w:val="000000" w:themeColor="text1"/>
        </w:rPr>
      </w:pPr>
      <w:bookmarkStart w:id="39" w:name="_Toc209387763"/>
      <w:r w:rsidRPr="00C16BF8">
        <w:rPr>
          <w:rFonts w:ascii="Arial" w:hAnsi="Arial" w:cs="Arial"/>
          <w:b/>
          <w:color w:val="000000" w:themeColor="text1"/>
        </w:rPr>
        <w:t xml:space="preserve">4.3.3 </w:t>
      </w:r>
      <w:r w:rsidR="006511A1" w:rsidRPr="00C16BF8">
        <w:rPr>
          <w:rFonts w:ascii="Arial" w:hAnsi="Arial" w:cs="Arial"/>
          <w:b/>
          <w:color w:val="000000" w:themeColor="text1"/>
        </w:rPr>
        <w:t xml:space="preserve">What </w:t>
      </w:r>
      <w:r w:rsidR="00B0421B" w:rsidRPr="00C16BF8">
        <w:rPr>
          <w:rFonts w:ascii="Arial" w:hAnsi="Arial" w:cs="Arial"/>
          <w:b/>
          <w:color w:val="000000" w:themeColor="text1"/>
        </w:rPr>
        <w:t>Qualitative Studies Report?</w:t>
      </w:r>
      <w:bookmarkEnd w:id="39"/>
    </w:p>
    <w:p w14:paraId="5299D04F"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Across UK-relevant qualitative accounts, partic</w:t>
      </w:r>
      <w:r w:rsidR="00D84F05" w:rsidRPr="00453378">
        <w:rPr>
          <w:rFonts w:ascii="Arial" w:hAnsi="Arial" w:cs="Arial"/>
          <w:color w:val="000000" w:themeColor="text1"/>
          <w:sz w:val="22"/>
        </w:rPr>
        <w:t xml:space="preserve">ipants described pervasive fear, </w:t>
      </w:r>
      <w:r w:rsidRPr="00453378">
        <w:rPr>
          <w:rFonts w:ascii="Arial" w:hAnsi="Arial" w:cs="Arial"/>
          <w:color w:val="000000" w:themeColor="text1"/>
          <w:sz w:val="22"/>
        </w:rPr>
        <w:t>both of personal infection and, more acutely, of transmitting</w:t>
      </w:r>
      <w:r w:rsidR="00D84F05" w:rsidRPr="00453378">
        <w:rPr>
          <w:rFonts w:ascii="Arial" w:hAnsi="Arial" w:cs="Arial"/>
          <w:color w:val="000000" w:themeColor="text1"/>
          <w:sz w:val="22"/>
        </w:rPr>
        <w:t xml:space="preserve"> the virus to vulnerable family, </w:t>
      </w:r>
      <w:r w:rsidRPr="00453378">
        <w:rPr>
          <w:rFonts w:ascii="Arial" w:hAnsi="Arial" w:cs="Arial"/>
          <w:color w:val="000000" w:themeColor="text1"/>
          <w:sz w:val="22"/>
        </w:rPr>
        <w:t>accompanied by hypervigilance, sleep problems, guilt and grief linked to frequent deaths and visiting restrictions (Billings et al., 2021; De Kock et al., 2021). Frontline narratives often referenced moral distress: rationing of care, communication via PPE, facilitating good deaths without family present, and perceived gaps between professional standards and what was possible (Greenberg et al., 2020; Billings et al., 2021). Emotional exhaustion and numbness (depersonalisation) were common descriptors after repeated surges, with some noting blunted empathy or irr</w:t>
      </w:r>
      <w:r w:rsidR="00D84F05" w:rsidRPr="00453378">
        <w:rPr>
          <w:rFonts w:ascii="Arial" w:hAnsi="Arial" w:cs="Arial"/>
          <w:color w:val="000000" w:themeColor="text1"/>
          <w:sz w:val="22"/>
        </w:rPr>
        <w:t xml:space="preserve">itability as defence mechanisms, </w:t>
      </w:r>
      <w:r w:rsidRPr="00453378">
        <w:rPr>
          <w:rFonts w:ascii="Arial" w:hAnsi="Arial" w:cs="Arial"/>
          <w:color w:val="000000" w:themeColor="text1"/>
          <w:sz w:val="22"/>
        </w:rPr>
        <w:t>classic burnout features (Maslach and Leiter, 2016; Billings et al., 2021).</w:t>
      </w:r>
    </w:p>
    <w:p w14:paraId="71D948DA"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Several studies (and UK practitioner reflections) described cumulative strain: even when acute fear subsided, backlogs, chronic vacancies and sustained “winter in summer” demand prolonged stressors into 2022–2023 (Kinman, Teoh and Harriss, 2020; NHS Staff Survey, 2021; Samarasekera, Horton and Bird, 2021). Distress was not uniform: nurses, women, ethnic minority staff, ICU and emergency personnel, and those with prior vulnerabilities reported higher risk (Pappa et al., 2020; Sanghera et al., 2020; De Kock et al., 2021). Some qualitative accounts from care homes emphasised traumatic loss, stigma in communities, and feelings of abandonment compared with hospital-based resources (Rajan et al., 2020).</w:t>
      </w:r>
    </w:p>
    <w:p w14:paraId="37CCD173" w14:textId="77777777" w:rsidR="006511A1" w:rsidRPr="00C16BF8" w:rsidRDefault="009C3ADA" w:rsidP="009F30F7">
      <w:pPr>
        <w:pStyle w:val="Heading3"/>
        <w:spacing w:line="360" w:lineRule="auto"/>
        <w:jc w:val="both"/>
        <w:rPr>
          <w:rFonts w:ascii="Arial" w:hAnsi="Arial" w:cs="Arial"/>
          <w:b/>
          <w:color w:val="000000" w:themeColor="text1"/>
        </w:rPr>
      </w:pPr>
      <w:bookmarkStart w:id="40" w:name="_Toc209387764"/>
      <w:r w:rsidRPr="00C16BF8">
        <w:rPr>
          <w:rFonts w:ascii="Arial" w:hAnsi="Arial" w:cs="Arial"/>
          <w:b/>
          <w:color w:val="000000" w:themeColor="text1"/>
        </w:rPr>
        <w:t xml:space="preserve">4.3.4 </w:t>
      </w:r>
      <w:r w:rsidR="006511A1" w:rsidRPr="00C16BF8">
        <w:rPr>
          <w:rFonts w:ascii="Arial" w:hAnsi="Arial" w:cs="Arial"/>
          <w:b/>
          <w:color w:val="000000" w:themeColor="text1"/>
        </w:rPr>
        <w:t xml:space="preserve">Theoretical </w:t>
      </w:r>
      <w:r w:rsidR="009D33D7" w:rsidRPr="00C16BF8">
        <w:rPr>
          <w:rFonts w:ascii="Arial" w:hAnsi="Arial" w:cs="Arial"/>
          <w:b/>
          <w:color w:val="000000" w:themeColor="text1"/>
        </w:rPr>
        <w:t>Interpretation</w:t>
      </w:r>
      <w:bookmarkEnd w:id="40"/>
    </w:p>
    <w:p w14:paraId="478C052A"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Findings cohere with JD-R: exceptionally high job demands (workload, emotional labour, time pressure, mortality) combined with constrained resources (staffing, rest, autonomy, predictable rotas) predicted strain and burnout; where resources were bolstered (clear communication, supportive leadership, adequate PPE, rest spaces) distress was attenuated (Demerouti et al., 2001; Bakker and Demerouti, 2007; West et al., 2014). COR dynamics</w:t>
      </w:r>
      <w:r w:rsidR="00111F14" w:rsidRPr="00453378">
        <w:rPr>
          <w:rFonts w:ascii="Arial" w:hAnsi="Arial" w:cs="Arial"/>
          <w:color w:val="000000" w:themeColor="text1"/>
          <w:sz w:val="22"/>
        </w:rPr>
        <w:t xml:space="preserve"> were visible in “loss spirals”, </w:t>
      </w:r>
      <w:r w:rsidRPr="00453378">
        <w:rPr>
          <w:rFonts w:ascii="Arial" w:hAnsi="Arial" w:cs="Arial"/>
          <w:color w:val="000000" w:themeColor="text1"/>
          <w:sz w:val="22"/>
        </w:rPr>
        <w:t xml:space="preserve">sleep erosion, reduced </w:t>
      </w:r>
      <w:r w:rsidR="00111F14" w:rsidRPr="00453378">
        <w:rPr>
          <w:rFonts w:ascii="Arial" w:hAnsi="Arial" w:cs="Arial"/>
          <w:color w:val="000000" w:themeColor="text1"/>
          <w:sz w:val="22"/>
        </w:rPr>
        <w:t xml:space="preserve">social contact, cancelled leave, </w:t>
      </w:r>
      <w:r w:rsidRPr="00453378">
        <w:rPr>
          <w:rFonts w:ascii="Arial" w:hAnsi="Arial" w:cs="Arial"/>
          <w:color w:val="000000" w:themeColor="text1"/>
          <w:sz w:val="22"/>
        </w:rPr>
        <w:t>and “gain spirals” where small wins (peer support, safe spaces) built resilience (Hobfoll, 2018). ERI offered another lens where perceived effort (risk, hours, role stretch) outstripped rewards (esteem, security, control), fuelling distress (Siegrist, 1996). Moral injury frames captured value conflicts around safety, end-of-life care and fairness, which are less explicit in JD-R or ERI (Litz et al., 2009; Greenberg et al., 2020).</w:t>
      </w:r>
    </w:p>
    <w:p w14:paraId="61AEF4AC" w14:textId="77777777" w:rsidR="006511A1" w:rsidRPr="00C16BF8" w:rsidRDefault="009C3ADA" w:rsidP="009F30F7">
      <w:pPr>
        <w:pStyle w:val="Heading3"/>
        <w:spacing w:line="360" w:lineRule="auto"/>
        <w:jc w:val="both"/>
        <w:rPr>
          <w:rFonts w:ascii="Arial" w:hAnsi="Arial" w:cs="Arial"/>
          <w:b/>
          <w:color w:val="000000" w:themeColor="text1"/>
        </w:rPr>
      </w:pPr>
      <w:bookmarkStart w:id="41" w:name="_Toc209387765"/>
      <w:r w:rsidRPr="00C16BF8">
        <w:rPr>
          <w:rFonts w:ascii="Arial" w:hAnsi="Arial" w:cs="Arial"/>
          <w:b/>
          <w:color w:val="000000" w:themeColor="text1"/>
        </w:rPr>
        <w:t xml:space="preserve">4.3.5 </w:t>
      </w:r>
      <w:r w:rsidR="006511A1" w:rsidRPr="00C16BF8">
        <w:rPr>
          <w:rFonts w:ascii="Arial" w:hAnsi="Arial" w:cs="Arial"/>
          <w:b/>
          <w:color w:val="000000" w:themeColor="text1"/>
        </w:rPr>
        <w:t>Illustrative articles</w:t>
      </w:r>
      <w:bookmarkEnd w:id="41"/>
    </w:p>
    <w:p w14:paraId="0FED5137"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Billings et al. (2021) meta-synthesised frontline experiences (COVID-19 and prior outbreaks), identifying fear, stigma, moral distress, exhaustion, and the conditional value of supports (e.g., peer solidarity helps, but time/access barriers persist).</w:t>
      </w:r>
      <w:r w:rsidR="00111F14" w:rsidRPr="00453378">
        <w:rPr>
          <w:rFonts w:ascii="Arial" w:hAnsi="Arial" w:cs="Arial"/>
          <w:color w:val="000000" w:themeColor="text1"/>
          <w:sz w:val="22"/>
        </w:rPr>
        <w:t xml:space="preserve"> </w:t>
      </w:r>
      <w:r w:rsidRPr="00453378">
        <w:rPr>
          <w:rFonts w:ascii="Arial" w:hAnsi="Arial" w:cs="Arial"/>
          <w:color w:val="000000" w:themeColor="text1"/>
          <w:sz w:val="22"/>
        </w:rPr>
        <w:t>De Kock et al. (2021) highlighted psychological impacts (anxiety, depression, trauma symptoms) and und</w:t>
      </w:r>
      <w:r w:rsidR="00111F14" w:rsidRPr="00453378">
        <w:rPr>
          <w:rFonts w:ascii="Arial" w:hAnsi="Arial" w:cs="Arial"/>
          <w:color w:val="000000" w:themeColor="text1"/>
          <w:sz w:val="22"/>
        </w:rPr>
        <w:t xml:space="preserve">erscored organisational drivers, </w:t>
      </w:r>
      <w:r w:rsidRPr="00453378">
        <w:rPr>
          <w:rFonts w:ascii="Arial" w:hAnsi="Arial" w:cs="Arial"/>
          <w:color w:val="000000" w:themeColor="text1"/>
          <w:sz w:val="22"/>
        </w:rPr>
        <w:t>staffing, communication, PPE confidence—reinforcing JD-R interpretations.</w:t>
      </w:r>
      <w:r w:rsidR="00111F14" w:rsidRPr="00453378">
        <w:rPr>
          <w:rFonts w:ascii="Arial" w:hAnsi="Arial" w:cs="Arial"/>
          <w:color w:val="000000" w:themeColor="text1"/>
          <w:sz w:val="22"/>
        </w:rPr>
        <w:t xml:space="preserve"> </w:t>
      </w:r>
      <w:r w:rsidRPr="00453378">
        <w:rPr>
          <w:rFonts w:ascii="Arial" w:hAnsi="Arial" w:cs="Arial"/>
          <w:color w:val="000000" w:themeColor="text1"/>
          <w:sz w:val="22"/>
        </w:rPr>
        <w:t>Sanghera et al. (2020) and Greenberg et al. (2020) emphasised ICU/emergency contexts and moral injury risk, pairing descriptive insights with practical recommendations (psychological PPE, just culture).</w:t>
      </w:r>
      <w:r w:rsidR="00111F14" w:rsidRPr="00453378">
        <w:rPr>
          <w:rFonts w:ascii="Arial" w:hAnsi="Arial" w:cs="Arial"/>
          <w:color w:val="000000" w:themeColor="text1"/>
          <w:sz w:val="22"/>
        </w:rPr>
        <w:t xml:space="preserve"> </w:t>
      </w:r>
      <w:r w:rsidRPr="00453378">
        <w:rPr>
          <w:rFonts w:ascii="Arial" w:hAnsi="Arial" w:cs="Arial"/>
          <w:color w:val="000000" w:themeColor="text1"/>
          <w:sz w:val="22"/>
        </w:rPr>
        <w:t>Agreement across studies was high regarding direction (distress increased), with nuanced differences in degree by role/setting and in whether distress was framed as transient “crisis stress” or chronic burnout risk.</w:t>
      </w:r>
    </w:p>
    <w:p w14:paraId="1E515F95" w14:textId="77777777" w:rsidR="006511A1" w:rsidRPr="00C16BF8" w:rsidRDefault="009C3ADA" w:rsidP="009F30F7">
      <w:pPr>
        <w:pStyle w:val="Heading3"/>
        <w:spacing w:line="360" w:lineRule="auto"/>
        <w:jc w:val="both"/>
        <w:rPr>
          <w:rFonts w:ascii="Arial" w:hAnsi="Arial" w:cs="Arial"/>
          <w:b/>
          <w:color w:val="000000" w:themeColor="text1"/>
        </w:rPr>
      </w:pPr>
      <w:bookmarkStart w:id="42" w:name="_Toc209387766"/>
      <w:r w:rsidRPr="00C16BF8">
        <w:rPr>
          <w:rFonts w:ascii="Arial" w:hAnsi="Arial" w:cs="Arial"/>
          <w:b/>
          <w:color w:val="000000" w:themeColor="text1"/>
        </w:rPr>
        <w:t xml:space="preserve">4.3.6 </w:t>
      </w:r>
      <w:r w:rsidR="006511A1" w:rsidRPr="00C16BF8">
        <w:rPr>
          <w:rFonts w:ascii="Arial" w:hAnsi="Arial" w:cs="Arial"/>
          <w:b/>
          <w:color w:val="000000" w:themeColor="text1"/>
        </w:rPr>
        <w:t>Implications</w:t>
      </w:r>
      <w:bookmarkEnd w:id="42"/>
      <w:r w:rsidR="006511A1" w:rsidRPr="00C16BF8">
        <w:rPr>
          <w:rFonts w:ascii="Arial" w:hAnsi="Arial" w:cs="Arial"/>
          <w:b/>
          <w:color w:val="000000" w:themeColor="text1"/>
        </w:rPr>
        <w:t xml:space="preserve"> </w:t>
      </w:r>
    </w:p>
    <w:p w14:paraId="32CC9E3D" w14:textId="77777777" w:rsidR="0062264E" w:rsidRDefault="006511A1" w:rsidP="0062264E">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Many HCWs reported pride, team cohesion, and a renewed sense of purpose; for some, clear crisis roles and supportive teams buffered harm (Kinman, Teoh and Harriss, 2020; West et al., 2014).</w:t>
      </w:r>
      <w:r w:rsidR="00D17F32" w:rsidRPr="00453378">
        <w:rPr>
          <w:rFonts w:ascii="Arial" w:hAnsi="Arial" w:cs="Arial"/>
          <w:color w:val="000000" w:themeColor="text1"/>
          <w:sz w:val="22"/>
        </w:rPr>
        <w:t xml:space="preserve"> </w:t>
      </w:r>
      <w:r w:rsidRPr="00453378">
        <w:rPr>
          <w:rFonts w:ascii="Arial" w:hAnsi="Arial" w:cs="Arial"/>
          <w:color w:val="000000" w:themeColor="text1"/>
          <w:sz w:val="22"/>
        </w:rPr>
        <w:t>Persistent demand, vacancies and backlog recovery threatened to convert acute stress to chronic burnout; moral injury risks can endure beyond the crisis if unaddressed (Maslach and Leiter, 2016; Greenberg et al., 2020). Addressing structural contributors (staffing, rest, autonomy, fair rewards) is as important as offering individual support.</w:t>
      </w:r>
    </w:p>
    <w:p w14:paraId="6EDF4C18" w14:textId="77777777" w:rsidR="0062264E" w:rsidRPr="0062264E" w:rsidRDefault="0062264E" w:rsidP="0062264E">
      <w:pPr>
        <w:pStyle w:val="NormalWeb"/>
        <w:spacing w:line="360" w:lineRule="auto"/>
        <w:jc w:val="both"/>
        <w:rPr>
          <w:rFonts w:ascii="Arial" w:hAnsi="Arial" w:cs="Arial"/>
          <w:sz w:val="22"/>
        </w:rPr>
      </w:pPr>
      <w:r w:rsidRPr="0062264E">
        <w:rPr>
          <w:rFonts w:ascii="Arial" w:hAnsi="Arial" w:cs="Arial"/>
          <w:sz w:val="22"/>
        </w:rPr>
        <w:t>By clarifying the scale and drivers of this psychological burden, Theme 1 directly addresses Objective 1 and contributes to the overall aim of understanding how COVID-19 affected the mental health and burnout risk of healthcare staff in the UK.</w:t>
      </w:r>
    </w:p>
    <w:p w14:paraId="07772EEE" w14:textId="77777777" w:rsidR="0062264E" w:rsidRPr="0062264E" w:rsidRDefault="0062264E" w:rsidP="0062264E">
      <w:pPr>
        <w:pStyle w:val="NormalWeb"/>
        <w:spacing w:line="360" w:lineRule="auto"/>
        <w:jc w:val="both"/>
        <w:rPr>
          <w:rFonts w:ascii="Arial" w:hAnsi="Arial" w:cs="Arial"/>
          <w:color w:val="000000" w:themeColor="text1"/>
          <w:sz w:val="20"/>
        </w:rPr>
      </w:pPr>
      <w:r w:rsidRPr="0062264E">
        <w:rPr>
          <w:rFonts w:ascii="Arial" w:hAnsi="Arial" w:cs="Arial"/>
          <w:sz w:val="22"/>
        </w:rPr>
        <w:t>These patterns of distress are not uniform, however, and are strongly shaped by where and how staff work. The next theme therefore examines how different UK settings condition these experiences.</w:t>
      </w:r>
    </w:p>
    <w:p w14:paraId="02501DD5" w14:textId="77777777" w:rsidR="006511A1" w:rsidRPr="00453378" w:rsidRDefault="00383682"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 xml:space="preserve">Connections to other themes: </w:t>
      </w:r>
      <w:r w:rsidR="006511A1" w:rsidRPr="00453378">
        <w:rPr>
          <w:rFonts w:ascii="Arial" w:hAnsi="Arial" w:cs="Arial"/>
          <w:color w:val="000000" w:themeColor="text1"/>
          <w:sz w:val="22"/>
        </w:rPr>
        <w:t>The burden described here is shaped by setting (Theme 2), modulated by coping (Theme 3), and actionable via policy and design (Theme 4).</w:t>
      </w:r>
    </w:p>
    <w:p w14:paraId="56951ECA" w14:textId="77777777" w:rsidR="006511A1" w:rsidRPr="00C16BF8" w:rsidRDefault="003426D7" w:rsidP="009F30F7">
      <w:pPr>
        <w:pStyle w:val="Heading2"/>
        <w:spacing w:line="360" w:lineRule="auto"/>
        <w:jc w:val="both"/>
        <w:rPr>
          <w:rFonts w:ascii="Arial" w:hAnsi="Arial" w:cs="Arial"/>
          <w:b/>
          <w:color w:val="000000" w:themeColor="text1"/>
        </w:rPr>
      </w:pPr>
      <w:bookmarkStart w:id="43" w:name="_Toc209387767"/>
      <w:r w:rsidRPr="00C16BF8">
        <w:rPr>
          <w:rFonts w:ascii="Arial" w:hAnsi="Arial" w:cs="Arial"/>
          <w:b/>
          <w:color w:val="000000" w:themeColor="text1"/>
        </w:rPr>
        <w:t xml:space="preserve">4.4 Theme 2 - </w:t>
      </w:r>
      <w:r w:rsidR="006511A1" w:rsidRPr="00C16BF8">
        <w:rPr>
          <w:rFonts w:ascii="Arial" w:hAnsi="Arial" w:cs="Arial"/>
          <w:b/>
          <w:color w:val="000000" w:themeColor="text1"/>
        </w:rPr>
        <w:t>Lived Experience Across UK Settings</w:t>
      </w:r>
      <w:bookmarkEnd w:id="43"/>
      <w:r w:rsidR="006511A1" w:rsidRPr="00C16BF8">
        <w:rPr>
          <w:rFonts w:ascii="Arial" w:hAnsi="Arial" w:cs="Arial"/>
          <w:b/>
          <w:color w:val="000000" w:themeColor="text1"/>
        </w:rPr>
        <w:t xml:space="preserve"> </w:t>
      </w:r>
    </w:p>
    <w:p w14:paraId="31CAFDE2" w14:textId="77777777" w:rsidR="006511A1" w:rsidRPr="00C16BF8" w:rsidRDefault="009C3ADA" w:rsidP="009F30F7">
      <w:pPr>
        <w:pStyle w:val="Heading3"/>
        <w:spacing w:line="360" w:lineRule="auto"/>
        <w:jc w:val="both"/>
        <w:rPr>
          <w:rFonts w:ascii="Arial" w:hAnsi="Arial" w:cs="Arial"/>
          <w:b/>
          <w:color w:val="000000" w:themeColor="text1"/>
        </w:rPr>
      </w:pPr>
      <w:bookmarkStart w:id="44" w:name="_Toc209387768"/>
      <w:r w:rsidRPr="00C16BF8">
        <w:rPr>
          <w:rFonts w:ascii="Arial" w:hAnsi="Arial" w:cs="Arial"/>
          <w:b/>
          <w:color w:val="000000" w:themeColor="text1"/>
        </w:rPr>
        <w:t xml:space="preserve">4.4.1 </w:t>
      </w:r>
      <w:r w:rsidR="006511A1" w:rsidRPr="00C16BF8">
        <w:rPr>
          <w:rFonts w:ascii="Arial" w:hAnsi="Arial" w:cs="Arial"/>
          <w:b/>
          <w:color w:val="000000" w:themeColor="text1"/>
        </w:rPr>
        <w:t>Definition and scope</w:t>
      </w:r>
      <w:bookmarkEnd w:id="44"/>
    </w:p>
    <w:p w14:paraId="537A910E"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theme synthesises what qualitative studies report about where and how UK HCWs experienced the pandemic: acute/ICU wards, emergency/ambulance services, primary and community care, and care homes. It foregrounds contextual factors (workflows, resources, patient mix) that influence psychological outcomes.</w:t>
      </w:r>
    </w:p>
    <w:p w14:paraId="201BAAA4" w14:textId="77777777" w:rsidR="004C78B0" w:rsidRPr="00C16BF8" w:rsidRDefault="009C3ADA" w:rsidP="009F30F7">
      <w:pPr>
        <w:pStyle w:val="Heading3"/>
        <w:spacing w:line="360" w:lineRule="auto"/>
        <w:jc w:val="both"/>
        <w:rPr>
          <w:rFonts w:ascii="Arial" w:hAnsi="Arial" w:cs="Arial"/>
          <w:b/>
          <w:color w:val="000000" w:themeColor="text1"/>
        </w:rPr>
      </w:pPr>
      <w:bookmarkStart w:id="45" w:name="_Toc209387769"/>
      <w:r w:rsidRPr="00C16BF8">
        <w:rPr>
          <w:rFonts w:ascii="Arial" w:hAnsi="Arial" w:cs="Arial"/>
          <w:b/>
          <w:color w:val="000000" w:themeColor="text1"/>
        </w:rPr>
        <w:t xml:space="preserve">4.4.2 </w:t>
      </w:r>
      <w:r w:rsidR="004C78B0" w:rsidRPr="00C16BF8">
        <w:rPr>
          <w:rFonts w:ascii="Arial" w:hAnsi="Arial" w:cs="Arial"/>
          <w:b/>
          <w:color w:val="000000" w:themeColor="text1"/>
        </w:rPr>
        <w:t>Link to Objective 2</w:t>
      </w:r>
      <w:bookmarkEnd w:id="45"/>
    </w:p>
    <w:p w14:paraId="606E2646" w14:textId="77777777" w:rsidR="004C78B0" w:rsidRPr="00453378" w:rsidRDefault="004C78B0"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addresses Objective 2 by synthesising how frontline HCWs experienced c</w:t>
      </w:r>
      <w:r w:rsidR="0052521B" w:rsidRPr="00453378">
        <w:rPr>
          <w:rFonts w:ascii="Arial" w:eastAsia="Times New Roman" w:hAnsi="Arial" w:cs="Arial"/>
          <w:color w:val="000000" w:themeColor="text1"/>
          <w:szCs w:val="24"/>
        </w:rPr>
        <w:t xml:space="preserve">are delivery across UK settings, </w:t>
      </w:r>
      <w:r w:rsidRPr="00453378">
        <w:rPr>
          <w:rFonts w:ascii="Arial" w:eastAsia="Times New Roman" w:hAnsi="Arial" w:cs="Arial"/>
          <w:color w:val="000000" w:themeColor="text1"/>
          <w:szCs w:val="24"/>
        </w:rPr>
        <w:t>ICU/acute, emergency/ambulance, primary</w:t>
      </w:r>
      <w:r w:rsidR="0052521B" w:rsidRPr="00453378">
        <w:rPr>
          <w:rFonts w:ascii="Arial" w:eastAsia="Times New Roman" w:hAnsi="Arial" w:cs="Arial"/>
          <w:color w:val="000000" w:themeColor="text1"/>
          <w:szCs w:val="24"/>
        </w:rPr>
        <w:t xml:space="preserve">/community care, and care homes, </w:t>
      </w:r>
      <w:r w:rsidRPr="00453378">
        <w:rPr>
          <w:rFonts w:ascii="Arial" w:eastAsia="Times New Roman" w:hAnsi="Arial" w:cs="Arial"/>
          <w:color w:val="000000" w:themeColor="text1"/>
          <w:szCs w:val="24"/>
        </w:rPr>
        <w:t>highlighting setting-specific stressors and resources (Billings et al., 2021; De Kock et al., 2021; Rajan et al., 2020). It captures contextual nuances (redeployment, leadership communication, PPE access, equity issues) that shape lived experience and risk (Kinman, Teoh and Harriss, 2020; PHE, 2020). These insights ground later analysis of coping (Theme 3) and policy design (Theme 4) in the realities of diverse UK care environments.</w:t>
      </w:r>
    </w:p>
    <w:p w14:paraId="7CBF3D51" w14:textId="77777777" w:rsidR="006511A1" w:rsidRPr="00C16BF8" w:rsidRDefault="009C3ADA" w:rsidP="009F30F7">
      <w:pPr>
        <w:pStyle w:val="Heading3"/>
        <w:spacing w:line="360" w:lineRule="auto"/>
        <w:jc w:val="both"/>
        <w:rPr>
          <w:rFonts w:ascii="Arial" w:hAnsi="Arial" w:cs="Arial"/>
          <w:b/>
          <w:color w:val="000000" w:themeColor="text1"/>
        </w:rPr>
      </w:pPr>
      <w:bookmarkStart w:id="46" w:name="_Toc209387770"/>
      <w:r w:rsidRPr="00C16BF8">
        <w:rPr>
          <w:rFonts w:ascii="Arial" w:hAnsi="Arial" w:cs="Arial"/>
          <w:b/>
          <w:color w:val="000000" w:themeColor="text1"/>
        </w:rPr>
        <w:t xml:space="preserve">4.4.3 </w:t>
      </w:r>
      <w:r w:rsidR="006511A1" w:rsidRPr="00C16BF8">
        <w:rPr>
          <w:rFonts w:ascii="Arial" w:hAnsi="Arial" w:cs="Arial"/>
          <w:b/>
          <w:color w:val="000000" w:themeColor="text1"/>
        </w:rPr>
        <w:t xml:space="preserve">Acute </w:t>
      </w:r>
      <w:r w:rsidR="00C7510C" w:rsidRPr="00C16BF8">
        <w:rPr>
          <w:rFonts w:ascii="Arial" w:hAnsi="Arial" w:cs="Arial"/>
          <w:b/>
          <w:color w:val="000000" w:themeColor="text1"/>
        </w:rPr>
        <w:t>and</w:t>
      </w:r>
      <w:r w:rsidR="000A57C4" w:rsidRPr="00C16BF8">
        <w:rPr>
          <w:rFonts w:ascii="Arial" w:hAnsi="Arial" w:cs="Arial"/>
          <w:b/>
          <w:color w:val="000000" w:themeColor="text1"/>
        </w:rPr>
        <w:t xml:space="preserve"> Critical Care</w:t>
      </w:r>
      <w:bookmarkEnd w:id="46"/>
    </w:p>
    <w:p w14:paraId="4FA05039"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Acute hospitals and ICUs faced rapid surges, high mortality, redeployment, and evolving protocols. Staff described the “surreal” experience of full PPE, communication barriers with patients/families, and complex treatment decisions under uncertainty (Billings et al., 2021). ICU narratives often referenced moral complexity of end-of-life decisions and visitor restrictions, with ripple effects on team dynamics and debriefing needs (Greenberg et al., 2020). Clear, consistent communication from leadership and visible senior presence were repeatedly cited as protective (Kinman, Teoh and Harriss, 2020).</w:t>
      </w:r>
    </w:p>
    <w:p w14:paraId="54328807" w14:textId="77777777" w:rsidR="006511A1" w:rsidRPr="00C16BF8" w:rsidRDefault="009C3ADA" w:rsidP="009F30F7">
      <w:pPr>
        <w:pStyle w:val="Heading3"/>
        <w:spacing w:line="360" w:lineRule="auto"/>
        <w:jc w:val="both"/>
        <w:rPr>
          <w:rFonts w:ascii="Arial" w:hAnsi="Arial" w:cs="Arial"/>
          <w:b/>
          <w:color w:val="000000" w:themeColor="text1"/>
        </w:rPr>
      </w:pPr>
      <w:bookmarkStart w:id="47" w:name="_Toc209387771"/>
      <w:r w:rsidRPr="00C16BF8">
        <w:rPr>
          <w:rFonts w:ascii="Arial" w:hAnsi="Arial" w:cs="Arial"/>
          <w:b/>
          <w:color w:val="000000" w:themeColor="text1"/>
        </w:rPr>
        <w:t xml:space="preserve">4.4.4 </w:t>
      </w:r>
      <w:r w:rsidR="006511A1" w:rsidRPr="00C16BF8">
        <w:rPr>
          <w:rFonts w:ascii="Arial" w:hAnsi="Arial" w:cs="Arial"/>
          <w:b/>
          <w:color w:val="000000" w:themeColor="text1"/>
        </w:rPr>
        <w:t xml:space="preserve">Emergency </w:t>
      </w:r>
      <w:r w:rsidR="00C7510C" w:rsidRPr="00C16BF8">
        <w:rPr>
          <w:rFonts w:ascii="Arial" w:hAnsi="Arial" w:cs="Arial"/>
          <w:b/>
          <w:color w:val="000000" w:themeColor="text1"/>
        </w:rPr>
        <w:t>and Ambulance Services</w:t>
      </w:r>
      <w:bookmarkEnd w:id="47"/>
    </w:p>
    <w:p w14:paraId="31994EE8"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Ambulance crews and emergency departments contended with uncertain risk in community pick-ups, rapidly changing triage, and public expectation management. Qualitative reports noted adrenaline-driven shifts followed by delayed emotional reactions, compounded by limited recovery time between calls. Physical rest spaces and predictable breaks were valued but inconsistently available (Sanghera et al., 2020). ERI dynamics were salient: high effort and risk with variable recognition or control (Siegrist, 1996).</w:t>
      </w:r>
    </w:p>
    <w:p w14:paraId="6174F65E" w14:textId="77777777" w:rsidR="006511A1" w:rsidRPr="00C16BF8" w:rsidRDefault="009C3ADA" w:rsidP="009F30F7">
      <w:pPr>
        <w:pStyle w:val="Heading3"/>
        <w:spacing w:line="360" w:lineRule="auto"/>
        <w:jc w:val="both"/>
        <w:rPr>
          <w:rFonts w:ascii="Arial" w:hAnsi="Arial" w:cs="Arial"/>
          <w:b/>
          <w:color w:val="000000" w:themeColor="text1"/>
        </w:rPr>
      </w:pPr>
      <w:bookmarkStart w:id="48" w:name="_Toc209387772"/>
      <w:r w:rsidRPr="00C16BF8">
        <w:rPr>
          <w:rFonts w:ascii="Arial" w:hAnsi="Arial" w:cs="Arial"/>
          <w:b/>
          <w:color w:val="000000" w:themeColor="text1"/>
        </w:rPr>
        <w:t xml:space="preserve">4.4.5 </w:t>
      </w:r>
      <w:r w:rsidR="006511A1" w:rsidRPr="00C16BF8">
        <w:rPr>
          <w:rFonts w:ascii="Arial" w:hAnsi="Arial" w:cs="Arial"/>
          <w:b/>
          <w:color w:val="000000" w:themeColor="text1"/>
        </w:rPr>
        <w:t xml:space="preserve">Primary </w:t>
      </w:r>
      <w:r w:rsidR="00C7510C" w:rsidRPr="00C16BF8">
        <w:rPr>
          <w:rFonts w:ascii="Arial" w:hAnsi="Arial" w:cs="Arial"/>
          <w:b/>
          <w:color w:val="000000" w:themeColor="text1"/>
        </w:rPr>
        <w:t>and Community Care</w:t>
      </w:r>
      <w:bookmarkEnd w:id="48"/>
    </w:p>
    <w:p w14:paraId="5F1C570D"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Primary care clinicians reported workload spikes related to remote triage, catching up delayed care, and managing diagnostic uncertainty without physical examination, alongside moral stress from perceived unmet needs (RCGP, 2020). Community nurses described isolation, travelling between households with limited immediate peer contact, and the emotional burden of supporting shielding patients (De Kock et al., 2021). Where primary care teams established micro-teams, regular huddles and rota predictability, experiences were more manageable, consistent with JD-R buffering via resources (Bakker and Demerouti, 2007).</w:t>
      </w:r>
    </w:p>
    <w:p w14:paraId="5D4484EF" w14:textId="77777777" w:rsidR="006511A1" w:rsidRPr="00C16BF8" w:rsidRDefault="009C3ADA" w:rsidP="009F30F7">
      <w:pPr>
        <w:pStyle w:val="Heading3"/>
        <w:spacing w:line="360" w:lineRule="auto"/>
        <w:jc w:val="both"/>
        <w:rPr>
          <w:rFonts w:ascii="Arial" w:hAnsi="Arial" w:cs="Arial"/>
          <w:b/>
          <w:color w:val="000000" w:themeColor="text1"/>
        </w:rPr>
      </w:pPr>
      <w:bookmarkStart w:id="49" w:name="_Toc209387773"/>
      <w:r w:rsidRPr="00C16BF8">
        <w:rPr>
          <w:rFonts w:ascii="Arial" w:hAnsi="Arial" w:cs="Arial"/>
          <w:b/>
          <w:color w:val="000000" w:themeColor="text1"/>
        </w:rPr>
        <w:t xml:space="preserve">4.4.6 </w:t>
      </w:r>
      <w:r w:rsidR="006511A1" w:rsidRPr="00C16BF8">
        <w:rPr>
          <w:rFonts w:ascii="Arial" w:hAnsi="Arial" w:cs="Arial"/>
          <w:b/>
          <w:color w:val="000000" w:themeColor="text1"/>
        </w:rPr>
        <w:t xml:space="preserve">Care </w:t>
      </w:r>
      <w:r w:rsidR="00C7510C" w:rsidRPr="00C16BF8">
        <w:rPr>
          <w:rFonts w:ascii="Arial" w:hAnsi="Arial" w:cs="Arial"/>
          <w:b/>
          <w:color w:val="000000" w:themeColor="text1"/>
        </w:rPr>
        <w:t>Homes and Long-Term Care</w:t>
      </w:r>
      <w:bookmarkEnd w:id="49"/>
    </w:p>
    <w:p w14:paraId="28AC9E4A"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Care home staff faced devastating mortality early in the pandemic, complex infection control, and heightened stigma. Several UK analyses highlighted grief, helplessness and a sense of being “overlooked” compared with acute care in terms of resourcing and visibility (Rajan et al., 2020). Staff described strong bonds with residents and families, making losses particularly personal; lack of adequate staffing and limited access to psychological services were recurrent barriers (De Kock et al., 2021).</w:t>
      </w:r>
    </w:p>
    <w:p w14:paraId="01415215" w14:textId="77777777" w:rsidR="006511A1" w:rsidRPr="00C16BF8" w:rsidRDefault="009C3ADA" w:rsidP="009F30F7">
      <w:pPr>
        <w:pStyle w:val="Heading3"/>
        <w:spacing w:line="360" w:lineRule="auto"/>
        <w:jc w:val="both"/>
        <w:rPr>
          <w:rFonts w:ascii="Arial" w:hAnsi="Arial" w:cs="Arial"/>
          <w:b/>
          <w:color w:val="000000" w:themeColor="text1"/>
        </w:rPr>
      </w:pPr>
      <w:bookmarkStart w:id="50" w:name="_Toc209387774"/>
      <w:r w:rsidRPr="00C16BF8">
        <w:rPr>
          <w:rFonts w:ascii="Arial" w:hAnsi="Arial" w:cs="Arial"/>
          <w:b/>
          <w:color w:val="000000" w:themeColor="text1"/>
        </w:rPr>
        <w:t xml:space="preserve">4.4.7 </w:t>
      </w:r>
      <w:r w:rsidR="006511A1" w:rsidRPr="00C16BF8">
        <w:rPr>
          <w:rFonts w:ascii="Arial" w:hAnsi="Arial" w:cs="Arial"/>
          <w:b/>
          <w:color w:val="000000" w:themeColor="text1"/>
        </w:rPr>
        <w:t>Cross-cutting UK contextual factors</w:t>
      </w:r>
      <w:bookmarkEnd w:id="50"/>
    </w:p>
    <w:p w14:paraId="41F690E6" w14:textId="77777777" w:rsidR="001764A8" w:rsidRPr="00453378" w:rsidRDefault="001764A8"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Rapid redeployment created a sense of identity disruption for some staff, as they were required to adapt quickly to unfamiliar roles. At the same time, it also provided opportunities for learning, skill development, and building camaraderie among colleagues. Where adequate induction and supervision were in place, the stress associated with these transitions was significantly reduced (Billings et al., 2021).</w:t>
      </w:r>
      <w:r w:rsidR="003426D7"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Transparent and consistent communication played a crucial role in reducing uncertainty during times of rapid change. Staff who received regular updates felt more reassured and supported, whereas perceived opacity or lack of information tended to amplify anxiety and distrust (Kinman, Teoh and Harriss, 2020).</w:t>
      </w:r>
      <w:r w:rsidR="003426D7"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Ethnic minority staff frequently reported disproportionate fears and perceived risks compared to their peers. Access to culturally competent support and fair opportunities in redeployment decisions were not always equitable, highlighting gaps in organizational inclusivity (PHE, 2020; NHS England, 2020).</w:t>
      </w:r>
      <w:r w:rsidR="003426D7"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In the recovery phase, sustained pressures were particularly evident in primary care and elective services. Many staff observed a shift from the sense of crisis heroism seen early in the pandemic to a prolonged experience of chronic strain, as the backlog of work continued to grow (NHS Staff Survey, 2021; Samarasekera, Horton and Bird, 2021).</w:t>
      </w:r>
    </w:p>
    <w:p w14:paraId="2B2193E9" w14:textId="77777777" w:rsidR="006511A1" w:rsidRPr="00C16BF8" w:rsidRDefault="009C3ADA" w:rsidP="009F30F7">
      <w:pPr>
        <w:pStyle w:val="Heading3"/>
        <w:spacing w:line="360" w:lineRule="auto"/>
        <w:jc w:val="both"/>
        <w:rPr>
          <w:rFonts w:ascii="Arial" w:hAnsi="Arial" w:cs="Arial"/>
          <w:b/>
          <w:color w:val="000000" w:themeColor="text1"/>
        </w:rPr>
      </w:pPr>
      <w:bookmarkStart w:id="51" w:name="_Toc209387775"/>
      <w:r w:rsidRPr="00C16BF8">
        <w:rPr>
          <w:rFonts w:ascii="Arial" w:hAnsi="Arial" w:cs="Arial"/>
          <w:b/>
          <w:color w:val="000000" w:themeColor="text1"/>
        </w:rPr>
        <w:t xml:space="preserve">4.4.8 </w:t>
      </w:r>
      <w:r w:rsidR="006511A1" w:rsidRPr="00C16BF8">
        <w:rPr>
          <w:rFonts w:ascii="Arial" w:hAnsi="Arial" w:cs="Arial"/>
          <w:b/>
          <w:color w:val="000000" w:themeColor="text1"/>
        </w:rPr>
        <w:t xml:space="preserve">Illustrative </w:t>
      </w:r>
      <w:r w:rsidR="003426D7" w:rsidRPr="00C16BF8">
        <w:rPr>
          <w:rFonts w:ascii="Arial" w:hAnsi="Arial" w:cs="Arial"/>
          <w:b/>
          <w:color w:val="000000" w:themeColor="text1"/>
        </w:rPr>
        <w:t>Articles</w:t>
      </w:r>
      <w:bookmarkEnd w:id="51"/>
    </w:p>
    <w:p w14:paraId="4234141B" w14:textId="77777777" w:rsidR="006511A1" w:rsidRPr="00453378" w:rsidRDefault="003426D7"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Billings et al. (2021) conducted a frontline qualitative meta-synthesis that embedded UK experiences within a broader set of international reports. Their findings highlighted the moral tensions faced by staff in intensive care and end-of-life settings, the barriers to caring created by inadequate PPE, and the vital buffering role of peer solidarity in helping staff cope with these challenges. De Kock et al. (2021) provided a rapid review that mapped the mental health of healthcare workers in the UK, placing particular emphasis on contextual factors such as staffing levels, redeployment, and organisational communication. Importantly, their work also captured insights from community and primary care, offering a more comprehensive picture of pressures across the healthcare system. Rajan et al. (2020) undertook a policy analysis of long-term care responses across Europe, including the UK. Their analysis highlighted the specific challenges faced in care homes and drew out the wider implications of these pressures for staff experience, particularly around workforce resilience and systemic preparedness</w:t>
      </w:r>
      <w:r w:rsidR="006511A1" w:rsidRPr="00453378">
        <w:rPr>
          <w:rFonts w:ascii="Arial" w:hAnsi="Arial" w:cs="Arial"/>
          <w:color w:val="000000" w:themeColor="text1"/>
          <w:sz w:val="20"/>
        </w:rPr>
        <w:t>.</w:t>
      </w:r>
    </w:p>
    <w:p w14:paraId="62F42E11" w14:textId="77777777" w:rsidR="006511A1" w:rsidRPr="00C16BF8" w:rsidRDefault="009C3ADA" w:rsidP="009F30F7">
      <w:pPr>
        <w:pStyle w:val="Heading3"/>
        <w:spacing w:line="360" w:lineRule="auto"/>
        <w:jc w:val="both"/>
        <w:rPr>
          <w:rFonts w:ascii="Arial" w:hAnsi="Arial" w:cs="Arial"/>
          <w:b/>
          <w:color w:val="000000" w:themeColor="text1"/>
        </w:rPr>
      </w:pPr>
      <w:bookmarkStart w:id="52" w:name="_Toc209387776"/>
      <w:r w:rsidRPr="00C16BF8">
        <w:rPr>
          <w:rFonts w:ascii="Arial" w:hAnsi="Arial" w:cs="Arial"/>
          <w:b/>
          <w:color w:val="000000" w:themeColor="text1"/>
        </w:rPr>
        <w:t xml:space="preserve">4.4.9 </w:t>
      </w:r>
      <w:r w:rsidR="006511A1" w:rsidRPr="00C16BF8">
        <w:rPr>
          <w:rFonts w:ascii="Arial" w:hAnsi="Arial" w:cs="Arial"/>
          <w:b/>
          <w:color w:val="000000" w:themeColor="text1"/>
        </w:rPr>
        <w:t>Implications</w:t>
      </w:r>
      <w:bookmarkEnd w:id="52"/>
    </w:p>
    <w:p w14:paraId="4C982F59" w14:textId="77777777" w:rsidR="0062264E" w:rsidRDefault="006511A1" w:rsidP="0062264E">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setting shapes the stressor profile and resource options. Accordingly, interventions must be tailored: ICU needs structured debriefs and trauma-aware supervision; ambulance services require rest planning and post-incident support; primary/community care benefit from micro-team design and protected time; care homes need equitable access to PPE, testing and psychological services. Uniform “offer lists” (apps, helplines) are necessary but insufficient unless paired with setting-specific design and resourcing (Kinman, Teoh and Harriss, 2020; West et al., 2014).</w:t>
      </w:r>
    </w:p>
    <w:p w14:paraId="055D35C3" w14:textId="77777777" w:rsidR="0062264E" w:rsidRPr="0062264E" w:rsidRDefault="0062264E" w:rsidP="0062264E">
      <w:pPr>
        <w:pStyle w:val="NormalWeb"/>
        <w:spacing w:line="360" w:lineRule="auto"/>
        <w:jc w:val="both"/>
        <w:rPr>
          <w:rFonts w:ascii="Arial" w:hAnsi="Arial" w:cs="Arial"/>
          <w:sz w:val="22"/>
        </w:rPr>
      </w:pPr>
      <w:r w:rsidRPr="0062264E">
        <w:rPr>
          <w:rFonts w:ascii="Arial" w:hAnsi="Arial" w:cs="Arial"/>
          <w:sz w:val="22"/>
        </w:rPr>
        <w:t>By showing how context influences psychological risk and resilience, Theme 2 fulfils Objective 2 and adds nuance to the overall aim by demonstrating that the mental health impact of COVID-19 is patterned by organisational setting as well as by individual factors.</w:t>
      </w:r>
    </w:p>
    <w:p w14:paraId="63E437CE" w14:textId="77777777" w:rsidR="0062264E" w:rsidRPr="0062264E" w:rsidRDefault="0062264E" w:rsidP="0062264E">
      <w:pPr>
        <w:pStyle w:val="NormalWeb"/>
        <w:spacing w:line="360" w:lineRule="auto"/>
        <w:jc w:val="both"/>
        <w:rPr>
          <w:rFonts w:ascii="Arial" w:hAnsi="Arial" w:cs="Arial"/>
          <w:color w:val="000000" w:themeColor="text1"/>
          <w:sz w:val="20"/>
        </w:rPr>
      </w:pPr>
      <w:r w:rsidRPr="0062264E">
        <w:rPr>
          <w:rFonts w:ascii="Arial" w:hAnsi="Arial" w:cs="Arial"/>
          <w:sz w:val="22"/>
        </w:rPr>
        <w:t>These contextual differences also shape which coping strategies are feasible, acceptable and effective in practice, a question explored in Theme 3.</w:t>
      </w:r>
    </w:p>
    <w:p w14:paraId="453DBBFE" w14:textId="77777777" w:rsidR="006511A1" w:rsidRPr="00453378" w:rsidRDefault="003426D7" w:rsidP="009F30F7">
      <w:pPr>
        <w:pStyle w:val="NormalWeb"/>
        <w:spacing w:line="360" w:lineRule="auto"/>
        <w:jc w:val="both"/>
        <w:rPr>
          <w:rFonts w:ascii="Arial" w:hAnsi="Arial" w:cs="Arial"/>
          <w:color w:val="000000" w:themeColor="text1"/>
          <w:sz w:val="22"/>
        </w:rPr>
      </w:pPr>
      <w:r w:rsidRPr="00453378">
        <w:rPr>
          <w:rFonts w:ascii="Arial" w:hAnsi="Arial" w:cs="Arial"/>
          <w:b/>
          <w:color w:val="000000" w:themeColor="text1"/>
          <w:sz w:val="22"/>
        </w:rPr>
        <w:t xml:space="preserve">Connections to other themes: </w:t>
      </w:r>
      <w:r w:rsidR="006511A1" w:rsidRPr="00453378">
        <w:rPr>
          <w:rFonts w:ascii="Arial" w:hAnsi="Arial" w:cs="Arial"/>
          <w:color w:val="000000" w:themeColor="text1"/>
          <w:sz w:val="22"/>
        </w:rPr>
        <w:t>Setting-linked stressors influence the type and uptake of coping supports (Theme 3) and signal where policy must focus (Theme 4).</w:t>
      </w:r>
    </w:p>
    <w:p w14:paraId="6C61D729" w14:textId="77777777" w:rsidR="003426D7" w:rsidRPr="00C16BF8" w:rsidRDefault="003426D7" w:rsidP="009F30F7">
      <w:pPr>
        <w:pStyle w:val="Heading2"/>
        <w:spacing w:line="360" w:lineRule="auto"/>
        <w:jc w:val="both"/>
        <w:rPr>
          <w:rFonts w:ascii="Arial" w:hAnsi="Arial" w:cs="Arial"/>
          <w:b/>
          <w:color w:val="000000" w:themeColor="text1"/>
        </w:rPr>
      </w:pPr>
      <w:bookmarkStart w:id="53" w:name="_Toc209387777"/>
      <w:r w:rsidRPr="00C16BF8">
        <w:rPr>
          <w:rFonts w:ascii="Arial" w:hAnsi="Arial" w:cs="Arial"/>
          <w:b/>
          <w:color w:val="000000" w:themeColor="text1"/>
        </w:rPr>
        <w:t xml:space="preserve">4.5 Theme 3 - </w:t>
      </w:r>
      <w:r w:rsidR="006511A1" w:rsidRPr="00C16BF8">
        <w:rPr>
          <w:rFonts w:ascii="Arial" w:hAnsi="Arial" w:cs="Arial"/>
          <w:b/>
          <w:color w:val="000000" w:themeColor="text1"/>
        </w:rPr>
        <w:t>Coping Strategies: Strengths and Limitations</w:t>
      </w:r>
      <w:bookmarkEnd w:id="53"/>
      <w:r w:rsidR="006511A1" w:rsidRPr="00C16BF8">
        <w:rPr>
          <w:rFonts w:ascii="Arial" w:hAnsi="Arial" w:cs="Arial"/>
          <w:b/>
          <w:color w:val="000000" w:themeColor="text1"/>
        </w:rPr>
        <w:t xml:space="preserve"> </w:t>
      </w:r>
    </w:p>
    <w:p w14:paraId="00884293" w14:textId="77777777" w:rsidR="006511A1" w:rsidRPr="00C16BF8" w:rsidRDefault="009C3ADA" w:rsidP="009F30F7">
      <w:pPr>
        <w:pStyle w:val="Heading3"/>
        <w:spacing w:line="360" w:lineRule="auto"/>
        <w:jc w:val="both"/>
        <w:rPr>
          <w:rFonts w:ascii="Arial" w:hAnsi="Arial" w:cs="Arial"/>
          <w:b/>
          <w:color w:val="000000" w:themeColor="text1"/>
        </w:rPr>
      </w:pPr>
      <w:bookmarkStart w:id="54" w:name="_Toc209387778"/>
      <w:r w:rsidRPr="00C16BF8">
        <w:rPr>
          <w:rFonts w:ascii="Arial" w:hAnsi="Arial" w:cs="Arial"/>
          <w:b/>
          <w:color w:val="000000" w:themeColor="text1"/>
        </w:rPr>
        <w:t xml:space="preserve">4.5.1 </w:t>
      </w:r>
      <w:r w:rsidR="006511A1" w:rsidRPr="00C16BF8">
        <w:rPr>
          <w:rFonts w:ascii="Arial" w:hAnsi="Arial" w:cs="Arial"/>
          <w:b/>
          <w:color w:val="000000" w:themeColor="text1"/>
        </w:rPr>
        <w:t xml:space="preserve">Definitions </w:t>
      </w:r>
      <w:r w:rsidR="006D74BA" w:rsidRPr="00C16BF8">
        <w:rPr>
          <w:rFonts w:ascii="Arial" w:hAnsi="Arial" w:cs="Arial"/>
          <w:b/>
          <w:color w:val="000000" w:themeColor="text1"/>
        </w:rPr>
        <w:t>and Scope</w:t>
      </w:r>
      <w:bookmarkEnd w:id="54"/>
    </w:p>
    <w:p w14:paraId="066EAC7D" w14:textId="77777777" w:rsidR="00623419"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Coping strategies encompass cognitive, behavioural, social and organisational methods HCWs used or were offered to regulate d</w:t>
      </w:r>
      <w:r w:rsidR="006D74BA" w:rsidRPr="00453378">
        <w:rPr>
          <w:rFonts w:ascii="Arial" w:hAnsi="Arial" w:cs="Arial"/>
          <w:color w:val="000000" w:themeColor="text1"/>
          <w:sz w:val="22"/>
        </w:rPr>
        <w:t xml:space="preserve">istress and sustain functioning, </w:t>
      </w:r>
      <w:r w:rsidRPr="00453378">
        <w:rPr>
          <w:rFonts w:ascii="Arial" w:hAnsi="Arial" w:cs="Arial"/>
          <w:color w:val="000000" w:themeColor="text1"/>
          <w:sz w:val="22"/>
        </w:rPr>
        <w:t>ranging from individual practices (sleep hygiene, exercise, mindfulness) to relational supports (peer debriefs, family) and system interventions (rest hubs, counselling, rota redesign, leadership communication) (Lazarus and Folkman, 1984; Wu, Styra and Gold, 2020).</w:t>
      </w:r>
    </w:p>
    <w:p w14:paraId="5EDBFBE5" w14:textId="77777777" w:rsidR="0052521B" w:rsidRPr="00C16BF8" w:rsidRDefault="009C3ADA" w:rsidP="009F30F7">
      <w:pPr>
        <w:pStyle w:val="Heading3"/>
        <w:spacing w:line="360" w:lineRule="auto"/>
        <w:jc w:val="both"/>
        <w:rPr>
          <w:rFonts w:ascii="Arial" w:hAnsi="Arial" w:cs="Arial"/>
          <w:b/>
          <w:color w:val="000000" w:themeColor="text1"/>
        </w:rPr>
      </w:pPr>
      <w:bookmarkStart w:id="55" w:name="_Toc209387779"/>
      <w:r w:rsidRPr="00C16BF8">
        <w:rPr>
          <w:rFonts w:ascii="Arial" w:hAnsi="Arial" w:cs="Arial"/>
          <w:b/>
          <w:color w:val="000000" w:themeColor="text1"/>
        </w:rPr>
        <w:t xml:space="preserve">4.5.2 </w:t>
      </w:r>
      <w:r w:rsidR="0052521B" w:rsidRPr="00C16BF8">
        <w:rPr>
          <w:rFonts w:ascii="Arial" w:hAnsi="Arial" w:cs="Arial"/>
          <w:b/>
          <w:color w:val="000000" w:themeColor="text1"/>
        </w:rPr>
        <w:t>Link to Objective 3</w:t>
      </w:r>
      <w:bookmarkEnd w:id="55"/>
    </w:p>
    <w:p w14:paraId="385B6647" w14:textId="77777777" w:rsidR="0052521B" w:rsidRPr="00453378" w:rsidRDefault="0052521B"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directly fulfils Objective 3 by critically examining the strengths (peer solidarity, embedded/brief psychological input, practical “resource gains,” compassionate leadership) and limitations (time barriers, stigma/confidentiality concerns, offer–need mismatch, inequities) of coping supports reported by UK HCWs (Billings et al., 2021; Kinman, Teoh and Harriss, 2020; Blake et al., 2020). Interpreting these findings through JD-R, COR, ERI and moral-injury frameworks clarifies why some supports worked and others fell short (Bakker and Demerouti, 2007; Hobfoll, 2018; Siegrist, 1996; Litz et al., 2009). This evaluation provides evidence-informed guidance for strengthening design and delivery of staff wellbeing interventions.</w:t>
      </w:r>
    </w:p>
    <w:p w14:paraId="256F8377" w14:textId="77777777" w:rsidR="006511A1" w:rsidRPr="00C16BF8" w:rsidRDefault="009C3ADA" w:rsidP="009F30F7">
      <w:pPr>
        <w:pStyle w:val="Heading3"/>
        <w:spacing w:line="360" w:lineRule="auto"/>
        <w:jc w:val="both"/>
        <w:rPr>
          <w:rFonts w:ascii="Arial" w:hAnsi="Arial" w:cs="Arial"/>
          <w:b/>
          <w:color w:val="000000" w:themeColor="text1"/>
        </w:rPr>
      </w:pPr>
      <w:bookmarkStart w:id="56" w:name="_Toc209387780"/>
      <w:r w:rsidRPr="00C16BF8">
        <w:rPr>
          <w:rFonts w:ascii="Arial" w:hAnsi="Arial" w:cs="Arial"/>
          <w:b/>
          <w:color w:val="000000" w:themeColor="text1"/>
        </w:rPr>
        <w:t xml:space="preserve">4.5.3 </w:t>
      </w:r>
      <w:r w:rsidR="006511A1" w:rsidRPr="00C16BF8">
        <w:rPr>
          <w:rFonts w:ascii="Arial" w:hAnsi="Arial" w:cs="Arial"/>
          <w:b/>
          <w:color w:val="000000" w:themeColor="text1"/>
        </w:rPr>
        <w:t>What worked (perceived strengths)</w:t>
      </w:r>
      <w:bookmarkEnd w:id="56"/>
    </w:p>
    <w:p w14:paraId="4213459F" w14:textId="77777777" w:rsidR="006D74BA" w:rsidRPr="00453378" w:rsidRDefault="006D74BA"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Peer support and team cohesion were consistently highlighted as vital sources of strength. Informal practices such as checking in with colleagues, end-of-shift huddles, and peer debriefs were widely described as acceptable, immediately helpful, and low-fric</w:t>
      </w:r>
      <w:r w:rsidR="00FC154D" w:rsidRPr="00453378">
        <w:rPr>
          <w:rFonts w:ascii="Arial" w:eastAsia="Times New Roman" w:hAnsi="Arial" w:cs="Arial"/>
          <w:color w:val="000000" w:themeColor="text1"/>
          <w:szCs w:val="24"/>
        </w:rPr>
        <w:t xml:space="preserve">tion “resources” in Job Demands </w:t>
      </w:r>
      <w:r w:rsidRPr="00453378">
        <w:rPr>
          <w:rFonts w:ascii="Arial" w:eastAsia="Times New Roman" w:hAnsi="Arial" w:cs="Arial"/>
          <w:color w:val="000000" w:themeColor="text1"/>
          <w:szCs w:val="24"/>
        </w:rPr>
        <w:t>Resources (JD-R) terms (Billings et al., 2021; Kinman, Teoh and Harriss, 2020). More formal approaches, including Schwartz Rounds and structured reflective spaces, were also valued where they were implemented, providing opportunities for collective reflection and emotional processing.</w:t>
      </w:r>
      <w:r w:rsidR="00400142"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Accessible psychological services were most effective when they were proactive and embedded within clinical environments. In-house psychology teams offering drop-in sessions on wards, along with brief, targeted interventions, saw greater uptake and perceived usefulness compared with remote or referral-based models (Billings et al., 2021). Short, practical sessions that addressed sleep, grounding techniques, and managing uncertainty aligned with psychological first aid principles, making them particularly relevant and actionable for staff under pressure (Wu, Styra and Gold, 2020).</w:t>
      </w:r>
    </w:p>
    <w:p w14:paraId="7862B2FC" w14:textId="77777777" w:rsidR="006D74BA" w:rsidRPr="00C16BF8" w:rsidRDefault="006D74BA" w:rsidP="009F30F7">
      <w:pPr>
        <w:spacing w:before="100" w:beforeAutospacing="1" w:after="100" w:afterAutospacing="1" w:line="360" w:lineRule="auto"/>
        <w:jc w:val="both"/>
        <w:rPr>
          <w:rFonts w:ascii="Arial" w:eastAsia="Times New Roman" w:hAnsi="Arial" w:cs="Arial"/>
          <w:color w:val="000000" w:themeColor="text1"/>
          <w:sz w:val="24"/>
          <w:szCs w:val="24"/>
        </w:rPr>
      </w:pPr>
      <w:r w:rsidRPr="00453378">
        <w:rPr>
          <w:rFonts w:ascii="Arial" w:eastAsia="Times New Roman" w:hAnsi="Arial" w:cs="Arial"/>
          <w:color w:val="000000" w:themeColor="text1"/>
          <w:szCs w:val="24"/>
        </w:rPr>
        <w:t>Practical supports were described as tangible “resource gains” that buffered stress and created gain spirals, consistent with Conservation of Resources (COR) theory. Facilities such as rest hubs, access to hot food, parking, accommodation for staff protecting vulnerable family members, and reliable PPE supplies were regarded as concrete measures that significantly improved wellbeing, especially during peak periods of demand (Hobfoll, 2018; Blake et al., 2020).</w:t>
      </w:r>
      <w:r w:rsidR="00400142"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Leadership and communication also played a crucial role in shaping staff experience. Visible and compassionate leadership, combined with consistent two-way communication, helped to reduce uncertainty and signal organisational justice. This, in turn, fostered trust and improved the willingness of staff to engage with the supports available to them (West et al., 2014; Greenberg et al., 2020).</w:t>
      </w:r>
    </w:p>
    <w:p w14:paraId="7D795FA9" w14:textId="77777777" w:rsidR="006511A1" w:rsidRPr="00C16BF8" w:rsidRDefault="009C3ADA" w:rsidP="009F30F7">
      <w:pPr>
        <w:pStyle w:val="Heading3"/>
        <w:spacing w:line="360" w:lineRule="auto"/>
        <w:jc w:val="both"/>
        <w:rPr>
          <w:rFonts w:ascii="Arial" w:hAnsi="Arial" w:cs="Arial"/>
          <w:b/>
          <w:color w:val="000000" w:themeColor="text1"/>
        </w:rPr>
      </w:pPr>
      <w:bookmarkStart w:id="57" w:name="_Toc209387781"/>
      <w:r w:rsidRPr="00C16BF8">
        <w:rPr>
          <w:rFonts w:ascii="Arial" w:hAnsi="Arial" w:cs="Arial"/>
          <w:b/>
          <w:color w:val="000000" w:themeColor="text1"/>
        </w:rPr>
        <w:t xml:space="preserve">4.5.4 </w:t>
      </w:r>
      <w:r w:rsidR="006511A1" w:rsidRPr="00C16BF8">
        <w:rPr>
          <w:rFonts w:ascii="Arial" w:hAnsi="Arial" w:cs="Arial"/>
          <w:b/>
          <w:color w:val="000000" w:themeColor="text1"/>
        </w:rPr>
        <w:t xml:space="preserve">Limitations </w:t>
      </w:r>
      <w:r w:rsidR="00400142" w:rsidRPr="00C16BF8">
        <w:rPr>
          <w:rFonts w:ascii="Arial" w:hAnsi="Arial" w:cs="Arial"/>
          <w:b/>
          <w:color w:val="000000" w:themeColor="text1"/>
        </w:rPr>
        <w:t>and Barriers</w:t>
      </w:r>
      <w:bookmarkEnd w:id="57"/>
    </w:p>
    <w:p w14:paraId="3457C8D0" w14:textId="77777777" w:rsidR="00E0786A" w:rsidRPr="00453378" w:rsidRDefault="00E0786A"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One of the most frequently cited barriers to accessing support was time. Back-to-back shifts, the absence of protected breaks, and the reluctance to stay late for wellbeing sessions all reduced uptake, even when staff reported high levels of need. Rotating or night staff were often excluded in practice, highlighting inequities linked to scheduling (Billings et al., 2021). Perceived stigma and concerns around confidentiality also played a significant role in shaping help-seeking behaviour. Some staff avoided formal psychological services due to fears of career repercussions or being judged as “not coping.” In these cases, trust in confidentiality and a sense of psychological safety were critical to whether individuals engaged with available support (Kinman, Teoh and Harriss, 2020).</w:t>
      </w:r>
    </w:p>
    <w:p w14:paraId="26BF9520" w14:textId="77777777" w:rsidR="00E0786A" w:rsidRPr="00453378" w:rsidRDefault="00E0786A"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Another barrier lay in the mismatch between support offers and staff needs. While app-based or remote support was convenient and appreciated by some, others found it impersonal or overly generic. In contexts where the main stressors were structural, such as chronic understaffing or rota instability, individual-level interventions often felt inadequate or even frustrating (Maslach and Leiter, 2016; Greenberg et al., 2020). Equity of access also emerged as a concern. Care home staff, bank and agency workers, and certain community teams reported fewer support options or faced practical barriers such as travel and scheduling. These disparities raised important questions about fairness and inclusivity in the provision of staff wellbeing resources (Rajan et al., 2020; De Kock et al., 2021).</w:t>
      </w:r>
    </w:p>
    <w:p w14:paraId="1EC8C3FE" w14:textId="77777777" w:rsidR="006511A1" w:rsidRPr="00C16BF8" w:rsidRDefault="009C3ADA" w:rsidP="009F30F7">
      <w:pPr>
        <w:pStyle w:val="Heading3"/>
        <w:spacing w:line="360" w:lineRule="auto"/>
        <w:jc w:val="both"/>
        <w:rPr>
          <w:rFonts w:ascii="Arial" w:hAnsi="Arial" w:cs="Arial"/>
          <w:b/>
          <w:color w:val="000000" w:themeColor="text1"/>
        </w:rPr>
      </w:pPr>
      <w:bookmarkStart w:id="58" w:name="_Toc209387782"/>
      <w:r w:rsidRPr="00C16BF8">
        <w:rPr>
          <w:rFonts w:ascii="Arial" w:hAnsi="Arial" w:cs="Arial"/>
          <w:b/>
          <w:color w:val="000000" w:themeColor="text1"/>
        </w:rPr>
        <w:t xml:space="preserve">4.5.5 </w:t>
      </w:r>
      <w:r w:rsidR="006511A1" w:rsidRPr="00C16BF8">
        <w:rPr>
          <w:rFonts w:ascii="Arial" w:hAnsi="Arial" w:cs="Arial"/>
          <w:b/>
          <w:color w:val="000000" w:themeColor="text1"/>
        </w:rPr>
        <w:t xml:space="preserve">Illustrative </w:t>
      </w:r>
      <w:r w:rsidR="007D026B" w:rsidRPr="00C16BF8">
        <w:rPr>
          <w:rFonts w:ascii="Arial" w:hAnsi="Arial" w:cs="Arial"/>
          <w:b/>
          <w:color w:val="000000" w:themeColor="text1"/>
        </w:rPr>
        <w:t>Articles</w:t>
      </w:r>
      <w:bookmarkEnd w:id="58"/>
    </w:p>
    <w:p w14:paraId="1713B92C" w14:textId="77777777" w:rsidR="0084431C" w:rsidRPr="00453378" w:rsidRDefault="0084431C"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Kinman, Teoh and Harriss (2020) produced a synthesis of UK guidance which emphasised the importance of multi-level approaches to staff wellbeing. Their work highlighted the role of practical resources, compassionate leadership, and manager training in shaping supportive environments. These recommendations map closely onto the kinds of supports that healthcare workers themselves consistently rated as helpful in practice.</w:t>
      </w:r>
      <w:r w:rsidR="00C91978"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Billings et al. (2021), through a qualitative meta-synthesis, underscored the value of peer solidarity and embedded forms of psychological support. They noted, however, that staff faced persistent barriers such as lack of time, stigma surrounding help-seeking, and the need for organisations to address structural causes of stress rather than relying solely on individual-level interventions.</w:t>
      </w:r>
    </w:p>
    <w:p w14:paraId="6AB394EA" w14:textId="77777777" w:rsidR="0084431C" w:rsidRPr="00453378" w:rsidRDefault="0084431C"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Blake et al. (2020) evaluated a rapidly developed digital learning package designed to deliver practical wellbeing skills at scale during the pandemic. Participants reported that the brevity, accessibility, and relevance of the material made it useful, though engagement varied and some noted the challenges of digital fatigue.</w:t>
      </w:r>
      <w:r w:rsidR="00C91978"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De Kock et al. (2021) carried out a rapid review of healthcare worker mental health in the UK, mapping evidence across different settings. Their findings emphasised the pressures of staffing shortages, redeployment, and inconsistent organisational communication, while also drawing attention to the experiences of community and primary care staff, who were often underrepresented in earlier discussions.</w:t>
      </w:r>
      <w:r w:rsidR="00C91978" w:rsidRPr="00453378">
        <w:rPr>
          <w:rFonts w:ascii="Arial" w:eastAsia="Times New Roman" w:hAnsi="Arial" w:cs="Arial"/>
          <w:color w:val="000000" w:themeColor="text1"/>
          <w:szCs w:val="24"/>
        </w:rPr>
        <w:t xml:space="preserve"> </w:t>
      </w:r>
      <w:r w:rsidRPr="00453378">
        <w:rPr>
          <w:rFonts w:ascii="Arial" w:eastAsia="Times New Roman" w:hAnsi="Arial" w:cs="Arial"/>
          <w:color w:val="000000" w:themeColor="text1"/>
          <w:szCs w:val="24"/>
        </w:rPr>
        <w:t>Rajan et al. (2020) conducted a policy analysis of long-term care responses across Europe, with particular attention to the UK. They highlighted the challenges faced in care homes, where staff often had less access to wellbeing resources and were disproportionately affected by systemic shortcomings, raising concerns about equity and workforce resilience.</w:t>
      </w:r>
    </w:p>
    <w:p w14:paraId="0664BD3D" w14:textId="77777777" w:rsidR="006511A1" w:rsidRPr="00C16BF8" w:rsidRDefault="009C3ADA" w:rsidP="009F30F7">
      <w:pPr>
        <w:pStyle w:val="Heading3"/>
        <w:spacing w:line="360" w:lineRule="auto"/>
        <w:jc w:val="both"/>
        <w:rPr>
          <w:rFonts w:ascii="Arial" w:hAnsi="Arial" w:cs="Arial"/>
          <w:b/>
          <w:color w:val="000000" w:themeColor="text1"/>
        </w:rPr>
      </w:pPr>
      <w:bookmarkStart w:id="59" w:name="_Toc209387783"/>
      <w:r w:rsidRPr="00C16BF8">
        <w:rPr>
          <w:rFonts w:ascii="Arial" w:hAnsi="Arial" w:cs="Arial"/>
          <w:b/>
          <w:color w:val="000000" w:themeColor="text1"/>
        </w:rPr>
        <w:t xml:space="preserve">4.5.6 </w:t>
      </w:r>
      <w:r w:rsidR="006511A1" w:rsidRPr="00C16BF8">
        <w:rPr>
          <w:rFonts w:ascii="Arial" w:hAnsi="Arial" w:cs="Arial"/>
          <w:b/>
          <w:color w:val="000000" w:themeColor="text1"/>
        </w:rPr>
        <w:t xml:space="preserve">Theoretical </w:t>
      </w:r>
      <w:r w:rsidR="00F66EE8" w:rsidRPr="00C16BF8">
        <w:rPr>
          <w:rFonts w:ascii="Arial" w:hAnsi="Arial" w:cs="Arial"/>
          <w:b/>
          <w:color w:val="000000" w:themeColor="text1"/>
        </w:rPr>
        <w:t>Integration</w:t>
      </w:r>
      <w:bookmarkEnd w:id="59"/>
    </w:p>
    <w:p w14:paraId="61BC73AC"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JD-R helps explain why supports that add resources (autonomy, recovery time, supervisor support) are rated as more useful than those focusing solely on individual coping; ERI and moral injury frameworks explain why fairness and values alignment matter for sustained wellbeing (Bakker and Demerouti, 2007; Siegrist, 1996; Litz et al., 2009). COR clarifies why small, reliable practical gains (breaks, sleep, accommodation) can have outsized effects by interrupting loss spirals (Hobfoll, 2018).</w:t>
      </w:r>
    </w:p>
    <w:p w14:paraId="15AE7543" w14:textId="77777777" w:rsidR="006511A1" w:rsidRPr="00C16BF8" w:rsidRDefault="009C3ADA" w:rsidP="009F30F7">
      <w:pPr>
        <w:pStyle w:val="Heading3"/>
        <w:spacing w:line="360" w:lineRule="auto"/>
        <w:jc w:val="both"/>
        <w:rPr>
          <w:rFonts w:ascii="Arial" w:hAnsi="Arial" w:cs="Arial"/>
          <w:b/>
          <w:color w:val="000000" w:themeColor="text1"/>
        </w:rPr>
      </w:pPr>
      <w:bookmarkStart w:id="60" w:name="_Toc209387784"/>
      <w:r w:rsidRPr="00C16BF8">
        <w:rPr>
          <w:rFonts w:ascii="Arial" w:hAnsi="Arial" w:cs="Arial"/>
          <w:b/>
          <w:color w:val="000000" w:themeColor="text1"/>
        </w:rPr>
        <w:t xml:space="preserve">4.5.7 </w:t>
      </w:r>
      <w:r w:rsidR="00F66EE8" w:rsidRPr="00C16BF8">
        <w:rPr>
          <w:rFonts w:ascii="Arial" w:hAnsi="Arial" w:cs="Arial"/>
          <w:b/>
          <w:color w:val="000000" w:themeColor="text1"/>
        </w:rPr>
        <w:t>I</w:t>
      </w:r>
      <w:r w:rsidR="006511A1" w:rsidRPr="00C16BF8">
        <w:rPr>
          <w:rFonts w:ascii="Arial" w:hAnsi="Arial" w:cs="Arial"/>
          <w:b/>
          <w:color w:val="000000" w:themeColor="text1"/>
        </w:rPr>
        <w:t>mplications</w:t>
      </w:r>
      <w:bookmarkEnd w:id="60"/>
    </w:p>
    <w:p w14:paraId="60D554C5" w14:textId="77777777" w:rsidR="006E29D2" w:rsidRPr="00453378" w:rsidRDefault="006E29D2"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A key positive implication is that peer-led, embedded, brief, and practical supports are widely acceptable to staff and have strong potential for scalability. When such supports are coupled with compassionate and visible leadership, they not only address immediate wellbeing needs but also foster trust and cohesion within teams. This combination offers a sustainable approach to supporting staff in high-pressure healthcare environments.</w:t>
      </w:r>
    </w:p>
    <w:p w14:paraId="7321E3B4" w14:textId="77777777" w:rsidR="0062264E" w:rsidRDefault="006E29D2" w:rsidP="0062264E">
      <w:pPr>
        <w:spacing w:before="100" w:beforeAutospacing="1" w:after="100" w:afterAutospacing="1" w:line="360" w:lineRule="auto"/>
        <w:jc w:val="both"/>
        <w:rPr>
          <w:rFonts w:ascii="Arial" w:hAnsi="Arial" w:cs="Arial"/>
          <w:color w:val="000000" w:themeColor="text1"/>
        </w:rPr>
      </w:pPr>
      <w:r w:rsidRPr="00453378">
        <w:rPr>
          <w:rFonts w:ascii="Arial" w:eastAsia="Times New Roman" w:hAnsi="Arial" w:cs="Arial"/>
          <w:color w:val="000000" w:themeColor="text1"/>
        </w:rPr>
        <w:t>On the other hand, there are important risks if systemic issues are not addressed. Without protected time, adequate staffing relief, and deliberate attention to equity, even the highest-quality supports may remain under-utilised. In such circumstances, interventions risk being perceived by staff as tokenistic gestures rather than meaningful efforts to address their wellbeing. This underlines the need for organisations to integrate support into the core fabric of workforce planning and resource allocation</w:t>
      </w:r>
      <w:r w:rsidR="006511A1" w:rsidRPr="00453378">
        <w:rPr>
          <w:rFonts w:ascii="Arial" w:hAnsi="Arial" w:cs="Arial"/>
          <w:color w:val="000000" w:themeColor="text1"/>
        </w:rPr>
        <w:t>.</w:t>
      </w:r>
    </w:p>
    <w:p w14:paraId="76295DEF" w14:textId="77777777" w:rsidR="0062264E" w:rsidRPr="0062264E" w:rsidRDefault="0062264E" w:rsidP="0062264E">
      <w:pPr>
        <w:spacing w:before="100" w:beforeAutospacing="1" w:after="100" w:afterAutospacing="1" w:line="360" w:lineRule="auto"/>
        <w:jc w:val="both"/>
        <w:rPr>
          <w:rFonts w:ascii="Arial" w:hAnsi="Arial" w:cs="Arial"/>
          <w:color w:val="000000" w:themeColor="text1"/>
          <w:sz w:val="20"/>
        </w:rPr>
      </w:pPr>
      <w:r w:rsidRPr="0062264E">
        <w:rPr>
          <w:rFonts w:ascii="Arial" w:eastAsia="Times New Roman" w:hAnsi="Arial" w:cs="Arial"/>
          <w:szCs w:val="24"/>
        </w:rPr>
        <w:t>In directly evaluating what helped, what hindered, and where gaps remain, Theme 3 addresses Objective 3 and advances the overall aim by identifying the strengths and limitations of coping strategies deployed during the pandemic.</w:t>
      </w:r>
    </w:p>
    <w:p w14:paraId="2C05893E" w14:textId="77777777" w:rsidR="0062264E" w:rsidRPr="0062264E" w:rsidRDefault="0062264E" w:rsidP="0062264E">
      <w:pPr>
        <w:spacing w:before="100" w:beforeAutospacing="1" w:after="100" w:afterAutospacing="1" w:line="360" w:lineRule="auto"/>
        <w:jc w:val="both"/>
        <w:rPr>
          <w:rFonts w:ascii="Arial" w:hAnsi="Arial" w:cs="Arial"/>
          <w:color w:val="000000" w:themeColor="text1"/>
          <w:sz w:val="20"/>
        </w:rPr>
      </w:pPr>
      <w:r w:rsidRPr="0062264E">
        <w:rPr>
          <w:rFonts w:ascii="Arial" w:eastAsia="Times New Roman" w:hAnsi="Arial" w:cs="Arial"/>
          <w:szCs w:val="24"/>
        </w:rPr>
        <w:t>These findings provide the evidence base for Theme 4, which translates them into concrete recommendations for support systems, organisational policies and future crisis planning.</w:t>
      </w:r>
    </w:p>
    <w:p w14:paraId="6B6EED42" w14:textId="77777777" w:rsidR="006511A1" w:rsidRPr="00453378" w:rsidRDefault="006511A1" w:rsidP="009F30F7">
      <w:pPr>
        <w:pStyle w:val="NormalWeb"/>
        <w:spacing w:line="360" w:lineRule="auto"/>
        <w:jc w:val="both"/>
        <w:rPr>
          <w:rFonts w:ascii="Arial" w:hAnsi="Arial" w:cs="Arial"/>
          <w:color w:val="000000" w:themeColor="text1"/>
          <w:sz w:val="22"/>
          <w:szCs w:val="22"/>
        </w:rPr>
      </w:pPr>
      <w:r w:rsidRPr="00453378">
        <w:rPr>
          <w:rFonts w:ascii="Arial" w:hAnsi="Arial" w:cs="Arial"/>
          <w:b/>
          <w:color w:val="000000" w:themeColor="text1"/>
          <w:sz w:val="22"/>
          <w:szCs w:val="22"/>
        </w:rPr>
        <w:t>C</w:t>
      </w:r>
      <w:r w:rsidR="006E29D2" w:rsidRPr="00453378">
        <w:rPr>
          <w:rFonts w:ascii="Arial" w:hAnsi="Arial" w:cs="Arial"/>
          <w:b/>
          <w:color w:val="000000" w:themeColor="text1"/>
          <w:sz w:val="22"/>
          <w:szCs w:val="22"/>
        </w:rPr>
        <w:t>onnections to other themes:</w:t>
      </w:r>
      <w:r w:rsidR="006E29D2" w:rsidRPr="00453378">
        <w:rPr>
          <w:rFonts w:ascii="Arial" w:hAnsi="Arial" w:cs="Arial"/>
          <w:color w:val="000000" w:themeColor="text1"/>
          <w:sz w:val="22"/>
          <w:szCs w:val="22"/>
        </w:rPr>
        <w:t xml:space="preserve"> </w:t>
      </w:r>
      <w:r w:rsidRPr="00453378">
        <w:rPr>
          <w:rFonts w:ascii="Arial" w:hAnsi="Arial" w:cs="Arial"/>
          <w:color w:val="000000" w:themeColor="text1"/>
          <w:sz w:val="22"/>
          <w:szCs w:val="22"/>
        </w:rPr>
        <w:t>Coping effectiveness depends on setting design and resources (Theme 2) and is shaped by policy decisions on staffing, leave, and occupational health (Theme 4).</w:t>
      </w:r>
    </w:p>
    <w:p w14:paraId="1990DFBC" w14:textId="77777777" w:rsidR="006511A1" w:rsidRPr="00C16BF8" w:rsidRDefault="002A7F25" w:rsidP="009F30F7">
      <w:pPr>
        <w:pStyle w:val="Heading2"/>
        <w:spacing w:line="360" w:lineRule="auto"/>
        <w:jc w:val="both"/>
        <w:rPr>
          <w:rFonts w:ascii="Arial" w:hAnsi="Arial" w:cs="Arial"/>
          <w:b/>
          <w:color w:val="000000" w:themeColor="text1"/>
        </w:rPr>
      </w:pPr>
      <w:bookmarkStart w:id="61" w:name="_Toc209387785"/>
      <w:r w:rsidRPr="00C16BF8">
        <w:rPr>
          <w:rFonts w:ascii="Arial" w:hAnsi="Arial" w:cs="Arial"/>
          <w:b/>
          <w:color w:val="000000" w:themeColor="text1"/>
        </w:rPr>
        <w:t xml:space="preserve">4.6 Theme 4 - </w:t>
      </w:r>
      <w:r w:rsidR="006511A1" w:rsidRPr="00C16BF8">
        <w:rPr>
          <w:rFonts w:ascii="Arial" w:hAnsi="Arial" w:cs="Arial"/>
          <w:b/>
          <w:color w:val="000000" w:themeColor="text1"/>
        </w:rPr>
        <w:t>Recommendations for Support Systems, Policy and Future Planning</w:t>
      </w:r>
      <w:bookmarkEnd w:id="61"/>
      <w:r w:rsidR="006511A1" w:rsidRPr="00C16BF8">
        <w:rPr>
          <w:rFonts w:ascii="Arial" w:hAnsi="Arial" w:cs="Arial"/>
          <w:b/>
          <w:color w:val="000000" w:themeColor="text1"/>
        </w:rPr>
        <w:t xml:space="preserve"> </w:t>
      </w:r>
    </w:p>
    <w:p w14:paraId="65E3F25B" w14:textId="77777777" w:rsidR="006511A1" w:rsidRPr="00C16BF8" w:rsidRDefault="009C3ADA" w:rsidP="009F30F7">
      <w:pPr>
        <w:pStyle w:val="Heading3"/>
        <w:spacing w:line="360" w:lineRule="auto"/>
        <w:jc w:val="both"/>
        <w:rPr>
          <w:rFonts w:ascii="Arial" w:hAnsi="Arial" w:cs="Arial"/>
          <w:b/>
          <w:color w:val="000000" w:themeColor="text1"/>
        </w:rPr>
      </w:pPr>
      <w:bookmarkStart w:id="62" w:name="_Toc209387786"/>
      <w:r w:rsidRPr="00C16BF8">
        <w:rPr>
          <w:rFonts w:ascii="Arial" w:hAnsi="Arial" w:cs="Arial"/>
          <w:b/>
          <w:color w:val="000000" w:themeColor="text1"/>
        </w:rPr>
        <w:t xml:space="preserve">4.6.1 </w:t>
      </w:r>
      <w:r w:rsidR="006511A1" w:rsidRPr="00C16BF8">
        <w:rPr>
          <w:rFonts w:ascii="Arial" w:hAnsi="Arial" w:cs="Arial"/>
          <w:b/>
          <w:color w:val="000000" w:themeColor="text1"/>
        </w:rPr>
        <w:t>From findings to action</w:t>
      </w:r>
      <w:bookmarkEnd w:id="62"/>
    </w:p>
    <w:p w14:paraId="74D57CB3"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 synthesis poin</w:t>
      </w:r>
      <w:r w:rsidR="009F5085" w:rsidRPr="00453378">
        <w:rPr>
          <w:rFonts w:ascii="Arial" w:hAnsi="Arial" w:cs="Arial"/>
          <w:color w:val="000000" w:themeColor="text1"/>
          <w:sz w:val="22"/>
        </w:rPr>
        <w:t xml:space="preserve">ts to multi-level interventions, </w:t>
      </w:r>
      <w:r w:rsidRPr="00453378">
        <w:rPr>
          <w:rFonts w:ascii="Arial" w:hAnsi="Arial" w:cs="Arial"/>
          <w:color w:val="000000" w:themeColor="text1"/>
          <w:sz w:val="22"/>
        </w:rPr>
        <w:t xml:space="preserve">individual, </w:t>
      </w:r>
      <w:r w:rsidR="009F5085" w:rsidRPr="00453378">
        <w:rPr>
          <w:rFonts w:ascii="Arial" w:hAnsi="Arial" w:cs="Arial"/>
          <w:color w:val="000000" w:themeColor="text1"/>
          <w:sz w:val="22"/>
        </w:rPr>
        <w:t xml:space="preserve">team, organisational and system, </w:t>
      </w:r>
      <w:r w:rsidRPr="00453378">
        <w:rPr>
          <w:rFonts w:ascii="Arial" w:hAnsi="Arial" w:cs="Arial"/>
          <w:color w:val="000000" w:themeColor="text1"/>
          <w:sz w:val="22"/>
        </w:rPr>
        <w:t>aligned with UK policy frameworks (NHS People Plan/People Promise; HSE stress standards; NICE PTSD/workplace guidance) and international gu</w:t>
      </w:r>
      <w:r w:rsidR="00370816" w:rsidRPr="00453378">
        <w:rPr>
          <w:rFonts w:ascii="Arial" w:hAnsi="Arial" w:cs="Arial"/>
          <w:color w:val="000000" w:themeColor="text1"/>
          <w:sz w:val="22"/>
        </w:rPr>
        <w:t>idance (WHO</w:t>
      </w:r>
      <w:r w:rsidRPr="00453378">
        <w:rPr>
          <w:rFonts w:ascii="Arial" w:hAnsi="Arial" w:cs="Arial"/>
          <w:color w:val="000000" w:themeColor="text1"/>
          <w:sz w:val="22"/>
        </w:rPr>
        <w:t>) (NHS England, 2020</w:t>
      </w:r>
      <w:r w:rsidR="00370816" w:rsidRPr="00453378">
        <w:rPr>
          <w:rFonts w:ascii="Arial" w:hAnsi="Arial" w:cs="Arial"/>
          <w:color w:val="000000" w:themeColor="text1"/>
          <w:sz w:val="22"/>
        </w:rPr>
        <w:t>; HSE, 2019; NICE, 2018; WHO</w:t>
      </w:r>
      <w:r w:rsidRPr="00453378">
        <w:rPr>
          <w:rFonts w:ascii="Arial" w:hAnsi="Arial" w:cs="Arial"/>
          <w:color w:val="000000" w:themeColor="text1"/>
          <w:sz w:val="22"/>
        </w:rPr>
        <w:t>, 2022).</w:t>
      </w:r>
    </w:p>
    <w:p w14:paraId="3D1DD198" w14:textId="77777777" w:rsidR="00C03EEF" w:rsidRPr="00C16BF8" w:rsidRDefault="009C3ADA" w:rsidP="009F30F7">
      <w:pPr>
        <w:pStyle w:val="Heading3"/>
        <w:spacing w:line="360" w:lineRule="auto"/>
        <w:jc w:val="both"/>
        <w:rPr>
          <w:rFonts w:ascii="Arial" w:eastAsia="Times New Roman" w:hAnsi="Arial" w:cs="Arial"/>
          <w:b/>
          <w:color w:val="000000" w:themeColor="text1"/>
        </w:rPr>
      </w:pPr>
      <w:bookmarkStart w:id="63" w:name="_Toc209387787"/>
      <w:r w:rsidRPr="00C16BF8">
        <w:rPr>
          <w:rFonts w:ascii="Arial" w:eastAsia="Times New Roman" w:hAnsi="Arial" w:cs="Arial"/>
          <w:b/>
          <w:color w:val="000000" w:themeColor="text1"/>
        </w:rPr>
        <w:t xml:space="preserve">4.6.2 </w:t>
      </w:r>
      <w:r w:rsidR="00C03EEF" w:rsidRPr="00C16BF8">
        <w:rPr>
          <w:rFonts w:ascii="Arial" w:eastAsia="Times New Roman" w:hAnsi="Arial" w:cs="Arial"/>
          <w:b/>
          <w:color w:val="000000" w:themeColor="text1"/>
        </w:rPr>
        <w:t>Link to Objective 4</w:t>
      </w:r>
      <w:bookmarkEnd w:id="63"/>
      <w:r w:rsidR="00C03EEF" w:rsidRPr="00C16BF8">
        <w:rPr>
          <w:rFonts w:ascii="Arial" w:eastAsia="Times New Roman" w:hAnsi="Arial" w:cs="Arial"/>
          <w:b/>
          <w:color w:val="000000" w:themeColor="text1"/>
        </w:rPr>
        <w:t xml:space="preserve"> </w:t>
      </w:r>
    </w:p>
    <w:p w14:paraId="3BFE83B8" w14:textId="77777777" w:rsidR="00C03EEF" w:rsidRPr="00453378" w:rsidRDefault="00C03EEF"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This theme fulfils Objective 4 by translating the synthesis into concrete, multi-level recommendations for mental-health support systems, organisational policies, and surge-preparedness in UK health and s</w:t>
      </w:r>
      <w:r w:rsidR="00370816" w:rsidRPr="00453378">
        <w:rPr>
          <w:rFonts w:ascii="Arial" w:eastAsia="Times New Roman" w:hAnsi="Arial" w:cs="Arial"/>
          <w:color w:val="000000" w:themeColor="text1"/>
          <w:szCs w:val="24"/>
        </w:rPr>
        <w:t xml:space="preserve">ocial care, </w:t>
      </w:r>
      <w:r w:rsidRPr="00453378">
        <w:rPr>
          <w:rFonts w:ascii="Arial" w:eastAsia="Times New Roman" w:hAnsi="Arial" w:cs="Arial"/>
          <w:color w:val="000000" w:themeColor="text1"/>
          <w:szCs w:val="24"/>
        </w:rPr>
        <w:t>covering staffing, protected recovery, compassionate leadership, equity, embedded psychology, and ethics supports (NHS England, 2020; HSE, 2019; Greenberg et al., 2020; NICE, 2018). It specifies implementation levers (rota design, rest hubs, micro-teams, parity for care homes) and feedback loops (wellbeing metrics with action) to ensure sustainability (Maslach and Leiter, 2016; NHS Staff Survey, 2021). These actionable proposals directly inform future crisis planning in line with ILO guidance, 2022).</w:t>
      </w:r>
    </w:p>
    <w:p w14:paraId="2E0FF8F8" w14:textId="77777777" w:rsidR="006511A1" w:rsidRPr="00C16BF8" w:rsidRDefault="009C3ADA" w:rsidP="009F30F7">
      <w:pPr>
        <w:pStyle w:val="Heading3"/>
        <w:spacing w:line="360" w:lineRule="auto"/>
        <w:jc w:val="both"/>
        <w:rPr>
          <w:rFonts w:ascii="Arial" w:hAnsi="Arial" w:cs="Arial"/>
          <w:b/>
          <w:color w:val="000000" w:themeColor="text1"/>
        </w:rPr>
      </w:pPr>
      <w:bookmarkStart w:id="64" w:name="_Toc209387788"/>
      <w:r w:rsidRPr="00C16BF8">
        <w:rPr>
          <w:rFonts w:ascii="Arial" w:hAnsi="Arial" w:cs="Arial"/>
          <w:b/>
          <w:color w:val="000000" w:themeColor="text1"/>
        </w:rPr>
        <w:t xml:space="preserve">4.6.3 </w:t>
      </w:r>
      <w:r w:rsidR="006511A1" w:rsidRPr="00C16BF8">
        <w:rPr>
          <w:rFonts w:ascii="Arial" w:hAnsi="Arial" w:cs="Arial"/>
          <w:b/>
          <w:color w:val="000000" w:themeColor="text1"/>
        </w:rPr>
        <w:t xml:space="preserve">System </w:t>
      </w:r>
      <w:r w:rsidR="009F5085" w:rsidRPr="00C16BF8">
        <w:rPr>
          <w:rFonts w:ascii="Arial" w:hAnsi="Arial" w:cs="Arial"/>
          <w:b/>
          <w:color w:val="000000" w:themeColor="text1"/>
        </w:rPr>
        <w:t>and Organisational Design</w:t>
      </w:r>
      <w:bookmarkEnd w:id="64"/>
    </w:p>
    <w:p w14:paraId="35CF14BE" w14:textId="77777777" w:rsidR="009F5085" w:rsidRPr="00453378" w:rsidRDefault="009F5085"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Addressing staffing and workload pressures is essential for sustaining workforce wellbeing. Tackling chronic vacancies and ensuring surge capacity can be supported through the use of flexible staffing pools, cross-training accompanied by proper induction, and the provision of protected recovery time. These measures directly target the demands identified in the Job Demands–Resources (JD-R) model and contribute to fairness as conceptualised in the Effort–Reward Imbalance (ERI) model (Bakker and Demerouti, 2007; Siegrist, 1996).</w:t>
      </w:r>
    </w:p>
    <w:p w14:paraId="645B7DE9" w14:textId="77777777" w:rsidR="009F5085" w:rsidRPr="00453378" w:rsidRDefault="009F5085"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Protected breaks and recovery opportunities also need to be prioritised. Enforcing entitlement to breaks and establishing rest hubs close to clinical areas are practical steps that can make recovery feasible during shifts. In addition, thoughtful rota design that minimises quick turnarounds and night-to-day transitions can help to reduce fatigue and support longer-term resilience (HSE, 2019; Kinman, Teoh and Harriss, 2020).</w:t>
      </w:r>
    </w:p>
    <w:p w14:paraId="24FA3906" w14:textId="77777777" w:rsidR="009F5085" w:rsidRPr="00453378" w:rsidRDefault="009F5085"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Compassionate leadership and a just culture are central to maintaining staff trust and engagement. Training line managers in supportive supervision, recognition practices, and fair incident response can embed a culture of psychological safety. When staff feel they are treated fairly and supported by their leaders, uptake of wellbeing supports and morale both improve (West et al., 2014; Greenberg et al., 2020).</w:t>
      </w:r>
    </w:p>
    <w:p w14:paraId="2E6A6BCE" w14:textId="77777777" w:rsidR="009F5085" w:rsidRPr="00453378" w:rsidRDefault="009F5085"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Ensuring equity and inclusion is another critical priority. Culturally competent risk assessments and equitable access to supports must be provided for ethnic minority staff, agency workers, and care-home teams. Without deliberate attention to fairness, disparities in exposure to risk and access to resources can widen, undermining organisational cohesion (PHE, 2020; NHS England, 2020).</w:t>
      </w:r>
    </w:p>
    <w:p w14:paraId="43B68265" w14:textId="77777777" w:rsidR="009F5085" w:rsidRPr="00453378" w:rsidRDefault="009F5085"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Finally, mitigating moral injury requires proactive strategies. Establishing ethics hotlines, ethics huddles, and debriefing mechanisms during crises provides staff with structured opportunities to process morally complex situations. Open acknowledgment of these challenges by leadership helps to validate staff experiences and reduce the long-term psychological burden (Litz et al., 2009; Greenberg et al., 2020).</w:t>
      </w:r>
    </w:p>
    <w:p w14:paraId="4BB53E3F" w14:textId="77777777" w:rsidR="006511A1" w:rsidRPr="00C16BF8" w:rsidRDefault="009C3ADA" w:rsidP="009F30F7">
      <w:pPr>
        <w:pStyle w:val="Heading3"/>
        <w:spacing w:line="360" w:lineRule="auto"/>
        <w:jc w:val="both"/>
        <w:rPr>
          <w:rFonts w:ascii="Arial" w:hAnsi="Arial" w:cs="Arial"/>
          <w:b/>
          <w:color w:val="000000" w:themeColor="text1"/>
        </w:rPr>
      </w:pPr>
      <w:bookmarkStart w:id="65" w:name="_Toc209387789"/>
      <w:r w:rsidRPr="00C16BF8">
        <w:rPr>
          <w:rFonts w:ascii="Arial" w:hAnsi="Arial" w:cs="Arial"/>
          <w:b/>
          <w:color w:val="000000" w:themeColor="text1"/>
        </w:rPr>
        <w:t xml:space="preserve">4.6.4 </w:t>
      </w:r>
      <w:r w:rsidR="006511A1" w:rsidRPr="00C16BF8">
        <w:rPr>
          <w:rFonts w:ascii="Arial" w:hAnsi="Arial" w:cs="Arial"/>
          <w:b/>
          <w:color w:val="000000" w:themeColor="text1"/>
        </w:rPr>
        <w:t xml:space="preserve">Clinical </w:t>
      </w:r>
      <w:r w:rsidR="00B5640C" w:rsidRPr="00C16BF8">
        <w:rPr>
          <w:rFonts w:ascii="Arial" w:hAnsi="Arial" w:cs="Arial"/>
          <w:b/>
          <w:color w:val="000000" w:themeColor="text1"/>
        </w:rPr>
        <w:t>and Team-Level Supports</w:t>
      </w:r>
      <w:bookmarkEnd w:id="65"/>
    </w:p>
    <w:p w14:paraId="0321E3C3" w14:textId="77777777" w:rsidR="00486D6D" w:rsidRPr="00453378" w:rsidRDefault="00486D6D"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Embedded psychological support is most effective when it moves beyond referral-only models to become proactive and visible within clinical environments. On-ward presence, drop-in opportunities, and brief interventions tailored to shift patterns allow staff to access help in real time. Such embedded approaches reduce barriers related to time and stigma, while making psychological support part of everyday practice (Billings et al., 2021).</w:t>
      </w:r>
    </w:p>
    <w:p w14:paraId="462B6065" w14:textId="77777777" w:rsidR="00486D6D" w:rsidRPr="00453378" w:rsidRDefault="00486D6D"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Peer support structures also play an essential role in staff wellbeing. Formalising initiatives such as peer buddies, end-of-shift huddles, and Schwartz Rounds provides consistent opportunities for mutual support. Offering micro-training in supportive conversations and effective signposting can further empower colleagues to recognise distress and guide each other towards appropriate resources (Kinman, Teoh and Harriss, 2020).</w:t>
      </w:r>
    </w:p>
    <w:p w14:paraId="091DD126" w14:textId="77777777" w:rsidR="00486D6D" w:rsidRPr="00453378" w:rsidRDefault="00486D6D"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Practical skills training focused on uncertainty and recovery has been shown to be particularly helpful. Brief, repeated sessions on sleep strategies, grounding techniques, moral stress management, and recovery planning equip staff with tools they can apply immediately in high-pressure settings. These approaches, aligned with psychological first aid principles, have been valued for their relevance and accessibility (Wu, Styra and Gold, 2020; Blake et al., 2020).</w:t>
      </w:r>
    </w:p>
    <w:p w14:paraId="57ED49BD" w14:textId="77777777" w:rsidR="00486D6D" w:rsidRPr="00453378" w:rsidRDefault="00486D6D"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Within primary care, continuity and stability can be enhanced by creating micro-teams and predictable rotas. Stabilising smaller groups supports mutual cover, fosters stronger team cohesion, and allows for protected debrief time. Such measures address the unique pressures faced in community-based services and reduce the isolation that can accompany these roles (RCGP, 2020).</w:t>
      </w:r>
    </w:p>
    <w:p w14:paraId="4532B492" w14:textId="77777777" w:rsidR="006511A1" w:rsidRPr="00453378" w:rsidRDefault="00486D6D"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Ensuring parity for care-home staff is also critical. Equal access to PPE, testing, occupational health, and psychological support helps reduce disparities between acute and long-term care settings. Additionally, supporting grief processing after periods of high loss acknowledges the emotional toll on care-home workers and validates their contributions (Rajan et al., 2020).</w:t>
      </w:r>
    </w:p>
    <w:p w14:paraId="454627DF" w14:textId="77777777" w:rsidR="006511A1" w:rsidRPr="00C16BF8" w:rsidRDefault="009C3ADA" w:rsidP="009F30F7">
      <w:pPr>
        <w:pStyle w:val="Heading3"/>
        <w:spacing w:line="360" w:lineRule="auto"/>
        <w:jc w:val="both"/>
        <w:rPr>
          <w:rFonts w:ascii="Arial" w:hAnsi="Arial" w:cs="Arial"/>
          <w:b/>
          <w:color w:val="000000" w:themeColor="text1"/>
        </w:rPr>
      </w:pPr>
      <w:bookmarkStart w:id="66" w:name="_Toc209387790"/>
      <w:r w:rsidRPr="00C16BF8">
        <w:rPr>
          <w:rFonts w:ascii="Arial" w:hAnsi="Arial" w:cs="Arial"/>
          <w:b/>
          <w:color w:val="000000" w:themeColor="text1"/>
        </w:rPr>
        <w:t xml:space="preserve">4.6.5 </w:t>
      </w:r>
      <w:r w:rsidR="008F54CF" w:rsidRPr="00C16BF8">
        <w:rPr>
          <w:rFonts w:ascii="Arial" w:hAnsi="Arial" w:cs="Arial"/>
          <w:b/>
          <w:color w:val="000000" w:themeColor="text1"/>
        </w:rPr>
        <w:t>Monitoring and L</w:t>
      </w:r>
      <w:r w:rsidR="006511A1" w:rsidRPr="00C16BF8">
        <w:rPr>
          <w:rFonts w:ascii="Arial" w:hAnsi="Arial" w:cs="Arial"/>
          <w:b/>
          <w:color w:val="000000" w:themeColor="text1"/>
        </w:rPr>
        <w:t>earning</w:t>
      </w:r>
      <w:bookmarkEnd w:id="66"/>
    </w:p>
    <w:p w14:paraId="2F745FE4"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Wellbeing metrics with action loops. Track burnout proxies (exhaustion, sickness absence, turnover intention) and process measures (break compliance, uptake of supports). Link data to rapid improvement cycles to avoid “survey fatigue without change” (Maslach and Leiter, 2016; NHS Staff Survey, 2021).</w:t>
      </w:r>
    </w:p>
    <w:p w14:paraId="1E8F8B6A"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Preparedness playbooks. Maintain updated, co-desig</w:t>
      </w:r>
      <w:r w:rsidR="003E46C2" w:rsidRPr="00453378">
        <w:rPr>
          <w:rFonts w:ascii="Arial" w:hAnsi="Arial" w:cs="Arial"/>
          <w:color w:val="000000" w:themeColor="text1"/>
          <w:sz w:val="22"/>
        </w:rPr>
        <w:t xml:space="preserve">ned playbooks for future surges, </w:t>
      </w:r>
      <w:r w:rsidRPr="00453378">
        <w:rPr>
          <w:rFonts w:ascii="Arial" w:hAnsi="Arial" w:cs="Arial"/>
          <w:color w:val="000000" w:themeColor="text1"/>
          <w:sz w:val="22"/>
        </w:rPr>
        <w:t>staffing triggers, communication cascades, ethics support, and rest space logistics (WHO, 2020; NHS England, 2021).</w:t>
      </w:r>
    </w:p>
    <w:p w14:paraId="03E43655" w14:textId="77777777" w:rsidR="006511A1" w:rsidRPr="00C16BF8" w:rsidRDefault="009C3ADA" w:rsidP="009F30F7">
      <w:pPr>
        <w:pStyle w:val="Heading3"/>
        <w:spacing w:line="360" w:lineRule="auto"/>
        <w:jc w:val="both"/>
        <w:rPr>
          <w:rFonts w:ascii="Arial" w:hAnsi="Arial" w:cs="Arial"/>
          <w:b/>
          <w:color w:val="000000" w:themeColor="text1"/>
        </w:rPr>
      </w:pPr>
      <w:bookmarkStart w:id="67" w:name="_Toc209387791"/>
      <w:r w:rsidRPr="00C16BF8">
        <w:rPr>
          <w:rFonts w:ascii="Arial" w:hAnsi="Arial" w:cs="Arial"/>
          <w:b/>
          <w:color w:val="000000" w:themeColor="text1"/>
        </w:rPr>
        <w:t xml:space="preserve">4.6.6 </w:t>
      </w:r>
      <w:r w:rsidR="006511A1" w:rsidRPr="00C16BF8">
        <w:rPr>
          <w:rFonts w:ascii="Arial" w:hAnsi="Arial" w:cs="Arial"/>
          <w:b/>
          <w:color w:val="000000" w:themeColor="text1"/>
        </w:rPr>
        <w:t>Policy alignment</w:t>
      </w:r>
      <w:bookmarkEnd w:id="67"/>
    </w:p>
    <w:p w14:paraId="6504FFAB" w14:textId="77777777" w:rsidR="00B04A5B" w:rsidRDefault="006511A1" w:rsidP="00B04A5B">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These recommendations align with the NHS People Plan/People Promise emphasis on looking after our people and compassionate leadership; with HSE Management Standards on work demands, control, support, role, relationships and change; with NICE PTSD/workplace guidance; and with ILO policy briefs on mental health at work (NHS England, 2</w:t>
      </w:r>
      <w:r w:rsidR="00370816" w:rsidRPr="00453378">
        <w:rPr>
          <w:rFonts w:ascii="Arial" w:hAnsi="Arial" w:cs="Arial"/>
          <w:color w:val="000000" w:themeColor="text1"/>
          <w:sz w:val="22"/>
        </w:rPr>
        <w:t xml:space="preserve">020; HSE, 2019; NICE, 2018; </w:t>
      </w:r>
      <w:r w:rsidRPr="00453378">
        <w:rPr>
          <w:rFonts w:ascii="Arial" w:hAnsi="Arial" w:cs="Arial"/>
          <w:color w:val="000000" w:themeColor="text1"/>
          <w:sz w:val="22"/>
        </w:rPr>
        <w:t>ILO, 2022). Importantly, implementati</w:t>
      </w:r>
      <w:r w:rsidR="008F54CF" w:rsidRPr="00453378">
        <w:rPr>
          <w:rFonts w:ascii="Arial" w:hAnsi="Arial" w:cs="Arial"/>
          <w:color w:val="000000" w:themeColor="text1"/>
          <w:sz w:val="22"/>
        </w:rPr>
        <w:t xml:space="preserve">on must resource protected time, </w:t>
      </w:r>
      <w:r w:rsidRPr="00453378">
        <w:rPr>
          <w:rFonts w:ascii="Arial" w:hAnsi="Arial" w:cs="Arial"/>
          <w:color w:val="000000" w:themeColor="text1"/>
          <w:sz w:val="22"/>
        </w:rPr>
        <w:t>the mos</w:t>
      </w:r>
      <w:r w:rsidR="008F54CF" w:rsidRPr="00453378">
        <w:rPr>
          <w:rFonts w:ascii="Arial" w:hAnsi="Arial" w:cs="Arial"/>
          <w:color w:val="000000" w:themeColor="text1"/>
          <w:sz w:val="22"/>
        </w:rPr>
        <w:t xml:space="preserve">t consistent barrier identified, </w:t>
      </w:r>
      <w:r w:rsidRPr="00453378">
        <w:rPr>
          <w:rFonts w:ascii="Arial" w:hAnsi="Arial" w:cs="Arial"/>
          <w:color w:val="000000" w:themeColor="text1"/>
          <w:sz w:val="22"/>
        </w:rPr>
        <w:t>so supports are not aspirational only (Billings et al., 2021; Kinman, Teoh and Harriss, 2020).</w:t>
      </w:r>
    </w:p>
    <w:p w14:paraId="0BD12415" w14:textId="77777777" w:rsidR="00B04A5B" w:rsidRPr="00B04A5B" w:rsidRDefault="00B04A5B" w:rsidP="00B04A5B">
      <w:pPr>
        <w:pStyle w:val="NormalWeb"/>
        <w:spacing w:line="360" w:lineRule="auto"/>
        <w:jc w:val="both"/>
        <w:rPr>
          <w:rFonts w:ascii="Arial" w:hAnsi="Arial" w:cs="Arial"/>
          <w:color w:val="000000" w:themeColor="text1"/>
          <w:sz w:val="20"/>
        </w:rPr>
      </w:pPr>
      <w:r w:rsidRPr="00B04A5B">
        <w:rPr>
          <w:rFonts w:ascii="Arial" w:hAnsi="Arial" w:cs="Arial"/>
          <w:sz w:val="22"/>
        </w:rPr>
        <w:t>Taken together, these system-level proposals fulfil Objective 4 and complete the dissertation’s overall aim by offering evidence-informed, UK-specific recommendations to strengthen mental-health support, reduce burnout risk and enhance crisis preparedness for healthcare staff.</w:t>
      </w:r>
    </w:p>
    <w:p w14:paraId="7161EEC0" w14:textId="77777777" w:rsidR="006511A1" w:rsidRPr="00453378" w:rsidRDefault="00B13EAA" w:rsidP="009F30F7">
      <w:pPr>
        <w:pStyle w:val="NormalWeb"/>
        <w:spacing w:line="360" w:lineRule="auto"/>
        <w:jc w:val="both"/>
        <w:rPr>
          <w:rFonts w:ascii="Arial" w:hAnsi="Arial" w:cs="Arial"/>
          <w:color w:val="000000" w:themeColor="text1"/>
          <w:sz w:val="22"/>
        </w:rPr>
      </w:pPr>
      <w:r w:rsidRPr="00B04A5B">
        <w:rPr>
          <w:rFonts w:ascii="Arial" w:hAnsi="Arial" w:cs="Arial"/>
          <w:b/>
          <w:color w:val="000000" w:themeColor="text1"/>
          <w:sz w:val="22"/>
        </w:rPr>
        <w:t>Connections to other themes:</w:t>
      </w:r>
      <w:r w:rsidRPr="00453378">
        <w:rPr>
          <w:rFonts w:ascii="Arial" w:hAnsi="Arial" w:cs="Arial"/>
          <w:color w:val="000000" w:themeColor="text1"/>
          <w:sz w:val="22"/>
        </w:rPr>
        <w:t xml:space="preserve"> </w:t>
      </w:r>
      <w:r w:rsidR="006511A1" w:rsidRPr="00453378">
        <w:rPr>
          <w:rFonts w:ascii="Arial" w:hAnsi="Arial" w:cs="Arial"/>
          <w:color w:val="000000" w:themeColor="text1"/>
          <w:sz w:val="22"/>
        </w:rPr>
        <w:t>These actions target the drivers of burden (Theme 1), are setting-sensitive (Theme 2), and aim to strengthen the enablers of effective coping (Theme 3).</w:t>
      </w:r>
    </w:p>
    <w:p w14:paraId="551133A2" w14:textId="77777777" w:rsidR="006511A1" w:rsidRPr="00C16BF8" w:rsidRDefault="006511A1" w:rsidP="009F30F7">
      <w:pPr>
        <w:pStyle w:val="Heading2"/>
        <w:spacing w:line="360" w:lineRule="auto"/>
        <w:jc w:val="both"/>
        <w:rPr>
          <w:rFonts w:ascii="Arial" w:hAnsi="Arial" w:cs="Arial"/>
          <w:b/>
          <w:color w:val="000000" w:themeColor="text1"/>
        </w:rPr>
      </w:pPr>
      <w:bookmarkStart w:id="68" w:name="_Toc209387792"/>
      <w:r w:rsidRPr="00C16BF8">
        <w:rPr>
          <w:rFonts w:ascii="Arial" w:hAnsi="Arial" w:cs="Arial"/>
          <w:b/>
          <w:color w:val="000000" w:themeColor="text1"/>
        </w:rPr>
        <w:t>4.7 Chapter Conclusion</w:t>
      </w:r>
      <w:bookmarkEnd w:id="68"/>
      <w:r w:rsidRPr="00C16BF8">
        <w:rPr>
          <w:rFonts w:ascii="Arial" w:hAnsi="Arial" w:cs="Arial"/>
          <w:b/>
          <w:color w:val="000000" w:themeColor="text1"/>
        </w:rPr>
        <w:t xml:space="preserve"> </w:t>
      </w:r>
    </w:p>
    <w:p w14:paraId="0FF6BFAC"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This chapter synthesised qualitative evidence on UK HCWs’ experiences during COVID-19. Theme 1 showed s</w:t>
      </w:r>
      <w:r w:rsidR="008F54CF" w:rsidRPr="00453378">
        <w:rPr>
          <w:rFonts w:ascii="Arial" w:hAnsi="Arial" w:cs="Arial"/>
          <w:color w:val="000000" w:themeColor="text1"/>
          <w:sz w:val="22"/>
        </w:rPr>
        <w:t xml:space="preserve">ubstantial psychological burden, </w:t>
      </w:r>
      <w:r w:rsidRPr="00453378">
        <w:rPr>
          <w:rFonts w:ascii="Arial" w:hAnsi="Arial" w:cs="Arial"/>
          <w:color w:val="000000" w:themeColor="text1"/>
          <w:sz w:val="22"/>
        </w:rPr>
        <w:t>stress, anxiety, sleep disturbance, depressive and trauma-like symptoms, burnout and moral distres</w:t>
      </w:r>
      <w:r w:rsidR="008F54CF" w:rsidRPr="00453378">
        <w:rPr>
          <w:rFonts w:ascii="Arial" w:hAnsi="Arial" w:cs="Arial"/>
          <w:color w:val="000000" w:themeColor="text1"/>
          <w:sz w:val="22"/>
        </w:rPr>
        <w:t xml:space="preserve">s, </w:t>
      </w:r>
      <w:r w:rsidRPr="00453378">
        <w:rPr>
          <w:rFonts w:ascii="Arial" w:hAnsi="Arial" w:cs="Arial"/>
          <w:color w:val="000000" w:themeColor="text1"/>
          <w:sz w:val="22"/>
        </w:rPr>
        <w:t>shaped by extreme demands and constrained resources. Theme 2 highlighted how experiences varied by setting (ICU/emergency, primary/community, care homes), underscoring the need for tailored approaches. Theme 3 examined coping strategies: peer solidarity, embedded psychology and practical supports were perceived as most useful, but time, accessibility, stigma and structural mismatches limited impact. Theme 4 translated findings into multi-level recommendations aligned with UK and international policy frameworks.</w:t>
      </w:r>
    </w:p>
    <w:p w14:paraId="0823D998" w14:textId="77777777" w:rsidR="006511A1" w:rsidRPr="00453378" w:rsidRDefault="006511A1" w:rsidP="009F30F7">
      <w:pPr>
        <w:pStyle w:val="NormalWeb"/>
        <w:spacing w:line="360" w:lineRule="auto"/>
        <w:jc w:val="both"/>
        <w:rPr>
          <w:rFonts w:ascii="Arial" w:hAnsi="Arial" w:cs="Arial"/>
          <w:color w:val="000000" w:themeColor="text1"/>
          <w:sz w:val="22"/>
        </w:rPr>
      </w:pPr>
      <w:r w:rsidRPr="00453378">
        <w:rPr>
          <w:rFonts w:ascii="Arial" w:hAnsi="Arial" w:cs="Arial"/>
          <w:color w:val="000000" w:themeColor="text1"/>
          <w:sz w:val="22"/>
        </w:rPr>
        <w:t>Together, the themes argue for interventions that combine individual</w:t>
      </w:r>
      <w:r w:rsidR="008F54CF" w:rsidRPr="00453378">
        <w:rPr>
          <w:rFonts w:ascii="Arial" w:hAnsi="Arial" w:cs="Arial"/>
          <w:color w:val="000000" w:themeColor="text1"/>
          <w:sz w:val="22"/>
        </w:rPr>
        <w:t xml:space="preserve"> support with structural change, </w:t>
      </w:r>
      <w:r w:rsidRPr="00453378">
        <w:rPr>
          <w:rFonts w:ascii="Arial" w:hAnsi="Arial" w:cs="Arial"/>
          <w:color w:val="000000" w:themeColor="text1"/>
          <w:sz w:val="22"/>
        </w:rPr>
        <w:t>staffing, protected breaks, compassionate leadership, equity and ethics support. The following chapter (Chapter 5) will synthesise these insights into concrete conclusions and recommendations, detailing an actionable framework for mental-health support systems and future crisis preparedness across UK health and social care.</w:t>
      </w:r>
    </w:p>
    <w:p w14:paraId="625F40DB" w14:textId="77777777" w:rsidR="00BD6D7C" w:rsidRPr="00C16BF8" w:rsidRDefault="00BD6D7C" w:rsidP="009F30F7">
      <w:pPr>
        <w:pStyle w:val="NormalWeb"/>
        <w:spacing w:line="360" w:lineRule="auto"/>
        <w:jc w:val="both"/>
        <w:rPr>
          <w:rFonts w:ascii="Arial" w:hAnsi="Arial" w:cs="Arial"/>
          <w:color w:val="000000" w:themeColor="text1"/>
        </w:rPr>
      </w:pPr>
    </w:p>
    <w:p w14:paraId="7B480AF0" w14:textId="77777777" w:rsidR="00BD6D7C" w:rsidRPr="00C16BF8" w:rsidRDefault="00BD6D7C" w:rsidP="009F30F7">
      <w:pPr>
        <w:pStyle w:val="NormalWeb"/>
        <w:spacing w:line="360" w:lineRule="auto"/>
        <w:jc w:val="both"/>
        <w:rPr>
          <w:rFonts w:ascii="Arial" w:hAnsi="Arial" w:cs="Arial"/>
          <w:color w:val="000000" w:themeColor="text1"/>
        </w:rPr>
      </w:pPr>
    </w:p>
    <w:p w14:paraId="15D8A349" w14:textId="77777777" w:rsidR="00BD6D7C" w:rsidRPr="00C16BF8" w:rsidRDefault="00BD6D7C" w:rsidP="009F30F7">
      <w:pPr>
        <w:pStyle w:val="NormalWeb"/>
        <w:spacing w:line="360" w:lineRule="auto"/>
        <w:jc w:val="both"/>
        <w:rPr>
          <w:rFonts w:ascii="Arial" w:hAnsi="Arial" w:cs="Arial"/>
          <w:color w:val="000000" w:themeColor="text1"/>
        </w:rPr>
      </w:pPr>
    </w:p>
    <w:p w14:paraId="32FCD201" w14:textId="77777777" w:rsidR="005920B3" w:rsidRPr="00C16BF8" w:rsidRDefault="005920B3" w:rsidP="0013498E">
      <w:pPr>
        <w:pStyle w:val="Heading1"/>
      </w:pPr>
      <w:bookmarkStart w:id="69" w:name="_Toc209387793"/>
      <w:r w:rsidRPr="00C16BF8">
        <w:t>CHAPTER 5 – Conclusion and Recommendations</w:t>
      </w:r>
      <w:bookmarkEnd w:id="69"/>
    </w:p>
    <w:p w14:paraId="281149D4" w14:textId="77777777" w:rsidR="005920B3" w:rsidRPr="00C16BF8" w:rsidRDefault="005920B3" w:rsidP="009F30F7">
      <w:pPr>
        <w:pStyle w:val="Heading2"/>
        <w:spacing w:line="360" w:lineRule="auto"/>
        <w:jc w:val="both"/>
        <w:rPr>
          <w:rFonts w:ascii="Arial" w:eastAsia="Times New Roman" w:hAnsi="Arial" w:cs="Arial"/>
          <w:b/>
          <w:color w:val="000000" w:themeColor="text1"/>
        </w:rPr>
      </w:pPr>
      <w:bookmarkStart w:id="70" w:name="_Toc209387794"/>
      <w:r w:rsidRPr="00C16BF8">
        <w:rPr>
          <w:rFonts w:ascii="Arial" w:eastAsia="Times New Roman" w:hAnsi="Arial" w:cs="Arial"/>
          <w:b/>
          <w:color w:val="000000" w:themeColor="text1"/>
        </w:rPr>
        <w:t>5.1 Overall Conclusion</w:t>
      </w:r>
      <w:bookmarkEnd w:id="70"/>
      <w:r w:rsidRPr="00C16BF8">
        <w:rPr>
          <w:rFonts w:ascii="Arial" w:eastAsia="Times New Roman" w:hAnsi="Arial" w:cs="Arial"/>
          <w:b/>
          <w:color w:val="000000" w:themeColor="text1"/>
        </w:rPr>
        <w:t xml:space="preserve"> </w:t>
      </w:r>
    </w:p>
    <w:p w14:paraId="3A4A1F36" w14:textId="77777777" w:rsidR="005920B3" w:rsidRPr="00453378" w:rsidRDefault="005920B3"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 xml:space="preserve">This dissertation set out to synthesise qualitative evidence on how the COVID-19 pandemic affected the mental health of UK healthcare workers (HCWs), and to identify what helped, what hindered, and what must change for </w:t>
      </w:r>
      <w:r w:rsidR="00A9484F" w:rsidRPr="00453378">
        <w:rPr>
          <w:rFonts w:ascii="Arial" w:eastAsia="Times New Roman" w:hAnsi="Arial" w:cs="Arial"/>
          <w:color w:val="000000" w:themeColor="text1"/>
          <w:szCs w:val="24"/>
        </w:rPr>
        <w:t xml:space="preserve">future crises. The review’s Aim, </w:t>
      </w:r>
      <w:r w:rsidRPr="00453378">
        <w:rPr>
          <w:rFonts w:ascii="Arial" w:eastAsia="Times New Roman" w:hAnsi="Arial" w:cs="Arial"/>
          <w:color w:val="000000" w:themeColor="text1"/>
          <w:szCs w:val="24"/>
        </w:rPr>
        <w:t>to understand psychological impacts (including burnout and moral distress) and coping, an</w:t>
      </w:r>
      <w:r w:rsidR="00A9484F" w:rsidRPr="00453378">
        <w:rPr>
          <w:rFonts w:ascii="Arial" w:eastAsia="Times New Roman" w:hAnsi="Arial" w:cs="Arial"/>
          <w:color w:val="000000" w:themeColor="text1"/>
          <w:szCs w:val="24"/>
        </w:rPr>
        <w:t xml:space="preserve">d to inform practice and policy, </w:t>
      </w:r>
      <w:r w:rsidRPr="00453378">
        <w:rPr>
          <w:rFonts w:ascii="Arial" w:eastAsia="Times New Roman" w:hAnsi="Arial" w:cs="Arial"/>
          <w:color w:val="000000" w:themeColor="text1"/>
          <w:szCs w:val="24"/>
        </w:rPr>
        <w:t>was pursued through four objectives mapped to the findings.</w:t>
      </w:r>
    </w:p>
    <w:p w14:paraId="489C2240" w14:textId="77777777" w:rsidR="005920B3" w:rsidRPr="00453378" w:rsidRDefault="005920B3" w:rsidP="009F30F7">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Objective 1 was met by detailing the psychological burden reported across studies: stress, anxiety, low mood, sleep disturbance, trauma-like symptoms, burnout and moral distress. These outcomes were intensified by extreme demands, uncertainty and constrained resources, with risk distributed unevenly across roles and settings. Objective 2 was addressed throug</w:t>
      </w:r>
      <w:r w:rsidR="00326A67" w:rsidRPr="00453378">
        <w:rPr>
          <w:rFonts w:ascii="Arial" w:eastAsia="Times New Roman" w:hAnsi="Arial" w:cs="Arial"/>
          <w:color w:val="000000" w:themeColor="text1"/>
          <w:szCs w:val="24"/>
        </w:rPr>
        <w:t xml:space="preserve">h a setting-sensitive synthesis, </w:t>
      </w:r>
      <w:r w:rsidRPr="00453378">
        <w:rPr>
          <w:rFonts w:ascii="Arial" w:eastAsia="Times New Roman" w:hAnsi="Arial" w:cs="Arial"/>
          <w:color w:val="000000" w:themeColor="text1"/>
          <w:szCs w:val="24"/>
        </w:rPr>
        <w:t>ICU/acute, emergency/ambulance, primary</w:t>
      </w:r>
      <w:r w:rsidR="00326A67" w:rsidRPr="00453378">
        <w:rPr>
          <w:rFonts w:ascii="Arial" w:eastAsia="Times New Roman" w:hAnsi="Arial" w:cs="Arial"/>
          <w:color w:val="000000" w:themeColor="text1"/>
          <w:szCs w:val="24"/>
        </w:rPr>
        <w:t xml:space="preserve">/community care, and care homes, </w:t>
      </w:r>
      <w:r w:rsidRPr="00453378">
        <w:rPr>
          <w:rFonts w:ascii="Arial" w:eastAsia="Times New Roman" w:hAnsi="Arial" w:cs="Arial"/>
          <w:color w:val="000000" w:themeColor="text1"/>
          <w:szCs w:val="24"/>
        </w:rPr>
        <w:t>showing how workflows, resources and patient mix shaped experience. Objective 3 was fulfilled by evaluating coping supports: peer solidarity, embedded psychological input and practical “resource gains” were most valued; time, stigma, offer–need mismatch and inequity limited uptake. Objective 4 translated the synthesis into actionable, multi-level recommendations aligned with UK policy frameworks.</w:t>
      </w:r>
    </w:p>
    <w:p w14:paraId="28DABD9B" w14:textId="77777777" w:rsidR="00765D20" w:rsidRDefault="005920B3" w:rsidP="00765D20">
      <w:pPr>
        <w:spacing w:before="100" w:beforeAutospacing="1" w:after="100" w:afterAutospacing="1" w:line="360" w:lineRule="auto"/>
        <w:jc w:val="both"/>
        <w:rPr>
          <w:rFonts w:ascii="Arial" w:eastAsia="Times New Roman" w:hAnsi="Arial" w:cs="Arial"/>
          <w:color w:val="000000" w:themeColor="text1"/>
          <w:szCs w:val="24"/>
        </w:rPr>
      </w:pPr>
      <w:r w:rsidRPr="00453378">
        <w:rPr>
          <w:rFonts w:ascii="Arial" w:eastAsia="Times New Roman" w:hAnsi="Arial" w:cs="Arial"/>
          <w:color w:val="000000" w:themeColor="text1"/>
          <w:szCs w:val="24"/>
        </w:rPr>
        <w:t>Across themes, one conclusion stands out: individual supports work best when embedded in fair, well-resourced systems. Structural conditions (staffing, rest, leadership, equity and ethics support) are as critical as personal coping skills. The dissertation therefore argues for a dual track: strengthen people and redesign systems.</w:t>
      </w:r>
    </w:p>
    <w:p w14:paraId="6AA89A4E" w14:textId="77777777" w:rsidR="00765D20" w:rsidRPr="00765D20" w:rsidRDefault="00765D20" w:rsidP="00765D20">
      <w:pPr>
        <w:spacing w:before="100" w:beforeAutospacing="1" w:after="100" w:afterAutospacing="1" w:line="360" w:lineRule="auto"/>
        <w:jc w:val="both"/>
        <w:rPr>
          <w:rFonts w:ascii="Arial" w:eastAsia="Times New Roman" w:hAnsi="Arial" w:cs="Arial"/>
          <w:color w:val="000000" w:themeColor="text1"/>
          <w:sz w:val="20"/>
          <w:szCs w:val="24"/>
        </w:rPr>
      </w:pPr>
      <w:r w:rsidRPr="00765D20">
        <w:rPr>
          <w:rFonts w:ascii="Arial" w:eastAsia="Times New Roman" w:hAnsi="Arial" w:cs="Arial"/>
          <w:szCs w:val="24"/>
        </w:rPr>
        <w:t>One limitation of this study is its reliance on secondary literature, which varies in quality, depth of reporting and methodological detail; however, the use of explicit inclusion criteria, quality-conscious appraisal and transparent synthesis methods helps to mitigate these constraints.</w:t>
      </w:r>
    </w:p>
    <w:p w14:paraId="6134889D" w14:textId="77777777" w:rsidR="00A9484F" w:rsidRDefault="00A9484F" w:rsidP="009F30F7">
      <w:pPr>
        <w:pStyle w:val="Heading2"/>
        <w:spacing w:line="360" w:lineRule="auto"/>
        <w:jc w:val="both"/>
        <w:rPr>
          <w:rFonts w:ascii="Arial" w:eastAsia="Times New Roman" w:hAnsi="Arial" w:cs="Arial"/>
          <w:b/>
          <w:color w:val="000000" w:themeColor="text1"/>
        </w:rPr>
      </w:pPr>
      <w:bookmarkStart w:id="71" w:name="_Toc209387795"/>
      <w:r w:rsidRPr="00C16BF8">
        <w:rPr>
          <w:rFonts w:ascii="Arial" w:eastAsia="Times New Roman" w:hAnsi="Arial" w:cs="Arial"/>
          <w:b/>
          <w:color w:val="000000" w:themeColor="text1"/>
        </w:rPr>
        <w:t>5.2 R</w:t>
      </w:r>
      <w:r w:rsidR="00326A67" w:rsidRPr="00C16BF8">
        <w:rPr>
          <w:rFonts w:ascii="Arial" w:eastAsia="Times New Roman" w:hAnsi="Arial" w:cs="Arial"/>
          <w:b/>
          <w:color w:val="000000" w:themeColor="text1"/>
        </w:rPr>
        <w:t>ecommendations</w:t>
      </w:r>
      <w:bookmarkEnd w:id="71"/>
      <w:r w:rsidR="00326A67" w:rsidRPr="00C16BF8">
        <w:rPr>
          <w:rFonts w:ascii="Arial" w:eastAsia="Times New Roman" w:hAnsi="Arial" w:cs="Arial"/>
          <w:b/>
          <w:color w:val="000000" w:themeColor="text1"/>
        </w:rPr>
        <w:t xml:space="preserve"> </w:t>
      </w:r>
    </w:p>
    <w:p w14:paraId="3769C68D" w14:textId="77777777" w:rsidR="00FF0AA3" w:rsidRPr="00713DAA" w:rsidRDefault="00FF0AA3" w:rsidP="00713DAA">
      <w:pPr>
        <w:spacing w:before="100" w:beforeAutospacing="1" w:after="100" w:afterAutospacing="1" w:line="360" w:lineRule="auto"/>
        <w:jc w:val="both"/>
        <w:rPr>
          <w:rFonts w:ascii="Arial" w:eastAsia="Times New Roman" w:hAnsi="Arial" w:cs="Arial"/>
          <w:szCs w:val="24"/>
        </w:rPr>
      </w:pPr>
      <w:r w:rsidRPr="00FF0AA3">
        <w:rPr>
          <w:rFonts w:ascii="Arial" w:eastAsia="Times New Roman" w:hAnsi="Arial" w:cs="Arial"/>
          <w:bCs/>
          <w:szCs w:val="24"/>
        </w:rPr>
        <w:t>The recommendations below are directly grounded in the four themes identified in Chapter 4. They respond to the documented psychological burden on staff (Theme 1), the setting-specific pressures across UK services (Theme 2), and the evidence on what helped and what hindered coping (Theme 3), and are organised to provide a practical framework for system-level and team-level action (Theme 4).</w:t>
      </w:r>
    </w:p>
    <w:p w14:paraId="6FF2EF0E" w14:textId="77777777" w:rsidR="00A9484F" w:rsidRPr="00C16BF8" w:rsidRDefault="00A9484F" w:rsidP="009F30F7">
      <w:pPr>
        <w:pStyle w:val="Heading3"/>
        <w:spacing w:line="360" w:lineRule="auto"/>
        <w:jc w:val="both"/>
        <w:rPr>
          <w:rFonts w:ascii="Arial" w:eastAsia="Times New Roman" w:hAnsi="Arial" w:cs="Arial"/>
          <w:b/>
          <w:color w:val="000000" w:themeColor="text1"/>
        </w:rPr>
      </w:pPr>
      <w:bookmarkStart w:id="72" w:name="_Toc209387796"/>
      <w:r w:rsidRPr="00C16BF8">
        <w:rPr>
          <w:rFonts w:ascii="Arial" w:eastAsia="Times New Roman" w:hAnsi="Arial" w:cs="Arial"/>
          <w:b/>
          <w:color w:val="000000" w:themeColor="text1"/>
        </w:rPr>
        <w:t>5.2.1 Recommendation 1: Protect Recovery Time and Stabilise Work Through Rota and Staffing Design</w:t>
      </w:r>
      <w:bookmarkEnd w:id="72"/>
      <w:r w:rsidR="00FF0AA3">
        <w:rPr>
          <w:rFonts w:ascii="Arial" w:eastAsia="Times New Roman" w:hAnsi="Arial" w:cs="Arial"/>
          <w:b/>
          <w:color w:val="000000" w:themeColor="text1"/>
        </w:rPr>
        <w:t xml:space="preserve"> (Linked to Theme 1 and 2)</w:t>
      </w:r>
    </w:p>
    <w:p w14:paraId="55C9D223" w14:textId="77777777" w:rsidR="00FF0AA3" w:rsidRPr="00FF0AA3" w:rsidRDefault="001226CB" w:rsidP="001226CB">
      <w:pPr>
        <w:spacing w:before="100" w:beforeAutospacing="1" w:after="100" w:afterAutospacing="1" w:line="360" w:lineRule="auto"/>
        <w:jc w:val="both"/>
        <w:rPr>
          <w:rFonts w:ascii="Arial" w:eastAsia="Times New Roman" w:hAnsi="Arial" w:cs="Arial"/>
        </w:rPr>
      </w:pPr>
      <w:r w:rsidRPr="001226CB">
        <w:rPr>
          <w:rFonts w:ascii="Arial" w:eastAsia="Times New Roman" w:hAnsi="Arial" w:cs="Arial"/>
        </w:rPr>
        <w:t>This recommendation responds directly to the high levels of fatigue, sleep disturbance and burnout described in Theme 1, and to the workload and rota instability pressures reported across acute, emergency and community settings in Theme 2</w:t>
      </w:r>
      <w:r w:rsidR="00FF0AA3" w:rsidRPr="00FF0AA3">
        <w:rPr>
          <w:rFonts w:ascii="Arial" w:eastAsia="Times New Roman" w:hAnsi="Arial" w:cs="Arial"/>
        </w:rPr>
        <w:t>.</w:t>
      </w:r>
    </w:p>
    <w:p w14:paraId="3A8F71D7" w14:textId="77777777" w:rsidR="00A9484F" w:rsidRPr="00453378" w:rsidRDefault="00A91721"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hAnsi="Arial" w:cs="Arial"/>
          <w:color w:val="000000" w:themeColor="text1"/>
        </w:rPr>
        <w:t>Safeguarding recovery time and stabilising work patterns should be a core operational priority. Services can achieve this by guaranteeing protected breaks within shifts, minimising quick turnarounds, and ensuring predictable rest after nights. Embedding rest hubs close to clinical areas, equipped with quiet space, hydration, and hot food, signals that recovery is part of safe care rather than a luxury. Rota design should privilege stability where possible, using “micro-teams” that provide continuity, mutual cover, and clearer communication lines, particularly in primary and community care where isolation can be greater. Complementing this with trained internal float or bank capacity allows teams to absorb sickness or surge demand without routinely sacrificing breaks or annual leave. Post-surge decompression, through scheduled lighter duties, structured debriefs, and prioritised leave, prevents acute stress from hardening into chronic burnout (HSE, 2019; Kinman, Teoh and Harriss, 2020; Maslach and Leiter, 2016).</w:t>
      </w:r>
      <w:r w:rsidRPr="00453378">
        <w:rPr>
          <w:rFonts w:ascii="Arial" w:hAnsi="Arial" w:cs="Arial"/>
          <w:color w:val="000000" w:themeColor="text1"/>
        </w:rPr>
        <w:br/>
        <w:t>The principal barrier to this recommendation is the reality of staff shortages and sustained baseline demand. In such environments, protected breaks can feel aspirational rather than guaranteed, and cultural habits of “pushing through” may persist. Fragmentation across providers, especially where agency and care-home workforces are involved, can create uneven standards and undermine morale. To overcome these challenges, organisations should start with focused pilots that track “break compliance” at ward or clinic level and review results in routine operational huddles. Linking compliance to leadership objectives and incorporating break planning into daily bed meetings helps normalise practice. Building flexible capacity through cross-training, with proper induction and supervision, reduces reliance on goodwill. Finally, commissioning arrangements should include parity clauses so partner providers can resource comparable recovery provisions, avoiding a two-tier wellbeing landscape (Bakker and Demerouti, 2007; NHS England, 2020; NHS England, 2021)</w:t>
      </w:r>
      <w:r w:rsidR="00A9484F" w:rsidRPr="00453378">
        <w:rPr>
          <w:rFonts w:ascii="Arial" w:eastAsia="Times New Roman" w:hAnsi="Arial" w:cs="Arial"/>
          <w:color w:val="000000" w:themeColor="text1"/>
        </w:rPr>
        <w:t>.</w:t>
      </w:r>
    </w:p>
    <w:p w14:paraId="2C0F18E0" w14:textId="77777777" w:rsidR="00A9484F" w:rsidRPr="00C16BF8" w:rsidRDefault="00A9484F" w:rsidP="009F30F7">
      <w:pPr>
        <w:pStyle w:val="Heading3"/>
        <w:spacing w:line="360" w:lineRule="auto"/>
        <w:jc w:val="both"/>
        <w:rPr>
          <w:rFonts w:ascii="Arial" w:eastAsia="Times New Roman" w:hAnsi="Arial" w:cs="Arial"/>
          <w:b/>
          <w:color w:val="000000" w:themeColor="text1"/>
        </w:rPr>
      </w:pPr>
      <w:bookmarkStart w:id="73" w:name="_Toc209387797"/>
      <w:r w:rsidRPr="00C16BF8">
        <w:rPr>
          <w:rFonts w:ascii="Arial" w:eastAsia="Times New Roman" w:hAnsi="Arial" w:cs="Arial"/>
          <w:b/>
          <w:color w:val="000000" w:themeColor="text1"/>
        </w:rPr>
        <w:t xml:space="preserve">5.2.2 Recommendation 2: Embed Psychologically-Informed Support </w:t>
      </w:r>
      <w:r w:rsidR="008A6FD7" w:rsidRPr="00C16BF8">
        <w:rPr>
          <w:rFonts w:ascii="Arial" w:eastAsia="Times New Roman" w:hAnsi="Arial" w:cs="Arial"/>
          <w:b/>
          <w:color w:val="000000" w:themeColor="text1"/>
        </w:rPr>
        <w:t>into</w:t>
      </w:r>
      <w:r w:rsidRPr="00C16BF8">
        <w:rPr>
          <w:rFonts w:ascii="Arial" w:eastAsia="Times New Roman" w:hAnsi="Arial" w:cs="Arial"/>
          <w:b/>
          <w:color w:val="000000" w:themeColor="text1"/>
        </w:rPr>
        <w:t xml:space="preserve"> the Flow of Work</w:t>
      </w:r>
      <w:bookmarkEnd w:id="73"/>
      <w:r w:rsidR="00B02EE6">
        <w:rPr>
          <w:rFonts w:ascii="Arial" w:eastAsia="Times New Roman" w:hAnsi="Arial" w:cs="Arial"/>
          <w:b/>
          <w:color w:val="000000" w:themeColor="text1"/>
        </w:rPr>
        <w:t xml:space="preserve"> (Linked to Theme 3)</w:t>
      </w:r>
    </w:p>
    <w:p w14:paraId="5A3A260F" w14:textId="77777777" w:rsidR="00B02EE6" w:rsidRPr="00B02EE6" w:rsidRDefault="00B02EE6" w:rsidP="00B02EE6">
      <w:pPr>
        <w:spacing w:before="100" w:beforeAutospacing="1" w:after="100" w:afterAutospacing="1" w:line="360" w:lineRule="auto"/>
        <w:jc w:val="both"/>
        <w:rPr>
          <w:rFonts w:ascii="Arial" w:eastAsia="Times New Roman" w:hAnsi="Arial" w:cs="Arial"/>
          <w:szCs w:val="24"/>
        </w:rPr>
      </w:pPr>
      <w:r w:rsidRPr="00B02EE6">
        <w:rPr>
          <w:rFonts w:ascii="Arial" w:eastAsia="Times New Roman" w:hAnsi="Arial" w:cs="Arial"/>
          <w:szCs w:val="24"/>
        </w:rPr>
        <w:t>It directly addresses the findings from Theme 3 that peer solidarity, embedded psychological input and brief, practical skills were the most acceptable and useful forms of support for staff, but were often undermined by lack of time and inconsistent integration into daily work.</w:t>
      </w:r>
    </w:p>
    <w:p w14:paraId="03D301BE" w14:textId="77777777" w:rsidR="00A9484F" w:rsidRPr="00453378" w:rsidRDefault="00A91721"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Psychological support is most effective when it is visible, proximal, and easy to access during the working day. Shifting from referral-only models to embedded provision, such as psychology rounds onwards, drop-ins at handover, and brief interventions aligned to shift patterns, reduces the friction that often prevents staff from seeking help. Normalising peer structures (end-of-shift huddles, buddy systems, Schwartz Rounds) creates routine opportunities for connection and reflection, while brief, repeatable skills sessions on sleep, grounding, uncertainty tolerance, and moral stress management provide immediately usable tools. Crucially, these activities should occur in paid time and be scheduled with the same seriousness as clinical tasks. Clear communication about confidentiality, alongside visible leadership role-modelling, helps to reduce stigma and reframes help-seeking as a mark of professionalism rather than weakness (Billings et al., 2021; Wu, Styra and Gold, 2020; West et al., 2014; Greenberg et al., 2020).</w:t>
      </w:r>
      <w:r w:rsidRPr="00453378">
        <w:rPr>
          <w:rFonts w:ascii="Arial" w:eastAsia="Times New Roman" w:hAnsi="Arial" w:cs="Arial"/>
          <w:color w:val="000000" w:themeColor="text1"/>
        </w:rPr>
        <w:br/>
        <w:t>Time pressure is the most consistent obstacle, especially in high-acuity environments where leaving the floor feels impossible. Stigma and confidentiality concerns also deter some staff, while nights, weekends, community teams, and care-home settings can be underserved by traditional nine-to-five offers. To mitigate these barriers, support should be co-located and adapted to workflow, for instance, ten- to fifteen-minute micro-sessions delivered during handovers or at predictable points in the shift. An “opt-out” default for brief check-ins makes participation routine rather than exceptional. Rotating in-person presence across out-of-hours periods and creating a single access point across an Integrated Care System extends provision to agency and care-home staff. A stated, enforced commitment to psychological safety and confidentiality, reinforced by leaders who attend and endorse sessions, further increases trust and uptake (Billings et al., 2021; Kinman, Teoh and Harriss, 2020; NHS England, 2021)</w:t>
      </w:r>
      <w:r w:rsidR="00A9484F" w:rsidRPr="00453378">
        <w:rPr>
          <w:rFonts w:ascii="Arial" w:eastAsia="Times New Roman" w:hAnsi="Arial" w:cs="Arial"/>
          <w:color w:val="000000" w:themeColor="text1"/>
        </w:rPr>
        <w:t>.</w:t>
      </w:r>
    </w:p>
    <w:p w14:paraId="50F685E7" w14:textId="77777777" w:rsidR="00A9484F" w:rsidRPr="00C16BF8" w:rsidRDefault="00A9484F" w:rsidP="009F30F7">
      <w:pPr>
        <w:pStyle w:val="Heading3"/>
        <w:spacing w:line="360" w:lineRule="auto"/>
        <w:jc w:val="both"/>
        <w:rPr>
          <w:rFonts w:ascii="Arial" w:eastAsia="Times New Roman" w:hAnsi="Arial" w:cs="Arial"/>
          <w:b/>
          <w:color w:val="000000" w:themeColor="text1"/>
        </w:rPr>
      </w:pPr>
      <w:bookmarkStart w:id="74" w:name="_Toc209387798"/>
      <w:r w:rsidRPr="00C16BF8">
        <w:rPr>
          <w:rFonts w:ascii="Arial" w:eastAsia="Times New Roman" w:hAnsi="Arial" w:cs="Arial"/>
          <w:b/>
          <w:color w:val="000000" w:themeColor="text1"/>
        </w:rPr>
        <w:t xml:space="preserve">5.2.3 Recommendation 3: Build Ethics and Equity </w:t>
      </w:r>
      <w:r w:rsidR="00DB1264" w:rsidRPr="00C16BF8">
        <w:rPr>
          <w:rFonts w:ascii="Arial" w:eastAsia="Times New Roman" w:hAnsi="Arial" w:cs="Arial"/>
          <w:b/>
          <w:color w:val="000000" w:themeColor="text1"/>
        </w:rPr>
        <w:t>into</w:t>
      </w:r>
      <w:r w:rsidRPr="00C16BF8">
        <w:rPr>
          <w:rFonts w:ascii="Arial" w:eastAsia="Times New Roman" w:hAnsi="Arial" w:cs="Arial"/>
          <w:b/>
          <w:color w:val="000000" w:themeColor="text1"/>
        </w:rPr>
        <w:t xml:space="preserve"> Everyday Operations (Moral Injury Mitigation and Fair Access)</w:t>
      </w:r>
      <w:bookmarkEnd w:id="74"/>
      <w:r w:rsidR="00B02EE6">
        <w:rPr>
          <w:rFonts w:ascii="Arial" w:eastAsia="Times New Roman" w:hAnsi="Arial" w:cs="Arial"/>
          <w:b/>
          <w:color w:val="000000" w:themeColor="text1"/>
        </w:rPr>
        <w:t xml:space="preserve"> (Linked to Theme 1,2 and 4)</w:t>
      </w:r>
    </w:p>
    <w:p w14:paraId="1C7BCB62" w14:textId="77777777" w:rsidR="00B02EE6" w:rsidRPr="00B02EE6" w:rsidRDefault="00B02EE6" w:rsidP="00B02EE6">
      <w:pPr>
        <w:spacing w:before="100" w:beforeAutospacing="1" w:after="100" w:afterAutospacing="1" w:line="360" w:lineRule="auto"/>
        <w:jc w:val="both"/>
        <w:rPr>
          <w:rFonts w:ascii="Arial" w:eastAsia="Times New Roman" w:hAnsi="Arial" w:cs="Arial"/>
          <w:szCs w:val="24"/>
        </w:rPr>
      </w:pPr>
      <w:r w:rsidRPr="00B02EE6">
        <w:rPr>
          <w:rFonts w:ascii="Arial" w:eastAsia="Times New Roman" w:hAnsi="Arial" w:cs="Arial"/>
          <w:bCs/>
          <w:szCs w:val="24"/>
        </w:rPr>
        <w:t>This recommendation is grounded in Theme 1’s evidence of moral distress and injury, Theme 2’s account of perceived neglect in some settings (parti</w:t>
      </w:r>
      <w:r>
        <w:rPr>
          <w:rFonts w:ascii="Arial" w:eastAsia="Times New Roman" w:hAnsi="Arial" w:cs="Arial"/>
          <w:bCs/>
          <w:szCs w:val="24"/>
        </w:rPr>
        <w:t>cularly care homes), and Theme 4</w:t>
      </w:r>
      <w:r w:rsidRPr="00B02EE6">
        <w:rPr>
          <w:rFonts w:ascii="Arial" w:eastAsia="Times New Roman" w:hAnsi="Arial" w:cs="Arial"/>
          <w:bCs/>
          <w:szCs w:val="24"/>
        </w:rPr>
        <w:t>’s identification of inequities in access to support for agency, ancillary and ethnic minority staff.</w:t>
      </w:r>
    </w:p>
    <w:p w14:paraId="5436279F" w14:textId="77777777" w:rsidR="00453378" w:rsidRPr="00453378" w:rsidRDefault="00A91721" w:rsidP="009F30F7">
      <w:pPr>
        <w:spacing w:before="100" w:beforeAutospacing="1" w:after="100" w:afterAutospacing="1" w:line="360" w:lineRule="auto"/>
        <w:jc w:val="both"/>
        <w:rPr>
          <w:rFonts w:ascii="Arial" w:hAnsi="Arial" w:cs="Arial"/>
          <w:color w:val="000000" w:themeColor="text1"/>
        </w:rPr>
      </w:pPr>
      <w:r w:rsidRPr="00453378">
        <w:rPr>
          <w:rFonts w:ascii="Arial" w:hAnsi="Arial" w:cs="Arial"/>
          <w:color w:val="000000" w:themeColor="text1"/>
        </w:rPr>
        <w:t>Preventing moral injury and ensuring equitable access to support requires embedding ethics and fairness into daily operations. Short, routine “ethics huddles” during periods of high pressure allow teams to surface dilemmas around triage, visiting, and end-of-life care in real time, with rapid access to senior clinical and ethics input. Brief, blame-free debriefs after difficult shifts should be treated as part of safety practice rather than optional reflection. In parallel, organisations need to design for equity: access to PPE, testing, occupational health, and psychological services must be standardised across all staff groups, including bank, agency, ancillary, and care-home workers. Culturally competent risk assessments and targeted out</w:t>
      </w:r>
      <w:r w:rsidR="0019587B" w:rsidRPr="00453378">
        <w:rPr>
          <w:rFonts w:ascii="Arial" w:hAnsi="Arial" w:cs="Arial"/>
          <w:color w:val="000000" w:themeColor="text1"/>
        </w:rPr>
        <w:t xml:space="preserve">reach for ethnic minority staff co-designed with staff networks </w:t>
      </w:r>
      <w:r w:rsidRPr="00453378">
        <w:rPr>
          <w:rFonts w:ascii="Arial" w:hAnsi="Arial" w:cs="Arial"/>
          <w:color w:val="000000" w:themeColor="text1"/>
        </w:rPr>
        <w:t>can close gaps in exposure and access (Litz et al., 2009; Greenberg et al., 2020;</w:t>
      </w:r>
      <w:r w:rsidR="00453378" w:rsidRPr="00453378">
        <w:rPr>
          <w:rFonts w:ascii="Arial" w:hAnsi="Arial" w:cs="Arial"/>
          <w:color w:val="000000" w:themeColor="text1"/>
        </w:rPr>
        <w:t xml:space="preserve"> PHE, 2020; NHS England, 2020).</w:t>
      </w:r>
    </w:p>
    <w:p w14:paraId="3C9AE15E" w14:textId="77777777" w:rsidR="00A9484F" w:rsidRPr="00453378" w:rsidRDefault="00A91721"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hAnsi="Arial" w:cs="Arial"/>
          <w:color w:val="000000" w:themeColor="text1"/>
        </w:rPr>
        <w:t>Common barriers include perceptions that huddles and debriefs add workload, anxieties about blame or scrutiny that inhibit open discussion, and contractual differences that limit parity across providers. These can be addressed by keeping ethics and debrief conversations brief, predictable, and attached to existing meetings; by codifying a just-culture approach in policy and training; and by commissioning at system level with explicit parity requirements for partner organisations. M</w:t>
      </w:r>
      <w:r w:rsidR="00FD1989" w:rsidRPr="00453378">
        <w:rPr>
          <w:rFonts w:ascii="Arial" w:hAnsi="Arial" w:cs="Arial"/>
          <w:color w:val="000000" w:themeColor="text1"/>
        </w:rPr>
        <w:t xml:space="preserve">onitoring simple equity metrics, </w:t>
      </w:r>
      <w:r w:rsidRPr="00453378">
        <w:rPr>
          <w:rFonts w:ascii="Arial" w:hAnsi="Arial" w:cs="Arial"/>
          <w:color w:val="000000" w:themeColor="text1"/>
        </w:rPr>
        <w:t>such as uptake of supports by role, site, and ethnicity, and publishing regular summaries promotes accountability and targeted improvement (West et al., 2014; NHS England, 2021; Rajan et al., 2020)</w:t>
      </w:r>
      <w:r w:rsidR="00A9484F" w:rsidRPr="00453378">
        <w:rPr>
          <w:rFonts w:ascii="Arial" w:eastAsia="Times New Roman" w:hAnsi="Arial" w:cs="Arial"/>
          <w:color w:val="000000" w:themeColor="text1"/>
        </w:rPr>
        <w:t>.</w:t>
      </w:r>
    </w:p>
    <w:p w14:paraId="1CC4AE7D" w14:textId="77777777" w:rsidR="00A9484F" w:rsidRPr="00C16BF8" w:rsidRDefault="00ED7B9D" w:rsidP="009F30F7">
      <w:pPr>
        <w:pStyle w:val="Heading3"/>
        <w:spacing w:line="360" w:lineRule="auto"/>
        <w:jc w:val="both"/>
        <w:rPr>
          <w:rFonts w:ascii="Arial" w:eastAsia="Times New Roman" w:hAnsi="Arial" w:cs="Arial"/>
          <w:b/>
          <w:color w:val="000000" w:themeColor="text1"/>
        </w:rPr>
      </w:pPr>
      <w:bookmarkStart w:id="75" w:name="_Toc209387799"/>
      <w:r w:rsidRPr="00C16BF8">
        <w:rPr>
          <w:rFonts w:ascii="Arial" w:eastAsia="Times New Roman" w:hAnsi="Arial" w:cs="Arial"/>
          <w:b/>
          <w:color w:val="000000" w:themeColor="text1"/>
        </w:rPr>
        <w:t xml:space="preserve">5.2.4 </w:t>
      </w:r>
      <w:r w:rsidR="00A9484F" w:rsidRPr="00C16BF8">
        <w:rPr>
          <w:rFonts w:ascii="Arial" w:eastAsia="Times New Roman" w:hAnsi="Arial" w:cs="Arial"/>
          <w:b/>
          <w:color w:val="000000" w:themeColor="text1"/>
        </w:rPr>
        <w:t>Cross-Cutting Enablers</w:t>
      </w:r>
      <w:r w:rsidRPr="00C16BF8">
        <w:rPr>
          <w:rFonts w:ascii="Arial" w:eastAsia="Times New Roman" w:hAnsi="Arial" w:cs="Arial"/>
          <w:b/>
          <w:color w:val="000000" w:themeColor="text1"/>
        </w:rPr>
        <w:t xml:space="preserve"> and Phased Implementation</w:t>
      </w:r>
      <w:bookmarkEnd w:id="75"/>
      <w:r w:rsidRPr="00C16BF8">
        <w:rPr>
          <w:rFonts w:ascii="Arial" w:eastAsia="Times New Roman" w:hAnsi="Arial" w:cs="Arial"/>
          <w:b/>
          <w:color w:val="000000" w:themeColor="text1"/>
        </w:rPr>
        <w:t xml:space="preserve"> </w:t>
      </w:r>
    </w:p>
    <w:p w14:paraId="4066B4FF" w14:textId="77777777" w:rsidR="00453378" w:rsidRDefault="00A9484F"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Three enablers support all recommendations. First, organisations should measure a small set of w</w:t>
      </w:r>
      <w:r w:rsidR="00252353" w:rsidRPr="00453378">
        <w:rPr>
          <w:rFonts w:ascii="Arial" w:eastAsia="Times New Roman" w:hAnsi="Arial" w:cs="Arial"/>
          <w:color w:val="000000" w:themeColor="text1"/>
        </w:rPr>
        <w:t xml:space="preserve">ellbeing and process indicators, </w:t>
      </w:r>
      <w:r w:rsidRPr="00453378">
        <w:rPr>
          <w:rFonts w:ascii="Arial" w:eastAsia="Times New Roman" w:hAnsi="Arial" w:cs="Arial"/>
          <w:color w:val="000000" w:themeColor="text1"/>
        </w:rPr>
        <w:t>break compliance, sickness absence, turnover intention, debri</w:t>
      </w:r>
      <w:r w:rsidR="00252353" w:rsidRPr="00453378">
        <w:rPr>
          <w:rFonts w:ascii="Arial" w:eastAsia="Times New Roman" w:hAnsi="Arial" w:cs="Arial"/>
          <w:color w:val="000000" w:themeColor="text1"/>
        </w:rPr>
        <w:t xml:space="preserve">ef coverage, and support uptake, </w:t>
      </w:r>
      <w:r w:rsidRPr="00453378">
        <w:rPr>
          <w:rFonts w:ascii="Arial" w:eastAsia="Times New Roman" w:hAnsi="Arial" w:cs="Arial"/>
          <w:color w:val="000000" w:themeColor="text1"/>
        </w:rPr>
        <w:t>and use them to drive visible chang</w:t>
      </w:r>
      <w:r w:rsidR="00252353" w:rsidRPr="00453378">
        <w:rPr>
          <w:rFonts w:ascii="Arial" w:eastAsia="Times New Roman" w:hAnsi="Arial" w:cs="Arial"/>
          <w:color w:val="000000" w:themeColor="text1"/>
        </w:rPr>
        <w:t xml:space="preserve">es, avoiding survey fatigue without action. </w:t>
      </w:r>
      <w:r w:rsidRPr="00453378">
        <w:rPr>
          <w:rFonts w:ascii="Arial" w:eastAsia="Times New Roman" w:hAnsi="Arial" w:cs="Arial"/>
          <w:color w:val="000000" w:themeColor="text1"/>
        </w:rPr>
        <w:t>Second, co-design with frontline staff and networks ensures that solutions fit local workflows and constraints; rapid Plan-Do-Study-Act cycles help teams test, learn, and iterate quickly. Third, protected time must be explicitly resourced within job plans and rotas so that recovery, peer support, and skills training are considered integral to safe staffing rather than discretionary extras. Consis</w:t>
      </w:r>
      <w:r w:rsidR="00252353" w:rsidRPr="00453378">
        <w:rPr>
          <w:rFonts w:ascii="Arial" w:eastAsia="Times New Roman" w:hAnsi="Arial" w:cs="Arial"/>
          <w:color w:val="000000" w:themeColor="text1"/>
        </w:rPr>
        <w:t xml:space="preserve">tent, transparent communication, </w:t>
      </w:r>
      <w:r w:rsidRPr="00453378">
        <w:rPr>
          <w:rFonts w:ascii="Arial" w:eastAsia="Times New Roman" w:hAnsi="Arial" w:cs="Arial"/>
          <w:color w:val="000000" w:themeColor="text1"/>
        </w:rPr>
        <w:t>celebrating teams that meet recovery standards and showing what has ch</w:t>
      </w:r>
      <w:r w:rsidR="00252353" w:rsidRPr="00453378">
        <w:rPr>
          <w:rFonts w:ascii="Arial" w:eastAsia="Times New Roman" w:hAnsi="Arial" w:cs="Arial"/>
          <w:color w:val="000000" w:themeColor="text1"/>
        </w:rPr>
        <w:t xml:space="preserve">anged because of staff feedback, </w:t>
      </w:r>
      <w:r w:rsidRPr="00453378">
        <w:rPr>
          <w:rFonts w:ascii="Arial" w:eastAsia="Times New Roman" w:hAnsi="Arial" w:cs="Arial"/>
          <w:color w:val="000000" w:themeColor="text1"/>
        </w:rPr>
        <w:t>r</w:t>
      </w:r>
      <w:r w:rsidR="00453378">
        <w:rPr>
          <w:rFonts w:ascii="Arial" w:eastAsia="Times New Roman" w:hAnsi="Arial" w:cs="Arial"/>
          <w:color w:val="000000" w:themeColor="text1"/>
        </w:rPr>
        <w:t>einforces trust and engagement.</w:t>
      </w:r>
    </w:p>
    <w:p w14:paraId="3F3A6E55" w14:textId="77777777" w:rsidR="00453378" w:rsidRDefault="00A9484F"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A pragmatic roll-out might begin with a ninety-day phase focused on establishing rest hubs in two high-pressure areas, piloting break-compliance dashboards, launching daily ten-minute end-of-shift huddles, and initiating roaming psychology drop-ins that align with peak demand. In months three to six, services could expand micro-teams and internal float pools, formalise quarterly Schwartz Rounds, introduce weekly ethics huddles in intensive care and emergency departments, and stand up a single “front door” for support access across the local system, including community and care-home providers. By months six to twelve, parity clauses could be embedded in contracts, wellbeing indicators incorporated into board reporting, decompression and leave-bank mechanisms scheduled post-surge, and an annual we</w:t>
      </w:r>
      <w:r w:rsidR="00ED7B9D" w:rsidRPr="00453378">
        <w:rPr>
          <w:rFonts w:ascii="Arial" w:eastAsia="Times New Roman" w:hAnsi="Arial" w:cs="Arial"/>
          <w:color w:val="000000" w:themeColor="text1"/>
        </w:rPr>
        <w:t xml:space="preserve">llbeing impact report published, co-authored with staff, </w:t>
      </w:r>
      <w:r w:rsidRPr="00453378">
        <w:rPr>
          <w:rFonts w:ascii="Arial" w:eastAsia="Times New Roman" w:hAnsi="Arial" w:cs="Arial"/>
          <w:color w:val="000000" w:themeColor="text1"/>
        </w:rPr>
        <w:t xml:space="preserve">to demonstrate </w:t>
      </w:r>
      <w:r w:rsidR="00453378">
        <w:rPr>
          <w:rFonts w:ascii="Arial" w:eastAsia="Times New Roman" w:hAnsi="Arial" w:cs="Arial"/>
          <w:color w:val="000000" w:themeColor="text1"/>
        </w:rPr>
        <w:t>progress and maintain momentum.</w:t>
      </w:r>
    </w:p>
    <w:p w14:paraId="3FA78899" w14:textId="77777777" w:rsidR="00A9484F" w:rsidRPr="00453378" w:rsidRDefault="00A9484F" w:rsidP="009F30F7">
      <w:pPr>
        <w:spacing w:before="100" w:beforeAutospacing="1" w:after="100" w:afterAutospacing="1" w:line="360" w:lineRule="auto"/>
        <w:jc w:val="both"/>
        <w:rPr>
          <w:rFonts w:ascii="Arial" w:eastAsia="Times New Roman" w:hAnsi="Arial" w:cs="Arial"/>
          <w:color w:val="000000" w:themeColor="text1"/>
        </w:rPr>
      </w:pPr>
      <w:r w:rsidRPr="00453378">
        <w:rPr>
          <w:rFonts w:ascii="Arial" w:eastAsia="Times New Roman" w:hAnsi="Arial" w:cs="Arial"/>
          <w:color w:val="000000" w:themeColor="text1"/>
        </w:rPr>
        <w:t>Taken together, these recommendations form a coherent model: protect time for recovery, bring support to the point of care, and make ethics and equity routine. Implemented as part of everyday operations rather than as add-ons, they strengthen resilience, reduce the risk of burnout and moral injury, and prepare services for future shocks while sustaining compassionate, safe care.</w:t>
      </w:r>
    </w:p>
    <w:p w14:paraId="193027A2" w14:textId="77777777" w:rsidR="00AF5BDE" w:rsidRDefault="00AF5BD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676D215B" w14:textId="77777777" w:rsidR="00AF5BDE" w:rsidRDefault="00AF5BD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60A5800A" w14:textId="77777777" w:rsidR="00270C7E" w:rsidRDefault="00270C7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482DF39F" w14:textId="77777777" w:rsidR="00270C7E" w:rsidRDefault="00270C7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25E7FB7F" w14:textId="77777777" w:rsidR="00270C7E" w:rsidRDefault="00270C7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4FA7FDB8" w14:textId="77777777" w:rsidR="00AF5BDE" w:rsidRPr="00C16BF8" w:rsidRDefault="00AF5BDE" w:rsidP="009F30F7">
      <w:pPr>
        <w:spacing w:before="100" w:beforeAutospacing="1" w:after="100" w:afterAutospacing="1" w:line="360" w:lineRule="auto"/>
        <w:jc w:val="both"/>
        <w:rPr>
          <w:rFonts w:ascii="Arial" w:eastAsia="Times New Roman" w:hAnsi="Arial" w:cs="Arial"/>
          <w:color w:val="000000" w:themeColor="text1"/>
          <w:sz w:val="24"/>
          <w:szCs w:val="24"/>
        </w:rPr>
      </w:pPr>
    </w:p>
    <w:p w14:paraId="7ABD59BA" w14:textId="77777777" w:rsidR="00DB1264" w:rsidRPr="00C16BF8" w:rsidRDefault="009C3ADA" w:rsidP="0013498E">
      <w:pPr>
        <w:pStyle w:val="Heading1"/>
      </w:pPr>
      <w:bookmarkStart w:id="76" w:name="_Toc209387800"/>
      <w:r w:rsidRPr="00C16BF8">
        <w:t>CHAPTER 6: References and Appendices</w:t>
      </w:r>
      <w:bookmarkEnd w:id="76"/>
    </w:p>
    <w:p w14:paraId="4D282543" w14:textId="77777777" w:rsidR="009C3ADA" w:rsidRPr="00453378" w:rsidRDefault="00A73F68" w:rsidP="009F30F7">
      <w:pPr>
        <w:pStyle w:val="Heading2"/>
        <w:spacing w:line="360" w:lineRule="auto"/>
        <w:jc w:val="both"/>
        <w:rPr>
          <w:rFonts w:ascii="Arial" w:hAnsi="Arial" w:cs="Arial"/>
          <w:b/>
          <w:color w:val="000000" w:themeColor="text1"/>
          <w:sz w:val="28"/>
          <w:szCs w:val="22"/>
        </w:rPr>
      </w:pPr>
      <w:bookmarkStart w:id="77" w:name="_Toc209387801"/>
      <w:r w:rsidRPr="00453378">
        <w:rPr>
          <w:rFonts w:ascii="Arial" w:hAnsi="Arial" w:cs="Arial"/>
          <w:b/>
          <w:color w:val="000000" w:themeColor="text1"/>
          <w:sz w:val="28"/>
          <w:szCs w:val="22"/>
        </w:rPr>
        <w:t xml:space="preserve">6.1 </w:t>
      </w:r>
      <w:r w:rsidR="009C3ADA" w:rsidRPr="00453378">
        <w:rPr>
          <w:rFonts w:ascii="Arial" w:hAnsi="Arial" w:cs="Arial"/>
          <w:b/>
          <w:color w:val="000000" w:themeColor="text1"/>
          <w:sz w:val="28"/>
          <w:szCs w:val="22"/>
        </w:rPr>
        <w:t>References</w:t>
      </w:r>
      <w:bookmarkEnd w:id="77"/>
    </w:p>
    <w:p w14:paraId="182A5C60"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Aiken, L.H., Sloane, D.M., Bruyneel, L., Van den Heede, K., Griffiths, P. </w:t>
      </w:r>
      <w:r w:rsidRPr="00453378">
        <w:rPr>
          <w:rStyle w:val="Emphasis"/>
          <w:rFonts w:ascii="Arial" w:hAnsi="Arial" w:cs="Arial"/>
          <w:sz w:val="22"/>
          <w:szCs w:val="22"/>
        </w:rPr>
        <w:t>et al.</w:t>
      </w:r>
      <w:r w:rsidRPr="00453378">
        <w:rPr>
          <w:rFonts w:ascii="Arial" w:hAnsi="Arial" w:cs="Arial"/>
          <w:sz w:val="22"/>
          <w:szCs w:val="22"/>
        </w:rPr>
        <w:t xml:space="preserve"> (2012) ‘</w:t>
      </w:r>
      <w:r w:rsidRPr="001D30A7">
        <w:rPr>
          <w:rFonts w:ascii="Arial" w:hAnsi="Arial" w:cs="Arial"/>
          <w:i/>
          <w:sz w:val="22"/>
          <w:szCs w:val="22"/>
        </w:rPr>
        <w:t xml:space="preserve">Nurse staffing and education and hospital mortality in nine European countries’, </w:t>
      </w:r>
      <w:r w:rsidRPr="00453378">
        <w:rPr>
          <w:rStyle w:val="Emphasis"/>
          <w:rFonts w:ascii="Arial" w:hAnsi="Arial" w:cs="Arial"/>
          <w:sz w:val="22"/>
          <w:szCs w:val="22"/>
        </w:rPr>
        <w:t>The Lancet</w:t>
      </w:r>
      <w:r w:rsidRPr="00453378">
        <w:rPr>
          <w:rFonts w:ascii="Arial" w:hAnsi="Arial" w:cs="Arial"/>
          <w:sz w:val="22"/>
          <w:szCs w:val="22"/>
        </w:rPr>
        <w:t xml:space="preserve">, 383(9931), pp. 1824–1830. </w:t>
      </w:r>
      <w:hyperlink r:id="rId21" w:history="1">
        <w:r w:rsidRPr="00453378">
          <w:rPr>
            <w:rStyle w:val="Hyperlink"/>
            <w:rFonts w:ascii="Arial" w:hAnsi="Arial" w:cs="Arial"/>
            <w:sz w:val="22"/>
            <w:szCs w:val="22"/>
          </w:rPr>
          <w:t>https://www.thelancet.com/journals/lancet/article/PIIS0140-6736(13)62631-8/fulltext</w:t>
        </w:r>
      </w:hyperlink>
      <w:r w:rsidRPr="00453378">
        <w:rPr>
          <w:rFonts w:ascii="Arial" w:hAnsi="Arial" w:cs="Arial"/>
          <w:sz w:val="22"/>
          <w:szCs w:val="22"/>
        </w:rPr>
        <w:t xml:space="preserve"> </w:t>
      </w:r>
      <w:r w:rsidR="000B42B6">
        <w:rPr>
          <w:rFonts w:ascii="Arial" w:hAnsi="Arial" w:cs="Arial"/>
          <w:sz w:val="22"/>
          <w:szCs w:val="22"/>
        </w:rPr>
        <w:t>(Accessed: November 28, 2025).</w:t>
      </w:r>
    </w:p>
    <w:p w14:paraId="2C268AF8"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Bakker, A.B. &amp; Demerouti, E. (2007) ‘</w:t>
      </w:r>
      <w:r w:rsidRPr="001D30A7">
        <w:rPr>
          <w:rFonts w:ascii="Arial" w:hAnsi="Arial" w:cs="Arial"/>
          <w:i/>
          <w:sz w:val="22"/>
          <w:szCs w:val="22"/>
        </w:rPr>
        <w:t>The Job Demands–Resources model: State of the art’</w:t>
      </w:r>
      <w:r w:rsidRPr="00453378">
        <w:rPr>
          <w:rFonts w:ascii="Arial" w:hAnsi="Arial" w:cs="Arial"/>
          <w:sz w:val="22"/>
          <w:szCs w:val="22"/>
        </w:rPr>
        <w:t xml:space="preserve">, </w:t>
      </w:r>
      <w:r w:rsidRPr="00453378">
        <w:rPr>
          <w:rStyle w:val="Emphasis"/>
          <w:rFonts w:ascii="Arial" w:hAnsi="Arial" w:cs="Arial"/>
          <w:sz w:val="22"/>
          <w:szCs w:val="22"/>
        </w:rPr>
        <w:t>Journal of Managerial Psychology</w:t>
      </w:r>
      <w:r w:rsidRPr="00453378">
        <w:rPr>
          <w:rFonts w:ascii="Arial" w:hAnsi="Arial" w:cs="Arial"/>
          <w:sz w:val="22"/>
          <w:szCs w:val="22"/>
        </w:rPr>
        <w:t xml:space="preserve">, 22(3), pp. 309–328. </w:t>
      </w:r>
      <w:hyperlink r:id="rId22" w:history="1">
        <w:r w:rsidRPr="00453378">
          <w:rPr>
            <w:rStyle w:val="Hyperlink"/>
            <w:rFonts w:ascii="Arial" w:hAnsi="Arial" w:cs="Arial"/>
            <w:sz w:val="22"/>
            <w:szCs w:val="22"/>
          </w:rPr>
          <w:t>https://doi.org/10.1108/02683940710733115</w:t>
        </w:r>
      </w:hyperlink>
    </w:p>
    <w:p w14:paraId="5DAE197E"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Bates, M.J. (1989) ‘</w:t>
      </w:r>
      <w:r w:rsidRPr="001D30A7">
        <w:rPr>
          <w:rFonts w:ascii="Arial" w:hAnsi="Arial" w:cs="Arial"/>
          <w:i/>
          <w:sz w:val="22"/>
          <w:szCs w:val="22"/>
        </w:rPr>
        <w:t>The design of browsing and berrypicking techniques for the online search interfac</w:t>
      </w:r>
      <w:r w:rsidRPr="00453378">
        <w:rPr>
          <w:rFonts w:ascii="Arial" w:hAnsi="Arial" w:cs="Arial"/>
          <w:sz w:val="22"/>
          <w:szCs w:val="22"/>
        </w:rPr>
        <w:t xml:space="preserve">e’, </w:t>
      </w:r>
      <w:r w:rsidRPr="00453378">
        <w:rPr>
          <w:rStyle w:val="Emphasis"/>
          <w:rFonts w:ascii="Arial" w:hAnsi="Arial" w:cs="Arial"/>
          <w:sz w:val="22"/>
          <w:szCs w:val="22"/>
        </w:rPr>
        <w:t>Online Review</w:t>
      </w:r>
      <w:r w:rsidRPr="00453378">
        <w:rPr>
          <w:rFonts w:ascii="Arial" w:hAnsi="Arial" w:cs="Arial"/>
          <w:sz w:val="22"/>
          <w:szCs w:val="22"/>
        </w:rPr>
        <w:t xml:space="preserve">, 13(5), pp. 407–424. </w:t>
      </w:r>
      <w:hyperlink r:id="rId23" w:history="1">
        <w:r w:rsidRPr="00453378">
          <w:rPr>
            <w:rStyle w:val="Hyperlink"/>
            <w:rFonts w:ascii="Arial" w:hAnsi="Arial" w:cs="Arial"/>
            <w:sz w:val="22"/>
            <w:szCs w:val="22"/>
          </w:rPr>
          <w:t>https://doi.org/10.1108/eb024320</w:t>
        </w:r>
      </w:hyperlink>
      <w:r w:rsidRPr="00453378">
        <w:rPr>
          <w:rFonts w:ascii="Arial" w:hAnsi="Arial" w:cs="Arial"/>
          <w:sz w:val="22"/>
          <w:szCs w:val="22"/>
        </w:rPr>
        <w:t xml:space="preserve"> </w:t>
      </w:r>
    </w:p>
    <w:p w14:paraId="7B14E8F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Billings, J., Ching, B.C.F., Gkofa, V., Greene, T. &amp; Bloomfield, M. (2021) ‘</w:t>
      </w:r>
      <w:r w:rsidRPr="001D30A7">
        <w:rPr>
          <w:rFonts w:ascii="Arial" w:hAnsi="Arial" w:cs="Arial"/>
          <w:i/>
          <w:sz w:val="22"/>
          <w:szCs w:val="22"/>
        </w:rPr>
        <w:t>Healthcare workers’ experiences of working on the frontline and views about support during COVID-19 and comparable pandemics: A rapid review and meta-synthesis’</w:t>
      </w:r>
      <w:r w:rsidRPr="00453378">
        <w:rPr>
          <w:rFonts w:ascii="Arial" w:hAnsi="Arial" w:cs="Arial"/>
          <w:sz w:val="22"/>
          <w:szCs w:val="22"/>
        </w:rPr>
        <w:t xml:space="preserve">, </w:t>
      </w:r>
      <w:r w:rsidRPr="00453378">
        <w:rPr>
          <w:rStyle w:val="Emphasis"/>
          <w:rFonts w:ascii="Arial" w:hAnsi="Arial" w:cs="Arial"/>
          <w:sz w:val="22"/>
          <w:szCs w:val="22"/>
        </w:rPr>
        <w:t>BMC Health Services Research</w:t>
      </w:r>
      <w:r w:rsidRPr="00453378">
        <w:rPr>
          <w:rFonts w:ascii="Arial" w:hAnsi="Arial" w:cs="Arial"/>
          <w:sz w:val="22"/>
          <w:szCs w:val="22"/>
        </w:rPr>
        <w:t xml:space="preserve">, 21, 923. </w:t>
      </w:r>
      <w:hyperlink r:id="rId24" w:tgtFrame="_new" w:history="1">
        <w:r w:rsidRPr="00453378">
          <w:rPr>
            <w:rStyle w:val="Hyperlink"/>
            <w:rFonts w:ascii="Arial" w:hAnsi="Arial" w:cs="Arial"/>
            <w:sz w:val="22"/>
            <w:szCs w:val="22"/>
          </w:rPr>
          <w:t>https://bmchealthservres.biomedcentral.com/articles/10.1186/s12913-021-06917-z</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6C3A1EAC"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Blake, H., Bermingham, F., Johnson, G. &amp; Tabner, A. (2020) ‘</w:t>
      </w:r>
      <w:r w:rsidRPr="001D30A7">
        <w:rPr>
          <w:rFonts w:ascii="Arial" w:hAnsi="Arial" w:cs="Arial"/>
          <w:i/>
          <w:sz w:val="22"/>
          <w:szCs w:val="22"/>
        </w:rPr>
        <w:t>Mitigating the psychological impact of COVID-19 on healthcare workers: A digital learning package</w:t>
      </w:r>
      <w:r w:rsidRPr="00453378">
        <w:rPr>
          <w:rFonts w:ascii="Arial" w:hAnsi="Arial" w:cs="Arial"/>
          <w:sz w:val="22"/>
          <w:szCs w:val="22"/>
        </w:rPr>
        <w:t xml:space="preserve">’, </w:t>
      </w:r>
      <w:r w:rsidRPr="00453378">
        <w:rPr>
          <w:rStyle w:val="Emphasis"/>
          <w:rFonts w:ascii="Arial" w:hAnsi="Arial" w:cs="Arial"/>
          <w:sz w:val="22"/>
          <w:szCs w:val="22"/>
        </w:rPr>
        <w:t>International Journal of Environmental Research and Public Health</w:t>
      </w:r>
      <w:r w:rsidRPr="00453378">
        <w:rPr>
          <w:rFonts w:ascii="Arial" w:hAnsi="Arial" w:cs="Arial"/>
          <w:sz w:val="22"/>
          <w:szCs w:val="22"/>
        </w:rPr>
        <w:t xml:space="preserve">, 17(9), 2997. </w:t>
      </w:r>
      <w:hyperlink r:id="rId25" w:history="1">
        <w:r w:rsidRPr="00453378">
          <w:rPr>
            <w:rStyle w:val="Hyperlink"/>
            <w:rFonts w:ascii="Arial" w:hAnsi="Arial" w:cs="Arial"/>
            <w:sz w:val="22"/>
            <w:szCs w:val="22"/>
          </w:rPr>
          <w:t>https://doi.org/10.3390/ijerph17092997</w:t>
        </w:r>
      </w:hyperlink>
    </w:p>
    <w:p w14:paraId="0CB7AFB0"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Blakeslee, S. (2004) ‘</w:t>
      </w:r>
      <w:r w:rsidRPr="001D30A7">
        <w:rPr>
          <w:rFonts w:ascii="Arial" w:hAnsi="Arial" w:cs="Arial"/>
          <w:i/>
          <w:sz w:val="22"/>
          <w:szCs w:val="22"/>
        </w:rPr>
        <w:t>The CRAAP test’</w:t>
      </w:r>
      <w:r w:rsidRPr="00453378">
        <w:rPr>
          <w:rFonts w:ascii="Arial" w:hAnsi="Arial" w:cs="Arial"/>
          <w:sz w:val="22"/>
          <w:szCs w:val="22"/>
        </w:rPr>
        <w:t xml:space="preserve">, </w:t>
      </w:r>
      <w:r w:rsidRPr="00453378">
        <w:rPr>
          <w:rStyle w:val="Emphasis"/>
          <w:rFonts w:ascii="Arial" w:hAnsi="Arial" w:cs="Arial"/>
          <w:sz w:val="22"/>
          <w:szCs w:val="22"/>
        </w:rPr>
        <w:t>LOEX Quarterly</w:t>
      </w:r>
      <w:r w:rsidRPr="00453378">
        <w:rPr>
          <w:rFonts w:ascii="Arial" w:hAnsi="Arial" w:cs="Arial"/>
          <w:sz w:val="22"/>
          <w:szCs w:val="22"/>
        </w:rPr>
        <w:t>, 31(3), pp. 6–7.</w:t>
      </w:r>
      <w:r w:rsidRPr="00453378">
        <w:rPr>
          <w:rFonts w:ascii="Arial" w:hAnsi="Arial" w:cs="Arial"/>
          <w:sz w:val="22"/>
          <w:szCs w:val="22"/>
        </w:rPr>
        <w:br/>
      </w:r>
      <w:hyperlink r:id="rId26" w:tgtFrame="_new" w:history="1">
        <w:r w:rsidRPr="00453378">
          <w:rPr>
            <w:rStyle w:val="Hyperlink"/>
            <w:rFonts w:ascii="Arial" w:hAnsi="Arial" w:cs="Arial"/>
            <w:sz w:val="22"/>
            <w:szCs w:val="22"/>
          </w:rPr>
          <w:t>https://commons.emich.edu/loexquarterly/vol31/iss3/4/</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7DDBA88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BMA (2021) </w:t>
      </w:r>
      <w:r w:rsidRPr="001D30A7">
        <w:rPr>
          <w:rStyle w:val="Emphasis"/>
          <w:rFonts w:ascii="Arial" w:hAnsi="Arial" w:cs="Arial"/>
          <w:sz w:val="22"/>
          <w:szCs w:val="22"/>
        </w:rPr>
        <w:t>COVID-19: The impact on the medical profession</w:t>
      </w:r>
      <w:r w:rsidRPr="001D30A7">
        <w:rPr>
          <w:rFonts w:ascii="Arial" w:hAnsi="Arial" w:cs="Arial"/>
          <w:sz w:val="22"/>
          <w:szCs w:val="22"/>
        </w:rPr>
        <w:t>.</w:t>
      </w:r>
      <w:r w:rsidRPr="00453378">
        <w:rPr>
          <w:rFonts w:ascii="Arial" w:hAnsi="Arial" w:cs="Arial"/>
          <w:sz w:val="22"/>
          <w:szCs w:val="22"/>
        </w:rPr>
        <w:br/>
      </w:r>
      <w:hyperlink r:id="rId27" w:tgtFrame="_new" w:history="1">
        <w:r w:rsidRPr="00453378">
          <w:rPr>
            <w:rStyle w:val="Hyperlink"/>
            <w:rFonts w:ascii="Arial" w:hAnsi="Arial" w:cs="Arial"/>
            <w:sz w:val="22"/>
            <w:szCs w:val="22"/>
          </w:rPr>
          <w:t>https://www.bma.org.uk/advice-and-support/covid-19</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6EDC7E8E"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Booth, A., Sutton, A. &amp; Papaioannou, D. (2016) </w:t>
      </w:r>
      <w:r w:rsidRPr="00453378">
        <w:rPr>
          <w:rStyle w:val="Emphasis"/>
          <w:rFonts w:ascii="Arial" w:hAnsi="Arial" w:cs="Arial"/>
          <w:sz w:val="22"/>
          <w:szCs w:val="22"/>
        </w:rPr>
        <w:t>Systematic Approaches to a Successful Literature Review</w:t>
      </w:r>
      <w:r w:rsidRPr="00453378">
        <w:rPr>
          <w:rFonts w:ascii="Arial" w:hAnsi="Arial" w:cs="Arial"/>
          <w:sz w:val="22"/>
          <w:szCs w:val="22"/>
        </w:rPr>
        <w:t>. 2nd edn. London: SAGE.</w:t>
      </w:r>
      <w:r w:rsidRPr="00453378">
        <w:rPr>
          <w:rFonts w:ascii="Arial" w:hAnsi="Arial" w:cs="Arial"/>
          <w:sz w:val="22"/>
          <w:szCs w:val="22"/>
        </w:rPr>
        <w:br/>
      </w:r>
      <w:hyperlink r:id="rId28" w:history="1">
        <w:r w:rsidRPr="00453378">
          <w:rPr>
            <w:rStyle w:val="Hyperlink"/>
            <w:rFonts w:ascii="Arial" w:hAnsi="Arial" w:cs="Arial"/>
            <w:sz w:val="22"/>
            <w:szCs w:val="22"/>
          </w:rPr>
          <w:t>https://uk.sagepub.com/en-gb/eur/systematic-approaches-to-a-successful-literature-review/book245351</w:t>
        </w:r>
      </w:hyperlink>
      <w:r w:rsidRPr="00453378">
        <w:rPr>
          <w:rFonts w:ascii="Arial" w:hAnsi="Arial" w:cs="Arial"/>
          <w:sz w:val="22"/>
          <w:szCs w:val="22"/>
        </w:rPr>
        <w:t xml:space="preserve"> </w:t>
      </w:r>
      <w:r w:rsidR="000B42B6">
        <w:rPr>
          <w:rFonts w:ascii="Arial" w:hAnsi="Arial" w:cs="Arial"/>
          <w:sz w:val="22"/>
          <w:szCs w:val="22"/>
        </w:rPr>
        <w:t xml:space="preserve"> (Accessed: November 28, 2025).</w:t>
      </w:r>
    </w:p>
    <w:p w14:paraId="1BF00D3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Braun, V. &amp; Clarke, V. (2006) ‘</w:t>
      </w:r>
      <w:r w:rsidRPr="001D30A7">
        <w:rPr>
          <w:rFonts w:ascii="Arial" w:hAnsi="Arial" w:cs="Arial"/>
          <w:i/>
          <w:sz w:val="22"/>
          <w:szCs w:val="22"/>
        </w:rPr>
        <w:t>Using thematic analysis in psychology’</w:t>
      </w:r>
      <w:r w:rsidRPr="00453378">
        <w:rPr>
          <w:rFonts w:ascii="Arial" w:hAnsi="Arial" w:cs="Arial"/>
          <w:sz w:val="22"/>
          <w:szCs w:val="22"/>
        </w:rPr>
        <w:t xml:space="preserve">, </w:t>
      </w:r>
      <w:r w:rsidRPr="00453378">
        <w:rPr>
          <w:rStyle w:val="Emphasis"/>
          <w:rFonts w:ascii="Arial" w:hAnsi="Arial" w:cs="Arial"/>
          <w:sz w:val="22"/>
          <w:szCs w:val="22"/>
        </w:rPr>
        <w:t>Qualitative Research in Psychology</w:t>
      </w:r>
      <w:r w:rsidRPr="00453378">
        <w:rPr>
          <w:rFonts w:ascii="Arial" w:hAnsi="Arial" w:cs="Arial"/>
          <w:sz w:val="22"/>
          <w:szCs w:val="22"/>
        </w:rPr>
        <w:t xml:space="preserve">, 3(2), pp. 77–101. </w:t>
      </w:r>
      <w:hyperlink r:id="rId29" w:tgtFrame="_new" w:history="1">
        <w:r w:rsidRPr="00453378">
          <w:rPr>
            <w:rStyle w:val="Hyperlink"/>
            <w:rFonts w:ascii="Arial" w:hAnsi="Arial" w:cs="Arial"/>
            <w:sz w:val="22"/>
            <w:szCs w:val="22"/>
          </w:rPr>
          <w:t>https://doi.org/10.1191/1478088706qp063oa</w:t>
        </w:r>
      </w:hyperlink>
    </w:p>
    <w:p w14:paraId="6336D12A"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Campbell, J., Calman, L., Thomas, C. &amp; Weller, R. (2013) </w:t>
      </w:r>
      <w:r w:rsidRPr="001D30A7">
        <w:rPr>
          <w:rFonts w:ascii="Arial" w:hAnsi="Arial" w:cs="Arial"/>
          <w:i/>
          <w:sz w:val="22"/>
          <w:szCs w:val="22"/>
        </w:rPr>
        <w:t>‘Burnout in UK doctors’,</w:t>
      </w:r>
      <w:r w:rsidRPr="00453378">
        <w:rPr>
          <w:rFonts w:ascii="Arial" w:hAnsi="Arial" w:cs="Arial"/>
          <w:sz w:val="22"/>
          <w:szCs w:val="22"/>
        </w:rPr>
        <w:t xml:space="preserve"> </w:t>
      </w:r>
      <w:r w:rsidRPr="00453378">
        <w:rPr>
          <w:rStyle w:val="Emphasis"/>
          <w:rFonts w:ascii="Arial" w:hAnsi="Arial" w:cs="Arial"/>
          <w:sz w:val="22"/>
          <w:szCs w:val="22"/>
        </w:rPr>
        <w:t>BMJ</w:t>
      </w:r>
      <w:r w:rsidRPr="00453378">
        <w:rPr>
          <w:rFonts w:ascii="Arial" w:hAnsi="Arial" w:cs="Arial"/>
          <w:sz w:val="22"/>
          <w:szCs w:val="22"/>
        </w:rPr>
        <w:t xml:space="preserve">, 347, f7332. </w:t>
      </w:r>
      <w:hyperlink r:id="rId30" w:tgtFrame="_new" w:history="1">
        <w:r w:rsidRPr="00453378">
          <w:rPr>
            <w:rStyle w:val="Hyperlink"/>
            <w:rFonts w:ascii="Arial" w:hAnsi="Arial" w:cs="Arial"/>
            <w:sz w:val="22"/>
            <w:szCs w:val="22"/>
          </w:rPr>
          <w:t>https://www.bmj.com/content/347/bmj.f7332</w:t>
        </w:r>
      </w:hyperlink>
    </w:p>
    <w:p w14:paraId="49031338" w14:textId="77777777" w:rsidR="00AA2C2D"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Chen, R., Sun, C., Chen, J.J., Jen, H.J., Kang, X.L., Kao, C.C. &amp; Chou, K.R. (2022) ‘</w:t>
      </w:r>
      <w:r w:rsidRPr="001D30A7">
        <w:rPr>
          <w:rFonts w:ascii="Arial" w:hAnsi="Arial" w:cs="Arial"/>
          <w:i/>
          <w:sz w:val="22"/>
          <w:szCs w:val="22"/>
        </w:rPr>
        <w:t>A large-scale survey on anxiety, depression, and sleep disturbance among Chinese HCWs during COVID-19’</w:t>
      </w:r>
      <w:r w:rsidRPr="00453378">
        <w:rPr>
          <w:rFonts w:ascii="Arial" w:hAnsi="Arial" w:cs="Arial"/>
          <w:sz w:val="22"/>
          <w:szCs w:val="22"/>
        </w:rPr>
        <w:t xml:space="preserve">, </w:t>
      </w:r>
      <w:r w:rsidRPr="00453378">
        <w:rPr>
          <w:rStyle w:val="Emphasis"/>
          <w:rFonts w:ascii="Arial" w:hAnsi="Arial" w:cs="Arial"/>
          <w:sz w:val="22"/>
          <w:szCs w:val="22"/>
        </w:rPr>
        <w:t>EClinicalMedicine</w:t>
      </w:r>
      <w:r w:rsidRPr="00453378">
        <w:rPr>
          <w:rFonts w:ascii="Arial" w:hAnsi="Arial" w:cs="Arial"/>
          <w:sz w:val="22"/>
          <w:szCs w:val="22"/>
        </w:rPr>
        <w:t xml:space="preserve">, 24, 100442. </w:t>
      </w:r>
      <w:hyperlink r:id="rId31" w:history="1">
        <w:r w:rsidR="00AA2C2D" w:rsidRPr="00453378">
          <w:rPr>
            <w:rStyle w:val="Hyperlink"/>
            <w:rFonts w:ascii="Arial" w:hAnsi="Arial" w:cs="Arial"/>
            <w:sz w:val="22"/>
            <w:szCs w:val="22"/>
          </w:rPr>
          <w:t>https://doi.org/10.1055/s-0040-1722811</w:t>
        </w:r>
      </w:hyperlink>
    </w:p>
    <w:p w14:paraId="160538D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Cooper, C.L., Dewe, P. &amp; O’Driscoll, M. (1988) </w:t>
      </w:r>
      <w:r w:rsidRPr="00453378">
        <w:rPr>
          <w:rStyle w:val="Emphasis"/>
          <w:rFonts w:ascii="Arial" w:hAnsi="Arial" w:cs="Arial"/>
          <w:sz w:val="22"/>
          <w:szCs w:val="22"/>
        </w:rPr>
        <w:t>Organizational Stress: A Review and Critique of Theory, Research, and Applications</w:t>
      </w:r>
      <w:r w:rsidRPr="00453378">
        <w:rPr>
          <w:rFonts w:ascii="Arial" w:hAnsi="Arial" w:cs="Arial"/>
          <w:sz w:val="22"/>
          <w:szCs w:val="22"/>
        </w:rPr>
        <w:t>. London: SAGE</w:t>
      </w:r>
    </w:p>
    <w:p w14:paraId="61616BDC" w14:textId="77777777" w:rsidR="00EC4CE0"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De Kock, J.H., Latham, H.A., Leslie, S.J., Grindle, M., Munoz, S.A. </w:t>
      </w:r>
      <w:r w:rsidRPr="00453378">
        <w:rPr>
          <w:rStyle w:val="Emphasis"/>
          <w:rFonts w:ascii="Arial" w:hAnsi="Arial" w:cs="Arial"/>
          <w:sz w:val="22"/>
          <w:szCs w:val="22"/>
        </w:rPr>
        <w:t>et al.</w:t>
      </w:r>
      <w:r w:rsidRPr="00453378">
        <w:rPr>
          <w:rFonts w:ascii="Arial" w:hAnsi="Arial" w:cs="Arial"/>
          <w:sz w:val="22"/>
          <w:szCs w:val="22"/>
        </w:rPr>
        <w:t xml:space="preserve"> (2021) ‘</w:t>
      </w:r>
      <w:r w:rsidRPr="001D30A7">
        <w:rPr>
          <w:rFonts w:ascii="Arial" w:hAnsi="Arial" w:cs="Arial"/>
          <w:i/>
          <w:sz w:val="22"/>
          <w:szCs w:val="22"/>
        </w:rPr>
        <w:t>A rapid review of the impact of COVID-19 on the mental health of HCWs: Implications for supporting psychological wellbeing’</w:t>
      </w:r>
      <w:r w:rsidRPr="00453378">
        <w:rPr>
          <w:rFonts w:ascii="Arial" w:hAnsi="Arial" w:cs="Arial"/>
          <w:sz w:val="22"/>
          <w:szCs w:val="22"/>
        </w:rPr>
        <w:t xml:space="preserve">, </w:t>
      </w:r>
      <w:r w:rsidRPr="00453378">
        <w:rPr>
          <w:rStyle w:val="Emphasis"/>
          <w:rFonts w:ascii="Arial" w:hAnsi="Arial" w:cs="Arial"/>
          <w:sz w:val="22"/>
          <w:szCs w:val="22"/>
        </w:rPr>
        <w:t>BMC Public Health</w:t>
      </w:r>
      <w:r w:rsidRPr="00453378">
        <w:rPr>
          <w:rFonts w:ascii="Arial" w:hAnsi="Arial" w:cs="Arial"/>
          <w:sz w:val="22"/>
          <w:szCs w:val="22"/>
        </w:rPr>
        <w:t>, 21, 104.</w:t>
      </w:r>
      <w:r w:rsidR="00EC4CE0" w:rsidRPr="00453378">
        <w:rPr>
          <w:rFonts w:ascii="Arial" w:hAnsi="Arial" w:cs="Arial"/>
          <w:sz w:val="22"/>
          <w:szCs w:val="22"/>
        </w:rPr>
        <w:t xml:space="preserve"> </w:t>
      </w:r>
      <w:hyperlink r:id="rId32" w:history="1">
        <w:r w:rsidR="00EC4CE0" w:rsidRPr="00453378">
          <w:rPr>
            <w:rStyle w:val="Hyperlink"/>
            <w:rFonts w:ascii="Arial" w:hAnsi="Arial" w:cs="Arial"/>
            <w:sz w:val="22"/>
            <w:szCs w:val="22"/>
          </w:rPr>
          <w:t>https://bmcpublichealth.biomedcentral.com/articles/10.1186/s12889-020-10070-3</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7173D12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Demerouti, E., Bakker, A.B., Nachreiner, F. &amp; Schaufeli, W.B. (2001) ‘</w:t>
      </w:r>
      <w:r w:rsidRPr="001D30A7">
        <w:rPr>
          <w:rFonts w:ascii="Arial" w:hAnsi="Arial" w:cs="Arial"/>
          <w:i/>
          <w:sz w:val="22"/>
          <w:szCs w:val="22"/>
        </w:rPr>
        <w:t>The Job Demands–Resources model of burnout’,</w:t>
      </w:r>
      <w:r w:rsidRPr="00453378">
        <w:rPr>
          <w:rFonts w:ascii="Arial" w:hAnsi="Arial" w:cs="Arial"/>
          <w:sz w:val="22"/>
          <w:szCs w:val="22"/>
        </w:rPr>
        <w:t xml:space="preserve"> </w:t>
      </w:r>
      <w:r w:rsidRPr="00453378">
        <w:rPr>
          <w:rStyle w:val="Emphasis"/>
          <w:rFonts w:ascii="Arial" w:hAnsi="Arial" w:cs="Arial"/>
          <w:sz w:val="22"/>
          <w:szCs w:val="22"/>
        </w:rPr>
        <w:t>Journal of Applied Psychology</w:t>
      </w:r>
      <w:r w:rsidRPr="00453378">
        <w:rPr>
          <w:rFonts w:ascii="Arial" w:hAnsi="Arial" w:cs="Arial"/>
          <w:sz w:val="22"/>
          <w:szCs w:val="22"/>
        </w:rPr>
        <w:t>, 86(3), pp. 499–512.</w:t>
      </w:r>
      <w:r w:rsidR="00EC4CE0" w:rsidRPr="00453378">
        <w:rPr>
          <w:rFonts w:ascii="Arial" w:hAnsi="Arial" w:cs="Arial"/>
          <w:sz w:val="22"/>
          <w:szCs w:val="22"/>
        </w:rPr>
        <w:t xml:space="preserve"> </w:t>
      </w:r>
      <w:hyperlink r:id="rId33" w:tgtFrame="_new" w:history="1">
        <w:r w:rsidRPr="00453378">
          <w:rPr>
            <w:rStyle w:val="Hyperlink"/>
            <w:rFonts w:ascii="Arial" w:hAnsi="Arial" w:cs="Arial"/>
            <w:sz w:val="22"/>
            <w:szCs w:val="22"/>
          </w:rPr>
          <w:t>https://psycnet.apa.org/record/2001-18266-015</w:t>
        </w:r>
      </w:hyperlink>
    </w:p>
    <w:p w14:paraId="032AC2A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Faculty of Intensive Care Medicine (FICM) (2020) </w:t>
      </w:r>
      <w:r w:rsidRPr="00453378">
        <w:rPr>
          <w:rStyle w:val="Emphasis"/>
          <w:rFonts w:ascii="Arial" w:hAnsi="Arial" w:cs="Arial"/>
          <w:sz w:val="22"/>
          <w:szCs w:val="22"/>
        </w:rPr>
        <w:t>Wellbeing Resource Library</w:t>
      </w:r>
      <w:r w:rsidRPr="00453378">
        <w:rPr>
          <w:rFonts w:ascii="Arial" w:hAnsi="Arial" w:cs="Arial"/>
          <w:sz w:val="22"/>
          <w:szCs w:val="22"/>
        </w:rPr>
        <w:t>.</w:t>
      </w:r>
      <w:r w:rsidRPr="00453378">
        <w:rPr>
          <w:rFonts w:ascii="Arial" w:hAnsi="Arial" w:cs="Arial"/>
          <w:sz w:val="22"/>
          <w:szCs w:val="22"/>
        </w:rPr>
        <w:br/>
      </w:r>
      <w:hyperlink r:id="rId34" w:tgtFrame="_new" w:history="1">
        <w:r w:rsidRPr="00453378">
          <w:rPr>
            <w:rStyle w:val="Hyperlink"/>
            <w:rFonts w:ascii="Arial" w:hAnsi="Arial" w:cs="Arial"/>
            <w:sz w:val="22"/>
            <w:szCs w:val="22"/>
          </w:rPr>
          <w:t>https://www.ficm.ac.uk/wellbeing</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1A79FDE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Gough, D., Oliver, S. &amp; Thomas, J. (2012) </w:t>
      </w:r>
      <w:r w:rsidRPr="00453378">
        <w:rPr>
          <w:rStyle w:val="Emphasis"/>
          <w:rFonts w:ascii="Arial" w:hAnsi="Arial" w:cs="Arial"/>
          <w:sz w:val="22"/>
          <w:szCs w:val="22"/>
        </w:rPr>
        <w:t>An Introduction to Systematic Reviews</w:t>
      </w:r>
      <w:r w:rsidRPr="00453378">
        <w:rPr>
          <w:rFonts w:ascii="Arial" w:hAnsi="Arial" w:cs="Arial"/>
          <w:sz w:val="22"/>
          <w:szCs w:val="22"/>
        </w:rPr>
        <w:t>. London: SAGE.</w:t>
      </w:r>
      <w:r w:rsidRPr="00453378">
        <w:rPr>
          <w:rFonts w:ascii="Arial" w:hAnsi="Arial" w:cs="Arial"/>
          <w:sz w:val="22"/>
          <w:szCs w:val="22"/>
        </w:rPr>
        <w:br/>
      </w:r>
      <w:hyperlink r:id="rId35" w:tgtFrame="_new" w:history="1">
        <w:r w:rsidRPr="00453378">
          <w:rPr>
            <w:rStyle w:val="Hyperlink"/>
            <w:rFonts w:ascii="Arial" w:hAnsi="Arial" w:cs="Arial"/>
            <w:sz w:val="22"/>
            <w:szCs w:val="22"/>
          </w:rPr>
          <w:t>https://uk.sagepub.com/en-gb/eur/an-introduction-to-systematic-reviews/book237865</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550E1EBF" w14:textId="77777777" w:rsidR="00A16E96"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Goulia, P., Mantas, C., Dimitroula, D., Mantis, D. &amp; Hyphantis, T. (2010) </w:t>
      </w:r>
      <w:r w:rsidRPr="001D30A7">
        <w:rPr>
          <w:rFonts w:ascii="Arial" w:hAnsi="Arial" w:cs="Arial"/>
          <w:i/>
          <w:sz w:val="22"/>
          <w:szCs w:val="22"/>
        </w:rPr>
        <w:t>‘General hospital staff worries, perceived sufficiency of information and associated psychological distress during the A/H1N1 influenza pandemic’</w:t>
      </w:r>
      <w:r w:rsidRPr="00453378">
        <w:rPr>
          <w:rFonts w:ascii="Arial" w:hAnsi="Arial" w:cs="Arial"/>
          <w:sz w:val="22"/>
          <w:szCs w:val="22"/>
        </w:rPr>
        <w:t xml:space="preserve">, </w:t>
      </w:r>
      <w:r w:rsidRPr="00453378">
        <w:rPr>
          <w:rStyle w:val="Emphasis"/>
          <w:rFonts w:ascii="Arial" w:hAnsi="Arial" w:cs="Arial"/>
          <w:sz w:val="22"/>
          <w:szCs w:val="22"/>
        </w:rPr>
        <w:t>BMC Infectious Diseases</w:t>
      </w:r>
      <w:r w:rsidRPr="00453378">
        <w:rPr>
          <w:rFonts w:ascii="Arial" w:hAnsi="Arial" w:cs="Arial"/>
          <w:sz w:val="22"/>
          <w:szCs w:val="22"/>
        </w:rPr>
        <w:t>, 10, 322.</w:t>
      </w:r>
      <w:r w:rsidR="007923C1" w:rsidRPr="00453378">
        <w:rPr>
          <w:rFonts w:ascii="Arial" w:hAnsi="Arial" w:cs="Arial"/>
          <w:sz w:val="22"/>
          <w:szCs w:val="22"/>
        </w:rPr>
        <w:t xml:space="preserve"> </w:t>
      </w:r>
      <w:hyperlink r:id="rId36" w:tgtFrame="_new" w:history="1">
        <w:r w:rsidRPr="00453378">
          <w:rPr>
            <w:rStyle w:val="Hyperlink"/>
            <w:rFonts w:ascii="Arial" w:hAnsi="Arial" w:cs="Arial"/>
            <w:sz w:val="22"/>
            <w:szCs w:val="22"/>
          </w:rPr>
          <w:t>https://bmcinfectdis.biomedcentral.com/articles/10.1186/1471-2334-10-322</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19BE6D17"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Grace, S.L., Hershenfield, K., Robertson, E. &amp; Stewart, D.E. (2005) ‘</w:t>
      </w:r>
      <w:r w:rsidRPr="001D30A7">
        <w:rPr>
          <w:rFonts w:ascii="Arial" w:hAnsi="Arial" w:cs="Arial"/>
          <w:i/>
          <w:sz w:val="22"/>
          <w:szCs w:val="22"/>
        </w:rPr>
        <w:t>The occupational and psychosocial impact of SARS on academic physicians’</w:t>
      </w:r>
      <w:r w:rsidRPr="00453378">
        <w:rPr>
          <w:rFonts w:ascii="Arial" w:hAnsi="Arial" w:cs="Arial"/>
          <w:sz w:val="22"/>
          <w:szCs w:val="22"/>
        </w:rPr>
        <w:t xml:space="preserve">, </w:t>
      </w:r>
      <w:r w:rsidRPr="00453378">
        <w:rPr>
          <w:rStyle w:val="Emphasis"/>
          <w:rFonts w:ascii="Arial" w:hAnsi="Arial" w:cs="Arial"/>
          <w:sz w:val="22"/>
          <w:szCs w:val="22"/>
        </w:rPr>
        <w:t>Canadian Journal of Public Health</w:t>
      </w:r>
      <w:r w:rsidRPr="00453378">
        <w:rPr>
          <w:rFonts w:ascii="Arial" w:hAnsi="Arial" w:cs="Arial"/>
          <w:sz w:val="22"/>
          <w:szCs w:val="22"/>
        </w:rPr>
        <w:t>, 96(4), pp. 293–297.</w:t>
      </w:r>
      <w:r w:rsidR="00A16E96" w:rsidRPr="00453378">
        <w:rPr>
          <w:rFonts w:ascii="Arial" w:hAnsi="Arial" w:cs="Arial"/>
          <w:sz w:val="22"/>
          <w:szCs w:val="22"/>
        </w:rPr>
        <w:t xml:space="preserve"> </w:t>
      </w:r>
      <w:hyperlink r:id="rId37" w:tgtFrame="_new" w:history="1">
        <w:r w:rsidRPr="00453378">
          <w:rPr>
            <w:rStyle w:val="Hyperlink"/>
            <w:rFonts w:ascii="Arial" w:hAnsi="Arial" w:cs="Arial"/>
            <w:sz w:val="22"/>
            <w:szCs w:val="22"/>
          </w:rPr>
          <w:t>https://link.springer.com/article/10.1007/BF03405108</w:t>
        </w:r>
      </w:hyperlink>
    </w:p>
    <w:p w14:paraId="396BCDD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Greenberg, N., Docherty, M., Gnanapragasam, S. &amp; Wessely, S. (2020) </w:t>
      </w:r>
      <w:r w:rsidRPr="001D30A7">
        <w:rPr>
          <w:rFonts w:ascii="Arial" w:hAnsi="Arial" w:cs="Arial"/>
          <w:i/>
          <w:sz w:val="22"/>
          <w:szCs w:val="22"/>
        </w:rPr>
        <w:t>‘Managing mental health challenges faced by HCWs during COVID-19 pandemic’</w:t>
      </w:r>
      <w:r w:rsidRPr="00453378">
        <w:rPr>
          <w:rFonts w:ascii="Arial" w:hAnsi="Arial" w:cs="Arial"/>
          <w:sz w:val="22"/>
          <w:szCs w:val="22"/>
        </w:rPr>
        <w:t xml:space="preserve">, </w:t>
      </w:r>
      <w:r w:rsidRPr="00453378">
        <w:rPr>
          <w:rStyle w:val="Emphasis"/>
          <w:rFonts w:ascii="Arial" w:hAnsi="Arial" w:cs="Arial"/>
          <w:sz w:val="22"/>
          <w:szCs w:val="22"/>
        </w:rPr>
        <w:t>BMJ</w:t>
      </w:r>
      <w:r w:rsidRPr="00453378">
        <w:rPr>
          <w:rFonts w:ascii="Arial" w:hAnsi="Arial" w:cs="Arial"/>
          <w:sz w:val="22"/>
          <w:szCs w:val="22"/>
        </w:rPr>
        <w:t>, 368, m1211.</w:t>
      </w:r>
      <w:r w:rsidR="00A16E96" w:rsidRPr="00453378">
        <w:rPr>
          <w:rFonts w:ascii="Arial" w:hAnsi="Arial" w:cs="Arial"/>
          <w:sz w:val="22"/>
          <w:szCs w:val="22"/>
        </w:rPr>
        <w:t xml:space="preserve"> </w:t>
      </w:r>
      <w:hyperlink r:id="rId38" w:tgtFrame="_new" w:history="1">
        <w:r w:rsidRPr="00453378">
          <w:rPr>
            <w:rStyle w:val="Hyperlink"/>
            <w:rFonts w:ascii="Arial" w:hAnsi="Arial" w:cs="Arial"/>
            <w:sz w:val="22"/>
            <w:szCs w:val="22"/>
          </w:rPr>
          <w:t>https://www.bmj.com/content/368/bmj.m1211</w:t>
        </w:r>
      </w:hyperlink>
    </w:p>
    <w:p w14:paraId="77C3A92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Greenhalgh, T., Thorne, S. &amp; Malterud, K. (2018) ‘</w:t>
      </w:r>
      <w:r w:rsidRPr="001D30A7">
        <w:rPr>
          <w:rFonts w:ascii="Arial" w:hAnsi="Arial" w:cs="Arial"/>
          <w:i/>
          <w:sz w:val="22"/>
          <w:szCs w:val="22"/>
        </w:rPr>
        <w:t xml:space="preserve">Time to challenge the spurious hierarchy of systematic over narrative reviews?’, </w:t>
      </w:r>
      <w:r w:rsidRPr="00453378">
        <w:rPr>
          <w:rStyle w:val="Emphasis"/>
          <w:rFonts w:ascii="Arial" w:hAnsi="Arial" w:cs="Arial"/>
          <w:sz w:val="22"/>
          <w:szCs w:val="22"/>
        </w:rPr>
        <w:t>European Journal of Clinical Investigation</w:t>
      </w:r>
      <w:r w:rsidRPr="00453378">
        <w:rPr>
          <w:rFonts w:ascii="Arial" w:hAnsi="Arial" w:cs="Arial"/>
          <w:sz w:val="22"/>
          <w:szCs w:val="22"/>
        </w:rPr>
        <w:t>, 48(6), e12931.</w:t>
      </w:r>
      <w:r w:rsidRPr="00453378">
        <w:rPr>
          <w:rFonts w:ascii="Arial" w:hAnsi="Arial" w:cs="Arial"/>
          <w:sz w:val="22"/>
          <w:szCs w:val="22"/>
        </w:rPr>
        <w:br/>
      </w:r>
      <w:hyperlink r:id="rId39" w:tgtFrame="_new" w:history="1">
        <w:r w:rsidRPr="00453378">
          <w:rPr>
            <w:rStyle w:val="Hyperlink"/>
            <w:rFonts w:ascii="Arial" w:hAnsi="Arial" w:cs="Arial"/>
            <w:sz w:val="22"/>
            <w:szCs w:val="22"/>
          </w:rPr>
          <w:t>https://doi.org/10.1111/eci.12931</w:t>
        </w:r>
      </w:hyperlink>
    </w:p>
    <w:p w14:paraId="283E5D3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Gupta, N., Dhamija, S., Patil, J. &amp; Chaudhari, B. (2021) </w:t>
      </w:r>
      <w:r w:rsidRPr="001D30A7">
        <w:rPr>
          <w:rFonts w:ascii="Arial" w:hAnsi="Arial" w:cs="Arial"/>
          <w:i/>
          <w:sz w:val="22"/>
          <w:szCs w:val="22"/>
        </w:rPr>
        <w:t>‘Impact of COVID-19 pandemic on healthcare workers’,</w:t>
      </w:r>
      <w:r w:rsidRPr="00453378">
        <w:rPr>
          <w:rFonts w:ascii="Arial" w:hAnsi="Arial" w:cs="Arial"/>
          <w:sz w:val="22"/>
          <w:szCs w:val="22"/>
        </w:rPr>
        <w:t xml:space="preserve"> </w:t>
      </w:r>
      <w:r w:rsidRPr="00453378">
        <w:rPr>
          <w:rStyle w:val="Emphasis"/>
          <w:rFonts w:ascii="Arial" w:hAnsi="Arial" w:cs="Arial"/>
          <w:sz w:val="22"/>
          <w:szCs w:val="22"/>
        </w:rPr>
        <w:t>Industrial Psychiatry Journal</w:t>
      </w:r>
      <w:r w:rsidRPr="00453378">
        <w:rPr>
          <w:rFonts w:ascii="Arial" w:hAnsi="Arial" w:cs="Arial"/>
          <w:sz w:val="22"/>
          <w:szCs w:val="22"/>
        </w:rPr>
        <w:t>, 30(Suppl 1), pp. S282–S284.</w:t>
      </w:r>
      <w:r w:rsidR="00A16E96" w:rsidRPr="00453378">
        <w:rPr>
          <w:rFonts w:ascii="Arial" w:hAnsi="Arial" w:cs="Arial"/>
          <w:sz w:val="22"/>
          <w:szCs w:val="22"/>
        </w:rPr>
        <w:t xml:space="preserve"> </w:t>
      </w:r>
      <w:hyperlink r:id="rId40" w:tgtFrame="_new" w:history="1">
        <w:r w:rsidRPr="00453378">
          <w:rPr>
            <w:rStyle w:val="Hyperlink"/>
            <w:rFonts w:ascii="Arial" w:hAnsi="Arial" w:cs="Arial"/>
            <w:sz w:val="22"/>
            <w:szCs w:val="22"/>
          </w:rPr>
          <w:t>https://europepmc.org/articles/PMC8611576/</w:t>
        </w:r>
      </w:hyperlink>
    </w:p>
    <w:p w14:paraId="7B8C0663" w14:textId="77777777" w:rsidR="00EE10D6" w:rsidRPr="00453378" w:rsidRDefault="009C3ADA" w:rsidP="009F30F7">
      <w:pPr>
        <w:pStyle w:val="NormalWeb"/>
        <w:spacing w:line="360" w:lineRule="auto"/>
        <w:jc w:val="both"/>
        <w:rPr>
          <w:rStyle w:val="ej-journal-doi"/>
          <w:rFonts w:ascii="Arial" w:hAnsi="Arial" w:cs="Arial"/>
          <w:i/>
          <w:iCs/>
          <w:color w:val="3B3030"/>
          <w:sz w:val="22"/>
          <w:szCs w:val="22"/>
          <w:shd w:val="clear" w:color="auto" w:fill="FFFFFF"/>
        </w:rPr>
      </w:pPr>
      <w:r w:rsidRPr="00453378">
        <w:rPr>
          <w:rFonts w:ascii="Arial" w:hAnsi="Arial" w:cs="Arial"/>
          <w:sz w:val="22"/>
          <w:szCs w:val="22"/>
        </w:rPr>
        <w:t>Hall, H. (2020) ‘</w:t>
      </w:r>
      <w:r w:rsidRPr="001D30A7">
        <w:rPr>
          <w:rFonts w:ascii="Arial" w:hAnsi="Arial" w:cs="Arial"/>
          <w:i/>
          <w:sz w:val="22"/>
          <w:szCs w:val="22"/>
        </w:rPr>
        <w:t>The effect of the COVID-19 pandemic on healthcare workers’ mental health’</w:t>
      </w:r>
      <w:r w:rsidRPr="00453378">
        <w:rPr>
          <w:rFonts w:ascii="Arial" w:hAnsi="Arial" w:cs="Arial"/>
          <w:sz w:val="22"/>
          <w:szCs w:val="22"/>
        </w:rPr>
        <w:t xml:space="preserve">, </w:t>
      </w:r>
      <w:r w:rsidRPr="00453378">
        <w:rPr>
          <w:rStyle w:val="Emphasis"/>
          <w:rFonts w:ascii="Arial" w:hAnsi="Arial" w:cs="Arial"/>
          <w:sz w:val="22"/>
          <w:szCs w:val="22"/>
        </w:rPr>
        <w:t>JAAPA</w:t>
      </w:r>
      <w:r w:rsidRPr="00453378">
        <w:rPr>
          <w:rFonts w:ascii="Arial" w:hAnsi="Arial" w:cs="Arial"/>
          <w:sz w:val="22"/>
          <w:szCs w:val="22"/>
        </w:rPr>
        <w:t>, 33(7), pp. 45–48.</w:t>
      </w:r>
      <w:r w:rsidR="00A16E96" w:rsidRPr="00453378">
        <w:rPr>
          <w:rFonts w:ascii="Arial" w:hAnsi="Arial" w:cs="Arial"/>
          <w:sz w:val="22"/>
          <w:szCs w:val="22"/>
        </w:rPr>
        <w:t xml:space="preserve"> </w:t>
      </w:r>
      <w:hyperlink r:id="rId41" w:history="1">
        <w:r w:rsidR="00EE10D6" w:rsidRPr="00453378">
          <w:rPr>
            <w:rStyle w:val="Hyperlink"/>
            <w:rFonts w:ascii="Arial" w:hAnsi="Arial" w:cs="Arial"/>
            <w:i/>
            <w:iCs/>
            <w:sz w:val="22"/>
            <w:szCs w:val="22"/>
            <w:shd w:val="clear" w:color="auto" w:fill="FFFFFF"/>
          </w:rPr>
          <w:t>https://doi.org/10.1097/01.jaa.0000669772.78848.8c</w:t>
        </w:r>
      </w:hyperlink>
    </w:p>
    <w:p w14:paraId="45DDEF4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Higgins, J.P.T. &amp; Thomas, J. (eds.) (2023) </w:t>
      </w:r>
      <w:r w:rsidRPr="00453378">
        <w:rPr>
          <w:rStyle w:val="Emphasis"/>
          <w:rFonts w:ascii="Arial" w:hAnsi="Arial" w:cs="Arial"/>
          <w:sz w:val="22"/>
          <w:szCs w:val="22"/>
        </w:rPr>
        <w:t>Cochrane Handbook for Systematic Reviews of Interventions</w:t>
      </w:r>
      <w:r w:rsidRPr="00453378">
        <w:rPr>
          <w:rFonts w:ascii="Arial" w:hAnsi="Arial" w:cs="Arial"/>
          <w:sz w:val="22"/>
          <w:szCs w:val="22"/>
        </w:rPr>
        <w:t>. 2nd edn (updated). Chichester: Wiley.</w:t>
      </w:r>
      <w:r w:rsidR="00890735" w:rsidRPr="00453378">
        <w:rPr>
          <w:rFonts w:ascii="Arial" w:hAnsi="Arial" w:cs="Arial"/>
          <w:sz w:val="22"/>
          <w:szCs w:val="22"/>
        </w:rPr>
        <w:t xml:space="preserve"> </w:t>
      </w:r>
      <w:hyperlink r:id="rId42" w:tgtFrame="_new" w:history="1">
        <w:r w:rsidRPr="00453378">
          <w:rPr>
            <w:rStyle w:val="Hyperlink"/>
            <w:rFonts w:ascii="Arial" w:hAnsi="Arial" w:cs="Arial"/>
            <w:sz w:val="22"/>
            <w:szCs w:val="22"/>
          </w:rPr>
          <w:t>https://doi.org/10.1002/9781119536604</w:t>
        </w:r>
      </w:hyperlink>
    </w:p>
    <w:p w14:paraId="6E30BB5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Hobfoll, S.E. (1989) </w:t>
      </w:r>
      <w:r w:rsidRPr="001D30A7">
        <w:rPr>
          <w:rFonts w:ascii="Arial" w:hAnsi="Arial" w:cs="Arial"/>
          <w:i/>
          <w:sz w:val="22"/>
          <w:szCs w:val="22"/>
        </w:rPr>
        <w:t>‘Conservation of Resources: A new attempt at conceptualizing stress’,</w:t>
      </w:r>
      <w:r w:rsidRPr="00453378">
        <w:rPr>
          <w:rFonts w:ascii="Arial" w:hAnsi="Arial" w:cs="Arial"/>
          <w:sz w:val="22"/>
          <w:szCs w:val="22"/>
        </w:rPr>
        <w:t xml:space="preserve"> </w:t>
      </w:r>
      <w:r w:rsidRPr="00453378">
        <w:rPr>
          <w:rStyle w:val="Emphasis"/>
          <w:rFonts w:ascii="Arial" w:hAnsi="Arial" w:cs="Arial"/>
          <w:sz w:val="22"/>
          <w:szCs w:val="22"/>
        </w:rPr>
        <w:t>American Psychologist</w:t>
      </w:r>
      <w:r w:rsidRPr="00453378">
        <w:rPr>
          <w:rFonts w:ascii="Arial" w:hAnsi="Arial" w:cs="Arial"/>
          <w:sz w:val="22"/>
          <w:szCs w:val="22"/>
        </w:rPr>
        <w:t>, 44(3), pp. 513–524.</w:t>
      </w:r>
      <w:r w:rsidR="001C19E9" w:rsidRPr="00453378">
        <w:rPr>
          <w:rFonts w:ascii="Arial" w:hAnsi="Arial" w:cs="Arial"/>
          <w:sz w:val="22"/>
          <w:szCs w:val="22"/>
        </w:rPr>
        <w:t xml:space="preserve"> </w:t>
      </w:r>
      <w:hyperlink r:id="rId43" w:tgtFrame="_new" w:history="1">
        <w:r w:rsidRPr="00453378">
          <w:rPr>
            <w:rStyle w:val="Hyperlink"/>
            <w:rFonts w:ascii="Arial" w:hAnsi="Arial" w:cs="Arial"/>
            <w:sz w:val="22"/>
            <w:szCs w:val="22"/>
          </w:rPr>
          <w:t>https://psycnet.apa.org/record/1989-29736-001</w:t>
        </w:r>
      </w:hyperlink>
    </w:p>
    <w:p w14:paraId="5E912A24"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Hobfoll, S.E. (2018) </w:t>
      </w:r>
      <w:r w:rsidRPr="001D30A7">
        <w:rPr>
          <w:rFonts w:ascii="Arial" w:hAnsi="Arial" w:cs="Arial"/>
          <w:i/>
          <w:sz w:val="22"/>
          <w:szCs w:val="22"/>
        </w:rPr>
        <w:t xml:space="preserve">‘Conservation of Resources in organizational stress: The unfinished story’, </w:t>
      </w:r>
      <w:r w:rsidRPr="00453378">
        <w:rPr>
          <w:rStyle w:val="Emphasis"/>
          <w:rFonts w:ascii="Arial" w:hAnsi="Arial" w:cs="Arial"/>
          <w:sz w:val="22"/>
          <w:szCs w:val="22"/>
        </w:rPr>
        <w:t>Journal of Applied Psychology</w:t>
      </w:r>
      <w:r w:rsidRPr="00453378">
        <w:rPr>
          <w:rFonts w:ascii="Arial" w:hAnsi="Arial" w:cs="Arial"/>
          <w:sz w:val="22"/>
          <w:szCs w:val="22"/>
        </w:rPr>
        <w:t>, 103(3), pp. 513–520.</w:t>
      </w:r>
      <w:r w:rsidR="001C19E9" w:rsidRPr="00453378">
        <w:rPr>
          <w:rFonts w:ascii="Arial" w:hAnsi="Arial" w:cs="Arial"/>
          <w:sz w:val="22"/>
          <w:szCs w:val="22"/>
        </w:rPr>
        <w:t xml:space="preserve"> </w:t>
      </w:r>
      <w:hyperlink r:id="rId44" w:tgtFrame="_new" w:history="1">
        <w:r w:rsidRPr="00453378">
          <w:rPr>
            <w:rStyle w:val="Hyperlink"/>
            <w:rFonts w:ascii="Arial" w:hAnsi="Arial" w:cs="Arial"/>
            <w:sz w:val="22"/>
            <w:szCs w:val="22"/>
          </w:rPr>
          <w:t>https://psycnet.apa.org/record/2018-11330-001</w:t>
        </w:r>
      </w:hyperlink>
    </w:p>
    <w:p w14:paraId="020A800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HSE (2019) </w:t>
      </w:r>
      <w:r w:rsidRPr="00453378">
        <w:rPr>
          <w:rStyle w:val="Emphasis"/>
          <w:rFonts w:ascii="Arial" w:hAnsi="Arial" w:cs="Arial"/>
          <w:sz w:val="22"/>
          <w:szCs w:val="22"/>
        </w:rPr>
        <w:t>Work-related stress: Management standards</w:t>
      </w:r>
      <w:r w:rsidRPr="00453378">
        <w:rPr>
          <w:rFonts w:ascii="Arial" w:hAnsi="Arial" w:cs="Arial"/>
          <w:sz w:val="22"/>
          <w:szCs w:val="22"/>
        </w:rPr>
        <w:t>.</w:t>
      </w:r>
      <w:r w:rsidRPr="00453378">
        <w:rPr>
          <w:rFonts w:ascii="Arial" w:hAnsi="Arial" w:cs="Arial"/>
          <w:sz w:val="22"/>
          <w:szCs w:val="22"/>
        </w:rPr>
        <w:br/>
      </w:r>
      <w:hyperlink r:id="rId45" w:tgtFrame="_new" w:history="1">
        <w:r w:rsidRPr="00453378">
          <w:rPr>
            <w:rStyle w:val="Hyperlink"/>
            <w:rFonts w:ascii="Arial" w:hAnsi="Arial" w:cs="Arial"/>
            <w:sz w:val="22"/>
            <w:szCs w:val="22"/>
          </w:rPr>
          <w:t>https://www.hse.gov.uk/stress/standards/index.htm</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67DE0A98"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HSE (2020) </w:t>
      </w:r>
      <w:r w:rsidRPr="00453378">
        <w:rPr>
          <w:rStyle w:val="Emphasis"/>
          <w:rFonts w:ascii="Arial" w:hAnsi="Arial" w:cs="Arial"/>
          <w:sz w:val="22"/>
          <w:szCs w:val="22"/>
        </w:rPr>
        <w:t>Protecting workers during the coronavirus pandemic</w:t>
      </w:r>
      <w:r w:rsidRPr="00453378">
        <w:rPr>
          <w:rFonts w:ascii="Arial" w:hAnsi="Arial" w:cs="Arial"/>
          <w:sz w:val="22"/>
          <w:szCs w:val="22"/>
        </w:rPr>
        <w:t>.</w:t>
      </w:r>
      <w:r w:rsidRPr="00453378">
        <w:rPr>
          <w:rFonts w:ascii="Arial" w:hAnsi="Arial" w:cs="Arial"/>
          <w:sz w:val="22"/>
          <w:szCs w:val="22"/>
        </w:rPr>
        <w:br/>
      </w:r>
      <w:hyperlink r:id="rId46" w:tgtFrame="_new" w:history="1">
        <w:r w:rsidRPr="00453378">
          <w:rPr>
            <w:rStyle w:val="Hyperlink"/>
            <w:rFonts w:ascii="Arial" w:hAnsi="Arial" w:cs="Arial"/>
            <w:sz w:val="22"/>
            <w:szCs w:val="22"/>
          </w:rPr>
          <w:t>https://www.hse.gov.uk/coronavirus/index.htm</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4C494DB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Jameton, A. (1984) </w:t>
      </w:r>
      <w:r w:rsidRPr="00453378">
        <w:rPr>
          <w:rStyle w:val="Emphasis"/>
          <w:rFonts w:ascii="Arial" w:hAnsi="Arial" w:cs="Arial"/>
          <w:sz w:val="22"/>
          <w:szCs w:val="22"/>
        </w:rPr>
        <w:t>Nursing Practice: The Ethical Issues</w:t>
      </w:r>
      <w:r w:rsidRPr="00453378">
        <w:rPr>
          <w:rFonts w:ascii="Arial" w:hAnsi="Arial" w:cs="Arial"/>
          <w:sz w:val="22"/>
          <w:szCs w:val="22"/>
        </w:rPr>
        <w:t>. Englewood Cliffs: Prentice-Hall.</w:t>
      </w:r>
      <w:r w:rsidRPr="00453378">
        <w:rPr>
          <w:rFonts w:ascii="Arial" w:hAnsi="Arial" w:cs="Arial"/>
          <w:sz w:val="22"/>
          <w:szCs w:val="22"/>
        </w:rPr>
        <w:br/>
      </w:r>
      <w:hyperlink r:id="rId47" w:tgtFrame="_new" w:history="1">
        <w:r w:rsidRPr="00453378">
          <w:rPr>
            <w:rStyle w:val="Hyperlink"/>
            <w:rFonts w:ascii="Arial" w:hAnsi="Arial" w:cs="Arial"/>
            <w:sz w:val="22"/>
            <w:szCs w:val="22"/>
          </w:rPr>
          <w:t>https://www.worldcat.org/title/10147702</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3336ACC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Karasek, R.A. (1979) ‘</w:t>
      </w:r>
      <w:r w:rsidRPr="001D30A7">
        <w:rPr>
          <w:rFonts w:ascii="Arial" w:hAnsi="Arial" w:cs="Arial"/>
          <w:i/>
          <w:sz w:val="22"/>
          <w:szCs w:val="22"/>
        </w:rPr>
        <w:t>Job demands, job decision latitude, and mental strain’</w:t>
      </w:r>
      <w:r w:rsidRPr="00453378">
        <w:rPr>
          <w:rFonts w:ascii="Arial" w:hAnsi="Arial" w:cs="Arial"/>
          <w:sz w:val="22"/>
          <w:szCs w:val="22"/>
        </w:rPr>
        <w:t xml:space="preserve">, </w:t>
      </w:r>
      <w:r w:rsidRPr="00453378">
        <w:rPr>
          <w:rStyle w:val="Emphasis"/>
          <w:rFonts w:ascii="Arial" w:hAnsi="Arial" w:cs="Arial"/>
          <w:sz w:val="22"/>
          <w:szCs w:val="22"/>
        </w:rPr>
        <w:t>Administrative Science Quarterly</w:t>
      </w:r>
      <w:r w:rsidRPr="00453378">
        <w:rPr>
          <w:rFonts w:ascii="Arial" w:hAnsi="Arial" w:cs="Arial"/>
          <w:sz w:val="22"/>
          <w:szCs w:val="22"/>
        </w:rPr>
        <w:t>, 24(2), pp. 285–308.</w:t>
      </w:r>
      <w:r w:rsidR="001C19E9" w:rsidRPr="00453378">
        <w:rPr>
          <w:rFonts w:ascii="Arial" w:hAnsi="Arial" w:cs="Arial"/>
          <w:sz w:val="22"/>
          <w:szCs w:val="22"/>
        </w:rPr>
        <w:t xml:space="preserve"> </w:t>
      </w:r>
      <w:hyperlink r:id="rId48" w:tgtFrame="_new" w:history="1">
        <w:r w:rsidRPr="00453378">
          <w:rPr>
            <w:rStyle w:val="Hyperlink"/>
            <w:rFonts w:ascii="Arial" w:hAnsi="Arial" w:cs="Arial"/>
            <w:sz w:val="22"/>
            <w:szCs w:val="22"/>
          </w:rPr>
          <w:t>https://www.jstor.org/stable/2392498</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538E7B6C"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Kinman, G., Teoh, K. &amp; Harriss, A. (2020) </w:t>
      </w:r>
      <w:r w:rsidRPr="00453378">
        <w:rPr>
          <w:rStyle w:val="Emphasis"/>
          <w:rFonts w:ascii="Arial" w:hAnsi="Arial" w:cs="Arial"/>
          <w:sz w:val="22"/>
          <w:szCs w:val="22"/>
        </w:rPr>
        <w:t>Supporting the well-being of healthcare workers during and after COVID-19</w:t>
      </w:r>
      <w:r w:rsidRPr="00453378">
        <w:rPr>
          <w:rFonts w:ascii="Arial" w:hAnsi="Arial" w:cs="Arial"/>
          <w:sz w:val="22"/>
          <w:szCs w:val="22"/>
        </w:rPr>
        <w:t>. Society of Occupational Medicine.</w:t>
      </w:r>
      <w:r w:rsidR="001C19E9" w:rsidRPr="00453378">
        <w:rPr>
          <w:rFonts w:ascii="Arial" w:hAnsi="Arial" w:cs="Arial"/>
          <w:sz w:val="22"/>
          <w:szCs w:val="22"/>
        </w:rPr>
        <w:t xml:space="preserve"> </w:t>
      </w:r>
      <w:hyperlink r:id="rId49" w:tgtFrame="_new" w:history="1">
        <w:r w:rsidRPr="00453378">
          <w:rPr>
            <w:rStyle w:val="Hyperlink"/>
            <w:rFonts w:ascii="Arial" w:hAnsi="Arial" w:cs="Arial"/>
            <w:sz w:val="22"/>
            <w:szCs w:val="22"/>
          </w:rPr>
          <w:t>https://www.som.org.uk/sites/som.org.uk/files/SOM_COVID-19_Frontline_Healthcare_Worker_Wellbeing_Guidance.pdf</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1C21BC1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Kisely, S., Warren, N., McMahon, L., Dalais, C., Henry, I. &amp; Siskind, D. (2020) ‘</w:t>
      </w:r>
      <w:r w:rsidRPr="001D30A7">
        <w:rPr>
          <w:rFonts w:ascii="Arial" w:hAnsi="Arial" w:cs="Arial"/>
          <w:i/>
          <w:sz w:val="22"/>
          <w:szCs w:val="22"/>
        </w:rPr>
        <w:t>Occurrence, prevention, and management of the psychological effects of emerging virus outbreaks on HCWs: rapid review’</w:t>
      </w:r>
      <w:r w:rsidRPr="00453378">
        <w:rPr>
          <w:rFonts w:ascii="Arial" w:hAnsi="Arial" w:cs="Arial"/>
          <w:sz w:val="22"/>
          <w:szCs w:val="22"/>
        </w:rPr>
        <w:t xml:space="preserve">, </w:t>
      </w:r>
      <w:r w:rsidRPr="00453378">
        <w:rPr>
          <w:rStyle w:val="Emphasis"/>
          <w:rFonts w:ascii="Arial" w:hAnsi="Arial" w:cs="Arial"/>
          <w:sz w:val="22"/>
          <w:szCs w:val="22"/>
        </w:rPr>
        <w:t>BMJ</w:t>
      </w:r>
      <w:r w:rsidRPr="00453378">
        <w:rPr>
          <w:rFonts w:ascii="Arial" w:hAnsi="Arial" w:cs="Arial"/>
          <w:sz w:val="22"/>
          <w:szCs w:val="22"/>
        </w:rPr>
        <w:t>, 369, m1642.</w:t>
      </w:r>
      <w:r w:rsidR="001C19E9" w:rsidRPr="00453378">
        <w:rPr>
          <w:rFonts w:ascii="Arial" w:hAnsi="Arial" w:cs="Arial"/>
          <w:sz w:val="22"/>
          <w:szCs w:val="22"/>
        </w:rPr>
        <w:t xml:space="preserve"> </w:t>
      </w:r>
      <w:hyperlink r:id="rId50" w:tgtFrame="_new" w:history="1">
        <w:r w:rsidRPr="00453378">
          <w:rPr>
            <w:rStyle w:val="Hyperlink"/>
            <w:rFonts w:ascii="Arial" w:hAnsi="Arial" w:cs="Arial"/>
            <w:sz w:val="22"/>
            <w:szCs w:val="22"/>
          </w:rPr>
          <w:t>https://www.bmj.com/content/369/bmj.m1642</w:t>
        </w:r>
      </w:hyperlink>
    </w:p>
    <w:p w14:paraId="553ABB97"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Lai, J., Ma, S., Wang, Y., Cai, Z., Hu, J. </w:t>
      </w:r>
      <w:r w:rsidRPr="00453378">
        <w:rPr>
          <w:rStyle w:val="Emphasis"/>
          <w:rFonts w:ascii="Arial" w:hAnsi="Arial" w:cs="Arial"/>
          <w:sz w:val="22"/>
          <w:szCs w:val="22"/>
        </w:rPr>
        <w:t>et al.</w:t>
      </w:r>
      <w:r w:rsidRPr="00453378">
        <w:rPr>
          <w:rFonts w:ascii="Arial" w:hAnsi="Arial" w:cs="Arial"/>
          <w:sz w:val="22"/>
          <w:szCs w:val="22"/>
        </w:rPr>
        <w:t xml:space="preserve"> (2020) ‘</w:t>
      </w:r>
      <w:r w:rsidRPr="001D30A7">
        <w:rPr>
          <w:rFonts w:ascii="Arial" w:hAnsi="Arial" w:cs="Arial"/>
          <w:i/>
          <w:sz w:val="22"/>
          <w:szCs w:val="22"/>
        </w:rPr>
        <w:t>Factors associated with mental health outcomes among HCWs exposed to COVID-19’</w:t>
      </w:r>
      <w:r w:rsidRPr="00453378">
        <w:rPr>
          <w:rFonts w:ascii="Arial" w:hAnsi="Arial" w:cs="Arial"/>
          <w:sz w:val="22"/>
          <w:szCs w:val="22"/>
        </w:rPr>
        <w:t xml:space="preserve">, </w:t>
      </w:r>
      <w:r w:rsidRPr="00453378">
        <w:rPr>
          <w:rStyle w:val="Emphasis"/>
          <w:rFonts w:ascii="Arial" w:hAnsi="Arial" w:cs="Arial"/>
          <w:sz w:val="22"/>
          <w:szCs w:val="22"/>
        </w:rPr>
        <w:t>JAMA Network Open</w:t>
      </w:r>
      <w:r w:rsidRPr="00453378">
        <w:rPr>
          <w:rFonts w:ascii="Arial" w:hAnsi="Arial" w:cs="Arial"/>
          <w:sz w:val="22"/>
          <w:szCs w:val="22"/>
        </w:rPr>
        <w:t>, 3(3), e203976.</w:t>
      </w:r>
      <w:r w:rsidRPr="00453378">
        <w:rPr>
          <w:rFonts w:ascii="Arial" w:hAnsi="Arial" w:cs="Arial"/>
          <w:sz w:val="22"/>
          <w:szCs w:val="22"/>
        </w:rPr>
        <w:br/>
        <w:t xml:space="preserve">DOI: 10.1001/jamanetworkopen.2020.3976 — </w:t>
      </w:r>
      <w:hyperlink r:id="rId51" w:tgtFrame="_new" w:history="1">
        <w:r w:rsidRPr="00453378">
          <w:rPr>
            <w:rStyle w:val="Hyperlink"/>
            <w:rFonts w:ascii="Arial" w:hAnsi="Arial" w:cs="Arial"/>
            <w:sz w:val="22"/>
            <w:szCs w:val="22"/>
          </w:rPr>
          <w:t>https://jamanetwork.com/journals/jamanetworkopen/fullarticle/2763229</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493B70E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Lazarus, R.S. &amp; Folkman, S. (1984) </w:t>
      </w:r>
      <w:r w:rsidRPr="00453378">
        <w:rPr>
          <w:rStyle w:val="Emphasis"/>
          <w:rFonts w:ascii="Arial" w:hAnsi="Arial" w:cs="Arial"/>
          <w:sz w:val="22"/>
          <w:szCs w:val="22"/>
        </w:rPr>
        <w:t>Stress, Appraisal, and Coping</w:t>
      </w:r>
      <w:r w:rsidRPr="00453378">
        <w:rPr>
          <w:rFonts w:ascii="Arial" w:hAnsi="Arial" w:cs="Arial"/>
          <w:sz w:val="22"/>
          <w:szCs w:val="22"/>
        </w:rPr>
        <w:t>. New York: Springer.</w:t>
      </w:r>
      <w:r w:rsidR="001C19E9" w:rsidRPr="00453378">
        <w:rPr>
          <w:rFonts w:ascii="Arial" w:hAnsi="Arial" w:cs="Arial"/>
          <w:sz w:val="22"/>
          <w:szCs w:val="22"/>
        </w:rPr>
        <w:t xml:space="preserve"> </w:t>
      </w:r>
      <w:hyperlink r:id="rId52" w:tgtFrame="_new" w:history="1">
        <w:r w:rsidRPr="00453378">
          <w:rPr>
            <w:rStyle w:val="Hyperlink"/>
            <w:rFonts w:ascii="Arial" w:hAnsi="Arial" w:cs="Arial"/>
            <w:sz w:val="22"/>
            <w:szCs w:val="22"/>
          </w:rPr>
          <w:t>https://link.springer.com/book/10.1007/978-1-4419-1005-9</w:t>
        </w:r>
      </w:hyperlink>
    </w:p>
    <w:p w14:paraId="086696ED"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Litz, B.T., Stein, N., Delaney, E., Lebowitz, L., Nash, W.P., Silva, C. &amp; Maguen, S. (2009) </w:t>
      </w:r>
      <w:r w:rsidRPr="001D30A7">
        <w:rPr>
          <w:rFonts w:ascii="Arial" w:hAnsi="Arial" w:cs="Arial"/>
          <w:i/>
          <w:sz w:val="22"/>
          <w:szCs w:val="22"/>
        </w:rPr>
        <w:t>‘Moral injury and moral repair in war veterans: A preliminary model and intervention strategy’</w:t>
      </w:r>
      <w:r w:rsidRPr="00453378">
        <w:rPr>
          <w:rFonts w:ascii="Arial" w:hAnsi="Arial" w:cs="Arial"/>
          <w:sz w:val="22"/>
          <w:szCs w:val="22"/>
        </w:rPr>
        <w:t xml:space="preserve">, </w:t>
      </w:r>
      <w:r w:rsidRPr="00453378">
        <w:rPr>
          <w:rStyle w:val="Emphasis"/>
          <w:rFonts w:ascii="Arial" w:hAnsi="Arial" w:cs="Arial"/>
          <w:sz w:val="22"/>
          <w:szCs w:val="22"/>
        </w:rPr>
        <w:t>Clinical Psychology Review</w:t>
      </w:r>
      <w:r w:rsidRPr="00453378">
        <w:rPr>
          <w:rFonts w:ascii="Arial" w:hAnsi="Arial" w:cs="Arial"/>
          <w:sz w:val="22"/>
          <w:szCs w:val="22"/>
        </w:rPr>
        <w:t>, 29(8), pp. 695–706.</w:t>
      </w:r>
      <w:r w:rsidR="00195AF2" w:rsidRPr="00453378">
        <w:rPr>
          <w:rFonts w:ascii="Arial" w:hAnsi="Arial" w:cs="Arial"/>
          <w:sz w:val="22"/>
          <w:szCs w:val="22"/>
        </w:rPr>
        <w:t xml:space="preserve"> </w:t>
      </w:r>
      <w:hyperlink r:id="rId53" w:tgtFrame="_new" w:history="1">
        <w:r w:rsidRPr="00453378">
          <w:rPr>
            <w:rStyle w:val="Hyperlink"/>
            <w:rFonts w:ascii="Arial" w:hAnsi="Arial" w:cs="Arial"/>
            <w:sz w:val="22"/>
            <w:szCs w:val="22"/>
          </w:rPr>
          <w:t>https://www.sciencedirect.com/science/article/pii/S0272735809000907</w:t>
        </w:r>
      </w:hyperlink>
    </w:p>
    <w:p w14:paraId="62B8A92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Luceño-Moreno, L., Prieto-Prieto, M., Muñoz-Navarro, R., Suso-Ribera, C. &amp; Miró, E. (2020) ‘</w:t>
      </w:r>
      <w:r w:rsidRPr="001D30A7">
        <w:rPr>
          <w:rFonts w:ascii="Arial" w:hAnsi="Arial" w:cs="Arial"/>
          <w:i/>
          <w:sz w:val="22"/>
          <w:szCs w:val="22"/>
        </w:rPr>
        <w:t>Symptoms of posttraumatic stress, anxiety, depression, levels of resilience among Spanish HCWs during COVID-19’</w:t>
      </w:r>
      <w:r w:rsidRPr="00453378">
        <w:rPr>
          <w:rFonts w:ascii="Arial" w:hAnsi="Arial" w:cs="Arial"/>
          <w:sz w:val="22"/>
          <w:szCs w:val="22"/>
        </w:rPr>
        <w:t xml:space="preserve">, </w:t>
      </w:r>
      <w:r w:rsidRPr="00453378">
        <w:rPr>
          <w:rStyle w:val="Emphasis"/>
          <w:rFonts w:ascii="Arial" w:hAnsi="Arial" w:cs="Arial"/>
          <w:sz w:val="22"/>
          <w:szCs w:val="22"/>
        </w:rPr>
        <w:t>International Journal of Environmental Research and Public Health</w:t>
      </w:r>
      <w:r w:rsidRPr="00453378">
        <w:rPr>
          <w:rFonts w:ascii="Arial" w:hAnsi="Arial" w:cs="Arial"/>
          <w:sz w:val="22"/>
          <w:szCs w:val="22"/>
        </w:rPr>
        <w:t>, 17(15), 5514.</w:t>
      </w:r>
      <w:r w:rsidR="00AA0080" w:rsidRPr="00453378">
        <w:rPr>
          <w:rFonts w:ascii="Arial" w:hAnsi="Arial" w:cs="Arial"/>
          <w:sz w:val="22"/>
          <w:szCs w:val="22"/>
        </w:rPr>
        <w:t xml:space="preserve"> </w:t>
      </w:r>
      <w:hyperlink r:id="rId54" w:tgtFrame="_new" w:history="1">
        <w:r w:rsidRPr="00453378">
          <w:rPr>
            <w:rStyle w:val="Hyperlink"/>
            <w:rFonts w:ascii="Arial" w:hAnsi="Arial" w:cs="Arial"/>
            <w:sz w:val="22"/>
            <w:szCs w:val="22"/>
          </w:rPr>
          <w:t>https://www.mdpi.com/1660-4601/17/15/5514</w:t>
        </w:r>
      </w:hyperlink>
    </w:p>
    <w:p w14:paraId="613D6F8A"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Maslach, C. &amp; Jackson, S.E. (1981) ‘</w:t>
      </w:r>
      <w:r w:rsidRPr="001D30A7">
        <w:rPr>
          <w:rFonts w:ascii="Arial" w:hAnsi="Arial" w:cs="Arial"/>
          <w:i/>
          <w:sz w:val="22"/>
          <w:szCs w:val="22"/>
        </w:rPr>
        <w:t>The measurement of experienced burnout’</w:t>
      </w:r>
      <w:r w:rsidRPr="00453378">
        <w:rPr>
          <w:rFonts w:ascii="Arial" w:hAnsi="Arial" w:cs="Arial"/>
          <w:sz w:val="22"/>
          <w:szCs w:val="22"/>
        </w:rPr>
        <w:t xml:space="preserve">, </w:t>
      </w:r>
      <w:r w:rsidRPr="00453378">
        <w:rPr>
          <w:rStyle w:val="Emphasis"/>
          <w:rFonts w:ascii="Arial" w:hAnsi="Arial" w:cs="Arial"/>
          <w:sz w:val="22"/>
          <w:szCs w:val="22"/>
        </w:rPr>
        <w:t>Journal of Occupational Behavior</w:t>
      </w:r>
      <w:r w:rsidRPr="00453378">
        <w:rPr>
          <w:rFonts w:ascii="Arial" w:hAnsi="Arial" w:cs="Arial"/>
          <w:sz w:val="22"/>
          <w:szCs w:val="22"/>
        </w:rPr>
        <w:t>, 2(2), pp. 99–113.</w:t>
      </w:r>
      <w:r w:rsidR="00AA0080" w:rsidRPr="00453378">
        <w:rPr>
          <w:rFonts w:ascii="Arial" w:hAnsi="Arial" w:cs="Arial"/>
          <w:sz w:val="22"/>
          <w:szCs w:val="22"/>
        </w:rPr>
        <w:t xml:space="preserve"> </w:t>
      </w:r>
      <w:hyperlink r:id="rId55" w:tgtFrame="_new" w:history="1">
        <w:r w:rsidRPr="00453378">
          <w:rPr>
            <w:rStyle w:val="Hyperlink"/>
            <w:rFonts w:ascii="Arial" w:hAnsi="Arial" w:cs="Arial"/>
            <w:sz w:val="22"/>
            <w:szCs w:val="22"/>
          </w:rPr>
          <w:t>https://onlinelibrary.wiley.com/doi/abs/10.1002/job.4030020205</w:t>
        </w:r>
      </w:hyperlink>
      <w:r w:rsidR="000B42B6">
        <w:rPr>
          <w:rStyle w:val="Hyperlink"/>
          <w:rFonts w:ascii="Arial" w:hAnsi="Arial" w:cs="Arial"/>
          <w:sz w:val="22"/>
          <w:szCs w:val="22"/>
        </w:rPr>
        <w:t xml:space="preserve"> </w:t>
      </w:r>
    </w:p>
    <w:p w14:paraId="0CECFA7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Maslach, C. &amp; Leiter, M.P. (2016) ‘</w:t>
      </w:r>
      <w:r w:rsidRPr="001D30A7">
        <w:rPr>
          <w:rFonts w:ascii="Arial" w:hAnsi="Arial" w:cs="Arial"/>
          <w:i/>
          <w:sz w:val="22"/>
          <w:szCs w:val="22"/>
        </w:rPr>
        <w:t>Burnout: A Multidimensional Perspective’</w:t>
      </w:r>
      <w:r w:rsidRPr="00453378">
        <w:rPr>
          <w:rFonts w:ascii="Arial" w:hAnsi="Arial" w:cs="Arial"/>
          <w:sz w:val="22"/>
          <w:szCs w:val="22"/>
        </w:rPr>
        <w:t xml:space="preserve">, in </w:t>
      </w:r>
      <w:r w:rsidRPr="00453378">
        <w:rPr>
          <w:rStyle w:val="Emphasis"/>
          <w:rFonts w:ascii="Arial" w:hAnsi="Arial" w:cs="Arial"/>
          <w:sz w:val="22"/>
          <w:szCs w:val="22"/>
        </w:rPr>
        <w:t>Stress: Concepts, Cognition, Emotion, and Behavior</w:t>
      </w:r>
      <w:r w:rsidRPr="00453378">
        <w:rPr>
          <w:rFonts w:ascii="Arial" w:hAnsi="Arial" w:cs="Arial"/>
          <w:sz w:val="22"/>
          <w:szCs w:val="22"/>
        </w:rPr>
        <w:t>. Academic Press, pp. 351–357.</w:t>
      </w:r>
      <w:r w:rsidR="007D16CA" w:rsidRPr="00453378">
        <w:rPr>
          <w:rFonts w:ascii="Arial" w:hAnsi="Arial" w:cs="Arial"/>
          <w:sz w:val="22"/>
          <w:szCs w:val="22"/>
        </w:rPr>
        <w:t xml:space="preserve"> </w:t>
      </w:r>
      <w:hyperlink r:id="rId56" w:tgtFrame="_new" w:history="1">
        <w:r w:rsidRPr="00453378">
          <w:rPr>
            <w:rStyle w:val="Hyperlink"/>
            <w:rFonts w:ascii="Arial" w:hAnsi="Arial" w:cs="Arial"/>
            <w:sz w:val="22"/>
            <w:szCs w:val="22"/>
          </w:rPr>
          <w:t>https://www.sciencedirect.com/science/article/pii/B9780128009512000443</w:t>
        </w:r>
      </w:hyperlink>
    </w:p>
    <w:p w14:paraId="7A509DCF" w14:textId="77777777" w:rsidR="001D30A7"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Maunder, R., Hunter, J., Vincent, L., Bennett, J., Peladeau, N. </w:t>
      </w:r>
      <w:r w:rsidRPr="00453378">
        <w:rPr>
          <w:rStyle w:val="Emphasis"/>
          <w:rFonts w:ascii="Arial" w:hAnsi="Arial" w:cs="Arial"/>
          <w:sz w:val="22"/>
          <w:szCs w:val="22"/>
        </w:rPr>
        <w:t>et al.</w:t>
      </w:r>
      <w:r w:rsidRPr="00453378">
        <w:rPr>
          <w:rFonts w:ascii="Arial" w:hAnsi="Arial" w:cs="Arial"/>
          <w:sz w:val="22"/>
          <w:szCs w:val="22"/>
        </w:rPr>
        <w:t xml:space="preserve"> (2006) ‘</w:t>
      </w:r>
      <w:r w:rsidRPr="001D30A7">
        <w:rPr>
          <w:rFonts w:ascii="Arial" w:hAnsi="Arial" w:cs="Arial"/>
          <w:i/>
          <w:sz w:val="22"/>
          <w:szCs w:val="22"/>
        </w:rPr>
        <w:t xml:space="preserve">The immediate psychological and occupational impact of the 2003 SARS outbreak’, </w:t>
      </w:r>
      <w:r w:rsidRPr="00453378">
        <w:rPr>
          <w:rStyle w:val="Emphasis"/>
          <w:rFonts w:ascii="Arial" w:hAnsi="Arial" w:cs="Arial"/>
          <w:sz w:val="22"/>
          <w:szCs w:val="22"/>
        </w:rPr>
        <w:t>CMAJ</w:t>
      </w:r>
      <w:r w:rsidRPr="00453378">
        <w:rPr>
          <w:rFonts w:ascii="Arial" w:hAnsi="Arial" w:cs="Arial"/>
          <w:sz w:val="22"/>
          <w:szCs w:val="22"/>
        </w:rPr>
        <w:t>, 168(10), pp. 1245–1251.</w:t>
      </w:r>
      <w:r w:rsidRPr="00453378">
        <w:rPr>
          <w:rFonts w:ascii="Arial" w:hAnsi="Arial" w:cs="Arial"/>
          <w:sz w:val="22"/>
          <w:szCs w:val="22"/>
        </w:rPr>
        <w:br/>
      </w:r>
      <w:hyperlink r:id="rId57" w:tgtFrame="_new" w:history="1">
        <w:r w:rsidRPr="00453378">
          <w:rPr>
            <w:rStyle w:val="Hyperlink"/>
            <w:rFonts w:ascii="Arial" w:hAnsi="Arial" w:cs="Arial"/>
            <w:sz w:val="22"/>
            <w:szCs w:val="22"/>
          </w:rPr>
          <w:t>https://www.cmaj.ca/content/168/10/1245</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01C30976" w14:textId="77777777" w:rsidR="001D30A7"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Confederation (2021) </w:t>
      </w:r>
      <w:r w:rsidRPr="00453378">
        <w:rPr>
          <w:rStyle w:val="Emphasis"/>
          <w:rFonts w:ascii="Arial" w:hAnsi="Arial" w:cs="Arial"/>
          <w:sz w:val="22"/>
          <w:szCs w:val="22"/>
        </w:rPr>
        <w:t>NHS Reset: Workforce</w:t>
      </w:r>
      <w:r w:rsidRPr="00453378">
        <w:rPr>
          <w:rFonts w:ascii="Arial" w:hAnsi="Arial" w:cs="Arial"/>
          <w:sz w:val="22"/>
          <w:szCs w:val="22"/>
        </w:rPr>
        <w:t>.</w:t>
      </w:r>
      <w:r w:rsidRPr="00453378">
        <w:rPr>
          <w:rFonts w:ascii="Arial" w:hAnsi="Arial" w:cs="Arial"/>
          <w:sz w:val="22"/>
          <w:szCs w:val="22"/>
        </w:rPr>
        <w:br/>
      </w:r>
      <w:hyperlink r:id="rId58" w:tgtFrame="_new" w:history="1">
        <w:r w:rsidRPr="00453378">
          <w:rPr>
            <w:rStyle w:val="Hyperlink"/>
            <w:rFonts w:ascii="Arial" w:hAnsi="Arial" w:cs="Arial"/>
            <w:sz w:val="22"/>
            <w:szCs w:val="22"/>
          </w:rPr>
          <w:t>https://www.nhsconfed.org/themes/workforce</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324E9FB4"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England (2020) </w:t>
      </w:r>
      <w:r w:rsidRPr="00453378">
        <w:rPr>
          <w:rStyle w:val="Emphasis"/>
          <w:rFonts w:ascii="Arial" w:hAnsi="Arial" w:cs="Arial"/>
          <w:sz w:val="22"/>
          <w:szCs w:val="22"/>
        </w:rPr>
        <w:t>We are the NHS: People Plan for 2020/21</w:t>
      </w:r>
      <w:r w:rsidRPr="00453378">
        <w:rPr>
          <w:rFonts w:ascii="Arial" w:hAnsi="Arial" w:cs="Arial"/>
          <w:sz w:val="22"/>
          <w:szCs w:val="22"/>
        </w:rPr>
        <w:t>.</w:t>
      </w:r>
      <w:r w:rsidRPr="00453378">
        <w:rPr>
          <w:rFonts w:ascii="Arial" w:hAnsi="Arial" w:cs="Arial"/>
          <w:sz w:val="22"/>
          <w:szCs w:val="22"/>
        </w:rPr>
        <w:br/>
      </w:r>
      <w:hyperlink r:id="rId59" w:tgtFrame="_new" w:history="1">
        <w:r w:rsidRPr="00453378">
          <w:rPr>
            <w:rStyle w:val="Hyperlink"/>
            <w:rFonts w:ascii="Arial" w:hAnsi="Arial" w:cs="Arial"/>
            <w:sz w:val="22"/>
            <w:szCs w:val="22"/>
          </w:rPr>
          <w:t>https://www.england.nhs.uk/ournhspeople/</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0D5179D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England (2021) </w:t>
      </w:r>
      <w:r w:rsidRPr="00453378">
        <w:rPr>
          <w:rStyle w:val="Emphasis"/>
          <w:rFonts w:ascii="Arial" w:hAnsi="Arial" w:cs="Arial"/>
          <w:sz w:val="22"/>
          <w:szCs w:val="22"/>
        </w:rPr>
        <w:t>Our NHS People Promise</w:t>
      </w:r>
      <w:r w:rsidRPr="00453378">
        <w:rPr>
          <w:rFonts w:ascii="Arial" w:hAnsi="Arial" w:cs="Arial"/>
          <w:sz w:val="22"/>
          <w:szCs w:val="22"/>
        </w:rPr>
        <w:t>.</w:t>
      </w:r>
      <w:r w:rsidRPr="00453378">
        <w:rPr>
          <w:rFonts w:ascii="Arial" w:hAnsi="Arial" w:cs="Arial"/>
          <w:sz w:val="22"/>
          <w:szCs w:val="22"/>
        </w:rPr>
        <w:br/>
      </w:r>
      <w:hyperlink r:id="rId60" w:tgtFrame="_new" w:history="1">
        <w:r w:rsidRPr="00453378">
          <w:rPr>
            <w:rStyle w:val="Hyperlink"/>
            <w:rFonts w:ascii="Arial" w:hAnsi="Arial" w:cs="Arial"/>
            <w:sz w:val="22"/>
            <w:szCs w:val="22"/>
          </w:rPr>
          <w:t>https://www.england.nhs.uk/ournhspeople/peoplepromise/</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09BBCF20"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(2019)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61" w:tgtFrame="_new" w:history="1">
        <w:r w:rsidRPr="00453378">
          <w:rPr>
            <w:rStyle w:val="Hyperlink"/>
            <w:rFonts w:ascii="Arial" w:hAnsi="Arial" w:cs="Arial"/>
            <w:sz w:val="22"/>
            <w:szCs w:val="22"/>
          </w:rPr>
          <w:t>https://www.nhsstaffsurveys.com</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0505C3F0"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(2020)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62" w:tgtFrame="_new" w:history="1">
        <w:r w:rsidRPr="00453378">
          <w:rPr>
            <w:rStyle w:val="Hyperlink"/>
            <w:rFonts w:ascii="Arial" w:hAnsi="Arial" w:cs="Arial"/>
            <w:sz w:val="22"/>
            <w:szCs w:val="22"/>
          </w:rPr>
          <w:t>https://www.nhsstaffsurveys.com</w:t>
        </w:r>
      </w:hyperlink>
    </w:p>
    <w:p w14:paraId="493A825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NHS Staff Survey (2021) </w:t>
      </w:r>
      <w:r w:rsidRPr="00453378">
        <w:rPr>
          <w:rStyle w:val="Emphasis"/>
          <w:rFonts w:ascii="Arial" w:hAnsi="Arial" w:cs="Arial"/>
          <w:sz w:val="22"/>
          <w:szCs w:val="22"/>
        </w:rPr>
        <w:t>National Results Briefing</w:t>
      </w:r>
      <w:r w:rsidRPr="00453378">
        <w:rPr>
          <w:rFonts w:ascii="Arial" w:hAnsi="Arial" w:cs="Arial"/>
          <w:sz w:val="22"/>
          <w:szCs w:val="22"/>
        </w:rPr>
        <w:t>.</w:t>
      </w:r>
      <w:r w:rsidRPr="00453378">
        <w:rPr>
          <w:rFonts w:ascii="Arial" w:hAnsi="Arial" w:cs="Arial"/>
          <w:sz w:val="22"/>
          <w:szCs w:val="22"/>
        </w:rPr>
        <w:br/>
      </w:r>
      <w:hyperlink r:id="rId63" w:tgtFrame="_new" w:history="1">
        <w:r w:rsidRPr="00453378">
          <w:rPr>
            <w:rStyle w:val="Hyperlink"/>
            <w:rFonts w:ascii="Arial" w:hAnsi="Arial" w:cs="Arial"/>
            <w:sz w:val="22"/>
            <w:szCs w:val="22"/>
          </w:rPr>
          <w:t>https://www.nhsstaffsurveys.com</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64A70744"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NICE (2018) </w:t>
      </w:r>
      <w:r w:rsidRPr="00453378">
        <w:rPr>
          <w:rStyle w:val="Emphasis"/>
          <w:rFonts w:ascii="Arial" w:hAnsi="Arial" w:cs="Arial"/>
          <w:sz w:val="22"/>
          <w:szCs w:val="22"/>
        </w:rPr>
        <w:t>Post-traumatic stress disorder (NG116)</w:t>
      </w:r>
      <w:r w:rsidRPr="00453378">
        <w:rPr>
          <w:rFonts w:ascii="Arial" w:hAnsi="Arial" w:cs="Arial"/>
          <w:sz w:val="22"/>
          <w:szCs w:val="22"/>
        </w:rPr>
        <w:t>. National Institute for Health and Care Excellence.</w:t>
      </w:r>
      <w:r w:rsidRPr="00453378">
        <w:rPr>
          <w:rFonts w:ascii="Arial" w:hAnsi="Arial" w:cs="Arial"/>
          <w:sz w:val="22"/>
          <w:szCs w:val="22"/>
        </w:rPr>
        <w:br/>
      </w:r>
      <w:hyperlink r:id="rId64" w:tgtFrame="_new" w:history="1">
        <w:r w:rsidRPr="00453378">
          <w:rPr>
            <w:rStyle w:val="Hyperlink"/>
            <w:rFonts w:ascii="Arial" w:hAnsi="Arial" w:cs="Arial"/>
            <w:sz w:val="22"/>
            <w:szCs w:val="22"/>
          </w:rPr>
          <w:t>https://www.nice.org.uk/guidance/ng116</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76CE965D"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NICE (2021) </w:t>
      </w:r>
      <w:r w:rsidRPr="00453378">
        <w:rPr>
          <w:rStyle w:val="Emphasis"/>
          <w:rFonts w:ascii="Arial" w:hAnsi="Arial" w:cs="Arial"/>
          <w:sz w:val="22"/>
          <w:szCs w:val="22"/>
        </w:rPr>
        <w:t>Workplace health: Management practices</w:t>
      </w:r>
      <w:r w:rsidRPr="00453378">
        <w:rPr>
          <w:rFonts w:ascii="Arial" w:hAnsi="Arial" w:cs="Arial"/>
          <w:sz w:val="22"/>
          <w:szCs w:val="22"/>
        </w:rPr>
        <w:t>.</w:t>
      </w:r>
      <w:r w:rsidRPr="00453378">
        <w:rPr>
          <w:rFonts w:ascii="Arial" w:hAnsi="Arial" w:cs="Arial"/>
          <w:sz w:val="22"/>
          <w:szCs w:val="22"/>
        </w:rPr>
        <w:br/>
      </w:r>
      <w:hyperlink r:id="rId65" w:tgtFrame="_new" w:history="1">
        <w:r w:rsidRPr="00453378">
          <w:rPr>
            <w:rStyle w:val="Hyperlink"/>
            <w:rFonts w:ascii="Arial" w:hAnsi="Arial" w:cs="Arial"/>
            <w:sz w:val="22"/>
            <w:szCs w:val="22"/>
          </w:rPr>
          <w:t>https://www.nice.org.uk</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6E6B65BE"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Nickell, L.A., Crighton, E.J., Tracy, C.S., Al-Enazy, H., Bolaji, Y. </w:t>
      </w:r>
      <w:r w:rsidRPr="00453378">
        <w:rPr>
          <w:rStyle w:val="Emphasis"/>
          <w:rFonts w:ascii="Arial" w:hAnsi="Arial" w:cs="Arial"/>
          <w:sz w:val="22"/>
          <w:szCs w:val="22"/>
        </w:rPr>
        <w:t>et al.</w:t>
      </w:r>
      <w:r w:rsidRPr="00453378">
        <w:rPr>
          <w:rFonts w:ascii="Arial" w:hAnsi="Arial" w:cs="Arial"/>
          <w:sz w:val="22"/>
          <w:szCs w:val="22"/>
        </w:rPr>
        <w:t xml:space="preserve"> (2004) </w:t>
      </w:r>
      <w:r w:rsidRPr="001D30A7">
        <w:rPr>
          <w:rFonts w:ascii="Arial" w:hAnsi="Arial" w:cs="Arial"/>
          <w:i/>
          <w:sz w:val="22"/>
          <w:szCs w:val="22"/>
        </w:rPr>
        <w:t>‘Psychosocial effects of SARS on hospital staff in Toronto’,</w:t>
      </w:r>
      <w:r w:rsidRPr="00453378">
        <w:rPr>
          <w:rFonts w:ascii="Arial" w:hAnsi="Arial" w:cs="Arial"/>
          <w:sz w:val="22"/>
          <w:szCs w:val="22"/>
        </w:rPr>
        <w:t xml:space="preserve"> </w:t>
      </w:r>
      <w:r w:rsidRPr="00453378">
        <w:rPr>
          <w:rStyle w:val="Emphasis"/>
          <w:rFonts w:ascii="Arial" w:hAnsi="Arial" w:cs="Arial"/>
          <w:sz w:val="22"/>
          <w:szCs w:val="22"/>
        </w:rPr>
        <w:t>Emerging Infectious Diseases</w:t>
      </w:r>
      <w:r w:rsidRPr="00453378">
        <w:rPr>
          <w:rFonts w:ascii="Arial" w:hAnsi="Arial" w:cs="Arial"/>
          <w:sz w:val="22"/>
          <w:szCs w:val="22"/>
        </w:rPr>
        <w:t>, 10(5), pp. 895–901.</w:t>
      </w:r>
      <w:r w:rsidRPr="00453378">
        <w:rPr>
          <w:rFonts w:ascii="Arial" w:hAnsi="Arial" w:cs="Arial"/>
          <w:sz w:val="22"/>
          <w:szCs w:val="22"/>
        </w:rPr>
        <w:br/>
      </w:r>
      <w:hyperlink r:id="rId66" w:tgtFrame="_new" w:history="1">
        <w:r w:rsidRPr="00453378">
          <w:rPr>
            <w:rStyle w:val="Hyperlink"/>
            <w:rFonts w:ascii="Arial" w:hAnsi="Arial" w:cs="Arial"/>
            <w:sz w:val="22"/>
            <w:szCs w:val="22"/>
          </w:rPr>
          <w:t>https://wwwnc.cdc.gov/eid/article/10/5/03-0703_article</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292B22E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Noblit, G.W. &amp; Hare, R.D. (1988) </w:t>
      </w:r>
      <w:r w:rsidRPr="00453378">
        <w:rPr>
          <w:rStyle w:val="Emphasis"/>
          <w:rFonts w:ascii="Arial" w:hAnsi="Arial" w:cs="Arial"/>
          <w:sz w:val="22"/>
          <w:szCs w:val="22"/>
        </w:rPr>
        <w:t>Meta-Ethnography: Synthesizing Qualitative Studies</w:t>
      </w:r>
      <w:r w:rsidRPr="00453378">
        <w:rPr>
          <w:rFonts w:ascii="Arial" w:hAnsi="Arial" w:cs="Arial"/>
          <w:sz w:val="22"/>
          <w:szCs w:val="22"/>
        </w:rPr>
        <w:t>. Newbury Park, CA: SAGE.</w:t>
      </w:r>
    </w:p>
    <w:p w14:paraId="76E6117D"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Nowell, L.S., Norris, J.M., White, D.E. &amp; Moules, N.J. (2017) </w:t>
      </w:r>
      <w:r w:rsidRPr="001D30A7">
        <w:rPr>
          <w:rFonts w:ascii="Arial" w:hAnsi="Arial" w:cs="Arial"/>
          <w:i/>
          <w:sz w:val="22"/>
          <w:szCs w:val="22"/>
        </w:rPr>
        <w:t>‘Thematic analysis: Striving to meet the trustworthiness criteria’</w:t>
      </w:r>
      <w:r w:rsidRPr="00453378">
        <w:rPr>
          <w:rFonts w:ascii="Arial" w:hAnsi="Arial" w:cs="Arial"/>
          <w:sz w:val="22"/>
          <w:szCs w:val="22"/>
        </w:rPr>
        <w:t xml:space="preserve">, </w:t>
      </w:r>
      <w:r w:rsidRPr="00453378">
        <w:rPr>
          <w:rStyle w:val="Emphasis"/>
          <w:rFonts w:ascii="Arial" w:hAnsi="Arial" w:cs="Arial"/>
          <w:sz w:val="22"/>
          <w:szCs w:val="22"/>
        </w:rPr>
        <w:t>International Journal of Qualitative Methods</w:t>
      </w:r>
      <w:r w:rsidRPr="00453378">
        <w:rPr>
          <w:rFonts w:ascii="Arial" w:hAnsi="Arial" w:cs="Arial"/>
          <w:sz w:val="22"/>
          <w:szCs w:val="22"/>
        </w:rPr>
        <w:t>, 16, pp. 1–13.</w:t>
      </w:r>
      <w:r w:rsidRPr="00453378">
        <w:rPr>
          <w:rFonts w:ascii="Arial" w:hAnsi="Arial" w:cs="Arial"/>
          <w:sz w:val="22"/>
          <w:szCs w:val="22"/>
        </w:rPr>
        <w:br/>
      </w:r>
      <w:hyperlink r:id="rId67" w:tgtFrame="_new" w:history="1">
        <w:r w:rsidRPr="00453378">
          <w:rPr>
            <w:rStyle w:val="Hyperlink"/>
            <w:rFonts w:ascii="Arial" w:hAnsi="Arial" w:cs="Arial"/>
            <w:sz w:val="22"/>
            <w:szCs w:val="22"/>
          </w:rPr>
          <w:t>https://doi.org/10.1177/1609406917733847</w:t>
        </w:r>
      </w:hyperlink>
    </w:p>
    <w:p w14:paraId="7339DCF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OECD (2021) </w:t>
      </w:r>
      <w:r w:rsidRPr="00453378">
        <w:rPr>
          <w:rStyle w:val="Emphasis"/>
          <w:rFonts w:ascii="Arial" w:hAnsi="Arial" w:cs="Arial"/>
          <w:sz w:val="22"/>
          <w:szCs w:val="22"/>
        </w:rPr>
        <w:t>Tackling the mental health impact of the COVID-19 crisis</w:t>
      </w:r>
      <w:r w:rsidRPr="00453378">
        <w:rPr>
          <w:rFonts w:ascii="Arial" w:hAnsi="Arial" w:cs="Arial"/>
          <w:sz w:val="22"/>
          <w:szCs w:val="22"/>
        </w:rPr>
        <w:t>.</w:t>
      </w:r>
      <w:r w:rsidRPr="00453378">
        <w:rPr>
          <w:rFonts w:ascii="Arial" w:hAnsi="Arial" w:cs="Arial"/>
          <w:sz w:val="22"/>
          <w:szCs w:val="22"/>
        </w:rPr>
        <w:br/>
      </w:r>
      <w:hyperlink r:id="rId68" w:tgtFrame="_new" w:history="1">
        <w:r w:rsidRPr="00453378">
          <w:rPr>
            <w:rStyle w:val="Hyperlink"/>
            <w:rFonts w:ascii="Arial" w:hAnsi="Arial" w:cs="Arial"/>
            <w:sz w:val="22"/>
            <w:szCs w:val="22"/>
          </w:rPr>
          <w:t>https://www.oecd.org/coronavirus/policy-responses</w:t>
        </w:r>
      </w:hyperlink>
    </w:p>
    <w:p w14:paraId="0DE014C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Ornell, F., Halpern, S.C., Kessler, F.H.P. &amp; Narvaez, J.C.D.M. (2020) </w:t>
      </w:r>
      <w:r w:rsidRPr="001D30A7">
        <w:rPr>
          <w:rFonts w:ascii="Arial" w:hAnsi="Arial" w:cs="Arial"/>
          <w:i/>
          <w:sz w:val="22"/>
          <w:szCs w:val="22"/>
        </w:rPr>
        <w:t>‘The impact of the COVID-19 pandemic on the mental health of healthcare professionals’,</w:t>
      </w:r>
      <w:r w:rsidRPr="00453378">
        <w:rPr>
          <w:rFonts w:ascii="Arial" w:hAnsi="Arial" w:cs="Arial"/>
          <w:sz w:val="22"/>
          <w:szCs w:val="22"/>
        </w:rPr>
        <w:t xml:space="preserve"> </w:t>
      </w:r>
      <w:r w:rsidRPr="00453378">
        <w:rPr>
          <w:rStyle w:val="Emphasis"/>
          <w:rFonts w:ascii="Arial" w:hAnsi="Arial" w:cs="Arial"/>
          <w:sz w:val="22"/>
          <w:szCs w:val="22"/>
        </w:rPr>
        <w:t>Cadernos de Saúde Pública</w:t>
      </w:r>
      <w:r w:rsidRPr="00453378">
        <w:rPr>
          <w:rFonts w:ascii="Arial" w:hAnsi="Arial" w:cs="Arial"/>
          <w:sz w:val="22"/>
          <w:szCs w:val="22"/>
        </w:rPr>
        <w:t>, 36(4), e00063520.</w:t>
      </w:r>
      <w:r w:rsidRPr="00453378">
        <w:rPr>
          <w:rFonts w:ascii="Arial" w:hAnsi="Arial" w:cs="Arial"/>
          <w:sz w:val="22"/>
          <w:szCs w:val="22"/>
        </w:rPr>
        <w:br/>
      </w:r>
      <w:hyperlink r:id="rId69" w:tgtFrame="_new" w:history="1">
        <w:r w:rsidRPr="00453378">
          <w:rPr>
            <w:rStyle w:val="Hyperlink"/>
            <w:rFonts w:ascii="Arial" w:hAnsi="Arial" w:cs="Arial"/>
            <w:sz w:val="22"/>
            <w:szCs w:val="22"/>
          </w:rPr>
          <w:t>https://www.scielosp.org/article/csp/2020.v36n4/e00063520/en/</w:t>
        </w:r>
      </w:hyperlink>
    </w:p>
    <w:p w14:paraId="6888FC2A"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Page, M.J., McKenzie, J.E., Bossuyt, P.M., Boutron, I., Hoffmann, T.C. </w:t>
      </w:r>
      <w:r w:rsidRPr="00453378">
        <w:rPr>
          <w:rStyle w:val="Emphasis"/>
          <w:rFonts w:ascii="Arial" w:hAnsi="Arial" w:cs="Arial"/>
          <w:sz w:val="22"/>
          <w:szCs w:val="22"/>
        </w:rPr>
        <w:t>et al.</w:t>
      </w:r>
      <w:r w:rsidRPr="00453378">
        <w:rPr>
          <w:rFonts w:ascii="Arial" w:hAnsi="Arial" w:cs="Arial"/>
          <w:sz w:val="22"/>
          <w:szCs w:val="22"/>
        </w:rPr>
        <w:t xml:space="preserve"> (2021) ‘</w:t>
      </w:r>
      <w:r w:rsidRPr="001D30A7">
        <w:rPr>
          <w:rFonts w:ascii="Arial" w:hAnsi="Arial" w:cs="Arial"/>
          <w:i/>
          <w:sz w:val="22"/>
          <w:szCs w:val="22"/>
        </w:rPr>
        <w:t>The PRISMA 2020 statement: An updated guideline for reporting systematic reviews’,</w:t>
      </w:r>
      <w:r w:rsidRPr="00453378">
        <w:rPr>
          <w:rFonts w:ascii="Arial" w:hAnsi="Arial" w:cs="Arial"/>
          <w:sz w:val="22"/>
          <w:szCs w:val="22"/>
        </w:rPr>
        <w:t xml:space="preserve"> </w:t>
      </w:r>
      <w:r w:rsidRPr="00453378">
        <w:rPr>
          <w:rStyle w:val="Emphasis"/>
          <w:rFonts w:ascii="Arial" w:hAnsi="Arial" w:cs="Arial"/>
          <w:sz w:val="22"/>
          <w:szCs w:val="22"/>
        </w:rPr>
        <w:t>BMJ</w:t>
      </w:r>
      <w:r w:rsidRPr="00453378">
        <w:rPr>
          <w:rFonts w:ascii="Arial" w:hAnsi="Arial" w:cs="Arial"/>
          <w:sz w:val="22"/>
          <w:szCs w:val="22"/>
        </w:rPr>
        <w:t xml:space="preserve">, 372, n71. </w:t>
      </w:r>
      <w:hyperlink r:id="rId70" w:tgtFrame="_new" w:history="1">
        <w:r w:rsidRPr="00453378">
          <w:rPr>
            <w:rStyle w:val="Hyperlink"/>
            <w:rFonts w:ascii="Arial" w:hAnsi="Arial" w:cs="Arial"/>
            <w:sz w:val="22"/>
            <w:szCs w:val="22"/>
          </w:rPr>
          <w:t>https://www.bmj.com/content/372/bmj.n71</w:t>
        </w:r>
      </w:hyperlink>
    </w:p>
    <w:p w14:paraId="6A3EBF1B" w14:textId="77777777" w:rsidR="009C5E2E" w:rsidRPr="00453378" w:rsidRDefault="009C3ADA" w:rsidP="009C5E2E">
      <w:pPr>
        <w:pStyle w:val="NormalWeb"/>
        <w:spacing w:line="360" w:lineRule="auto"/>
        <w:jc w:val="both"/>
        <w:rPr>
          <w:rStyle w:val="Hyperlink"/>
          <w:rFonts w:ascii="Arial" w:hAnsi="Arial" w:cs="Arial"/>
          <w:sz w:val="22"/>
          <w:szCs w:val="22"/>
        </w:rPr>
      </w:pPr>
      <w:r w:rsidRPr="00453378">
        <w:rPr>
          <w:rFonts w:ascii="Arial" w:hAnsi="Arial" w:cs="Arial"/>
          <w:sz w:val="22"/>
          <w:szCs w:val="22"/>
        </w:rPr>
        <w:t xml:space="preserve">Panagioti, M., Geraghty, K., Johnson, J., Zhou, A., Panagopoulou, E. </w:t>
      </w:r>
      <w:r w:rsidRPr="00453378">
        <w:rPr>
          <w:rStyle w:val="Emphasis"/>
          <w:rFonts w:ascii="Arial" w:hAnsi="Arial" w:cs="Arial"/>
          <w:sz w:val="22"/>
          <w:szCs w:val="22"/>
        </w:rPr>
        <w:t>et al.</w:t>
      </w:r>
      <w:r w:rsidRPr="00453378">
        <w:rPr>
          <w:rFonts w:ascii="Arial" w:hAnsi="Arial" w:cs="Arial"/>
          <w:sz w:val="22"/>
          <w:szCs w:val="22"/>
        </w:rPr>
        <w:t xml:space="preserve"> (2018) ‘</w:t>
      </w:r>
      <w:r w:rsidRPr="001D30A7">
        <w:rPr>
          <w:rFonts w:ascii="Arial" w:hAnsi="Arial" w:cs="Arial"/>
          <w:i/>
          <w:sz w:val="22"/>
          <w:szCs w:val="22"/>
        </w:rPr>
        <w:t>Association between physician burnout and patient safety’,</w:t>
      </w:r>
      <w:r w:rsidRPr="00453378">
        <w:rPr>
          <w:rFonts w:ascii="Arial" w:hAnsi="Arial" w:cs="Arial"/>
          <w:sz w:val="22"/>
          <w:szCs w:val="22"/>
        </w:rPr>
        <w:t xml:space="preserve"> </w:t>
      </w:r>
      <w:r w:rsidRPr="00453378">
        <w:rPr>
          <w:rStyle w:val="Emphasis"/>
          <w:rFonts w:ascii="Arial" w:hAnsi="Arial" w:cs="Arial"/>
          <w:sz w:val="22"/>
          <w:szCs w:val="22"/>
        </w:rPr>
        <w:t>JAMA Internal Medicine</w:t>
      </w:r>
      <w:r w:rsidRPr="00453378">
        <w:rPr>
          <w:rFonts w:ascii="Arial" w:hAnsi="Arial" w:cs="Arial"/>
          <w:sz w:val="22"/>
          <w:szCs w:val="22"/>
        </w:rPr>
        <w:t>, 178(10), pp. 1317–1331.</w:t>
      </w:r>
      <w:r w:rsidR="00D66A4E" w:rsidRPr="00453378">
        <w:rPr>
          <w:rFonts w:ascii="Arial" w:hAnsi="Arial" w:cs="Arial"/>
          <w:sz w:val="22"/>
          <w:szCs w:val="22"/>
        </w:rPr>
        <w:t xml:space="preserve"> </w:t>
      </w:r>
      <w:hyperlink r:id="rId71" w:tgtFrame="_new" w:history="1">
        <w:r w:rsidRPr="00453378">
          <w:rPr>
            <w:rStyle w:val="Hyperlink"/>
            <w:rFonts w:ascii="Arial" w:hAnsi="Arial" w:cs="Arial"/>
            <w:sz w:val="22"/>
            <w:szCs w:val="22"/>
          </w:rPr>
          <w:t>https://jamanetwork.com/journals/jamainternalmedicine/article-abstract/2686141</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04366593" w14:textId="77777777" w:rsidR="009C5E2E" w:rsidRPr="009C5E2E" w:rsidRDefault="009C5E2E" w:rsidP="009C5E2E">
      <w:pPr>
        <w:pStyle w:val="NormalWeb"/>
        <w:spacing w:line="360" w:lineRule="auto"/>
        <w:jc w:val="both"/>
        <w:rPr>
          <w:rFonts w:ascii="Arial" w:hAnsi="Arial" w:cs="Arial"/>
          <w:sz w:val="22"/>
          <w:szCs w:val="22"/>
        </w:rPr>
      </w:pPr>
      <w:r w:rsidRPr="009C5E2E">
        <w:rPr>
          <w:rFonts w:ascii="Arial" w:hAnsi="Arial" w:cs="Arial"/>
          <w:sz w:val="22"/>
          <w:szCs w:val="22"/>
        </w:rPr>
        <w:t>Petticrew, M., &amp; Roberts, H. (2006). Sy</w:t>
      </w:r>
      <w:r w:rsidRPr="001D30A7">
        <w:rPr>
          <w:rFonts w:ascii="Arial" w:hAnsi="Arial" w:cs="Arial"/>
          <w:i/>
          <w:sz w:val="22"/>
          <w:szCs w:val="22"/>
        </w:rPr>
        <w:t>stematic reviews in the social sciences: A practical guide. Oxford:</w:t>
      </w:r>
      <w:r w:rsidRPr="009C5E2E">
        <w:rPr>
          <w:rFonts w:ascii="Arial" w:hAnsi="Arial" w:cs="Arial"/>
          <w:sz w:val="22"/>
          <w:szCs w:val="22"/>
        </w:rPr>
        <w:t xml:space="preserve"> Blackwell Publishing.</w:t>
      </w:r>
    </w:p>
    <w:p w14:paraId="35E3680F" w14:textId="77777777" w:rsidR="000A46D6"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Pappa, S., Ntella, V., Giannakas, T., Giannakoulis, V.G., Papoutsi, E. &amp; Katsaounou, P. (2020) ‘</w:t>
      </w:r>
      <w:r w:rsidRPr="001D30A7">
        <w:rPr>
          <w:rFonts w:ascii="Arial" w:hAnsi="Arial" w:cs="Arial"/>
          <w:i/>
          <w:sz w:val="22"/>
          <w:szCs w:val="22"/>
        </w:rPr>
        <w:t>Prevalence of depression, anxiety, and insomnia among HCWs during the COVID-19 pandemic: A systematic review and meta-analysis’</w:t>
      </w:r>
      <w:r w:rsidRPr="00453378">
        <w:rPr>
          <w:rFonts w:ascii="Arial" w:hAnsi="Arial" w:cs="Arial"/>
          <w:sz w:val="22"/>
          <w:szCs w:val="22"/>
        </w:rPr>
        <w:t xml:space="preserve">, </w:t>
      </w:r>
      <w:r w:rsidRPr="00453378">
        <w:rPr>
          <w:rStyle w:val="Emphasis"/>
          <w:rFonts w:ascii="Arial" w:hAnsi="Arial" w:cs="Arial"/>
          <w:sz w:val="22"/>
          <w:szCs w:val="22"/>
        </w:rPr>
        <w:t>Brain, Behavior, and Immunity</w:t>
      </w:r>
      <w:r w:rsidRPr="00453378">
        <w:rPr>
          <w:rFonts w:ascii="Arial" w:hAnsi="Arial" w:cs="Arial"/>
          <w:sz w:val="22"/>
          <w:szCs w:val="22"/>
        </w:rPr>
        <w:t>, 88, pp. 901–907.</w:t>
      </w:r>
      <w:r w:rsidR="000A46D6" w:rsidRPr="00453378">
        <w:rPr>
          <w:rFonts w:ascii="Arial" w:hAnsi="Arial" w:cs="Arial"/>
          <w:sz w:val="22"/>
          <w:szCs w:val="22"/>
        </w:rPr>
        <w:t xml:space="preserve"> </w:t>
      </w:r>
      <w:hyperlink r:id="rId72" w:history="1">
        <w:r w:rsidR="000A46D6" w:rsidRPr="00453378">
          <w:rPr>
            <w:rStyle w:val="Hyperlink"/>
            <w:rFonts w:ascii="Arial" w:hAnsi="Arial" w:cs="Arial"/>
            <w:sz w:val="22"/>
            <w:szCs w:val="22"/>
          </w:rPr>
          <w:t>https://doi.org/10.1016/j.bbi.2020.05.026</w:t>
        </w:r>
      </w:hyperlink>
      <w:r w:rsidR="000A46D6" w:rsidRPr="00453378">
        <w:rPr>
          <w:rFonts w:ascii="Arial" w:hAnsi="Arial" w:cs="Arial"/>
          <w:sz w:val="22"/>
          <w:szCs w:val="22"/>
        </w:rPr>
        <w:t xml:space="preserve"> </w:t>
      </w:r>
    </w:p>
    <w:p w14:paraId="701BCF0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Petticrew, M. &amp; Roberts, H. (2006) </w:t>
      </w:r>
      <w:r w:rsidRPr="00453378">
        <w:rPr>
          <w:rStyle w:val="Emphasis"/>
          <w:rFonts w:ascii="Arial" w:hAnsi="Arial" w:cs="Arial"/>
          <w:sz w:val="22"/>
          <w:szCs w:val="22"/>
        </w:rPr>
        <w:t>Systematic Reviews in the Social Sciences: A Practical Guide</w:t>
      </w:r>
      <w:r w:rsidRPr="00453378">
        <w:rPr>
          <w:rFonts w:ascii="Arial" w:hAnsi="Arial" w:cs="Arial"/>
          <w:sz w:val="22"/>
          <w:szCs w:val="22"/>
        </w:rPr>
        <w:t>. Oxford: Blackwell.</w:t>
      </w:r>
      <w:r w:rsidR="000A46D6" w:rsidRPr="00453378">
        <w:rPr>
          <w:rFonts w:ascii="Arial" w:hAnsi="Arial" w:cs="Arial"/>
          <w:sz w:val="22"/>
          <w:szCs w:val="22"/>
        </w:rPr>
        <w:t xml:space="preserve"> </w:t>
      </w:r>
      <w:hyperlink r:id="rId73" w:tgtFrame="_new" w:history="1">
        <w:r w:rsidRPr="00453378">
          <w:rPr>
            <w:rStyle w:val="Hyperlink"/>
            <w:rFonts w:ascii="Arial" w:hAnsi="Arial" w:cs="Arial"/>
            <w:sz w:val="22"/>
            <w:szCs w:val="22"/>
          </w:rPr>
          <w:t>https://doi.org/10.1002/9780470754887</w:t>
        </w:r>
      </w:hyperlink>
    </w:p>
    <w:p w14:paraId="75E1451B"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PHE (2020) </w:t>
      </w:r>
      <w:r w:rsidRPr="00453378">
        <w:rPr>
          <w:rStyle w:val="Emphasis"/>
          <w:rFonts w:ascii="Arial" w:hAnsi="Arial" w:cs="Arial"/>
          <w:sz w:val="22"/>
          <w:szCs w:val="22"/>
        </w:rPr>
        <w:t>Beyond the data: Understanding the impact of COVID-19 on BAME groups</w:t>
      </w:r>
      <w:r w:rsidRPr="00453378">
        <w:rPr>
          <w:rFonts w:ascii="Arial" w:hAnsi="Arial" w:cs="Arial"/>
          <w:sz w:val="22"/>
          <w:szCs w:val="22"/>
        </w:rPr>
        <w:t>.</w:t>
      </w:r>
      <w:r w:rsidRPr="00453378">
        <w:rPr>
          <w:rFonts w:ascii="Arial" w:hAnsi="Arial" w:cs="Arial"/>
          <w:sz w:val="22"/>
          <w:szCs w:val="22"/>
        </w:rPr>
        <w:br/>
      </w:r>
      <w:hyperlink r:id="rId74" w:tgtFrame="_new" w:history="1">
        <w:r w:rsidRPr="00453378">
          <w:rPr>
            <w:rStyle w:val="Hyperlink"/>
            <w:rFonts w:ascii="Arial" w:hAnsi="Arial" w:cs="Arial"/>
            <w:sz w:val="22"/>
            <w:szCs w:val="22"/>
          </w:rPr>
          <w:t>https://assets.publishing.service.gov.uk/government/uploads/system/uploads/attachment_data/file/892376/COVID_stakeholder_engagement_synthesis_beyond_the_data.pdf</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5E2524CD" w14:textId="77777777" w:rsidR="00C20E0B"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Rajan, S., Comas-Herrera, A., McKee, M. &amp; Mossialos, E. (2020) ‘C</w:t>
      </w:r>
      <w:r w:rsidRPr="000B42B6">
        <w:rPr>
          <w:rFonts w:ascii="Arial" w:hAnsi="Arial" w:cs="Arial"/>
          <w:i/>
          <w:sz w:val="22"/>
          <w:szCs w:val="22"/>
        </w:rPr>
        <w:t>OVID-19: policy responses for long-term care in Europe</w:t>
      </w:r>
      <w:r w:rsidRPr="00453378">
        <w:rPr>
          <w:rFonts w:ascii="Arial" w:hAnsi="Arial" w:cs="Arial"/>
          <w:sz w:val="22"/>
          <w:szCs w:val="22"/>
        </w:rPr>
        <w:t xml:space="preserve">’, </w:t>
      </w:r>
      <w:r w:rsidRPr="00453378">
        <w:rPr>
          <w:rStyle w:val="Emphasis"/>
          <w:rFonts w:ascii="Arial" w:hAnsi="Arial" w:cs="Arial"/>
          <w:sz w:val="22"/>
          <w:szCs w:val="22"/>
        </w:rPr>
        <w:t>Eurohealth</w:t>
      </w:r>
      <w:r w:rsidRPr="00453378">
        <w:rPr>
          <w:rFonts w:ascii="Arial" w:hAnsi="Arial" w:cs="Arial"/>
          <w:sz w:val="22"/>
          <w:szCs w:val="22"/>
        </w:rPr>
        <w:t>, 26(2), pp. 3–6.</w:t>
      </w:r>
      <w:r w:rsidRPr="00453378">
        <w:rPr>
          <w:rFonts w:ascii="Arial" w:hAnsi="Arial" w:cs="Arial"/>
          <w:sz w:val="22"/>
          <w:szCs w:val="22"/>
        </w:rPr>
        <w:br/>
      </w:r>
      <w:hyperlink r:id="rId75" w:history="1">
        <w:r w:rsidR="00C20E0B" w:rsidRPr="00453378">
          <w:rPr>
            <w:rStyle w:val="Hyperlink"/>
            <w:rFonts w:ascii="Arial" w:hAnsi="Arial" w:cs="Arial"/>
            <w:sz w:val="22"/>
            <w:szCs w:val="22"/>
          </w:rPr>
          <w:t>https://apps.who.int/iris/bitstream/handle/10665/336303/Eurohealth-26-2-77-82-eng.pdf</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5201C06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RCGP (2020) </w:t>
      </w:r>
      <w:r w:rsidRPr="00453378">
        <w:rPr>
          <w:rStyle w:val="Emphasis"/>
          <w:rFonts w:ascii="Arial" w:hAnsi="Arial" w:cs="Arial"/>
          <w:sz w:val="22"/>
          <w:szCs w:val="22"/>
        </w:rPr>
        <w:t>General practice in the post-COVID world: Challenges and opportunities</w:t>
      </w:r>
      <w:r w:rsidRPr="00453378">
        <w:rPr>
          <w:rFonts w:ascii="Arial" w:hAnsi="Arial" w:cs="Arial"/>
          <w:sz w:val="22"/>
          <w:szCs w:val="22"/>
        </w:rPr>
        <w:t>. Royal College of General Practitioners.</w:t>
      </w:r>
      <w:r w:rsidRPr="00453378">
        <w:rPr>
          <w:rFonts w:ascii="Arial" w:hAnsi="Arial" w:cs="Arial"/>
          <w:sz w:val="22"/>
          <w:szCs w:val="22"/>
        </w:rPr>
        <w:br/>
      </w:r>
      <w:hyperlink r:id="rId76" w:tgtFrame="_new" w:history="1">
        <w:r w:rsidRPr="00453378">
          <w:rPr>
            <w:rStyle w:val="Hyperlink"/>
            <w:rFonts w:ascii="Arial" w:hAnsi="Arial" w:cs="Arial"/>
            <w:sz w:val="22"/>
            <w:szCs w:val="22"/>
          </w:rPr>
          <w:t>https://www.rcgp.org.uk/~/media/Files/Policy/A-Z-policy/2020/RCGP-General-Practice-post-Covid.ashx</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283E6FBB"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RCN (2020) </w:t>
      </w:r>
      <w:r w:rsidRPr="00453378">
        <w:rPr>
          <w:rStyle w:val="Emphasis"/>
          <w:rFonts w:ascii="Arial" w:hAnsi="Arial" w:cs="Arial"/>
          <w:sz w:val="22"/>
          <w:szCs w:val="22"/>
        </w:rPr>
        <w:t>Staffing for safe and effective care during COVID-19</w:t>
      </w:r>
      <w:r w:rsidRPr="00453378">
        <w:rPr>
          <w:rFonts w:ascii="Arial" w:hAnsi="Arial" w:cs="Arial"/>
          <w:sz w:val="22"/>
          <w:szCs w:val="22"/>
        </w:rPr>
        <w:t>.</w:t>
      </w:r>
      <w:r w:rsidR="00335E53" w:rsidRPr="00453378">
        <w:rPr>
          <w:rFonts w:ascii="Arial" w:hAnsi="Arial" w:cs="Arial"/>
          <w:sz w:val="22"/>
          <w:szCs w:val="22"/>
        </w:rPr>
        <w:t xml:space="preserve"> </w:t>
      </w:r>
      <w:hyperlink r:id="rId77" w:tgtFrame="_new" w:history="1">
        <w:r w:rsidRPr="00453378">
          <w:rPr>
            <w:rStyle w:val="Hyperlink"/>
            <w:rFonts w:ascii="Arial" w:hAnsi="Arial" w:cs="Arial"/>
            <w:sz w:val="22"/>
            <w:szCs w:val="22"/>
          </w:rPr>
          <w:t>https://www.rcn.org.uk</w:t>
        </w:r>
      </w:hyperlink>
    </w:p>
    <w:p w14:paraId="7E5123A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RCP (2020) </w:t>
      </w:r>
      <w:r w:rsidRPr="00453378">
        <w:rPr>
          <w:rStyle w:val="Emphasis"/>
          <w:rFonts w:ascii="Arial" w:hAnsi="Arial" w:cs="Arial"/>
          <w:sz w:val="22"/>
          <w:szCs w:val="22"/>
        </w:rPr>
        <w:t>Workforce wellbeing during COVID-19</w:t>
      </w:r>
      <w:r w:rsidRPr="00453378">
        <w:rPr>
          <w:rFonts w:ascii="Arial" w:hAnsi="Arial" w:cs="Arial"/>
          <w:sz w:val="22"/>
          <w:szCs w:val="22"/>
        </w:rPr>
        <w:t>. Royal College of Physicians.</w:t>
      </w:r>
      <w:r w:rsidR="00335E53" w:rsidRPr="00453378">
        <w:rPr>
          <w:rFonts w:ascii="Arial" w:hAnsi="Arial" w:cs="Arial"/>
          <w:sz w:val="22"/>
          <w:szCs w:val="22"/>
        </w:rPr>
        <w:t xml:space="preserve"> </w:t>
      </w:r>
      <w:hyperlink r:id="rId78" w:tgtFrame="_new" w:history="1">
        <w:r w:rsidRPr="00453378">
          <w:rPr>
            <w:rStyle w:val="Hyperlink"/>
            <w:rFonts w:ascii="Arial" w:hAnsi="Arial" w:cs="Arial"/>
            <w:sz w:val="22"/>
            <w:szCs w:val="22"/>
          </w:rPr>
          <w:t>https://www.rcplondon.ac.uk</w:t>
        </w:r>
      </w:hyperlink>
    </w:p>
    <w:p w14:paraId="09D101BB"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Robertson, I.T., Cooper, C.L., Sarkar, M. &amp; Curran, T. (2015) ‘R</w:t>
      </w:r>
      <w:r w:rsidRPr="000B42B6">
        <w:rPr>
          <w:rFonts w:ascii="Arial" w:hAnsi="Arial" w:cs="Arial"/>
          <w:i/>
          <w:sz w:val="22"/>
          <w:szCs w:val="22"/>
        </w:rPr>
        <w:t>esilience training in the workplace</w:t>
      </w:r>
      <w:r w:rsidRPr="00453378">
        <w:rPr>
          <w:rFonts w:ascii="Arial" w:hAnsi="Arial" w:cs="Arial"/>
          <w:sz w:val="22"/>
          <w:szCs w:val="22"/>
        </w:rPr>
        <w:t xml:space="preserve">’, </w:t>
      </w:r>
      <w:r w:rsidRPr="00453378">
        <w:rPr>
          <w:rStyle w:val="Emphasis"/>
          <w:rFonts w:ascii="Arial" w:hAnsi="Arial" w:cs="Arial"/>
          <w:sz w:val="22"/>
          <w:szCs w:val="22"/>
        </w:rPr>
        <w:t>Journal of Occupational and Organizational Psychology</w:t>
      </w:r>
      <w:r w:rsidRPr="00453378">
        <w:rPr>
          <w:rFonts w:ascii="Arial" w:hAnsi="Arial" w:cs="Arial"/>
          <w:sz w:val="22"/>
          <w:szCs w:val="22"/>
        </w:rPr>
        <w:t>, 88(3), pp. 533–562.</w:t>
      </w:r>
      <w:r w:rsidRPr="00453378">
        <w:rPr>
          <w:rFonts w:ascii="Arial" w:hAnsi="Arial" w:cs="Arial"/>
          <w:sz w:val="22"/>
          <w:szCs w:val="22"/>
        </w:rPr>
        <w:br/>
      </w:r>
      <w:hyperlink r:id="rId79" w:tgtFrame="_new" w:history="1">
        <w:r w:rsidRPr="00453378">
          <w:rPr>
            <w:rStyle w:val="Hyperlink"/>
            <w:rFonts w:ascii="Arial" w:hAnsi="Arial" w:cs="Arial"/>
            <w:sz w:val="22"/>
            <w:szCs w:val="22"/>
          </w:rPr>
          <w:t>https://onlinelibrary.wiley.com/doi/full/10.1111/joop.12120</w:t>
        </w:r>
      </w:hyperlink>
    </w:p>
    <w:p w14:paraId="323C0A6C"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Rossi, R., Socci, V., Pacitti, F., Di Lorenzo, G., Di Marco, A. </w:t>
      </w:r>
      <w:r w:rsidRPr="00453378">
        <w:rPr>
          <w:rStyle w:val="Emphasis"/>
          <w:rFonts w:ascii="Arial" w:hAnsi="Arial" w:cs="Arial"/>
          <w:sz w:val="22"/>
          <w:szCs w:val="22"/>
        </w:rPr>
        <w:t>et al.</w:t>
      </w:r>
      <w:r w:rsidRPr="00453378">
        <w:rPr>
          <w:rFonts w:ascii="Arial" w:hAnsi="Arial" w:cs="Arial"/>
          <w:sz w:val="22"/>
          <w:szCs w:val="22"/>
        </w:rPr>
        <w:t xml:space="preserve"> (2020) ‘</w:t>
      </w:r>
      <w:r w:rsidRPr="000B42B6">
        <w:rPr>
          <w:rFonts w:ascii="Arial" w:hAnsi="Arial" w:cs="Arial"/>
          <w:i/>
          <w:sz w:val="22"/>
          <w:szCs w:val="22"/>
        </w:rPr>
        <w:t>Mental health outcomes among HCWs in Italy during COVID-19’,</w:t>
      </w:r>
      <w:r w:rsidRPr="00453378">
        <w:rPr>
          <w:rFonts w:ascii="Arial" w:hAnsi="Arial" w:cs="Arial"/>
          <w:sz w:val="22"/>
          <w:szCs w:val="22"/>
        </w:rPr>
        <w:t xml:space="preserve"> </w:t>
      </w:r>
      <w:r w:rsidRPr="00453378">
        <w:rPr>
          <w:rStyle w:val="Emphasis"/>
          <w:rFonts w:ascii="Arial" w:hAnsi="Arial" w:cs="Arial"/>
          <w:sz w:val="22"/>
          <w:szCs w:val="22"/>
        </w:rPr>
        <w:t>Psychiatry Research</w:t>
      </w:r>
      <w:r w:rsidRPr="00453378">
        <w:rPr>
          <w:rFonts w:ascii="Arial" w:hAnsi="Arial" w:cs="Arial"/>
          <w:sz w:val="22"/>
          <w:szCs w:val="22"/>
        </w:rPr>
        <w:t>, 288, 112974.</w:t>
      </w:r>
      <w:r w:rsidRPr="00453378">
        <w:rPr>
          <w:rFonts w:ascii="Arial" w:hAnsi="Arial" w:cs="Arial"/>
          <w:sz w:val="22"/>
          <w:szCs w:val="22"/>
        </w:rPr>
        <w:br/>
      </w:r>
      <w:hyperlink r:id="rId80" w:tgtFrame="_new" w:history="1">
        <w:r w:rsidRPr="00453378">
          <w:rPr>
            <w:rStyle w:val="Hyperlink"/>
            <w:rFonts w:ascii="Arial" w:hAnsi="Arial" w:cs="Arial"/>
            <w:sz w:val="22"/>
            <w:szCs w:val="22"/>
          </w:rPr>
          <w:t>https://www.sciencedirect.com/science/article/pii/S0165178120312319</w:t>
        </w:r>
      </w:hyperlink>
    </w:p>
    <w:p w14:paraId="4468A08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Salazar de Pablo, G., Vaquerizo-Serrano, J., Catalan, A., Arango, C., Moreno, C. </w:t>
      </w:r>
      <w:r w:rsidRPr="00453378">
        <w:rPr>
          <w:rStyle w:val="Emphasis"/>
          <w:rFonts w:ascii="Arial" w:hAnsi="Arial" w:cs="Arial"/>
          <w:sz w:val="22"/>
          <w:szCs w:val="22"/>
        </w:rPr>
        <w:t>et al.</w:t>
      </w:r>
      <w:r w:rsidRPr="00453378">
        <w:rPr>
          <w:rFonts w:ascii="Arial" w:hAnsi="Arial" w:cs="Arial"/>
          <w:sz w:val="22"/>
          <w:szCs w:val="22"/>
        </w:rPr>
        <w:t xml:space="preserve"> (2020) ‘Impact of COVID-19 on mental health of HCWs: A systematic review’, </w:t>
      </w:r>
      <w:r w:rsidRPr="00453378">
        <w:rPr>
          <w:rStyle w:val="Emphasis"/>
          <w:rFonts w:ascii="Arial" w:hAnsi="Arial" w:cs="Arial"/>
          <w:sz w:val="22"/>
          <w:szCs w:val="22"/>
        </w:rPr>
        <w:t>European Psychiatry</w:t>
      </w:r>
      <w:r w:rsidRPr="00453378">
        <w:rPr>
          <w:rFonts w:ascii="Arial" w:hAnsi="Arial" w:cs="Arial"/>
          <w:sz w:val="22"/>
          <w:szCs w:val="22"/>
        </w:rPr>
        <w:t>, 63(1), e99.</w:t>
      </w:r>
      <w:r w:rsidR="00335E53" w:rsidRPr="00453378">
        <w:rPr>
          <w:rFonts w:ascii="Arial" w:hAnsi="Arial" w:cs="Arial"/>
          <w:sz w:val="22"/>
          <w:szCs w:val="22"/>
        </w:rPr>
        <w:t xml:space="preserve"> </w:t>
      </w:r>
      <w:hyperlink r:id="rId81" w:tgtFrame="_new" w:history="1">
        <w:r w:rsidRPr="00453378">
          <w:rPr>
            <w:rStyle w:val="Hyperlink"/>
            <w:rFonts w:ascii="Arial" w:hAnsi="Arial" w:cs="Arial"/>
            <w:sz w:val="22"/>
            <w:szCs w:val="22"/>
          </w:rPr>
          <w:t>https://www.cambridge.org/core/journals/european-psychiatry/article/impact-of-coronavirus-syndrome-2019-covid19-on-the-mental-health-of-health-care-workers/</w:t>
        </w:r>
      </w:hyperlink>
      <w:r w:rsidR="000B42B6">
        <w:rPr>
          <w:rStyle w:val="Hyperlink"/>
          <w:rFonts w:ascii="Arial" w:hAnsi="Arial" w:cs="Arial"/>
          <w:sz w:val="22"/>
          <w:szCs w:val="22"/>
        </w:rPr>
        <w:t xml:space="preserve"> </w:t>
      </w:r>
      <w:r w:rsidR="000B42B6">
        <w:rPr>
          <w:rFonts w:ascii="Arial" w:hAnsi="Arial" w:cs="Arial"/>
          <w:sz w:val="22"/>
          <w:szCs w:val="22"/>
        </w:rPr>
        <w:t>(Accessed: November 28, 2025).</w:t>
      </w:r>
    </w:p>
    <w:p w14:paraId="7CE27BCE"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Samarasekera, U., Horton, R. &amp; Bird, P. (2021) ‘</w:t>
      </w:r>
      <w:r w:rsidRPr="000B42B6">
        <w:rPr>
          <w:rFonts w:ascii="Arial" w:hAnsi="Arial" w:cs="Arial"/>
          <w:i/>
          <w:sz w:val="22"/>
          <w:szCs w:val="22"/>
        </w:rPr>
        <w:t>HCW wellbeing: an urgent policy priority’</w:t>
      </w:r>
      <w:r w:rsidRPr="00453378">
        <w:rPr>
          <w:rFonts w:ascii="Arial" w:hAnsi="Arial" w:cs="Arial"/>
          <w:sz w:val="22"/>
          <w:szCs w:val="22"/>
        </w:rPr>
        <w:t xml:space="preserve">, </w:t>
      </w:r>
      <w:r w:rsidRPr="00453378">
        <w:rPr>
          <w:rStyle w:val="Emphasis"/>
          <w:rFonts w:ascii="Arial" w:hAnsi="Arial" w:cs="Arial"/>
          <w:sz w:val="22"/>
          <w:szCs w:val="22"/>
        </w:rPr>
        <w:t>The Lancet</w:t>
      </w:r>
      <w:r w:rsidRPr="00453378">
        <w:rPr>
          <w:rFonts w:ascii="Arial" w:hAnsi="Arial" w:cs="Arial"/>
          <w:sz w:val="22"/>
          <w:szCs w:val="22"/>
        </w:rPr>
        <w:t>, 397(10269), pp. 333–334.</w:t>
      </w:r>
      <w:r w:rsidR="00DD2EA4" w:rsidRPr="00453378">
        <w:rPr>
          <w:rFonts w:ascii="Arial" w:hAnsi="Arial" w:cs="Arial"/>
          <w:sz w:val="22"/>
          <w:szCs w:val="22"/>
        </w:rPr>
        <w:t xml:space="preserve"> </w:t>
      </w:r>
    </w:p>
    <w:p w14:paraId="17B4933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Sanghera, J., Pattani, N., Hashmi, Y., Varley, K., Cheruvu, M.S. </w:t>
      </w:r>
      <w:r w:rsidRPr="00453378">
        <w:rPr>
          <w:rStyle w:val="Emphasis"/>
          <w:rFonts w:ascii="Arial" w:hAnsi="Arial" w:cs="Arial"/>
          <w:sz w:val="22"/>
          <w:szCs w:val="22"/>
        </w:rPr>
        <w:t>et al.</w:t>
      </w:r>
      <w:r w:rsidRPr="00453378">
        <w:rPr>
          <w:rFonts w:ascii="Arial" w:hAnsi="Arial" w:cs="Arial"/>
          <w:sz w:val="22"/>
          <w:szCs w:val="22"/>
        </w:rPr>
        <w:t xml:space="preserve"> (2020) ‘</w:t>
      </w:r>
      <w:r w:rsidRPr="000B42B6">
        <w:rPr>
          <w:rFonts w:ascii="Arial" w:hAnsi="Arial" w:cs="Arial"/>
          <w:i/>
          <w:sz w:val="22"/>
          <w:szCs w:val="22"/>
        </w:rPr>
        <w:t>The impact of SARS-CoV-2 on the mental health of HCWs in a hospital setting: A rapid review</w:t>
      </w:r>
      <w:r w:rsidRPr="00453378">
        <w:rPr>
          <w:rFonts w:ascii="Arial" w:hAnsi="Arial" w:cs="Arial"/>
          <w:sz w:val="22"/>
          <w:szCs w:val="22"/>
        </w:rPr>
        <w:t xml:space="preserve">’, </w:t>
      </w:r>
      <w:r w:rsidRPr="00453378">
        <w:rPr>
          <w:rStyle w:val="Emphasis"/>
          <w:rFonts w:ascii="Arial" w:hAnsi="Arial" w:cs="Arial"/>
          <w:sz w:val="22"/>
          <w:szCs w:val="22"/>
        </w:rPr>
        <w:t>International Journal of Occupational Medicine and Environmental Health</w:t>
      </w:r>
      <w:r w:rsidRPr="00453378">
        <w:rPr>
          <w:rFonts w:ascii="Arial" w:hAnsi="Arial" w:cs="Arial"/>
          <w:sz w:val="22"/>
          <w:szCs w:val="22"/>
        </w:rPr>
        <w:t>, 33(7), pp. 1–15.</w:t>
      </w:r>
      <w:r w:rsidR="00A541E3" w:rsidRPr="00453378">
        <w:rPr>
          <w:rFonts w:ascii="Arial" w:hAnsi="Arial" w:cs="Arial"/>
          <w:sz w:val="22"/>
          <w:szCs w:val="22"/>
        </w:rPr>
        <w:t xml:space="preserve"> </w:t>
      </w:r>
      <w:hyperlink r:id="rId82" w:history="1">
        <w:r w:rsidR="00A541E3" w:rsidRPr="00453378">
          <w:rPr>
            <w:rStyle w:val="Hyperlink"/>
            <w:rFonts w:ascii="Arial" w:hAnsi="Arial" w:cs="Arial"/>
            <w:sz w:val="22"/>
            <w:szCs w:val="22"/>
          </w:rPr>
          <w:t>https://doi.org/10.1002/1348-9585.12175</w:t>
        </w:r>
      </w:hyperlink>
      <w:r w:rsidR="00A541E3" w:rsidRPr="00453378">
        <w:rPr>
          <w:rFonts w:ascii="Arial" w:hAnsi="Arial" w:cs="Arial"/>
          <w:sz w:val="22"/>
          <w:szCs w:val="22"/>
        </w:rPr>
        <w:t xml:space="preserve"> </w:t>
      </w:r>
    </w:p>
    <w:p w14:paraId="05803E6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Sandelowski, M. &amp; Barroso, J. (2007) </w:t>
      </w:r>
      <w:r w:rsidRPr="00453378">
        <w:rPr>
          <w:rStyle w:val="Emphasis"/>
          <w:rFonts w:ascii="Arial" w:hAnsi="Arial" w:cs="Arial"/>
          <w:sz w:val="22"/>
          <w:szCs w:val="22"/>
        </w:rPr>
        <w:t>Handbook for Synthesizing Qualitative Research</w:t>
      </w:r>
      <w:r w:rsidRPr="00453378">
        <w:rPr>
          <w:rFonts w:ascii="Arial" w:hAnsi="Arial" w:cs="Arial"/>
          <w:sz w:val="22"/>
          <w:szCs w:val="22"/>
        </w:rPr>
        <w:t>. New York: Springer.</w:t>
      </w:r>
      <w:r w:rsidR="007D5587" w:rsidRPr="00453378">
        <w:rPr>
          <w:rFonts w:ascii="Arial" w:hAnsi="Arial" w:cs="Arial"/>
          <w:sz w:val="22"/>
          <w:szCs w:val="22"/>
        </w:rPr>
        <w:t xml:space="preserve"> </w:t>
      </w:r>
      <w:hyperlink r:id="rId83" w:tgtFrame="_new" w:history="1">
        <w:r w:rsidRPr="00453378">
          <w:rPr>
            <w:rStyle w:val="Hyperlink"/>
            <w:rFonts w:ascii="Arial" w:hAnsi="Arial" w:cs="Arial"/>
            <w:sz w:val="22"/>
            <w:szCs w:val="22"/>
          </w:rPr>
          <w:t>https://doi.org/10.1007/978-1-4614-6814-1</w:t>
        </w:r>
      </w:hyperlink>
    </w:p>
    <w:p w14:paraId="23E5FF2F" w14:textId="77777777" w:rsidR="007D5587"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Schardt, C., Adams, M.B., Owens, T., Keitz, S. &amp; Fontelo, P. (2007</w:t>
      </w:r>
      <w:r w:rsidRPr="000B42B6">
        <w:rPr>
          <w:rFonts w:ascii="Arial" w:hAnsi="Arial" w:cs="Arial"/>
          <w:i/>
          <w:sz w:val="22"/>
          <w:szCs w:val="22"/>
        </w:rPr>
        <w:t>) ‘Utilization of the PICO framework to improve searching PubMed for clinical questions’</w:t>
      </w:r>
      <w:r w:rsidRPr="00453378">
        <w:rPr>
          <w:rFonts w:ascii="Arial" w:hAnsi="Arial" w:cs="Arial"/>
          <w:sz w:val="22"/>
          <w:szCs w:val="22"/>
        </w:rPr>
        <w:t xml:space="preserve">, </w:t>
      </w:r>
      <w:r w:rsidRPr="00453378">
        <w:rPr>
          <w:rStyle w:val="Emphasis"/>
          <w:rFonts w:ascii="Arial" w:hAnsi="Arial" w:cs="Arial"/>
          <w:sz w:val="22"/>
          <w:szCs w:val="22"/>
        </w:rPr>
        <w:t>BMC Medical Informatics and Decision Making</w:t>
      </w:r>
      <w:r w:rsidRPr="00453378">
        <w:rPr>
          <w:rFonts w:ascii="Arial" w:hAnsi="Arial" w:cs="Arial"/>
          <w:sz w:val="22"/>
          <w:szCs w:val="22"/>
        </w:rPr>
        <w:t>, 7, 16.</w:t>
      </w:r>
      <w:r w:rsidR="007D5587" w:rsidRPr="00453378">
        <w:rPr>
          <w:rFonts w:ascii="Arial" w:hAnsi="Arial" w:cs="Arial"/>
          <w:sz w:val="22"/>
          <w:szCs w:val="22"/>
        </w:rPr>
        <w:t xml:space="preserve"> </w:t>
      </w:r>
      <w:hyperlink r:id="rId84" w:history="1">
        <w:r w:rsidR="007D5587" w:rsidRPr="00453378">
          <w:rPr>
            <w:rStyle w:val="Hyperlink"/>
            <w:rFonts w:ascii="Arial" w:hAnsi="Arial" w:cs="Arial"/>
            <w:sz w:val="22"/>
            <w:szCs w:val="22"/>
          </w:rPr>
          <w:t>https://doi.org/10.1186/1472-6947-7-16</w:t>
        </w:r>
      </w:hyperlink>
    </w:p>
    <w:p w14:paraId="497B6FC9" w14:textId="77777777" w:rsidR="0010776E"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Serrano-Ripoll, M.J., Meneses-Echavez, J.F., Ricci-Cabello, I., Fraile-Navarro, D., Fiol-deRoque, M.A. </w:t>
      </w:r>
      <w:r w:rsidRPr="00453378">
        <w:rPr>
          <w:rStyle w:val="Emphasis"/>
          <w:rFonts w:ascii="Arial" w:hAnsi="Arial" w:cs="Arial"/>
          <w:sz w:val="22"/>
          <w:szCs w:val="22"/>
        </w:rPr>
        <w:t>et al.</w:t>
      </w:r>
      <w:r w:rsidRPr="00453378">
        <w:rPr>
          <w:rFonts w:ascii="Arial" w:hAnsi="Arial" w:cs="Arial"/>
          <w:sz w:val="22"/>
          <w:szCs w:val="22"/>
        </w:rPr>
        <w:t xml:space="preserve"> (2020) ‘</w:t>
      </w:r>
      <w:r w:rsidRPr="000B42B6">
        <w:rPr>
          <w:rFonts w:ascii="Arial" w:hAnsi="Arial" w:cs="Arial"/>
          <w:i/>
          <w:sz w:val="22"/>
          <w:szCs w:val="22"/>
        </w:rPr>
        <w:t>Impact of viral epidemic outbreaks on mental health of HCWs: rapid review and meta-analysis’,</w:t>
      </w:r>
      <w:r w:rsidRPr="00453378">
        <w:rPr>
          <w:rFonts w:ascii="Arial" w:hAnsi="Arial" w:cs="Arial"/>
          <w:sz w:val="22"/>
          <w:szCs w:val="22"/>
        </w:rPr>
        <w:t xml:space="preserve"> </w:t>
      </w:r>
      <w:r w:rsidRPr="00453378">
        <w:rPr>
          <w:rStyle w:val="Emphasis"/>
          <w:rFonts w:ascii="Arial" w:hAnsi="Arial" w:cs="Arial"/>
          <w:sz w:val="22"/>
          <w:szCs w:val="22"/>
        </w:rPr>
        <w:t>Journal of Affective Disorders</w:t>
      </w:r>
      <w:r w:rsidRPr="00453378">
        <w:rPr>
          <w:rFonts w:ascii="Arial" w:hAnsi="Arial" w:cs="Arial"/>
          <w:sz w:val="22"/>
          <w:szCs w:val="22"/>
        </w:rPr>
        <w:t>, 277, pp. 347–357.</w:t>
      </w:r>
      <w:r w:rsidR="00312798" w:rsidRPr="00453378">
        <w:rPr>
          <w:rFonts w:ascii="Arial" w:hAnsi="Arial" w:cs="Arial"/>
          <w:sz w:val="22"/>
          <w:szCs w:val="22"/>
        </w:rPr>
        <w:t xml:space="preserve"> </w:t>
      </w:r>
      <w:hyperlink r:id="rId85" w:history="1">
        <w:r w:rsidR="0010776E" w:rsidRPr="00453378">
          <w:rPr>
            <w:rStyle w:val="Hyperlink"/>
            <w:rFonts w:ascii="Arial" w:hAnsi="Arial" w:cs="Arial"/>
            <w:sz w:val="22"/>
            <w:szCs w:val="22"/>
          </w:rPr>
          <w:t>https://doi.org/10.1016/j.jad.2020.08.034</w:t>
        </w:r>
      </w:hyperlink>
      <w:r w:rsidR="0010776E" w:rsidRPr="00453378">
        <w:rPr>
          <w:rFonts w:ascii="Arial" w:hAnsi="Arial" w:cs="Arial"/>
          <w:sz w:val="22"/>
          <w:szCs w:val="22"/>
        </w:rPr>
        <w:t xml:space="preserve"> </w:t>
      </w:r>
    </w:p>
    <w:p w14:paraId="1F7C5753"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Shanafelt, T., Ripp, J. &amp; Trockel, M. (2020) ‘</w:t>
      </w:r>
      <w:r w:rsidRPr="000B42B6">
        <w:rPr>
          <w:rFonts w:ascii="Arial" w:hAnsi="Arial" w:cs="Arial"/>
          <w:i/>
          <w:sz w:val="22"/>
          <w:szCs w:val="22"/>
        </w:rPr>
        <w:t>Understanding and addressing sources of anxiety among HCWs during COVID-19’</w:t>
      </w:r>
      <w:r w:rsidRPr="00453378">
        <w:rPr>
          <w:rFonts w:ascii="Arial" w:hAnsi="Arial" w:cs="Arial"/>
          <w:sz w:val="22"/>
          <w:szCs w:val="22"/>
        </w:rPr>
        <w:t xml:space="preserve">, </w:t>
      </w:r>
      <w:r w:rsidRPr="00453378">
        <w:rPr>
          <w:rStyle w:val="Emphasis"/>
          <w:rFonts w:ascii="Arial" w:hAnsi="Arial" w:cs="Arial"/>
          <w:sz w:val="22"/>
          <w:szCs w:val="22"/>
        </w:rPr>
        <w:t>JAMA</w:t>
      </w:r>
      <w:r w:rsidRPr="00453378">
        <w:rPr>
          <w:rFonts w:ascii="Arial" w:hAnsi="Arial" w:cs="Arial"/>
          <w:sz w:val="22"/>
          <w:szCs w:val="22"/>
        </w:rPr>
        <w:t>, 323(21), pp. 2133–2134.</w:t>
      </w:r>
      <w:r w:rsidR="00BF2C58" w:rsidRPr="00453378">
        <w:rPr>
          <w:rFonts w:ascii="Arial" w:hAnsi="Arial" w:cs="Arial"/>
          <w:sz w:val="22"/>
          <w:szCs w:val="22"/>
        </w:rPr>
        <w:t xml:space="preserve"> </w:t>
      </w:r>
      <w:hyperlink r:id="rId86" w:history="1">
        <w:r w:rsidR="00BF2C58" w:rsidRPr="00453378">
          <w:rPr>
            <w:rStyle w:val="Hyperlink"/>
            <w:rFonts w:ascii="Arial" w:hAnsi="Arial" w:cs="Arial"/>
            <w:sz w:val="22"/>
            <w:szCs w:val="22"/>
          </w:rPr>
          <w:t>https://doi.org/10.1001/jama.2020.5893</w:t>
        </w:r>
      </w:hyperlink>
      <w:r w:rsidR="00BF2C58" w:rsidRPr="00453378">
        <w:rPr>
          <w:rFonts w:ascii="Arial" w:hAnsi="Arial" w:cs="Arial"/>
          <w:sz w:val="22"/>
          <w:szCs w:val="22"/>
        </w:rPr>
        <w:t xml:space="preserve"> </w:t>
      </w:r>
    </w:p>
    <w:p w14:paraId="002ED4D0"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Shultz, J.M., Baingana, F. &amp; Neria, Y. (2016) ‘</w:t>
      </w:r>
      <w:r w:rsidRPr="000B42B6">
        <w:rPr>
          <w:rFonts w:ascii="Arial" w:hAnsi="Arial" w:cs="Arial"/>
          <w:i/>
          <w:sz w:val="22"/>
          <w:szCs w:val="22"/>
        </w:rPr>
        <w:t>The 2014 Ebola outbreak and mental health: current status and recommended response’</w:t>
      </w:r>
      <w:r w:rsidRPr="00453378">
        <w:rPr>
          <w:rFonts w:ascii="Arial" w:hAnsi="Arial" w:cs="Arial"/>
          <w:sz w:val="22"/>
          <w:szCs w:val="22"/>
        </w:rPr>
        <w:t xml:space="preserve">, </w:t>
      </w:r>
      <w:r w:rsidRPr="00453378">
        <w:rPr>
          <w:rStyle w:val="Emphasis"/>
          <w:rFonts w:ascii="Arial" w:hAnsi="Arial" w:cs="Arial"/>
          <w:sz w:val="22"/>
          <w:szCs w:val="22"/>
        </w:rPr>
        <w:t>JAMA</w:t>
      </w:r>
      <w:r w:rsidRPr="00453378">
        <w:rPr>
          <w:rFonts w:ascii="Arial" w:hAnsi="Arial" w:cs="Arial"/>
          <w:sz w:val="22"/>
          <w:szCs w:val="22"/>
        </w:rPr>
        <w:t>, 313(6), pp. 567–568.</w:t>
      </w:r>
      <w:r w:rsidR="00EE2F56" w:rsidRPr="00453378">
        <w:rPr>
          <w:rFonts w:ascii="Arial" w:hAnsi="Arial" w:cs="Arial"/>
          <w:sz w:val="22"/>
          <w:szCs w:val="22"/>
        </w:rPr>
        <w:t xml:space="preserve"> </w:t>
      </w:r>
      <w:hyperlink r:id="rId87" w:history="1">
        <w:r w:rsidR="00EE2F56" w:rsidRPr="00453378">
          <w:rPr>
            <w:rStyle w:val="Hyperlink"/>
            <w:rFonts w:ascii="Arial" w:hAnsi="Arial" w:cs="Arial"/>
            <w:sz w:val="22"/>
            <w:szCs w:val="22"/>
          </w:rPr>
          <w:t>https://doi.org/10.1001/jama.2014.17934</w:t>
        </w:r>
      </w:hyperlink>
      <w:r w:rsidR="00EE2F56" w:rsidRPr="00453378">
        <w:rPr>
          <w:rFonts w:ascii="Arial" w:hAnsi="Arial" w:cs="Arial"/>
          <w:sz w:val="22"/>
          <w:szCs w:val="22"/>
        </w:rPr>
        <w:t xml:space="preserve"> </w:t>
      </w:r>
    </w:p>
    <w:p w14:paraId="1FA6D1E2" w14:textId="77777777" w:rsidR="001A37BF"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Siegrist, J. (1996) ‘</w:t>
      </w:r>
      <w:r w:rsidRPr="000B42B6">
        <w:rPr>
          <w:rFonts w:ascii="Arial" w:hAnsi="Arial" w:cs="Arial"/>
          <w:i/>
          <w:sz w:val="22"/>
          <w:szCs w:val="22"/>
        </w:rPr>
        <w:t>Adverse health effects of high-effort/low-reward condition</w:t>
      </w:r>
      <w:r w:rsidRPr="00453378">
        <w:rPr>
          <w:rFonts w:ascii="Arial" w:hAnsi="Arial" w:cs="Arial"/>
          <w:sz w:val="22"/>
          <w:szCs w:val="22"/>
        </w:rPr>
        <w:t xml:space="preserve">s’, </w:t>
      </w:r>
      <w:r w:rsidRPr="00453378">
        <w:rPr>
          <w:rStyle w:val="Emphasis"/>
          <w:rFonts w:ascii="Arial" w:hAnsi="Arial" w:cs="Arial"/>
          <w:sz w:val="22"/>
          <w:szCs w:val="22"/>
        </w:rPr>
        <w:t>Journal of Occupational Health Psychology</w:t>
      </w:r>
      <w:r w:rsidRPr="00453378">
        <w:rPr>
          <w:rFonts w:ascii="Arial" w:hAnsi="Arial" w:cs="Arial"/>
          <w:sz w:val="22"/>
          <w:szCs w:val="22"/>
        </w:rPr>
        <w:t>, 1(1), pp. 27–41.</w:t>
      </w:r>
      <w:r w:rsidR="00793F92" w:rsidRPr="00453378">
        <w:rPr>
          <w:rFonts w:ascii="Arial" w:hAnsi="Arial" w:cs="Arial"/>
          <w:sz w:val="22"/>
          <w:szCs w:val="22"/>
        </w:rPr>
        <w:t xml:space="preserve"> </w:t>
      </w:r>
      <w:hyperlink r:id="rId88" w:history="1">
        <w:r w:rsidR="001A37BF" w:rsidRPr="00453378">
          <w:rPr>
            <w:rStyle w:val="Hyperlink"/>
            <w:rFonts w:ascii="Arial" w:hAnsi="Arial" w:cs="Arial"/>
            <w:sz w:val="22"/>
            <w:szCs w:val="22"/>
          </w:rPr>
          <w:t>https://doi.org/10.1037//1076-8998.1.1.27</w:t>
        </w:r>
      </w:hyperlink>
    </w:p>
    <w:p w14:paraId="5DCE85EC"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Snyder, H. (2019) ‘</w:t>
      </w:r>
      <w:r w:rsidRPr="000B42B6">
        <w:rPr>
          <w:rFonts w:ascii="Arial" w:hAnsi="Arial" w:cs="Arial"/>
          <w:i/>
          <w:sz w:val="22"/>
          <w:szCs w:val="22"/>
        </w:rPr>
        <w:t>Literature review as a research methodology: An overview and guidelines’</w:t>
      </w:r>
      <w:r w:rsidRPr="00453378">
        <w:rPr>
          <w:rFonts w:ascii="Arial" w:hAnsi="Arial" w:cs="Arial"/>
          <w:sz w:val="22"/>
          <w:szCs w:val="22"/>
        </w:rPr>
        <w:t xml:space="preserve">, </w:t>
      </w:r>
      <w:r w:rsidRPr="00453378">
        <w:rPr>
          <w:rStyle w:val="Emphasis"/>
          <w:rFonts w:ascii="Arial" w:hAnsi="Arial" w:cs="Arial"/>
          <w:sz w:val="22"/>
          <w:szCs w:val="22"/>
        </w:rPr>
        <w:t>Journal of Business Research</w:t>
      </w:r>
      <w:r w:rsidRPr="00453378">
        <w:rPr>
          <w:rFonts w:ascii="Arial" w:hAnsi="Arial" w:cs="Arial"/>
          <w:sz w:val="22"/>
          <w:szCs w:val="22"/>
        </w:rPr>
        <w:t>, 104, pp. 333–339.</w:t>
      </w:r>
      <w:r w:rsidR="001A37BF" w:rsidRPr="00453378">
        <w:rPr>
          <w:rFonts w:ascii="Arial" w:hAnsi="Arial" w:cs="Arial"/>
          <w:sz w:val="22"/>
          <w:szCs w:val="22"/>
        </w:rPr>
        <w:t xml:space="preserve"> </w:t>
      </w:r>
      <w:hyperlink r:id="rId89" w:tgtFrame="_new" w:history="1">
        <w:r w:rsidRPr="00453378">
          <w:rPr>
            <w:rStyle w:val="Hyperlink"/>
            <w:rFonts w:ascii="Arial" w:hAnsi="Arial" w:cs="Arial"/>
            <w:sz w:val="22"/>
            <w:szCs w:val="22"/>
          </w:rPr>
          <w:t>https://doi.org/10.1016/j.jbusres.2019.07.039</w:t>
        </w:r>
      </w:hyperlink>
    </w:p>
    <w:p w14:paraId="56F4872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Spoorthy, M.S., Pratapa, S.K. &amp; Mahant, S. (2020) ‘</w:t>
      </w:r>
      <w:r w:rsidRPr="000B42B6">
        <w:rPr>
          <w:rFonts w:ascii="Arial" w:hAnsi="Arial" w:cs="Arial"/>
          <w:i/>
          <w:sz w:val="22"/>
          <w:szCs w:val="22"/>
        </w:rPr>
        <w:t>Mental health problems faced by HCWs due to COVID-19: A review’</w:t>
      </w:r>
      <w:r w:rsidRPr="00453378">
        <w:rPr>
          <w:rFonts w:ascii="Arial" w:hAnsi="Arial" w:cs="Arial"/>
          <w:sz w:val="22"/>
          <w:szCs w:val="22"/>
        </w:rPr>
        <w:t xml:space="preserve">, </w:t>
      </w:r>
      <w:r w:rsidRPr="00453378">
        <w:rPr>
          <w:rStyle w:val="Emphasis"/>
          <w:rFonts w:ascii="Arial" w:hAnsi="Arial" w:cs="Arial"/>
          <w:sz w:val="22"/>
          <w:szCs w:val="22"/>
        </w:rPr>
        <w:t>Asian Journal of Psychiatry</w:t>
      </w:r>
      <w:r w:rsidRPr="00453378">
        <w:rPr>
          <w:rFonts w:ascii="Arial" w:hAnsi="Arial" w:cs="Arial"/>
          <w:sz w:val="22"/>
          <w:szCs w:val="22"/>
        </w:rPr>
        <w:t>, 51, 102119.</w:t>
      </w:r>
      <w:r w:rsidR="001A37BF" w:rsidRPr="00453378">
        <w:rPr>
          <w:rFonts w:ascii="Arial" w:hAnsi="Arial" w:cs="Arial"/>
          <w:sz w:val="22"/>
          <w:szCs w:val="22"/>
        </w:rPr>
        <w:t xml:space="preserve"> </w:t>
      </w:r>
      <w:hyperlink r:id="rId90" w:history="1">
        <w:r w:rsidR="001A37BF" w:rsidRPr="00453378">
          <w:rPr>
            <w:rStyle w:val="Hyperlink"/>
            <w:rFonts w:ascii="Arial" w:hAnsi="Arial" w:cs="Arial"/>
            <w:sz w:val="22"/>
            <w:szCs w:val="22"/>
          </w:rPr>
          <w:t>https://doi.org/10.1016/j.ajp.2020.102119</w:t>
        </w:r>
      </w:hyperlink>
      <w:r w:rsidR="001A37BF" w:rsidRPr="00453378">
        <w:rPr>
          <w:rFonts w:ascii="Arial" w:hAnsi="Arial" w:cs="Arial"/>
          <w:sz w:val="22"/>
          <w:szCs w:val="22"/>
        </w:rPr>
        <w:t xml:space="preserve"> </w:t>
      </w:r>
    </w:p>
    <w:p w14:paraId="7DF1A387"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Sun, P., Wang, M., Song, T., Wu, Y., Luo, J., Chen, L. &amp; Yan, L. (2021) ‘</w:t>
      </w:r>
      <w:r w:rsidRPr="000B42B6">
        <w:rPr>
          <w:rFonts w:ascii="Arial" w:hAnsi="Arial" w:cs="Arial"/>
          <w:i/>
          <w:sz w:val="22"/>
          <w:szCs w:val="22"/>
        </w:rPr>
        <w:t>The Psychological Impact of COVID-19 Pandemic on Health Care Workers: A Systematic Review and Meta-Analysis’</w:t>
      </w:r>
      <w:r w:rsidRPr="00453378">
        <w:rPr>
          <w:rFonts w:ascii="Arial" w:hAnsi="Arial" w:cs="Arial"/>
          <w:sz w:val="22"/>
          <w:szCs w:val="22"/>
        </w:rPr>
        <w:t xml:space="preserve">, </w:t>
      </w:r>
      <w:r w:rsidRPr="00453378">
        <w:rPr>
          <w:rStyle w:val="Emphasis"/>
          <w:rFonts w:ascii="Arial" w:hAnsi="Arial" w:cs="Arial"/>
          <w:sz w:val="22"/>
          <w:szCs w:val="22"/>
        </w:rPr>
        <w:t>Frontiers in Psychology</w:t>
      </w:r>
      <w:r w:rsidRPr="00453378">
        <w:rPr>
          <w:rFonts w:ascii="Arial" w:hAnsi="Arial" w:cs="Arial"/>
          <w:sz w:val="22"/>
          <w:szCs w:val="22"/>
        </w:rPr>
        <w:t>, 12, 626547.</w:t>
      </w:r>
      <w:r w:rsidR="001A37BF" w:rsidRPr="00453378">
        <w:rPr>
          <w:rFonts w:ascii="Arial" w:hAnsi="Arial" w:cs="Arial"/>
          <w:sz w:val="22"/>
          <w:szCs w:val="22"/>
        </w:rPr>
        <w:t xml:space="preserve"> </w:t>
      </w:r>
      <w:hyperlink r:id="rId91" w:history="1">
        <w:r w:rsidR="001A37BF" w:rsidRPr="00453378">
          <w:rPr>
            <w:rStyle w:val="Hyperlink"/>
            <w:rFonts w:ascii="Arial" w:hAnsi="Arial" w:cs="Arial"/>
            <w:sz w:val="22"/>
            <w:szCs w:val="22"/>
          </w:rPr>
          <w:t>https://doi.org/10.3389/fpsyg.2021.626547</w:t>
        </w:r>
      </w:hyperlink>
      <w:r w:rsidR="001A37BF" w:rsidRPr="00453378">
        <w:rPr>
          <w:rFonts w:ascii="Arial" w:hAnsi="Arial" w:cs="Arial"/>
          <w:sz w:val="22"/>
          <w:szCs w:val="22"/>
        </w:rPr>
        <w:t xml:space="preserve"> </w:t>
      </w:r>
    </w:p>
    <w:p w14:paraId="3A1B735F"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Tan, B.Y.Q., Chew, N.W.S., Lee, G.K.H., Jing, M., Goh, Y. </w:t>
      </w:r>
      <w:r w:rsidRPr="00453378">
        <w:rPr>
          <w:rStyle w:val="Emphasis"/>
          <w:rFonts w:ascii="Arial" w:hAnsi="Arial" w:cs="Arial"/>
          <w:sz w:val="22"/>
          <w:szCs w:val="22"/>
        </w:rPr>
        <w:t>et al.</w:t>
      </w:r>
      <w:r w:rsidRPr="00453378">
        <w:rPr>
          <w:rFonts w:ascii="Arial" w:hAnsi="Arial" w:cs="Arial"/>
          <w:sz w:val="22"/>
          <w:szCs w:val="22"/>
        </w:rPr>
        <w:t xml:space="preserve"> (2020) ‘</w:t>
      </w:r>
      <w:r w:rsidRPr="000B42B6">
        <w:rPr>
          <w:rFonts w:ascii="Arial" w:hAnsi="Arial" w:cs="Arial"/>
          <w:i/>
          <w:sz w:val="22"/>
          <w:szCs w:val="22"/>
        </w:rPr>
        <w:t>Psychological Impact of the COVID-19 Pandemic on Health Care Workers in Singapore’</w:t>
      </w:r>
      <w:r w:rsidRPr="00453378">
        <w:rPr>
          <w:rFonts w:ascii="Arial" w:hAnsi="Arial" w:cs="Arial"/>
          <w:sz w:val="22"/>
          <w:szCs w:val="22"/>
        </w:rPr>
        <w:t xml:space="preserve">, </w:t>
      </w:r>
      <w:r w:rsidRPr="00453378">
        <w:rPr>
          <w:rStyle w:val="Emphasis"/>
          <w:rFonts w:ascii="Arial" w:hAnsi="Arial" w:cs="Arial"/>
          <w:sz w:val="22"/>
          <w:szCs w:val="22"/>
        </w:rPr>
        <w:t>Annals of Internal Medicine</w:t>
      </w:r>
      <w:r w:rsidRPr="00453378">
        <w:rPr>
          <w:rFonts w:ascii="Arial" w:hAnsi="Arial" w:cs="Arial"/>
          <w:sz w:val="22"/>
          <w:szCs w:val="22"/>
        </w:rPr>
        <w:t>, 173(4), pp. 317–320.</w:t>
      </w:r>
      <w:r w:rsidR="000140D6" w:rsidRPr="00453378">
        <w:rPr>
          <w:rFonts w:ascii="Arial" w:hAnsi="Arial" w:cs="Arial"/>
          <w:sz w:val="22"/>
          <w:szCs w:val="22"/>
        </w:rPr>
        <w:t xml:space="preserve"> </w:t>
      </w:r>
      <w:hyperlink r:id="rId92" w:history="1">
        <w:r w:rsidR="000140D6" w:rsidRPr="00453378">
          <w:rPr>
            <w:rStyle w:val="Hyperlink"/>
            <w:rFonts w:ascii="Arial" w:hAnsi="Arial" w:cs="Arial"/>
            <w:sz w:val="22"/>
            <w:szCs w:val="22"/>
          </w:rPr>
          <w:t>https://doi.org/10.7326/m20-1083</w:t>
        </w:r>
      </w:hyperlink>
      <w:r w:rsidR="000140D6" w:rsidRPr="00453378">
        <w:rPr>
          <w:rFonts w:ascii="Arial" w:hAnsi="Arial" w:cs="Arial"/>
          <w:sz w:val="22"/>
          <w:szCs w:val="22"/>
        </w:rPr>
        <w:t xml:space="preserve"> </w:t>
      </w:r>
    </w:p>
    <w:p w14:paraId="4A25CAC5"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Thomas, J. &amp; Harden, A. (2008) ‘</w:t>
      </w:r>
      <w:r w:rsidRPr="000B42B6">
        <w:rPr>
          <w:rFonts w:ascii="Arial" w:hAnsi="Arial" w:cs="Arial"/>
          <w:i/>
          <w:sz w:val="22"/>
          <w:szCs w:val="22"/>
        </w:rPr>
        <w:t>Methods for the thematic synthesis of qualitative research in systematic reviews’,</w:t>
      </w:r>
      <w:r w:rsidRPr="00453378">
        <w:rPr>
          <w:rFonts w:ascii="Arial" w:hAnsi="Arial" w:cs="Arial"/>
          <w:sz w:val="22"/>
          <w:szCs w:val="22"/>
        </w:rPr>
        <w:t xml:space="preserve"> </w:t>
      </w:r>
      <w:r w:rsidRPr="00453378">
        <w:rPr>
          <w:rStyle w:val="Emphasis"/>
          <w:rFonts w:ascii="Arial" w:hAnsi="Arial" w:cs="Arial"/>
          <w:sz w:val="22"/>
          <w:szCs w:val="22"/>
        </w:rPr>
        <w:t>BMC Medical Research Methodology</w:t>
      </w:r>
      <w:r w:rsidRPr="00453378">
        <w:rPr>
          <w:rFonts w:ascii="Arial" w:hAnsi="Arial" w:cs="Arial"/>
          <w:sz w:val="22"/>
          <w:szCs w:val="22"/>
        </w:rPr>
        <w:t>, 8, 45.</w:t>
      </w:r>
      <w:r w:rsidR="000140D6" w:rsidRPr="00453378">
        <w:rPr>
          <w:rFonts w:ascii="Arial" w:hAnsi="Arial" w:cs="Arial"/>
          <w:sz w:val="22"/>
          <w:szCs w:val="22"/>
        </w:rPr>
        <w:t xml:space="preserve"> </w:t>
      </w:r>
      <w:hyperlink r:id="rId93" w:history="1">
        <w:r w:rsidR="000140D6" w:rsidRPr="00453378">
          <w:rPr>
            <w:rStyle w:val="Hyperlink"/>
            <w:rFonts w:ascii="Arial" w:hAnsi="Arial" w:cs="Arial"/>
            <w:sz w:val="22"/>
            <w:szCs w:val="22"/>
          </w:rPr>
          <w:t>https://doi.org/10.1186/1471-2288-8-45</w:t>
        </w:r>
      </w:hyperlink>
      <w:r w:rsidR="000140D6" w:rsidRPr="00453378">
        <w:rPr>
          <w:rFonts w:ascii="Arial" w:hAnsi="Arial" w:cs="Arial"/>
          <w:sz w:val="22"/>
          <w:szCs w:val="22"/>
        </w:rPr>
        <w:t xml:space="preserve"> </w:t>
      </w:r>
    </w:p>
    <w:p w14:paraId="26E0B771"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Tong, A., Sainsbury, P. &amp; Craig, J. (2007) ‘</w:t>
      </w:r>
      <w:r w:rsidRPr="000B42B6">
        <w:rPr>
          <w:rFonts w:ascii="Arial" w:hAnsi="Arial" w:cs="Arial"/>
          <w:i/>
          <w:sz w:val="22"/>
          <w:szCs w:val="22"/>
        </w:rPr>
        <w:t>Consolidated criteria for reporting qualitative research (COREQ): A 32-item checklist for interviews and focus groups</w:t>
      </w:r>
      <w:r w:rsidRPr="00453378">
        <w:rPr>
          <w:rFonts w:ascii="Arial" w:hAnsi="Arial" w:cs="Arial"/>
          <w:sz w:val="22"/>
          <w:szCs w:val="22"/>
        </w:rPr>
        <w:t xml:space="preserve">’, </w:t>
      </w:r>
      <w:r w:rsidRPr="00453378">
        <w:rPr>
          <w:rStyle w:val="Emphasis"/>
          <w:rFonts w:ascii="Arial" w:hAnsi="Arial" w:cs="Arial"/>
          <w:sz w:val="22"/>
          <w:szCs w:val="22"/>
        </w:rPr>
        <w:t>International Journal for Quality in Health Care</w:t>
      </w:r>
      <w:r w:rsidRPr="00453378">
        <w:rPr>
          <w:rFonts w:ascii="Arial" w:hAnsi="Arial" w:cs="Arial"/>
          <w:sz w:val="22"/>
          <w:szCs w:val="22"/>
        </w:rPr>
        <w:t>, 19(6), pp. 349–357.</w:t>
      </w:r>
      <w:r w:rsidR="00E15CBB" w:rsidRPr="00453378">
        <w:rPr>
          <w:rFonts w:ascii="Arial" w:hAnsi="Arial" w:cs="Arial"/>
          <w:sz w:val="22"/>
          <w:szCs w:val="22"/>
        </w:rPr>
        <w:t xml:space="preserve"> </w:t>
      </w:r>
      <w:hyperlink r:id="rId94" w:tgtFrame="_new" w:history="1">
        <w:r w:rsidRPr="00453378">
          <w:rPr>
            <w:rStyle w:val="Hyperlink"/>
            <w:rFonts w:ascii="Arial" w:hAnsi="Arial" w:cs="Arial"/>
            <w:sz w:val="22"/>
            <w:szCs w:val="22"/>
          </w:rPr>
          <w:t>https://doi.org/10.1093/intqhc/mzm042</w:t>
        </w:r>
      </w:hyperlink>
    </w:p>
    <w:p w14:paraId="15EA35A8"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Tricco, A.C., Lillie, E., Zarin, W., O’Brien, K.K., Colquhoun, H. </w:t>
      </w:r>
      <w:r w:rsidRPr="00453378">
        <w:rPr>
          <w:rStyle w:val="Emphasis"/>
          <w:rFonts w:ascii="Arial" w:hAnsi="Arial" w:cs="Arial"/>
          <w:sz w:val="22"/>
          <w:szCs w:val="22"/>
        </w:rPr>
        <w:t>et al.</w:t>
      </w:r>
      <w:r w:rsidRPr="00453378">
        <w:rPr>
          <w:rFonts w:ascii="Arial" w:hAnsi="Arial" w:cs="Arial"/>
          <w:sz w:val="22"/>
          <w:szCs w:val="22"/>
        </w:rPr>
        <w:t xml:space="preserve"> (2018) ‘</w:t>
      </w:r>
      <w:r w:rsidRPr="000B42B6">
        <w:rPr>
          <w:rFonts w:ascii="Arial" w:hAnsi="Arial" w:cs="Arial"/>
          <w:i/>
          <w:sz w:val="22"/>
          <w:szCs w:val="22"/>
        </w:rPr>
        <w:t>PRISMA extension for scoping reviews (PRISMA-ScR)’</w:t>
      </w:r>
      <w:r w:rsidRPr="00453378">
        <w:rPr>
          <w:rFonts w:ascii="Arial" w:hAnsi="Arial" w:cs="Arial"/>
          <w:sz w:val="22"/>
          <w:szCs w:val="22"/>
        </w:rPr>
        <w:t xml:space="preserve">, </w:t>
      </w:r>
      <w:r w:rsidRPr="00453378">
        <w:rPr>
          <w:rStyle w:val="Emphasis"/>
          <w:rFonts w:ascii="Arial" w:hAnsi="Arial" w:cs="Arial"/>
          <w:sz w:val="22"/>
          <w:szCs w:val="22"/>
        </w:rPr>
        <w:t>Annals of Internal Medicine</w:t>
      </w:r>
      <w:r w:rsidRPr="00453378">
        <w:rPr>
          <w:rFonts w:ascii="Arial" w:hAnsi="Arial" w:cs="Arial"/>
          <w:sz w:val="22"/>
          <w:szCs w:val="22"/>
        </w:rPr>
        <w:t>, 169(7), pp. 467–473.</w:t>
      </w:r>
      <w:r w:rsidR="00E02F9E" w:rsidRPr="00453378">
        <w:rPr>
          <w:rFonts w:ascii="Arial" w:hAnsi="Arial" w:cs="Arial"/>
          <w:sz w:val="22"/>
          <w:szCs w:val="22"/>
        </w:rPr>
        <w:t xml:space="preserve"> </w:t>
      </w:r>
      <w:hyperlink r:id="rId95" w:tgtFrame="_new" w:history="1">
        <w:r w:rsidRPr="00453378">
          <w:rPr>
            <w:rStyle w:val="Hyperlink"/>
            <w:rFonts w:ascii="Arial" w:hAnsi="Arial" w:cs="Arial"/>
            <w:sz w:val="22"/>
            <w:szCs w:val="22"/>
          </w:rPr>
          <w:t>https://doi.org/10.7326/M18-0850</w:t>
        </w:r>
      </w:hyperlink>
    </w:p>
    <w:p w14:paraId="55192C12"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Tsamakis, K., Rizos, E., Manolis, A.J., Chaidou, S., Kympouropoulos, S. </w:t>
      </w:r>
      <w:r w:rsidRPr="00453378">
        <w:rPr>
          <w:rStyle w:val="Emphasis"/>
          <w:rFonts w:ascii="Arial" w:hAnsi="Arial" w:cs="Arial"/>
          <w:sz w:val="22"/>
          <w:szCs w:val="22"/>
        </w:rPr>
        <w:t>et al.</w:t>
      </w:r>
      <w:r w:rsidRPr="00453378">
        <w:rPr>
          <w:rFonts w:ascii="Arial" w:hAnsi="Arial" w:cs="Arial"/>
          <w:sz w:val="22"/>
          <w:szCs w:val="22"/>
        </w:rPr>
        <w:t xml:space="preserve"> (2020) ‘</w:t>
      </w:r>
      <w:r w:rsidRPr="000B42B6">
        <w:rPr>
          <w:rFonts w:ascii="Arial" w:hAnsi="Arial" w:cs="Arial"/>
          <w:i/>
          <w:sz w:val="22"/>
          <w:szCs w:val="22"/>
        </w:rPr>
        <w:t>COVID-19 pandemic and its impact on mental health of healthcare professionals</w:t>
      </w:r>
      <w:r w:rsidRPr="00453378">
        <w:rPr>
          <w:rFonts w:ascii="Arial" w:hAnsi="Arial" w:cs="Arial"/>
          <w:sz w:val="22"/>
          <w:szCs w:val="22"/>
        </w:rPr>
        <w:t xml:space="preserve">’, </w:t>
      </w:r>
      <w:r w:rsidRPr="00453378">
        <w:rPr>
          <w:rStyle w:val="Emphasis"/>
          <w:rFonts w:ascii="Arial" w:hAnsi="Arial" w:cs="Arial"/>
          <w:sz w:val="22"/>
          <w:szCs w:val="22"/>
        </w:rPr>
        <w:t>Experimental and Therapeutic Medicine</w:t>
      </w:r>
      <w:r w:rsidRPr="00453378">
        <w:rPr>
          <w:rFonts w:ascii="Arial" w:hAnsi="Arial" w:cs="Arial"/>
          <w:sz w:val="22"/>
          <w:szCs w:val="22"/>
        </w:rPr>
        <w:t>, 19(6), pp. 3451–3453.</w:t>
      </w:r>
      <w:r w:rsidR="00E02F9E" w:rsidRPr="00453378">
        <w:rPr>
          <w:rFonts w:ascii="Arial" w:hAnsi="Arial" w:cs="Arial"/>
          <w:sz w:val="22"/>
          <w:szCs w:val="22"/>
        </w:rPr>
        <w:t xml:space="preserve"> </w:t>
      </w:r>
      <w:hyperlink r:id="rId96" w:history="1">
        <w:r w:rsidR="00E02F9E" w:rsidRPr="00453378">
          <w:rPr>
            <w:rStyle w:val="Hyperlink"/>
            <w:rFonts w:ascii="Arial" w:hAnsi="Arial" w:cs="Arial"/>
            <w:sz w:val="22"/>
            <w:szCs w:val="22"/>
          </w:rPr>
          <w:t>https://doi.org/10.3892/etm.2020.8646</w:t>
        </w:r>
      </w:hyperlink>
      <w:r w:rsidR="00E02F9E" w:rsidRPr="00453378">
        <w:rPr>
          <w:rFonts w:ascii="Arial" w:hAnsi="Arial" w:cs="Arial"/>
          <w:sz w:val="22"/>
          <w:szCs w:val="22"/>
        </w:rPr>
        <w:t xml:space="preserve"> </w:t>
      </w:r>
    </w:p>
    <w:p w14:paraId="41BC97AA" w14:textId="77777777" w:rsidR="0003530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Vizheh, M., Qorbani, M., Arzaghi, S.M., Muhidin, S., Javanmard, Z. &amp; Esmaeili, M. (2020) ‘</w:t>
      </w:r>
      <w:r w:rsidRPr="000B42B6">
        <w:rPr>
          <w:rFonts w:ascii="Arial" w:hAnsi="Arial" w:cs="Arial"/>
          <w:i/>
          <w:sz w:val="22"/>
          <w:szCs w:val="22"/>
        </w:rPr>
        <w:t>The mental health of HCWs in the COVID-19 pandemic: A systematic review’</w:t>
      </w:r>
      <w:r w:rsidRPr="00453378">
        <w:rPr>
          <w:rFonts w:ascii="Arial" w:hAnsi="Arial" w:cs="Arial"/>
          <w:sz w:val="22"/>
          <w:szCs w:val="22"/>
        </w:rPr>
        <w:t xml:space="preserve">, </w:t>
      </w:r>
      <w:r w:rsidRPr="00453378">
        <w:rPr>
          <w:rStyle w:val="Emphasis"/>
          <w:rFonts w:ascii="Arial" w:hAnsi="Arial" w:cs="Arial"/>
          <w:sz w:val="22"/>
          <w:szCs w:val="22"/>
        </w:rPr>
        <w:t>Journal of Diabetes &amp; Metabolic Disorders</w:t>
      </w:r>
      <w:r w:rsidRPr="00453378">
        <w:rPr>
          <w:rFonts w:ascii="Arial" w:hAnsi="Arial" w:cs="Arial"/>
          <w:sz w:val="22"/>
          <w:szCs w:val="22"/>
        </w:rPr>
        <w:t>, 19, pp. 1967–1978.</w:t>
      </w:r>
      <w:r w:rsidR="0003530A" w:rsidRPr="00453378">
        <w:rPr>
          <w:rFonts w:ascii="Arial" w:hAnsi="Arial" w:cs="Arial"/>
          <w:sz w:val="22"/>
          <w:szCs w:val="22"/>
        </w:rPr>
        <w:t xml:space="preserve"> </w:t>
      </w:r>
      <w:hyperlink r:id="rId97" w:history="1">
        <w:r w:rsidR="0003530A" w:rsidRPr="00453378">
          <w:rPr>
            <w:rStyle w:val="Hyperlink"/>
            <w:rFonts w:ascii="Arial" w:hAnsi="Arial" w:cs="Arial"/>
            <w:sz w:val="22"/>
            <w:szCs w:val="22"/>
          </w:rPr>
          <w:t>https://doi.org/10.1007/s40200-020-00643-9</w:t>
        </w:r>
      </w:hyperlink>
    </w:p>
    <w:p w14:paraId="7B132886"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West, M.A., Eckert, R., Collins, B. &amp; Chowla, R. (2014) </w:t>
      </w:r>
      <w:r w:rsidRPr="00453378">
        <w:rPr>
          <w:rStyle w:val="Emphasis"/>
          <w:rFonts w:ascii="Arial" w:hAnsi="Arial" w:cs="Arial"/>
          <w:sz w:val="22"/>
          <w:szCs w:val="22"/>
        </w:rPr>
        <w:t>Caring to Change: How compassionate leadership can stimulate innovation in health care</w:t>
      </w:r>
      <w:r w:rsidRPr="00453378">
        <w:rPr>
          <w:rFonts w:ascii="Arial" w:hAnsi="Arial" w:cs="Arial"/>
          <w:sz w:val="22"/>
          <w:szCs w:val="22"/>
        </w:rPr>
        <w:t>. London: The King’s Fund.</w:t>
      </w:r>
      <w:r w:rsidR="00EB565C" w:rsidRPr="00453378">
        <w:rPr>
          <w:rFonts w:ascii="Arial" w:hAnsi="Arial" w:cs="Arial"/>
          <w:sz w:val="22"/>
          <w:szCs w:val="22"/>
        </w:rPr>
        <w:t xml:space="preserve"> </w:t>
      </w:r>
      <w:hyperlink r:id="rId98" w:tgtFrame="_new" w:history="1">
        <w:r w:rsidRPr="00453378">
          <w:rPr>
            <w:rStyle w:val="Hyperlink"/>
            <w:rFonts w:ascii="Arial" w:hAnsi="Arial" w:cs="Arial"/>
            <w:sz w:val="22"/>
            <w:szCs w:val="22"/>
          </w:rPr>
          <w:t>https://www.kingsfund.org.uk/publications/caring-change</w:t>
        </w:r>
      </w:hyperlink>
      <w:r w:rsidR="0048461F">
        <w:rPr>
          <w:rStyle w:val="Hyperlink"/>
          <w:rFonts w:ascii="Arial" w:hAnsi="Arial" w:cs="Arial"/>
          <w:sz w:val="22"/>
          <w:szCs w:val="22"/>
        </w:rPr>
        <w:t xml:space="preserve"> </w:t>
      </w:r>
      <w:r w:rsidR="0048461F">
        <w:rPr>
          <w:rFonts w:ascii="Arial" w:hAnsi="Arial" w:cs="Arial"/>
          <w:sz w:val="22"/>
          <w:szCs w:val="22"/>
        </w:rPr>
        <w:t>(Accessed: November 28, 2025).</w:t>
      </w:r>
    </w:p>
    <w:p w14:paraId="29069FBB"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WHO (2020) </w:t>
      </w:r>
      <w:r w:rsidRPr="00453378">
        <w:rPr>
          <w:rStyle w:val="Emphasis"/>
          <w:rFonts w:ascii="Arial" w:hAnsi="Arial" w:cs="Arial"/>
          <w:sz w:val="22"/>
          <w:szCs w:val="22"/>
        </w:rPr>
        <w:t>Coronavirus disease (COVID-19): Occupational health and safety for health workers</w:t>
      </w:r>
      <w:r w:rsidRPr="00453378">
        <w:rPr>
          <w:rFonts w:ascii="Arial" w:hAnsi="Arial" w:cs="Arial"/>
          <w:sz w:val="22"/>
          <w:szCs w:val="22"/>
        </w:rPr>
        <w:t>. World Health Organization.</w:t>
      </w:r>
      <w:r w:rsidR="00EB565C" w:rsidRPr="00453378">
        <w:rPr>
          <w:rFonts w:ascii="Arial" w:hAnsi="Arial" w:cs="Arial"/>
          <w:sz w:val="22"/>
          <w:szCs w:val="22"/>
        </w:rPr>
        <w:t xml:space="preserve"> </w:t>
      </w:r>
      <w:hyperlink r:id="rId99" w:tgtFrame="_new" w:history="1">
        <w:r w:rsidRPr="00453378">
          <w:rPr>
            <w:rStyle w:val="Hyperlink"/>
            <w:rFonts w:ascii="Arial" w:hAnsi="Arial" w:cs="Arial"/>
            <w:sz w:val="22"/>
            <w:szCs w:val="22"/>
          </w:rPr>
          <w:t>https://www.who.int/publications/i/item/WHO-2019-nCoV-HCW_advice-2021.1</w:t>
        </w:r>
      </w:hyperlink>
      <w:r w:rsidR="0048461F">
        <w:rPr>
          <w:rStyle w:val="Hyperlink"/>
          <w:rFonts w:ascii="Arial" w:hAnsi="Arial" w:cs="Arial"/>
          <w:sz w:val="22"/>
          <w:szCs w:val="22"/>
        </w:rPr>
        <w:t xml:space="preserve"> </w:t>
      </w:r>
      <w:r w:rsidR="0048461F">
        <w:rPr>
          <w:rFonts w:ascii="Arial" w:hAnsi="Arial" w:cs="Arial"/>
          <w:sz w:val="22"/>
          <w:szCs w:val="22"/>
        </w:rPr>
        <w:t>(Accessed: November 28, 2025).</w:t>
      </w:r>
    </w:p>
    <w:p w14:paraId="7E2A96EE"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ILO (2022) </w:t>
      </w:r>
      <w:r w:rsidRPr="00453378">
        <w:rPr>
          <w:rStyle w:val="Emphasis"/>
          <w:rFonts w:ascii="Arial" w:hAnsi="Arial" w:cs="Arial"/>
          <w:sz w:val="22"/>
          <w:szCs w:val="22"/>
        </w:rPr>
        <w:t>Mental health at work: Policy brief</w:t>
      </w:r>
      <w:r w:rsidRPr="00453378">
        <w:rPr>
          <w:rFonts w:ascii="Arial" w:hAnsi="Arial" w:cs="Arial"/>
          <w:sz w:val="22"/>
          <w:szCs w:val="22"/>
        </w:rPr>
        <w:t>. World Health Organization &amp; International Labour Organization.</w:t>
      </w:r>
      <w:r w:rsidR="00EB565C" w:rsidRPr="00453378">
        <w:rPr>
          <w:rFonts w:ascii="Arial" w:hAnsi="Arial" w:cs="Arial"/>
          <w:sz w:val="22"/>
          <w:szCs w:val="22"/>
        </w:rPr>
        <w:t xml:space="preserve"> </w:t>
      </w:r>
      <w:hyperlink r:id="rId100" w:tgtFrame="_new" w:history="1">
        <w:r w:rsidRPr="00453378">
          <w:rPr>
            <w:rStyle w:val="Hyperlink"/>
            <w:rFonts w:ascii="Arial" w:hAnsi="Arial" w:cs="Arial"/>
            <w:sz w:val="22"/>
            <w:szCs w:val="22"/>
          </w:rPr>
          <w:t>https://www.who.int/publications/i/item/9789240053052</w:t>
        </w:r>
      </w:hyperlink>
      <w:r w:rsidR="0048461F">
        <w:rPr>
          <w:rStyle w:val="Hyperlink"/>
          <w:rFonts w:ascii="Arial" w:hAnsi="Arial" w:cs="Arial"/>
          <w:sz w:val="22"/>
          <w:szCs w:val="22"/>
        </w:rPr>
        <w:t xml:space="preserve"> </w:t>
      </w:r>
      <w:r w:rsidR="0048461F">
        <w:rPr>
          <w:rFonts w:ascii="Arial" w:hAnsi="Arial" w:cs="Arial"/>
          <w:sz w:val="22"/>
          <w:szCs w:val="22"/>
        </w:rPr>
        <w:t>(Accessed: November 28, 2025).</w:t>
      </w:r>
    </w:p>
    <w:p w14:paraId="42ED2C09" w14:textId="77777777" w:rsidR="009C3ADA" w:rsidRPr="00453378" w:rsidRDefault="009C3ADA" w:rsidP="009F30F7">
      <w:pPr>
        <w:pStyle w:val="NormalWeb"/>
        <w:spacing w:line="360" w:lineRule="auto"/>
        <w:jc w:val="both"/>
        <w:rPr>
          <w:rFonts w:ascii="Arial" w:hAnsi="Arial" w:cs="Arial"/>
          <w:sz w:val="22"/>
          <w:szCs w:val="22"/>
        </w:rPr>
      </w:pPr>
      <w:r w:rsidRPr="00453378">
        <w:rPr>
          <w:rFonts w:ascii="Arial" w:hAnsi="Arial" w:cs="Arial"/>
          <w:sz w:val="22"/>
          <w:szCs w:val="22"/>
        </w:rPr>
        <w:t xml:space="preserve">Wu, P.E., Styra, R. &amp; Gold, W.L. (2020) ‘Mitigating the psychological effects of COVID-19 on health care workers’, </w:t>
      </w:r>
      <w:r w:rsidRPr="00453378">
        <w:rPr>
          <w:rStyle w:val="Emphasis"/>
          <w:rFonts w:ascii="Arial" w:hAnsi="Arial" w:cs="Arial"/>
          <w:sz w:val="22"/>
          <w:szCs w:val="22"/>
        </w:rPr>
        <w:t>CMAJ</w:t>
      </w:r>
      <w:r w:rsidR="00EB565C" w:rsidRPr="00453378">
        <w:rPr>
          <w:rFonts w:ascii="Arial" w:hAnsi="Arial" w:cs="Arial"/>
          <w:sz w:val="22"/>
          <w:szCs w:val="22"/>
        </w:rPr>
        <w:t xml:space="preserve">, </w:t>
      </w:r>
      <w:r w:rsidRPr="00453378">
        <w:rPr>
          <w:rFonts w:ascii="Arial" w:hAnsi="Arial" w:cs="Arial"/>
          <w:sz w:val="22"/>
          <w:szCs w:val="22"/>
        </w:rPr>
        <w:t>92(17), E459–E460.</w:t>
      </w:r>
      <w:r w:rsidR="00EB565C" w:rsidRPr="00453378">
        <w:rPr>
          <w:rFonts w:ascii="Arial" w:hAnsi="Arial" w:cs="Arial"/>
          <w:sz w:val="22"/>
          <w:szCs w:val="22"/>
        </w:rPr>
        <w:t xml:space="preserve"> </w:t>
      </w:r>
      <w:hyperlink r:id="rId101" w:history="1">
        <w:r w:rsidR="00EB565C" w:rsidRPr="00453378">
          <w:rPr>
            <w:rStyle w:val="Hyperlink"/>
            <w:rFonts w:ascii="Arial" w:hAnsi="Arial" w:cs="Arial"/>
            <w:sz w:val="22"/>
            <w:szCs w:val="22"/>
          </w:rPr>
          <w:t>https://doi.org/10.1503/cmaj.200519</w:t>
        </w:r>
      </w:hyperlink>
      <w:r w:rsidR="00EB565C" w:rsidRPr="00453378">
        <w:rPr>
          <w:rFonts w:ascii="Arial" w:hAnsi="Arial" w:cs="Arial"/>
          <w:sz w:val="22"/>
          <w:szCs w:val="22"/>
        </w:rPr>
        <w:t xml:space="preserve"> </w:t>
      </w:r>
    </w:p>
    <w:p w14:paraId="1FBF2D9D" w14:textId="77777777" w:rsidR="009C5E2E" w:rsidRPr="00453378" w:rsidRDefault="009C5E2E" w:rsidP="009F30F7">
      <w:pPr>
        <w:pStyle w:val="NormalWeb"/>
        <w:spacing w:line="360" w:lineRule="auto"/>
        <w:jc w:val="both"/>
        <w:rPr>
          <w:rFonts w:ascii="Arial" w:hAnsi="Arial" w:cs="Arial"/>
          <w:sz w:val="22"/>
          <w:szCs w:val="22"/>
        </w:rPr>
      </w:pPr>
    </w:p>
    <w:p w14:paraId="0445996F" w14:textId="77777777" w:rsidR="009C5E2E" w:rsidRPr="00453378" w:rsidRDefault="009C5E2E" w:rsidP="009F30F7">
      <w:pPr>
        <w:pStyle w:val="NormalWeb"/>
        <w:spacing w:line="360" w:lineRule="auto"/>
        <w:jc w:val="both"/>
        <w:rPr>
          <w:rFonts w:ascii="Arial" w:hAnsi="Arial" w:cs="Arial"/>
          <w:sz w:val="22"/>
          <w:szCs w:val="22"/>
        </w:rPr>
      </w:pPr>
    </w:p>
    <w:p w14:paraId="7D1BF00B" w14:textId="77777777" w:rsidR="009C5E2E" w:rsidRPr="00453378" w:rsidRDefault="009C5E2E" w:rsidP="009F30F7">
      <w:pPr>
        <w:pStyle w:val="NormalWeb"/>
        <w:spacing w:line="360" w:lineRule="auto"/>
        <w:jc w:val="both"/>
        <w:rPr>
          <w:rFonts w:ascii="Arial" w:hAnsi="Arial" w:cs="Arial"/>
          <w:sz w:val="22"/>
          <w:szCs w:val="22"/>
        </w:rPr>
      </w:pPr>
    </w:p>
    <w:p w14:paraId="33D4C318" w14:textId="77777777" w:rsidR="009C5E2E" w:rsidRPr="00453378" w:rsidRDefault="009C5E2E" w:rsidP="009F30F7">
      <w:pPr>
        <w:pStyle w:val="NormalWeb"/>
        <w:spacing w:line="360" w:lineRule="auto"/>
        <w:jc w:val="both"/>
        <w:rPr>
          <w:rFonts w:ascii="Arial" w:hAnsi="Arial" w:cs="Arial"/>
          <w:sz w:val="22"/>
          <w:szCs w:val="22"/>
        </w:rPr>
      </w:pPr>
    </w:p>
    <w:p w14:paraId="044D352E" w14:textId="77777777" w:rsidR="009C5E2E" w:rsidRPr="00453378" w:rsidRDefault="009C5E2E" w:rsidP="009F30F7">
      <w:pPr>
        <w:pStyle w:val="NormalWeb"/>
        <w:spacing w:line="360" w:lineRule="auto"/>
        <w:jc w:val="both"/>
        <w:rPr>
          <w:rFonts w:ascii="Arial" w:hAnsi="Arial" w:cs="Arial"/>
          <w:sz w:val="22"/>
          <w:szCs w:val="22"/>
        </w:rPr>
      </w:pPr>
    </w:p>
    <w:p w14:paraId="20FDE7CD" w14:textId="77777777" w:rsidR="009C5E2E" w:rsidRPr="00453378" w:rsidRDefault="009C5E2E" w:rsidP="009F30F7">
      <w:pPr>
        <w:pStyle w:val="NormalWeb"/>
        <w:spacing w:line="360" w:lineRule="auto"/>
        <w:jc w:val="both"/>
        <w:rPr>
          <w:rFonts w:ascii="Arial" w:hAnsi="Arial" w:cs="Arial"/>
          <w:sz w:val="22"/>
          <w:szCs w:val="22"/>
        </w:rPr>
      </w:pPr>
    </w:p>
    <w:p w14:paraId="47B25EE4" w14:textId="77777777" w:rsidR="009C5E2E" w:rsidRPr="00453378" w:rsidRDefault="009C5E2E" w:rsidP="009F30F7">
      <w:pPr>
        <w:pStyle w:val="Heading2"/>
        <w:spacing w:line="360" w:lineRule="auto"/>
        <w:jc w:val="both"/>
        <w:rPr>
          <w:rFonts w:ascii="Arial" w:hAnsi="Arial" w:cs="Arial"/>
          <w:b/>
          <w:sz w:val="22"/>
          <w:szCs w:val="22"/>
        </w:rPr>
        <w:sectPr w:rsidR="009C5E2E" w:rsidRPr="00453378" w:rsidSect="00214C3A">
          <w:footerReference w:type="default" r:id="rId102"/>
          <w:pgSz w:w="12240" w:h="15840"/>
          <w:pgMar w:top="1440" w:right="1440" w:bottom="1440" w:left="1440" w:header="720" w:footer="720" w:gutter="0"/>
          <w:cols w:space="720"/>
          <w:docGrid w:linePitch="360"/>
        </w:sectPr>
      </w:pPr>
    </w:p>
    <w:p w14:paraId="20EF2C3E" w14:textId="77777777" w:rsidR="00DB1264" w:rsidRPr="00A73F68" w:rsidRDefault="00A73F68" w:rsidP="009F30F7">
      <w:pPr>
        <w:pStyle w:val="Heading2"/>
        <w:spacing w:line="360" w:lineRule="auto"/>
        <w:jc w:val="both"/>
        <w:rPr>
          <w:rFonts w:ascii="Arial" w:hAnsi="Arial" w:cs="Arial"/>
          <w:b/>
          <w:color w:val="000000" w:themeColor="text1"/>
        </w:rPr>
      </w:pPr>
      <w:bookmarkStart w:id="78" w:name="_Toc209387802"/>
      <w:r w:rsidRPr="00A73F68">
        <w:rPr>
          <w:rFonts w:ascii="Arial" w:hAnsi="Arial" w:cs="Arial"/>
          <w:b/>
          <w:color w:val="000000" w:themeColor="text1"/>
        </w:rPr>
        <w:t xml:space="preserve">6.2 </w:t>
      </w:r>
      <w:r w:rsidR="00DB1264" w:rsidRPr="00A73F68">
        <w:rPr>
          <w:rFonts w:ascii="Arial" w:hAnsi="Arial" w:cs="Arial"/>
          <w:b/>
          <w:color w:val="000000" w:themeColor="text1"/>
        </w:rPr>
        <w:t>Appendices</w:t>
      </w:r>
      <w:bookmarkEnd w:id="78"/>
    </w:p>
    <w:p w14:paraId="12811115" w14:textId="77777777" w:rsidR="009C5E2E" w:rsidRPr="00A73F68" w:rsidRDefault="009C5E2E" w:rsidP="007C44E7">
      <w:pPr>
        <w:pStyle w:val="Heading3"/>
        <w:rPr>
          <w:rFonts w:ascii="Arial" w:hAnsi="Arial" w:cs="Arial"/>
          <w:b/>
          <w:color w:val="000000" w:themeColor="text1"/>
        </w:rPr>
      </w:pPr>
      <w:bookmarkStart w:id="79" w:name="_Toc209387803"/>
      <w:r w:rsidRPr="00A73F68">
        <w:rPr>
          <w:rFonts w:ascii="Arial" w:hAnsi="Arial" w:cs="Arial"/>
          <w:b/>
          <w:color w:val="000000" w:themeColor="text1"/>
        </w:rPr>
        <w:t>Appendix A: Academic Poster</w:t>
      </w:r>
      <w:bookmarkEnd w:id="79"/>
    </w:p>
    <w:p w14:paraId="7C78FBD6" w14:textId="77777777" w:rsidR="007C44E7" w:rsidRPr="00C16BF8" w:rsidRDefault="007C44E7" w:rsidP="007C44E7">
      <w:pPr>
        <w:pStyle w:val="Caption"/>
        <w:keepNext/>
        <w:jc w:val="center"/>
        <w:rPr>
          <w:rFonts w:ascii="Arial" w:hAnsi="Arial" w:cs="Arial"/>
        </w:rPr>
      </w:pPr>
      <w:bookmarkStart w:id="80" w:name="_Toc209387809"/>
      <w:r w:rsidRPr="00C16BF8">
        <w:rPr>
          <w:rFonts w:ascii="Arial" w:hAnsi="Arial" w:cs="Arial"/>
        </w:rPr>
        <w:t xml:space="preserve">Table </w:t>
      </w:r>
      <w:r w:rsidRPr="00C16BF8">
        <w:rPr>
          <w:rFonts w:ascii="Arial" w:hAnsi="Arial" w:cs="Arial"/>
        </w:rPr>
        <w:fldChar w:fldCharType="begin"/>
      </w:r>
      <w:r w:rsidRPr="00C16BF8">
        <w:rPr>
          <w:rFonts w:ascii="Arial" w:hAnsi="Arial" w:cs="Arial"/>
        </w:rPr>
        <w:instrText xml:space="preserve"> SEQ Table \* ARABIC </w:instrText>
      </w:r>
      <w:r w:rsidRPr="00C16BF8">
        <w:rPr>
          <w:rFonts w:ascii="Arial" w:hAnsi="Arial" w:cs="Arial"/>
        </w:rPr>
        <w:fldChar w:fldCharType="separate"/>
      </w:r>
      <w:r w:rsidRPr="00C16BF8">
        <w:rPr>
          <w:rFonts w:ascii="Arial" w:hAnsi="Arial" w:cs="Arial"/>
          <w:noProof/>
        </w:rPr>
        <w:t>1</w:t>
      </w:r>
      <w:r w:rsidRPr="00C16BF8">
        <w:rPr>
          <w:rFonts w:ascii="Arial" w:hAnsi="Arial" w:cs="Arial"/>
        </w:rPr>
        <w:fldChar w:fldCharType="end"/>
      </w:r>
      <w:r w:rsidRPr="00C16BF8">
        <w:rPr>
          <w:rFonts w:ascii="Arial" w:hAnsi="Arial" w:cs="Arial"/>
        </w:rPr>
        <w:t>: Academic Poster</w:t>
      </w:r>
      <w:bookmarkEnd w:id="80"/>
    </w:p>
    <w:tbl>
      <w:tblPr>
        <w:tblStyle w:val="TableGrid"/>
        <w:tblW w:w="12950" w:type="dxa"/>
        <w:tblLook w:val="04A0" w:firstRow="1" w:lastRow="0" w:firstColumn="1" w:lastColumn="0" w:noHBand="0" w:noVBand="1"/>
      </w:tblPr>
      <w:tblGrid>
        <w:gridCol w:w="6475"/>
        <w:gridCol w:w="6475"/>
      </w:tblGrid>
      <w:tr w:rsidR="009C5E2E" w:rsidRPr="00C16BF8" w14:paraId="7BD29C20" w14:textId="77777777" w:rsidTr="007C44E7">
        <w:trPr>
          <w:trHeight w:val="597"/>
        </w:trPr>
        <w:tc>
          <w:tcPr>
            <w:tcW w:w="12950" w:type="dxa"/>
            <w:gridSpan w:val="2"/>
            <w:shd w:val="clear" w:color="auto" w:fill="D9E2F3" w:themeFill="accent5" w:themeFillTint="33"/>
            <w:vAlign w:val="center"/>
          </w:tcPr>
          <w:p w14:paraId="48623D33" w14:textId="77777777" w:rsidR="009C5E2E" w:rsidRPr="00C16BF8" w:rsidRDefault="009C5E2E" w:rsidP="00BC5DB9">
            <w:pPr>
              <w:jc w:val="center"/>
              <w:rPr>
                <w:rFonts w:ascii="Arial" w:hAnsi="Arial" w:cs="Arial"/>
                <w:b/>
                <w:bCs/>
                <w:color w:val="009999"/>
                <w:sz w:val="36"/>
                <w:szCs w:val="36"/>
              </w:rPr>
            </w:pPr>
            <w:r w:rsidRPr="00C16BF8">
              <w:rPr>
                <w:rFonts w:ascii="Arial" w:hAnsi="Arial" w:cs="Arial"/>
                <w:b/>
                <w:color w:val="009999"/>
                <w:sz w:val="32"/>
              </w:rPr>
              <w:t>The Impact of COVID-19 Pandemic On Healthcare Staff in The UK: A Thematic Synthesis of Qualitative Studies On Mental Health, Burnout, And Coping Strategies</w:t>
            </w:r>
          </w:p>
        </w:tc>
      </w:tr>
      <w:tr w:rsidR="004B3A63" w:rsidRPr="00C16BF8" w14:paraId="290F2942" w14:textId="77777777" w:rsidTr="007C44E7">
        <w:trPr>
          <w:trHeight w:val="1856"/>
        </w:trPr>
        <w:tc>
          <w:tcPr>
            <w:tcW w:w="6610" w:type="dxa"/>
          </w:tcPr>
          <w:p w14:paraId="59BC6638" w14:textId="77777777" w:rsidR="009C5E2E" w:rsidRPr="00C16BF8" w:rsidRDefault="009C5E2E" w:rsidP="00BC5DB9">
            <w:pPr>
              <w:jc w:val="both"/>
              <w:rPr>
                <w:rFonts w:ascii="Arial" w:hAnsi="Arial" w:cs="Arial"/>
                <w:b/>
                <w:bCs/>
              </w:rPr>
            </w:pPr>
            <w:r w:rsidRPr="00C16BF8">
              <w:rPr>
                <w:rFonts w:ascii="Arial" w:hAnsi="Arial" w:cs="Arial"/>
                <w:b/>
                <w:bCs/>
                <w:color w:val="009999"/>
                <w:sz w:val="40"/>
                <w:szCs w:val="40"/>
              </w:rPr>
              <w:t>01</w:t>
            </w:r>
            <w:r w:rsidRPr="00C16BF8">
              <w:rPr>
                <w:rFonts w:ascii="Arial" w:hAnsi="Arial" w:cs="Arial"/>
              </w:rPr>
              <w:t xml:space="preserve"> </w:t>
            </w:r>
            <w:r w:rsidRPr="00C16BF8">
              <w:rPr>
                <w:rFonts w:ascii="Arial" w:hAnsi="Arial" w:cs="Arial"/>
                <w:b/>
                <w:bCs/>
              </w:rPr>
              <w:t xml:space="preserve">Introduction and Research Aim </w:t>
            </w:r>
          </w:p>
          <w:p w14:paraId="2BAA5015" w14:textId="77777777" w:rsidR="009C5E2E" w:rsidRPr="00C16BF8" w:rsidRDefault="009C5E2E" w:rsidP="00BC5DB9">
            <w:pPr>
              <w:jc w:val="both"/>
              <w:rPr>
                <w:rFonts w:ascii="Arial" w:hAnsi="Arial" w:cs="Arial"/>
                <w:b/>
                <w:bCs/>
              </w:rPr>
            </w:pPr>
            <w:r w:rsidRPr="00C16BF8">
              <w:rPr>
                <w:rFonts w:ascii="Arial" w:hAnsi="Arial" w:cs="Arial"/>
                <w:b/>
                <w:bCs/>
                <w:noProof/>
              </w:rPr>
              <w:drawing>
                <wp:inline distT="0" distB="0" distL="0" distR="0" wp14:anchorId="5151A16F" wp14:editId="43AAF617">
                  <wp:extent cx="3606800" cy="2924628"/>
                  <wp:effectExtent l="38100" t="0" r="1270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3" r:lo="rId104" r:qs="rId105" r:cs="rId106"/>
                    </a:graphicData>
                  </a:graphic>
                </wp:inline>
              </w:drawing>
            </w:r>
          </w:p>
        </w:tc>
        <w:tc>
          <w:tcPr>
            <w:tcW w:w="6340" w:type="dxa"/>
          </w:tcPr>
          <w:p w14:paraId="3FCEF205" w14:textId="77777777" w:rsidR="009C5E2E" w:rsidRPr="00C16BF8" w:rsidRDefault="009C5E2E" w:rsidP="00BC5DB9">
            <w:pPr>
              <w:jc w:val="both"/>
              <w:rPr>
                <w:rFonts w:ascii="Arial" w:hAnsi="Arial" w:cs="Arial"/>
              </w:rPr>
            </w:pPr>
            <w:r w:rsidRPr="00C16BF8">
              <w:rPr>
                <w:rFonts w:ascii="Arial" w:hAnsi="Arial" w:cs="Arial"/>
                <w:b/>
                <w:bCs/>
                <w:color w:val="009999"/>
                <w:sz w:val="40"/>
                <w:szCs w:val="40"/>
              </w:rPr>
              <w:t>02</w:t>
            </w:r>
            <w:r w:rsidRPr="00C16BF8">
              <w:rPr>
                <w:rFonts w:ascii="Arial" w:hAnsi="Arial" w:cs="Arial"/>
                <w:b/>
                <w:bCs/>
                <w:sz w:val="40"/>
                <w:szCs w:val="40"/>
              </w:rPr>
              <w:t xml:space="preserve"> </w:t>
            </w:r>
            <w:r w:rsidRPr="00C16BF8">
              <w:rPr>
                <w:rFonts w:ascii="Arial" w:hAnsi="Arial" w:cs="Arial"/>
                <w:b/>
                <w:bCs/>
              </w:rPr>
              <w:t>Search Strategy</w:t>
            </w:r>
            <w:r w:rsidRPr="00C16BF8">
              <w:rPr>
                <w:rFonts w:ascii="Arial" w:hAnsi="Arial" w:cs="Arial"/>
              </w:rPr>
              <w:t xml:space="preserve"> </w:t>
            </w:r>
            <w:r w:rsidRPr="00C16BF8">
              <w:rPr>
                <w:rFonts w:ascii="Arial" w:hAnsi="Arial" w:cs="Arial"/>
                <w:lang w:val="en-GB"/>
              </w:rPr>
              <w:t xml:space="preserve"> </w:t>
            </w:r>
          </w:p>
          <w:p w14:paraId="01279318" w14:textId="77777777" w:rsidR="009C5E2E" w:rsidRPr="00C16BF8" w:rsidRDefault="009C5E2E" w:rsidP="00BC5DB9">
            <w:pPr>
              <w:pStyle w:val="NormalWeb"/>
              <w:jc w:val="both"/>
              <w:rPr>
                <w:rFonts w:ascii="Arial" w:hAnsi="Arial" w:cs="Arial"/>
              </w:rPr>
            </w:pPr>
            <w:r w:rsidRPr="00C16BF8">
              <w:rPr>
                <w:rFonts w:ascii="Arial" w:hAnsi="Arial" w:cs="Arial"/>
              </w:rPr>
              <w:t xml:space="preserve">A search strategy is a planned, systematic approach for locating, appraising and selecting literature to answer a research </w:t>
            </w:r>
            <w:r w:rsidRPr="00C16BF8">
              <w:rPr>
                <w:rFonts w:ascii="Arial" w:hAnsi="Arial" w:cs="Arial"/>
                <w:sz w:val="22"/>
              </w:rPr>
              <w:t>question (</w:t>
            </w:r>
            <w:r w:rsidRPr="00C16BF8">
              <w:rPr>
                <w:rFonts w:ascii="Arial" w:hAnsi="Arial" w:cs="Arial"/>
                <w:color w:val="000000" w:themeColor="text1"/>
                <w:sz w:val="22"/>
              </w:rPr>
              <w:t>Booth et al., 2016).</w:t>
            </w:r>
          </w:p>
          <w:p w14:paraId="6642BB0F" w14:textId="77777777" w:rsidR="009C5E2E" w:rsidRPr="00C16BF8" w:rsidRDefault="009C5E2E" w:rsidP="00BC5DB9">
            <w:pPr>
              <w:spacing w:line="360" w:lineRule="auto"/>
              <w:jc w:val="both"/>
              <w:rPr>
                <w:rFonts w:ascii="Arial" w:hAnsi="Arial" w:cs="Arial"/>
                <w:lang w:val="en-GB"/>
              </w:rPr>
            </w:pPr>
            <w:r w:rsidRPr="00C16BF8">
              <w:rPr>
                <w:rFonts w:ascii="Arial" w:hAnsi="Arial" w:cs="Arial"/>
                <w:noProof/>
              </w:rPr>
              <w:drawing>
                <wp:inline distT="0" distB="0" distL="0" distR="0" wp14:anchorId="10AFB73C" wp14:editId="40153B55">
                  <wp:extent cx="3773170" cy="2155371"/>
                  <wp:effectExtent l="38100" t="0" r="1778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8" r:lo="rId109" r:qs="rId110" r:cs="rId111"/>
                    </a:graphicData>
                  </a:graphic>
                </wp:inline>
              </w:drawing>
            </w:r>
          </w:p>
        </w:tc>
      </w:tr>
      <w:tr w:rsidR="004B3A63" w:rsidRPr="00C16BF8" w14:paraId="19C8B3B3" w14:textId="77777777" w:rsidTr="007C44E7">
        <w:trPr>
          <w:trHeight w:val="1856"/>
        </w:trPr>
        <w:tc>
          <w:tcPr>
            <w:tcW w:w="6610" w:type="dxa"/>
          </w:tcPr>
          <w:p w14:paraId="45AEA31E" w14:textId="77777777" w:rsidR="009C5E2E" w:rsidRPr="00C16BF8" w:rsidRDefault="009C5E2E" w:rsidP="00BC5DB9">
            <w:pPr>
              <w:jc w:val="both"/>
              <w:rPr>
                <w:rFonts w:ascii="Arial" w:hAnsi="Arial" w:cs="Arial"/>
              </w:rPr>
            </w:pPr>
            <w:r w:rsidRPr="00C16BF8">
              <w:rPr>
                <w:rFonts w:ascii="Arial" w:hAnsi="Arial" w:cs="Arial"/>
                <w:b/>
                <w:bCs/>
                <w:color w:val="009999"/>
                <w:sz w:val="40"/>
                <w:szCs w:val="40"/>
              </w:rPr>
              <w:t>03</w:t>
            </w:r>
            <w:r w:rsidRPr="00C16BF8">
              <w:rPr>
                <w:rFonts w:ascii="Arial" w:hAnsi="Arial" w:cs="Arial"/>
                <w:color w:val="009999"/>
              </w:rPr>
              <w:t xml:space="preserve"> </w:t>
            </w:r>
            <w:r w:rsidRPr="00C16BF8">
              <w:rPr>
                <w:rFonts w:ascii="Arial" w:hAnsi="Arial" w:cs="Arial"/>
                <w:b/>
                <w:bCs/>
              </w:rPr>
              <w:t>Searching for Information</w:t>
            </w:r>
            <w:r w:rsidRPr="00C16BF8">
              <w:rPr>
                <w:rFonts w:ascii="Arial" w:hAnsi="Arial" w:cs="Arial"/>
              </w:rPr>
              <w:t xml:space="preserve"> </w:t>
            </w:r>
          </w:p>
          <w:p w14:paraId="57B47D14" w14:textId="77777777" w:rsidR="009C5E2E" w:rsidRPr="00C16BF8" w:rsidRDefault="009C5E2E" w:rsidP="009C5E2E">
            <w:pPr>
              <w:pStyle w:val="NormalWeb"/>
              <w:numPr>
                <w:ilvl w:val="0"/>
                <w:numId w:val="4"/>
              </w:numPr>
              <w:jc w:val="both"/>
              <w:rPr>
                <w:rFonts w:ascii="Arial" w:hAnsi="Arial" w:cs="Arial"/>
                <w:sz w:val="22"/>
              </w:rPr>
            </w:pPr>
            <w:r w:rsidRPr="00C16BF8">
              <w:rPr>
                <w:rFonts w:ascii="Arial" w:hAnsi="Arial" w:cs="Arial"/>
                <w:sz w:val="22"/>
              </w:rPr>
              <w:t xml:space="preserve">I searched Google Scholar, PubMed and the UWTSD Library using title-derived keywords and synonyms, combined with Boolean operators. </w:t>
            </w:r>
          </w:p>
          <w:p w14:paraId="422F5789" w14:textId="77777777" w:rsidR="009C5E2E" w:rsidRPr="00C16BF8" w:rsidRDefault="009C5E2E" w:rsidP="009C5E2E">
            <w:pPr>
              <w:pStyle w:val="NormalWeb"/>
              <w:numPr>
                <w:ilvl w:val="0"/>
                <w:numId w:val="4"/>
              </w:numPr>
              <w:jc w:val="both"/>
              <w:rPr>
                <w:rFonts w:ascii="Arial" w:hAnsi="Arial" w:cs="Arial"/>
                <w:sz w:val="22"/>
              </w:rPr>
            </w:pPr>
            <w:r w:rsidRPr="00C16BF8">
              <w:rPr>
                <w:rFonts w:ascii="Arial" w:hAnsi="Arial" w:cs="Arial"/>
                <w:sz w:val="22"/>
              </w:rPr>
              <w:t xml:space="preserve">I set filters: 2020–2024, English, peer-reviewed, UK-relevant, qualitative/rapid reviews. </w:t>
            </w:r>
          </w:p>
          <w:p w14:paraId="2D3DF27F" w14:textId="77777777" w:rsidR="009C5E2E" w:rsidRPr="00C16BF8" w:rsidRDefault="009C5E2E" w:rsidP="009C5E2E">
            <w:pPr>
              <w:pStyle w:val="NormalWeb"/>
              <w:numPr>
                <w:ilvl w:val="0"/>
                <w:numId w:val="4"/>
              </w:numPr>
              <w:jc w:val="both"/>
              <w:rPr>
                <w:rFonts w:ascii="Arial" w:hAnsi="Arial" w:cs="Arial"/>
                <w:sz w:val="22"/>
              </w:rPr>
            </w:pPr>
            <w:r w:rsidRPr="00C16BF8">
              <w:rPr>
                <w:rFonts w:ascii="Arial" w:hAnsi="Arial" w:cs="Arial"/>
                <w:sz w:val="22"/>
              </w:rPr>
              <w:t xml:space="preserve">I logged each query, hits and inclusion decisions, then screened titles/abstracts (relevance, design, setting) before full-text appraisal. </w:t>
            </w:r>
          </w:p>
          <w:p w14:paraId="3C8CAFCE" w14:textId="77777777" w:rsidR="009C5E2E" w:rsidRPr="00C16BF8" w:rsidRDefault="009C5E2E" w:rsidP="009C5E2E">
            <w:pPr>
              <w:pStyle w:val="NormalWeb"/>
              <w:numPr>
                <w:ilvl w:val="0"/>
                <w:numId w:val="4"/>
              </w:numPr>
              <w:jc w:val="both"/>
              <w:rPr>
                <w:rFonts w:ascii="Arial" w:hAnsi="Arial" w:cs="Arial"/>
                <w:sz w:val="22"/>
              </w:rPr>
            </w:pPr>
            <w:r w:rsidRPr="00C16BF8">
              <w:rPr>
                <w:rFonts w:ascii="Arial" w:hAnsi="Arial" w:cs="Arial"/>
                <w:sz w:val="22"/>
              </w:rPr>
              <w:t xml:space="preserve">I refined terms via berrypicking (iterative query tweaks) and snowballing (mining reference lists). </w:t>
            </w:r>
          </w:p>
          <w:p w14:paraId="7C41381E" w14:textId="77777777" w:rsidR="00CE49A8" w:rsidRPr="00C16BF8" w:rsidRDefault="009C5E2E" w:rsidP="00CE49A8">
            <w:pPr>
              <w:pStyle w:val="NormalWeb"/>
              <w:numPr>
                <w:ilvl w:val="0"/>
                <w:numId w:val="4"/>
              </w:numPr>
              <w:jc w:val="both"/>
              <w:rPr>
                <w:rFonts w:ascii="Arial" w:hAnsi="Arial" w:cs="Arial"/>
                <w:sz w:val="22"/>
                <w:lang w:val="en-GB"/>
              </w:rPr>
            </w:pPr>
            <w:r w:rsidRPr="00C16BF8">
              <w:rPr>
                <w:rFonts w:ascii="Arial" w:hAnsi="Arial" w:cs="Arial"/>
                <w:sz w:val="22"/>
              </w:rPr>
              <w:t>I prioritised studies addressing HCW mental health, burnout and moral distress across UK settings to ensure contextual fit and thematic richness</w:t>
            </w:r>
            <w:r w:rsidRPr="00C16BF8">
              <w:rPr>
                <w:rFonts w:ascii="Arial" w:hAnsi="Arial" w:cs="Arial"/>
                <w:sz w:val="22"/>
                <w:lang w:val="en-GB"/>
              </w:rPr>
              <w:t>.</w:t>
            </w:r>
          </w:p>
          <w:p w14:paraId="6D12BF45" w14:textId="77777777" w:rsidR="009C5E2E" w:rsidRPr="00C16BF8" w:rsidRDefault="009C5E2E" w:rsidP="00BC5DB9">
            <w:pPr>
              <w:jc w:val="both"/>
              <w:rPr>
                <w:rFonts w:ascii="Arial" w:hAnsi="Arial" w:cs="Arial"/>
                <w:b/>
                <w:bCs/>
              </w:rPr>
            </w:pPr>
            <w:r w:rsidRPr="00C16BF8">
              <w:rPr>
                <w:rFonts w:ascii="Arial" w:hAnsi="Arial" w:cs="Arial"/>
                <w:b/>
                <w:bCs/>
                <w:color w:val="009999"/>
                <w:sz w:val="40"/>
                <w:szCs w:val="40"/>
              </w:rPr>
              <w:t>05</w:t>
            </w:r>
            <w:r w:rsidRPr="00C16BF8">
              <w:rPr>
                <w:rFonts w:ascii="Arial" w:hAnsi="Arial" w:cs="Arial"/>
                <w:color w:val="009999"/>
              </w:rPr>
              <w:t xml:space="preserve"> </w:t>
            </w:r>
            <w:r w:rsidRPr="00C16BF8">
              <w:rPr>
                <w:rFonts w:ascii="Arial" w:hAnsi="Arial" w:cs="Arial"/>
                <w:b/>
                <w:bCs/>
              </w:rPr>
              <w:t>Research Validation and Analysis</w:t>
            </w:r>
          </w:p>
          <w:p w14:paraId="0340BB52" w14:textId="77777777" w:rsidR="009C5E2E" w:rsidRPr="00C16BF8" w:rsidRDefault="009C5E2E" w:rsidP="00BC5DB9">
            <w:pPr>
              <w:pStyle w:val="NormalWeb"/>
              <w:jc w:val="both"/>
              <w:rPr>
                <w:rFonts w:ascii="Arial" w:hAnsi="Arial" w:cs="Arial"/>
                <w:sz w:val="22"/>
                <w:szCs w:val="22"/>
              </w:rPr>
            </w:pPr>
            <w:r w:rsidRPr="00C16BF8">
              <w:rPr>
                <w:rFonts w:ascii="Arial" w:hAnsi="Arial" w:cs="Arial"/>
                <w:sz w:val="22"/>
                <w:szCs w:val="22"/>
              </w:rPr>
              <w:t xml:space="preserve">Validation in secondary research means rigorously assessing source credibility, relevance, and methodological quality to ensure reliable evidence underpins the dissertation </w:t>
            </w:r>
            <w:r w:rsidRPr="00C16BF8">
              <w:rPr>
                <w:rFonts w:ascii="Arial" w:hAnsi="Arial" w:cs="Arial"/>
                <w:color w:val="000000" w:themeColor="text1"/>
                <w:sz w:val="22"/>
                <w:szCs w:val="22"/>
              </w:rPr>
              <w:t>(Snyder, 2019; Petticrew &amp; Roberts, 2006)</w:t>
            </w:r>
            <w:r w:rsidRPr="00C16BF8">
              <w:rPr>
                <w:rFonts w:ascii="Arial" w:hAnsi="Arial" w:cs="Arial"/>
                <w:sz w:val="22"/>
                <w:szCs w:val="22"/>
              </w:rPr>
              <w:t>. I applied critical appraisal checklists, triangulated across databases and grey literature, and noted bias, currency, and context. Secondary research analysis involves systematically coding the literature to identify recurring patterns (Blakeslee et al, 2004). Using thematic analysis, I grouped findings into coherent themes, iteratively refining codes and using audit trails to justify interpretations while acknowledging limitations such as publication bias and variable reporting.</w:t>
            </w:r>
          </w:p>
        </w:tc>
        <w:tc>
          <w:tcPr>
            <w:tcW w:w="6340" w:type="dxa"/>
          </w:tcPr>
          <w:p w14:paraId="655EF900" w14:textId="77777777" w:rsidR="009C5E2E" w:rsidRPr="00C16BF8" w:rsidRDefault="009C5E2E" w:rsidP="00BC5DB9">
            <w:pPr>
              <w:jc w:val="both"/>
              <w:rPr>
                <w:rFonts w:ascii="Arial" w:hAnsi="Arial" w:cs="Arial"/>
                <w:b/>
                <w:bCs/>
              </w:rPr>
            </w:pPr>
            <w:r w:rsidRPr="00C16BF8">
              <w:rPr>
                <w:rFonts w:ascii="Arial" w:hAnsi="Arial" w:cs="Arial"/>
                <w:b/>
                <w:bCs/>
                <w:color w:val="009999"/>
                <w:sz w:val="40"/>
                <w:szCs w:val="40"/>
              </w:rPr>
              <w:t>04</w:t>
            </w:r>
            <w:r w:rsidRPr="00C16BF8">
              <w:rPr>
                <w:rFonts w:ascii="Arial" w:hAnsi="Arial" w:cs="Arial"/>
              </w:rPr>
              <w:t xml:space="preserve"> </w:t>
            </w:r>
            <w:r w:rsidRPr="00C16BF8">
              <w:rPr>
                <w:rFonts w:ascii="Arial" w:hAnsi="Arial" w:cs="Arial"/>
                <w:b/>
                <w:bCs/>
              </w:rPr>
              <w:t>Picture / Graph / Visual Aid / Statistics</w:t>
            </w:r>
          </w:p>
          <w:p w14:paraId="07836865" w14:textId="77777777" w:rsidR="009C5E2E" w:rsidRPr="00C16BF8" w:rsidRDefault="009C5E2E" w:rsidP="00BC5DB9">
            <w:pPr>
              <w:jc w:val="center"/>
              <w:rPr>
                <w:rFonts w:ascii="Arial" w:hAnsi="Arial" w:cs="Arial"/>
                <w:b/>
                <w:bCs/>
              </w:rPr>
            </w:pPr>
          </w:p>
          <w:p w14:paraId="5748AAAE" w14:textId="77777777" w:rsidR="009C5E2E" w:rsidRPr="00C16BF8" w:rsidRDefault="009C5E2E" w:rsidP="00BC5DB9">
            <w:pPr>
              <w:jc w:val="both"/>
              <w:rPr>
                <w:rFonts w:ascii="Arial" w:hAnsi="Arial" w:cs="Arial"/>
                <w:b/>
                <w:bCs/>
              </w:rPr>
            </w:pPr>
            <w:r w:rsidRPr="00C16BF8">
              <w:rPr>
                <w:rFonts w:ascii="Arial" w:hAnsi="Arial" w:cs="Arial"/>
                <w:noProof/>
              </w:rPr>
              <w:drawing>
                <wp:inline distT="0" distB="0" distL="0" distR="0" wp14:anchorId="0992111C" wp14:editId="43A721DC">
                  <wp:extent cx="3671570" cy="3882571"/>
                  <wp:effectExtent l="0" t="0" r="0" b="2286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tc>
      </w:tr>
      <w:tr w:rsidR="004B3A63" w:rsidRPr="00C16BF8" w14:paraId="28A42FA6" w14:textId="77777777" w:rsidTr="007C44E7">
        <w:trPr>
          <w:trHeight w:val="1511"/>
        </w:trPr>
        <w:tc>
          <w:tcPr>
            <w:tcW w:w="6610" w:type="dxa"/>
          </w:tcPr>
          <w:p w14:paraId="43A28F60" w14:textId="77777777" w:rsidR="009C5E2E" w:rsidRPr="00C16BF8" w:rsidRDefault="009C5E2E" w:rsidP="00BC5DB9">
            <w:pPr>
              <w:jc w:val="both"/>
              <w:rPr>
                <w:rFonts w:ascii="Arial" w:hAnsi="Arial" w:cs="Arial"/>
              </w:rPr>
            </w:pPr>
            <w:r w:rsidRPr="00C16BF8">
              <w:rPr>
                <w:rFonts w:ascii="Arial" w:hAnsi="Arial" w:cs="Arial"/>
                <w:b/>
                <w:bCs/>
                <w:color w:val="009999"/>
                <w:sz w:val="40"/>
                <w:szCs w:val="40"/>
              </w:rPr>
              <w:t>06</w:t>
            </w:r>
            <w:r w:rsidRPr="00C16BF8">
              <w:rPr>
                <w:rFonts w:ascii="Arial" w:hAnsi="Arial" w:cs="Arial"/>
                <w:color w:val="009999"/>
              </w:rPr>
              <w:t xml:space="preserve"> </w:t>
            </w:r>
            <w:r w:rsidRPr="00C16BF8">
              <w:rPr>
                <w:rFonts w:ascii="Arial" w:hAnsi="Arial" w:cs="Arial"/>
                <w:b/>
                <w:bCs/>
              </w:rPr>
              <w:t>Inclusion Criteria</w:t>
            </w:r>
            <w:r w:rsidRPr="00C16BF8">
              <w:rPr>
                <w:rFonts w:ascii="Arial" w:hAnsi="Arial" w:cs="Arial"/>
              </w:rPr>
              <w:t xml:space="preserve"> </w:t>
            </w:r>
          </w:p>
          <w:p w14:paraId="4E633C4D"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Peer-reviewed articles (qualitative or mixed-methods with extractable qualitative data), 2020–2024.</w:t>
            </w:r>
          </w:p>
          <w:p w14:paraId="500D3B6D"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UK-based or UK-relevant studies on healthcare workers’ mental health during COVID-19.</w:t>
            </w:r>
          </w:p>
          <w:p w14:paraId="26AD9C31"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Settings across ICU/acute, ED/ambulance, primary/community care, and care homes.</w:t>
            </w:r>
          </w:p>
          <w:p w14:paraId="6D4DC43D"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Organisational/policy reports from authoritative bodies (e.g., NHS England, NICE, HSE, WHO/ILO).</w:t>
            </w:r>
          </w:p>
          <w:p w14:paraId="5B6E3A17"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English language; full text accessible.</w:t>
            </w:r>
          </w:p>
          <w:p w14:paraId="2EB76DC8" w14:textId="77777777" w:rsidR="009C5E2E" w:rsidRPr="00C16BF8" w:rsidRDefault="009C5E2E" w:rsidP="009C5E2E">
            <w:pPr>
              <w:numPr>
                <w:ilvl w:val="0"/>
                <w:numId w:val="5"/>
              </w:numPr>
              <w:spacing w:before="100" w:beforeAutospacing="1" w:after="100" w:afterAutospacing="1"/>
              <w:jc w:val="both"/>
              <w:rPr>
                <w:rFonts w:ascii="Arial" w:eastAsia="Times New Roman" w:hAnsi="Arial" w:cs="Arial"/>
                <w:sz w:val="24"/>
                <w:szCs w:val="24"/>
              </w:rPr>
            </w:pPr>
            <w:r w:rsidRPr="00C16BF8">
              <w:rPr>
                <w:rFonts w:ascii="Arial" w:eastAsia="Times New Roman" w:hAnsi="Arial" w:cs="Arial"/>
                <w:szCs w:val="24"/>
              </w:rPr>
              <w:t>Addresses outcomes such as stress, anxiety, depression, insomnia/PTSD-type symptoms, burnout, moral distress, and coping/supports.</w:t>
            </w:r>
          </w:p>
        </w:tc>
        <w:tc>
          <w:tcPr>
            <w:tcW w:w="6340" w:type="dxa"/>
          </w:tcPr>
          <w:p w14:paraId="4DFB5AF0" w14:textId="77777777" w:rsidR="009C5E2E" w:rsidRPr="00C16BF8" w:rsidRDefault="009C5E2E" w:rsidP="00BC5DB9">
            <w:pPr>
              <w:jc w:val="both"/>
              <w:rPr>
                <w:rFonts w:ascii="Arial" w:hAnsi="Arial" w:cs="Arial"/>
              </w:rPr>
            </w:pPr>
            <w:r w:rsidRPr="00C16BF8">
              <w:rPr>
                <w:rFonts w:ascii="Arial" w:hAnsi="Arial" w:cs="Arial"/>
                <w:b/>
                <w:bCs/>
                <w:color w:val="009999"/>
                <w:sz w:val="40"/>
                <w:szCs w:val="40"/>
              </w:rPr>
              <w:t>07</w:t>
            </w:r>
            <w:r w:rsidRPr="00C16BF8">
              <w:rPr>
                <w:rFonts w:ascii="Arial" w:hAnsi="Arial" w:cs="Arial"/>
              </w:rPr>
              <w:t xml:space="preserve"> </w:t>
            </w:r>
            <w:r w:rsidRPr="00C16BF8">
              <w:rPr>
                <w:rFonts w:ascii="Arial" w:hAnsi="Arial" w:cs="Arial"/>
                <w:b/>
                <w:bCs/>
              </w:rPr>
              <w:t>Exclusion Criteria</w:t>
            </w:r>
            <w:r w:rsidRPr="00C16BF8">
              <w:rPr>
                <w:rFonts w:ascii="Arial" w:hAnsi="Arial" w:cs="Arial"/>
              </w:rPr>
              <w:t xml:space="preserve"> </w:t>
            </w:r>
          </w:p>
          <w:p w14:paraId="3EDC7564"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Non-UK empirical studies (unless foundational theory/frameworks).</w:t>
            </w:r>
          </w:p>
          <w:p w14:paraId="2A904CC1"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Quantitative-only studies without meaningful qualitative insights.</w:t>
            </w:r>
          </w:p>
          <w:p w14:paraId="7CDD5044"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Opinion pieces/blogs, non-scholarly commentary (excluding key authoritative reports).</w:t>
            </w:r>
          </w:p>
          <w:p w14:paraId="515D3DD5"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Pre-2020 publications (except seminal theories/measures).</w:t>
            </w:r>
          </w:p>
          <w:p w14:paraId="0119FB69"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Non-healthcare workforce focus or patient-only samples.</w:t>
            </w:r>
          </w:p>
          <w:p w14:paraId="5CCE9541"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Non-English or inaccessible full texts.</w:t>
            </w:r>
          </w:p>
          <w:p w14:paraId="7C40BB99" w14:textId="77777777" w:rsidR="009C5E2E" w:rsidRPr="00C16BF8" w:rsidRDefault="009C5E2E" w:rsidP="009C5E2E">
            <w:pPr>
              <w:numPr>
                <w:ilvl w:val="0"/>
                <w:numId w:val="6"/>
              </w:numPr>
              <w:spacing w:before="100" w:beforeAutospacing="1" w:after="100" w:afterAutospacing="1"/>
              <w:jc w:val="both"/>
              <w:rPr>
                <w:rFonts w:ascii="Arial" w:eastAsia="Times New Roman" w:hAnsi="Arial" w:cs="Arial"/>
                <w:szCs w:val="24"/>
              </w:rPr>
            </w:pPr>
            <w:r w:rsidRPr="00C16BF8">
              <w:rPr>
                <w:rFonts w:ascii="Arial" w:eastAsia="Times New Roman" w:hAnsi="Arial" w:cs="Arial"/>
                <w:szCs w:val="24"/>
              </w:rPr>
              <w:t>Duplicates or studies lacking sufficient methodological detail.</w:t>
            </w:r>
          </w:p>
          <w:p w14:paraId="5A69D1D8" w14:textId="77777777" w:rsidR="009C5E2E" w:rsidRPr="00C16BF8" w:rsidRDefault="009C5E2E" w:rsidP="00BC5DB9">
            <w:pPr>
              <w:jc w:val="both"/>
              <w:rPr>
                <w:rFonts w:ascii="Arial" w:hAnsi="Arial" w:cs="Arial"/>
              </w:rPr>
            </w:pPr>
          </w:p>
        </w:tc>
      </w:tr>
      <w:tr w:rsidR="009C5E2E" w:rsidRPr="00C16BF8" w14:paraId="256DA61E" w14:textId="77777777" w:rsidTr="007C44E7">
        <w:trPr>
          <w:trHeight w:val="1798"/>
        </w:trPr>
        <w:tc>
          <w:tcPr>
            <w:tcW w:w="12950" w:type="dxa"/>
            <w:gridSpan w:val="2"/>
          </w:tcPr>
          <w:p w14:paraId="3DC4C786" w14:textId="77777777" w:rsidR="009C5E2E" w:rsidRPr="00C16BF8" w:rsidRDefault="009C5E2E" w:rsidP="00BC5DB9">
            <w:pPr>
              <w:jc w:val="center"/>
              <w:rPr>
                <w:rFonts w:ascii="Arial" w:hAnsi="Arial" w:cs="Arial"/>
                <w:b/>
                <w:bCs/>
              </w:rPr>
            </w:pPr>
            <w:r w:rsidRPr="00C16BF8">
              <w:rPr>
                <w:rFonts w:ascii="Arial" w:hAnsi="Arial" w:cs="Arial"/>
                <w:b/>
                <w:bCs/>
                <w:color w:val="009999"/>
                <w:sz w:val="40"/>
                <w:szCs w:val="40"/>
              </w:rPr>
              <w:t>08</w:t>
            </w:r>
            <w:r w:rsidRPr="00C16BF8">
              <w:rPr>
                <w:rFonts w:ascii="Arial" w:hAnsi="Arial" w:cs="Arial"/>
              </w:rPr>
              <w:t xml:space="preserve"> </w:t>
            </w:r>
            <w:r w:rsidRPr="00C16BF8">
              <w:rPr>
                <w:rFonts w:ascii="Arial" w:hAnsi="Arial" w:cs="Arial"/>
                <w:b/>
                <w:bCs/>
              </w:rPr>
              <w:t>Ethical Considerations</w:t>
            </w:r>
          </w:p>
          <w:p w14:paraId="41273FD0" w14:textId="77777777" w:rsidR="009C5E2E" w:rsidRPr="00C16BF8" w:rsidRDefault="009C5E2E" w:rsidP="00BC5DB9">
            <w:pPr>
              <w:pStyle w:val="NormalWeb"/>
              <w:jc w:val="both"/>
              <w:rPr>
                <w:rFonts w:ascii="Arial" w:hAnsi="Arial" w:cs="Arial"/>
                <w:sz w:val="22"/>
              </w:rPr>
            </w:pPr>
            <w:r w:rsidRPr="00C16BF8">
              <w:rPr>
                <w:rFonts w:ascii="Arial" w:hAnsi="Arial" w:cs="Arial"/>
                <w:sz w:val="22"/>
              </w:rPr>
              <w:t xml:space="preserve">Ethical considerations in secondary research are the integrity-focused principles, accurate reporting, proper attribution, transparent methods, and responsible use of published data, that prevent harm, bias, and copyright breaches </w:t>
            </w:r>
            <w:r w:rsidRPr="00C16BF8">
              <w:rPr>
                <w:rFonts w:ascii="Arial" w:hAnsi="Arial" w:cs="Arial"/>
                <w:color w:val="000000" w:themeColor="text1"/>
                <w:sz w:val="22"/>
              </w:rPr>
              <w:t>(Petticrew &amp; Roberts, 2006).</w:t>
            </w:r>
          </w:p>
          <w:p w14:paraId="19C7EA21" w14:textId="77777777" w:rsidR="009C5E2E" w:rsidRPr="00C16BF8" w:rsidRDefault="009C5E2E" w:rsidP="00BC5DB9">
            <w:pPr>
              <w:jc w:val="both"/>
              <w:rPr>
                <w:rFonts w:ascii="Arial" w:hAnsi="Arial" w:cs="Arial"/>
                <w:lang w:val="en-GB"/>
              </w:rPr>
            </w:pPr>
            <w:r w:rsidRPr="00C16BF8">
              <w:rPr>
                <w:rFonts w:ascii="Arial" w:hAnsi="Arial" w:cs="Arial"/>
                <w:noProof/>
              </w:rPr>
              <w:drawing>
                <wp:inline distT="0" distB="0" distL="0" distR="0" wp14:anchorId="7DCAC1B8" wp14:editId="6676B703">
                  <wp:extent cx="9144000" cy="3456000"/>
                  <wp:effectExtent l="0" t="38100" r="57150" b="4953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8" r:lo="rId119" r:qs="rId120" r:cs="rId121"/>
                    </a:graphicData>
                  </a:graphic>
                </wp:inline>
              </w:drawing>
            </w:r>
          </w:p>
        </w:tc>
      </w:tr>
    </w:tbl>
    <w:p w14:paraId="7A8A943A" w14:textId="77777777" w:rsidR="009C5E2E" w:rsidRPr="00C16BF8" w:rsidRDefault="009C5E2E" w:rsidP="009C5E2E">
      <w:pPr>
        <w:rPr>
          <w:rFonts w:ascii="Arial" w:hAnsi="Arial" w:cs="Arial"/>
        </w:rPr>
        <w:sectPr w:rsidR="009C5E2E" w:rsidRPr="00C16BF8" w:rsidSect="009C5E2E">
          <w:pgSz w:w="15840" w:h="12240" w:orient="landscape"/>
          <w:pgMar w:top="1440" w:right="1440" w:bottom="1440" w:left="1440" w:header="720" w:footer="720" w:gutter="0"/>
          <w:cols w:space="720"/>
          <w:docGrid w:linePitch="360"/>
        </w:sectPr>
      </w:pPr>
    </w:p>
    <w:p w14:paraId="31657247" w14:textId="77777777" w:rsidR="009C5E2E" w:rsidRPr="00A73F68" w:rsidRDefault="007C44E7" w:rsidP="007C44E7">
      <w:pPr>
        <w:pStyle w:val="Heading3"/>
        <w:rPr>
          <w:rFonts w:ascii="Arial" w:hAnsi="Arial" w:cs="Arial"/>
          <w:b/>
          <w:color w:val="000000" w:themeColor="text1"/>
        </w:rPr>
      </w:pPr>
      <w:bookmarkStart w:id="81" w:name="_Toc209387804"/>
      <w:r w:rsidRPr="00A73F68">
        <w:rPr>
          <w:rFonts w:ascii="Arial" w:hAnsi="Arial" w:cs="Arial"/>
          <w:b/>
          <w:color w:val="000000" w:themeColor="text1"/>
        </w:rPr>
        <w:t>Appendix B: Themes Summary</w:t>
      </w:r>
      <w:bookmarkEnd w:id="81"/>
    </w:p>
    <w:p w14:paraId="1BDDD55A" w14:textId="77777777" w:rsidR="009C5E2E" w:rsidRPr="00C16BF8" w:rsidRDefault="009C5E2E" w:rsidP="009C5E2E">
      <w:pPr>
        <w:rPr>
          <w:rFonts w:ascii="Arial" w:hAnsi="Arial" w:cs="Arial"/>
        </w:rPr>
      </w:pPr>
    </w:p>
    <w:p w14:paraId="284EA315" w14:textId="77777777" w:rsidR="007C44E7" w:rsidRPr="00C16BF8" w:rsidRDefault="007C44E7" w:rsidP="007C44E7">
      <w:pPr>
        <w:pStyle w:val="Caption"/>
        <w:keepNext/>
        <w:jc w:val="center"/>
        <w:rPr>
          <w:rFonts w:ascii="Arial" w:hAnsi="Arial" w:cs="Arial"/>
        </w:rPr>
      </w:pPr>
      <w:bookmarkStart w:id="82" w:name="_Toc209387810"/>
      <w:r w:rsidRPr="00C16BF8">
        <w:rPr>
          <w:rFonts w:ascii="Arial" w:hAnsi="Arial" w:cs="Arial"/>
        </w:rPr>
        <w:t xml:space="preserve">Table </w:t>
      </w:r>
      <w:r w:rsidRPr="00C16BF8">
        <w:rPr>
          <w:rFonts w:ascii="Arial" w:hAnsi="Arial" w:cs="Arial"/>
        </w:rPr>
        <w:fldChar w:fldCharType="begin"/>
      </w:r>
      <w:r w:rsidRPr="00C16BF8">
        <w:rPr>
          <w:rFonts w:ascii="Arial" w:hAnsi="Arial" w:cs="Arial"/>
        </w:rPr>
        <w:instrText xml:space="preserve"> SEQ Table \* ARABIC </w:instrText>
      </w:r>
      <w:r w:rsidRPr="00C16BF8">
        <w:rPr>
          <w:rFonts w:ascii="Arial" w:hAnsi="Arial" w:cs="Arial"/>
        </w:rPr>
        <w:fldChar w:fldCharType="separate"/>
      </w:r>
      <w:r w:rsidRPr="00C16BF8">
        <w:rPr>
          <w:rFonts w:ascii="Arial" w:hAnsi="Arial" w:cs="Arial"/>
          <w:noProof/>
        </w:rPr>
        <w:t>2</w:t>
      </w:r>
      <w:r w:rsidRPr="00C16BF8">
        <w:rPr>
          <w:rFonts w:ascii="Arial" w:hAnsi="Arial" w:cs="Arial"/>
        </w:rPr>
        <w:fldChar w:fldCharType="end"/>
      </w:r>
      <w:r w:rsidRPr="00C16BF8">
        <w:rPr>
          <w:rFonts w:ascii="Arial" w:hAnsi="Arial" w:cs="Arial"/>
        </w:rPr>
        <w:t>: Themes Summary</w:t>
      </w:r>
      <w:bookmarkEnd w:id="82"/>
    </w:p>
    <w:tbl>
      <w:tblPr>
        <w:tblStyle w:val="TableGrid"/>
        <w:tblW w:w="14382" w:type="dxa"/>
        <w:tblInd w:w="-455" w:type="dxa"/>
        <w:tblLook w:val="04A0" w:firstRow="1" w:lastRow="0" w:firstColumn="1" w:lastColumn="0" w:noHBand="0" w:noVBand="1"/>
      </w:tblPr>
      <w:tblGrid>
        <w:gridCol w:w="2185"/>
        <w:gridCol w:w="2136"/>
        <w:gridCol w:w="2775"/>
        <w:gridCol w:w="1318"/>
        <w:gridCol w:w="2210"/>
        <w:gridCol w:w="1598"/>
        <w:gridCol w:w="2160"/>
      </w:tblGrid>
      <w:tr w:rsidR="00DB1264" w:rsidRPr="00C16BF8" w14:paraId="1CF7BAC8" w14:textId="77777777" w:rsidTr="00452572">
        <w:tc>
          <w:tcPr>
            <w:tcW w:w="2185" w:type="dxa"/>
            <w:hideMark/>
          </w:tcPr>
          <w:p w14:paraId="6BD317BF"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Theme</w:t>
            </w:r>
          </w:p>
        </w:tc>
        <w:tc>
          <w:tcPr>
            <w:tcW w:w="2135" w:type="dxa"/>
            <w:hideMark/>
          </w:tcPr>
          <w:p w14:paraId="1C42E04B"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Focus &amp; Objective Link</w:t>
            </w:r>
          </w:p>
        </w:tc>
        <w:tc>
          <w:tcPr>
            <w:tcW w:w="2776" w:type="dxa"/>
            <w:hideMark/>
          </w:tcPr>
          <w:p w14:paraId="4CA351EC"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Key Findings (Qualitative)</w:t>
            </w:r>
          </w:p>
        </w:tc>
        <w:tc>
          <w:tcPr>
            <w:tcW w:w="0" w:type="auto"/>
            <w:hideMark/>
          </w:tcPr>
          <w:p w14:paraId="308A98D0"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Illustrative Evidence (Harvard)</w:t>
            </w:r>
          </w:p>
        </w:tc>
        <w:tc>
          <w:tcPr>
            <w:tcW w:w="0" w:type="auto"/>
            <w:hideMark/>
          </w:tcPr>
          <w:p w14:paraId="50152161"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Theoretical Framing</w:t>
            </w:r>
          </w:p>
        </w:tc>
        <w:tc>
          <w:tcPr>
            <w:tcW w:w="0" w:type="auto"/>
            <w:hideMark/>
          </w:tcPr>
          <w:p w14:paraId="55AE5A75"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Implications</w:t>
            </w:r>
          </w:p>
        </w:tc>
        <w:tc>
          <w:tcPr>
            <w:tcW w:w="2160" w:type="dxa"/>
            <w:hideMark/>
          </w:tcPr>
          <w:p w14:paraId="1CD11AA4" w14:textId="77777777" w:rsidR="00DB1264" w:rsidRPr="00C16BF8" w:rsidRDefault="00DB1264" w:rsidP="007C44E7">
            <w:pPr>
              <w:jc w:val="both"/>
              <w:rPr>
                <w:rFonts w:ascii="Arial" w:eastAsia="Times New Roman" w:hAnsi="Arial" w:cs="Arial"/>
                <w:b/>
                <w:bCs/>
              </w:rPr>
            </w:pPr>
            <w:r w:rsidRPr="00C16BF8">
              <w:rPr>
                <w:rFonts w:ascii="Arial" w:eastAsia="Times New Roman" w:hAnsi="Arial" w:cs="Arial"/>
                <w:b/>
                <w:bCs/>
              </w:rPr>
              <w:t>Example Interventions / Policy Levers</w:t>
            </w:r>
          </w:p>
        </w:tc>
      </w:tr>
      <w:tr w:rsidR="00DB1264" w:rsidRPr="00C16BF8" w14:paraId="65A5F3BF" w14:textId="77777777" w:rsidTr="00452572">
        <w:tc>
          <w:tcPr>
            <w:tcW w:w="2185" w:type="dxa"/>
            <w:hideMark/>
          </w:tcPr>
          <w:p w14:paraId="66C53CC8"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
                <w:bCs/>
              </w:rPr>
              <w:t>1. Psychological burden: stress, anxiety, depression, burnout, moral distress</w:t>
            </w:r>
          </w:p>
        </w:tc>
        <w:tc>
          <w:tcPr>
            <w:tcW w:w="2135" w:type="dxa"/>
            <w:hideMark/>
          </w:tcPr>
          <w:p w14:paraId="37B9B25A"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Obj-1</w:t>
            </w:r>
            <w:r w:rsidRPr="00C16BF8">
              <w:rPr>
                <w:rFonts w:ascii="Arial" w:eastAsia="Times New Roman" w:hAnsi="Arial" w:cs="Arial"/>
              </w:rPr>
              <w:t xml:space="preserve"> – Identify core psychological outcomes among UK HCWs during COVID-19</w:t>
            </w:r>
          </w:p>
        </w:tc>
        <w:tc>
          <w:tcPr>
            <w:tcW w:w="2776" w:type="dxa"/>
            <w:hideMark/>
          </w:tcPr>
          <w:p w14:paraId="69FBFD89"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Widespread fear (self/family infection), hypervigilance, sleep problems, grief; burnout signs (exhaustion, depersonalisation); moral distress from triage/visiting limits; burden uneven (nurses, ICU/ED, ethnic minority staff at higher risk).</w:t>
            </w:r>
          </w:p>
        </w:tc>
        <w:tc>
          <w:tcPr>
            <w:tcW w:w="0" w:type="auto"/>
            <w:hideMark/>
          </w:tcPr>
          <w:p w14:paraId="033A5E9E"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Billings et al., 2021; De Kock et al., 2021; Pappa et al., 2020; Sanghera et al., 2020; Greenberg et al., 2020; Maslach &amp; Leiter, 2016; NHS Staff Survey, 2021.</w:t>
            </w:r>
          </w:p>
        </w:tc>
        <w:tc>
          <w:tcPr>
            <w:tcW w:w="0" w:type="auto"/>
            <w:hideMark/>
          </w:tcPr>
          <w:p w14:paraId="714C91D0"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JD-R</w:t>
            </w:r>
            <w:r w:rsidRPr="00C16BF8">
              <w:rPr>
                <w:rFonts w:ascii="Arial" w:eastAsia="Times New Roman" w:hAnsi="Arial" w:cs="Arial"/>
              </w:rPr>
              <w:t xml:space="preserve"> (high demands/low resources), </w:t>
            </w:r>
            <w:r w:rsidRPr="00C16BF8">
              <w:rPr>
                <w:rFonts w:ascii="Arial" w:eastAsia="Times New Roman" w:hAnsi="Arial" w:cs="Arial"/>
                <w:bCs/>
              </w:rPr>
              <w:t>COR</w:t>
            </w:r>
            <w:r w:rsidRPr="00C16BF8">
              <w:rPr>
                <w:rFonts w:ascii="Arial" w:eastAsia="Times New Roman" w:hAnsi="Arial" w:cs="Arial"/>
              </w:rPr>
              <w:t xml:space="preserve"> (loss/gain spirals), </w:t>
            </w:r>
            <w:r w:rsidRPr="00C16BF8">
              <w:rPr>
                <w:rFonts w:ascii="Arial" w:eastAsia="Times New Roman" w:hAnsi="Arial" w:cs="Arial"/>
                <w:bCs/>
              </w:rPr>
              <w:t>ERI</w:t>
            </w:r>
            <w:r w:rsidRPr="00C16BF8">
              <w:rPr>
                <w:rFonts w:ascii="Arial" w:eastAsia="Times New Roman" w:hAnsi="Arial" w:cs="Arial"/>
              </w:rPr>
              <w:t xml:space="preserve"> (effort&gt;reward), </w:t>
            </w:r>
            <w:r w:rsidRPr="00C16BF8">
              <w:rPr>
                <w:rFonts w:ascii="Arial" w:eastAsia="Times New Roman" w:hAnsi="Arial" w:cs="Arial"/>
                <w:bCs/>
              </w:rPr>
              <w:t>Moral injury</w:t>
            </w:r>
            <w:r w:rsidRPr="00C16BF8">
              <w:rPr>
                <w:rFonts w:ascii="Arial" w:eastAsia="Times New Roman" w:hAnsi="Arial" w:cs="Arial"/>
              </w:rPr>
              <w:t xml:space="preserve"> (values conflict).</w:t>
            </w:r>
          </w:p>
        </w:tc>
        <w:tc>
          <w:tcPr>
            <w:tcW w:w="0" w:type="auto"/>
            <w:hideMark/>
          </w:tcPr>
          <w:p w14:paraId="2182BE2B"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Individual supports help, but structural factors (staffing, rest, leadership fairness) drive risk level.</w:t>
            </w:r>
          </w:p>
        </w:tc>
        <w:tc>
          <w:tcPr>
            <w:tcW w:w="2160" w:type="dxa"/>
            <w:hideMark/>
          </w:tcPr>
          <w:p w14:paraId="2FC64DDD"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Staffed rotas with protected breaks; rest hubs; predictable post-night recovery; ethics support for end-of-life/triage; visible compassionate leadership.</w:t>
            </w:r>
          </w:p>
        </w:tc>
      </w:tr>
      <w:tr w:rsidR="00DB1264" w:rsidRPr="00C16BF8" w14:paraId="55F43E5D" w14:textId="77777777" w:rsidTr="00452572">
        <w:tc>
          <w:tcPr>
            <w:tcW w:w="2185" w:type="dxa"/>
            <w:hideMark/>
          </w:tcPr>
          <w:p w14:paraId="2A84C5C6"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
                <w:bCs/>
              </w:rPr>
              <w:t>2. Lived experience across UK settings</w:t>
            </w:r>
          </w:p>
        </w:tc>
        <w:tc>
          <w:tcPr>
            <w:tcW w:w="2135" w:type="dxa"/>
            <w:hideMark/>
          </w:tcPr>
          <w:p w14:paraId="42A3F92C"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Obj-2</w:t>
            </w:r>
            <w:r w:rsidRPr="00C16BF8">
              <w:rPr>
                <w:rFonts w:ascii="Arial" w:eastAsia="Times New Roman" w:hAnsi="Arial" w:cs="Arial"/>
              </w:rPr>
              <w:t xml:space="preserve"> – Synthesize experiences across ICU/acute, ED/ambulance, primary/community, care homes</w:t>
            </w:r>
          </w:p>
        </w:tc>
        <w:tc>
          <w:tcPr>
            <w:tcW w:w="2776" w:type="dxa"/>
            <w:hideMark/>
          </w:tcPr>
          <w:p w14:paraId="279AE853"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ICU/acute: mortality, PPE barriers, end-of-life moral complexity. ED/ambulance: uncertainty, rapid triage, delayed emotional processing. Primary/community: remote triage load, isolation, unmet-need stress. Care homes: high mortality, grief, perceived neglect vs acute sector.</w:t>
            </w:r>
          </w:p>
        </w:tc>
        <w:tc>
          <w:tcPr>
            <w:tcW w:w="0" w:type="auto"/>
            <w:hideMark/>
          </w:tcPr>
          <w:p w14:paraId="7CCF7BBC"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Billings et al., 2021; De Kock et al., 2021; Rajan et al., 2020; RCGP, 2020; Kinman, Teoh &amp; Harriss, 2020.</w:t>
            </w:r>
          </w:p>
        </w:tc>
        <w:tc>
          <w:tcPr>
            <w:tcW w:w="0" w:type="auto"/>
            <w:hideMark/>
          </w:tcPr>
          <w:p w14:paraId="3ECAD55B"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 xml:space="preserve">Context conditions the </w:t>
            </w:r>
            <w:r w:rsidRPr="00C16BF8">
              <w:rPr>
                <w:rFonts w:ascii="Arial" w:eastAsia="Times New Roman" w:hAnsi="Arial" w:cs="Arial"/>
                <w:bCs/>
              </w:rPr>
              <w:t>JD-R</w:t>
            </w:r>
            <w:r w:rsidRPr="00C16BF8">
              <w:rPr>
                <w:rFonts w:ascii="Arial" w:eastAsia="Times New Roman" w:hAnsi="Arial" w:cs="Arial"/>
              </w:rPr>
              <w:t xml:space="preserve"> balance; equity issues shape exposure/resources.</w:t>
            </w:r>
          </w:p>
        </w:tc>
        <w:tc>
          <w:tcPr>
            <w:tcW w:w="0" w:type="auto"/>
            <w:hideMark/>
          </w:tcPr>
          <w:p w14:paraId="0667D9DB"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One-size-fits-all supports underperform; need setting-specific designs and parity across sectors.</w:t>
            </w:r>
          </w:p>
        </w:tc>
        <w:tc>
          <w:tcPr>
            <w:tcW w:w="2160" w:type="dxa"/>
            <w:hideMark/>
          </w:tcPr>
          <w:p w14:paraId="591D5935"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ICU: scheduled debriefs/trauma-aware supervision. ED/ambulance: rest planning and post-incident support. Primary/community: micro-teams, predictable rotas. Care homes: parity in PPE/testing/psych support.</w:t>
            </w:r>
          </w:p>
        </w:tc>
      </w:tr>
      <w:tr w:rsidR="00DB1264" w:rsidRPr="00C16BF8" w14:paraId="7A99D9D6" w14:textId="77777777" w:rsidTr="00452572">
        <w:tc>
          <w:tcPr>
            <w:tcW w:w="2185" w:type="dxa"/>
            <w:hideMark/>
          </w:tcPr>
          <w:p w14:paraId="16095625"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
                <w:bCs/>
              </w:rPr>
              <w:t>3. Coping strategies: strengths and limitations</w:t>
            </w:r>
          </w:p>
        </w:tc>
        <w:tc>
          <w:tcPr>
            <w:tcW w:w="2135" w:type="dxa"/>
            <w:hideMark/>
          </w:tcPr>
          <w:p w14:paraId="7F3A938B"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Obj-3</w:t>
            </w:r>
            <w:r w:rsidRPr="00C16BF8">
              <w:rPr>
                <w:rFonts w:ascii="Arial" w:eastAsia="Times New Roman" w:hAnsi="Arial" w:cs="Arial"/>
              </w:rPr>
              <w:t xml:space="preserve"> – Examine what helped and what didn’t</w:t>
            </w:r>
          </w:p>
        </w:tc>
        <w:tc>
          <w:tcPr>
            <w:tcW w:w="2776" w:type="dxa"/>
            <w:hideMark/>
          </w:tcPr>
          <w:p w14:paraId="053B2DFE"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Strengths: peer solidarity, end-of-shift huddles, embedded psychology, brief skills (sleep, grounding), practical gains (food, parking, accommodation). Limitations: time barriers, stigma/confidentiality, offer–need mismatch, inequity (care homes, bank/agency).</w:t>
            </w:r>
          </w:p>
        </w:tc>
        <w:tc>
          <w:tcPr>
            <w:tcW w:w="0" w:type="auto"/>
            <w:hideMark/>
          </w:tcPr>
          <w:p w14:paraId="4A600B5E"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Kinman, Teoh &amp; Harriss, 2020; Billings et al., 2021; Blake et al., 2020; De Kock et al., 2021; Rajan et al., 2020.</w:t>
            </w:r>
          </w:p>
        </w:tc>
        <w:tc>
          <w:tcPr>
            <w:tcW w:w="0" w:type="auto"/>
            <w:hideMark/>
          </w:tcPr>
          <w:p w14:paraId="61A0E16C"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JD-R</w:t>
            </w:r>
            <w:r w:rsidRPr="00C16BF8">
              <w:rPr>
                <w:rFonts w:ascii="Arial" w:eastAsia="Times New Roman" w:hAnsi="Arial" w:cs="Arial"/>
              </w:rPr>
              <w:t xml:space="preserve"> (add resources), </w:t>
            </w:r>
            <w:r w:rsidRPr="00C16BF8">
              <w:rPr>
                <w:rFonts w:ascii="Arial" w:eastAsia="Times New Roman" w:hAnsi="Arial" w:cs="Arial"/>
                <w:bCs/>
              </w:rPr>
              <w:t>COR</w:t>
            </w:r>
            <w:r w:rsidRPr="00C16BF8">
              <w:rPr>
                <w:rFonts w:ascii="Arial" w:eastAsia="Times New Roman" w:hAnsi="Arial" w:cs="Arial"/>
              </w:rPr>
              <w:t xml:space="preserve"> (interrupt loss spirals), </w:t>
            </w:r>
            <w:r w:rsidRPr="00C16BF8">
              <w:rPr>
                <w:rFonts w:ascii="Arial" w:eastAsia="Times New Roman" w:hAnsi="Arial" w:cs="Arial"/>
                <w:bCs/>
              </w:rPr>
              <w:t>ERI</w:t>
            </w:r>
            <w:r w:rsidRPr="00C16BF8">
              <w:rPr>
                <w:rFonts w:ascii="Arial" w:eastAsia="Times New Roman" w:hAnsi="Arial" w:cs="Arial"/>
              </w:rPr>
              <w:t>/</w:t>
            </w:r>
            <w:r w:rsidRPr="00C16BF8">
              <w:rPr>
                <w:rFonts w:ascii="Arial" w:eastAsia="Times New Roman" w:hAnsi="Arial" w:cs="Arial"/>
                <w:bCs/>
              </w:rPr>
              <w:t>Moral injury</w:t>
            </w:r>
            <w:r w:rsidRPr="00C16BF8">
              <w:rPr>
                <w:rFonts w:ascii="Arial" w:eastAsia="Times New Roman" w:hAnsi="Arial" w:cs="Arial"/>
              </w:rPr>
              <w:t xml:space="preserve"> (fairness/values).</w:t>
            </w:r>
          </w:p>
        </w:tc>
        <w:tc>
          <w:tcPr>
            <w:tcW w:w="0" w:type="auto"/>
            <w:hideMark/>
          </w:tcPr>
          <w:p w14:paraId="73F4E8FD"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Support must be embedded in workflow and paired with structural fixes; otherwise perceived as tokenistic.</w:t>
            </w:r>
          </w:p>
        </w:tc>
        <w:tc>
          <w:tcPr>
            <w:tcW w:w="2160" w:type="dxa"/>
            <w:hideMark/>
          </w:tcPr>
          <w:p w14:paraId="159B1C50"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On-ward drop-ins, micro-sessions at handover, opt-out brief check-ins, Schwartz Rounds, confidentiality messaging, extended-hours access incl. nights/community.</w:t>
            </w:r>
          </w:p>
        </w:tc>
      </w:tr>
      <w:tr w:rsidR="00DB1264" w:rsidRPr="00C16BF8" w14:paraId="14FD3114" w14:textId="77777777" w:rsidTr="00452572">
        <w:tc>
          <w:tcPr>
            <w:tcW w:w="2185" w:type="dxa"/>
            <w:hideMark/>
          </w:tcPr>
          <w:p w14:paraId="7B46F075"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
                <w:bCs/>
              </w:rPr>
              <w:t>4. Recommendations for support systems, policy &amp; future planning</w:t>
            </w:r>
          </w:p>
        </w:tc>
        <w:tc>
          <w:tcPr>
            <w:tcW w:w="2135" w:type="dxa"/>
            <w:hideMark/>
          </w:tcPr>
          <w:p w14:paraId="6B83B34F" w14:textId="77777777" w:rsidR="00DB1264" w:rsidRPr="00C16BF8" w:rsidRDefault="00DB1264" w:rsidP="007C44E7">
            <w:pPr>
              <w:jc w:val="both"/>
              <w:rPr>
                <w:rFonts w:ascii="Arial" w:eastAsia="Times New Roman" w:hAnsi="Arial" w:cs="Arial"/>
              </w:rPr>
            </w:pPr>
            <w:r w:rsidRPr="00C16BF8">
              <w:rPr>
                <w:rFonts w:ascii="Arial" w:eastAsia="Times New Roman" w:hAnsi="Arial" w:cs="Arial"/>
                <w:bCs/>
              </w:rPr>
              <w:t>Obj-4</w:t>
            </w:r>
            <w:r w:rsidRPr="00C16BF8">
              <w:rPr>
                <w:rFonts w:ascii="Arial" w:eastAsia="Times New Roman" w:hAnsi="Arial" w:cs="Arial"/>
              </w:rPr>
              <w:t xml:space="preserve"> – Translate findings into actionable, multi-level recommendations</w:t>
            </w:r>
          </w:p>
        </w:tc>
        <w:tc>
          <w:tcPr>
            <w:tcW w:w="2776" w:type="dxa"/>
            <w:hideMark/>
          </w:tcPr>
          <w:p w14:paraId="3682D2D0" w14:textId="77777777" w:rsidR="00DB1264" w:rsidRPr="00C16BF8" w:rsidRDefault="00DB1264" w:rsidP="007C44E7">
            <w:pPr>
              <w:jc w:val="both"/>
              <w:rPr>
                <w:rFonts w:ascii="Arial" w:hAnsi="Arial" w:cs="Arial"/>
              </w:rPr>
            </w:pPr>
            <w:r w:rsidRPr="00C16BF8">
              <w:rPr>
                <w:rFonts w:ascii="Arial" w:hAnsi="Arial" w:cs="Arial"/>
              </w:rPr>
              <w:t>Multi-level model: staffing surges + float pools; protected breaks/rest hubs; compassionate leadership &amp; just culture; equity by design (all staff groups); ethics huddles/debriefs; embedded psychology; primary care micro-teams; parity for care homes; metrics with action loops; preparedness playbooks.</w:t>
            </w:r>
          </w:p>
        </w:tc>
        <w:tc>
          <w:tcPr>
            <w:tcW w:w="0" w:type="auto"/>
            <w:hideMark/>
          </w:tcPr>
          <w:p w14:paraId="53DE4BCE"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NHS England, 2020/2021; HSE, 2019; NICE, 2018; WHO/ILO, 2022; Greenberg et al., 2020; Maslach &amp; Leiter, 2016.</w:t>
            </w:r>
          </w:p>
        </w:tc>
        <w:tc>
          <w:tcPr>
            <w:tcW w:w="0" w:type="auto"/>
            <w:hideMark/>
          </w:tcPr>
          <w:p w14:paraId="120EFA4D"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 xml:space="preserve">Targets </w:t>
            </w:r>
            <w:r w:rsidRPr="00C16BF8">
              <w:rPr>
                <w:rFonts w:ascii="Arial" w:eastAsia="Times New Roman" w:hAnsi="Arial" w:cs="Arial"/>
                <w:bCs/>
              </w:rPr>
              <w:t>JD-R/ERI/COR</w:t>
            </w:r>
            <w:r w:rsidRPr="00C16BF8">
              <w:rPr>
                <w:rFonts w:ascii="Arial" w:eastAsia="Times New Roman" w:hAnsi="Arial" w:cs="Arial"/>
              </w:rPr>
              <w:t xml:space="preserve"> levers and moral injury mitigations at system level.</w:t>
            </w:r>
          </w:p>
        </w:tc>
        <w:tc>
          <w:tcPr>
            <w:tcW w:w="0" w:type="auto"/>
            <w:hideMark/>
          </w:tcPr>
          <w:p w14:paraId="63A514FE"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Sustainable wellbeing requires resourcing time, fairness, and embedded supports, not apps alone.</w:t>
            </w:r>
          </w:p>
        </w:tc>
        <w:tc>
          <w:tcPr>
            <w:tcW w:w="2160" w:type="dxa"/>
            <w:hideMark/>
          </w:tcPr>
          <w:p w14:paraId="4F2336E1" w14:textId="77777777" w:rsidR="00DB1264" w:rsidRPr="00C16BF8" w:rsidRDefault="00DB1264" w:rsidP="007C44E7">
            <w:pPr>
              <w:jc w:val="both"/>
              <w:rPr>
                <w:rFonts w:ascii="Arial" w:eastAsia="Times New Roman" w:hAnsi="Arial" w:cs="Arial"/>
              </w:rPr>
            </w:pPr>
            <w:r w:rsidRPr="00C16BF8">
              <w:rPr>
                <w:rFonts w:ascii="Arial" w:eastAsia="Times New Roman" w:hAnsi="Arial" w:cs="Arial"/>
              </w:rPr>
              <w:t>Rota rules (break compliance dashboards), leadership objectives tied to recovery, ICS-wide single access to OH/psychology, parity clauses in contracts, ethics hotlines/huddles, PDSA cycles on wellbeing metrics.</w:t>
            </w:r>
          </w:p>
        </w:tc>
      </w:tr>
    </w:tbl>
    <w:p w14:paraId="50508FDA" w14:textId="77777777" w:rsidR="002C4E55" w:rsidRPr="00C16BF8" w:rsidRDefault="002C4E55" w:rsidP="00452572">
      <w:pPr>
        <w:pStyle w:val="NormalWeb"/>
        <w:spacing w:line="360" w:lineRule="auto"/>
        <w:jc w:val="both"/>
        <w:rPr>
          <w:rFonts w:ascii="Arial" w:hAnsi="Arial" w:cs="Arial"/>
        </w:rPr>
        <w:sectPr w:rsidR="002C4E55" w:rsidRPr="00C16BF8" w:rsidSect="002C4E55">
          <w:pgSz w:w="15840" w:h="12240" w:orient="landscape"/>
          <w:pgMar w:top="1440" w:right="1440" w:bottom="1440" w:left="1440" w:header="720" w:footer="720" w:gutter="0"/>
          <w:cols w:space="720"/>
          <w:docGrid w:linePitch="360"/>
        </w:sectPr>
      </w:pPr>
    </w:p>
    <w:p w14:paraId="3DAB71E4" w14:textId="41697AF8" w:rsidR="00445273" w:rsidRPr="00C16BF8" w:rsidRDefault="00445273" w:rsidP="00452572">
      <w:pPr>
        <w:spacing w:line="360" w:lineRule="auto"/>
        <w:jc w:val="both"/>
        <w:rPr>
          <w:rFonts w:ascii="Arial" w:hAnsi="Arial" w:cs="Arial"/>
        </w:rPr>
      </w:pPr>
    </w:p>
    <w:sectPr w:rsidR="00445273" w:rsidRPr="00C16BF8" w:rsidSect="00214C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1CD8F" w14:textId="77777777" w:rsidR="003132EF" w:rsidRDefault="003132EF" w:rsidP="00326A67">
      <w:pPr>
        <w:spacing w:after="0" w:line="240" w:lineRule="auto"/>
      </w:pPr>
      <w:r>
        <w:separator/>
      </w:r>
    </w:p>
  </w:endnote>
  <w:endnote w:type="continuationSeparator" w:id="0">
    <w:p w14:paraId="02112F4D" w14:textId="77777777" w:rsidR="003132EF" w:rsidRDefault="003132EF" w:rsidP="00326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0453635"/>
      <w:docPartObj>
        <w:docPartGallery w:val="Page Numbers (Bottom of Page)"/>
        <w:docPartUnique/>
      </w:docPartObj>
    </w:sdtPr>
    <w:sdtEndPr>
      <w:rPr>
        <w:noProof/>
      </w:rPr>
    </w:sdtEndPr>
    <w:sdtContent>
      <w:p w14:paraId="0C202FFF" w14:textId="77777777" w:rsidR="00BC5DB9" w:rsidRDefault="00BC5DB9">
        <w:pPr>
          <w:pStyle w:val="Footer"/>
          <w:jc w:val="right"/>
        </w:pPr>
        <w:r>
          <w:fldChar w:fldCharType="begin"/>
        </w:r>
        <w:r>
          <w:instrText xml:space="preserve"> PAGE   \* MERGEFORMAT </w:instrText>
        </w:r>
        <w:r>
          <w:fldChar w:fldCharType="separate"/>
        </w:r>
        <w:r w:rsidR="0048461F">
          <w:rPr>
            <w:noProof/>
          </w:rPr>
          <w:t>63</w:t>
        </w:r>
        <w:r>
          <w:rPr>
            <w:noProof/>
          </w:rPr>
          <w:fldChar w:fldCharType="end"/>
        </w:r>
      </w:p>
    </w:sdtContent>
  </w:sdt>
  <w:p w14:paraId="49DDF7DE" w14:textId="77777777" w:rsidR="00BC5DB9" w:rsidRDefault="00BC5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695C9" w14:textId="77777777" w:rsidR="003132EF" w:rsidRDefault="003132EF" w:rsidP="00326A67">
      <w:pPr>
        <w:spacing w:after="0" w:line="240" w:lineRule="auto"/>
      </w:pPr>
      <w:r>
        <w:separator/>
      </w:r>
    </w:p>
  </w:footnote>
  <w:footnote w:type="continuationSeparator" w:id="0">
    <w:p w14:paraId="5787BF8E" w14:textId="77777777" w:rsidR="003132EF" w:rsidRDefault="003132EF" w:rsidP="00326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78.5pt;height:158.25pt" o:bullet="t">
        <v:imagedata r:id="rId1" o:title="images (1)"/>
      </v:shape>
    </w:pict>
  </w:numPicBullet>
  <w:abstractNum w:abstractNumId="0" w15:restartNumberingAfterBreak="0">
    <w:nsid w:val="045D0BF9"/>
    <w:multiLevelType w:val="multilevel"/>
    <w:tmpl w:val="155E0B66"/>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C2CB9"/>
    <w:multiLevelType w:val="hybridMultilevel"/>
    <w:tmpl w:val="F75E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921682"/>
    <w:multiLevelType w:val="hybridMultilevel"/>
    <w:tmpl w:val="791246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1AF17AF"/>
    <w:multiLevelType w:val="hybridMultilevel"/>
    <w:tmpl w:val="837A5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CB498A"/>
    <w:multiLevelType w:val="multilevel"/>
    <w:tmpl w:val="E42E61CA"/>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F5620D"/>
    <w:multiLevelType w:val="hybridMultilevel"/>
    <w:tmpl w:val="A3384414"/>
    <w:lvl w:ilvl="0" w:tplc="F3662F5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9341641">
    <w:abstractNumId w:val="1"/>
  </w:num>
  <w:num w:numId="2" w16cid:durableId="1915432410">
    <w:abstractNumId w:val="2"/>
  </w:num>
  <w:num w:numId="3" w16cid:durableId="1111048291">
    <w:abstractNumId w:val="3"/>
  </w:num>
  <w:num w:numId="4" w16cid:durableId="1133904506">
    <w:abstractNumId w:val="5"/>
  </w:num>
  <w:num w:numId="5" w16cid:durableId="401147225">
    <w:abstractNumId w:val="4"/>
  </w:num>
  <w:num w:numId="6" w16cid:durableId="17592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572"/>
    <w:rsid w:val="000140D6"/>
    <w:rsid w:val="0003530A"/>
    <w:rsid w:val="00054B29"/>
    <w:rsid w:val="000704D8"/>
    <w:rsid w:val="000729AD"/>
    <w:rsid w:val="000747E3"/>
    <w:rsid w:val="000A46D6"/>
    <w:rsid w:val="000A4F5C"/>
    <w:rsid w:val="000A57C4"/>
    <w:rsid w:val="000B16BD"/>
    <w:rsid w:val="000B42B6"/>
    <w:rsid w:val="000D44F6"/>
    <w:rsid w:val="00104951"/>
    <w:rsid w:val="0010776E"/>
    <w:rsid w:val="00111F14"/>
    <w:rsid w:val="0011681F"/>
    <w:rsid w:val="001226CB"/>
    <w:rsid w:val="00124E50"/>
    <w:rsid w:val="0013498E"/>
    <w:rsid w:val="001764A8"/>
    <w:rsid w:val="00182D3B"/>
    <w:rsid w:val="0019587B"/>
    <w:rsid w:val="00195AF2"/>
    <w:rsid w:val="001A37BF"/>
    <w:rsid w:val="001C19E9"/>
    <w:rsid w:val="001D30A7"/>
    <w:rsid w:val="001D5338"/>
    <w:rsid w:val="00214C3A"/>
    <w:rsid w:val="002377CE"/>
    <w:rsid w:val="00245CB8"/>
    <w:rsid w:val="00252353"/>
    <w:rsid w:val="00270C7E"/>
    <w:rsid w:val="002903A4"/>
    <w:rsid w:val="0029181C"/>
    <w:rsid w:val="002A1746"/>
    <w:rsid w:val="002A1EF0"/>
    <w:rsid w:val="002A6299"/>
    <w:rsid w:val="002A7F25"/>
    <w:rsid w:val="002B17C0"/>
    <w:rsid w:val="002C4E55"/>
    <w:rsid w:val="002F553D"/>
    <w:rsid w:val="00312798"/>
    <w:rsid w:val="003132EF"/>
    <w:rsid w:val="00326A67"/>
    <w:rsid w:val="00335E53"/>
    <w:rsid w:val="003426D7"/>
    <w:rsid w:val="00343621"/>
    <w:rsid w:val="00365A92"/>
    <w:rsid w:val="00365F42"/>
    <w:rsid w:val="00370816"/>
    <w:rsid w:val="00383682"/>
    <w:rsid w:val="00383886"/>
    <w:rsid w:val="003A2500"/>
    <w:rsid w:val="003A59A8"/>
    <w:rsid w:val="003E2C16"/>
    <w:rsid w:val="003E46C2"/>
    <w:rsid w:val="003F71CE"/>
    <w:rsid w:val="00400142"/>
    <w:rsid w:val="00413E22"/>
    <w:rsid w:val="00422941"/>
    <w:rsid w:val="00445273"/>
    <w:rsid w:val="00452572"/>
    <w:rsid w:val="00453378"/>
    <w:rsid w:val="004552A2"/>
    <w:rsid w:val="00472FCE"/>
    <w:rsid w:val="00474531"/>
    <w:rsid w:val="0048461F"/>
    <w:rsid w:val="00486D6D"/>
    <w:rsid w:val="004A358A"/>
    <w:rsid w:val="004B3A63"/>
    <w:rsid w:val="004B5ED3"/>
    <w:rsid w:val="004C78B0"/>
    <w:rsid w:val="004D1297"/>
    <w:rsid w:val="004D1552"/>
    <w:rsid w:val="0051621E"/>
    <w:rsid w:val="0052521B"/>
    <w:rsid w:val="005271F9"/>
    <w:rsid w:val="00527F8F"/>
    <w:rsid w:val="0055091A"/>
    <w:rsid w:val="00555A86"/>
    <w:rsid w:val="0057273D"/>
    <w:rsid w:val="005920B3"/>
    <w:rsid w:val="00594496"/>
    <w:rsid w:val="005D275C"/>
    <w:rsid w:val="005E0A99"/>
    <w:rsid w:val="005E39A0"/>
    <w:rsid w:val="005F36DB"/>
    <w:rsid w:val="0062264E"/>
    <w:rsid w:val="00623419"/>
    <w:rsid w:val="00626352"/>
    <w:rsid w:val="00627DA9"/>
    <w:rsid w:val="006511A1"/>
    <w:rsid w:val="00670080"/>
    <w:rsid w:val="00687B1A"/>
    <w:rsid w:val="006B20CE"/>
    <w:rsid w:val="006B2AA7"/>
    <w:rsid w:val="006B3120"/>
    <w:rsid w:val="006D74BA"/>
    <w:rsid w:val="006E29D2"/>
    <w:rsid w:val="007016AC"/>
    <w:rsid w:val="00701879"/>
    <w:rsid w:val="00711E83"/>
    <w:rsid w:val="00713DAA"/>
    <w:rsid w:val="00731B8E"/>
    <w:rsid w:val="00750E0E"/>
    <w:rsid w:val="00753135"/>
    <w:rsid w:val="00765D20"/>
    <w:rsid w:val="007715EA"/>
    <w:rsid w:val="00784E48"/>
    <w:rsid w:val="00787CE6"/>
    <w:rsid w:val="007923C1"/>
    <w:rsid w:val="00793F92"/>
    <w:rsid w:val="007C0ADA"/>
    <w:rsid w:val="007C44E7"/>
    <w:rsid w:val="007C7148"/>
    <w:rsid w:val="007D026B"/>
    <w:rsid w:val="007D16CA"/>
    <w:rsid w:val="007D5587"/>
    <w:rsid w:val="007E450B"/>
    <w:rsid w:val="0084431C"/>
    <w:rsid w:val="00851301"/>
    <w:rsid w:val="00864BA8"/>
    <w:rsid w:val="00880451"/>
    <w:rsid w:val="0088327B"/>
    <w:rsid w:val="00890735"/>
    <w:rsid w:val="008A6FD7"/>
    <w:rsid w:val="008B12E9"/>
    <w:rsid w:val="008B2A9A"/>
    <w:rsid w:val="008F54CF"/>
    <w:rsid w:val="0092217E"/>
    <w:rsid w:val="00930E4A"/>
    <w:rsid w:val="00951257"/>
    <w:rsid w:val="00960FC7"/>
    <w:rsid w:val="0096551B"/>
    <w:rsid w:val="00973D76"/>
    <w:rsid w:val="00977C3B"/>
    <w:rsid w:val="009A3407"/>
    <w:rsid w:val="009A5A31"/>
    <w:rsid w:val="009C325F"/>
    <w:rsid w:val="009C3ADA"/>
    <w:rsid w:val="009C5E2E"/>
    <w:rsid w:val="009D1156"/>
    <w:rsid w:val="009D33D7"/>
    <w:rsid w:val="009D728F"/>
    <w:rsid w:val="009F30F7"/>
    <w:rsid w:val="009F5085"/>
    <w:rsid w:val="00A16E96"/>
    <w:rsid w:val="00A41347"/>
    <w:rsid w:val="00A46EA6"/>
    <w:rsid w:val="00A541E3"/>
    <w:rsid w:val="00A557CD"/>
    <w:rsid w:val="00A73F68"/>
    <w:rsid w:val="00A74B4E"/>
    <w:rsid w:val="00A91721"/>
    <w:rsid w:val="00A9484F"/>
    <w:rsid w:val="00AA0080"/>
    <w:rsid w:val="00AA2C2D"/>
    <w:rsid w:val="00AE54F1"/>
    <w:rsid w:val="00AF5388"/>
    <w:rsid w:val="00AF5BDE"/>
    <w:rsid w:val="00B02EE6"/>
    <w:rsid w:val="00B0421B"/>
    <w:rsid w:val="00B04A5B"/>
    <w:rsid w:val="00B13EAA"/>
    <w:rsid w:val="00B511CF"/>
    <w:rsid w:val="00B5640C"/>
    <w:rsid w:val="00B71A6C"/>
    <w:rsid w:val="00B74835"/>
    <w:rsid w:val="00BA293C"/>
    <w:rsid w:val="00BC3C2F"/>
    <w:rsid w:val="00BC438E"/>
    <w:rsid w:val="00BC5DB9"/>
    <w:rsid w:val="00BD6D7C"/>
    <w:rsid w:val="00BF2C58"/>
    <w:rsid w:val="00C01738"/>
    <w:rsid w:val="00C03EEF"/>
    <w:rsid w:val="00C16BF8"/>
    <w:rsid w:val="00C20E0B"/>
    <w:rsid w:val="00C32357"/>
    <w:rsid w:val="00C7510C"/>
    <w:rsid w:val="00C91978"/>
    <w:rsid w:val="00C91ED4"/>
    <w:rsid w:val="00CE20DA"/>
    <w:rsid w:val="00CE49A8"/>
    <w:rsid w:val="00CE7805"/>
    <w:rsid w:val="00CF0308"/>
    <w:rsid w:val="00D02873"/>
    <w:rsid w:val="00D140D4"/>
    <w:rsid w:val="00D17F32"/>
    <w:rsid w:val="00D20C28"/>
    <w:rsid w:val="00D2599A"/>
    <w:rsid w:val="00D25AE8"/>
    <w:rsid w:val="00D33295"/>
    <w:rsid w:val="00D36F76"/>
    <w:rsid w:val="00D401C9"/>
    <w:rsid w:val="00D530CD"/>
    <w:rsid w:val="00D56F0C"/>
    <w:rsid w:val="00D62B53"/>
    <w:rsid w:val="00D66A4E"/>
    <w:rsid w:val="00D762A7"/>
    <w:rsid w:val="00D84F05"/>
    <w:rsid w:val="00D8690F"/>
    <w:rsid w:val="00DA255B"/>
    <w:rsid w:val="00DB1264"/>
    <w:rsid w:val="00DC4335"/>
    <w:rsid w:val="00DD2EA4"/>
    <w:rsid w:val="00DE0235"/>
    <w:rsid w:val="00DE4317"/>
    <w:rsid w:val="00E02572"/>
    <w:rsid w:val="00E02F9E"/>
    <w:rsid w:val="00E0786A"/>
    <w:rsid w:val="00E15CBB"/>
    <w:rsid w:val="00E37736"/>
    <w:rsid w:val="00E45E71"/>
    <w:rsid w:val="00E64318"/>
    <w:rsid w:val="00E764F3"/>
    <w:rsid w:val="00EB565C"/>
    <w:rsid w:val="00EB746A"/>
    <w:rsid w:val="00EC4CE0"/>
    <w:rsid w:val="00EC6B17"/>
    <w:rsid w:val="00ED03BC"/>
    <w:rsid w:val="00ED7B9D"/>
    <w:rsid w:val="00EE10D6"/>
    <w:rsid w:val="00EE2F56"/>
    <w:rsid w:val="00EE43FE"/>
    <w:rsid w:val="00F2093C"/>
    <w:rsid w:val="00F32271"/>
    <w:rsid w:val="00F622AE"/>
    <w:rsid w:val="00F66EE8"/>
    <w:rsid w:val="00F8363A"/>
    <w:rsid w:val="00F85BE5"/>
    <w:rsid w:val="00F94D52"/>
    <w:rsid w:val="00FA0A82"/>
    <w:rsid w:val="00FA7090"/>
    <w:rsid w:val="00FB6C6F"/>
    <w:rsid w:val="00FC154D"/>
    <w:rsid w:val="00FD1989"/>
    <w:rsid w:val="00FF0AA3"/>
    <w:rsid w:val="00FF0BCA"/>
    <w:rsid w:val="00FF5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3956"/>
  <w15:chartTrackingRefBased/>
  <w15:docId w15:val="{D3297042-6EF7-429A-A07E-A73C543E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3498E"/>
    <w:pPr>
      <w:keepNext/>
      <w:keepLines/>
      <w:spacing w:before="120" w:after="120" w:line="360" w:lineRule="auto"/>
      <w:jc w:val="center"/>
      <w:outlineLvl w:val="0"/>
    </w:pPr>
    <w:rPr>
      <w:rFonts w:ascii="Arial" w:eastAsia="Times New Roman" w:hAnsi="Arial" w:cs="Arial"/>
      <w:b/>
      <w:color w:val="000000" w:themeColor="text1"/>
      <w:sz w:val="32"/>
    </w:rPr>
  </w:style>
  <w:style w:type="paragraph" w:styleId="Heading2">
    <w:name w:val="heading 2"/>
    <w:basedOn w:val="Normal"/>
    <w:next w:val="Normal"/>
    <w:link w:val="Heading2Char"/>
    <w:uiPriority w:val="9"/>
    <w:unhideWhenUsed/>
    <w:qFormat/>
    <w:rsid w:val="00E025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168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98E"/>
    <w:rPr>
      <w:rFonts w:ascii="Arial" w:eastAsia="Times New Roman" w:hAnsi="Arial" w:cs="Arial"/>
      <w:b/>
      <w:color w:val="000000" w:themeColor="text1"/>
      <w:sz w:val="32"/>
    </w:rPr>
  </w:style>
  <w:style w:type="paragraph" w:styleId="NormalWeb">
    <w:name w:val="Normal (Web)"/>
    <w:basedOn w:val="Normal"/>
    <w:uiPriority w:val="99"/>
    <w:unhideWhenUsed/>
    <w:rsid w:val="00E025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0257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45CB8"/>
    <w:pPr>
      <w:spacing w:line="256" w:lineRule="auto"/>
      <w:ind w:left="720"/>
      <w:contextualSpacing/>
    </w:pPr>
    <w:rPr>
      <w:rFonts w:ascii="Times New Roman" w:hAnsi="Times New Roman"/>
      <w:sz w:val="24"/>
      <w:lang w:val="en-GB"/>
    </w:rPr>
  </w:style>
  <w:style w:type="character" w:customStyle="1" w:styleId="Heading3Char">
    <w:name w:val="Heading 3 Char"/>
    <w:basedOn w:val="DefaultParagraphFont"/>
    <w:link w:val="Heading3"/>
    <w:uiPriority w:val="9"/>
    <w:rsid w:val="0011681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26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A67"/>
  </w:style>
  <w:style w:type="paragraph" w:styleId="Footer">
    <w:name w:val="footer"/>
    <w:basedOn w:val="Normal"/>
    <w:link w:val="FooterChar"/>
    <w:uiPriority w:val="99"/>
    <w:unhideWhenUsed/>
    <w:rsid w:val="00326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A67"/>
  </w:style>
  <w:style w:type="character" w:styleId="Strong">
    <w:name w:val="Strong"/>
    <w:basedOn w:val="DefaultParagraphFont"/>
    <w:uiPriority w:val="22"/>
    <w:qFormat/>
    <w:rsid w:val="00DB1264"/>
    <w:rPr>
      <w:b/>
      <w:bCs/>
    </w:rPr>
  </w:style>
  <w:style w:type="table" w:styleId="TableGrid">
    <w:name w:val="Table Grid"/>
    <w:basedOn w:val="TableNormal"/>
    <w:uiPriority w:val="39"/>
    <w:rsid w:val="00DB1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C3ADA"/>
    <w:rPr>
      <w:i/>
      <w:iCs/>
    </w:rPr>
  </w:style>
  <w:style w:type="character" w:styleId="Hyperlink">
    <w:name w:val="Hyperlink"/>
    <w:basedOn w:val="DefaultParagraphFont"/>
    <w:uiPriority w:val="99"/>
    <w:unhideWhenUsed/>
    <w:rsid w:val="009C3ADA"/>
    <w:rPr>
      <w:color w:val="0000FF"/>
      <w:u w:val="single"/>
    </w:rPr>
  </w:style>
  <w:style w:type="character" w:customStyle="1" w:styleId="ej-journal-doi">
    <w:name w:val="ej-journal-doi"/>
    <w:basedOn w:val="DefaultParagraphFont"/>
    <w:rsid w:val="00EE10D6"/>
  </w:style>
  <w:style w:type="paragraph" w:styleId="BodyText">
    <w:name w:val="Body Text"/>
    <w:basedOn w:val="Normal"/>
    <w:link w:val="BodyTextChar"/>
    <w:uiPriority w:val="1"/>
    <w:semiHidden/>
    <w:unhideWhenUsed/>
    <w:qFormat/>
    <w:rsid w:val="00880451"/>
    <w:pPr>
      <w:widowControl w:val="0"/>
      <w:autoSpaceDE w:val="0"/>
      <w:autoSpaceDN w:val="0"/>
      <w:spacing w:after="0" w:line="240" w:lineRule="auto"/>
    </w:pPr>
    <w:rPr>
      <w:rFonts w:ascii="Arial" w:eastAsia="Calibri Light" w:hAnsi="Arial" w:cs="Calibri Light"/>
      <w:lang w:val="en-GB" w:eastAsia="en-GB" w:bidi="en-GB"/>
    </w:rPr>
  </w:style>
  <w:style w:type="character" w:customStyle="1" w:styleId="BodyTextChar">
    <w:name w:val="Body Text Char"/>
    <w:basedOn w:val="DefaultParagraphFont"/>
    <w:link w:val="BodyText"/>
    <w:uiPriority w:val="1"/>
    <w:semiHidden/>
    <w:rsid w:val="00880451"/>
    <w:rPr>
      <w:rFonts w:ascii="Arial" w:eastAsia="Calibri Light" w:hAnsi="Arial" w:cs="Calibri Light"/>
      <w:lang w:val="en-GB" w:eastAsia="en-GB" w:bidi="en-GB"/>
    </w:rPr>
  </w:style>
  <w:style w:type="paragraph" w:styleId="Caption">
    <w:name w:val="caption"/>
    <w:basedOn w:val="Normal"/>
    <w:next w:val="Normal"/>
    <w:uiPriority w:val="35"/>
    <w:unhideWhenUsed/>
    <w:qFormat/>
    <w:rsid w:val="004552A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16BF8"/>
    <w:pPr>
      <w:spacing w:after="100"/>
    </w:pPr>
  </w:style>
  <w:style w:type="paragraph" w:styleId="TOC2">
    <w:name w:val="toc 2"/>
    <w:basedOn w:val="Normal"/>
    <w:next w:val="Normal"/>
    <w:autoRedefine/>
    <w:uiPriority w:val="39"/>
    <w:unhideWhenUsed/>
    <w:rsid w:val="00C16BF8"/>
    <w:pPr>
      <w:spacing w:after="100"/>
      <w:ind w:left="220"/>
    </w:pPr>
  </w:style>
  <w:style w:type="paragraph" w:styleId="TOC3">
    <w:name w:val="toc 3"/>
    <w:basedOn w:val="Normal"/>
    <w:next w:val="Normal"/>
    <w:autoRedefine/>
    <w:uiPriority w:val="39"/>
    <w:unhideWhenUsed/>
    <w:rsid w:val="00C16BF8"/>
    <w:pPr>
      <w:spacing w:after="100"/>
      <w:ind w:left="440"/>
    </w:pPr>
  </w:style>
  <w:style w:type="paragraph" w:styleId="TableofFigures">
    <w:name w:val="table of figures"/>
    <w:basedOn w:val="Normal"/>
    <w:next w:val="Normal"/>
    <w:uiPriority w:val="99"/>
    <w:unhideWhenUsed/>
    <w:rsid w:val="00C16B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336">
      <w:bodyDiv w:val="1"/>
      <w:marLeft w:val="0"/>
      <w:marRight w:val="0"/>
      <w:marTop w:val="0"/>
      <w:marBottom w:val="0"/>
      <w:divBdr>
        <w:top w:val="none" w:sz="0" w:space="0" w:color="auto"/>
        <w:left w:val="none" w:sz="0" w:space="0" w:color="auto"/>
        <w:bottom w:val="none" w:sz="0" w:space="0" w:color="auto"/>
        <w:right w:val="none" w:sz="0" w:space="0" w:color="auto"/>
      </w:divBdr>
    </w:div>
    <w:div w:id="79328616">
      <w:bodyDiv w:val="1"/>
      <w:marLeft w:val="0"/>
      <w:marRight w:val="0"/>
      <w:marTop w:val="0"/>
      <w:marBottom w:val="0"/>
      <w:divBdr>
        <w:top w:val="none" w:sz="0" w:space="0" w:color="auto"/>
        <w:left w:val="none" w:sz="0" w:space="0" w:color="auto"/>
        <w:bottom w:val="none" w:sz="0" w:space="0" w:color="auto"/>
        <w:right w:val="none" w:sz="0" w:space="0" w:color="auto"/>
      </w:divBdr>
    </w:div>
    <w:div w:id="183592918">
      <w:bodyDiv w:val="1"/>
      <w:marLeft w:val="0"/>
      <w:marRight w:val="0"/>
      <w:marTop w:val="0"/>
      <w:marBottom w:val="0"/>
      <w:divBdr>
        <w:top w:val="none" w:sz="0" w:space="0" w:color="auto"/>
        <w:left w:val="none" w:sz="0" w:space="0" w:color="auto"/>
        <w:bottom w:val="none" w:sz="0" w:space="0" w:color="auto"/>
        <w:right w:val="none" w:sz="0" w:space="0" w:color="auto"/>
      </w:divBdr>
    </w:div>
    <w:div w:id="239603092">
      <w:bodyDiv w:val="1"/>
      <w:marLeft w:val="0"/>
      <w:marRight w:val="0"/>
      <w:marTop w:val="0"/>
      <w:marBottom w:val="0"/>
      <w:divBdr>
        <w:top w:val="none" w:sz="0" w:space="0" w:color="auto"/>
        <w:left w:val="none" w:sz="0" w:space="0" w:color="auto"/>
        <w:bottom w:val="none" w:sz="0" w:space="0" w:color="auto"/>
        <w:right w:val="none" w:sz="0" w:space="0" w:color="auto"/>
      </w:divBdr>
    </w:div>
    <w:div w:id="329647840">
      <w:bodyDiv w:val="1"/>
      <w:marLeft w:val="0"/>
      <w:marRight w:val="0"/>
      <w:marTop w:val="0"/>
      <w:marBottom w:val="0"/>
      <w:divBdr>
        <w:top w:val="none" w:sz="0" w:space="0" w:color="auto"/>
        <w:left w:val="none" w:sz="0" w:space="0" w:color="auto"/>
        <w:bottom w:val="none" w:sz="0" w:space="0" w:color="auto"/>
        <w:right w:val="none" w:sz="0" w:space="0" w:color="auto"/>
      </w:divBdr>
    </w:div>
    <w:div w:id="417290907">
      <w:bodyDiv w:val="1"/>
      <w:marLeft w:val="0"/>
      <w:marRight w:val="0"/>
      <w:marTop w:val="0"/>
      <w:marBottom w:val="0"/>
      <w:divBdr>
        <w:top w:val="none" w:sz="0" w:space="0" w:color="auto"/>
        <w:left w:val="none" w:sz="0" w:space="0" w:color="auto"/>
        <w:bottom w:val="none" w:sz="0" w:space="0" w:color="auto"/>
        <w:right w:val="none" w:sz="0" w:space="0" w:color="auto"/>
      </w:divBdr>
    </w:div>
    <w:div w:id="430391217">
      <w:bodyDiv w:val="1"/>
      <w:marLeft w:val="0"/>
      <w:marRight w:val="0"/>
      <w:marTop w:val="0"/>
      <w:marBottom w:val="0"/>
      <w:divBdr>
        <w:top w:val="none" w:sz="0" w:space="0" w:color="auto"/>
        <w:left w:val="none" w:sz="0" w:space="0" w:color="auto"/>
        <w:bottom w:val="none" w:sz="0" w:space="0" w:color="auto"/>
        <w:right w:val="none" w:sz="0" w:space="0" w:color="auto"/>
      </w:divBdr>
    </w:div>
    <w:div w:id="443772373">
      <w:bodyDiv w:val="1"/>
      <w:marLeft w:val="0"/>
      <w:marRight w:val="0"/>
      <w:marTop w:val="0"/>
      <w:marBottom w:val="0"/>
      <w:divBdr>
        <w:top w:val="none" w:sz="0" w:space="0" w:color="auto"/>
        <w:left w:val="none" w:sz="0" w:space="0" w:color="auto"/>
        <w:bottom w:val="none" w:sz="0" w:space="0" w:color="auto"/>
        <w:right w:val="none" w:sz="0" w:space="0" w:color="auto"/>
      </w:divBdr>
    </w:div>
    <w:div w:id="454493337">
      <w:bodyDiv w:val="1"/>
      <w:marLeft w:val="0"/>
      <w:marRight w:val="0"/>
      <w:marTop w:val="0"/>
      <w:marBottom w:val="0"/>
      <w:divBdr>
        <w:top w:val="none" w:sz="0" w:space="0" w:color="auto"/>
        <w:left w:val="none" w:sz="0" w:space="0" w:color="auto"/>
        <w:bottom w:val="none" w:sz="0" w:space="0" w:color="auto"/>
        <w:right w:val="none" w:sz="0" w:space="0" w:color="auto"/>
      </w:divBdr>
    </w:div>
    <w:div w:id="564028640">
      <w:bodyDiv w:val="1"/>
      <w:marLeft w:val="0"/>
      <w:marRight w:val="0"/>
      <w:marTop w:val="0"/>
      <w:marBottom w:val="0"/>
      <w:divBdr>
        <w:top w:val="none" w:sz="0" w:space="0" w:color="auto"/>
        <w:left w:val="none" w:sz="0" w:space="0" w:color="auto"/>
        <w:bottom w:val="none" w:sz="0" w:space="0" w:color="auto"/>
        <w:right w:val="none" w:sz="0" w:space="0" w:color="auto"/>
      </w:divBdr>
    </w:div>
    <w:div w:id="576209776">
      <w:bodyDiv w:val="1"/>
      <w:marLeft w:val="0"/>
      <w:marRight w:val="0"/>
      <w:marTop w:val="0"/>
      <w:marBottom w:val="0"/>
      <w:divBdr>
        <w:top w:val="none" w:sz="0" w:space="0" w:color="auto"/>
        <w:left w:val="none" w:sz="0" w:space="0" w:color="auto"/>
        <w:bottom w:val="none" w:sz="0" w:space="0" w:color="auto"/>
        <w:right w:val="none" w:sz="0" w:space="0" w:color="auto"/>
      </w:divBdr>
    </w:div>
    <w:div w:id="623804047">
      <w:bodyDiv w:val="1"/>
      <w:marLeft w:val="0"/>
      <w:marRight w:val="0"/>
      <w:marTop w:val="0"/>
      <w:marBottom w:val="0"/>
      <w:divBdr>
        <w:top w:val="none" w:sz="0" w:space="0" w:color="auto"/>
        <w:left w:val="none" w:sz="0" w:space="0" w:color="auto"/>
        <w:bottom w:val="none" w:sz="0" w:space="0" w:color="auto"/>
        <w:right w:val="none" w:sz="0" w:space="0" w:color="auto"/>
      </w:divBdr>
    </w:div>
    <w:div w:id="624122084">
      <w:bodyDiv w:val="1"/>
      <w:marLeft w:val="0"/>
      <w:marRight w:val="0"/>
      <w:marTop w:val="0"/>
      <w:marBottom w:val="0"/>
      <w:divBdr>
        <w:top w:val="none" w:sz="0" w:space="0" w:color="auto"/>
        <w:left w:val="none" w:sz="0" w:space="0" w:color="auto"/>
        <w:bottom w:val="none" w:sz="0" w:space="0" w:color="auto"/>
        <w:right w:val="none" w:sz="0" w:space="0" w:color="auto"/>
      </w:divBdr>
    </w:div>
    <w:div w:id="703865851">
      <w:bodyDiv w:val="1"/>
      <w:marLeft w:val="0"/>
      <w:marRight w:val="0"/>
      <w:marTop w:val="0"/>
      <w:marBottom w:val="0"/>
      <w:divBdr>
        <w:top w:val="none" w:sz="0" w:space="0" w:color="auto"/>
        <w:left w:val="none" w:sz="0" w:space="0" w:color="auto"/>
        <w:bottom w:val="none" w:sz="0" w:space="0" w:color="auto"/>
        <w:right w:val="none" w:sz="0" w:space="0" w:color="auto"/>
      </w:divBdr>
    </w:div>
    <w:div w:id="705561922">
      <w:bodyDiv w:val="1"/>
      <w:marLeft w:val="0"/>
      <w:marRight w:val="0"/>
      <w:marTop w:val="0"/>
      <w:marBottom w:val="0"/>
      <w:divBdr>
        <w:top w:val="none" w:sz="0" w:space="0" w:color="auto"/>
        <w:left w:val="none" w:sz="0" w:space="0" w:color="auto"/>
        <w:bottom w:val="none" w:sz="0" w:space="0" w:color="auto"/>
        <w:right w:val="none" w:sz="0" w:space="0" w:color="auto"/>
      </w:divBdr>
    </w:div>
    <w:div w:id="749546047">
      <w:bodyDiv w:val="1"/>
      <w:marLeft w:val="0"/>
      <w:marRight w:val="0"/>
      <w:marTop w:val="0"/>
      <w:marBottom w:val="0"/>
      <w:divBdr>
        <w:top w:val="none" w:sz="0" w:space="0" w:color="auto"/>
        <w:left w:val="none" w:sz="0" w:space="0" w:color="auto"/>
        <w:bottom w:val="none" w:sz="0" w:space="0" w:color="auto"/>
        <w:right w:val="none" w:sz="0" w:space="0" w:color="auto"/>
      </w:divBdr>
    </w:div>
    <w:div w:id="751126405">
      <w:bodyDiv w:val="1"/>
      <w:marLeft w:val="0"/>
      <w:marRight w:val="0"/>
      <w:marTop w:val="0"/>
      <w:marBottom w:val="0"/>
      <w:divBdr>
        <w:top w:val="none" w:sz="0" w:space="0" w:color="auto"/>
        <w:left w:val="none" w:sz="0" w:space="0" w:color="auto"/>
        <w:bottom w:val="none" w:sz="0" w:space="0" w:color="auto"/>
        <w:right w:val="none" w:sz="0" w:space="0" w:color="auto"/>
      </w:divBdr>
    </w:div>
    <w:div w:id="765930029">
      <w:bodyDiv w:val="1"/>
      <w:marLeft w:val="0"/>
      <w:marRight w:val="0"/>
      <w:marTop w:val="0"/>
      <w:marBottom w:val="0"/>
      <w:divBdr>
        <w:top w:val="none" w:sz="0" w:space="0" w:color="auto"/>
        <w:left w:val="none" w:sz="0" w:space="0" w:color="auto"/>
        <w:bottom w:val="none" w:sz="0" w:space="0" w:color="auto"/>
        <w:right w:val="none" w:sz="0" w:space="0" w:color="auto"/>
      </w:divBdr>
    </w:div>
    <w:div w:id="804851433">
      <w:bodyDiv w:val="1"/>
      <w:marLeft w:val="0"/>
      <w:marRight w:val="0"/>
      <w:marTop w:val="0"/>
      <w:marBottom w:val="0"/>
      <w:divBdr>
        <w:top w:val="none" w:sz="0" w:space="0" w:color="auto"/>
        <w:left w:val="none" w:sz="0" w:space="0" w:color="auto"/>
        <w:bottom w:val="none" w:sz="0" w:space="0" w:color="auto"/>
        <w:right w:val="none" w:sz="0" w:space="0" w:color="auto"/>
      </w:divBdr>
    </w:div>
    <w:div w:id="816414024">
      <w:bodyDiv w:val="1"/>
      <w:marLeft w:val="0"/>
      <w:marRight w:val="0"/>
      <w:marTop w:val="0"/>
      <w:marBottom w:val="0"/>
      <w:divBdr>
        <w:top w:val="none" w:sz="0" w:space="0" w:color="auto"/>
        <w:left w:val="none" w:sz="0" w:space="0" w:color="auto"/>
        <w:bottom w:val="none" w:sz="0" w:space="0" w:color="auto"/>
        <w:right w:val="none" w:sz="0" w:space="0" w:color="auto"/>
      </w:divBdr>
    </w:div>
    <w:div w:id="830489255">
      <w:bodyDiv w:val="1"/>
      <w:marLeft w:val="0"/>
      <w:marRight w:val="0"/>
      <w:marTop w:val="0"/>
      <w:marBottom w:val="0"/>
      <w:divBdr>
        <w:top w:val="none" w:sz="0" w:space="0" w:color="auto"/>
        <w:left w:val="none" w:sz="0" w:space="0" w:color="auto"/>
        <w:bottom w:val="none" w:sz="0" w:space="0" w:color="auto"/>
        <w:right w:val="none" w:sz="0" w:space="0" w:color="auto"/>
      </w:divBdr>
    </w:div>
    <w:div w:id="897476776">
      <w:bodyDiv w:val="1"/>
      <w:marLeft w:val="0"/>
      <w:marRight w:val="0"/>
      <w:marTop w:val="0"/>
      <w:marBottom w:val="0"/>
      <w:divBdr>
        <w:top w:val="none" w:sz="0" w:space="0" w:color="auto"/>
        <w:left w:val="none" w:sz="0" w:space="0" w:color="auto"/>
        <w:bottom w:val="none" w:sz="0" w:space="0" w:color="auto"/>
        <w:right w:val="none" w:sz="0" w:space="0" w:color="auto"/>
      </w:divBdr>
    </w:div>
    <w:div w:id="908616067">
      <w:bodyDiv w:val="1"/>
      <w:marLeft w:val="0"/>
      <w:marRight w:val="0"/>
      <w:marTop w:val="0"/>
      <w:marBottom w:val="0"/>
      <w:divBdr>
        <w:top w:val="none" w:sz="0" w:space="0" w:color="auto"/>
        <w:left w:val="none" w:sz="0" w:space="0" w:color="auto"/>
        <w:bottom w:val="none" w:sz="0" w:space="0" w:color="auto"/>
        <w:right w:val="none" w:sz="0" w:space="0" w:color="auto"/>
      </w:divBdr>
    </w:div>
    <w:div w:id="919632415">
      <w:bodyDiv w:val="1"/>
      <w:marLeft w:val="0"/>
      <w:marRight w:val="0"/>
      <w:marTop w:val="0"/>
      <w:marBottom w:val="0"/>
      <w:divBdr>
        <w:top w:val="none" w:sz="0" w:space="0" w:color="auto"/>
        <w:left w:val="none" w:sz="0" w:space="0" w:color="auto"/>
        <w:bottom w:val="none" w:sz="0" w:space="0" w:color="auto"/>
        <w:right w:val="none" w:sz="0" w:space="0" w:color="auto"/>
      </w:divBdr>
    </w:div>
    <w:div w:id="920601058">
      <w:bodyDiv w:val="1"/>
      <w:marLeft w:val="0"/>
      <w:marRight w:val="0"/>
      <w:marTop w:val="0"/>
      <w:marBottom w:val="0"/>
      <w:divBdr>
        <w:top w:val="none" w:sz="0" w:space="0" w:color="auto"/>
        <w:left w:val="none" w:sz="0" w:space="0" w:color="auto"/>
        <w:bottom w:val="none" w:sz="0" w:space="0" w:color="auto"/>
        <w:right w:val="none" w:sz="0" w:space="0" w:color="auto"/>
      </w:divBdr>
    </w:div>
    <w:div w:id="940379208">
      <w:bodyDiv w:val="1"/>
      <w:marLeft w:val="0"/>
      <w:marRight w:val="0"/>
      <w:marTop w:val="0"/>
      <w:marBottom w:val="0"/>
      <w:divBdr>
        <w:top w:val="none" w:sz="0" w:space="0" w:color="auto"/>
        <w:left w:val="none" w:sz="0" w:space="0" w:color="auto"/>
        <w:bottom w:val="none" w:sz="0" w:space="0" w:color="auto"/>
        <w:right w:val="none" w:sz="0" w:space="0" w:color="auto"/>
      </w:divBdr>
    </w:div>
    <w:div w:id="1086923062">
      <w:bodyDiv w:val="1"/>
      <w:marLeft w:val="0"/>
      <w:marRight w:val="0"/>
      <w:marTop w:val="0"/>
      <w:marBottom w:val="0"/>
      <w:divBdr>
        <w:top w:val="none" w:sz="0" w:space="0" w:color="auto"/>
        <w:left w:val="none" w:sz="0" w:space="0" w:color="auto"/>
        <w:bottom w:val="none" w:sz="0" w:space="0" w:color="auto"/>
        <w:right w:val="none" w:sz="0" w:space="0" w:color="auto"/>
      </w:divBdr>
    </w:div>
    <w:div w:id="1157066230">
      <w:bodyDiv w:val="1"/>
      <w:marLeft w:val="0"/>
      <w:marRight w:val="0"/>
      <w:marTop w:val="0"/>
      <w:marBottom w:val="0"/>
      <w:divBdr>
        <w:top w:val="none" w:sz="0" w:space="0" w:color="auto"/>
        <w:left w:val="none" w:sz="0" w:space="0" w:color="auto"/>
        <w:bottom w:val="none" w:sz="0" w:space="0" w:color="auto"/>
        <w:right w:val="none" w:sz="0" w:space="0" w:color="auto"/>
      </w:divBdr>
    </w:div>
    <w:div w:id="1192958700">
      <w:bodyDiv w:val="1"/>
      <w:marLeft w:val="0"/>
      <w:marRight w:val="0"/>
      <w:marTop w:val="0"/>
      <w:marBottom w:val="0"/>
      <w:divBdr>
        <w:top w:val="none" w:sz="0" w:space="0" w:color="auto"/>
        <w:left w:val="none" w:sz="0" w:space="0" w:color="auto"/>
        <w:bottom w:val="none" w:sz="0" w:space="0" w:color="auto"/>
        <w:right w:val="none" w:sz="0" w:space="0" w:color="auto"/>
      </w:divBdr>
    </w:div>
    <w:div w:id="1201744148">
      <w:bodyDiv w:val="1"/>
      <w:marLeft w:val="0"/>
      <w:marRight w:val="0"/>
      <w:marTop w:val="0"/>
      <w:marBottom w:val="0"/>
      <w:divBdr>
        <w:top w:val="none" w:sz="0" w:space="0" w:color="auto"/>
        <w:left w:val="none" w:sz="0" w:space="0" w:color="auto"/>
        <w:bottom w:val="none" w:sz="0" w:space="0" w:color="auto"/>
        <w:right w:val="none" w:sz="0" w:space="0" w:color="auto"/>
      </w:divBdr>
    </w:div>
    <w:div w:id="1230076624">
      <w:bodyDiv w:val="1"/>
      <w:marLeft w:val="0"/>
      <w:marRight w:val="0"/>
      <w:marTop w:val="0"/>
      <w:marBottom w:val="0"/>
      <w:divBdr>
        <w:top w:val="none" w:sz="0" w:space="0" w:color="auto"/>
        <w:left w:val="none" w:sz="0" w:space="0" w:color="auto"/>
        <w:bottom w:val="none" w:sz="0" w:space="0" w:color="auto"/>
        <w:right w:val="none" w:sz="0" w:space="0" w:color="auto"/>
      </w:divBdr>
      <w:divsChild>
        <w:div w:id="847596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0456762">
      <w:bodyDiv w:val="1"/>
      <w:marLeft w:val="0"/>
      <w:marRight w:val="0"/>
      <w:marTop w:val="0"/>
      <w:marBottom w:val="0"/>
      <w:divBdr>
        <w:top w:val="none" w:sz="0" w:space="0" w:color="auto"/>
        <w:left w:val="none" w:sz="0" w:space="0" w:color="auto"/>
        <w:bottom w:val="none" w:sz="0" w:space="0" w:color="auto"/>
        <w:right w:val="none" w:sz="0" w:space="0" w:color="auto"/>
      </w:divBdr>
    </w:div>
    <w:div w:id="1257977760">
      <w:bodyDiv w:val="1"/>
      <w:marLeft w:val="0"/>
      <w:marRight w:val="0"/>
      <w:marTop w:val="0"/>
      <w:marBottom w:val="0"/>
      <w:divBdr>
        <w:top w:val="none" w:sz="0" w:space="0" w:color="auto"/>
        <w:left w:val="none" w:sz="0" w:space="0" w:color="auto"/>
        <w:bottom w:val="none" w:sz="0" w:space="0" w:color="auto"/>
        <w:right w:val="none" w:sz="0" w:space="0" w:color="auto"/>
      </w:divBdr>
    </w:div>
    <w:div w:id="1277635840">
      <w:bodyDiv w:val="1"/>
      <w:marLeft w:val="0"/>
      <w:marRight w:val="0"/>
      <w:marTop w:val="0"/>
      <w:marBottom w:val="0"/>
      <w:divBdr>
        <w:top w:val="none" w:sz="0" w:space="0" w:color="auto"/>
        <w:left w:val="none" w:sz="0" w:space="0" w:color="auto"/>
        <w:bottom w:val="none" w:sz="0" w:space="0" w:color="auto"/>
        <w:right w:val="none" w:sz="0" w:space="0" w:color="auto"/>
      </w:divBdr>
    </w:div>
    <w:div w:id="1471705049">
      <w:bodyDiv w:val="1"/>
      <w:marLeft w:val="0"/>
      <w:marRight w:val="0"/>
      <w:marTop w:val="0"/>
      <w:marBottom w:val="0"/>
      <w:divBdr>
        <w:top w:val="none" w:sz="0" w:space="0" w:color="auto"/>
        <w:left w:val="none" w:sz="0" w:space="0" w:color="auto"/>
        <w:bottom w:val="none" w:sz="0" w:space="0" w:color="auto"/>
        <w:right w:val="none" w:sz="0" w:space="0" w:color="auto"/>
      </w:divBdr>
    </w:div>
    <w:div w:id="1600409483">
      <w:bodyDiv w:val="1"/>
      <w:marLeft w:val="0"/>
      <w:marRight w:val="0"/>
      <w:marTop w:val="0"/>
      <w:marBottom w:val="0"/>
      <w:divBdr>
        <w:top w:val="none" w:sz="0" w:space="0" w:color="auto"/>
        <w:left w:val="none" w:sz="0" w:space="0" w:color="auto"/>
        <w:bottom w:val="none" w:sz="0" w:space="0" w:color="auto"/>
        <w:right w:val="none" w:sz="0" w:space="0" w:color="auto"/>
      </w:divBdr>
    </w:div>
    <w:div w:id="1622415325">
      <w:bodyDiv w:val="1"/>
      <w:marLeft w:val="0"/>
      <w:marRight w:val="0"/>
      <w:marTop w:val="0"/>
      <w:marBottom w:val="0"/>
      <w:divBdr>
        <w:top w:val="none" w:sz="0" w:space="0" w:color="auto"/>
        <w:left w:val="none" w:sz="0" w:space="0" w:color="auto"/>
        <w:bottom w:val="none" w:sz="0" w:space="0" w:color="auto"/>
        <w:right w:val="none" w:sz="0" w:space="0" w:color="auto"/>
      </w:divBdr>
    </w:div>
    <w:div w:id="1623726887">
      <w:bodyDiv w:val="1"/>
      <w:marLeft w:val="0"/>
      <w:marRight w:val="0"/>
      <w:marTop w:val="0"/>
      <w:marBottom w:val="0"/>
      <w:divBdr>
        <w:top w:val="none" w:sz="0" w:space="0" w:color="auto"/>
        <w:left w:val="none" w:sz="0" w:space="0" w:color="auto"/>
        <w:bottom w:val="none" w:sz="0" w:space="0" w:color="auto"/>
        <w:right w:val="none" w:sz="0" w:space="0" w:color="auto"/>
      </w:divBdr>
    </w:div>
    <w:div w:id="1739278466">
      <w:bodyDiv w:val="1"/>
      <w:marLeft w:val="0"/>
      <w:marRight w:val="0"/>
      <w:marTop w:val="0"/>
      <w:marBottom w:val="0"/>
      <w:divBdr>
        <w:top w:val="none" w:sz="0" w:space="0" w:color="auto"/>
        <w:left w:val="none" w:sz="0" w:space="0" w:color="auto"/>
        <w:bottom w:val="none" w:sz="0" w:space="0" w:color="auto"/>
        <w:right w:val="none" w:sz="0" w:space="0" w:color="auto"/>
      </w:divBdr>
    </w:div>
    <w:div w:id="1861552091">
      <w:bodyDiv w:val="1"/>
      <w:marLeft w:val="0"/>
      <w:marRight w:val="0"/>
      <w:marTop w:val="0"/>
      <w:marBottom w:val="0"/>
      <w:divBdr>
        <w:top w:val="none" w:sz="0" w:space="0" w:color="auto"/>
        <w:left w:val="none" w:sz="0" w:space="0" w:color="auto"/>
        <w:bottom w:val="none" w:sz="0" w:space="0" w:color="auto"/>
        <w:right w:val="none" w:sz="0" w:space="0" w:color="auto"/>
      </w:divBdr>
    </w:div>
    <w:div w:id="1874147758">
      <w:bodyDiv w:val="1"/>
      <w:marLeft w:val="0"/>
      <w:marRight w:val="0"/>
      <w:marTop w:val="0"/>
      <w:marBottom w:val="0"/>
      <w:divBdr>
        <w:top w:val="none" w:sz="0" w:space="0" w:color="auto"/>
        <w:left w:val="none" w:sz="0" w:space="0" w:color="auto"/>
        <w:bottom w:val="none" w:sz="0" w:space="0" w:color="auto"/>
        <w:right w:val="none" w:sz="0" w:space="0" w:color="auto"/>
      </w:divBdr>
    </w:div>
    <w:div w:id="1946381170">
      <w:bodyDiv w:val="1"/>
      <w:marLeft w:val="0"/>
      <w:marRight w:val="0"/>
      <w:marTop w:val="0"/>
      <w:marBottom w:val="0"/>
      <w:divBdr>
        <w:top w:val="none" w:sz="0" w:space="0" w:color="auto"/>
        <w:left w:val="none" w:sz="0" w:space="0" w:color="auto"/>
        <w:bottom w:val="none" w:sz="0" w:space="0" w:color="auto"/>
        <w:right w:val="none" w:sz="0" w:space="0" w:color="auto"/>
      </w:divBdr>
    </w:div>
    <w:div w:id="1952545273">
      <w:bodyDiv w:val="1"/>
      <w:marLeft w:val="0"/>
      <w:marRight w:val="0"/>
      <w:marTop w:val="0"/>
      <w:marBottom w:val="0"/>
      <w:divBdr>
        <w:top w:val="none" w:sz="0" w:space="0" w:color="auto"/>
        <w:left w:val="none" w:sz="0" w:space="0" w:color="auto"/>
        <w:bottom w:val="none" w:sz="0" w:space="0" w:color="auto"/>
        <w:right w:val="none" w:sz="0" w:space="0" w:color="auto"/>
      </w:divBdr>
      <w:divsChild>
        <w:div w:id="1020818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096522">
      <w:bodyDiv w:val="1"/>
      <w:marLeft w:val="0"/>
      <w:marRight w:val="0"/>
      <w:marTop w:val="0"/>
      <w:marBottom w:val="0"/>
      <w:divBdr>
        <w:top w:val="none" w:sz="0" w:space="0" w:color="auto"/>
        <w:left w:val="none" w:sz="0" w:space="0" w:color="auto"/>
        <w:bottom w:val="none" w:sz="0" w:space="0" w:color="auto"/>
        <w:right w:val="none" w:sz="0" w:space="0" w:color="auto"/>
      </w:divBdr>
    </w:div>
    <w:div w:id="208059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mmons.emich.edu/loexquarterly/vol31/iss3/4/" TargetMode="External"/><Relationship Id="rId117" Type="http://schemas.microsoft.com/office/2007/relationships/diagramDrawing" Target="diagrams/drawing5.xml"/><Relationship Id="rId21" Type="http://schemas.openxmlformats.org/officeDocument/2006/relationships/hyperlink" Target="https://www.thelancet.com/journals/lancet/article/PIIS0140-6736(13)62631-8/fulltext" TargetMode="External"/><Relationship Id="rId42" Type="http://schemas.openxmlformats.org/officeDocument/2006/relationships/hyperlink" Target="https://doi.org/10.1002/9781119536604" TargetMode="External"/><Relationship Id="rId47" Type="http://schemas.openxmlformats.org/officeDocument/2006/relationships/hyperlink" Target="https://www.worldcat.org/title/10147702" TargetMode="External"/><Relationship Id="rId63" Type="http://schemas.openxmlformats.org/officeDocument/2006/relationships/hyperlink" Target="https://www.nhsstaffsurveys.com" TargetMode="External"/><Relationship Id="rId68" Type="http://schemas.openxmlformats.org/officeDocument/2006/relationships/hyperlink" Target="https://www.oecd.org/coronavirus/policy-responses" TargetMode="External"/><Relationship Id="rId84" Type="http://schemas.openxmlformats.org/officeDocument/2006/relationships/hyperlink" Target="https://doi.org/10.1186/1472-6947-7-16" TargetMode="External"/><Relationship Id="rId89" Type="http://schemas.openxmlformats.org/officeDocument/2006/relationships/hyperlink" Target="https://doi.org/10.1016/j.jbusres.2019.07.039" TargetMode="External"/><Relationship Id="rId112" Type="http://schemas.microsoft.com/office/2007/relationships/diagramDrawing" Target="diagrams/drawing4.xml"/><Relationship Id="rId16" Type="http://schemas.openxmlformats.org/officeDocument/2006/relationships/diagramLayout" Target="diagrams/layout2.xml"/><Relationship Id="rId107" Type="http://schemas.microsoft.com/office/2007/relationships/diagramDrawing" Target="diagrams/drawing3.xml"/><Relationship Id="rId11" Type="http://schemas.openxmlformats.org/officeDocument/2006/relationships/diagramQuickStyle" Target="diagrams/quickStyle1.xml"/><Relationship Id="rId32" Type="http://schemas.openxmlformats.org/officeDocument/2006/relationships/hyperlink" Target="https://bmcpublichealth.biomedcentral.com/articles/10.1186/s12889-020-10070-3" TargetMode="External"/><Relationship Id="rId37" Type="http://schemas.openxmlformats.org/officeDocument/2006/relationships/hyperlink" Target="https://link.springer.com/article/10.1007/BF03405108" TargetMode="External"/><Relationship Id="rId53" Type="http://schemas.openxmlformats.org/officeDocument/2006/relationships/hyperlink" Target="https://www.sciencedirect.com/science/article/pii/S0272735809000907" TargetMode="External"/><Relationship Id="rId58" Type="http://schemas.openxmlformats.org/officeDocument/2006/relationships/hyperlink" Target="https://www.nhsconfed.org/themes/workforce" TargetMode="External"/><Relationship Id="rId74" Type="http://schemas.openxmlformats.org/officeDocument/2006/relationships/hyperlink" Target="https://assets.publishing.service.gov.uk/government/uploads/system/uploads/attachment_data/file/892376/COVID_stakeholder_engagement_synthesis_beyond_the_data.pdf" TargetMode="External"/><Relationship Id="rId79" Type="http://schemas.openxmlformats.org/officeDocument/2006/relationships/hyperlink" Target="https://onlinelibrary.wiley.com/doi/full/10.1111/joop.12120" TargetMode="External"/><Relationship Id="rId102" Type="http://schemas.openxmlformats.org/officeDocument/2006/relationships/footer" Target="footer1.xml"/><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nhsstaffsurveys.com" TargetMode="External"/><Relationship Id="rId82" Type="http://schemas.openxmlformats.org/officeDocument/2006/relationships/hyperlink" Target="https://doi.org/10.1002/1348-9585.12175" TargetMode="External"/><Relationship Id="rId90" Type="http://schemas.openxmlformats.org/officeDocument/2006/relationships/hyperlink" Target="https://doi.org/10.1016/j.ajp.2020.102119" TargetMode="External"/><Relationship Id="rId95" Type="http://schemas.openxmlformats.org/officeDocument/2006/relationships/hyperlink" Target="https://doi.org/10.7326/M18-0850" TargetMode="External"/><Relationship Id="rId19" Type="http://schemas.microsoft.com/office/2007/relationships/diagramDrawing" Target="diagrams/drawing2.xml"/><Relationship Id="rId14" Type="http://schemas.openxmlformats.org/officeDocument/2006/relationships/image" Target="media/image3.png"/><Relationship Id="rId22" Type="http://schemas.openxmlformats.org/officeDocument/2006/relationships/hyperlink" Target="https://doi.org/10.1108/02683940710733115" TargetMode="External"/><Relationship Id="rId27" Type="http://schemas.openxmlformats.org/officeDocument/2006/relationships/hyperlink" Target="https://www.bma.org.uk/advice-and-support/covid-19" TargetMode="External"/><Relationship Id="rId30" Type="http://schemas.openxmlformats.org/officeDocument/2006/relationships/hyperlink" Target="https://www.bmj.com/content/347/bmj.f7332" TargetMode="External"/><Relationship Id="rId35" Type="http://schemas.openxmlformats.org/officeDocument/2006/relationships/hyperlink" Target="https://uk.sagepub.com/en-gb/eur/an-introduction-to-systematic-reviews/book237865" TargetMode="External"/><Relationship Id="rId43" Type="http://schemas.openxmlformats.org/officeDocument/2006/relationships/hyperlink" Target="https://psycnet.apa.org/record/1989-29736-001" TargetMode="External"/><Relationship Id="rId48" Type="http://schemas.openxmlformats.org/officeDocument/2006/relationships/hyperlink" Target="https://www.jstor.org/stable/2392498" TargetMode="External"/><Relationship Id="rId56" Type="http://schemas.openxmlformats.org/officeDocument/2006/relationships/hyperlink" Target="https://www.sciencedirect.com/science/article/pii/B9780128009512000443" TargetMode="External"/><Relationship Id="rId64" Type="http://schemas.openxmlformats.org/officeDocument/2006/relationships/hyperlink" Target="https://www.nice.org.uk/guidance/ng116" TargetMode="External"/><Relationship Id="rId69" Type="http://schemas.openxmlformats.org/officeDocument/2006/relationships/hyperlink" Target="https://www.scielosp.org/article/csp/2020.v36n4/e00063520/en/?utm_source=chatgpt.com" TargetMode="External"/><Relationship Id="rId77" Type="http://schemas.openxmlformats.org/officeDocument/2006/relationships/hyperlink" Target="https://www.rcn.org.uk" TargetMode="External"/><Relationship Id="rId100" Type="http://schemas.openxmlformats.org/officeDocument/2006/relationships/hyperlink" Target="https://www.who.int/publications/i/item/9789240053052" TargetMode="External"/><Relationship Id="rId105" Type="http://schemas.openxmlformats.org/officeDocument/2006/relationships/diagramQuickStyle" Target="diagrams/quickStyle3.xml"/><Relationship Id="rId113" Type="http://schemas.openxmlformats.org/officeDocument/2006/relationships/diagramData" Target="diagrams/data5.xml"/><Relationship Id="rId118" Type="http://schemas.openxmlformats.org/officeDocument/2006/relationships/diagramData" Target="diagrams/data6.xml"/><Relationship Id="rId8" Type="http://schemas.openxmlformats.org/officeDocument/2006/relationships/image" Target="media/image2.png"/><Relationship Id="rId51" Type="http://schemas.openxmlformats.org/officeDocument/2006/relationships/hyperlink" Target="https://jamanetwork.com/journals/jamanetworkopen/fullarticle/2763229" TargetMode="External"/><Relationship Id="rId72" Type="http://schemas.openxmlformats.org/officeDocument/2006/relationships/hyperlink" Target="https://doi.org/10.1016/j.bbi.2020.05.026" TargetMode="External"/><Relationship Id="rId80" Type="http://schemas.openxmlformats.org/officeDocument/2006/relationships/hyperlink" Target="https://www.sciencedirect.com/science/article/pii/S0165178120312319" TargetMode="External"/><Relationship Id="rId85" Type="http://schemas.openxmlformats.org/officeDocument/2006/relationships/hyperlink" Target="https://doi.org/10.1016/j.jad.2020.08.034" TargetMode="External"/><Relationship Id="rId93" Type="http://schemas.openxmlformats.org/officeDocument/2006/relationships/hyperlink" Target="https://doi.org/10.1186/1471-2288-8-45" TargetMode="External"/><Relationship Id="rId98" Type="http://schemas.openxmlformats.org/officeDocument/2006/relationships/hyperlink" Target="https://www.kingsfund.org.uk/publications/caring-change" TargetMode="External"/><Relationship Id="rId121" Type="http://schemas.openxmlformats.org/officeDocument/2006/relationships/diagramColors" Target="diagrams/colors6.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s://doi.org/10.3390/ijerph17092997" TargetMode="External"/><Relationship Id="rId33" Type="http://schemas.openxmlformats.org/officeDocument/2006/relationships/hyperlink" Target="https://psycnet.apa.org/record/2001-18266-015" TargetMode="External"/><Relationship Id="rId38" Type="http://schemas.openxmlformats.org/officeDocument/2006/relationships/hyperlink" Target="https://www.bmj.com/content/368/bmj.m1211" TargetMode="External"/><Relationship Id="rId46" Type="http://schemas.openxmlformats.org/officeDocument/2006/relationships/hyperlink" Target="https://www.hse.gov.uk/coronavirus/index.htm" TargetMode="External"/><Relationship Id="rId59" Type="http://schemas.openxmlformats.org/officeDocument/2006/relationships/hyperlink" Target="https://www.england.nhs.uk/ournhspeople/" TargetMode="External"/><Relationship Id="rId67" Type="http://schemas.openxmlformats.org/officeDocument/2006/relationships/hyperlink" Target="https://doi.org/10.1177/1609406917733847" TargetMode="External"/><Relationship Id="rId103" Type="http://schemas.openxmlformats.org/officeDocument/2006/relationships/diagramData" Target="diagrams/data3.xml"/><Relationship Id="rId108" Type="http://schemas.openxmlformats.org/officeDocument/2006/relationships/diagramData" Target="diagrams/data4.xml"/><Relationship Id="rId116" Type="http://schemas.openxmlformats.org/officeDocument/2006/relationships/diagramColors" Target="diagrams/colors5.xml"/><Relationship Id="rId124"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s://doi.org/10.1097/01.jaa.0000669772.78848.8c" TargetMode="External"/><Relationship Id="rId54" Type="http://schemas.openxmlformats.org/officeDocument/2006/relationships/hyperlink" Target="https://www.mdpi.com/1660-4601/17/15/5514" TargetMode="External"/><Relationship Id="rId62" Type="http://schemas.openxmlformats.org/officeDocument/2006/relationships/hyperlink" Target="https://www.nhsstaffsurveys.com" TargetMode="External"/><Relationship Id="rId70" Type="http://schemas.openxmlformats.org/officeDocument/2006/relationships/hyperlink" Target="https://www.bmj.com/content/372/bmj.n71" TargetMode="External"/><Relationship Id="rId75" Type="http://schemas.openxmlformats.org/officeDocument/2006/relationships/hyperlink" Target="https://apps.who.int/iris/bitstream/handle/10665/336303/Eurohealth-26-2-77-82-eng.pdf" TargetMode="External"/><Relationship Id="rId83" Type="http://schemas.openxmlformats.org/officeDocument/2006/relationships/hyperlink" Target="https://doi.org/10.1007/978-1-4614-6814-1" TargetMode="External"/><Relationship Id="rId88" Type="http://schemas.openxmlformats.org/officeDocument/2006/relationships/hyperlink" Target="https://doi.org/10.1037//1076-8998.1.1.27" TargetMode="External"/><Relationship Id="rId91" Type="http://schemas.openxmlformats.org/officeDocument/2006/relationships/hyperlink" Target="https://doi.org/10.3389/fpsyg.2021.626547" TargetMode="External"/><Relationship Id="rId96" Type="http://schemas.openxmlformats.org/officeDocument/2006/relationships/hyperlink" Target="https://doi.org/10.3892/etm.2020.8646" TargetMode="External"/><Relationship Id="rId111"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doi.org/10.1108/eb024320" TargetMode="External"/><Relationship Id="rId28" Type="http://schemas.openxmlformats.org/officeDocument/2006/relationships/hyperlink" Target="https://uk.sagepub.com/en-gb/eur/systematic-approaches-to-a-successful-literature-review/book245351" TargetMode="External"/><Relationship Id="rId36" Type="http://schemas.openxmlformats.org/officeDocument/2006/relationships/hyperlink" Target="https://bmcinfectdis.biomedcentral.com/articles/10.1186/1471-2334-10-322" TargetMode="External"/><Relationship Id="rId49" Type="http://schemas.openxmlformats.org/officeDocument/2006/relationships/hyperlink" Target="https://www.som.org.uk/sites/som.org.uk/files/SOM_COVID-19_Frontline_Healthcare_Worker_Wellbeing_Guidance.pdf" TargetMode="External"/><Relationship Id="rId57" Type="http://schemas.openxmlformats.org/officeDocument/2006/relationships/hyperlink" Target="https://www.cmaj.ca/content/168/10/1245" TargetMode="External"/><Relationship Id="rId106" Type="http://schemas.openxmlformats.org/officeDocument/2006/relationships/diagramColors" Target="diagrams/colors3.xml"/><Relationship Id="rId114" Type="http://schemas.openxmlformats.org/officeDocument/2006/relationships/diagramLayout" Target="diagrams/layout5.xml"/><Relationship Id="rId119" Type="http://schemas.openxmlformats.org/officeDocument/2006/relationships/diagramLayout" Target="diagrams/layout6.xml"/><Relationship Id="rId10" Type="http://schemas.openxmlformats.org/officeDocument/2006/relationships/diagramLayout" Target="diagrams/layout1.xml"/><Relationship Id="rId31" Type="http://schemas.openxmlformats.org/officeDocument/2006/relationships/hyperlink" Target="https://doi.org/10.1055/s-0040-1722811" TargetMode="External"/><Relationship Id="rId44" Type="http://schemas.openxmlformats.org/officeDocument/2006/relationships/hyperlink" Target="https://psycnet.apa.org/record/2018-11330-001" TargetMode="External"/><Relationship Id="rId52" Type="http://schemas.openxmlformats.org/officeDocument/2006/relationships/hyperlink" Target="https://link.springer.com/book/10.1007/978-1-4419-1005-9" TargetMode="External"/><Relationship Id="rId60" Type="http://schemas.openxmlformats.org/officeDocument/2006/relationships/hyperlink" Target="https://www.england.nhs.uk/ournhspeople/peoplepromise/" TargetMode="External"/><Relationship Id="rId65" Type="http://schemas.openxmlformats.org/officeDocument/2006/relationships/hyperlink" Target="https://www.nice.org.uk" TargetMode="External"/><Relationship Id="rId73" Type="http://schemas.openxmlformats.org/officeDocument/2006/relationships/hyperlink" Target="https://doi.org/10.1002/9780470754887" TargetMode="External"/><Relationship Id="rId78" Type="http://schemas.openxmlformats.org/officeDocument/2006/relationships/hyperlink" Target="https://www.rcplondon.ac.uk" TargetMode="External"/><Relationship Id="rId81" Type="http://schemas.openxmlformats.org/officeDocument/2006/relationships/hyperlink" Target="https://www.cambridge.org/core/journals/european-psychiatry/article/impact-of-coronavirus-syndrome-2019-covid19-on-the-mental-health-of-health-care-workers/" TargetMode="External"/><Relationship Id="rId86" Type="http://schemas.openxmlformats.org/officeDocument/2006/relationships/hyperlink" Target="https://doi.org/10.1001/jama.2020.5893" TargetMode="External"/><Relationship Id="rId94" Type="http://schemas.openxmlformats.org/officeDocument/2006/relationships/hyperlink" Target="https://doi.org/10.1093/intqhc/mzm042" TargetMode="External"/><Relationship Id="rId99" Type="http://schemas.openxmlformats.org/officeDocument/2006/relationships/hyperlink" Target="https://www.who.int/publications/i/item/WHO-2019-nCoV-HCW_advice-2021.1" TargetMode="External"/><Relationship Id="rId101" Type="http://schemas.openxmlformats.org/officeDocument/2006/relationships/hyperlink" Target="https://doi.org/10.1503/cmaj.200519" TargetMode="External"/><Relationship Id="rId122" Type="http://schemas.microsoft.com/office/2007/relationships/diagramDrawing" Target="diagrams/drawing6.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diagramColors" Target="diagrams/colors2.xml"/><Relationship Id="rId39" Type="http://schemas.openxmlformats.org/officeDocument/2006/relationships/hyperlink" Target="https://doi.org/10.1111/eci.12931" TargetMode="External"/><Relationship Id="rId109" Type="http://schemas.openxmlformats.org/officeDocument/2006/relationships/diagramLayout" Target="diagrams/layout4.xml"/><Relationship Id="rId34" Type="http://schemas.openxmlformats.org/officeDocument/2006/relationships/hyperlink" Target="https://www.ficm.ac.uk/wellbeing" TargetMode="External"/><Relationship Id="rId50" Type="http://schemas.openxmlformats.org/officeDocument/2006/relationships/hyperlink" Target="https://www.bmj.com/content/369/bmj.m1642" TargetMode="External"/><Relationship Id="rId55" Type="http://schemas.openxmlformats.org/officeDocument/2006/relationships/hyperlink" Target="https://onlinelibrary.wiley.com/doi/abs/10.1002/job.4030020205" TargetMode="External"/><Relationship Id="rId76" Type="http://schemas.openxmlformats.org/officeDocument/2006/relationships/hyperlink" Target="https://www.rcgp.org.uk/~/media/Files/Policy/A-Z-policy/2020/RCGP-General-Practice-post-Covid.ashx" TargetMode="External"/><Relationship Id="rId97" Type="http://schemas.openxmlformats.org/officeDocument/2006/relationships/hyperlink" Target="https://doi.org/10.1007/s40200-020-00643-9" TargetMode="External"/><Relationship Id="rId104" Type="http://schemas.openxmlformats.org/officeDocument/2006/relationships/diagramLayout" Target="diagrams/layout3.xml"/><Relationship Id="rId120" Type="http://schemas.openxmlformats.org/officeDocument/2006/relationships/diagramQuickStyle" Target="diagrams/quickStyle6.xml"/><Relationship Id="rId7" Type="http://schemas.openxmlformats.org/officeDocument/2006/relationships/endnotes" Target="endnotes.xml"/><Relationship Id="rId71" Type="http://schemas.openxmlformats.org/officeDocument/2006/relationships/hyperlink" Target="https://jamanetwork.com/journals/jamainternalmedicine/article-abstract/2686141" TargetMode="External"/><Relationship Id="rId92" Type="http://schemas.openxmlformats.org/officeDocument/2006/relationships/hyperlink" Target="https://doi.org/10.7326/m20-1083" TargetMode="External"/><Relationship Id="rId2" Type="http://schemas.openxmlformats.org/officeDocument/2006/relationships/numbering" Target="numbering.xml"/><Relationship Id="rId29" Type="http://schemas.openxmlformats.org/officeDocument/2006/relationships/hyperlink" Target="https://doi.org/10.1191/1478088706qp063oa" TargetMode="External"/><Relationship Id="rId24" Type="http://schemas.openxmlformats.org/officeDocument/2006/relationships/hyperlink" Target="https://bmchealthservres.biomedcentral.com/articles/10.1186/s12913-021-06917-z" TargetMode="External"/><Relationship Id="rId40" Type="http://schemas.openxmlformats.org/officeDocument/2006/relationships/hyperlink" Target="https://europepmc.org/articles/PMC8611576/?utm_source=chatgpt.com" TargetMode="External"/><Relationship Id="rId45" Type="http://schemas.openxmlformats.org/officeDocument/2006/relationships/hyperlink" Target="https://www.hse.gov.uk/stress/standards/index.htm" TargetMode="External"/><Relationship Id="rId66" Type="http://schemas.openxmlformats.org/officeDocument/2006/relationships/hyperlink" Target="https://wwwnc.cdc.gov/eid/article/10/5/03-0703_article" TargetMode="External"/><Relationship Id="rId87" Type="http://schemas.openxmlformats.org/officeDocument/2006/relationships/hyperlink" Target="https://doi.org/10.1001/jama.2014.17934" TargetMode="External"/><Relationship Id="rId110" Type="http://schemas.openxmlformats.org/officeDocument/2006/relationships/diagramQuickStyle" Target="diagrams/quickStyle4.xml"/><Relationship Id="rId115" Type="http://schemas.openxmlformats.org/officeDocument/2006/relationships/diagramQuickStyle" Target="diagrams/quickStyle5.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09AFF3-F714-4A07-AFCC-40278694E9AA}" type="doc">
      <dgm:prSet loTypeId="urn:microsoft.com/office/officeart/2005/8/layout/StepDownProcess" loCatId="process" qsTypeId="urn:microsoft.com/office/officeart/2005/8/quickstyle/simple1" qsCatId="simple" csTypeId="urn:microsoft.com/office/officeart/2005/8/colors/accent3_1" csCatId="accent3"/>
      <dgm:spPr/>
      <dgm:t>
        <a:bodyPr/>
        <a:lstStyle/>
        <a:p>
          <a:endParaRPr lang="en-US"/>
        </a:p>
      </dgm:t>
    </dgm:pt>
    <dgm:pt modelId="{86854107-8122-4EC4-888C-4166B42863D9}">
      <dgm:prSet custT="1"/>
      <dgm:spPr/>
      <dgm:t>
        <a:bodyPr/>
        <a:lstStyle/>
        <a:p>
          <a:pPr rtl="0"/>
          <a:r>
            <a:rPr lang="en-US" sz="800"/>
            <a:t>I searched Google Scholar, PubMed and the UWTSD Library using title-derived keywords and synonyms, combined with Boolean operators. </a:t>
          </a:r>
        </a:p>
      </dgm:t>
    </dgm:pt>
    <dgm:pt modelId="{0504E0BF-ADF7-4A95-8C80-976C0E02F5A0}" type="parTrans" cxnId="{6E2A05C1-50FB-4188-ADE3-4A8707620304}">
      <dgm:prSet/>
      <dgm:spPr/>
      <dgm:t>
        <a:bodyPr/>
        <a:lstStyle/>
        <a:p>
          <a:endParaRPr lang="en-US" sz="2400"/>
        </a:p>
      </dgm:t>
    </dgm:pt>
    <dgm:pt modelId="{55C10760-58F9-45EE-BA74-33BE75402FF8}" type="sibTrans" cxnId="{6E2A05C1-50FB-4188-ADE3-4A8707620304}">
      <dgm:prSet/>
      <dgm:spPr/>
      <dgm:t>
        <a:bodyPr/>
        <a:lstStyle/>
        <a:p>
          <a:endParaRPr lang="en-US" sz="2400"/>
        </a:p>
      </dgm:t>
    </dgm:pt>
    <dgm:pt modelId="{9FEB214A-F228-4CEB-96A6-BBE5C63B7C35}">
      <dgm:prSet custT="1"/>
      <dgm:spPr/>
      <dgm:t>
        <a:bodyPr/>
        <a:lstStyle/>
        <a:p>
          <a:pPr rtl="0"/>
          <a:r>
            <a:rPr lang="en-US" sz="800"/>
            <a:t>I set filters: 2020–2024, English, peer-reviewed, UK-relevant, qualitative/rapid reviews. </a:t>
          </a:r>
        </a:p>
      </dgm:t>
    </dgm:pt>
    <dgm:pt modelId="{407D4672-CF34-4221-995F-0F7955EC2D92}" type="parTrans" cxnId="{1320D52D-E286-4B87-B735-14E9E0AD52BF}">
      <dgm:prSet/>
      <dgm:spPr/>
      <dgm:t>
        <a:bodyPr/>
        <a:lstStyle/>
        <a:p>
          <a:endParaRPr lang="en-US" sz="2400"/>
        </a:p>
      </dgm:t>
    </dgm:pt>
    <dgm:pt modelId="{6B636385-EA99-4089-8E41-37F3F7391FB6}" type="sibTrans" cxnId="{1320D52D-E286-4B87-B735-14E9E0AD52BF}">
      <dgm:prSet/>
      <dgm:spPr/>
      <dgm:t>
        <a:bodyPr/>
        <a:lstStyle/>
        <a:p>
          <a:endParaRPr lang="en-US" sz="2400"/>
        </a:p>
      </dgm:t>
    </dgm:pt>
    <dgm:pt modelId="{B2B32295-10CC-4CF9-A171-DF728BA1ADCB}">
      <dgm:prSet custT="1"/>
      <dgm:spPr/>
      <dgm:t>
        <a:bodyPr/>
        <a:lstStyle/>
        <a:p>
          <a:pPr rtl="0"/>
          <a:r>
            <a:rPr lang="en-US" sz="800"/>
            <a:t>I logged each query, hits and inclusion decisions, then screened titles/abstracts (relevance, design, setting) before full-text appraisal. </a:t>
          </a:r>
        </a:p>
      </dgm:t>
    </dgm:pt>
    <dgm:pt modelId="{79CD080E-ECCB-42C0-A28B-97C3AA636BE7}" type="parTrans" cxnId="{3C283070-1013-436C-AE40-989B2B42505A}">
      <dgm:prSet/>
      <dgm:spPr/>
      <dgm:t>
        <a:bodyPr/>
        <a:lstStyle/>
        <a:p>
          <a:endParaRPr lang="en-US" sz="2400"/>
        </a:p>
      </dgm:t>
    </dgm:pt>
    <dgm:pt modelId="{F4579791-532B-4B49-B698-5E9EE57A55FB}" type="sibTrans" cxnId="{3C283070-1013-436C-AE40-989B2B42505A}">
      <dgm:prSet/>
      <dgm:spPr/>
      <dgm:t>
        <a:bodyPr/>
        <a:lstStyle/>
        <a:p>
          <a:endParaRPr lang="en-US" sz="2400"/>
        </a:p>
      </dgm:t>
    </dgm:pt>
    <dgm:pt modelId="{F6874C27-7252-4223-936D-26A4EDACD04F}">
      <dgm:prSet custT="1"/>
      <dgm:spPr/>
      <dgm:t>
        <a:bodyPr/>
        <a:lstStyle/>
        <a:p>
          <a:pPr rtl="0"/>
          <a:r>
            <a:rPr lang="en-US" sz="800"/>
            <a:t>I refined terms via berrypicking (iterative query tweaks) and snowballing (mining reference lists). </a:t>
          </a:r>
        </a:p>
      </dgm:t>
    </dgm:pt>
    <dgm:pt modelId="{A1C17013-F595-4D2D-877E-F52B830EC062}" type="parTrans" cxnId="{4F9C6558-65A7-4C9D-9D6A-025B937C93B9}">
      <dgm:prSet/>
      <dgm:spPr/>
      <dgm:t>
        <a:bodyPr/>
        <a:lstStyle/>
        <a:p>
          <a:endParaRPr lang="en-US" sz="2400"/>
        </a:p>
      </dgm:t>
    </dgm:pt>
    <dgm:pt modelId="{1A2944D8-6F81-4D06-932D-E95F1261F6BA}" type="sibTrans" cxnId="{4F9C6558-65A7-4C9D-9D6A-025B937C93B9}">
      <dgm:prSet/>
      <dgm:spPr/>
      <dgm:t>
        <a:bodyPr/>
        <a:lstStyle/>
        <a:p>
          <a:endParaRPr lang="en-US" sz="2400"/>
        </a:p>
      </dgm:t>
    </dgm:pt>
    <dgm:pt modelId="{8136DC5B-6C5E-45F3-87C3-38B94A9FD963}">
      <dgm:prSet custT="1"/>
      <dgm:spPr/>
      <dgm:t>
        <a:bodyPr/>
        <a:lstStyle/>
        <a:p>
          <a:pPr rtl="0"/>
          <a:r>
            <a:rPr lang="en-US" sz="800"/>
            <a:t>I prioritised studies addressing HCW mental health, burnout and moral distress across UK settings to ensure contextual fit and thematic richness</a:t>
          </a:r>
          <a:r>
            <a:rPr lang="en-GB" sz="800"/>
            <a:t>.</a:t>
          </a:r>
          <a:endParaRPr lang="en-US" sz="800"/>
        </a:p>
      </dgm:t>
    </dgm:pt>
    <dgm:pt modelId="{97F1A869-5F2A-4DEA-AA5C-5CA94194CA34}" type="parTrans" cxnId="{2873E899-6D0A-417C-B540-4A1A8438F3B7}">
      <dgm:prSet/>
      <dgm:spPr/>
      <dgm:t>
        <a:bodyPr/>
        <a:lstStyle/>
        <a:p>
          <a:endParaRPr lang="en-US" sz="2400"/>
        </a:p>
      </dgm:t>
    </dgm:pt>
    <dgm:pt modelId="{82687F98-0FB3-4AEC-B386-B087C0466F69}" type="sibTrans" cxnId="{2873E899-6D0A-417C-B540-4A1A8438F3B7}">
      <dgm:prSet/>
      <dgm:spPr/>
      <dgm:t>
        <a:bodyPr/>
        <a:lstStyle/>
        <a:p>
          <a:endParaRPr lang="en-US" sz="2400"/>
        </a:p>
      </dgm:t>
    </dgm:pt>
    <dgm:pt modelId="{C2E598C9-85B8-46CB-8976-5FAD4DC0B012}" type="pres">
      <dgm:prSet presAssocID="{AD09AFF3-F714-4A07-AFCC-40278694E9AA}" presName="rootnode" presStyleCnt="0">
        <dgm:presLayoutVars>
          <dgm:chMax/>
          <dgm:chPref/>
          <dgm:dir/>
          <dgm:animLvl val="lvl"/>
        </dgm:presLayoutVars>
      </dgm:prSet>
      <dgm:spPr/>
    </dgm:pt>
    <dgm:pt modelId="{CBE51656-B575-4C45-9A72-EF8EA17AFF83}" type="pres">
      <dgm:prSet presAssocID="{86854107-8122-4EC4-888C-4166B42863D9}" presName="composite" presStyleCnt="0"/>
      <dgm:spPr/>
    </dgm:pt>
    <dgm:pt modelId="{FCE3D396-8BBF-4FBB-AF59-F765B6B30187}" type="pres">
      <dgm:prSet presAssocID="{86854107-8122-4EC4-888C-4166B42863D9}" presName="bentUpArrow1" presStyleLbl="alignImgPlace1" presStyleIdx="0" presStyleCnt="4"/>
      <dgm:spPr/>
    </dgm:pt>
    <dgm:pt modelId="{BBAEB408-D230-41F3-B49C-5605965A32FD}" type="pres">
      <dgm:prSet presAssocID="{86854107-8122-4EC4-888C-4166B42863D9}" presName="ParentText" presStyleLbl="node1" presStyleIdx="0" presStyleCnt="5">
        <dgm:presLayoutVars>
          <dgm:chMax val="1"/>
          <dgm:chPref val="1"/>
          <dgm:bulletEnabled val="1"/>
        </dgm:presLayoutVars>
      </dgm:prSet>
      <dgm:spPr/>
    </dgm:pt>
    <dgm:pt modelId="{F3EC870F-FFBE-4278-A4B4-C05678B1CD53}" type="pres">
      <dgm:prSet presAssocID="{86854107-8122-4EC4-888C-4166B42863D9}" presName="ChildText" presStyleLbl="revTx" presStyleIdx="0" presStyleCnt="4">
        <dgm:presLayoutVars>
          <dgm:chMax val="0"/>
          <dgm:chPref val="0"/>
          <dgm:bulletEnabled val="1"/>
        </dgm:presLayoutVars>
      </dgm:prSet>
      <dgm:spPr/>
    </dgm:pt>
    <dgm:pt modelId="{78BC140A-4842-471B-B988-DD798EF0268D}" type="pres">
      <dgm:prSet presAssocID="{55C10760-58F9-45EE-BA74-33BE75402FF8}" presName="sibTrans" presStyleCnt="0"/>
      <dgm:spPr/>
    </dgm:pt>
    <dgm:pt modelId="{C073DA21-8D9B-4F1D-80AB-B535B04EB13A}" type="pres">
      <dgm:prSet presAssocID="{9FEB214A-F228-4CEB-96A6-BBE5C63B7C35}" presName="composite" presStyleCnt="0"/>
      <dgm:spPr/>
    </dgm:pt>
    <dgm:pt modelId="{F17666E4-97B4-4262-919E-6CBFBCCF55F6}" type="pres">
      <dgm:prSet presAssocID="{9FEB214A-F228-4CEB-96A6-BBE5C63B7C35}" presName="bentUpArrow1" presStyleLbl="alignImgPlace1" presStyleIdx="1" presStyleCnt="4"/>
      <dgm:spPr/>
    </dgm:pt>
    <dgm:pt modelId="{8379DA87-7111-435C-A2C7-C3ECC7AB5A4B}" type="pres">
      <dgm:prSet presAssocID="{9FEB214A-F228-4CEB-96A6-BBE5C63B7C35}" presName="ParentText" presStyleLbl="node1" presStyleIdx="1" presStyleCnt="5">
        <dgm:presLayoutVars>
          <dgm:chMax val="1"/>
          <dgm:chPref val="1"/>
          <dgm:bulletEnabled val="1"/>
        </dgm:presLayoutVars>
      </dgm:prSet>
      <dgm:spPr/>
    </dgm:pt>
    <dgm:pt modelId="{3609A61F-FBC0-4263-A382-F5592E2BE85A}" type="pres">
      <dgm:prSet presAssocID="{9FEB214A-F228-4CEB-96A6-BBE5C63B7C35}" presName="ChildText" presStyleLbl="revTx" presStyleIdx="1" presStyleCnt="4">
        <dgm:presLayoutVars>
          <dgm:chMax val="0"/>
          <dgm:chPref val="0"/>
          <dgm:bulletEnabled val="1"/>
        </dgm:presLayoutVars>
      </dgm:prSet>
      <dgm:spPr/>
    </dgm:pt>
    <dgm:pt modelId="{E8E03461-F619-4E46-9B82-26186407B573}" type="pres">
      <dgm:prSet presAssocID="{6B636385-EA99-4089-8E41-37F3F7391FB6}" presName="sibTrans" presStyleCnt="0"/>
      <dgm:spPr/>
    </dgm:pt>
    <dgm:pt modelId="{4656BBDC-B954-4A4F-B121-8BEFE6A1BE32}" type="pres">
      <dgm:prSet presAssocID="{B2B32295-10CC-4CF9-A171-DF728BA1ADCB}" presName="composite" presStyleCnt="0"/>
      <dgm:spPr/>
    </dgm:pt>
    <dgm:pt modelId="{B1DBDC23-8AA7-4627-A9D7-CE2DFB42437E}" type="pres">
      <dgm:prSet presAssocID="{B2B32295-10CC-4CF9-A171-DF728BA1ADCB}" presName="bentUpArrow1" presStyleLbl="alignImgPlace1" presStyleIdx="2" presStyleCnt="4"/>
      <dgm:spPr/>
    </dgm:pt>
    <dgm:pt modelId="{C87FD15D-E40E-45EB-9B47-E9C83BD4722C}" type="pres">
      <dgm:prSet presAssocID="{B2B32295-10CC-4CF9-A171-DF728BA1ADCB}" presName="ParentText" presStyleLbl="node1" presStyleIdx="2" presStyleCnt="5">
        <dgm:presLayoutVars>
          <dgm:chMax val="1"/>
          <dgm:chPref val="1"/>
          <dgm:bulletEnabled val="1"/>
        </dgm:presLayoutVars>
      </dgm:prSet>
      <dgm:spPr/>
    </dgm:pt>
    <dgm:pt modelId="{6F976AA6-3079-4FC7-84FC-25384EDF0D09}" type="pres">
      <dgm:prSet presAssocID="{B2B32295-10CC-4CF9-A171-DF728BA1ADCB}" presName="ChildText" presStyleLbl="revTx" presStyleIdx="2" presStyleCnt="4">
        <dgm:presLayoutVars>
          <dgm:chMax val="0"/>
          <dgm:chPref val="0"/>
          <dgm:bulletEnabled val="1"/>
        </dgm:presLayoutVars>
      </dgm:prSet>
      <dgm:spPr/>
    </dgm:pt>
    <dgm:pt modelId="{D72D88D2-1CA1-4F45-8DEF-4A7D5CB7E820}" type="pres">
      <dgm:prSet presAssocID="{F4579791-532B-4B49-B698-5E9EE57A55FB}" presName="sibTrans" presStyleCnt="0"/>
      <dgm:spPr/>
    </dgm:pt>
    <dgm:pt modelId="{84A44DFD-A178-4E39-A9FC-7077FA3F70E0}" type="pres">
      <dgm:prSet presAssocID="{F6874C27-7252-4223-936D-26A4EDACD04F}" presName="composite" presStyleCnt="0"/>
      <dgm:spPr/>
    </dgm:pt>
    <dgm:pt modelId="{9D491790-A6D5-46B3-A16B-7B7DBD12A554}" type="pres">
      <dgm:prSet presAssocID="{F6874C27-7252-4223-936D-26A4EDACD04F}" presName="bentUpArrow1" presStyleLbl="alignImgPlace1" presStyleIdx="3" presStyleCnt="4"/>
      <dgm:spPr/>
    </dgm:pt>
    <dgm:pt modelId="{CFF2D579-4595-4828-A14E-835C6BE2F90D}" type="pres">
      <dgm:prSet presAssocID="{F6874C27-7252-4223-936D-26A4EDACD04F}" presName="ParentText" presStyleLbl="node1" presStyleIdx="3" presStyleCnt="5">
        <dgm:presLayoutVars>
          <dgm:chMax val="1"/>
          <dgm:chPref val="1"/>
          <dgm:bulletEnabled val="1"/>
        </dgm:presLayoutVars>
      </dgm:prSet>
      <dgm:spPr/>
    </dgm:pt>
    <dgm:pt modelId="{5747C308-E3AF-4160-B7CC-CF40EE62879F}" type="pres">
      <dgm:prSet presAssocID="{F6874C27-7252-4223-936D-26A4EDACD04F}" presName="ChildText" presStyleLbl="revTx" presStyleIdx="3" presStyleCnt="4">
        <dgm:presLayoutVars>
          <dgm:chMax val="0"/>
          <dgm:chPref val="0"/>
          <dgm:bulletEnabled val="1"/>
        </dgm:presLayoutVars>
      </dgm:prSet>
      <dgm:spPr/>
    </dgm:pt>
    <dgm:pt modelId="{26A30536-8AFF-4F0E-90FB-3847CE633C20}" type="pres">
      <dgm:prSet presAssocID="{1A2944D8-6F81-4D06-932D-E95F1261F6BA}" presName="sibTrans" presStyleCnt="0"/>
      <dgm:spPr/>
    </dgm:pt>
    <dgm:pt modelId="{10E00F9A-269D-4FBF-A87C-F9C16D4183B7}" type="pres">
      <dgm:prSet presAssocID="{8136DC5B-6C5E-45F3-87C3-38B94A9FD963}" presName="composite" presStyleCnt="0"/>
      <dgm:spPr/>
    </dgm:pt>
    <dgm:pt modelId="{72E34FA0-E4D1-4DB1-8089-152D44D27278}" type="pres">
      <dgm:prSet presAssocID="{8136DC5B-6C5E-45F3-87C3-38B94A9FD963}" presName="ParentText" presStyleLbl="node1" presStyleIdx="4" presStyleCnt="5">
        <dgm:presLayoutVars>
          <dgm:chMax val="1"/>
          <dgm:chPref val="1"/>
          <dgm:bulletEnabled val="1"/>
        </dgm:presLayoutVars>
      </dgm:prSet>
      <dgm:spPr/>
    </dgm:pt>
  </dgm:ptLst>
  <dgm:cxnLst>
    <dgm:cxn modelId="{50A23E0F-62B8-489C-A1A3-36C3864435E9}" type="presOf" srcId="{86854107-8122-4EC4-888C-4166B42863D9}" destId="{BBAEB408-D230-41F3-B49C-5605965A32FD}" srcOrd="0" destOrd="0" presId="urn:microsoft.com/office/officeart/2005/8/layout/StepDownProcess"/>
    <dgm:cxn modelId="{40D0661E-63F8-402E-A256-D26B0218CB66}" type="presOf" srcId="{AD09AFF3-F714-4A07-AFCC-40278694E9AA}" destId="{C2E598C9-85B8-46CB-8976-5FAD4DC0B012}" srcOrd="0" destOrd="0" presId="urn:microsoft.com/office/officeart/2005/8/layout/StepDownProcess"/>
    <dgm:cxn modelId="{1320D52D-E286-4B87-B735-14E9E0AD52BF}" srcId="{AD09AFF3-F714-4A07-AFCC-40278694E9AA}" destId="{9FEB214A-F228-4CEB-96A6-BBE5C63B7C35}" srcOrd="1" destOrd="0" parTransId="{407D4672-CF34-4221-995F-0F7955EC2D92}" sibTransId="{6B636385-EA99-4089-8E41-37F3F7391FB6}"/>
    <dgm:cxn modelId="{E876444D-5FAF-4198-9D60-A82A0ECCE203}" type="presOf" srcId="{8136DC5B-6C5E-45F3-87C3-38B94A9FD963}" destId="{72E34FA0-E4D1-4DB1-8089-152D44D27278}" srcOrd="0" destOrd="0" presId="urn:microsoft.com/office/officeart/2005/8/layout/StepDownProcess"/>
    <dgm:cxn modelId="{3C283070-1013-436C-AE40-989B2B42505A}" srcId="{AD09AFF3-F714-4A07-AFCC-40278694E9AA}" destId="{B2B32295-10CC-4CF9-A171-DF728BA1ADCB}" srcOrd="2" destOrd="0" parTransId="{79CD080E-ECCB-42C0-A28B-97C3AA636BE7}" sibTransId="{F4579791-532B-4B49-B698-5E9EE57A55FB}"/>
    <dgm:cxn modelId="{55E8B173-E669-4AE7-9BBE-A0775A68B974}" type="presOf" srcId="{F6874C27-7252-4223-936D-26A4EDACD04F}" destId="{CFF2D579-4595-4828-A14E-835C6BE2F90D}" srcOrd="0" destOrd="0" presId="urn:microsoft.com/office/officeart/2005/8/layout/StepDownProcess"/>
    <dgm:cxn modelId="{4F9C6558-65A7-4C9D-9D6A-025B937C93B9}" srcId="{AD09AFF3-F714-4A07-AFCC-40278694E9AA}" destId="{F6874C27-7252-4223-936D-26A4EDACD04F}" srcOrd="3" destOrd="0" parTransId="{A1C17013-F595-4D2D-877E-F52B830EC062}" sibTransId="{1A2944D8-6F81-4D06-932D-E95F1261F6BA}"/>
    <dgm:cxn modelId="{2873E899-6D0A-417C-B540-4A1A8438F3B7}" srcId="{AD09AFF3-F714-4A07-AFCC-40278694E9AA}" destId="{8136DC5B-6C5E-45F3-87C3-38B94A9FD963}" srcOrd="4" destOrd="0" parTransId="{97F1A869-5F2A-4DEA-AA5C-5CA94194CA34}" sibTransId="{82687F98-0FB3-4AEC-B386-B087C0466F69}"/>
    <dgm:cxn modelId="{E19E27A5-493A-442D-ADA5-BFE8429E4486}" type="presOf" srcId="{9FEB214A-F228-4CEB-96A6-BBE5C63B7C35}" destId="{8379DA87-7111-435C-A2C7-C3ECC7AB5A4B}" srcOrd="0" destOrd="0" presId="urn:microsoft.com/office/officeart/2005/8/layout/StepDownProcess"/>
    <dgm:cxn modelId="{6E2A05C1-50FB-4188-ADE3-4A8707620304}" srcId="{AD09AFF3-F714-4A07-AFCC-40278694E9AA}" destId="{86854107-8122-4EC4-888C-4166B42863D9}" srcOrd="0" destOrd="0" parTransId="{0504E0BF-ADF7-4A95-8C80-976C0E02F5A0}" sibTransId="{55C10760-58F9-45EE-BA74-33BE75402FF8}"/>
    <dgm:cxn modelId="{0E7E78FD-9077-4678-A147-2BE06E09C2ED}" type="presOf" srcId="{B2B32295-10CC-4CF9-A171-DF728BA1ADCB}" destId="{C87FD15D-E40E-45EB-9B47-E9C83BD4722C}" srcOrd="0" destOrd="0" presId="urn:microsoft.com/office/officeart/2005/8/layout/StepDownProcess"/>
    <dgm:cxn modelId="{439FD089-62B5-454C-B6DD-3B5104AC0173}" type="presParOf" srcId="{C2E598C9-85B8-46CB-8976-5FAD4DC0B012}" destId="{CBE51656-B575-4C45-9A72-EF8EA17AFF83}" srcOrd="0" destOrd="0" presId="urn:microsoft.com/office/officeart/2005/8/layout/StepDownProcess"/>
    <dgm:cxn modelId="{3B989738-21B0-42EB-8A26-E9ABCFAFD946}" type="presParOf" srcId="{CBE51656-B575-4C45-9A72-EF8EA17AFF83}" destId="{FCE3D396-8BBF-4FBB-AF59-F765B6B30187}" srcOrd="0" destOrd="0" presId="urn:microsoft.com/office/officeart/2005/8/layout/StepDownProcess"/>
    <dgm:cxn modelId="{7E425505-A43C-4469-AB4E-EDFA04B6FB52}" type="presParOf" srcId="{CBE51656-B575-4C45-9A72-EF8EA17AFF83}" destId="{BBAEB408-D230-41F3-B49C-5605965A32FD}" srcOrd="1" destOrd="0" presId="urn:microsoft.com/office/officeart/2005/8/layout/StepDownProcess"/>
    <dgm:cxn modelId="{E34D340C-44C4-4DA7-8AE6-106C1ED9E8C4}" type="presParOf" srcId="{CBE51656-B575-4C45-9A72-EF8EA17AFF83}" destId="{F3EC870F-FFBE-4278-A4B4-C05678B1CD53}" srcOrd="2" destOrd="0" presId="urn:microsoft.com/office/officeart/2005/8/layout/StepDownProcess"/>
    <dgm:cxn modelId="{2E4FA49F-EF04-440F-9886-0244A229DFD7}" type="presParOf" srcId="{C2E598C9-85B8-46CB-8976-5FAD4DC0B012}" destId="{78BC140A-4842-471B-B988-DD798EF0268D}" srcOrd="1" destOrd="0" presId="urn:microsoft.com/office/officeart/2005/8/layout/StepDownProcess"/>
    <dgm:cxn modelId="{40813908-2278-460B-B737-5DE47EB554B5}" type="presParOf" srcId="{C2E598C9-85B8-46CB-8976-5FAD4DC0B012}" destId="{C073DA21-8D9B-4F1D-80AB-B535B04EB13A}" srcOrd="2" destOrd="0" presId="urn:microsoft.com/office/officeart/2005/8/layout/StepDownProcess"/>
    <dgm:cxn modelId="{A7D1C013-5D1D-4490-BA1F-527209385030}" type="presParOf" srcId="{C073DA21-8D9B-4F1D-80AB-B535B04EB13A}" destId="{F17666E4-97B4-4262-919E-6CBFBCCF55F6}" srcOrd="0" destOrd="0" presId="urn:microsoft.com/office/officeart/2005/8/layout/StepDownProcess"/>
    <dgm:cxn modelId="{F7908184-FF93-4906-948A-AC3E1D23D853}" type="presParOf" srcId="{C073DA21-8D9B-4F1D-80AB-B535B04EB13A}" destId="{8379DA87-7111-435C-A2C7-C3ECC7AB5A4B}" srcOrd="1" destOrd="0" presId="urn:microsoft.com/office/officeart/2005/8/layout/StepDownProcess"/>
    <dgm:cxn modelId="{A1EA3173-379A-4D80-8EAA-012D57C638DE}" type="presParOf" srcId="{C073DA21-8D9B-4F1D-80AB-B535B04EB13A}" destId="{3609A61F-FBC0-4263-A382-F5592E2BE85A}" srcOrd="2" destOrd="0" presId="urn:microsoft.com/office/officeart/2005/8/layout/StepDownProcess"/>
    <dgm:cxn modelId="{C73F52D9-8F03-41FB-AD72-CC380C26FCF1}" type="presParOf" srcId="{C2E598C9-85B8-46CB-8976-5FAD4DC0B012}" destId="{E8E03461-F619-4E46-9B82-26186407B573}" srcOrd="3" destOrd="0" presId="urn:microsoft.com/office/officeart/2005/8/layout/StepDownProcess"/>
    <dgm:cxn modelId="{E301E5E3-1D68-46F5-B20A-F11F850D79AC}" type="presParOf" srcId="{C2E598C9-85B8-46CB-8976-5FAD4DC0B012}" destId="{4656BBDC-B954-4A4F-B121-8BEFE6A1BE32}" srcOrd="4" destOrd="0" presId="urn:microsoft.com/office/officeart/2005/8/layout/StepDownProcess"/>
    <dgm:cxn modelId="{965922A2-3F32-44EA-8CD2-E50287D0AC88}" type="presParOf" srcId="{4656BBDC-B954-4A4F-B121-8BEFE6A1BE32}" destId="{B1DBDC23-8AA7-4627-A9D7-CE2DFB42437E}" srcOrd="0" destOrd="0" presId="urn:microsoft.com/office/officeart/2005/8/layout/StepDownProcess"/>
    <dgm:cxn modelId="{2C0E559B-CCB9-4FF3-ABDC-1B1256EC1BC1}" type="presParOf" srcId="{4656BBDC-B954-4A4F-B121-8BEFE6A1BE32}" destId="{C87FD15D-E40E-45EB-9B47-E9C83BD4722C}" srcOrd="1" destOrd="0" presId="urn:microsoft.com/office/officeart/2005/8/layout/StepDownProcess"/>
    <dgm:cxn modelId="{ACC5C7C9-B85D-419A-9763-FA5CA7446C20}" type="presParOf" srcId="{4656BBDC-B954-4A4F-B121-8BEFE6A1BE32}" destId="{6F976AA6-3079-4FC7-84FC-25384EDF0D09}" srcOrd="2" destOrd="0" presId="urn:microsoft.com/office/officeart/2005/8/layout/StepDownProcess"/>
    <dgm:cxn modelId="{561AC6A4-CB16-4B31-BCF3-EC4DB47D5217}" type="presParOf" srcId="{C2E598C9-85B8-46CB-8976-5FAD4DC0B012}" destId="{D72D88D2-1CA1-4F45-8DEF-4A7D5CB7E820}" srcOrd="5" destOrd="0" presId="urn:microsoft.com/office/officeart/2005/8/layout/StepDownProcess"/>
    <dgm:cxn modelId="{4082D4A2-9ECC-4DE3-9D7D-D65487EB7C80}" type="presParOf" srcId="{C2E598C9-85B8-46CB-8976-5FAD4DC0B012}" destId="{84A44DFD-A178-4E39-A9FC-7077FA3F70E0}" srcOrd="6" destOrd="0" presId="urn:microsoft.com/office/officeart/2005/8/layout/StepDownProcess"/>
    <dgm:cxn modelId="{FCF9D525-1C40-44AA-BF12-C49D13166992}" type="presParOf" srcId="{84A44DFD-A178-4E39-A9FC-7077FA3F70E0}" destId="{9D491790-A6D5-46B3-A16B-7B7DBD12A554}" srcOrd="0" destOrd="0" presId="urn:microsoft.com/office/officeart/2005/8/layout/StepDownProcess"/>
    <dgm:cxn modelId="{2FC4655A-E59D-47C6-820D-1EFF99F2F46A}" type="presParOf" srcId="{84A44DFD-A178-4E39-A9FC-7077FA3F70E0}" destId="{CFF2D579-4595-4828-A14E-835C6BE2F90D}" srcOrd="1" destOrd="0" presId="urn:microsoft.com/office/officeart/2005/8/layout/StepDownProcess"/>
    <dgm:cxn modelId="{DF1E389E-E403-4141-8BD2-E2819FF1B4A3}" type="presParOf" srcId="{84A44DFD-A178-4E39-A9FC-7077FA3F70E0}" destId="{5747C308-E3AF-4160-B7CC-CF40EE62879F}" srcOrd="2" destOrd="0" presId="urn:microsoft.com/office/officeart/2005/8/layout/StepDownProcess"/>
    <dgm:cxn modelId="{988011C2-9B30-4F4F-8090-CA5D4A4838A0}" type="presParOf" srcId="{C2E598C9-85B8-46CB-8976-5FAD4DC0B012}" destId="{26A30536-8AFF-4F0E-90FB-3847CE633C20}" srcOrd="7" destOrd="0" presId="urn:microsoft.com/office/officeart/2005/8/layout/StepDownProcess"/>
    <dgm:cxn modelId="{13904544-1899-49C3-8A1F-539E699764B6}" type="presParOf" srcId="{C2E598C9-85B8-46CB-8976-5FAD4DC0B012}" destId="{10E00F9A-269D-4FBF-A87C-F9C16D4183B7}" srcOrd="8" destOrd="0" presId="urn:microsoft.com/office/officeart/2005/8/layout/StepDownProcess"/>
    <dgm:cxn modelId="{F2E2B93F-FA6C-476A-AB76-52008C262558}" type="presParOf" srcId="{10E00F9A-269D-4FBF-A87C-F9C16D4183B7}" destId="{72E34FA0-E4D1-4DB1-8089-152D44D27278}" srcOrd="0" destOrd="0" presId="urn:microsoft.com/office/officeart/2005/8/layout/StepDownProcess"/>
  </dgm:cxnLst>
  <dgm:bg/>
  <dgm:whole>
    <a:ln w="28575">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2C12B37-9892-4687-928F-8F921C3F0145}" type="doc">
      <dgm:prSet loTypeId="urn:microsoft.com/office/officeart/2005/8/layout/process2" loCatId="process" qsTypeId="urn:microsoft.com/office/officeart/2005/8/quickstyle/simple1" qsCatId="simple" csTypeId="urn:microsoft.com/office/officeart/2005/8/colors/accent3_1" csCatId="accent3" phldr="1"/>
      <dgm:spPr/>
    </dgm:pt>
    <dgm:pt modelId="{E4262343-0AD1-4CB6-8022-500C275480DA}">
      <dgm:prSet phldrT="[Text]" custT="1"/>
      <dgm:spPr/>
      <dgm:t>
        <a:bodyPr/>
        <a:lstStyle/>
        <a:p>
          <a:pPr algn="ctr"/>
          <a:r>
            <a:rPr lang="en-US" sz="1800" b="1"/>
            <a:t>PRISMA Diagram</a:t>
          </a:r>
        </a:p>
      </dgm:t>
    </dgm:pt>
    <dgm:pt modelId="{30D55181-4B1F-488D-AE6D-719B8B0AF9A8}" type="parTrans" cxnId="{73F875D6-99A8-4FF5-86EE-6C0D7C98EF25}">
      <dgm:prSet/>
      <dgm:spPr/>
      <dgm:t>
        <a:bodyPr/>
        <a:lstStyle/>
        <a:p>
          <a:pPr algn="ctr"/>
          <a:endParaRPr lang="en-US" sz="4800"/>
        </a:p>
      </dgm:t>
    </dgm:pt>
    <dgm:pt modelId="{811F472E-4566-4AD1-B44F-6C4F1545F3F5}" type="sibTrans" cxnId="{73F875D6-99A8-4FF5-86EE-6C0D7C98EF25}">
      <dgm:prSet custT="1"/>
      <dgm:spPr/>
      <dgm:t>
        <a:bodyPr/>
        <a:lstStyle/>
        <a:p>
          <a:pPr algn="ctr"/>
          <a:endParaRPr lang="en-US" sz="1100"/>
        </a:p>
      </dgm:t>
    </dgm:pt>
    <dgm:pt modelId="{8FF71415-496B-4581-BEF9-E233E915610C}">
      <dgm:prSet phldrT="[Text]" custT="1"/>
      <dgm:spPr/>
      <dgm:t>
        <a:bodyPr/>
        <a:lstStyle/>
        <a:p>
          <a:pPr algn="ctr"/>
          <a:r>
            <a:rPr lang="en-US" sz="1200" b="1"/>
            <a:t>Identification:1,1121361,248</a:t>
          </a:r>
          <a:endParaRPr lang="en-US" sz="1200"/>
        </a:p>
      </dgm:t>
    </dgm:pt>
    <dgm:pt modelId="{027BC193-97B4-499D-93BF-D6E1ACCD1F3B}" type="parTrans" cxnId="{20CBE854-8651-4AE7-996B-5CD5E1076564}">
      <dgm:prSet/>
      <dgm:spPr/>
      <dgm:t>
        <a:bodyPr/>
        <a:lstStyle/>
        <a:p>
          <a:pPr algn="ctr"/>
          <a:endParaRPr lang="en-US" sz="4800"/>
        </a:p>
      </dgm:t>
    </dgm:pt>
    <dgm:pt modelId="{6DDF2ABB-4AB0-44D2-9B9A-171BCE486D2C}" type="sibTrans" cxnId="{20CBE854-8651-4AE7-996B-5CD5E1076564}">
      <dgm:prSet custT="1"/>
      <dgm:spPr/>
      <dgm:t>
        <a:bodyPr/>
        <a:lstStyle/>
        <a:p>
          <a:pPr algn="ctr"/>
          <a:endParaRPr lang="en-US" sz="1100"/>
        </a:p>
      </dgm:t>
    </dgm:pt>
    <dgm:pt modelId="{CC9B6260-D592-4D38-88A9-33836AB0577A}">
      <dgm:prSet phldrT="[Text]" custT="1"/>
      <dgm:spPr/>
      <dgm:t>
        <a:bodyPr/>
        <a:lstStyle/>
        <a:p>
          <a:pPr algn="ctr"/>
          <a:r>
            <a:rPr lang="en-US" sz="1200" b="1"/>
            <a:t>Deduplication:312936</a:t>
          </a:r>
          <a:endParaRPr lang="en-US" sz="1200"/>
        </a:p>
      </dgm:t>
    </dgm:pt>
    <dgm:pt modelId="{C44BE9A7-B6D8-4C96-8DE3-8EFD0557A67C}" type="parTrans" cxnId="{26CB56D3-DBD3-49C3-A7B9-B96B4F379F04}">
      <dgm:prSet/>
      <dgm:spPr/>
      <dgm:t>
        <a:bodyPr/>
        <a:lstStyle/>
        <a:p>
          <a:pPr algn="ctr"/>
          <a:endParaRPr lang="en-US" sz="4800"/>
        </a:p>
      </dgm:t>
    </dgm:pt>
    <dgm:pt modelId="{44B0C7C6-8E1C-4B71-B32A-AE0654121193}" type="sibTrans" cxnId="{26CB56D3-DBD3-49C3-A7B9-B96B4F379F04}">
      <dgm:prSet custT="1"/>
      <dgm:spPr/>
      <dgm:t>
        <a:bodyPr/>
        <a:lstStyle/>
        <a:p>
          <a:pPr algn="ctr"/>
          <a:endParaRPr lang="en-US" sz="1100"/>
        </a:p>
      </dgm:t>
    </dgm:pt>
    <dgm:pt modelId="{BCE25B77-F8A3-44EE-A4ED-2AA193DB5AA2}">
      <dgm:prSet phldrT="[Text]" custT="1"/>
      <dgm:spPr/>
      <dgm:t>
        <a:bodyPr/>
        <a:lstStyle/>
        <a:p>
          <a:pPr algn="ctr"/>
          <a:r>
            <a:rPr lang="en-US" sz="1200" b="1"/>
            <a:t>Screening:</a:t>
          </a:r>
          <a:r>
            <a:rPr lang="en-US" sz="1200"/>
            <a:t> </a:t>
          </a:r>
          <a:r>
            <a:rPr lang="en-US" sz="1200" b="1"/>
            <a:t>936</a:t>
          </a:r>
          <a:r>
            <a:rPr lang="en-US" sz="1200"/>
            <a:t> screened; </a:t>
          </a:r>
          <a:r>
            <a:rPr lang="en-US" sz="1200" b="1"/>
            <a:t>742</a:t>
          </a:r>
          <a:r>
            <a:rPr lang="en-US" sz="1200"/>
            <a:t> excluded</a:t>
          </a:r>
        </a:p>
      </dgm:t>
    </dgm:pt>
    <dgm:pt modelId="{F53FC263-C80A-47DA-9ACE-25201753C3ED}" type="parTrans" cxnId="{0BF266D9-4643-457A-9CFA-61DA94E3113A}">
      <dgm:prSet/>
      <dgm:spPr/>
      <dgm:t>
        <a:bodyPr/>
        <a:lstStyle/>
        <a:p>
          <a:pPr algn="ctr"/>
          <a:endParaRPr lang="en-US" sz="4800"/>
        </a:p>
      </dgm:t>
    </dgm:pt>
    <dgm:pt modelId="{3D1088F9-98DC-4C7B-9B0F-8359B5574B15}" type="sibTrans" cxnId="{0BF266D9-4643-457A-9CFA-61DA94E3113A}">
      <dgm:prSet custT="1"/>
      <dgm:spPr/>
      <dgm:t>
        <a:bodyPr/>
        <a:lstStyle/>
        <a:p>
          <a:pPr algn="ctr"/>
          <a:endParaRPr lang="en-US" sz="1100"/>
        </a:p>
      </dgm:t>
    </dgm:pt>
    <dgm:pt modelId="{A20869A4-FB53-40E7-B48D-AEAA5CA26DDE}">
      <dgm:prSet phldrT="[Text]" custT="1"/>
      <dgm:spPr/>
      <dgm:t>
        <a:bodyPr/>
        <a:lstStyle/>
        <a:p>
          <a:pPr algn="ctr"/>
          <a:r>
            <a:rPr lang="en-US" sz="1200" b="1"/>
            <a:t>Eligibility:</a:t>
          </a:r>
          <a:r>
            <a:rPr lang="en-US" sz="1200"/>
            <a:t> </a:t>
          </a:r>
          <a:r>
            <a:rPr lang="en-US" sz="1200" b="1"/>
            <a:t>194</a:t>
          </a:r>
          <a:r>
            <a:rPr lang="en-US" sz="1200"/>
            <a:t> full texts; </a:t>
          </a:r>
          <a:r>
            <a:rPr lang="en-US" sz="1200" b="1"/>
            <a:t>131</a:t>
          </a:r>
          <a:r>
            <a:rPr lang="en-US" sz="1200"/>
            <a:t> excluded (Non-UK </a:t>
          </a:r>
          <a:r>
            <a:rPr lang="en-US" sz="1200" b="1"/>
            <a:t>49</a:t>
          </a:r>
          <a:r>
            <a:rPr lang="en-US" sz="1200"/>
            <a:t>; Not qualitative </a:t>
          </a:r>
          <a:r>
            <a:rPr lang="en-US" sz="1200" b="1"/>
            <a:t>37</a:t>
          </a:r>
          <a:r>
            <a:rPr lang="en-US" sz="1200"/>
            <a:t>; Not HCW </a:t>
          </a:r>
          <a:r>
            <a:rPr lang="en-US" sz="1200" b="1"/>
            <a:t>29</a:t>
          </a:r>
          <a:r>
            <a:rPr lang="en-US" sz="1200"/>
            <a:t>; Insufficient detail </a:t>
          </a:r>
          <a:r>
            <a:rPr lang="en-US" sz="1200" b="1"/>
            <a:t>16</a:t>
          </a:r>
          <a:r>
            <a:rPr lang="en-US" sz="1200"/>
            <a:t>)</a:t>
          </a:r>
        </a:p>
      </dgm:t>
    </dgm:pt>
    <dgm:pt modelId="{139094E9-06BD-4FCA-AC46-8E4F4333A292}" type="parTrans" cxnId="{BDCC8F2B-48EB-4DEC-A85D-E8C17E24425B}">
      <dgm:prSet/>
      <dgm:spPr/>
      <dgm:t>
        <a:bodyPr/>
        <a:lstStyle/>
        <a:p>
          <a:pPr algn="ctr"/>
          <a:endParaRPr lang="en-US" sz="4800"/>
        </a:p>
      </dgm:t>
    </dgm:pt>
    <dgm:pt modelId="{CF9D96C7-B9B3-4180-A47B-5D51042207D3}" type="sibTrans" cxnId="{BDCC8F2B-48EB-4DEC-A85D-E8C17E24425B}">
      <dgm:prSet custT="1"/>
      <dgm:spPr/>
      <dgm:t>
        <a:bodyPr/>
        <a:lstStyle/>
        <a:p>
          <a:pPr algn="ctr"/>
          <a:endParaRPr lang="en-US" sz="1100"/>
        </a:p>
      </dgm:t>
    </dgm:pt>
    <dgm:pt modelId="{3B6B9D67-5E6E-4B60-A200-BCDF17B87E9C}">
      <dgm:prSet phldrT="[Text]" custT="1"/>
      <dgm:spPr/>
      <dgm:t>
        <a:bodyPr/>
        <a:lstStyle/>
        <a:p>
          <a:pPr algn="ctr"/>
          <a:r>
            <a:rPr lang="en-US" sz="1200" b="1"/>
            <a:t>Included:</a:t>
          </a:r>
          <a:r>
            <a:rPr lang="en-US" sz="1200"/>
            <a:t> </a:t>
          </a:r>
          <a:r>
            <a:rPr lang="en-US" sz="1200" b="1"/>
            <a:t>63</a:t>
          </a:r>
          <a:r>
            <a:rPr lang="en-US" sz="1200"/>
            <a:t> sources (qual studies/syntheses + key NHS/NICE/HSE/WHO reports + relevant scholarly books)</a:t>
          </a:r>
        </a:p>
      </dgm:t>
    </dgm:pt>
    <dgm:pt modelId="{DEBBCA19-7299-4DEC-A228-E5D346C45311}" type="parTrans" cxnId="{689CDB9C-DB9F-4328-9708-FA9AAE8A7239}">
      <dgm:prSet/>
      <dgm:spPr/>
      <dgm:t>
        <a:bodyPr/>
        <a:lstStyle/>
        <a:p>
          <a:pPr algn="ctr"/>
          <a:endParaRPr lang="en-US" sz="4800"/>
        </a:p>
      </dgm:t>
    </dgm:pt>
    <dgm:pt modelId="{D684FE5A-16B8-494A-837D-EA8CBAC6FDC5}" type="sibTrans" cxnId="{689CDB9C-DB9F-4328-9708-FA9AAE8A7239}">
      <dgm:prSet/>
      <dgm:spPr/>
      <dgm:t>
        <a:bodyPr/>
        <a:lstStyle/>
        <a:p>
          <a:pPr algn="ctr"/>
          <a:endParaRPr lang="en-US" sz="4800"/>
        </a:p>
      </dgm:t>
    </dgm:pt>
    <dgm:pt modelId="{0E451F2B-40CD-4672-A89D-3F56F13BB8F4}" type="pres">
      <dgm:prSet presAssocID="{D2C12B37-9892-4687-928F-8F921C3F0145}" presName="linearFlow" presStyleCnt="0">
        <dgm:presLayoutVars>
          <dgm:resizeHandles val="exact"/>
        </dgm:presLayoutVars>
      </dgm:prSet>
      <dgm:spPr/>
    </dgm:pt>
    <dgm:pt modelId="{13CD7362-A1F6-4607-98EA-596D9843B312}" type="pres">
      <dgm:prSet presAssocID="{E4262343-0AD1-4CB6-8022-500C275480DA}" presName="node" presStyleLbl="node1" presStyleIdx="0" presStyleCnt="6" custScaleX="257231" custScaleY="133407">
        <dgm:presLayoutVars>
          <dgm:bulletEnabled val="1"/>
        </dgm:presLayoutVars>
      </dgm:prSet>
      <dgm:spPr/>
    </dgm:pt>
    <dgm:pt modelId="{3BE17A96-FFC6-4759-97BE-6BA50629DF6C}" type="pres">
      <dgm:prSet presAssocID="{811F472E-4566-4AD1-B44F-6C4F1545F3F5}" presName="sibTrans" presStyleLbl="sibTrans2D1" presStyleIdx="0" presStyleCnt="5"/>
      <dgm:spPr/>
    </dgm:pt>
    <dgm:pt modelId="{940C56FC-5237-4950-AFD5-41BE95739C15}" type="pres">
      <dgm:prSet presAssocID="{811F472E-4566-4AD1-B44F-6C4F1545F3F5}" presName="connectorText" presStyleLbl="sibTrans2D1" presStyleIdx="0" presStyleCnt="5"/>
      <dgm:spPr/>
    </dgm:pt>
    <dgm:pt modelId="{E5E1E3B4-D302-48A5-8597-F36B244F791F}" type="pres">
      <dgm:prSet presAssocID="{8FF71415-496B-4581-BEF9-E233E915610C}" presName="node" presStyleLbl="node1" presStyleIdx="1" presStyleCnt="6" custScaleX="274919" custScaleY="260657">
        <dgm:presLayoutVars>
          <dgm:bulletEnabled val="1"/>
        </dgm:presLayoutVars>
      </dgm:prSet>
      <dgm:spPr/>
    </dgm:pt>
    <dgm:pt modelId="{D4D05623-19A7-493E-8A84-B8E450182D0C}" type="pres">
      <dgm:prSet presAssocID="{6DDF2ABB-4AB0-44D2-9B9A-171BCE486D2C}" presName="sibTrans" presStyleLbl="sibTrans2D1" presStyleIdx="1" presStyleCnt="5"/>
      <dgm:spPr/>
    </dgm:pt>
    <dgm:pt modelId="{AAEE04FF-87E6-40AB-A0FC-99B38D37DD1D}" type="pres">
      <dgm:prSet presAssocID="{6DDF2ABB-4AB0-44D2-9B9A-171BCE486D2C}" presName="connectorText" presStyleLbl="sibTrans2D1" presStyleIdx="1" presStyleCnt="5"/>
      <dgm:spPr/>
    </dgm:pt>
    <dgm:pt modelId="{18C21534-AB57-4253-9116-0335D4592F40}" type="pres">
      <dgm:prSet presAssocID="{CC9B6260-D592-4D38-88A9-33836AB0577A}" presName="node" presStyleLbl="node1" presStyleIdx="2" presStyleCnt="6" custScaleX="283141" custScaleY="216667">
        <dgm:presLayoutVars>
          <dgm:bulletEnabled val="1"/>
        </dgm:presLayoutVars>
      </dgm:prSet>
      <dgm:spPr/>
    </dgm:pt>
    <dgm:pt modelId="{0A7F5197-2B35-4528-B014-6599834D0817}" type="pres">
      <dgm:prSet presAssocID="{44B0C7C6-8E1C-4B71-B32A-AE0654121193}" presName="sibTrans" presStyleLbl="sibTrans2D1" presStyleIdx="2" presStyleCnt="5"/>
      <dgm:spPr/>
    </dgm:pt>
    <dgm:pt modelId="{91D133DC-6416-4FA6-AC59-AB9F3F299BD9}" type="pres">
      <dgm:prSet presAssocID="{44B0C7C6-8E1C-4B71-B32A-AE0654121193}" presName="connectorText" presStyleLbl="sibTrans2D1" presStyleIdx="2" presStyleCnt="5"/>
      <dgm:spPr/>
    </dgm:pt>
    <dgm:pt modelId="{CA7DE993-9E7B-4852-94A5-DF6CE3A92E60}" type="pres">
      <dgm:prSet presAssocID="{BCE25B77-F8A3-44EE-A4ED-2AA193DB5AA2}" presName="node" presStyleLbl="node1" presStyleIdx="3" presStyleCnt="6" custScaleX="292223" custScaleY="246241">
        <dgm:presLayoutVars>
          <dgm:bulletEnabled val="1"/>
        </dgm:presLayoutVars>
      </dgm:prSet>
      <dgm:spPr/>
    </dgm:pt>
    <dgm:pt modelId="{7D85C5BD-223A-45E7-B449-8137F82D3DED}" type="pres">
      <dgm:prSet presAssocID="{3D1088F9-98DC-4C7B-9B0F-8359B5574B15}" presName="sibTrans" presStyleLbl="sibTrans2D1" presStyleIdx="3" presStyleCnt="5"/>
      <dgm:spPr/>
    </dgm:pt>
    <dgm:pt modelId="{8E0D508F-8B01-480F-A9F4-0107F4F0EB50}" type="pres">
      <dgm:prSet presAssocID="{3D1088F9-98DC-4C7B-9B0F-8359B5574B15}" presName="connectorText" presStyleLbl="sibTrans2D1" presStyleIdx="3" presStyleCnt="5"/>
      <dgm:spPr/>
    </dgm:pt>
    <dgm:pt modelId="{CE6FCFC6-9DA1-4A54-B7EB-8852BAFDE76A}" type="pres">
      <dgm:prSet presAssocID="{A20869A4-FB53-40E7-B48D-AEAA5CA26DDE}" presName="node" presStyleLbl="node1" presStyleIdx="4" presStyleCnt="6" custScaleX="309510" custScaleY="354832">
        <dgm:presLayoutVars>
          <dgm:bulletEnabled val="1"/>
        </dgm:presLayoutVars>
      </dgm:prSet>
      <dgm:spPr/>
    </dgm:pt>
    <dgm:pt modelId="{D7C40A71-1A2B-4DFD-854B-55A2CF103D9F}" type="pres">
      <dgm:prSet presAssocID="{CF9D96C7-B9B3-4180-A47B-5D51042207D3}" presName="sibTrans" presStyleLbl="sibTrans2D1" presStyleIdx="4" presStyleCnt="5"/>
      <dgm:spPr/>
    </dgm:pt>
    <dgm:pt modelId="{D16941DB-C713-41ED-BA87-DD2205931D76}" type="pres">
      <dgm:prSet presAssocID="{CF9D96C7-B9B3-4180-A47B-5D51042207D3}" presName="connectorText" presStyleLbl="sibTrans2D1" presStyleIdx="4" presStyleCnt="5"/>
      <dgm:spPr/>
    </dgm:pt>
    <dgm:pt modelId="{0C07D24B-2DA8-4653-BBC1-74660A124BD4}" type="pres">
      <dgm:prSet presAssocID="{3B6B9D67-5E6E-4B60-A200-BCDF17B87E9C}" presName="node" presStyleLbl="node1" presStyleIdx="5" presStyleCnt="6" custScaleX="307794" custScaleY="401619">
        <dgm:presLayoutVars>
          <dgm:bulletEnabled val="1"/>
        </dgm:presLayoutVars>
      </dgm:prSet>
      <dgm:spPr/>
    </dgm:pt>
  </dgm:ptLst>
  <dgm:cxnLst>
    <dgm:cxn modelId="{0804060F-2250-4A4D-AC6C-FC77926BDA70}" type="presOf" srcId="{BCE25B77-F8A3-44EE-A4ED-2AA193DB5AA2}" destId="{CA7DE993-9E7B-4852-94A5-DF6CE3A92E60}" srcOrd="0" destOrd="0" presId="urn:microsoft.com/office/officeart/2005/8/layout/process2"/>
    <dgm:cxn modelId="{E1E3A514-6F14-4EBC-BD13-763C16584D4C}" type="presOf" srcId="{6DDF2ABB-4AB0-44D2-9B9A-171BCE486D2C}" destId="{AAEE04FF-87E6-40AB-A0FC-99B38D37DD1D}" srcOrd="1" destOrd="0" presId="urn:microsoft.com/office/officeart/2005/8/layout/process2"/>
    <dgm:cxn modelId="{BDCC8F2B-48EB-4DEC-A85D-E8C17E24425B}" srcId="{D2C12B37-9892-4687-928F-8F921C3F0145}" destId="{A20869A4-FB53-40E7-B48D-AEAA5CA26DDE}" srcOrd="4" destOrd="0" parTransId="{139094E9-06BD-4FCA-AC46-8E4F4333A292}" sibTransId="{CF9D96C7-B9B3-4180-A47B-5D51042207D3}"/>
    <dgm:cxn modelId="{59D53E60-B588-44F0-AC76-CE8F89E9C1A7}" type="presOf" srcId="{6DDF2ABB-4AB0-44D2-9B9A-171BCE486D2C}" destId="{D4D05623-19A7-493E-8A84-B8E450182D0C}" srcOrd="0" destOrd="0" presId="urn:microsoft.com/office/officeart/2005/8/layout/process2"/>
    <dgm:cxn modelId="{99A7AF41-059B-42B8-8003-2E816445D0C3}" type="presOf" srcId="{CF9D96C7-B9B3-4180-A47B-5D51042207D3}" destId="{D7C40A71-1A2B-4DFD-854B-55A2CF103D9F}" srcOrd="0" destOrd="0" presId="urn:microsoft.com/office/officeart/2005/8/layout/process2"/>
    <dgm:cxn modelId="{8CE63F45-69EB-4463-9CC9-9B0EB37EB1E9}" type="presOf" srcId="{3D1088F9-98DC-4C7B-9B0F-8359B5574B15}" destId="{8E0D508F-8B01-480F-A9F4-0107F4F0EB50}" srcOrd="1" destOrd="0" presId="urn:microsoft.com/office/officeart/2005/8/layout/process2"/>
    <dgm:cxn modelId="{41F7E146-0C7A-473C-9E17-86A7C139A2E4}" type="presOf" srcId="{3B6B9D67-5E6E-4B60-A200-BCDF17B87E9C}" destId="{0C07D24B-2DA8-4653-BBC1-74660A124BD4}" srcOrd="0" destOrd="0" presId="urn:microsoft.com/office/officeart/2005/8/layout/process2"/>
    <dgm:cxn modelId="{5BF8AA47-5542-48C4-9477-DE8DD16C594E}" type="presOf" srcId="{8FF71415-496B-4581-BEF9-E233E915610C}" destId="{E5E1E3B4-D302-48A5-8597-F36B244F791F}" srcOrd="0" destOrd="0" presId="urn:microsoft.com/office/officeart/2005/8/layout/process2"/>
    <dgm:cxn modelId="{BBCF256F-A833-45DF-B599-F6AA28304BA2}" type="presOf" srcId="{811F472E-4566-4AD1-B44F-6C4F1545F3F5}" destId="{3BE17A96-FFC6-4759-97BE-6BA50629DF6C}" srcOrd="0" destOrd="0" presId="urn:microsoft.com/office/officeart/2005/8/layout/process2"/>
    <dgm:cxn modelId="{06AD4A54-6851-40AC-A872-FED7CF6D3185}" type="presOf" srcId="{CF9D96C7-B9B3-4180-A47B-5D51042207D3}" destId="{D16941DB-C713-41ED-BA87-DD2205931D76}" srcOrd="1" destOrd="0" presId="urn:microsoft.com/office/officeart/2005/8/layout/process2"/>
    <dgm:cxn modelId="{B967B274-C56F-4CC3-A869-0AF395B4C0D0}" type="presOf" srcId="{811F472E-4566-4AD1-B44F-6C4F1545F3F5}" destId="{940C56FC-5237-4950-AFD5-41BE95739C15}" srcOrd="1" destOrd="0" presId="urn:microsoft.com/office/officeart/2005/8/layout/process2"/>
    <dgm:cxn modelId="{20CBE854-8651-4AE7-996B-5CD5E1076564}" srcId="{D2C12B37-9892-4687-928F-8F921C3F0145}" destId="{8FF71415-496B-4581-BEF9-E233E915610C}" srcOrd="1" destOrd="0" parTransId="{027BC193-97B4-499D-93BF-D6E1ACCD1F3B}" sibTransId="{6DDF2ABB-4AB0-44D2-9B9A-171BCE486D2C}"/>
    <dgm:cxn modelId="{5FD61D7A-800A-4F29-ADAA-8A5F6BA75E7D}" type="presOf" srcId="{3D1088F9-98DC-4C7B-9B0F-8359B5574B15}" destId="{7D85C5BD-223A-45E7-B449-8137F82D3DED}" srcOrd="0" destOrd="0" presId="urn:microsoft.com/office/officeart/2005/8/layout/process2"/>
    <dgm:cxn modelId="{C9BF2398-86BE-46A8-A4C6-BAE29AB22D21}" type="presOf" srcId="{A20869A4-FB53-40E7-B48D-AEAA5CA26DDE}" destId="{CE6FCFC6-9DA1-4A54-B7EB-8852BAFDE76A}" srcOrd="0" destOrd="0" presId="urn:microsoft.com/office/officeart/2005/8/layout/process2"/>
    <dgm:cxn modelId="{689CDB9C-DB9F-4328-9708-FA9AAE8A7239}" srcId="{D2C12B37-9892-4687-928F-8F921C3F0145}" destId="{3B6B9D67-5E6E-4B60-A200-BCDF17B87E9C}" srcOrd="5" destOrd="0" parTransId="{DEBBCA19-7299-4DEC-A228-E5D346C45311}" sibTransId="{D684FE5A-16B8-494A-837D-EA8CBAC6FDC5}"/>
    <dgm:cxn modelId="{D8A483B0-A057-4538-8244-1BD976EB2DCE}" type="presOf" srcId="{D2C12B37-9892-4687-928F-8F921C3F0145}" destId="{0E451F2B-40CD-4672-A89D-3F56F13BB8F4}" srcOrd="0" destOrd="0" presId="urn:microsoft.com/office/officeart/2005/8/layout/process2"/>
    <dgm:cxn modelId="{7DA176B1-08BB-4BCA-B516-4D21E66065FE}" type="presOf" srcId="{44B0C7C6-8E1C-4B71-B32A-AE0654121193}" destId="{91D133DC-6416-4FA6-AC59-AB9F3F299BD9}" srcOrd="1" destOrd="0" presId="urn:microsoft.com/office/officeart/2005/8/layout/process2"/>
    <dgm:cxn modelId="{184E88B7-8657-478F-8D3F-059F0C82E9FC}" type="presOf" srcId="{E4262343-0AD1-4CB6-8022-500C275480DA}" destId="{13CD7362-A1F6-4607-98EA-596D9843B312}" srcOrd="0" destOrd="0" presId="urn:microsoft.com/office/officeart/2005/8/layout/process2"/>
    <dgm:cxn modelId="{26CB56D3-DBD3-49C3-A7B9-B96B4F379F04}" srcId="{D2C12B37-9892-4687-928F-8F921C3F0145}" destId="{CC9B6260-D592-4D38-88A9-33836AB0577A}" srcOrd="2" destOrd="0" parTransId="{C44BE9A7-B6D8-4C96-8DE3-8EFD0557A67C}" sibTransId="{44B0C7C6-8E1C-4B71-B32A-AE0654121193}"/>
    <dgm:cxn modelId="{73F875D6-99A8-4FF5-86EE-6C0D7C98EF25}" srcId="{D2C12B37-9892-4687-928F-8F921C3F0145}" destId="{E4262343-0AD1-4CB6-8022-500C275480DA}" srcOrd="0" destOrd="0" parTransId="{30D55181-4B1F-488D-AE6D-719B8B0AF9A8}" sibTransId="{811F472E-4566-4AD1-B44F-6C4F1545F3F5}"/>
    <dgm:cxn modelId="{0BF266D9-4643-457A-9CFA-61DA94E3113A}" srcId="{D2C12B37-9892-4687-928F-8F921C3F0145}" destId="{BCE25B77-F8A3-44EE-A4ED-2AA193DB5AA2}" srcOrd="3" destOrd="0" parTransId="{F53FC263-C80A-47DA-9ACE-25201753C3ED}" sibTransId="{3D1088F9-98DC-4C7B-9B0F-8359B5574B15}"/>
    <dgm:cxn modelId="{86F8DCE8-7ABB-403C-BCBE-C990DDB02210}" type="presOf" srcId="{CC9B6260-D592-4D38-88A9-33836AB0577A}" destId="{18C21534-AB57-4253-9116-0335D4592F40}" srcOrd="0" destOrd="0" presId="urn:microsoft.com/office/officeart/2005/8/layout/process2"/>
    <dgm:cxn modelId="{C66D3AFA-2637-4163-8145-C8162FFB0415}" type="presOf" srcId="{44B0C7C6-8E1C-4B71-B32A-AE0654121193}" destId="{0A7F5197-2B35-4528-B014-6599834D0817}" srcOrd="0" destOrd="0" presId="urn:microsoft.com/office/officeart/2005/8/layout/process2"/>
    <dgm:cxn modelId="{04702BCB-543C-40AB-91D9-0F03F20C0194}" type="presParOf" srcId="{0E451F2B-40CD-4672-A89D-3F56F13BB8F4}" destId="{13CD7362-A1F6-4607-98EA-596D9843B312}" srcOrd="0" destOrd="0" presId="urn:microsoft.com/office/officeart/2005/8/layout/process2"/>
    <dgm:cxn modelId="{CC9A7FC7-95EE-469C-95BC-1BF953B987C0}" type="presParOf" srcId="{0E451F2B-40CD-4672-A89D-3F56F13BB8F4}" destId="{3BE17A96-FFC6-4759-97BE-6BA50629DF6C}" srcOrd="1" destOrd="0" presId="urn:microsoft.com/office/officeart/2005/8/layout/process2"/>
    <dgm:cxn modelId="{E23B7BC1-74F2-402B-93C8-0AA4941436B6}" type="presParOf" srcId="{3BE17A96-FFC6-4759-97BE-6BA50629DF6C}" destId="{940C56FC-5237-4950-AFD5-41BE95739C15}" srcOrd="0" destOrd="0" presId="urn:microsoft.com/office/officeart/2005/8/layout/process2"/>
    <dgm:cxn modelId="{A2BCB0CE-71FA-4B75-820D-27497A6E041B}" type="presParOf" srcId="{0E451F2B-40CD-4672-A89D-3F56F13BB8F4}" destId="{E5E1E3B4-D302-48A5-8597-F36B244F791F}" srcOrd="2" destOrd="0" presId="urn:microsoft.com/office/officeart/2005/8/layout/process2"/>
    <dgm:cxn modelId="{1F781228-4DEE-4C35-95E8-42D97A2693A9}" type="presParOf" srcId="{0E451F2B-40CD-4672-A89D-3F56F13BB8F4}" destId="{D4D05623-19A7-493E-8A84-B8E450182D0C}" srcOrd="3" destOrd="0" presId="urn:microsoft.com/office/officeart/2005/8/layout/process2"/>
    <dgm:cxn modelId="{9FC674C5-68BC-4D22-8EC2-A4739B0C8B11}" type="presParOf" srcId="{D4D05623-19A7-493E-8A84-B8E450182D0C}" destId="{AAEE04FF-87E6-40AB-A0FC-99B38D37DD1D}" srcOrd="0" destOrd="0" presId="urn:microsoft.com/office/officeart/2005/8/layout/process2"/>
    <dgm:cxn modelId="{1CE56FE4-F354-471B-9340-F933D89D07F6}" type="presParOf" srcId="{0E451F2B-40CD-4672-A89D-3F56F13BB8F4}" destId="{18C21534-AB57-4253-9116-0335D4592F40}" srcOrd="4" destOrd="0" presId="urn:microsoft.com/office/officeart/2005/8/layout/process2"/>
    <dgm:cxn modelId="{43BC199D-A230-43C5-B7D3-B078C670B1CE}" type="presParOf" srcId="{0E451F2B-40CD-4672-A89D-3F56F13BB8F4}" destId="{0A7F5197-2B35-4528-B014-6599834D0817}" srcOrd="5" destOrd="0" presId="urn:microsoft.com/office/officeart/2005/8/layout/process2"/>
    <dgm:cxn modelId="{95C5E3A1-13C0-48BD-AD21-35B29FA532CB}" type="presParOf" srcId="{0A7F5197-2B35-4528-B014-6599834D0817}" destId="{91D133DC-6416-4FA6-AC59-AB9F3F299BD9}" srcOrd="0" destOrd="0" presId="urn:microsoft.com/office/officeart/2005/8/layout/process2"/>
    <dgm:cxn modelId="{D25B7CBB-2082-4FAB-859A-E8E71A5E1F0D}" type="presParOf" srcId="{0E451F2B-40CD-4672-A89D-3F56F13BB8F4}" destId="{CA7DE993-9E7B-4852-94A5-DF6CE3A92E60}" srcOrd="6" destOrd="0" presId="urn:microsoft.com/office/officeart/2005/8/layout/process2"/>
    <dgm:cxn modelId="{E3422687-C8B4-4095-BEB3-FDDEF5AFD6EF}" type="presParOf" srcId="{0E451F2B-40CD-4672-A89D-3F56F13BB8F4}" destId="{7D85C5BD-223A-45E7-B449-8137F82D3DED}" srcOrd="7" destOrd="0" presId="urn:microsoft.com/office/officeart/2005/8/layout/process2"/>
    <dgm:cxn modelId="{6CFE5B59-1608-47EC-BA88-8A0B61D9D95E}" type="presParOf" srcId="{7D85C5BD-223A-45E7-B449-8137F82D3DED}" destId="{8E0D508F-8B01-480F-A9F4-0107F4F0EB50}" srcOrd="0" destOrd="0" presId="urn:microsoft.com/office/officeart/2005/8/layout/process2"/>
    <dgm:cxn modelId="{98BE964F-524F-46FC-8C0D-6212B83A940D}" type="presParOf" srcId="{0E451F2B-40CD-4672-A89D-3F56F13BB8F4}" destId="{CE6FCFC6-9DA1-4A54-B7EB-8852BAFDE76A}" srcOrd="8" destOrd="0" presId="urn:microsoft.com/office/officeart/2005/8/layout/process2"/>
    <dgm:cxn modelId="{A6BAB6E8-D708-400D-9EBA-3E3D73CDA15E}" type="presParOf" srcId="{0E451F2B-40CD-4672-A89D-3F56F13BB8F4}" destId="{D7C40A71-1A2B-4DFD-854B-55A2CF103D9F}" srcOrd="9" destOrd="0" presId="urn:microsoft.com/office/officeart/2005/8/layout/process2"/>
    <dgm:cxn modelId="{0635835F-0D4F-41F1-B2DE-F1A6E185A6F3}" type="presParOf" srcId="{D7C40A71-1A2B-4DFD-854B-55A2CF103D9F}" destId="{D16941DB-C713-41ED-BA87-DD2205931D76}" srcOrd="0" destOrd="0" presId="urn:microsoft.com/office/officeart/2005/8/layout/process2"/>
    <dgm:cxn modelId="{6ED9689A-9E9D-4B54-A114-95845241086F}" type="presParOf" srcId="{0E451F2B-40CD-4672-A89D-3F56F13BB8F4}" destId="{0C07D24B-2DA8-4653-BBC1-74660A124BD4}" srcOrd="10" destOrd="0" presId="urn:microsoft.com/office/officeart/2005/8/layout/process2"/>
  </dgm:cxnLst>
  <dgm:bg/>
  <dgm:whole>
    <a:ln w="28575">
      <a:solidFill>
        <a:schemeClr val="tx1"/>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50A9CD1-5F22-4E7D-B22A-D0CDC094AE22}"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US"/>
        </a:p>
      </dgm:t>
    </dgm:pt>
    <dgm:pt modelId="{78AEC79A-FD1A-4BCB-A486-5579487999C0}">
      <dgm:prSet/>
      <dgm:spPr>
        <a:solidFill>
          <a:srgbClr val="009999"/>
        </a:solidFill>
      </dgm:spPr>
      <dgm:t>
        <a:bodyPr/>
        <a:lstStyle/>
        <a:p>
          <a:pPr algn="just" rtl="0"/>
          <a:r>
            <a:rPr lang="en-US" b="1"/>
            <a:t>Brief Overview</a:t>
          </a:r>
          <a:endParaRPr lang="en-US"/>
        </a:p>
      </dgm:t>
    </dgm:pt>
    <dgm:pt modelId="{22649061-562C-4B78-8914-77CE12AE8687}" type="parTrans" cxnId="{FAEF4016-AF1A-4AA0-A863-074737F41D75}">
      <dgm:prSet/>
      <dgm:spPr/>
      <dgm:t>
        <a:bodyPr/>
        <a:lstStyle/>
        <a:p>
          <a:pPr algn="just"/>
          <a:endParaRPr lang="en-US"/>
        </a:p>
      </dgm:t>
    </dgm:pt>
    <dgm:pt modelId="{037649CF-0739-4DA4-B2A2-37F9542D5784}" type="sibTrans" cxnId="{FAEF4016-AF1A-4AA0-A863-074737F41D75}">
      <dgm:prSet/>
      <dgm:spPr/>
      <dgm:t>
        <a:bodyPr/>
        <a:lstStyle/>
        <a:p>
          <a:pPr algn="just"/>
          <a:endParaRPr lang="en-US"/>
        </a:p>
      </dgm:t>
    </dgm:pt>
    <dgm:pt modelId="{CC9C1896-1673-4D7D-9134-5E4F412182B2}">
      <dgm:prSet/>
      <dgm:spPr>
        <a:solidFill>
          <a:schemeClr val="accent5">
            <a:lumMod val="20000"/>
            <a:lumOff val="80000"/>
          </a:schemeClr>
        </a:solidFill>
      </dgm:spPr>
      <dgm:t>
        <a:bodyPr/>
        <a:lstStyle/>
        <a:p>
          <a:pPr algn="just" rtl="0"/>
          <a:r>
            <a:rPr lang="en-US"/>
            <a:t>This poster summarises the Methods for a desk-based, literature-led dissertation. It outlines the search strategy, searching process, validation, inclusion/exclusion criteria, ethical considerations, and thematic analysis. </a:t>
          </a:r>
        </a:p>
      </dgm:t>
    </dgm:pt>
    <dgm:pt modelId="{697287A1-A88C-4630-B8D1-5A97D5AA54F5}" type="parTrans" cxnId="{8FC4756E-7A86-4674-B199-E7E1773E4A59}">
      <dgm:prSet/>
      <dgm:spPr/>
      <dgm:t>
        <a:bodyPr/>
        <a:lstStyle/>
        <a:p>
          <a:pPr algn="just"/>
          <a:endParaRPr lang="en-US"/>
        </a:p>
      </dgm:t>
    </dgm:pt>
    <dgm:pt modelId="{1547D645-711B-4ED5-9B6A-C604EE47C6F6}" type="sibTrans" cxnId="{8FC4756E-7A86-4674-B199-E7E1773E4A59}">
      <dgm:prSet/>
      <dgm:spPr/>
      <dgm:t>
        <a:bodyPr/>
        <a:lstStyle/>
        <a:p>
          <a:pPr algn="just"/>
          <a:endParaRPr lang="en-US"/>
        </a:p>
      </dgm:t>
    </dgm:pt>
    <dgm:pt modelId="{2E215878-0279-483A-BA42-201B031FB436}">
      <dgm:prSet/>
      <dgm:spPr>
        <a:solidFill>
          <a:srgbClr val="009999"/>
        </a:solidFill>
      </dgm:spPr>
      <dgm:t>
        <a:bodyPr/>
        <a:lstStyle/>
        <a:p>
          <a:pPr algn="just" rtl="0"/>
          <a:r>
            <a:rPr lang="en-US" b="1"/>
            <a:t>Aim</a:t>
          </a:r>
          <a:endParaRPr lang="en-US"/>
        </a:p>
      </dgm:t>
    </dgm:pt>
    <dgm:pt modelId="{B00A92F5-4A48-4F8D-8009-C0FD00FBCC31}" type="parTrans" cxnId="{F8C81683-8B08-4359-AC0E-426B6E0817E6}">
      <dgm:prSet/>
      <dgm:spPr/>
      <dgm:t>
        <a:bodyPr/>
        <a:lstStyle/>
        <a:p>
          <a:pPr algn="just"/>
          <a:endParaRPr lang="en-US"/>
        </a:p>
      </dgm:t>
    </dgm:pt>
    <dgm:pt modelId="{26162C3A-8F6A-4ED5-B78F-6D1D5E4CB7AD}" type="sibTrans" cxnId="{F8C81683-8B08-4359-AC0E-426B6E0817E6}">
      <dgm:prSet/>
      <dgm:spPr/>
      <dgm:t>
        <a:bodyPr/>
        <a:lstStyle/>
        <a:p>
          <a:pPr algn="just"/>
          <a:endParaRPr lang="en-US"/>
        </a:p>
      </dgm:t>
    </dgm:pt>
    <dgm:pt modelId="{0470B42A-90A8-4CB1-B704-31F0E23E2197}">
      <dgm:prSet/>
      <dgm:spPr>
        <a:solidFill>
          <a:schemeClr val="accent5">
            <a:lumMod val="20000"/>
            <a:lumOff val="80000"/>
          </a:schemeClr>
        </a:solidFill>
      </dgm:spPr>
      <dgm:t>
        <a:bodyPr/>
        <a:lstStyle/>
        <a:p>
          <a:pPr algn="just" rtl="0"/>
          <a:r>
            <a:rPr lang="en-US"/>
            <a:t>To synthesise qualitative evidence on how the COVID-19 pandemic affected healthcare personnel in the UK psychologically, focusing on mental-health challenges, occupational burnout and coping strategies, in order to inform responsive supports, workforce resilience, and future crisis preparedness.</a:t>
          </a:r>
        </a:p>
      </dgm:t>
    </dgm:pt>
    <dgm:pt modelId="{E15A5499-7607-43A1-A07C-34A194837785}" type="parTrans" cxnId="{4B4332B4-C025-4D89-B57A-AE3263DBD5CA}">
      <dgm:prSet/>
      <dgm:spPr/>
      <dgm:t>
        <a:bodyPr/>
        <a:lstStyle/>
        <a:p>
          <a:pPr algn="just"/>
          <a:endParaRPr lang="en-US"/>
        </a:p>
      </dgm:t>
    </dgm:pt>
    <dgm:pt modelId="{71D9F7F1-714F-4B5F-9DB5-6DDFDE286777}" type="sibTrans" cxnId="{4B4332B4-C025-4D89-B57A-AE3263DBD5CA}">
      <dgm:prSet/>
      <dgm:spPr/>
      <dgm:t>
        <a:bodyPr/>
        <a:lstStyle/>
        <a:p>
          <a:pPr algn="just"/>
          <a:endParaRPr lang="en-US"/>
        </a:p>
      </dgm:t>
    </dgm:pt>
    <dgm:pt modelId="{C92E31C6-04F6-4DE8-8C78-38A82E4AAEF3}" type="pres">
      <dgm:prSet presAssocID="{150A9CD1-5F22-4E7D-B22A-D0CDC094AE22}" presName="linear" presStyleCnt="0">
        <dgm:presLayoutVars>
          <dgm:animLvl val="lvl"/>
          <dgm:resizeHandles val="exact"/>
        </dgm:presLayoutVars>
      </dgm:prSet>
      <dgm:spPr/>
    </dgm:pt>
    <dgm:pt modelId="{3CF6861C-CEB8-46DD-82C3-A623F0AC3BD2}" type="pres">
      <dgm:prSet presAssocID="{78AEC79A-FD1A-4BCB-A486-5579487999C0}" presName="parentText" presStyleLbl="node1" presStyleIdx="0" presStyleCnt="2">
        <dgm:presLayoutVars>
          <dgm:chMax val="0"/>
          <dgm:bulletEnabled val="1"/>
        </dgm:presLayoutVars>
      </dgm:prSet>
      <dgm:spPr/>
    </dgm:pt>
    <dgm:pt modelId="{9F267EE3-A7B9-4205-BFF3-BBD59EC27BCB}" type="pres">
      <dgm:prSet presAssocID="{78AEC79A-FD1A-4BCB-A486-5579487999C0}" presName="childText" presStyleLbl="revTx" presStyleIdx="0" presStyleCnt="2">
        <dgm:presLayoutVars>
          <dgm:bulletEnabled val="1"/>
        </dgm:presLayoutVars>
      </dgm:prSet>
      <dgm:spPr/>
    </dgm:pt>
    <dgm:pt modelId="{4DBA823B-BB98-4608-B431-30DE0C3F8506}" type="pres">
      <dgm:prSet presAssocID="{2E215878-0279-483A-BA42-201B031FB436}" presName="parentText" presStyleLbl="node1" presStyleIdx="1" presStyleCnt="2">
        <dgm:presLayoutVars>
          <dgm:chMax val="0"/>
          <dgm:bulletEnabled val="1"/>
        </dgm:presLayoutVars>
      </dgm:prSet>
      <dgm:spPr/>
    </dgm:pt>
    <dgm:pt modelId="{9678E647-76D6-4FF2-A832-0B78FF3A432D}" type="pres">
      <dgm:prSet presAssocID="{2E215878-0279-483A-BA42-201B031FB436}" presName="childText" presStyleLbl="revTx" presStyleIdx="1" presStyleCnt="2">
        <dgm:presLayoutVars>
          <dgm:bulletEnabled val="1"/>
        </dgm:presLayoutVars>
      </dgm:prSet>
      <dgm:spPr/>
    </dgm:pt>
  </dgm:ptLst>
  <dgm:cxnLst>
    <dgm:cxn modelId="{F1C91F0C-1AF1-44F5-A8CE-01E0B8B94A4C}" type="presOf" srcId="{2E215878-0279-483A-BA42-201B031FB436}" destId="{4DBA823B-BB98-4608-B431-30DE0C3F8506}" srcOrd="0" destOrd="0" presId="urn:microsoft.com/office/officeart/2005/8/layout/vList2"/>
    <dgm:cxn modelId="{FAEF4016-AF1A-4AA0-A863-074737F41D75}" srcId="{150A9CD1-5F22-4E7D-B22A-D0CDC094AE22}" destId="{78AEC79A-FD1A-4BCB-A486-5579487999C0}" srcOrd="0" destOrd="0" parTransId="{22649061-562C-4B78-8914-77CE12AE8687}" sibTransId="{037649CF-0739-4DA4-B2A2-37F9542D5784}"/>
    <dgm:cxn modelId="{8E9A5221-DB8C-44CE-B8DB-7B0211AABAFB}" type="presOf" srcId="{0470B42A-90A8-4CB1-B704-31F0E23E2197}" destId="{9678E647-76D6-4FF2-A832-0B78FF3A432D}" srcOrd="0" destOrd="0" presId="urn:microsoft.com/office/officeart/2005/8/layout/vList2"/>
    <dgm:cxn modelId="{6671AB2F-8637-4969-89FE-FCDFE1A44840}" type="presOf" srcId="{78AEC79A-FD1A-4BCB-A486-5579487999C0}" destId="{3CF6861C-CEB8-46DD-82C3-A623F0AC3BD2}" srcOrd="0" destOrd="0" presId="urn:microsoft.com/office/officeart/2005/8/layout/vList2"/>
    <dgm:cxn modelId="{8FC4756E-7A86-4674-B199-E7E1773E4A59}" srcId="{78AEC79A-FD1A-4BCB-A486-5579487999C0}" destId="{CC9C1896-1673-4D7D-9134-5E4F412182B2}" srcOrd="0" destOrd="0" parTransId="{697287A1-A88C-4630-B8D1-5A97D5AA54F5}" sibTransId="{1547D645-711B-4ED5-9B6A-C604EE47C6F6}"/>
    <dgm:cxn modelId="{F8C81683-8B08-4359-AC0E-426B6E0817E6}" srcId="{150A9CD1-5F22-4E7D-B22A-D0CDC094AE22}" destId="{2E215878-0279-483A-BA42-201B031FB436}" srcOrd="1" destOrd="0" parTransId="{B00A92F5-4A48-4F8D-8009-C0FD00FBCC31}" sibTransId="{26162C3A-8F6A-4ED5-B78F-6D1D5E4CB7AD}"/>
    <dgm:cxn modelId="{4B4332B4-C025-4D89-B57A-AE3263DBD5CA}" srcId="{2E215878-0279-483A-BA42-201B031FB436}" destId="{0470B42A-90A8-4CB1-B704-31F0E23E2197}" srcOrd="0" destOrd="0" parTransId="{E15A5499-7607-43A1-A07C-34A194837785}" sibTransId="{71D9F7F1-714F-4B5F-9DB5-6DDFDE286777}"/>
    <dgm:cxn modelId="{C61157E8-88B7-48EC-908A-22AEB75E5712}" type="presOf" srcId="{150A9CD1-5F22-4E7D-B22A-D0CDC094AE22}" destId="{C92E31C6-04F6-4DE8-8C78-38A82E4AAEF3}" srcOrd="0" destOrd="0" presId="urn:microsoft.com/office/officeart/2005/8/layout/vList2"/>
    <dgm:cxn modelId="{32CA71FC-5825-4B9E-880F-19A431D9C071}" type="presOf" srcId="{CC9C1896-1673-4D7D-9134-5E4F412182B2}" destId="{9F267EE3-A7B9-4205-BFF3-BBD59EC27BCB}" srcOrd="0" destOrd="0" presId="urn:microsoft.com/office/officeart/2005/8/layout/vList2"/>
    <dgm:cxn modelId="{85FA2BC8-1E61-498B-B859-C3BBD3EF0576}" type="presParOf" srcId="{C92E31C6-04F6-4DE8-8C78-38A82E4AAEF3}" destId="{3CF6861C-CEB8-46DD-82C3-A623F0AC3BD2}" srcOrd="0" destOrd="0" presId="urn:microsoft.com/office/officeart/2005/8/layout/vList2"/>
    <dgm:cxn modelId="{C409F565-1DAD-4CAA-99AF-4DB9B23B5AEC}" type="presParOf" srcId="{C92E31C6-04F6-4DE8-8C78-38A82E4AAEF3}" destId="{9F267EE3-A7B9-4205-BFF3-BBD59EC27BCB}" srcOrd="1" destOrd="0" presId="urn:microsoft.com/office/officeart/2005/8/layout/vList2"/>
    <dgm:cxn modelId="{B68349AF-0159-4A6C-BFD0-074FB7095EAC}" type="presParOf" srcId="{C92E31C6-04F6-4DE8-8C78-38A82E4AAEF3}" destId="{4DBA823B-BB98-4608-B431-30DE0C3F8506}" srcOrd="2" destOrd="0" presId="urn:microsoft.com/office/officeart/2005/8/layout/vList2"/>
    <dgm:cxn modelId="{0B78F86B-37B3-4DB6-B1F2-149EE68970EC}" type="presParOf" srcId="{C92E31C6-04F6-4DE8-8C78-38A82E4AAEF3}" destId="{9678E647-76D6-4FF2-A832-0B78FF3A432D}" srcOrd="3" destOrd="0" presId="urn:microsoft.com/office/officeart/2005/8/layout/vList2"/>
  </dgm:cxnLst>
  <dgm:bg/>
  <dgm:whole/>
  <dgm:extLst>
    <a:ext uri="http://schemas.microsoft.com/office/drawing/2008/diagram">
      <dsp:dataModelExt xmlns:dsp="http://schemas.microsoft.com/office/drawing/2008/diagram" relId="rId10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5257FE3-43C7-4703-9C40-CF0C4B3D65B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6A1C68DE-F8AD-4D27-969A-2169B9E8738A}">
      <dgm:prSet custT="1"/>
      <dgm:spPr>
        <a:solidFill>
          <a:srgbClr val="009999"/>
        </a:solidFill>
      </dgm:spPr>
      <dgm:t>
        <a:bodyPr/>
        <a:lstStyle/>
        <a:p>
          <a:pPr rtl="0"/>
          <a:r>
            <a:rPr lang="en-US" sz="1400" b="1"/>
            <a:t>How I built This?</a:t>
          </a:r>
        </a:p>
      </dgm:t>
    </dgm:pt>
    <dgm:pt modelId="{7B7C6586-6C12-4AF1-AC3D-2DC689A4814B}" type="parTrans" cxnId="{CDBBF98E-DF14-4FD9-9152-18BA6BD177EB}">
      <dgm:prSet/>
      <dgm:spPr/>
      <dgm:t>
        <a:bodyPr/>
        <a:lstStyle/>
        <a:p>
          <a:endParaRPr lang="en-US"/>
        </a:p>
      </dgm:t>
    </dgm:pt>
    <dgm:pt modelId="{11252F54-2752-4542-8785-9397448E9576}" type="sibTrans" cxnId="{CDBBF98E-DF14-4FD9-9152-18BA6BD177EB}">
      <dgm:prSet/>
      <dgm:spPr/>
      <dgm:t>
        <a:bodyPr/>
        <a:lstStyle/>
        <a:p>
          <a:endParaRPr lang="en-US"/>
        </a:p>
      </dgm:t>
    </dgm:pt>
    <dgm:pt modelId="{BF5F666F-B64F-4D18-830A-F99C57AF1687}">
      <dgm:prSet/>
      <dgm:spPr>
        <a:solidFill>
          <a:schemeClr val="accent5">
            <a:lumMod val="20000"/>
            <a:lumOff val="80000"/>
            <a:alpha val="90000"/>
          </a:schemeClr>
        </a:solidFill>
      </dgm:spPr>
      <dgm:t>
        <a:bodyPr/>
        <a:lstStyle/>
        <a:p>
          <a:pPr rtl="0"/>
          <a:r>
            <a:rPr lang="en-US"/>
            <a:t>I built mine from title-derived keywords and synonyms (e.g., “healthcare workers/HCWs”, “burnout/moral distress”, “UK/NHS”), combined with Boolean operators (AND/OR/NOT). </a:t>
          </a:r>
        </a:p>
      </dgm:t>
    </dgm:pt>
    <dgm:pt modelId="{05720E44-E92D-48E4-B779-09C45EAC35D2}" type="parTrans" cxnId="{5F5BE123-DAB8-425F-A5D1-224F1BCAC6F2}">
      <dgm:prSet/>
      <dgm:spPr/>
      <dgm:t>
        <a:bodyPr/>
        <a:lstStyle/>
        <a:p>
          <a:endParaRPr lang="en-US"/>
        </a:p>
      </dgm:t>
    </dgm:pt>
    <dgm:pt modelId="{1C04700D-056E-4709-A913-B2BF32381C37}" type="sibTrans" cxnId="{5F5BE123-DAB8-425F-A5D1-224F1BCAC6F2}">
      <dgm:prSet/>
      <dgm:spPr/>
      <dgm:t>
        <a:bodyPr/>
        <a:lstStyle/>
        <a:p>
          <a:endParaRPr lang="en-US"/>
        </a:p>
      </dgm:t>
    </dgm:pt>
    <dgm:pt modelId="{D18B3611-ADC2-4BB0-81B4-047336B1DE80}">
      <dgm:prSet/>
      <dgm:spPr>
        <a:solidFill>
          <a:schemeClr val="accent5">
            <a:lumMod val="20000"/>
            <a:lumOff val="80000"/>
            <a:alpha val="90000"/>
          </a:schemeClr>
        </a:solidFill>
      </dgm:spPr>
      <dgm:t>
        <a:bodyPr/>
        <a:lstStyle/>
        <a:p>
          <a:pPr rtl="0"/>
          <a:r>
            <a:rPr lang="en-US"/>
            <a:t>Searches ran across Google Scholar, PubMed and the UWTSD Library, filtered to 2020–2024, English, peer-reviewed, UK-relevant. </a:t>
          </a:r>
        </a:p>
      </dgm:t>
    </dgm:pt>
    <dgm:pt modelId="{752337D4-D06B-4961-84D9-E94648C26E1E}" type="parTrans" cxnId="{6E45FFEC-1DF1-4201-9770-D6AF2B008851}">
      <dgm:prSet/>
      <dgm:spPr/>
      <dgm:t>
        <a:bodyPr/>
        <a:lstStyle/>
        <a:p>
          <a:endParaRPr lang="en-US"/>
        </a:p>
      </dgm:t>
    </dgm:pt>
    <dgm:pt modelId="{5A145D95-D8D8-49F9-B213-D58A1111FF5A}" type="sibTrans" cxnId="{6E45FFEC-1DF1-4201-9770-D6AF2B008851}">
      <dgm:prSet/>
      <dgm:spPr/>
      <dgm:t>
        <a:bodyPr/>
        <a:lstStyle/>
        <a:p>
          <a:endParaRPr lang="en-US"/>
        </a:p>
      </dgm:t>
    </dgm:pt>
    <dgm:pt modelId="{13A024E9-4A4B-4FA3-88A4-E32E6728A68E}">
      <dgm:prSet/>
      <dgm:spPr>
        <a:solidFill>
          <a:schemeClr val="accent5">
            <a:lumMod val="20000"/>
            <a:lumOff val="80000"/>
            <a:alpha val="90000"/>
          </a:schemeClr>
        </a:solidFill>
      </dgm:spPr>
      <dgm:t>
        <a:bodyPr/>
        <a:lstStyle/>
        <a:p>
          <a:pPr rtl="0"/>
          <a:r>
            <a:rPr lang="en-US"/>
            <a:t>I iteratively refined terms using berrypicking and snowballing, logged queries/decisions, and applied PRISMA-style screening to include only pertinent qualitative evidence.</a:t>
          </a:r>
        </a:p>
      </dgm:t>
    </dgm:pt>
    <dgm:pt modelId="{ECB51250-9E0F-4A55-ACEF-8EFD4D0D20C4}" type="parTrans" cxnId="{0B08053D-D7DF-47F5-9B00-DEE88CF12F33}">
      <dgm:prSet/>
      <dgm:spPr/>
      <dgm:t>
        <a:bodyPr/>
        <a:lstStyle/>
        <a:p>
          <a:endParaRPr lang="en-US"/>
        </a:p>
      </dgm:t>
    </dgm:pt>
    <dgm:pt modelId="{1EE65705-5A8B-42BF-A0BE-7A034694A92D}" type="sibTrans" cxnId="{0B08053D-D7DF-47F5-9B00-DEE88CF12F33}">
      <dgm:prSet/>
      <dgm:spPr/>
      <dgm:t>
        <a:bodyPr/>
        <a:lstStyle/>
        <a:p>
          <a:endParaRPr lang="en-US"/>
        </a:p>
      </dgm:t>
    </dgm:pt>
    <dgm:pt modelId="{58BC4057-DCA2-42D2-8C89-D5433793296C}" type="pres">
      <dgm:prSet presAssocID="{E5257FE3-43C7-4703-9C40-CF0C4B3D65B6}" presName="Name0" presStyleCnt="0">
        <dgm:presLayoutVars>
          <dgm:dir/>
          <dgm:animLvl val="lvl"/>
          <dgm:resizeHandles val="exact"/>
        </dgm:presLayoutVars>
      </dgm:prSet>
      <dgm:spPr/>
    </dgm:pt>
    <dgm:pt modelId="{B5DCD910-CD49-42B8-90D1-2B68BC487A45}" type="pres">
      <dgm:prSet presAssocID="{6A1C68DE-F8AD-4D27-969A-2169B9E8738A}" presName="composite" presStyleCnt="0"/>
      <dgm:spPr/>
    </dgm:pt>
    <dgm:pt modelId="{93A620D8-72C5-43D9-834F-35007656ACC4}" type="pres">
      <dgm:prSet presAssocID="{6A1C68DE-F8AD-4D27-969A-2169B9E8738A}" presName="parTx" presStyleLbl="alignNode1" presStyleIdx="0" presStyleCnt="1">
        <dgm:presLayoutVars>
          <dgm:chMax val="0"/>
          <dgm:chPref val="0"/>
          <dgm:bulletEnabled val="1"/>
        </dgm:presLayoutVars>
      </dgm:prSet>
      <dgm:spPr/>
    </dgm:pt>
    <dgm:pt modelId="{7E3F4C1E-1D57-4164-A553-5CF02309203D}" type="pres">
      <dgm:prSet presAssocID="{6A1C68DE-F8AD-4D27-969A-2169B9E8738A}" presName="desTx" presStyleLbl="alignAccFollowNode1" presStyleIdx="0" presStyleCnt="1">
        <dgm:presLayoutVars>
          <dgm:bulletEnabled val="1"/>
        </dgm:presLayoutVars>
      </dgm:prSet>
      <dgm:spPr/>
    </dgm:pt>
  </dgm:ptLst>
  <dgm:cxnLst>
    <dgm:cxn modelId="{5F5BE123-DAB8-425F-A5D1-224F1BCAC6F2}" srcId="{6A1C68DE-F8AD-4D27-969A-2169B9E8738A}" destId="{BF5F666F-B64F-4D18-830A-F99C57AF1687}" srcOrd="0" destOrd="0" parTransId="{05720E44-E92D-48E4-B779-09C45EAC35D2}" sibTransId="{1C04700D-056E-4709-A913-B2BF32381C37}"/>
    <dgm:cxn modelId="{2325F92D-E47A-493A-8259-9464864DFB40}" type="presOf" srcId="{BF5F666F-B64F-4D18-830A-F99C57AF1687}" destId="{7E3F4C1E-1D57-4164-A553-5CF02309203D}" srcOrd="0" destOrd="0" presId="urn:microsoft.com/office/officeart/2005/8/layout/hList1"/>
    <dgm:cxn modelId="{0B08053D-D7DF-47F5-9B00-DEE88CF12F33}" srcId="{6A1C68DE-F8AD-4D27-969A-2169B9E8738A}" destId="{13A024E9-4A4B-4FA3-88A4-E32E6728A68E}" srcOrd="2" destOrd="0" parTransId="{ECB51250-9E0F-4A55-ACEF-8EFD4D0D20C4}" sibTransId="{1EE65705-5A8B-42BF-A0BE-7A034694A92D}"/>
    <dgm:cxn modelId="{E8910C41-5EA4-4BA7-95DE-4C001BD0D1A0}" type="presOf" srcId="{E5257FE3-43C7-4703-9C40-CF0C4B3D65B6}" destId="{58BC4057-DCA2-42D2-8C89-D5433793296C}" srcOrd="0" destOrd="0" presId="urn:microsoft.com/office/officeart/2005/8/layout/hList1"/>
    <dgm:cxn modelId="{7C7B4447-F436-419A-9A3C-2932C206286A}" type="presOf" srcId="{13A024E9-4A4B-4FA3-88A4-E32E6728A68E}" destId="{7E3F4C1E-1D57-4164-A553-5CF02309203D}" srcOrd="0" destOrd="2" presId="urn:microsoft.com/office/officeart/2005/8/layout/hList1"/>
    <dgm:cxn modelId="{D2ECFE78-3AEE-46D6-8FF2-280C725D0012}" type="presOf" srcId="{D18B3611-ADC2-4BB0-81B4-047336B1DE80}" destId="{7E3F4C1E-1D57-4164-A553-5CF02309203D}" srcOrd="0" destOrd="1" presId="urn:microsoft.com/office/officeart/2005/8/layout/hList1"/>
    <dgm:cxn modelId="{CDBBF98E-DF14-4FD9-9152-18BA6BD177EB}" srcId="{E5257FE3-43C7-4703-9C40-CF0C4B3D65B6}" destId="{6A1C68DE-F8AD-4D27-969A-2169B9E8738A}" srcOrd="0" destOrd="0" parTransId="{7B7C6586-6C12-4AF1-AC3D-2DC689A4814B}" sibTransId="{11252F54-2752-4542-8785-9397448E9576}"/>
    <dgm:cxn modelId="{C83C1394-8789-455C-8514-ED3141090BA0}" type="presOf" srcId="{6A1C68DE-F8AD-4D27-969A-2169B9E8738A}" destId="{93A620D8-72C5-43D9-834F-35007656ACC4}" srcOrd="0" destOrd="0" presId="urn:microsoft.com/office/officeart/2005/8/layout/hList1"/>
    <dgm:cxn modelId="{6E45FFEC-1DF1-4201-9770-D6AF2B008851}" srcId="{6A1C68DE-F8AD-4D27-969A-2169B9E8738A}" destId="{D18B3611-ADC2-4BB0-81B4-047336B1DE80}" srcOrd="1" destOrd="0" parTransId="{752337D4-D06B-4961-84D9-E94648C26E1E}" sibTransId="{5A145D95-D8D8-49F9-B213-D58A1111FF5A}"/>
    <dgm:cxn modelId="{A51C55BC-FDBA-4AF2-9007-100D6891A52C}" type="presParOf" srcId="{58BC4057-DCA2-42D2-8C89-D5433793296C}" destId="{B5DCD910-CD49-42B8-90D1-2B68BC487A45}" srcOrd="0" destOrd="0" presId="urn:microsoft.com/office/officeart/2005/8/layout/hList1"/>
    <dgm:cxn modelId="{9F402D47-C4E1-44D5-A299-BBCE0F0DE393}" type="presParOf" srcId="{B5DCD910-CD49-42B8-90D1-2B68BC487A45}" destId="{93A620D8-72C5-43D9-834F-35007656ACC4}" srcOrd="0" destOrd="0" presId="urn:microsoft.com/office/officeart/2005/8/layout/hList1"/>
    <dgm:cxn modelId="{E118C621-E502-4E7F-BF92-CE97FD6A1BB7}" type="presParOf" srcId="{B5DCD910-CD49-42B8-90D1-2B68BC487A45}" destId="{7E3F4C1E-1D57-4164-A553-5CF02309203D}" srcOrd="1" destOrd="0" presId="urn:microsoft.com/office/officeart/2005/8/layout/hList1"/>
  </dgm:cxnLst>
  <dgm:bg>
    <a:noFill/>
  </dgm:bg>
  <dgm:whole/>
  <dgm:extLst>
    <a:ext uri="http://schemas.microsoft.com/office/drawing/2008/diagram">
      <dsp:dataModelExt xmlns:dsp="http://schemas.microsoft.com/office/drawing/2008/diagram" relId="rId11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2C12B37-9892-4687-928F-8F921C3F0145}" type="doc">
      <dgm:prSet loTypeId="urn:microsoft.com/office/officeart/2005/8/layout/process2" loCatId="process" qsTypeId="urn:microsoft.com/office/officeart/2005/8/quickstyle/simple1" qsCatId="simple" csTypeId="urn:microsoft.com/office/officeart/2005/8/colors/accent6_1" csCatId="accent6" phldr="1"/>
      <dgm:spPr/>
    </dgm:pt>
    <dgm:pt modelId="{E4262343-0AD1-4CB6-8022-500C275480DA}">
      <dgm:prSet phldrT="[Text]" custT="1"/>
      <dgm:spPr/>
      <dgm:t>
        <a:bodyPr/>
        <a:lstStyle/>
        <a:p>
          <a:r>
            <a:rPr lang="en-US" sz="1050" b="1"/>
            <a:t>PRISMA Diagram (Page et al., 2021)</a:t>
          </a:r>
        </a:p>
      </dgm:t>
    </dgm:pt>
    <dgm:pt modelId="{30D55181-4B1F-488D-AE6D-719B8B0AF9A8}" type="parTrans" cxnId="{73F875D6-99A8-4FF5-86EE-6C0D7C98EF25}">
      <dgm:prSet/>
      <dgm:spPr/>
      <dgm:t>
        <a:bodyPr/>
        <a:lstStyle/>
        <a:p>
          <a:endParaRPr lang="en-US" sz="2800"/>
        </a:p>
      </dgm:t>
    </dgm:pt>
    <dgm:pt modelId="{811F472E-4566-4AD1-B44F-6C4F1545F3F5}" type="sibTrans" cxnId="{73F875D6-99A8-4FF5-86EE-6C0D7C98EF25}">
      <dgm:prSet custT="1"/>
      <dgm:spPr/>
      <dgm:t>
        <a:bodyPr/>
        <a:lstStyle/>
        <a:p>
          <a:endParaRPr lang="en-US" sz="700"/>
        </a:p>
      </dgm:t>
    </dgm:pt>
    <dgm:pt modelId="{8FF71415-496B-4581-BEF9-E233E915610C}">
      <dgm:prSet phldrT="[Text]" custT="1"/>
      <dgm:spPr/>
      <dgm:t>
        <a:bodyPr/>
        <a:lstStyle/>
        <a:p>
          <a:r>
            <a:rPr lang="en-US" sz="800" b="1"/>
            <a:t>Identification:1,1121361,248</a:t>
          </a:r>
          <a:endParaRPr lang="en-US" sz="800"/>
        </a:p>
      </dgm:t>
    </dgm:pt>
    <dgm:pt modelId="{027BC193-97B4-499D-93BF-D6E1ACCD1F3B}" type="parTrans" cxnId="{20CBE854-8651-4AE7-996B-5CD5E1076564}">
      <dgm:prSet/>
      <dgm:spPr/>
      <dgm:t>
        <a:bodyPr/>
        <a:lstStyle/>
        <a:p>
          <a:endParaRPr lang="en-US" sz="2800"/>
        </a:p>
      </dgm:t>
    </dgm:pt>
    <dgm:pt modelId="{6DDF2ABB-4AB0-44D2-9B9A-171BCE486D2C}" type="sibTrans" cxnId="{20CBE854-8651-4AE7-996B-5CD5E1076564}">
      <dgm:prSet custT="1"/>
      <dgm:spPr/>
      <dgm:t>
        <a:bodyPr/>
        <a:lstStyle/>
        <a:p>
          <a:endParaRPr lang="en-US" sz="700"/>
        </a:p>
      </dgm:t>
    </dgm:pt>
    <dgm:pt modelId="{CC9B6260-D592-4D38-88A9-33836AB0577A}">
      <dgm:prSet phldrT="[Text]" custT="1"/>
      <dgm:spPr/>
      <dgm:t>
        <a:bodyPr/>
        <a:lstStyle/>
        <a:p>
          <a:r>
            <a:rPr lang="en-US" sz="800" b="1"/>
            <a:t>Deduplication:312936</a:t>
          </a:r>
          <a:endParaRPr lang="en-US" sz="800"/>
        </a:p>
      </dgm:t>
    </dgm:pt>
    <dgm:pt modelId="{C44BE9A7-B6D8-4C96-8DE3-8EFD0557A67C}" type="parTrans" cxnId="{26CB56D3-DBD3-49C3-A7B9-B96B4F379F04}">
      <dgm:prSet/>
      <dgm:spPr/>
      <dgm:t>
        <a:bodyPr/>
        <a:lstStyle/>
        <a:p>
          <a:endParaRPr lang="en-US" sz="2800"/>
        </a:p>
      </dgm:t>
    </dgm:pt>
    <dgm:pt modelId="{44B0C7C6-8E1C-4B71-B32A-AE0654121193}" type="sibTrans" cxnId="{26CB56D3-DBD3-49C3-A7B9-B96B4F379F04}">
      <dgm:prSet custT="1"/>
      <dgm:spPr/>
      <dgm:t>
        <a:bodyPr/>
        <a:lstStyle/>
        <a:p>
          <a:endParaRPr lang="en-US" sz="700"/>
        </a:p>
      </dgm:t>
    </dgm:pt>
    <dgm:pt modelId="{BCE25B77-F8A3-44EE-A4ED-2AA193DB5AA2}">
      <dgm:prSet phldrT="[Text]" custT="1"/>
      <dgm:spPr/>
      <dgm:t>
        <a:bodyPr/>
        <a:lstStyle/>
        <a:p>
          <a:r>
            <a:rPr lang="en-US" sz="800" b="1"/>
            <a:t>Screening:</a:t>
          </a:r>
          <a:r>
            <a:rPr lang="en-US" sz="800"/>
            <a:t> </a:t>
          </a:r>
          <a:r>
            <a:rPr lang="en-US" sz="800" b="1"/>
            <a:t>936</a:t>
          </a:r>
          <a:r>
            <a:rPr lang="en-US" sz="800"/>
            <a:t> screened; </a:t>
          </a:r>
          <a:r>
            <a:rPr lang="en-US" sz="800" b="1"/>
            <a:t>742</a:t>
          </a:r>
          <a:r>
            <a:rPr lang="en-US" sz="800"/>
            <a:t> excluded</a:t>
          </a:r>
        </a:p>
      </dgm:t>
    </dgm:pt>
    <dgm:pt modelId="{F53FC263-C80A-47DA-9ACE-25201753C3ED}" type="parTrans" cxnId="{0BF266D9-4643-457A-9CFA-61DA94E3113A}">
      <dgm:prSet/>
      <dgm:spPr/>
      <dgm:t>
        <a:bodyPr/>
        <a:lstStyle/>
        <a:p>
          <a:endParaRPr lang="en-US" sz="2800"/>
        </a:p>
      </dgm:t>
    </dgm:pt>
    <dgm:pt modelId="{3D1088F9-98DC-4C7B-9B0F-8359B5574B15}" type="sibTrans" cxnId="{0BF266D9-4643-457A-9CFA-61DA94E3113A}">
      <dgm:prSet custT="1"/>
      <dgm:spPr/>
      <dgm:t>
        <a:bodyPr/>
        <a:lstStyle/>
        <a:p>
          <a:endParaRPr lang="en-US" sz="700"/>
        </a:p>
      </dgm:t>
    </dgm:pt>
    <dgm:pt modelId="{A20869A4-FB53-40E7-B48D-AEAA5CA26DDE}">
      <dgm:prSet phldrT="[Text]" custT="1"/>
      <dgm:spPr/>
      <dgm:t>
        <a:bodyPr/>
        <a:lstStyle/>
        <a:p>
          <a:r>
            <a:rPr lang="en-US" sz="800" b="1"/>
            <a:t>Eligibility:</a:t>
          </a:r>
          <a:r>
            <a:rPr lang="en-US" sz="800"/>
            <a:t> </a:t>
          </a:r>
          <a:r>
            <a:rPr lang="en-US" sz="800" b="1"/>
            <a:t>194</a:t>
          </a:r>
          <a:r>
            <a:rPr lang="en-US" sz="800"/>
            <a:t> full texts; </a:t>
          </a:r>
          <a:r>
            <a:rPr lang="en-US" sz="800" b="1"/>
            <a:t>131</a:t>
          </a:r>
          <a:r>
            <a:rPr lang="en-US" sz="800"/>
            <a:t> excluded (Non-UK </a:t>
          </a:r>
          <a:r>
            <a:rPr lang="en-US" sz="800" b="1"/>
            <a:t>49</a:t>
          </a:r>
          <a:r>
            <a:rPr lang="en-US" sz="800"/>
            <a:t>; Not qualitative </a:t>
          </a:r>
          <a:r>
            <a:rPr lang="en-US" sz="800" b="1"/>
            <a:t>37</a:t>
          </a:r>
          <a:r>
            <a:rPr lang="en-US" sz="800"/>
            <a:t>; Not HCW </a:t>
          </a:r>
          <a:r>
            <a:rPr lang="en-US" sz="800" b="1"/>
            <a:t>29</a:t>
          </a:r>
          <a:r>
            <a:rPr lang="en-US" sz="800"/>
            <a:t>; Insufficient detail </a:t>
          </a:r>
          <a:r>
            <a:rPr lang="en-US" sz="800" b="1"/>
            <a:t>16</a:t>
          </a:r>
          <a:r>
            <a:rPr lang="en-US" sz="800"/>
            <a:t>)</a:t>
          </a:r>
        </a:p>
      </dgm:t>
    </dgm:pt>
    <dgm:pt modelId="{139094E9-06BD-4FCA-AC46-8E4F4333A292}" type="parTrans" cxnId="{BDCC8F2B-48EB-4DEC-A85D-E8C17E24425B}">
      <dgm:prSet/>
      <dgm:spPr/>
      <dgm:t>
        <a:bodyPr/>
        <a:lstStyle/>
        <a:p>
          <a:endParaRPr lang="en-US" sz="2800"/>
        </a:p>
      </dgm:t>
    </dgm:pt>
    <dgm:pt modelId="{CF9D96C7-B9B3-4180-A47B-5D51042207D3}" type="sibTrans" cxnId="{BDCC8F2B-48EB-4DEC-A85D-E8C17E24425B}">
      <dgm:prSet custT="1"/>
      <dgm:spPr/>
      <dgm:t>
        <a:bodyPr/>
        <a:lstStyle/>
        <a:p>
          <a:endParaRPr lang="en-US" sz="700"/>
        </a:p>
      </dgm:t>
    </dgm:pt>
    <dgm:pt modelId="{3B6B9D67-5E6E-4B60-A200-BCDF17B87E9C}">
      <dgm:prSet phldrT="[Text]" custT="1"/>
      <dgm:spPr/>
      <dgm:t>
        <a:bodyPr/>
        <a:lstStyle/>
        <a:p>
          <a:r>
            <a:rPr lang="en-US" sz="800" b="1"/>
            <a:t>Included:</a:t>
          </a:r>
          <a:r>
            <a:rPr lang="en-US" sz="800"/>
            <a:t> </a:t>
          </a:r>
          <a:r>
            <a:rPr lang="en-US" sz="800" b="1"/>
            <a:t>63</a:t>
          </a:r>
          <a:r>
            <a:rPr lang="en-US" sz="800"/>
            <a:t> sources (qual studies/syntheses + key NHS/NICE/HSE/WHO reports + relevant scholarly books)</a:t>
          </a:r>
        </a:p>
      </dgm:t>
    </dgm:pt>
    <dgm:pt modelId="{DEBBCA19-7299-4DEC-A228-E5D346C45311}" type="parTrans" cxnId="{689CDB9C-DB9F-4328-9708-FA9AAE8A7239}">
      <dgm:prSet/>
      <dgm:spPr/>
      <dgm:t>
        <a:bodyPr/>
        <a:lstStyle/>
        <a:p>
          <a:endParaRPr lang="en-US" sz="2800"/>
        </a:p>
      </dgm:t>
    </dgm:pt>
    <dgm:pt modelId="{D684FE5A-16B8-494A-837D-EA8CBAC6FDC5}" type="sibTrans" cxnId="{689CDB9C-DB9F-4328-9708-FA9AAE8A7239}">
      <dgm:prSet/>
      <dgm:spPr/>
      <dgm:t>
        <a:bodyPr/>
        <a:lstStyle/>
        <a:p>
          <a:endParaRPr lang="en-US" sz="2800"/>
        </a:p>
      </dgm:t>
    </dgm:pt>
    <dgm:pt modelId="{0E451F2B-40CD-4672-A89D-3F56F13BB8F4}" type="pres">
      <dgm:prSet presAssocID="{D2C12B37-9892-4687-928F-8F921C3F0145}" presName="linearFlow" presStyleCnt="0">
        <dgm:presLayoutVars>
          <dgm:resizeHandles val="exact"/>
        </dgm:presLayoutVars>
      </dgm:prSet>
      <dgm:spPr/>
    </dgm:pt>
    <dgm:pt modelId="{13CD7362-A1F6-4607-98EA-596D9843B312}" type="pres">
      <dgm:prSet presAssocID="{E4262343-0AD1-4CB6-8022-500C275480DA}" presName="node" presStyleLbl="node1" presStyleIdx="0" presStyleCnt="6" custScaleX="266510" custScaleY="205506">
        <dgm:presLayoutVars>
          <dgm:bulletEnabled val="1"/>
        </dgm:presLayoutVars>
      </dgm:prSet>
      <dgm:spPr/>
    </dgm:pt>
    <dgm:pt modelId="{3BE17A96-FFC6-4759-97BE-6BA50629DF6C}" type="pres">
      <dgm:prSet presAssocID="{811F472E-4566-4AD1-B44F-6C4F1545F3F5}" presName="sibTrans" presStyleLbl="sibTrans2D1" presStyleIdx="0" presStyleCnt="5"/>
      <dgm:spPr/>
    </dgm:pt>
    <dgm:pt modelId="{940C56FC-5237-4950-AFD5-41BE95739C15}" type="pres">
      <dgm:prSet presAssocID="{811F472E-4566-4AD1-B44F-6C4F1545F3F5}" presName="connectorText" presStyleLbl="sibTrans2D1" presStyleIdx="0" presStyleCnt="5"/>
      <dgm:spPr/>
    </dgm:pt>
    <dgm:pt modelId="{E5E1E3B4-D302-48A5-8597-F36B244F791F}" type="pres">
      <dgm:prSet presAssocID="{8FF71415-496B-4581-BEF9-E233E915610C}" presName="node" presStyleLbl="node1" presStyleIdx="1" presStyleCnt="6" custScaleX="274919" custScaleY="260657">
        <dgm:presLayoutVars>
          <dgm:bulletEnabled val="1"/>
        </dgm:presLayoutVars>
      </dgm:prSet>
      <dgm:spPr/>
    </dgm:pt>
    <dgm:pt modelId="{D4D05623-19A7-493E-8A84-B8E450182D0C}" type="pres">
      <dgm:prSet presAssocID="{6DDF2ABB-4AB0-44D2-9B9A-171BCE486D2C}" presName="sibTrans" presStyleLbl="sibTrans2D1" presStyleIdx="1" presStyleCnt="5"/>
      <dgm:spPr/>
    </dgm:pt>
    <dgm:pt modelId="{AAEE04FF-87E6-40AB-A0FC-99B38D37DD1D}" type="pres">
      <dgm:prSet presAssocID="{6DDF2ABB-4AB0-44D2-9B9A-171BCE486D2C}" presName="connectorText" presStyleLbl="sibTrans2D1" presStyleIdx="1" presStyleCnt="5"/>
      <dgm:spPr/>
    </dgm:pt>
    <dgm:pt modelId="{18C21534-AB57-4253-9116-0335D4592F40}" type="pres">
      <dgm:prSet presAssocID="{CC9B6260-D592-4D38-88A9-33836AB0577A}" presName="node" presStyleLbl="node1" presStyleIdx="2" presStyleCnt="6" custScaleX="283141" custScaleY="216667">
        <dgm:presLayoutVars>
          <dgm:bulletEnabled val="1"/>
        </dgm:presLayoutVars>
      </dgm:prSet>
      <dgm:spPr/>
    </dgm:pt>
    <dgm:pt modelId="{0A7F5197-2B35-4528-B014-6599834D0817}" type="pres">
      <dgm:prSet presAssocID="{44B0C7C6-8E1C-4B71-B32A-AE0654121193}" presName="sibTrans" presStyleLbl="sibTrans2D1" presStyleIdx="2" presStyleCnt="5"/>
      <dgm:spPr/>
    </dgm:pt>
    <dgm:pt modelId="{91D133DC-6416-4FA6-AC59-AB9F3F299BD9}" type="pres">
      <dgm:prSet presAssocID="{44B0C7C6-8E1C-4B71-B32A-AE0654121193}" presName="connectorText" presStyleLbl="sibTrans2D1" presStyleIdx="2" presStyleCnt="5"/>
      <dgm:spPr/>
    </dgm:pt>
    <dgm:pt modelId="{CA7DE993-9E7B-4852-94A5-DF6CE3A92E60}" type="pres">
      <dgm:prSet presAssocID="{BCE25B77-F8A3-44EE-A4ED-2AA193DB5AA2}" presName="node" presStyleLbl="node1" presStyleIdx="3" presStyleCnt="6" custScaleX="292223" custScaleY="246241">
        <dgm:presLayoutVars>
          <dgm:bulletEnabled val="1"/>
        </dgm:presLayoutVars>
      </dgm:prSet>
      <dgm:spPr/>
    </dgm:pt>
    <dgm:pt modelId="{7D85C5BD-223A-45E7-B449-8137F82D3DED}" type="pres">
      <dgm:prSet presAssocID="{3D1088F9-98DC-4C7B-9B0F-8359B5574B15}" presName="sibTrans" presStyleLbl="sibTrans2D1" presStyleIdx="3" presStyleCnt="5"/>
      <dgm:spPr/>
    </dgm:pt>
    <dgm:pt modelId="{8E0D508F-8B01-480F-A9F4-0107F4F0EB50}" type="pres">
      <dgm:prSet presAssocID="{3D1088F9-98DC-4C7B-9B0F-8359B5574B15}" presName="connectorText" presStyleLbl="sibTrans2D1" presStyleIdx="3" presStyleCnt="5"/>
      <dgm:spPr/>
    </dgm:pt>
    <dgm:pt modelId="{CE6FCFC6-9DA1-4A54-B7EB-8852BAFDE76A}" type="pres">
      <dgm:prSet presAssocID="{A20869A4-FB53-40E7-B48D-AEAA5CA26DDE}" presName="node" presStyleLbl="node1" presStyleIdx="4" presStyleCnt="6" custScaleX="309510" custScaleY="354832">
        <dgm:presLayoutVars>
          <dgm:bulletEnabled val="1"/>
        </dgm:presLayoutVars>
      </dgm:prSet>
      <dgm:spPr/>
    </dgm:pt>
    <dgm:pt modelId="{D7C40A71-1A2B-4DFD-854B-55A2CF103D9F}" type="pres">
      <dgm:prSet presAssocID="{CF9D96C7-B9B3-4180-A47B-5D51042207D3}" presName="sibTrans" presStyleLbl="sibTrans2D1" presStyleIdx="4" presStyleCnt="5"/>
      <dgm:spPr/>
    </dgm:pt>
    <dgm:pt modelId="{D16941DB-C713-41ED-BA87-DD2205931D76}" type="pres">
      <dgm:prSet presAssocID="{CF9D96C7-B9B3-4180-A47B-5D51042207D3}" presName="connectorText" presStyleLbl="sibTrans2D1" presStyleIdx="4" presStyleCnt="5"/>
      <dgm:spPr/>
    </dgm:pt>
    <dgm:pt modelId="{0C07D24B-2DA8-4653-BBC1-74660A124BD4}" type="pres">
      <dgm:prSet presAssocID="{3B6B9D67-5E6E-4B60-A200-BCDF17B87E9C}" presName="node" presStyleLbl="node1" presStyleIdx="5" presStyleCnt="6" custScaleX="307794" custScaleY="401619">
        <dgm:presLayoutVars>
          <dgm:bulletEnabled val="1"/>
        </dgm:presLayoutVars>
      </dgm:prSet>
      <dgm:spPr/>
    </dgm:pt>
  </dgm:ptLst>
  <dgm:cxnLst>
    <dgm:cxn modelId="{0804060F-2250-4A4D-AC6C-FC77926BDA70}" type="presOf" srcId="{BCE25B77-F8A3-44EE-A4ED-2AA193DB5AA2}" destId="{CA7DE993-9E7B-4852-94A5-DF6CE3A92E60}" srcOrd="0" destOrd="0" presId="urn:microsoft.com/office/officeart/2005/8/layout/process2"/>
    <dgm:cxn modelId="{E1E3A514-6F14-4EBC-BD13-763C16584D4C}" type="presOf" srcId="{6DDF2ABB-4AB0-44D2-9B9A-171BCE486D2C}" destId="{AAEE04FF-87E6-40AB-A0FC-99B38D37DD1D}" srcOrd="1" destOrd="0" presId="urn:microsoft.com/office/officeart/2005/8/layout/process2"/>
    <dgm:cxn modelId="{BDCC8F2B-48EB-4DEC-A85D-E8C17E24425B}" srcId="{D2C12B37-9892-4687-928F-8F921C3F0145}" destId="{A20869A4-FB53-40E7-B48D-AEAA5CA26DDE}" srcOrd="4" destOrd="0" parTransId="{139094E9-06BD-4FCA-AC46-8E4F4333A292}" sibTransId="{CF9D96C7-B9B3-4180-A47B-5D51042207D3}"/>
    <dgm:cxn modelId="{59D53E60-B588-44F0-AC76-CE8F89E9C1A7}" type="presOf" srcId="{6DDF2ABB-4AB0-44D2-9B9A-171BCE486D2C}" destId="{D4D05623-19A7-493E-8A84-B8E450182D0C}" srcOrd="0" destOrd="0" presId="urn:microsoft.com/office/officeart/2005/8/layout/process2"/>
    <dgm:cxn modelId="{99A7AF41-059B-42B8-8003-2E816445D0C3}" type="presOf" srcId="{CF9D96C7-B9B3-4180-A47B-5D51042207D3}" destId="{D7C40A71-1A2B-4DFD-854B-55A2CF103D9F}" srcOrd="0" destOrd="0" presId="urn:microsoft.com/office/officeart/2005/8/layout/process2"/>
    <dgm:cxn modelId="{8CE63F45-69EB-4463-9CC9-9B0EB37EB1E9}" type="presOf" srcId="{3D1088F9-98DC-4C7B-9B0F-8359B5574B15}" destId="{8E0D508F-8B01-480F-A9F4-0107F4F0EB50}" srcOrd="1" destOrd="0" presId="urn:microsoft.com/office/officeart/2005/8/layout/process2"/>
    <dgm:cxn modelId="{41F7E146-0C7A-473C-9E17-86A7C139A2E4}" type="presOf" srcId="{3B6B9D67-5E6E-4B60-A200-BCDF17B87E9C}" destId="{0C07D24B-2DA8-4653-BBC1-74660A124BD4}" srcOrd="0" destOrd="0" presId="urn:microsoft.com/office/officeart/2005/8/layout/process2"/>
    <dgm:cxn modelId="{5BF8AA47-5542-48C4-9477-DE8DD16C594E}" type="presOf" srcId="{8FF71415-496B-4581-BEF9-E233E915610C}" destId="{E5E1E3B4-D302-48A5-8597-F36B244F791F}" srcOrd="0" destOrd="0" presId="urn:microsoft.com/office/officeart/2005/8/layout/process2"/>
    <dgm:cxn modelId="{BBCF256F-A833-45DF-B599-F6AA28304BA2}" type="presOf" srcId="{811F472E-4566-4AD1-B44F-6C4F1545F3F5}" destId="{3BE17A96-FFC6-4759-97BE-6BA50629DF6C}" srcOrd="0" destOrd="0" presId="urn:microsoft.com/office/officeart/2005/8/layout/process2"/>
    <dgm:cxn modelId="{06AD4A54-6851-40AC-A872-FED7CF6D3185}" type="presOf" srcId="{CF9D96C7-B9B3-4180-A47B-5D51042207D3}" destId="{D16941DB-C713-41ED-BA87-DD2205931D76}" srcOrd="1" destOrd="0" presId="urn:microsoft.com/office/officeart/2005/8/layout/process2"/>
    <dgm:cxn modelId="{B967B274-C56F-4CC3-A869-0AF395B4C0D0}" type="presOf" srcId="{811F472E-4566-4AD1-B44F-6C4F1545F3F5}" destId="{940C56FC-5237-4950-AFD5-41BE95739C15}" srcOrd="1" destOrd="0" presId="urn:microsoft.com/office/officeart/2005/8/layout/process2"/>
    <dgm:cxn modelId="{20CBE854-8651-4AE7-996B-5CD5E1076564}" srcId="{D2C12B37-9892-4687-928F-8F921C3F0145}" destId="{8FF71415-496B-4581-BEF9-E233E915610C}" srcOrd="1" destOrd="0" parTransId="{027BC193-97B4-499D-93BF-D6E1ACCD1F3B}" sibTransId="{6DDF2ABB-4AB0-44D2-9B9A-171BCE486D2C}"/>
    <dgm:cxn modelId="{5FD61D7A-800A-4F29-ADAA-8A5F6BA75E7D}" type="presOf" srcId="{3D1088F9-98DC-4C7B-9B0F-8359B5574B15}" destId="{7D85C5BD-223A-45E7-B449-8137F82D3DED}" srcOrd="0" destOrd="0" presId="urn:microsoft.com/office/officeart/2005/8/layout/process2"/>
    <dgm:cxn modelId="{C9BF2398-86BE-46A8-A4C6-BAE29AB22D21}" type="presOf" srcId="{A20869A4-FB53-40E7-B48D-AEAA5CA26DDE}" destId="{CE6FCFC6-9DA1-4A54-B7EB-8852BAFDE76A}" srcOrd="0" destOrd="0" presId="urn:microsoft.com/office/officeart/2005/8/layout/process2"/>
    <dgm:cxn modelId="{689CDB9C-DB9F-4328-9708-FA9AAE8A7239}" srcId="{D2C12B37-9892-4687-928F-8F921C3F0145}" destId="{3B6B9D67-5E6E-4B60-A200-BCDF17B87E9C}" srcOrd="5" destOrd="0" parTransId="{DEBBCA19-7299-4DEC-A228-E5D346C45311}" sibTransId="{D684FE5A-16B8-494A-837D-EA8CBAC6FDC5}"/>
    <dgm:cxn modelId="{D8A483B0-A057-4538-8244-1BD976EB2DCE}" type="presOf" srcId="{D2C12B37-9892-4687-928F-8F921C3F0145}" destId="{0E451F2B-40CD-4672-A89D-3F56F13BB8F4}" srcOrd="0" destOrd="0" presId="urn:microsoft.com/office/officeart/2005/8/layout/process2"/>
    <dgm:cxn modelId="{7DA176B1-08BB-4BCA-B516-4D21E66065FE}" type="presOf" srcId="{44B0C7C6-8E1C-4B71-B32A-AE0654121193}" destId="{91D133DC-6416-4FA6-AC59-AB9F3F299BD9}" srcOrd="1" destOrd="0" presId="urn:microsoft.com/office/officeart/2005/8/layout/process2"/>
    <dgm:cxn modelId="{184E88B7-8657-478F-8D3F-059F0C82E9FC}" type="presOf" srcId="{E4262343-0AD1-4CB6-8022-500C275480DA}" destId="{13CD7362-A1F6-4607-98EA-596D9843B312}" srcOrd="0" destOrd="0" presId="urn:microsoft.com/office/officeart/2005/8/layout/process2"/>
    <dgm:cxn modelId="{26CB56D3-DBD3-49C3-A7B9-B96B4F379F04}" srcId="{D2C12B37-9892-4687-928F-8F921C3F0145}" destId="{CC9B6260-D592-4D38-88A9-33836AB0577A}" srcOrd="2" destOrd="0" parTransId="{C44BE9A7-B6D8-4C96-8DE3-8EFD0557A67C}" sibTransId="{44B0C7C6-8E1C-4B71-B32A-AE0654121193}"/>
    <dgm:cxn modelId="{73F875D6-99A8-4FF5-86EE-6C0D7C98EF25}" srcId="{D2C12B37-9892-4687-928F-8F921C3F0145}" destId="{E4262343-0AD1-4CB6-8022-500C275480DA}" srcOrd="0" destOrd="0" parTransId="{30D55181-4B1F-488D-AE6D-719B8B0AF9A8}" sibTransId="{811F472E-4566-4AD1-B44F-6C4F1545F3F5}"/>
    <dgm:cxn modelId="{0BF266D9-4643-457A-9CFA-61DA94E3113A}" srcId="{D2C12B37-9892-4687-928F-8F921C3F0145}" destId="{BCE25B77-F8A3-44EE-A4ED-2AA193DB5AA2}" srcOrd="3" destOrd="0" parTransId="{F53FC263-C80A-47DA-9ACE-25201753C3ED}" sibTransId="{3D1088F9-98DC-4C7B-9B0F-8359B5574B15}"/>
    <dgm:cxn modelId="{86F8DCE8-7ABB-403C-BCBE-C990DDB02210}" type="presOf" srcId="{CC9B6260-D592-4D38-88A9-33836AB0577A}" destId="{18C21534-AB57-4253-9116-0335D4592F40}" srcOrd="0" destOrd="0" presId="urn:microsoft.com/office/officeart/2005/8/layout/process2"/>
    <dgm:cxn modelId="{C66D3AFA-2637-4163-8145-C8162FFB0415}" type="presOf" srcId="{44B0C7C6-8E1C-4B71-B32A-AE0654121193}" destId="{0A7F5197-2B35-4528-B014-6599834D0817}" srcOrd="0" destOrd="0" presId="urn:microsoft.com/office/officeart/2005/8/layout/process2"/>
    <dgm:cxn modelId="{04702BCB-543C-40AB-91D9-0F03F20C0194}" type="presParOf" srcId="{0E451F2B-40CD-4672-A89D-3F56F13BB8F4}" destId="{13CD7362-A1F6-4607-98EA-596D9843B312}" srcOrd="0" destOrd="0" presId="urn:microsoft.com/office/officeart/2005/8/layout/process2"/>
    <dgm:cxn modelId="{CC9A7FC7-95EE-469C-95BC-1BF953B987C0}" type="presParOf" srcId="{0E451F2B-40CD-4672-A89D-3F56F13BB8F4}" destId="{3BE17A96-FFC6-4759-97BE-6BA50629DF6C}" srcOrd="1" destOrd="0" presId="urn:microsoft.com/office/officeart/2005/8/layout/process2"/>
    <dgm:cxn modelId="{E23B7BC1-74F2-402B-93C8-0AA4941436B6}" type="presParOf" srcId="{3BE17A96-FFC6-4759-97BE-6BA50629DF6C}" destId="{940C56FC-5237-4950-AFD5-41BE95739C15}" srcOrd="0" destOrd="0" presId="urn:microsoft.com/office/officeart/2005/8/layout/process2"/>
    <dgm:cxn modelId="{A2BCB0CE-71FA-4B75-820D-27497A6E041B}" type="presParOf" srcId="{0E451F2B-40CD-4672-A89D-3F56F13BB8F4}" destId="{E5E1E3B4-D302-48A5-8597-F36B244F791F}" srcOrd="2" destOrd="0" presId="urn:microsoft.com/office/officeart/2005/8/layout/process2"/>
    <dgm:cxn modelId="{1F781228-4DEE-4C35-95E8-42D97A2693A9}" type="presParOf" srcId="{0E451F2B-40CD-4672-A89D-3F56F13BB8F4}" destId="{D4D05623-19A7-493E-8A84-B8E450182D0C}" srcOrd="3" destOrd="0" presId="urn:microsoft.com/office/officeart/2005/8/layout/process2"/>
    <dgm:cxn modelId="{9FC674C5-68BC-4D22-8EC2-A4739B0C8B11}" type="presParOf" srcId="{D4D05623-19A7-493E-8A84-B8E450182D0C}" destId="{AAEE04FF-87E6-40AB-A0FC-99B38D37DD1D}" srcOrd="0" destOrd="0" presId="urn:microsoft.com/office/officeart/2005/8/layout/process2"/>
    <dgm:cxn modelId="{1CE56FE4-F354-471B-9340-F933D89D07F6}" type="presParOf" srcId="{0E451F2B-40CD-4672-A89D-3F56F13BB8F4}" destId="{18C21534-AB57-4253-9116-0335D4592F40}" srcOrd="4" destOrd="0" presId="urn:microsoft.com/office/officeart/2005/8/layout/process2"/>
    <dgm:cxn modelId="{43BC199D-A230-43C5-B7D3-B078C670B1CE}" type="presParOf" srcId="{0E451F2B-40CD-4672-A89D-3F56F13BB8F4}" destId="{0A7F5197-2B35-4528-B014-6599834D0817}" srcOrd="5" destOrd="0" presId="urn:microsoft.com/office/officeart/2005/8/layout/process2"/>
    <dgm:cxn modelId="{95C5E3A1-13C0-48BD-AD21-35B29FA532CB}" type="presParOf" srcId="{0A7F5197-2B35-4528-B014-6599834D0817}" destId="{91D133DC-6416-4FA6-AC59-AB9F3F299BD9}" srcOrd="0" destOrd="0" presId="urn:microsoft.com/office/officeart/2005/8/layout/process2"/>
    <dgm:cxn modelId="{D25B7CBB-2082-4FAB-859A-E8E71A5E1F0D}" type="presParOf" srcId="{0E451F2B-40CD-4672-A89D-3F56F13BB8F4}" destId="{CA7DE993-9E7B-4852-94A5-DF6CE3A92E60}" srcOrd="6" destOrd="0" presId="urn:microsoft.com/office/officeart/2005/8/layout/process2"/>
    <dgm:cxn modelId="{E3422687-C8B4-4095-BEB3-FDDEF5AFD6EF}" type="presParOf" srcId="{0E451F2B-40CD-4672-A89D-3F56F13BB8F4}" destId="{7D85C5BD-223A-45E7-B449-8137F82D3DED}" srcOrd="7" destOrd="0" presId="urn:microsoft.com/office/officeart/2005/8/layout/process2"/>
    <dgm:cxn modelId="{6CFE5B59-1608-47EC-BA88-8A0B61D9D95E}" type="presParOf" srcId="{7D85C5BD-223A-45E7-B449-8137F82D3DED}" destId="{8E0D508F-8B01-480F-A9F4-0107F4F0EB50}" srcOrd="0" destOrd="0" presId="urn:microsoft.com/office/officeart/2005/8/layout/process2"/>
    <dgm:cxn modelId="{98BE964F-524F-46FC-8C0D-6212B83A940D}" type="presParOf" srcId="{0E451F2B-40CD-4672-A89D-3F56F13BB8F4}" destId="{CE6FCFC6-9DA1-4A54-B7EB-8852BAFDE76A}" srcOrd="8" destOrd="0" presId="urn:microsoft.com/office/officeart/2005/8/layout/process2"/>
    <dgm:cxn modelId="{A6BAB6E8-D708-400D-9EBA-3E3D73CDA15E}" type="presParOf" srcId="{0E451F2B-40CD-4672-A89D-3F56F13BB8F4}" destId="{D7C40A71-1A2B-4DFD-854B-55A2CF103D9F}" srcOrd="9" destOrd="0" presId="urn:microsoft.com/office/officeart/2005/8/layout/process2"/>
    <dgm:cxn modelId="{0635835F-0D4F-41F1-B2DE-F1A6E185A6F3}" type="presParOf" srcId="{D7C40A71-1A2B-4DFD-854B-55A2CF103D9F}" destId="{D16941DB-C713-41ED-BA87-DD2205931D76}" srcOrd="0" destOrd="0" presId="urn:microsoft.com/office/officeart/2005/8/layout/process2"/>
    <dgm:cxn modelId="{6ED9689A-9E9D-4B54-A114-95845241086F}" type="presParOf" srcId="{0E451F2B-40CD-4672-A89D-3F56F13BB8F4}" destId="{0C07D24B-2DA8-4653-BBC1-74660A124BD4}" srcOrd="10" destOrd="0" presId="urn:microsoft.com/office/officeart/2005/8/layout/process2"/>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BBD53F6-501B-4CEE-AB74-16AA6B9587B2}"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US"/>
        </a:p>
      </dgm:t>
    </dgm:pt>
    <dgm:pt modelId="{28000397-F190-4F61-A62E-C5AEE2A3C147}">
      <dgm:prSet/>
      <dgm:spPr>
        <a:solidFill>
          <a:srgbClr val="009999"/>
        </a:solidFill>
      </dgm:spPr>
      <dgm:t>
        <a:bodyPr/>
        <a:lstStyle/>
        <a:p>
          <a:pPr rtl="0"/>
          <a:r>
            <a:rPr lang="en-US"/>
            <a:t>Nature of study</a:t>
          </a:r>
        </a:p>
      </dgm:t>
    </dgm:pt>
    <dgm:pt modelId="{C1A55457-E968-48C4-AE70-FDC7548B01FB}" type="parTrans" cxnId="{FD3CBC4A-4D4D-4C1D-B646-8E68CC3EBDF9}">
      <dgm:prSet/>
      <dgm:spPr/>
      <dgm:t>
        <a:bodyPr/>
        <a:lstStyle/>
        <a:p>
          <a:endParaRPr lang="en-US"/>
        </a:p>
      </dgm:t>
    </dgm:pt>
    <dgm:pt modelId="{8BB3F2D0-B546-49F9-A046-BA7A0CDDC57D}" type="sibTrans" cxnId="{FD3CBC4A-4D4D-4C1D-B646-8E68CC3EBDF9}">
      <dgm:prSet/>
      <dgm:spPr/>
      <dgm:t>
        <a:bodyPr/>
        <a:lstStyle/>
        <a:p>
          <a:endParaRPr lang="en-US"/>
        </a:p>
      </dgm:t>
    </dgm:pt>
    <dgm:pt modelId="{F6072770-14CE-4E84-835E-4E20B06FC83A}">
      <dgm:prSet/>
      <dgm:spPr/>
      <dgm:t>
        <a:bodyPr/>
        <a:lstStyle/>
        <a:p>
          <a:pPr rtl="0"/>
          <a:r>
            <a:rPr lang="en-US"/>
            <a:t>Secondary research using publicly available publications—no new human data collected; formal participant consent not required.</a:t>
          </a:r>
        </a:p>
      </dgm:t>
    </dgm:pt>
    <dgm:pt modelId="{FD8F5A54-1967-482B-9E12-7119A9AFE764}" type="parTrans" cxnId="{280117C8-37B1-4F22-BAC3-1EA0ED990BC9}">
      <dgm:prSet/>
      <dgm:spPr/>
      <dgm:t>
        <a:bodyPr/>
        <a:lstStyle/>
        <a:p>
          <a:endParaRPr lang="en-US"/>
        </a:p>
      </dgm:t>
    </dgm:pt>
    <dgm:pt modelId="{849A6422-3CFF-42D7-8D17-CCDBB091CC56}" type="sibTrans" cxnId="{280117C8-37B1-4F22-BAC3-1EA0ED990BC9}">
      <dgm:prSet/>
      <dgm:spPr/>
      <dgm:t>
        <a:bodyPr/>
        <a:lstStyle/>
        <a:p>
          <a:endParaRPr lang="en-US"/>
        </a:p>
      </dgm:t>
    </dgm:pt>
    <dgm:pt modelId="{8E246F7A-6559-4E7C-9016-4A45C6BD9526}">
      <dgm:prSet/>
      <dgm:spPr>
        <a:solidFill>
          <a:srgbClr val="009999"/>
        </a:solidFill>
      </dgm:spPr>
      <dgm:t>
        <a:bodyPr/>
        <a:lstStyle/>
        <a:p>
          <a:pPr rtl="0"/>
          <a:r>
            <a:rPr lang="en-US"/>
            <a:t>Integrity &amp; attribution</a:t>
          </a:r>
        </a:p>
      </dgm:t>
    </dgm:pt>
    <dgm:pt modelId="{38D28444-A73E-49D6-AA0A-C27734187BDE}" type="parTrans" cxnId="{1834C1DA-D5AF-4B15-812E-C68CC3121A06}">
      <dgm:prSet/>
      <dgm:spPr/>
      <dgm:t>
        <a:bodyPr/>
        <a:lstStyle/>
        <a:p>
          <a:endParaRPr lang="en-US"/>
        </a:p>
      </dgm:t>
    </dgm:pt>
    <dgm:pt modelId="{41A8AC25-CAB3-4CBD-A4E5-4FB968543DDE}" type="sibTrans" cxnId="{1834C1DA-D5AF-4B15-812E-C68CC3121A06}">
      <dgm:prSet/>
      <dgm:spPr/>
      <dgm:t>
        <a:bodyPr/>
        <a:lstStyle/>
        <a:p>
          <a:endParaRPr lang="en-US"/>
        </a:p>
      </dgm:t>
    </dgm:pt>
    <dgm:pt modelId="{6CB74C1D-F3B0-40E6-B53C-567D4B904AF8}">
      <dgm:prSet/>
      <dgm:spPr/>
      <dgm:t>
        <a:bodyPr/>
        <a:lstStyle/>
        <a:p>
          <a:pPr rtl="0"/>
          <a:r>
            <a:rPr lang="en-US"/>
            <a:t>Accurate representation of findings; consistent Harvard citation; avoidance of plagiarism and selective reporting.</a:t>
          </a:r>
        </a:p>
      </dgm:t>
    </dgm:pt>
    <dgm:pt modelId="{BBD1CE0A-5BE1-4A4B-8A6A-C003AAF6DED0}" type="parTrans" cxnId="{ACB7D39D-2955-45AE-AA4E-8AA7433C8ACA}">
      <dgm:prSet/>
      <dgm:spPr/>
      <dgm:t>
        <a:bodyPr/>
        <a:lstStyle/>
        <a:p>
          <a:endParaRPr lang="en-US"/>
        </a:p>
      </dgm:t>
    </dgm:pt>
    <dgm:pt modelId="{695D4767-958A-41AE-832D-39661B0894CE}" type="sibTrans" cxnId="{ACB7D39D-2955-45AE-AA4E-8AA7433C8ACA}">
      <dgm:prSet/>
      <dgm:spPr/>
      <dgm:t>
        <a:bodyPr/>
        <a:lstStyle/>
        <a:p>
          <a:endParaRPr lang="en-US"/>
        </a:p>
      </dgm:t>
    </dgm:pt>
    <dgm:pt modelId="{4C3E9733-D9F7-4BA9-BB28-D4EB74681317}">
      <dgm:prSet/>
      <dgm:spPr>
        <a:solidFill>
          <a:srgbClr val="009999"/>
        </a:solidFill>
      </dgm:spPr>
      <dgm:t>
        <a:bodyPr/>
        <a:lstStyle/>
        <a:p>
          <a:pPr rtl="0"/>
          <a:r>
            <a:rPr lang="en-US"/>
            <a:t>Quality &amp; transparency</a:t>
          </a:r>
        </a:p>
      </dgm:t>
    </dgm:pt>
    <dgm:pt modelId="{884E675D-01BA-4BAE-B2ED-5D9F0A0EAA56}" type="parTrans" cxnId="{3A1A8AEC-2E71-4545-A2C4-B9FCF47AA4E0}">
      <dgm:prSet/>
      <dgm:spPr/>
      <dgm:t>
        <a:bodyPr/>
        <a:lstStyle/>
        <a:p>
          <a:endParaRPr lang="en-US"/>
        </a:p>
      </dgm:t>
    </dgm:pt>
    <dgm:pt modelId="{32A8446D-D3A0-4A18-8995-1BF8C89CAD36}" type="sibTrans" cxnId="{3A1A8AEC-2E71-4545-A2C4-B9FCF47AA4E0}">
      <dgm:prSet/>
      <dgm:spPr/>
      <dgm:t>
        <a:bodyPr/>
        <a:lstStyle/>
        <a:p>
          <a:endParaRPr lang="en-US"/>
        </a:p>
      </dgm:t>
    </dgm:pt>
    <dgm:pt modelId="{F3402392-B9E2-4253-8F8A-615634325941}">
      <dgm:prSet/>
      <dgm:spPr/>
      <dgm:t>
        <a:bodyPr/>
        <a:lstStyle/>
        <a:p>
          <a:pPr rtl="0"/>
          <a:r>
            <a:rPr lang="en-US"/>
            <a:t>Use of predefined protocol, PRISMA-style screening, and clear inclusion/exclusion to reduce bias; audit trail of search logs/decisions.</a:t>
          </a:r>
        </a:p>
      </dgm:t>
    </dgm:pt>
    <dgm:pt modelId="{D7B86816-7D03-4645-B0DB-366DEF5EA0FF}" type="parTrans" cxnId="{489BD732-6FA1-45C8-84EF-2DC385FECA4A}">
      <dgm:prSet/>
      <dgm:spPr/>
      <dgm:t>
        <a:bodyPr/>
        <a:lstStyle/>
        <a:p>
          <a:endParaRPr lang="en-US"/>
        </a:p>
      </dgm:t>
    </dgm:pt>
    <dgm:pt modelId="{370322F6-0665-42CE-90A6-AA44763939F9}" type="sibTrans" cxnId="{489BD732-6FA1-45C8-84EF-2DC385FECA4A}">
      <dgm:prSet/>
      <dgm:spPr/>
      <dgm:t>
        <a:bodyPr/>
        <a:lstStyle/>
        <a:p>
          <a:endParaRPr lang="en-US"/>
        </a:p>
      </dgm:t>
    </dgm:pt>
    <dgm:pt modelId="{E270558B-3C21-4308-9C46-5E92A8D2303F}">
      <dgm:prSet/>
      <dgm:spPr>
        <a:solidFill>
          <a:srgbClr val="009999"/>
        </a:solidFill>
      </dgm:spPr>
      <dgm:t>
        <a:bodyPr/>
        <a:lstStyle/>
        <a:p>
          <a:pPr rtl="0"/>
          <a:r>
            <a:rPr lang="en-US"/>
            <a:t>Sensitivity</a:t>
          </a:r>
        </a:p>
      </dgm:t>
    </dgm:pt>
    <dgm:pt modelId="{DFEC1AEC-FE76-40DB-8550-9F4DD359237C}" type="parTrans" cxnId="{F253F94E-902E-4D60-953B-2C827880F37D}">
      <dgm:prSet/>
      <dgm:spPr/>
      <dgm:t>
        <a:bodyPr/>
        <a:lstStyle/>
        <a:p>
          <a:endParaRPr lang="en-US"/>
        </a:p>
      </dgm:t>
    </dgm:pt>
    <dgm:pt modelId="{86FF7671-3FD8-4701-8433-28D4B86A6806}" type="sibTrans" cxnId="{F253F94E-902E-4D60-953B-2C827880F37D}">
      <dgm:prSet/>
      <dgm:spPr/>
      <dgm:t>
        <a:bodyPr/>
        <a:lstStyle/>
        <a:p>
          <a:endParaRPr lang="en-US"/>
        </a:p>
      </dgm:t>
    </dgm:pt>
    <dgm:pt modelId="{FC512CC5-5C57-4033-A4AA-1C15B2F577BD}">
      <dgm:prSet/>
      <dgm:spPr/>
      <dgm:t>
        <a:bodyPr/>
        <a:lstStyle/>
        <a:p>
          <a:pPr rtl="0"/>
          <a:r>
            <a:rPr lang="en-US"/>
            <a:t>Respectful synthesis of distressing/moral-injury narratives; avoid sensationalism and de-identification where case vignettes appear.</a:t>
          </a:r>
        </a:p>
      </dgm:t>
    </dgm:pt>
    <dgm:pt modelId="{3FF0D6E1-0DA7-405C-89C3-285DB1DA67A9}" type="parTrans" cxnId="{F1773073-1E07-4977-96BC-B79079DB1539}">
      <dgm:prSet/>
      <dgm:spPr/>
      <dgm:t>
        <a:bodyPr/>
        <a:lstStyle/>
        <a:p>
          <a:endParaRPr lang="en-US"/>
        </a:p>
      </dgm:t>
    </dgm:pt>
    <dgm:pt modelId="{7E153EAC-3B83-4CB7-8F30-4F8E1839F30C}" type="sibTrans" cxnId="{F1773073-1E07-4977-96BC-B79079DB1539}">
      <dgm:prSet/>
      <dgm:spPr/>
      <dgm:t>
        <a:bodyPr/>
        <a:lstStyle/>
        <a:p>
          <a:endParaRPr lang="en-US"/>
        </a:p>
      </dgm:t>
    </dgm:pt>
    <dgm:pt modelId="{59FDE8CE-47F6-480A-B802-2DF30D8A7AED}">
      <dgm:prSet/>
      <dgm:spPr>
        <a:solidFill>
          <a:srgbClr val="009999"/>
        </a:solidFill>
      </dgm:spPr>
      <dgm:t>
        <a:bodyPr/>
        <a:lstStyle/>
        <a:p>
          <a:pPr rtl="0"/>
          <a:r>
            <a:rPr lang="en-US"/>
            <a:t>Equity &amp; balance</a:t>
          </a:r>
        </a:p>
      </dgm:t>
    </dgm:pt>
    <dgm:pt modelId="{613475E6-55EF-4A00-896A-906208F1C446}" type="parTrans" cxnId="{4D85A2B8-CBBB-4863-8E00-C5FC02EA8535}">
      <dgm:prSet/>
      <dgm:spPr/>
      <dgm:t>
        <a:bodyPr/>
        <a:lstStyle/>
        <a:p>
          <a:endParaRPr lang="en-US"/>
        </a:p>
      </dgm:t>
    </dgm:pt>
    <dgm:pt modelId="{C8FC7405-35D6-42C8-A84F-FBB7EE6B6144}" type="sibTrans" cxnId="{4D85A2B8-CBBB-4863-8E00-C5FC02EA8535}">
      <dgm:prSet/>
      <dgm:spPr/>
      <dgm:t>
        <a:bodyPr/>
        <a:lstStyle/>
        <a:p>
          <a:endParaRPr lang="en-US"/>
        </a:p>
      </dgm:t>
    </dgm:pt>
    <dgm:pt modelId="{34E83B0A-16FD-4F0E-81F2-9DC179FE83C0}">
      <dgm:prSet/>
      <dgm:spPr/>
      <dgm:t>
        <a:bodyPr/>
        <a:lstStyle/>
        <a:p>
          <a:pPr rtl="0"/>
          <a:r>
            <a:rPr lang="en-US"/>
            <a:t>Include diverse UK settings/roles to minimise bias; report limitations.</a:t>
          </a:r>
        </a:p>
      </dgm:t>
    </dgm:pt>
    <dgm:pt modelId="{568B411B-2B34-44DD-B07B-8FC1C163EDE2}" type="parTrans" cxnId="{3D21448D-B343-434D-BFA3-13F73A62BDA1}">
      <dgm:prSet/>
      <dgm:spPr/>
      <dgm:t>
        <a:bodyPr/>
        <a:lstStyle/>
        <a:p>
          <a:endParaRPr lang="en-US"/>
        </a:p>
      </dgm:t>
    </dgm:pt>
    <dgm:pt modelId="{7EA82CC1-DD85-497F-9770-A03085F4B389}" type="sibTrans" cxnId="{3D21448D-B343-434D-BFA3-13F73A62BDA1}">
      <dgm:prSet/>
      <dgm:spPr/>
      <dgm:t>
        <a:bodyPr/>
        <a:lstStyle/>
        <a:p>
          <a:endParaRPr lang="en-US"/>
        </a:p>
      </dgm:t>
    </dgm:pt>
    <dgm:pt modelId="{96BB1A8E-35E0-4E2B-A0D8-FE784219DA95}">
      <dgm:prSet/>
      <dgm:spPr>
        <a:solidFill>
          <a:srgbClr val="009999"/>
        </a:solidFill>
      </dgm:spPr>
      <dgm:t>
        <a:bodyPr/>
        <a:lstStyle/>
        <a:p>
          <a:pPr rtl="0"/>
          <a:r>
            <a:rPr lang="en-US"/>
            <a:t>Copyright &amp; access</a:t>
          </a:r>
        </a:p>
      </dgm:t>
    </dgm:pt>
    <dgm:pt modelId="{2DA42733-7BF2-4EE4-884C-4897D12C11DF}" type="parTrans" cxnId="{CCE18FCF-70E3-4B21-BC85-C64B1AB40736}">
      <dgm:prSet/>
      <dgm:spPr/>
      <dgm:t>
        <a:bodyPr/>
        <a:lstStyle/>
        <a:p>
          <a:endParaRPr lang="en-US"/>
        </a:p>
      </dgm:t>
    </dgm:pt>
    <dgm:pt modelId="{311600FD-F830-4BD1-8055-B04BC3C910E1}" type="sibTrans" cxnId="{CCE18FCF-70E3-4B21-BC85-C64B1AB40736}">
      <dgm:prSet/>
      <dgm:spPr/>
      <dgm:t>
        <a:bodyPr/>
        <a:lstStyle/>
        <a:p>
          <a:endParaRPr lang="en-US"/>
        </a:p>
      </dgm:t>
    </dgm:pt>
    <dgm:pt modelId="{43324EF2-DADD-4EC5-AE9D-219CCC94EC34}">
      <dgm:prSet/>
      <dgm:spPr/>
      <dgm:t>
        <a:bodyPr/>
        <a:lstStyle/>
        <a:p>
          <a:pPr rtl="0"/>
          <a:r>
            <a:rPr lang="en-US"/>
            <a:t>Use legal/open-access sources; quote minimally and fairly.</a:t>
          </a:r>
        </a:p>
      </dgm:t>
    </dgm:pt>
    <dgm:pt modelId="{E54B6AA2-54DA-4396-AC8B-FFCCB8ABA345}" type="parTrans" cxnId="{DDEC4275-A40F-4C07-A849-3AD14D0A934B}">
      <dgm:prSet/>
      <dgm:spPr/>
      <dgm:t>
        <a:bodyPr/>
        <a:lstStyle/>
        <a:p>
          <a:endParaRPr lang="en-US"/>
        </a:p>
      </dgm:t>
    </dgm:pt>
    <dgm:pt modelId="{0EB839C3-EDDB-41F0-BBC9-B8A1DABA97ED}" type="sibTrans" cxnId="{DDEC4275-A40F-4C07-A849-3AD14D0A934B}">
      <dgm:prSet/>
      <dgm:spPr/>
      <dgm:t>
        <a:bodyPr/>
        <a:lstStyle/>
        <a:p>
          <a:endParaRPr lang="en-US"/>
        </a:p>
      </dgm:t>
    </dgm:pt>
    <dgm:pt modelId="{D3FABBCA-321A-4509-8325-02F480C8FE51}">
      <dgm:prSet/>
      <dgm:spPr>
        <a:solidFill>
          <a:srgbClr val="009999"/>
        </a:solidFill>
      </dgm:spPr>
      <dgm:t>
        <a:bodyPr/>
        <a:lstStyle/>
        <a:p>
          <a:pPr rtl="0"/>
          <a:r>
            <a:rPr lang="en-US"/>
            <a:t>Reflexivity</a:t>
          </a:r>
        </a:p>
      </dgm:t>
    </dgm:pt>
    <dgm:pt modelId="{BCF90494-A6A2-4834-BBF0-390FEE1C4302}" type="parTrans" cxnId="{EBADF189-4798-4EDD-9EAD-0F9CC29D02D5}">
      <dgm:prSet/>
      <dgm:spPr/>
      <dgm:t>
        <a:bodyPr/>
        <a:lstStyle/>
        <a:p>
          <a:endParaRPr lang="en-US"/>
        </a:p>
      </dgm:t>
    </dgm:pt>
    <dgm:pt modelId="{2F1CDE65-D8FF-4F94-8193-7E2AE6CAA2CF}" type="sibTrans" cxnId="{EBADF189-4798-4EDD-9EAD-0F9CC29D02D5}">
      <dgm:prSet/>
      <dgm:spPr/>
      <dgm:t>
        <a:bodyPr/>
        <a:lstStyle/>
        <a:p>
          <a:endParaRPr lang="en-US"/>
        </a:p>
      </dgm:t>
    </dgm:pt>
    <dgm:pt modelId="{FDD3B6CE-F7A0-4618-91C7-43A32D03BCEF}">
      <dgm:prSet/>
      <dgm:spPr/>
      <dgm:t>
        <a:bodyPr/>
        <a:lstStyle/>
        <a:p>
          <a:pPr rtl="0"/>
          <a:r>
            <a:rPr lang="en-US"/>
            <a:t>Acknowledge researcher assumptions and potential confirmation bias.</a:t>
          </a:r>
        </a:p>
      </dgm:t>
    </dgm:pt>
    <dgm:pt modelId="{8C3F5628-27FD-4566-B977-C366AA0BE688}" type="parTrans" cxnId="{AE92A92D-309F-467E-B287-692ACDEBC572}">
      <dgm:prSet/>
      <dgm:spPr/>
      <dgm:t>
        <a:bodyPr/>
        <a:lstStyle/>
        <a:p>
          <a:endParaRPr lang="en-US"/>
        </a:p>
      </dgm:t>
    </dgm:pt>
    <dgm:pt modelId="{38F406B8-170A-44E5-B902-C19296FAAFF5}" type="sibTrans" cxnId="{AE92A92D-309F-467E-B287-692ACDEBC572}">
      <dgm:prSet/>
      <dgm:spPr/>
      <dgm:t>
        <a:bodyPr/>
        <a:lstStyle/>
        <a:p>
          <a:endParaRPr lang="en-US"/>
        </a:p>
      </dgm:t>
    </dgm:pt>
    <dgm:pt modelId="{4D415D39-11E7-4697-8E58-9ACC5C3BB5A3}" type="pres">
      <dgm:prSet presAssocID="{4BBD53F6-501B-4CEE-AB74-16AA6B9587B2}" presName="Name0" presStyleCnt="0">
        <dgm:presLayoutVars>
          <dgm:dir/>
          <dgm:animLvl val="lvl"/>
          <dgm:resizeHandles val="exact"/>
        </dgm:presLayoutVars>
      </dgm:prSet>
      <dgm:spPr/>
    </dgm:pt>
    <dgm:pt modelId="{B47490D0-12FF-4C09-A872-932E8C32E4CF}" type="pres">
      <dgm:prSet presAssocID="{28000397-F190-4F61-A62E-C5AEE2A3C147}" presName="linNode" presStyleCnt="0"/>
      <dgm:spPr/>
    </dgm:pt>
    <dgm:pt modelId="{8A638836-E5A8-49C2-AD81-7CE5BA4FBB07}" type="pres">
      <dgm:prSet presAssocID="{28000397-F190-4F61-A62E-C5AEE2A3C147}" presName="parentText" presStyleLbl="node1" presStyleIdx="0" presStyleCnt="7">
        <dgm:presLayoutVars>
          <dgm:chMax val="1"/>
          <dgm:bulletEnabled val="1"/>
        </dgm:presLayoutVars>
      </dgm:prSet>
      <dgm:spPr/>
    </dgm:pt>
    <dgm:pt modelId="{2C258787-5B02-45FD-B8EA-0D1D35F9CCFF}" type="pres">
      <dgm:prSet presAssocID="{28000397-F190-4F61-A62E-C5AEE2A3C147}" presName="descendantText" presStyleLbl="alignAccFollowNode1" presStyleIdx="0" presStyleCnt="7">
        <dgm:presLayoutVars>
          <dgm:bulletEnabled val="1"/>
        </dgm:presLayoutVars>
      </dgm:prSet>
      <dgm:spPr/>
    </dgm:pt>
    <dgm:pt modelId="{F4BF10D2-7319-408F-A7DA-A5C492877F0A}" type="pres">
      <dgm:prSet presAssocID="{8BB3F2D0-B546-49F9-A046-BA7A0CDDC57D}" presName="sp" presStyleCnt="0"/>
      <dgm:spPr/>
    </dgm:pt>
    <dgm:pt modelId="{86A22692-A014-47F0-95A2-433D40D0D8F2}" type="pres">
      <dgm:prSet presAssocID="{8E246F7A-6559-4E7C-9016-4A45C6BD9526}" presName="linNode" presStyleCnt="0"/>
      <dgm:spPr/>
    </dgm:pt>
    <dgm:pt modelId="{4F696ACF-0380-4A73-AC19-62BE37ECAFA3}" type="pres">
      <dgm:prSet presAssocID="{8E246F7A-6559-4E7C-9016-4A45C6BD9526}" presName="parentText" presStyleLbl="node1" presStyleIdx="1" presStyleCnt="7">
        <dgm:presLayoutVars>
          <dgm:chMax val="1"/>
          <dgm:bulletEnabled val="1"/>
        </dgm:presLayoutVars>
      </dgm:prSet>
      <dgm:spPr/>
    </dgm:pt>
    <dgm:pt modelId="{804BC161-BF33-419E-99E1-DEB30285FF2A}" type="pres">
      <dgm:prSet presAssocID="{8E246F7A-6559-4E7C-9016-4A45C6BD9526}" presName="descendantText" presStyleLbl="alignAccFollowNode1" presStyleIdx="1" presStyleCnt="7">
        <dgm:presLayoutVars>
          <dgm:bulletEnabled val="1"/>
        </dgm:presLayoutVars>
      </dgm:prSet>
      <dgm:spPr/>
    </dgm:pt>
    <dgm:pt modelId="{D819EE06-73CF-426B-8F50-3161E65573AE}" type="pres">
      <dgm:prSet presAssocID="{41A8AC25-CAB3-4CBD-A4E5-4FB968543DDE}" presName="sp" presStyleCnt="0"/>
      <dgm:spPr/>
    </dgm:pt>
    <dgm:pt modelId="{D9337FFA-236D-4175-947C-B17351CB40AD}" type="pres">
      <dgm:prSet presAssocID="{4C3E9733-D9F7-4BA9-BB28-D4EB74681317}" presName="linNode" presStyleCnt="0"/>
      <dgm:spPr/>
    </dgm:pt>
    <dgm:pt modelId="{A24BD147-143B-47BB-9927-46556D5AA353}" type="pres">
      <dgm:prSet presAssocID="{4C3E9733-D9F7-4BA9-BB28-D4EB74681317}" presName="parentText" presStyleLbl="node1" presStyleIdx="2" presStyleCnt="7">
        <dgm:presLayoutVars>
          <dgm:chMax val="1"/>
          <dgm:bulletEnabled val="1"/>
        </dgm:presLayoutVars>
      </dgm:prSet>
      <dgm:spPr/>
    </dgm:pt>
    <dgm:pt modelId="{B2BF53FB-16A1-4C74-A9AE-B8629A45513A}" type="pres">
      <dgm:prSet presAssocID="{4C3E9733-D9F7-4BA9-BB28-D4EB74681317}" presName="descendantText" presStyleLbl="alignAccFollowNode1" presStyleIdx="2" presStyleCnt="7">
        <dgm:presLayoutVars>
          <dgm:bulletEnabled val="1"/>
        </dgm:presLayoutVars>
      </dgm:prSet>
      <dgm:spPr/>
    </dgm:pt>
    <dgm:pt modelId="{5DB4A097-FF2A-422C-B1F0-FC5BFCC67D1F}" type="pres">
      <dgm:prSet presAssocID="{32A8446D-D3A0-4A18-8995-1BF8C89CAD36}" presName="sp" presStyleCnt="0"/>
      <dgm:spPr/>
    </dgm:pt>
    <dgm:pt modelId="{A6B61EC0-A9A9-4476-B9AC-86832363D294}" type="pres">
      <dgm:prSet presAssocID="{E270558B-3C21-4308-9C46-5E92A8D2303F}" presName="linNode" presStyleCnt="0"/>
      <dgm:spPr/>
    </dgm:pt>
    <dgm:pt modelId="{BD744D8B-0429-4B13-BE84-F702F8940636}" type="pres">
      <dgm:prSet presAssocID="{E270558B-3C21-4308-9C46-5E92A8D2303F}" presName="parentText" presStyleLbl="node1" presStyleIdx="3" presStyleCnt="7">
        <dgm:presLayoutVars>
          <dgm:chMax val="1"/>
          <dgm:bulletEnabled val="1"/>
        </dgm:presLayoutVars>
      </dgm:prSet>
      <dgm:spPr/>
    </dgm:pt>
    <dgm:pt modelId="{62E89A81-C667-4CB9-826B-92478EA6D68F}" type="pres">
      <dgm:prSet presAssocID="{E270558B-3C21-4308-9C46-5E92A8D2303F}" presName="descendantText" presStyleLbl="alignAccFollowNode1" presStyleIdx="3" presStyleCnt="7">
        <dgm:presLayoutVars>
          <dgm:bulletEnabled val="1"/>
        </dgm:presLayoutVars>
      </dgm:prSet>
      <dgm:spPr/>
    </dgm:pt>
    <dgm:pt modelId="{265C78C3-60EF-4C6E-9934-A975F105C221}" type="pres">
      <dgm:prSet presAssocID="{86FF7671-3FD8-4701-8433-28D4B86A6806}" presName="sp" presStyleCnt="0"/>
      <dgm:spPr/>
    </dgm:pt>
    <dgm:pt modelId="{A9A7A581-F7CE-4B20-B8A7-8F3E00DC1E17}" type="pres">
      <dgm:prSet presAssocID="{59FDE8CE-47F6-480A-B802-2DF30D8A7AED}" presName="linNode" presStyleCnt="0"/>
      <dgm:spPr/>
    </dgm:pt>
    <dgm:pt modelId="{FF15D100-8743-4F20-953D-847249554C09}" type="pres">
      <dgm:prSet presAssocID="{59FDE8CE-47F6-480A-B802-2DF30D8A7AED}" presName="parentText" presStyleLbl="node1" presStyleIdx="4" presStyleCnt="7">
        <dgm:presLayoutVars>
          <dgm:chMax val="1"/>
          <dgm:bulletEnabled val="1"/>
        </dgm:presLayoutVars>
      </dgm:prSet>
      <dgm:spPr/>
    </dgm:pt>
    <dgm:pt modelId="{261278D9-D960-4259-B079-6EE5922268B6}" type="pres">
      <dgm:prSet presAssocID="{59FDE8CE-47F6-480A-B802-2DF30D8A7AED}" presName="descendantText" presStyleLbl="alignAccFollowNode1" presStyleIdx="4" presStyleCnt="7">
        <dgm:presLayoutVars>
          <dgm:bulletEnabled val="1"/>
        </dgm:presLayoutVars>
      </dgm:prSet>
      <dgm:spPr/>
    </dgm:pt>
    <dgm:pt modelId="{327ACBFA-E161-4E40-965F-2225AB3C62CC}" type="pres">
      <dgm:prSet presAssocID="{C8FC7405-35D6-42C8-A84F-FBB7EE6B6144}" presName="sp" presStyleCnt="0"/>
      <dgm:spPr/>
    </dgm:pt>
    <dgm:pt modelId="{63FD4B01-627F-47C1-AFA6-3EC7BAFBB2D8}" type="pres">
      <dgm:prSet presAssocID="{96BB1A8E-35E0-4E2B-A0D8-FE784219DA95}" presName="linNode" presStyleCnt="0"/>
      <dgm:spPr/>
    </dgm:pt>
    <dgm:pt modelId="{A76BCEFC-4898-4DDD-BF5F-E34B0803D15F}" type="pres">
      <dgm:prSet presAssocID="{96BB1A8E-35E0-4E2B-A0D8-FE784219DA95}" presName="parentText" presStyleLbl="node1" presStyleIdx="5" presStyleCnt="7">
        <dgm:presLayoutVars>
          <dgm:chMax val="1"/>
          <dgm:bulletEnabled val="1"/>
        </dgm:presLayoutVars>
      </dgm:prSet>
      <dgm:spPr/>
    </dgm:pt>
    <dgm:pt modelId="{E245FCA7-6351-4343-863E-0E8966DCBC92}" type="pres">
      <dgm:prSet presAssocID="{96BB1A8E-35E0-4E2B-A0D8-FE784219DA95}" presName="descendantText" presStyleLbl="alignAccFollowNode1" presStyleIdx="5" presStyleCnt="7">
        <dgm:presLayoutVars>
          <dgm:bulletEnabled val="1"/>
        </dgm:presLayoutVars>
      </dgm:prSet>
      <dgm:spPr/>
    </dgm:pt>
    <dgm:pt modelId="{35B28CB4-621F-4903-A3A6-A4F56D3922E8}" type="pres">
      <dgm:prSet presAssocID="{311600FD-F830-4BD1-8055-B04BC3C910E1}" presName="sp" presStyleCnt="0"/>
      <dgm:spPr/>
    </dgm:pt>
    <dgm:pt modelId="{852B222B-8BA9-42AC-8A43-FBE776E090C5}" type="pres">
      <dgm:prSet presAssocID="{D3FABBCA-321A-4509-8325-02F480C8FE51}" presName="linNode" presStyleCnt="0"/>
      <dgm:spPr/>
    </dgm:pt>
    <dgm:pt modelId="{5A2AA842-5507-4CCA-9158-C88823702BA1}" type="pres">
      <dgm:prSet presAssocID="{D3FABBCA-321A-4509-8325-02F480C8FE51}" presName="parentText" presStyleLbl="node1" presStyleIdx="6" presStyleCnt="7">
        <dgm:presLayoutVars>
          <dgm:chMax val="1"/>
          <dgm:bulletEnabled val="1"/>
        </dgm:presLayoutVars>
      </dgm:prSet>
      <dgm:spPr/>
    </dgm:pt>
    <dgm:pt modelId="{41F39E2A-37D6-4819-B855-EB7978AE1D39}" type="pres">
      <dgm:prSet presAssocID="{D3FABBCA-321A-4509-8325-02F480C8FE51}" presName="descendantText" presStyleLbl="alignAccFollowNode1" presStyleIdx="6" presStyleCnt="7">
        <dgm:presLayoutVars>
          <dgm:bulletEnabled val="1"/>
        </dgm:presLayoutVars>
      </dgm:prSet>
      <dgm:spPr/>
    </dgm:pt>
  </dgm:ptLst>
  <dgm:cxnLst>
    <dgm:cxn modelId="{805DFC04-E6F4-4DF3-AF4C-A3EC65D4E301}" type="presOf" srcId="{28000397-F190-4F61-A62E-C5AEE2A3C147}" destId="{8A638836-E5A8-49C2-AD81-7CE5BA4FBB07}" srcOrd="0" destOrd="0" presId="urn:microsoft.com/office/officeart/2005/8/layout/vList5"/>
    <dgm:cxn modelId="{80F0ED0A-AD03-433D-88A5-A3EB7C9D51DE}" type="presOf" srcId="{43324EF2-DADD-4EC5-AE9D-219CCC94EC34}" destId="{E245FCA7-6351-4343-863E-0E8966DCBC92}" srcOrd="0" destOrd="0" presId="urn:microsoft.com/office/officeart/2005/8/layout/vList5"/>
    <dgm:cxn modelId="{FED5650F-6D07-422C-B947-FB58D5FB0AC1}" type="presOf" srcId="{6CB74C1D-F3B0-40E6-B53C-567D4B904AF8}" destId="{804BC161-BF33-419E-99E1-DEB30285FF2A}" srcOrd="0" destOrd="0" presId="urn:microsoft.com/office/officeart/2005/8/layout/vList5"/>
    <dgm:cxn modelId="{1301D11A-835E-4237-A205-474AE38A0035}" type="presOf" srcId="{59FDE8CE-47F6-480A-B802-2DF30D8A7AED}" destId="{FF15D100-8743-4F20-953D-847249554C09}" srcOrd="0" destOrd="0" presId="urn:microsoft.com/office/officeart/2005/8/layout/vList5"/>
    <dgm:cxn modelId="{2454011E-27C1-4DEA-A0CB-34793FB75771}" type="presOf" srcId="{4BBD53F6-501B-4CEE-AB74-16AA6B9587B2}" destId="{4D415D39-11E7-4697-8E58-9ACC5C3BB5A3}" srcOrd="0" destOrd="0" presId="urn:microsoft.com/office/officeart/2005/8/layout/vList5"/>
    <dgm:cxn modelId="{AE92A92D-309F-467E-B287-692ACDEBC572}" srcId="{D3FABBCA-321A-4509-8325-02F480C8FE51}" destId="{FDD3B6CE-F7A0-4618-91C7-43A32D03BCEF}" srcOrd="0" destOrd="0" parTransId="{8C3F5628-27FD-4566-B977-C366AA0BE688}" sibTransId="{38F406B8-170A-44E5-B902-C19296FAAFF5}"/>
    <dgm:cxn modelId="{489BD732-6FA1-45C8-84EF-2DC385FECA4A}" srcId="{4C3E9733-D9F7-4BA9-BB28-D4EB74681317}" destId="{F3402392-B9E2-4253-8F8A-615634325941}" srcOrd="0" destOrd="0" parTransId="{D7B86816-7D03-4645-B0DB-366DEF5EA0FF}" sibTransId="{370322F6-0665-42CE-90A6-AA44763939F9}"/>
    <dgm:cxn modelId="{8E1FAC37-E081-4691-BD37-7F0487A3FD61}" type="presOf" srcId="{F6072770-14CE-4E84-835E-4E20B06FC83A}" destId="{2C258787-5B02-45FD-B8EA-0D1D35F9CCFF}" srcOrd="0" destOrd="0" presId="urn:microsoft.com/office/officeart/2005/8/layout/vList5"/>
    <dgm:cxn modelId="{071AEF3A-8E95-4376-86FE-CB15DC4FA6C2}" type="presOf" srcId="{96BB1A8E-35E0-4E2B-A0D8-FE784219DA95}" destId="{A76BCEFC-4898-4DDD-BF5F-E34B0803D15F}" srcOrd="0" destOrd="0" presId="urn:microsoft.com/office/officeart/2005/8/layout/vList5"/>
    <dgm:cxn modelId="{5E70CA44-23C2-4C14-9F43-21F6EB470736}" type="presOf" srcId="{4C3E9733-D9F7-4BA9-BB28-D4EB74681317}" destId="{A24BD147-143B-47BB-9927-46556D5AA353}" srcOrd="0" destOrd="0" presId="urn:microsoft.com/office/officeart/2005/8/layout/vList5"/>
    <dgm:cxn modelId="{FD3CBC4A-4D4D-4C1D-B646-8E68CC3EBDF9}" srcId="{4BBD53F6-501B-4CEE-AB74-16AA6B9587B2}" destId="{28000397-F190-4F61-A62E-C5AEE2A3C147}" srcOrd="0" destOrd="0" parTransId="{C1A55457-E968-48C4-AE70-FDC7548B01FB}" sibTransId="{8BB3F2D0-B546-49F9-A046-BA7A0CDDC57D}"/>
    <dgm:cxn modelId="{F253F94E-902E-4D60-953B-2C827880F37D}" srcId="{4BBD53F6-501B-4CEE-AB74-16AA6B9587B2}" destId="{E270558B-3C21-4308-9C46-5E92A8D2303F}" srcOrd="3" destOrd="0" parTransId="{DFEC1AEC-FE76-40DB-8550-9F4DD359237C}" sibTransId="{86FF7671-3FD8-4701-8433-28D4B86A6806}"/>
    <dgm:cxn modelId="{F1773073-1E07-4977-96BC-B79079DB1539}" srcId="{E270558B-3C21-4308-9C46-5E92A8D2303F}" destId="{FC512CC5-5C57-4033-A4AA-1C15B2F577BD}" srcOrd="0" destOrd="0" parTransId="{3FF0D6E1-0DA7-405C-89C3-285DB1DA67A9}" sibTransId="{7E153EAC-3B83-4CB7-8F30-4F8E1839F30C}"/>
    <dgm:cxn modelId="{DDEC4275-A40F-4C07-A849-3AD14D0A934B}" srcId="{96BB1A8E-35E0-4E2B-A0D8-FE784219DA95}" destId="{43324EF2-DADD-4EC5-AE9D-219CCC94EC34}" srcOrd="0" destOrd="0" parTransId="{E54B6AA2-54DA-4396-AC8B-FFCCB8ABA345}" sibTransId="{0EB839C3-EDDB-41F0-BBC9-B8A1DABA97ED}"/>
    <dgm:cxn modelId="{7AD0FC56-5D69-423E-B8D9-1E00803D8415}" type="presOf" srcId="{F3402392-B9E2-4253-8F8A-615634325941}" destId="{B2BF53FB-16A1-4C74-A9AE-B8629A45513A}" srcOrd="0" destOrd="0" presId="urn:microsoft.com/office/officeart/2005/8/layout/vList5"/>
    <dgm:cxn modelId="{EBADF189-4798-4EDD-9EAD-0F9CC29D02D5}" srcId="{4BBD53F6-501B-4CEE-AB74-16AA6B9587B2}" destId="{D3FABBCA-321A-4509-8325-02F480C8FE51}" srcOrd="6" destOrd="0" parTransId="{BCF90494-A6A2-4834-BBF0-390FEE1C4302}" sibTransId="{2F1CDE65-D8FF-4F94-8193-7E2AE6CAA2CF}"/>
    <dgm:cxn modelId="{3D21448D-B343-434D-BFA3-13F73A62BDA1}" srcId="{59FDE8CE-47F6-480A-B802-2DF30D8A7AED}" destId="{34E83B0A-16FD-4F0E-81F2-9DC179FE83C0}" srcOrd="0" destOrd="0" parTransId="{568B411B-2B34-44DD-B07B-8FC1C163EDE2}" sibTransId="{7EA82CC1-DD85-497F-9770-A03085F4B389}"/>
    <dgm:cxn modelId="{39BCA08D-04B1-4889-9582-5DFEAB0B50EF}" type="presOf" srcId="{D3FABBCA-321A-4509-8325-02F480C8FE51}" destId="{5A2AA842-5507-4CCA-9158-C88823702BA1}" srcOrd="0" destOrd="0" presId="urn:microsoft.com/office/officeart/2005/8/layout/vList5"/>
    <dgm:cxn modelId="{ACB7D39D-2955-45AE-AA4E-8AA7433C8ACA}" srcId="{8E246F7A-6559-4E7C-9016-4A45C6BD9526}" destId="{6CB74C1D-F3B0-40E6-B53C-567D4B904AF8}" srcOrd="0" destOrd="0" parTransId="{BBD1CE0A-5BE1-4A4B-8A6A-C003AAF6DED0}" sibTransId="{695D4767-958A-41AE-832D-39661B0894CE}"/>
    <dgm:cxn modelId="{5641EBAB-F73C-4363-9AD0-A271180D712A}" type="presOf" srcId="{FDD3B6CE-F7A0-4618-91C7-43A32D03BCEF}" destId="{41F39E2A-37D6-4819-B855-EB7978AE1D39}" srcOrd="0" destOrd="0" presId="urn:microsoft.com/office/officeart/2005/8/layout/vList5"/>
    <dgm:cxn modelId="{3F585EB3-FF08-4E47-A0FD-23CA1F2B955C}" type="presOf" srcId="{E270558B-3C21-4308-9C46-5E92A8D2303F}" destId="{BD744D8B-0429-4B13-BE84-F702F8940636}" srcOrd="0" destOrd="0" presId="urn:microsoft.com/office/officeart/2005/8/layout/vList5"/>
    <dgm:cxn modelId="{442EAAB5-E11D-4C20-A778-A476BF3613E8}" type="presOf" srcId="{34E83B0A-16FD-4F0E-81F2-9DC179FE83C0}" destId="{261278D9-D960-4259-B079-6EE5922268B6}" srcOrd="0" destOrd="0" presId="urn:microsoft.com/office/officeart/2005/8/layout/vList5"/>
    <dgm:cxn modelId="{4D85A2B8-CBBB-4863-8E00-C5FC02EA8535}" srcId="{4BBD53F6-501B-4CEE-AB74-16AA6B9587B2}" destId="{59FDE8CE-47F6-480A-B802-2DF30D8A7AED}" srcOrd="4" destOrd="0" parTransId="{613475E6-55EF-4A00-896A-906208F1C446}" sibTransId="{C8FC7405-35D6-42C8-A84F-FBB7EE6B6144}"/>
    <dgm:cxn modelId="{B71180BD-D162-40F5-B2D2-5690DA8D97B8}" type="presOf" srcId="{8E246F7A-6559-4E7C-9016-4A45C6BD9526}" destId="{4F696ACF-0380-4A73-AC19-62BE37ECAFA3}" srcOrd="0" destOrd="0" presId="urn:microsoft.com/office/officeart/2005/8/layout/vList5"/>
    <dgm:cxn modelId="{1DE8E2BD-617A-4670-876A-ED6248AD6037}" type="presOf" srcId="{FC512CC5-5C57-4033-A4AA-1C15B2F577BD}" destId="{62E89A81-C667-4CB9-826B-92478EA6D68F}" srcOrd="0" destOrd="0" presId="urn:microsoft.com/office/officeart/2005/8/layout/vList5"/>
    <dgm:cxn modelId="{280117C8-37B1-4F22-BAC3-1EA0ED990BC9}" srcId="{28000397-F190-4F61-A62E-C5AEE2A3C147}" destId="{F6072770-14CE-4E84-835E-4E20B06FC83A}" srcOrd="0" destOrd="0" parTransId="{FD8F5A54-1967-482B-9E12-7119A9AFE764}" sibTransId="{849A6422-3CFF-42D7-8D17-CCDBB091CC56}"/>
    <dgm:cxn modelId="{CCE18FCF-70E3-4B21-BC85-C64B1AB40736}" srcId="{4BBD53F6-501B-4CEE-AB74-16AA6B9587B2}" destId="{96BB1A8E-35E0-4E2B-A0D8-FE784219DA95}" srcOrd="5" destOrd="0" parTransId="{2DA42733-7BF2-4EE4-884C-4897D12C11DF}" sibTransId="{311600FD-F830-4BD1-8055-B04BC3C910E1}"/>
    <dgm:cxn modelId="{1834C1DA-D5AF-4B15-812E-C68CC3121A06}" srcId="{4BBD53F6-501B-4CEE-AB74-16AA6B9587B2}" destId="{8E246F7A-6559-4E7C-9016-4A45C6BD9526}" srcOrd="1" destOrd="0" parTransId="{38D28444-A73E-49D6-AA0A-C27734187BDE}" sibTransId="{41A8AC25-CAB3-4CBD-A4E5-4FB968543DDE}"/>
    <dgm:cxn modelId="{3A1A8AEC-2E71-4545-A2C4-B9FCF47AA4E0}" srcId="{4BBD53F6-501B-4CEE-AB74-16AA6B9587B2}" destId="{4C3E9733-D9F7-4BA9-BB28-D4EB74681317}" srcOrd="2" destOrd="0" parTransId="{884E675D-01BA-4BAE-B2ED-5D9F0A0EAA56}" sibTransId="{32A8446D-D3A0-4A18-8995-1BF8C89CAD36}"/>
    <dgm:cxn modelId="{E0DD1FF6-530F-4A72-B6B0-8DAD22078C0D}" type="presParOf" srcId="{4D415D39-11E7-4697-8E58-9ACC5C3BB5A3}" destId="{B47490D0-12FF-4C09-A872-932E8C32E4CF}" srcOrd="0" destOrd="0" presId="urn:microsoft.com/office/officeart/2005/8/layout/vList5"/>
    <dgm:cxn modelId="{4BFC836F-1E4B-4FC5-910C-A4FDE0C1BC82}" type="presParOf" srcId="{B47490D0-12FF-4C09-A872-932E8C32E4CF}" destId="{8A638836-E5A8-49C2-AD81-7CE5BA4FBB07}" srcOrd="0" destOrd="0" presId="urn:microsoft.com/office/officeart/2005/8/layout/vList5"/>
    <dgm:cxn modelId="{1D6D0A42-97E8-4738-9B53-7B23746EFCDA}" type="presParOf" srcId="{B47490D0-12FF-4C09-A872-932E8C32E4CF}" destId="{2C258787-5B02-45FD-B8EA-0D1D35F9CCFF}" srcOrd="1" destOrd="0" presId="urn:microsoft.com/office/officeart/2005/8/layout/vList5"/>
    <dgm:cxn modelId="{466245A1-8471-48A5-9263-5F2011105A37}" type="presParOf" srcId="{4D415D39-11E7-4697-8E58-9ACC5C3BB5A3}" destId="{F4BF10D2-7319-408F-A7DA-A5C492877F0A}" srcOrd="1" destOrd="0" presId="urn:microsoft.com/office/officeart/2005/8/layout/vList5"/>
    <dgm:cxn modelId="{F5B1B34C-FA06-48E2-83C4-CEA9FF2E71FA}" type="presParOf" srcId="{4D415D39-11E7-4697-8E58-9ACC5C3BB5A3}" destId="{86A22692-A014-47F0-95A2-433D40D0D8F2}" srcOrd="2" destOrd="0" presId="urn:microsoft.com/office/officeart/2005/8/layout/vList5"/>
    <dgm:cxn modelId="{FE966BFF-6BE7-44F6-96CD-8ED35080AC9C}" type="presParOf" srcId="{86A22692-A014-47F0-95A2-433D40D0D8F2}" destId="{4F696ACF-0380-4A73-AC19-62BE37ECAFA3}" srcOrd="0" destOrd="0" presId="urn:microsoft.com/office/officeart/2005/8/layout/vList5"/>
    <dgm:cxn modelId="{845F325B-25B5-40C9-9035-5CB234FAF2E7}" type="presParOf" srcId="{86A22692-A014-47F0-95A2-433D40D0D8F2}" destId="{804BC161-BF33-419E-99E1-DEB30285FF2A}" srcOrd="1" destOrd="0" presId="urn:microsoft.com/office/officeart/2005/8/layout/vList5"/>
    <dgm:cxn modelId="{931D9AE2-22CD-4588-BEAA-05004BBC48C4}" type="presParOf" srcId="{4D415D39-11E7-4697-8E58-9ACC5C3BB5A3}" destId="{D819EE06-73CF-426B-8F50-3161E65573AE}" srcOrd="3" destOrd="0" presId="urn:microsoft.com/office/officeart/2005/8/layout/vList5"/>
    <dgm:cxn modelId="{C735899C-003A-43D5-AE3B-6ED49F2F6E9E}" type="presParOf" srcId="{4D415D39-11E7-4697-8E58-9ACC5C3BB5A3}" destId="{D9337FFA-236D-4175-947C-B17351CB40AD}" srcOrd="4" destOrd="0" presId="urn:microsoft.com/office/officeart/2005/8/layout/vList5"/>
    <dgm:cxn modelId="{10054B97-AB29-4C29-80AF-D27A79247127}" type="presParOf" srcId="{D9337FFA-236D-4175-947C-B17351CB40AD}" destId="{A24BD147-143B-47BB-9927-46556D5AA353}" srcOrd="0" destOrd="0" presId="urn:microsoft.com/office/officeart/2005/8/layout/vList5"/>
    <dgm:cxn modelId="{62F45C3E-BA0B-420B-8378-38A137115313}" type="presParOf" srcId="{D9337FFA-236D-4175-947C-B17351CB40AD}" destId="{B2BF53FB-16A1-4C74-A9AE-B8629A45513A}" srcOrd="1" destOrd="0" presId="urn:microsoft.com/office/officeart/2005/8/layout/vList5"/>
    <dgm:cxn modelId="{F9FBA313-4BB4-4964-A923-F7041DE6714A}" type="presParOf" srcId="{4D415D39-11E7-4697-8E58-9ACC5C3BB5A3}" destId="{5DB4A097-FF2A-422C-B1F0-FC5BFCC67D1F}" srcOrd="5" destOrd="0" presId="urn:microsoft.com/office/officeart/2005/8/layout/vList5"/>
    <dgm:cxn modelId="{DA282042-42CB-4323-84CB-0466F148AAD5}" type="presParOf" srcId="{4D415D39-11E7-4697-8E58-9ACC5C3BB5A3}" destId="{A6B61EC0-A9A9-4476-B9AC-86832363D294}" srcOrd="6" destOrd="0" presId="urn:microsoft.com/office/officeart/2005/8/layout/vList5"/>
    <dgm:cxn modelId="{A87093C2-3635-4462-8B44-28AEF7066E9F}" type="presParOf" srcId="{A6B61EC0-A9A9-4476-B9AC-86832363D294}" destId="{BD744D8B-0429-4B13-BE84-F702F8940636}" srcOrd="0" destOrd="0" presId="urn:microsoft.com/office/officeart/2005/8/layout/vList5"/>
    <dgm:cxn modelId="{C9868056-9EB9-4C79-9437-63AA39E81A64}" type="presParOf" srcId="{A6B61EC0-A9A9-4476-B9AC-86832363D294}" destId="{62E89A81-C667-4CB9-826B-92478EA6D68F}" srcOrd="1" destOrd="0" presId="urn:microsoft.com/office/officeart/2005/8/layout/vList5"/>
    <dgm:cxn modelId="{58A08BE2-B3C6-49D3-9490-B50CE16D8C87}" type="presParOf" srcId="{4D415D39-11E7-4697-8E58-9ACC5C3BB5A3}" destId="{265C78C3-60EF-4C6E-9934-A975F105C221}" srcOrd="7" destOrd="0" presId="urn:microsoft.com/office/officeart/2005/8/layout/vList5"/>
    <dgm:cxn modelId="{553B6466-6277-41C1-A7DA-C331219771CE}" type="presParOf" srcId="{4D415D39-11E7-4697-8E58-9ACC5C3BB5A3}" destId="{A9A7A581-F7CE-4B20-B8A7-8F3E00DC1E17}" srcOrd="8" destOrd="0" presId="urn:microsoft.com/office/officeart/2005/8/layout/vList5"/>
    <dgm:cxn modelId="{DB71CB86-0233-418B-BBCC-22EBCA30D7E4}" type="presParOf" srcId="{A9A7A581-F7CE-4B20-B8A7-8F3E00DC1E17}" destId="{FF15D100-8743-4F20-953D-847249554C09}" srcOrd="0" destOrd="0" presId="urn:microsoft.com/office/officeart/2005/8/layout/vList5"/>
    <dgm:cxn modelId="{BE280F92-51B0-4A32-9843-2671C216761F}" type="presParOf" srcId="{A9A7A581-F7CE-4B20-B8A7-8F3E00DC1E17}" destId="{261278D9-D960-4259-B079-6EE5922268B6}" srcOrd="1" destOrd="0" presId="urn:microsoft.com/office/officeart/2005/8/layout/vList5"/>
    <dgm:cxn modelId="{46DF9AE5-D737-4B29-96F6-3C9381AF00C9}" type="presParOf" srcId="{4D415D39-11E7-4697-8E58-9ACC5C3BB5A3}" destId="{327ACBFA-E161-4E40-965F-2225AB3C62CC}" srcOrd="9" destOrd="0" presId="urn:microsoft.com/office/officeart/2005/8/layout/vList5"/>
    <dgm:cxn modelId="{F58641D7-FB24-4818-92BA-D1CFF9D38E38}" type="presParOf" srcId="{4D415D39-11E7-4697-8E58-9ACC5C3BB5A3}" destId="{63FD4B01-627F-47C1-AFA6-3EC7BAFBB2D8}" srcOrd="10" destOrd="0" presId="urn:microsoft.com/office/officeart/2005/8/layout/vList5"/>
    <dgm:cxn modelId="{F603D7A8-2337-44F7-95F8-C2BB87030142}" type="presParOf" srcId="{63FD4B01-627F-47C1-AFA6-3EC7BAFBB2D8}" destId="{A76BCEFC-4898-4DDD-BF5F-E34B0803D15F}" srcOrd="0" destOrd="0" presId="urn:microsoft.com/office/officeart/2005/8/layout/vList5"/>
    <dgm:cxn modelId="{50C82CE4-1594-483F-9BC0-CA64C83494B2}" type="presParOf" srcId="{63FD4B01-627F-47C1-AFA6-3EC7BAFBB2D8}" destId="{E245FCA7-6351-4343-863E-0E8966DCBC92}" srcOrd="1" destOrd="0" presId="urn:microsoft.com/office/officeart/2005/8/layout/vList5"/>
    <dgm:cxn modelId="{5F75A42C-C12C-4FFD-9E78-12B498C498ED}" type="presParOf" srcId="{4D415D39-11E7-4697-8E58-9ACC5C3BB5A3}" destId="{35B28CB4-621F-4903-A3A6-A4F56D3922E8}" srcOrd="11" destOrd="0" presId="urn:microsoft.com/office/officeart/2005/8/layout/vList5"/>
    <dgm:cxn modelId="{E62928A2-796F-4B08-B0EA-596D3A62EA45}" type="presParOf" srcId="{4D415D39-11E7-4697-8E58-9ACC5C3BB5A3}" destId="{852B222B-8BA9-42AC-8A43-FBE776E090C5}" srcOrd="12" destOrd="0" presId="urn:microsoft.com/office/officeart/2005/8/layout/vList5"/>
    <dgm:cxn modelId="{BD7AC65D-F5E4-46D4-9FF1-6F16BF5135E3}" type="presParOf" srcId="{852B222B-8BA9-42AC-8A43-FBE776E090C5}" destId="{5A2AA842-5507-4CCA-9158-C88823702BA1}" srcOrd="0" destOrd="0" presId="urn:microsoft.com/office/officeart/2005/8/layout/vList5"/>
    <dgm:cxn modelId="{199CF28F-FF6F-46CD-B7B3-C845ABE2AF72}" type="presParOf" srcId="{852B222B-8BA9-42AC-8A43-FBE776E090C5}" destId="{41F39E2A-37D6-4819-B855-EB7978AE1D39}" srcOrd="1" destOrd="0" presId="urn:microsoft.com/office/officeart/2005/8/layout/vList5"/>
  </dgm:cxnLst>
  <dgm:bg/>
  <dgm:whole/>
  <dgm:extLst>
    <a:ext uri="http://schemas.microsoft.com/office/drawing/2008/diagram">
      <dsp:dataModelExt xmlns:dsp="http://schemas.microsoft.com/office/drawing/2008/diagram" relId="rId1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E3D396-8BBF-4FBB-AF59-F765B6B30187}">
      <dsp:nvSpPr>
        <dsp:cNvPr id="0" name=""/>
        <dsp:cNvSpPr/>
      </dsp:nvSpPr>
      <dsp:spPr>
        <a:xfrm rot="5400000">
          <a:off x="655112" y="800289"/>
          <a:ext cx="696479" cy="792917"/>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BAEB408-D230-41F3-B49C-5605965A32FD}">
      <dsp:nvSpPr>
        <dsp:cNvPr id="0" name=""/>
        <dsp:cNvSpPr/>
      </dsp:nvSpPr>
      <dsp:spPr>
        <a:xfrm>
          <a:off x="470587" y="28227"/>
          <a:ext cx="1172462" cy="820685"/>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rtl="0">
            <a:lnSpc>
              <a:spcPct val="90000"/>
            </a:lnSpc>
            <a:spcBef>
              <a:spcPct val="0"/>
            </a:spcBef>
            <a:spcAft>
              <a:spcPct val="35000"/>
            </a:spcAft>
            <a:buNone/>
          </a:pPr>
          <a:r>
            <a:rPr lang="en-US" sz="800" kern="1200"/>
            <a:t>I searched Google Scholar, PubMed and the UWTSD Library using title-derived keywords and synonyms, combined with Boolean operators. </a:t>
          </a:r>
        </a:p>
      </dsp:txBody>
      <dsp:txXfrm>
        <a:off x="510657" y="68297"/>
        <a:ext cx="1092322" cy="740545"/>
      </dsp:txXfrm>
    </dsp:sp>
    <dsp:sp modelId="{F3EC870F-FFBE-4278-A4B4-C05678B1CD53}">
      <dsp:nvSpPr>
        <dsp:cNvPr id="0" name=""/>
        <dsp:cNvSpPr/>
      </dsp:nvSpPr>
      <dsp:spPr>
        <a:xfrm>
          <a:off x="1643049" y="106498"/>
          <a:ext cx="852737" cy="663314"/>
        </a:xfrm>
        <a:prstGeom prst="rect">
          <a:avLst/>
        </a:prstGeom>
        <a:noFill/>
        <a:ln>
          <a:noFill/>
        </a:ln>
        <a:effectLst/>
      </dsp:spPr>
      <dsp:style>
        <a:lnRef idx="0">
          <a:scrgbClr r="0" g="0" b="0"/>
        </a:lnRef>
        <a:fillRef idx="0">
          <a:scrgbClr r="0" g="0" b="0"/>
        </a:fillRef>
        <a:effectRef idx="0">
          <a:scrgbClr r="0" g="0" b="0"/>
        </a:effectRef>
        <a:fontRef idx="minor"/>
      </dsp:style>
    </dsp:sp>
    <dsp:sp modelId="{F17666E4-97B4-4262-919E-6CBFBCCF55F6}">
      <dsp:nvSpPr>
        <dsp:cNvPr id="0" name=""/>
        <dsp:cNvSpPr/>
      </dsp:nvSpPr>
      <dsp:spPr>
        <a:xfrm rot="5400000">
          <a:off x="1627208" y="1722190"/>
          <a:ext cx="696479" cy="792917"/>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379DA87-7111-435C-A2C7-C3ECC7AB5A4B}">
      <dsp:nvSpPr>
        <dsp:cNvPr id="0" name=""/>
        <dsp:cNvSpPr/>
      </dsp:nvSpPr>
      <dsp:spPr>
        <a:xfrm>
          <a:off x="1442683" y="950128"/>
          <a:ext cx="1172462" cy="820685"/>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rtl="0">
            <a:lnSpc>
              <a:spcPct val="90000"/>
            </a:lnSpc>
            <a:spcBef>
              <a:spcPct val="0"/>
            </a:spcBef>
            <a:spcAft>
              <a:spcPct val="35000"/>
            </a:spcAft>
            <a:buNone/>
          </a:pPr>
          <a:r>
            <a:rPr lang="en-US" sz="800" kern="1200"/>
            <a:t>I set filters: 2020–2024, English, peer-reviewed, UK-relevant, qualitative/rapid reviews. </a:t>
          </a:r>
        </a:p>
      </dsp:txBody>
      <dsp:txXfrm>
        <a:off x="1482753" y="990198"/>
        <a:ext cx="1092322" cy="740545"/>
      </dsp:txXfrm>
    </dsp:sp>
    <dsp:sp modelId="{3609A61F-FBC0-4263-A382-F5592E2BE85A}">
      <dsp:nvSpPr>
        <dsp:cNvPr id="0" name=""/>
        <dsp:cNvSpPr/>
      </dsp:nvSpPr>
      <dsp:spPr>
        <a:xfrm>
          <a:off x="2615145" y="1028399"/>
          <a:ext cx="852737" cy="663314"/>
        </a:xfrm>
        <a:prstGeom prst="rect">
          <a:avLst/>
        </a:prstGeom>
        <a:noFill/>
        <a:ln>
          <a:noFill/>
        </a:ln>
        <a:effectLst/>
      </dsp:spPr>
      <dsp:style>
        <a:lnRef idx="0">
          <a:scrgbClr r="0" g="0" b="0"/>
        </a:lnRef>
        <a:fillRef idx="0">
          <a:scrgbClr r="0" g="0" b="0"/>
        </a:fillRef>
        <a:effectRef idx="0">
          <a:scrgbClr r="0" g="0" b="0"/>
        </a:effectRef>
        <a:fontRef idx="minor"/>
      </dsp:style>
    </dsp:sp>
    <dsp:sp modelId="{B1DBDC23-8AA7-4627-A9D7-CE2DFB42437E}">
      <dsp:nvSpPr>
        <dsp:cNvPr id="0" name=""/>
        <dsp:cNvSpPr/>
      </dsp:nvSpPr>
      <dsp:spPr>
        <a:xfrm rot="5400000">
          <a:off x="2599303" y="2644090"/>
          <a:ext cx="696479" cy="792917"/>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87FD15D-E40E-45EB-9B47-E9C83BD4722C}">
      <dsp:nvSpPr>
        <dsp:cNvPr id="0" name=""/>
        <dsp:cNvSpPr/>
      </dsp:nvSpPr>
      <dsp:spPr>
        <a:xfrm>
          <a:off x="2414778" y="1872028"/>
          <a:ext cx="1172462" cy="820685"/>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rtl="0">
            <a:lnSpc>
              <a:spcPct val="90000"/>
            </a:lnSpc>
            <a:spcBef>
              <a:spcPct val="0"/>
            </a:spcBef>
            <a:spcAft>
              <a:spcPct val="35000"/>
            </a:spcAft>
            <a:buNone/>
          </a:pPr>
          <a:r>
            <a:rPr lang="en-US" sz="800" kern="1200"/>
            <a:t>I logged each query, hits and inclusion decisions, then screened titles/abstracts (relevance, design, setting) before full-text appraisal. </a:t>
          </a:r>
        </a:p>
      </dsp:txBody>
      <dsp:txXfrm>
        <a:off x="2454848" y="1912098"/>
        <a:ext cx="1092322" cy="740545"/>
      </dsp:txXfrm>
    </dsp:sp>
    <dsp:sp modelId="{6F976AA6-3079-4FC7-84FC-25384EDF0D09}">
      <dsp:nvSpPr>
        <dsp:cNvPr id="0" name=""/>
        <dsp:cNvSpPr/>
      </dsp:nvSpPr>
      <dsp:spPr>
        <a:xfrm>
          <a:off x="3587241" y="1950299"/>
          <a:ext cx="852737" cy="663314"/>
        </a:xfrm>
        <a:prstGeom prst="rect">
          <a:avLst/>
        </a:prstGeom>
        <a:noFill/>
        <a:ln>
          <a:noFill/>
        </a:ln>
        <a:effectLst/>
      </dsp:spPr>
      <dsp:style>
        <a:lnRef idx="0">
          <a:scrgbClr r="0" g="0" b="0"/>
        </a:lnRef>
        <a:fillRef idx="0">
          <a:scrgbClr r="0" g="0" b="0"/>
        </a:fillRef>
        <a:effectRef idx="0">
          <a:scrgbClr r="0" g="0" b="0"/>
        </a:effectRef>
        <a:fontRef idx="minor"/>
      </dsp:style>
    </dsp:sp>
    <dsp:sp modelId="{9D491790-A6D5-46B3-A16B-7B7DBD12A554}">
      <dsp:nvSpPr>
        <dsp:cNvPr id="0" name=""/>
        <dsp:cNvSpPr/>
      </dsp:nvSpPr>
      <dsp:spPr>
        <a:xfrm rot="5400000">
          <a:off x="3571399" y="3565991"/>
          <a:ext cx="696479" cy="792917"/>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FF2D579-4595-4828-A14E-835C6BE2F90D}">
      <dsp:nvSpPr>
        <dsp:cNvPr id="0" name=""/>
        <dsp:cNvSpPr/>
      </dsp:nvSpPr>
      <dsp:spPr>
        <a:xfrm>
          <a:off x="3386874" y="2793929"/>
          <a:ext cx="1172462" cy="820685"/>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rtl="0">
            <a:lnSpc>
              <a:spcPct val="90000"/>
            </a:lnSpc>
            <a:spcBef>
              <a:spcPct val="0"/>
            </a:spcBef>
            <a:spcAft>
              <a:spcPct val="35000"/>
            </a:spcAft>
            <a:buNone/>
          </a:pPr>
          <a:r>
            <a:rPr lang="en-US" sz="800" kern="1200"/>
            <a:t>I refined terms via berrypicking (iterative query tweaks) and snowballing (mining reference lists). </a:t>
          </a:r>
        </a:p>
      </dsp:txBody>
      <dsp:txXfrm>
        <a:off x="3426944" y="2833999"/>
        <a:ext cx="1092322" cy="740545"/>
      </dsp:txXfrm>
    </dsp:sp>
    <dsp:sp modelId="{5747C308-E3AF-4160-B7CC-CF40EE62879F}">
      <dsp:nvSpPr>
        <dsp:cNvPr id="0" name=""/>
        <dsp:cNvSpPr/>
      </dsp:nvSpPr>
      <dsp:spPr>
        <a:xfrm>
          <a:off x="4559336" y="2872200"/>
          <a:ext cx="852737" cy="663314"/>
        </a:xfrm>
        <a:prstGeom prst="rect">
          <a:avLst/>
        </a:prstGeom>
        <a:noFill/>
        <a:ln>
          <a:noFill/>
        </a:ln>
        <a:effectLst/>
      </dsp:spPr>
      <dsp:style>
        <a:lnRef idx="0">
          <a:scrgbClr r="0" g="0" b="0"/>
        </a:lnRef>
        <a:fillRef idx="0">
          <a:scrgbClr r="0" g="0" b="0"/>
        </a:fillRef>
        <a:effectRef idx="0">
          <a:scrgbClr r="0" g="0" b="0"/>
        </a:effectRef>
        <a:fontRef idx="minor"/>
      </dsp:style>
    </dsp:sp>
    <dsp:sp modelId="{72E34FA0-E4D1-4DB1-8089-152D44D27278}">
      <dsp:nvSpPr>
        <dsp:cNvPr id="0" name=""/>
        <dsp:cNvSpPr/>
      </dsp:nvSpPr>
      <dsp:spPr>
        <a:xfrm>
          <a:off x="4358970" y="3715830"/>
          <a:ext cx="1172462" cy="820685"/>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rtl="0">
            <a:lnSpc>
              <a:spcPct val="90000"/>
            </a:lnSpc>
            <a:spcBef>
              <a:spcPct val="0"/>
            </a:spcBef>
            <a:spcAft>
              <a:spcPct val="35000"/>
            </a:spcAft>
            <a:buNone/>
          </a:pPr>
          <a:r>
            <a:rPr lang="en-US" sz="800" kern="1200"/>
            <a:t>I prioritised studies addressing HCW mental health, burnout and moral distress across UK settings to ensure contextual fit and thematic richness</a:t>
          </a:r>
          <a:r>
            <a:rPr lang="en-GB" sz="800" kern="1200"/>
            <a:t>.</a:t>
          </a:r>
          <a:endParaRPr lang="en-US" sz="800" kern="1200"/>
        </a:p>
      </dsp:txBody>
      <dsp:txXfrm>
        <a:off x="4399040" y="3755900"/>
        <a:ext cx="1092322" cy="7405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D7362-A1F6-4607-98EA-596D9843B312}">
      <dsp:nvSpPr>
        <dsp:cNvPr id="0" name=""/>
        <dsp:cNvSpPr/>
      </dsp:nvSpPr>
      <dsp:spPr>
        <a:xfrm>
          <a:off x="936797" y="2543"/>
          <a:ext cx="2241205" cy="29058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t>PRISMA Diagram</a:t>
          </a:r>
        </a:p>
      </dsp:txBody>
      <dsp:txXfrm>
        <a:off x="945308" y="11054"/>
        <a:ext cx="2224183" cy="273565"/>
      </dsp:txXfrm>
    </dsp:sp>
    <dsp:sp modelId="{3BE17A96-FFC6-4759-97BE-6BA50629DF6C}">
      <dsp:nvSpPr>
        <dsp:cNvPr id="0" name=""/>
        <dsp:cNvSpPr/>
      </dsp:nvSpPr>
      <dsp:spPr>
        <a:xfrm rot="5400000">
          <a:off x="2016558" y="298576"/>
          <a:ext cx="81682" cy="98019"/>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5400000">
        <a:off x="2027994" y="306745"/>
        <a:ext cx="58811" cy="57177"/>
      </dsp:txXfrm>
    </dsp:sp>
    <dsp:sp modelId="{E5E1E3B4-D302-48A5-8597-F36B244F791F}">
      <dsp:nvSpPr>
        <dsp:cNvPr id="0" name=""/>
        <dsp:cNvSpPr/>
      </dsp:nvSpPr>
      <dsp:spPr>
        <a:xfrm>
          <a:off x="859741" y="402041"/>
          <a:ext cx="2395317" cy="567763"/>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Identification:1,1121361,248</a:t>
          </a:r>
          <a:endParaRPr lang="en-US" sz="1200" kern="1200"/>
        </a:p>
      </dsp:txBody>
      <dsp:txXfrm>
        <a:off x="876370" y="418670"/>
        <a:ext cx="2362059" cy="534505"/>
      </dsp:txXfrm>
    </dsp:sp>
    <dsp:sp modelId="{D4D05623-19A7-493E-8A84-B8E450182D0C}">
      <dsp:nvSpPr>
        <dsp:cNvPr id="0" name=""/>
        <dsp:cNvSpPr/>
      </dsp:nvSpPr>
      <dsp:spPr>
        <a:xfrm rot="5400000">
          <a:off x="2016558" y="975250"/>
          <a:ext cx="81682" cy="98019"/>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5400000">
        <a:off x="2027994" y="983419"/>
        <a:ext cx="58811" cy="57177"/>
      </dsp:txXfrm>
    </dsp:sp>
    <dsp:sp modelId="{18C21534-AB57-4253-9116-0335D4592F40}">
      <dsp:nvSpPr>
        <dsp:cNvPr id="0" name=""/>
        <dsp:cNvSpPr/>
      </dsp:nvSpPr>
      <dsp:spPr>
        <a:xfrm>
          <a:off x="823922" y="1078714"/>
          <a:ext cx="2466954" cy="471944"/>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Deduplication:312936</a:t>
          </a:r>
          <a:endParaRPr lang="en-US" sz="1200" kern="1200"/>
        </a:p>
      </dsp:txBody>
      <dsp:txXfrm>
        <a:off x="837745" y="1092537"/>
        <a:ext cx="2439308" cy="444298"/>
      </dsp:txXfrm>
    </dsp:sp>
    <dsp:sp modelId="{0A7F5197-2B35-4528-B014-6599834D0817}">
      <dsp:nvSpPr>
        <dsp:cNvPr id="0" name=""/>
        <dsp:cNvSpPr/>
      </dsp:nvSpPr>
      <dsp:spPr>
        <a:xfrm rot="5400000">
          <a:off x="2016558" y="1556105"/>
          <a:ext cx="81682" cy="98019"/>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5400000">
        <a:off x="2027994" y="1564274"/>
        <a:ext cx="58811" cy="57177"/>
      </dsp:txXfrm>
    </dsp:sp>
    <dsp:sp modelId="{CA7DE993-9E7B-4852-94A5-DF6CE3A92E60}">
      <dsp:nvSpPr>
        <dsp:cNvPr id="0" name=""/>
        <dsp:cNvSpPr/>
      </dsp:nvSpPr>
      <dsp:spPr>
        <a:xfrm>
          <a:off x="784358" y="1659569"/>
          <a:ext cx="2546083" cy="536362"/>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Screening:</a:t>
          </a:r>
          <a:r>
            <a:rPr lang="en-US" sz="1200" kern="1200"/>
            <a:t> </a:t>
          </a:r>
          <a:r>
            <a:rPr lang="en-US" sz="1200" b="1" kern="1200"/>
            <a:t>936</a:t>
          </a:r>
          <a:r>
            <a:rPr lang="en-US" sz="1200" kern="1200"/>
            <a:t> screened; </a:t>
          </a:r>
          <a:r>
            <a:rPr lang="en-US" sz="1200" b="1" kern="1200"/>
            <a:t>742</a:t>
          </a:r>
          <a:r>
            <a:rPr lang="en-US" sz="1200" kern="1200"/>
            <a:t> excluded</a:t>
          </a:r>
        </a:p>
      </dsp:txBody>
      <dsp:txXfrm>
        <a:off x="800068" y="1675279"/>
        <a:ext cx="2514663" cy="504942"/>
      </dsp:txXfrm>
    </dsp:sp>
    <dsp:sp modelId="{7D85C5BD-223A-45E7-B449-8137F82D3DED}">
      <dsp:nvSpPr>
        <dsp:cNvPr id="0" name=""/>
        <dsp:cNvSpPr/>
      </dsp:nvSpPr>
      <dsp:spPr>
        <a:xfrm rot="5400000">
          <a:off x="2016558" y="2201378"/>
          <a:ext cx="81682" cy="98019"/>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5400000">
        <a:off x="2027994" y="2209547"/>
        <a:ext cx="58811" cy="57177"/>
      </dsp:txXfrm>
    </dsp:sp>
    <dsp:sp modelId="{CE6FCFC6-9DA1-4A54-B7EB-8852BAFDE76A}">
      <dsp:nvSpPr>
        <dsp:cNvPr id="0" name=""/>
        <dsp:cNvSpPr/>
      </dsp:nvSpPr>
      <dsp:spPr>
        <a:xfrm>
          <a:off x="709048" y="2304842"/>
          <a:ext cx="2696702" cy="77289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Eligibility:</a:t>
          </a:r>
          <a:r>
            <a:rPr lang="en-US" sz="1200" kern="1200"/>
            <a:t> </a:t>
          </a:r>
          <a:r>
            <a:rPr lang="en-US" sz="1200" b="1" kern="1200"/>
            <a:t>194</a:t>
          </a:r>
          <a:r>
            <a:rPr lang="en-US" sz="1200" kern="1200"/>
            <a:t> full texts; </a:t>
          </a:r>
          <a:r>
            <a:rPr lang="en-US" sz="1200" b="1" kern="1200"/>
            <a:t>131</a:t>
          </a:r>
          <a:r>
            <a:rPr lang="en-US" sz="1200" kern="1200"/>
            <a:t> excluded (Non-UK </a:t>
          </a:r>
          <a:r>
            <a:rPr lang="en-US" sz="1200" b="1" kern="1200"/>
            <a:t>49</a:t>
          </a:r>
          <a:r>
            <a:rPr lang="en-US" sz="1200" kern="1200"/>
            <a:t>; Not qualitative </a:t>
          </a:r>
          <a:r>
            <a:rPr lang="en-US" sz="1200" b="1" kern="1200"/>
            <a:t>37</a:t>
          </a:r>
          <a:r>
            <a:rPr lang="en-US" sz="1200" kern="1200"/>
            <a:t>; Not HCW </a:t>
          </a:r>
          <a:r>
            <a:rPr lang="en-US" sz="1200" b="1" kern="1200"/>
            <a:t>29</a:t>
          </a:r>
          <a:r>
            <a:rPr lang="en-US" sz="1200" kern="1200"/>
            <a:t>; Insufficient detail </a:t>
          </a:r>
          <a:r>
            <a:rPr lang="en-US" sz="1200" b="1" kern="1200"/>
            <a:t>16</a:t>
          </a:r>
          <a:r>
            <a:rPr lang="en-US" sz="1200" kern="1200"/>
            <a:t>)</a:t>
          </a:r>
        </a:p>
      </dsp:txBody>
      <dsp:txXfrm>
        <a:off x="731685" y="2327479"/>
        <a:ext cx="2651428" cy="727622"/>
      </dsp:txXfrm>
    </dsp:sp>
    <dsp:sp modelId="{D7C40A71-1A2B-4DFD-854B-55A2CF103D9F}">
      <dsp:nvSpPr>
        <dsp:cNvPr id="0" name=""/>
        <dsp:cNvSpPr/>
      </dsp:nvSpPr>
      <dsp:spPr>
        <a:xfrm rot="5400000">
          <a:off x="2016558" y="3083184"/>
          <a:ext cx="81682" cy="98019"/>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5400000">
        <a:off x="2027994" y="3091353"/>
        <a:ext cx="58811" cy="57177"/>
      </dsp:txXfrm>
    </dsp:sp>
    <dsp:sp modelId="{0C07D24B-2DA8-4653-BBC1-74660A124BD4}">
      <dsp:nvSpPr>
        <dsp:cNvPr id="0" name=""/>
        <dsp:cNvSpPr/>
      </dsp:nvSpPr>
      <dsp:spPr>
        <a:xfrm>
          <a:off x="716524" y="3186648"/>
          <a:ext cx="2681751" cy="87480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Included:</a:t>
          </a:r>
          <a:r>
            <a:rPr lang="en-US" sz="1200" kern="1200"/>
            <a:t> </a:t>
          </a:r>
          <a:r>
            <a:rPr lang="en-US" sz="1200" b="1" kern="1200"/>
            <a:t>63</a:t>
          </a:r>
          <a:r>
            <a:rPr lang="en-US" sz="1200" kern="1200"/>
            <a:t> sources (qual studies/syntheses + key NHS/NICE/HSE/WHO reports + relevant scholarly books)</a:t>
          </a:r>
        </a:p>
      </dsp:txBody>
      <dsp:txXfrm>
        <a:off x="742146" y="3212270"/>
        <a:ext cx="2630507" cy="8235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F6861C-CEB8-46DD-82C3-A623F0AC3BD2}">
      <dsp:nvSpPr>
        <dsp:cNvPr id="0" name=""/>
        <dsp:cNvSpPr/>
      </dsp:nvSpPr>
      <dsp:spPr>
        <a:xfrm>
          <a:off x="0" y="101513"/>
          <a:ext cx="3606800" cy="383760"/>
        </a:xfrm>
        <a:prstGeom prst="roundRect">
          <a:avLst/>
        </a:prstGeom>
        <a:solidFill>
          <a:srgbClr val="009999"/>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just" defTabSz="711200" rtl="0">
            <a:lnSpc>
              <a:spcPct val="90000"/>
            </a:lnSpc>
            <a:spcBef>
              <a:spcPct val="0"/>
            </a:spcBef>
            <a:spcAft>
              <a:spcPct val="35000"/>
            </a:spcAft>
            <a:buNone/>
          </a:pPr>
          <a:r>
            <a:rPr lang="en-US" sz="1600" b="1" kern="1200"/>
            <a:t>Brief Overview</a:t>
          </a:r>
          <a:endParaRPr lang="en-US" sz="1600" kern="1200"/>
        </a:p>
      </dsp:txBody>
      <dsp:txXfrm>
        <a:off x="18734" y="120247"/>
        <a:ext cx="3569332" cy="346292"/>
      </dsp:txXfrm>
    </dsp:sp>
    <dsp:sp modelId="{9F267EE3-A7B9-4205-BFF3-BBD59EC27BCB}">
      <dsp:nvSpPr>
        <dsp:cNvPr id="0" name=""/>
        <dsp:cNvSpPr/>
      </dsp:nvSpPr>
      <dsp:spPr>
        <a:xfrm>
          <a:off x="0" y="485273"/>
          <a:ext cx="3606800" cy="894240"/>
        </a:xfrm>
        <a:prstGeom prst="rect">
          <a:avLst/>
        </a:prstGeom>
        <a:solidFill>
          <a:schemeClr val="accent5">
            <a:lumMod val="20000"/>
            <a:lumOff val="8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114516" tIns="20320" rIns="113792" bIns="20320" numCol="1" spcCol="1270" anchor="t" anchorCtr="0">
          <a:noAutofit/>
        </a:bodyPr>
        <a:lstStyle/>
        <a:p>
          <a:pPr marL="114300" lvl="1" indent="-114300" algn="just" defTabSz="533400" rtl="0">
            <a:lnSpc>
              <a:spcPct val="90000"/>
            </a:lnSpc>
            <a:spcBef>
              <a:spcPct val="0"/>
            </a:spcBef>
            <a:spcAft>
              <a:spcPct val="20000"/>
            </a:spcAft>
            <a:buChar char="•"/>
          </a:pPr>
          <a:r>
            <a:rPr lang="en-US" sz="1200" kern="1200"/>
            <a:t>This poster summarises the Methods for a desk-based, literature-led dissertation. It outlines the search strategy, searching process, validation, inclusion/exclusion criteria, ethical considerations, and thematic analysis. </a:t>
          </a:r>
        </a:p>
      </dsp:txBody>
      <dsp:txXfrm>
        <a:off x="0" y="485273"/>
        <a:ext cx="3606800" cy="894240"/>
      </dsp:txXfrm>
    </dsp:sp>
    <dsp:sp modelId="{4DBA823B-BB98-4608-B431-30DE0C3F8506}">
      <dsp:nvSpPr>
        <dsp:cNvPr id="0" name=""/>
        <dsp:cNvSpPr/>
      </dsp:nvSpPr>
      <dsp:spPr>
        <a:xfrm>
          <a:off x="0" y="1379514"/>
          <a:ext cx="3606800" cy="383760"/>
        </a:xfrm>
        <a:prstGeom prst="roundRect">
          <a:avLst/>
        </a:prstGeom>
        <a:solidFill>
          <a:srgbClr val="009999"/>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just" defTabSz="711200" rtl="0">
            <a:lnSpc>
              <a:spcPct val="90000"/>
            </a:lnSpc>
            <a:spcBef>
              <a:spcPct val="0"/>
            </a:spcBef>
            <a:spcAft>
              <a:spcPct val="35000"/>
            </a:spcAft>
            <a:buNone/>
          </a:pPr>
          <a:r>
            <a:rPr lang="en-US" sz="1600" b="1" kern="1200"/>
            <a:t>Aim</a:t>
          </a:r>
          <a:endParaRPr lang="en-US" sz="1600" kern="1200"/>
        </a:p>
      </dsp:txBody>
      <dsp:txXfrm>
        <a:off x="18734" y="1398248"/>
        <a:ext cx="3569332" cy="346292"/>
      </dsp:txXfrm>
    </dsp:sp>
    <dsp:sp modelId="{9678E647-76D6-4FF2-A832-0B78FF3A432D}">
      <dsp:nvSpPr>
        <dsp:cNvPr id="0" name=""/>
        <dsp:cNvSpPr/>
      </dsp:nvSpPr>
      <dsp:spPr>
        <a:xfrm>
          <a:off x="0" y="1763274"/>
          <a:ext cx="3606800" cy="1059840"/>
        </a:xfrm>
        <a:prstGeom prst="rect">
          <a:avLst/>
        </a:prstGeom>
        <a:solidFill>
          <a:schemeClr val="accent5">
            <a:lumMod val="20000"/>
            <a:lumOff val="80000"/>
          </a:schemeClr>
        </a:solidFill>
        <a:ln>
          <a:noFill/>
        </a:ln>
        <a:effectLst/>
      </dsp:spPr>
      <dsp:style>
        <a:lnRef idx="0">
          <a:scrgbClr r="0" g="0" b="0"/>
        </a:lnRef>
        <a:fillRef idx="0">
          <a:scrgbClr r="0" g="0" b="0"/>
        </a:fillRef>
        <a:effectRef idx="0">
          <a:scrgbClr r="0" g="0" b="0"/>
        </a:effectRef>
        <a:fontRef idx="minor"/>
      </dsp:style>
      <dsp:txBody>
        <a:bodyPr spcFirstLastPara="0" vert="horz" wrap="square" lIns="114516" tIns="20320" rIns="113792" bIns="20320" numCol="1" spcCol="1270" anchor="t" anchorCtr="0">
          <a:noAutofit/>
        </a:bodyPr>
        <a:lstStyle/>
        <a:p>
          <a:pPr marL="114300" lvl="1" indent="-114300" algn="just" defTabSz="533400" rtl="0">
            <a:lnSpc>
              <a:spcPct val="90000"/>
            </a:lnSpc>
            <a:spcBef>
              <a:spcPct val="0"/>
            </a:spcBef>
            <a:spcAft>
              <a:spcPct val="20000"/>
            </a:spcAft>
            <a:buChar char="•"/>
          </a:pPr>
          <a:r>
            <a:rPr lang="en-US" sz="1200" kern="1200"/>
            <a:t>To synthesise qualitative evidence on how the COVID-19 pandemic affected healthcare personnel in the UK psychologically, focusing on mental-health challenges, occupational burnout and coping strategies, in order to inform responsive supports, workforce resilience, and future crisis preparedness.</a:t>
          </a:r>
        </a:p>
      </dsp:txBody>
      <dsp:txXfrm>
        <a:off x="0" y="1763274"/>
        <a:ext cx="3606800" cy="1059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A620D8-72C5-43D9-834F-35007656ACC4}">
      <dsp:nvSpPr>
        <dsp:cNvPr id="0" name=""/>
        <dsp:cNvSpPr/>
      </dsp:nvSpPr>
      <dsp:spPr>
        <a:xfrm>
          <a:off x="0" y="119117"/>
          <a:ext cx="3773170" cy="316800"/>
        </a:xfrm>
        <a:prstGeom prst="rect">
          <a:avLst/>
        </a:prstGeom>
        <a:solidFill>
          <a:srgbClr val="009999"/>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rtl="0">
            <a:lnSpc>
              <a:spcPct val="90000"/>
            </a:lnSpc>
            <a:spcBef>
              <a:spcPct val="0"/>
            </a:spcBef>
            <a:spcAft>
              <a:spcPct val="35000"/>
            </a:spcAft>
            <a:buNone/>
          </a:pPr>
          <a:r>
            <a:rPr lang="en-US" sz="1400" b="1" kern="1200"/>
            <a:t>How I built This?</a:t>
          </a:r>
        </a:p>
      </dsp:txBody>
      <dsp:txXfrm>
        <a:off x="0" y="119117"/>
        <a:ext cx="3773170" cy="316800"/>
      </dsp:txXfrm>
    </dsp:sp>
    <dsp:sp modelId="{7E3F4C1E-1D57-4164-A553-5CF02309203D}">
      <dsp:nvSpPr>
        <dsp:cNvPr id="0" name=""/>
        <dsp:cNvSpPr/>
      </dsp:nvSpPr>
      <dsp:spPr>
        <a:xfrm>
          <a:off x="0" y="435917"/>
          <a:ext cx="3773170" cy="1600335"/>
        </a:xfrm>
        <a:prstGeom prst="rect">
          <a:avLst/>
        </a:prstGeom>
        <a:solidFill>
          <a:schemeClr val="accent5">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US" sz="1100" kern="1200"/>
            <a:t>I built mine from title-derived keywords and synonyms (e.g., “healthcare workers/HCWs”, “burnout/moral distress”, “UK/NHS”), combined with Boolean operators (AND/OR/NOT). </a:t>
          </a:r>
        </a:p>
        <a:p>
          <a:pPr marL="57150" lvl="1" indent="-57150" algn="l" defTabSz="488950" rtl="0">
            <a:lnSpc>
              <a:spcPct val="90000"/>
            </a:lnSpc>
            <a:spcBef>
              <a:spcPct val="0"/>
            </a:spcBef>
            <a:spcAft>
              <a:spcPct val="15000"/>
            </a:spcAft>
            <a:buChar char="•"/>
          </a:pPr>
          <a:r>
            <a:rPr lang="en-US" sz="1100" kern="1200"/>
            <a:t>Searches ran across Google Scholar, PubMed and the UWTSD Library, filtered to 2020–2024, English, peer-reviewed, UK-relevant. </a:t>
          </a:r>
        </a:p>
        <a:p>
          <a:pPr marL="57150" lvl="1" indent="-57150" algn="l" defTabSz="488950" rtl="0">
            <a:lnSpc>
              <a:spcPct val="90000"/>
            </a:lnSpc>
            <a:spcBef>
              <a:spcPct val="0"/>
            </a:spcBef>
            <a:spcAft>
              <a:spcPct val="15000"/>
            </a:spcAft>
            <a:buChar char="•"/>
          </a:pPr>
          <a:r>
            <a:rPr lang="en-US" sz="1100" kern="1200"/>
            <a:t>I iteratively refined terms using berrypicking and snowballing, logged queries/decisions, and applied PRISMA-style screening to include only pertinent qualitative evidence.</a:t>
          </a:r>
        </a:p>
      </dsp:txBody>
      <dsp:txXfrm>
        <a:off x="0" y="435917"/>
        <a:ext cx="3773170" cy="160033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D7362-A1F6-4607-98EA-596D9843B312}">
      <dsp:nvSpPr>
        <dsp:cNvPr id="0" name=""/>
        <dsp:cNvSpPr/>
      </dsp:nvSpPr>
      <dsp:spPr>
        <a:xfrm>
          <a:off x="768233" y="3018"/>
          <a:ext cx="2135103" cy="411594"/>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t>PRISMA Diagram (Page et al., 2021)</a:t>
          </a:r>
        </a:p>
      </dsp:txBody>
      <dsp:txXfrm>
        <a:off x="780288" y="15073"/>
        <a:ext cx="2110993" cy="387484"/>
      </dsp:txXfrm>
    </dsp:sp>
    <dsp:sp modelId="{3BE17A96-FFC6-4759-97BE-6BA50629DF6C}">
      <dsp:nvSpPr>
        <dsp:cNvPr id="0" name=""/>
        <dsp:cNvSpPr/>
      </dsp:nvSpPr>
      <dsp:spPr>
        <a:xfrm rot="5400000">
          <a:off x="1798231" y="419620"/>
          <a:ext cx="75106" cy="90127"/>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808746" y="427130"/>
        <a:ext cx="54077" cy="52574"/>
      </dsp:txXfrm>
    </dsp:sp>
    <dsp:sp modelId="{E5E1E3B4-D302-48A5-8597-F36B244F791F}">
      <dsp:nvSpPr>
        <dsp:cNvPr id="0" name=""/>
        <dsp:cNvSpPr/>
      </dsp:nvSpPr>
      <dsp:spPr>
        <a:xfrm>
          <a:off x="734549" y="514755"/>
          <a:ext cx="2202471" cy="522053"/>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Identification:1,1121361,248</a:t>
          </a:r>
          <a:endParaRPr lang="en-US" sz="800" kern="1200"/>
        </a:p>
      </dsp:txBody>
      <dsp:txXfrm>
        <a:off x="749839" y="530045"/>
        <a:ext cx="2171891" cy="491473"/>
      </dsp:txXfrm>
    </dsp:sp>
    <dsp:sp modelId="{D4D05623-19A7-493E-8A84-B8E450182D0C}">
      <dsp:nvSpPr>
        <dsp:cNvPr id="0" name=""/>
        <dsp:cNvSpPr/>
      </dsp:nvSpPr>
      <dsp:spPr>
        <a:xfrm rot="5400000">
          <a:off x="1798231" y="1041815"/>
          <a:ext cx="75106" cy="90127"/>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808746" y="1049325"/>
        <a:ext cx="54077" cy="52574"/>
      </dsp:txXfrm>
    </dsp:sp>
    <dsp:sp modelId="{18C21534-AB57-4253-9116-0335D4592F40}">
      <dsp:nvSpPr>
        <dsp:cNvPr id="0" name=""/>
        <dsp:cNvSpPr/>
      </dsp:nvSpPr>
      <dsp:spPr>
        <a:xfrm>
          <a:off x="701614" y="1136950"/>
          <a:ext cx="2268340" cy="433948"/>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Deduplication:312936</a:t>
          </a:r>
          <a:endParaRPr lang="en-US" sz="800" kern="1200"/>
        </a:p>
      </dsp:txBody>
      <dsp:txXfrm>
        <a:off x="714324" y="1149660"/>
        <a:ext cx="2242920" cy="408528"/>
      </dsp:txXfrm>
    </dsp:sp>
    <dsp:sp modelId="{0A7F5197-2B35-4528-B014-6599834D0817}">
      <dsp:nvSpPr>
        <dsp:cNvPr id="0" name=""/>
        <dsp:cNvSpPr/>
      </dsp:nvSpPr>
      <dsp:spPr>
        <a:xfrm rot="5400000">
          <a:off x="1798231" y="1575906"/>
          <a:ext cx="75106" cy="90127"/>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808746" y="1583416"/>
        <a:ext cx="54077" cy="52574"/>
      </dsp:txXfrm>
    </dsp:sp>
    <dsp:sp modelId="{CA7DE993-9E7B-4852-94A5-DF6CE3A92E60}">
      <dsp:nvSpPr>
        <dsp:cNvPr id="0" name=""/>
        <dsp:cNvSpPr/>
      </dsp:nvSpPr>
      <dsp:spPr>
        <a:xfrm>
          <a:off x="665235" y="1671040"/>
          <a:ext cx="2341099" cy="493180"/>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Screening:</a:t>
          </a:r>
          <a:r>
            <a:rPr lang="en-US" sz="800" kern="1200"/>
            <a:t> </a:t>
          </a:r>
          <a:r>
            <a:rPr lang="en-US" sz="800" b="1" kern="1200"/>
            <a:t>936</a:t>
          </a:r>
          <a:r>
            <a:rPr lang="en-US" sz="800" kern="1200"/>
            <a:t> screened; </a:t>
          </a:r>
          <a:r>
            <a:rPr lang="en-US" sz="800" b="1" kern="1200"/>
            <a:t>742</a:t>
          </a:r>
          <a:r>
            <a:rPr lang="en-US" sz="800" kern="1200"/>
            <a:t> excluded</a:t>
          </a:r>
        </a:p>
      </dsp:txBody>
      <dsp:txXfrm>
        <a:off x="679680" y="1685485"/>
        <a:ext cx="2312209" cy="464290"/>
      </dsp:txXfrm>
    </dsp:sp>
    <dsp:sp modelId="{7D85C5BD-223A-45E7-B449-8137F82D3DED}">
      <dsp:nvSpPr>
        <dsp:cNvPr id="0" name=""/>
        <dsp:cNvSpPr/>
      </dsp:nvSpPr>
      <dsp:spPr>
        <a:xfrm rot="5400000">
          <a:off x="1798231" y="2169228"/>
          <a:ext cx="75106" cy="90127"/>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808746" y="2176738"/>
        <a:ext cx="54077" cy="52574"/>
      </dsp:txXfrm>
    </dsp:sp>
    <dsp:sp modelId="{CE6FCFC6-9DA1-4A54-B7EB-8852BAFDE76A}">
      <dsp:nvSpPr>
        <dsp:cNvPr id="0" name=""/>
        <dsp:cNvSpPr/>
      </dsp:nvSpPr>
      <dsp:spPr>
        <a:xfrm>
          <a:off x="595989" y="2264363"/>
          <a:ext cx="2479591" cy="710670"/>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Eligibility:</a:t>
          </a:r>
          <a:r>
            <a:rPr lang="en-US" sz="800" kern="1200"/>
            <a:t> </a:t>
          </a:r>
          <a:r>
            <a:rPr lang="en-US" sz="800" b="1" kern="1200"/>
            <a:t>194</a:t>
          </a:r>
          <a:r>
            <a:rPr lang="en-US" sz="800" kern="1200"/>
            <a:t> full texts; </a:t>
          </a:r>
          <a:r>
            <a:rPr lang="en-US" sz="800" b="1" kern="1200"/>
            <a:t>131</a:t>
          </a:r>
          <a:r>
            <a:rPr lang="en-US" sz="800" kern="1200"/>
            <a:t> excluded (Non-UK </a:t>
          </a:r>
          <a:r>
            <a:rPr lang="en-US" sz="800" b="1" kern="1200"/>
            <a:t>49</a:t>
          </a:r>
          <a:r>
            <a:rPr lang="en-US" sz="800" kern="1200"/>
            <a:t>; Not qualitative </a:t>
          </a:r>
          <a:r>
            <a:rPr lang="en-US" sz="800" b="1" kern="1200"/>
            <a:t>37</a:t>
          </a:r>
          <a:r>
            <a:rPr lang="en-US" sz="800" kern="1200"/>
            <a:t>; Not HCW </a:t>
          </a:r>
          <a:r>
            <a:rPr lang="en-US" sz="800" b="1" kern="1200"/>
            <a:t>29</a:t>
          </a:r>
          <a:r>
            <a:rPr lang="en-US" sz="800" kern="1200"/>
            <a:t>; Insufficient detail </a:t>
          </a:r>
          <a:r>
            <a:rPr lang="en-US" sz="800" b="1" kern="1200"/>
            <a:t>16</a:t>
          </a:r>
          <a:r>
            <a:rPr lang="en-US" sz="800" kern="1200"/>
            <a:t>)</a:t>
          </a:r>
        </a:p>
      </dsp:txBody>
      <dsp:txXfrm>
        <a:off x="616804" y="2285178"/>
        <a:ext cx="2437961" cy="669040"/>
      </dsp:txXfrm>
    </dsp:sp>
    <dsp:sp modelId="{D7C40A71-1A2B-4DFD-854B-55A2CF103D9F}">
      <dsp:nvSpPr>
        <dsp:cNvPr id="0" name=""/>
        <dsp:cNvSpPr/>
      </dsp:nvSpPr>
      <dsp:spPr>
        <a:xfrm rot="5400000">
          <a:off x="1798231" y="2980040"/>
          <a:ext cx="75106" cy="90127"/>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5400000">
        <a:off x="1808746" y="2987550"/>
        <a:ext cx="54077" cy="52574"/>
      </dsp:txXfrm>
    </dsp:sp>
    <dsp:sp modelId="{0C07D24B-2DA8-4653-BBC1-74660A124BD4}">
      <dsp:nvSpPr>
        <dsp:cNvPr id="0" name=""/>
        <dsp:cNvSpPr/>
      </dsp:nvSpPr>
      <dsp:spPr>
        <a:xfrm>
          <a:off x="602862" y="3075175"/>
          <a:ext cx="2465844" cy="804377"/>
        </a:xfrm>
        <a:prstGeom prst="roundRect">
          <a:avLst>
            <a:gd name="adj" fmla="val 10000"/>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Included:</a:t>
          </a:r>
          <a:r>
            <a:rPr lang="en-US" sz="800" kern="1200"/>
            <a:t> </a:t>
          </a:r>
          <a:r>
            <a:rPr lang="en-US" sz="800" b="1" kern="1200"/>
            <a:t>63</a:t>
          </a:r>
          <a:r>
            <a:rPr lang="en-US" sz="800" kern="1200"/>
            <a:t> sources (qual studies/syntheses + key NHS/NICE/HSE/WHO reports + relevant scholarly books)</a:t>
          </a:r>
        </a:p>
      </dsp:txBody>
      <dsp:txXfrm>
        <a:off x="626421" y="3098734"/>
        <a:ext cx="2418726" cy="75725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258787-5B02-45FD-B8EA-0D1D35F9CCFF}">
      <dsp:nvSpPr>
        <dsp:cNvPr id="0" name=""/>
        <dsp:cNvSpPr/>
      </dsp:nvSpPr>
      <dsp:spPr>
        <a:xfrm rot="5400000">
          <a:off x="6028582" y="-2689112"/>
          <a:ext cx="378674" cy="5852160"/>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Secondary research using publicly available publications—no new human data collected; formal participant consent not required.</a:t>
          </a:r>
        </a:p>
      </dsp:txBody>
      <dsp:txXfrm rot="-5400000">
        <a:off x="3291840" y="66115"/>
        <a:ext cx="5833675" cy="341704"/>
      </dsp:txXfrm>
    </dsp:sp>
    <dsp:sp modelId="{8A638836-E5A8-49C2-AD81-7CE5BA4FBB07}">
      <dsp:nvSpPr>
        <dsp:cNvPr id="0" name=""/>
        <dsp:cNvSpPr/>
      </dsp:nvSpPr>
      <dsp:spPr>
        <a:xfrm>
          <a:off x="0" y="295"/>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Nature of study</a:t>
          </a:r>
        </a:p>
      </dsp:txBody>
      <dsp:txXfrm>
        <a:off x="23107" y="23402"/>
        <a:ext cx="3245626" cy="427129"/>
      </dsp:txXfrm>
    </dsp:sp>
    <dsp:sp modelId="{804BC161-BF33-419E-99E1-DEB30285FF2A}">
      <dsp:nvSpPr>
        <dsp:cNvPr id="0" name=""/>
        <dsp:cNvSpPr/>
      </dsp:nvSpPr>
      <dsp:spPr>
        <a:xfrm rot="5400000">
          <a:off x="6028582" y="-2192101"/>
          <a:ext cx="378674" cy="5852160"/>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Accurate representation of findings; consistent Harvard citation; avoidance of plagiarism and selective reporting.</a:t>
          </a:r>
        </a:p>
      </dsp:txBody>
      <dsp:txXfrm rot="-5400000">
        <a:off x="3291840" y="563126"/>
        <a:ext cx="5833675" cy="341704"/>
      </dsp:txXfrm>
    </dsp:sp>
    <dsp:sp modelId="{4F696ACF-0380-4A73-AC19-62BE37ECAFA3}">
      <dsp:nvSpPr>
        <dsp:cNvPr id="0" name=""/>
        <dsp:cNvSpPr/>
      </dsp:nvSpPr>
      <dsp:spPr>
        <a:xfrm>
          <a:off x="0" y="497306"/>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Integrity &amp; attribution</a:t>
          </a:r>
        </a:p>
      </dsp:txBody>
      <dsp:txXfrm>
        <a:off x="23107" y="520413"/>
        <a:ext cx="3245626" cy="427129"/>
      </dsp:txXfrm>
    </dsp:sp>
    <dsp:sp modelId="{B2BF53FB-16A1-4C74-A9AE-B8629A45513A}">
      <dsp:nvSpPr>
        <dsp:cNvPr id="0" name=""/>
        <dsp:cNvSpPr/>
      </dsp:nvSpPr>
      <dsp:spPr>
        <a:xfrm rot="5400000">
          <a:off x="6028582" y="-1695090"/>
          <a:ext cx="378674" cy="5852160"/>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Use of predefined protocol, PRISMA-style screening, and clear inclusion/exclusion to reduce bias; audit trail of search logs/decisions.</a:t>
          </a:r>
        </a:p>
      </dsp:txBody>
      <dsp:txXfrm rot="-5400000">
        <a:off x="3291840" y="1060137"/>
        <a:ext cx="5833675" cy="341704"/>
      </dsp:txXfrm>
    </dsp:sp>
    <dsp:sp modelId="{A24BD147-143B-47BB-9927-46556D5AA353}">
      <dsp:nvSpPr>
        <dsp:cNvPr id="0" name=""/>
        <dsp:cNvSpPr/>
      </dsp:nvSpPr>
      <dsp:spPr>
        <a:xfrm>
          <a:off x="0" y="994317"/>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Quality &amp; transparency</a:t>
          </a:r>
        </a:p>
      </dsp:txBody>
      <dsp:txXfrm>
        <a:off x="23107" y="1017424"/>
        <a:ext cx="3245626" cy="427129"/>
      </dsp:txXfrm>
    </dsp:sp>
    <dsp:sp modelId="{62E89A81-C667-4CB9-826B-92478EA6D68F}">
      <dsp:nvSpPr>
        <dsp:cNvPr id="0" name=""/>
        <dsp:cNvSpPr/>
      </dsp:nvSpPr>
      <dsp:spPr>
        <a:xfrm rot="5400000">
          <a:off x="6028582" y="-1198079"/>
          <a:ext cx="378674" cy="5852160"/>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Respectful synthesis of distressing/moral-injury narratives; avoid sensationalism and de-identification where case vignettes appear.</a:t>
          </a:r>
        </a:p>
      </dsp:txBody>
      <dsp:txXfrm rot="-5400000">
        <a:off x="3291840" y="1557148"/>
        <a:ext cx="5833675" cy="341704"/>
      </dsp:txXfrm>
    </dsp:sp>
    <dsp:sp modelId="{BD744D8B-0429-4B13-BE84-F702F8940636}">
      <dsp:nvSpPr>
        <dsp:cNvPr id="0" name=""/>
        <dsp:cNvSpPr/>
      </dsp:nvSpPr>
      <dsp:spPr>
        <a:xfrm>
          <a:off x="0" y="1491328"/>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Sensitivity</a:t>
          </a:r>
        </a:p>
      </dsp:txBody>
      <dsp:txXfrm>
        <a:off x="23107" y="1514435"/>
        <a:ext cx="3245626" cy="427129"/>
      </dsp:txXfrm>
    </dsp:sp>
    <dsp:sp modelId="{261278D9-D960-4259-B079-6EE5922268B6}">
      <dsp:nvSpPr>
        <dsp:cNvPr id="0" name=""/>
        <dsp:cNvSpPr/>
      </dsp:nvSpPr>
      <dsp:spPr>
        <a:xfrm rot="5400000">
          <a:off x="6028582" y="-701069"/>
          <a:ext cx="378674" cy="5852160"/>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Include diverse UK settings/roles to minimise bias; report limitations.</a:t>
          </a:r>
        </a:p>
      </dsp:txBody>
      <dsp:txXfrm rot="-5400000">
        <a:off x="3291840" y="2054158"/>
        <a:ext cx="5833675" cy="341704"/>
      </dsp:txXfrm>
    </dsp:sp>
    <dsp:sp modelId="{FF15D100-8743-4F20-953D-847249554C09}">
      <dsp:nvSpPr>
        <dsp:cNvPr id="0" name=""/>
        <dsp:cNvSpPr/>
      </dsp:nvSpPr>
      <dsp:spPr>
        <a:xfrm>
          <a:off x="0" y="1988339"/>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Equity &amp; balance</a:t>
          </a:r>
        </a:p>
      </dsp:txBody>
      <dsp:txXfrm>
        <a:off x="23107" y="2011446"/>
        <a:ext cx="3245626" cy="427129"/>
      </dsp:txXfrm>
    </dsp:sp>
    <dsp:sp modelId="{E245FCA7-6351-4343-863E-0E8966DCBC92}">
      <dsp:nvSpPr>
        <dsp:cNvPr id="0" name=""/>
        <dsp:cNvSpPr/>
      </dsp:nvSpPr>
      <dsp:spPr>
        <a:xfrm rot="5400000">
          <a:off x="6028582" y="-204058"/>
          <a:ext cx="378674" cy="5852160"/>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Use legal/open-access sources; quote minimally and fairly.</a:t>
          </a:r>
        </a:p>
      </dsp:txBody>
      <dsp:txXfrm rot="-5400000">
        <a:off x="3291840" y="2551169"/>
        <a:ext cx="5833675" cy="341704"/>
      </dsp:txXfrm>
    </dsp:sp>
    <dsp:sp modelId="{A76BCEFC-4898-4DDD-BF5F-E34B0803D15F}">
      <dsp:nvSpPr>
        <dsp:cNvPr id="0" name=""/>
        <dsp:cNvSpPr/>
      </dsp:nvSpPr>
      <dsp:spPr>
        <a:xfrm>
          <a:off x="0" y="2485349"/>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Copyright &amp; access</a:t>
          </a:r>
        </a:p>
      </dsp:txBody>
      <dsp:txXfrm>
        <a:off x="23107" y="2508456"/>
        <a:ext cx="3245626" cy="427129"/>
      </dsp:txXfrm>
    </dsp:sp>
    <dsp:sp modelId="{41F39E2A-37D6-4819-B855-EB7978AE1D39}">
      <dsp:nvSpPr>
        <dsp:cNvPr id="0" name=""/>
        <dsp:cNvSpPr/>
      </dsp:nvSpPr>
      <dsp:spPr>
        <a:xfrm rot="5400000">
          <a:off x="6028582" y="292952"/>
          <a:ext cx="378674" cy="5852160"/>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rtl="0">
            <a:lnSpc>
              <a:spcPct val="90000"/>
            </a:lnSpc>
            <a:spcBef>
              <a:spcPct val="0"/>
            </a:spcBef>
            <a:spcAft>
              <a:spcPct val="15000"/>
            </a:spcAft>
            <a:buChar char="•"/>
          </a:pPr>
          <a:r>
            <a:rPr lang="en-US" sz="1000" kern="1200"/>
            <a:t>Acknowledge researcher assumptions and potential confirmation bias.</a:t>
          </a:r>
        </a:p>
      </dsp:txBody>
      <dsp:txXfrm rot="-5400000">
        <a:off x="3291840" y="3048180"/>
        <a:ext cx="5833675" cy="341704"/>
      </dsp:txXfrm>
    </dsp:sp>
    <dsp:sp modelId="{5A2AA842-5507-4CCA-9158-C88823702BA1}">
      <dsp:nvSpPr>
        <dsp:cNvPr id="0" name=""/>
        <dsp:cNvSpPr/>
      </dsp:nvSpPr>
      <dsp:spPr>
        <a:xfrm>
          <a:off x="0" y="2982360"/>
          <a:ext cx="3291840" cy="473343"/>
        </a:xfrm>
        <a:prstGeom prst="roundRect">
          <a:avLst/>
        </a:prstGeom>
        <a:solidFill>
          <a:srgbClr val="0099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marL="0" lvl="0" indent="0" algn="ctr" defTabSz="1066800" rtl="0">
            <a:lnSpc>
              <a:spcPct val="90000"/>
            </a:lnSpc>
            <a:spcBef>
              <a:spcPct val="0"/>
            </a:spcBef>
            <a:spcAft>
              <a:spcPct val="35000"/>
            </a:spcAft>
            <a:buNone/>
          </a:pPr>
          <a:r>
            <a:rPr lang="en-US" sz="2400" kern="1200"/>
            <a:t>Reflexivity</a:t>
          </a:r>
        </a:p>
      </dsp:txBody>
      <dsp:txXfrm>
        <a:off x="23107" y="3005467"/>
        <a:ext cx="3245626" cy="427129"/>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CF363-EEAB-4C1A-B833-4EB278A76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15001</Words>
  <Characters>106809</Characters>
  <Application>Microsoft Office Word</Application>
  <DocSecurity>0</DocSecurity>
  <Lines>3236</Lines>
  <Paragraphs>1368</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dc:creator>
  <cp:keywords/>
  <dc:description/>
  <cp:lastModifiedBy>Shazia Shaban (2224730)</cp:lastModifiedBy>
  <cp:revision>2</cp:revision>
  <dcterms:created xsi:type="dcterms:W3CDTF">2025-11-28T09:22:00Z</dcterms:created>
  <dcterms:modified xsi:type="dcterms:W3CDTF">2025-11-28T09:22:00Z</dcterms:modified>
</cp:coreProperties>
</file>