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BCC39" w14:textId="77777777" w:rsidR="00567EF5" w:rsidRDefault="00567EF5">
      <w:pPr>
        <w:spacing w:line="360" w:lineRule="auto"/>
        <w:jc w:val="both"/>
        <w:rPr>
          <w:sz w:val="24"/>
          <w:szCs w:val="24"/>
        </w:rPr>
      </w:pPr>
    </w:p>
    <w:p w14:paraId="287BCC3A" w14:textId="77777777" w:rsidR="00567EF5" w:rsidRPr="00E837F8" w:rsidRDefault="006578A3">
      <w:pPr>
        <w:spacing w:line="360" w:lineRule="auto"/>
        <w:jc w:val="center"/>
        <w:rPr>
          <w:sz w:val="24"/>
          <w:szCs w:val="24"/>
        </w:rPr>
      </w:pPr>
      <w:r w:rsidRPr="00E837F8">
        <w:rPr>
          <w:noProof/>
          <w:sz w:val="24"/>
          <w:szCs w:val="24"/>
        </w:rPr>
        <w:drawing>
          <wp:inline distT="0" distB="0" distL="0" distR="0" wp14:anchorId="287BD002" wp14:editId="287BD003">
            <wp:extent cx="4636076" cy="1936156"/>
            <wp:effectExtent l="0" t="0" r="0" b="0"/>
            <wp:docPr id="205272330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287BCC3B" w14:textId="77777777" w:rsidR="00567EF5" w:rsidRPr="00E837F8" w:rsidRDefault="00567EF5">
      <w:pPr>
        <w:spacing w:line="360" w:lineRule="auto"/>
        <w:jc w:val="center"/>
        <w:rPr>
          <w:sz w:val="24"/>
          <w:szCs w:val="24"/>
        </w:rPr>
      </w:pPr>
    </w:p>
    <w:p w14:paraId="287BCC3C" w14:textId="77777777" w:rsidR="00567EF5" w:rsidRPr="00E837F8" w:rsidRDefault="00567EF5">
      <w:pPr>
        <w:spacing w:line="360" w:lineRule="auto"/>
        <w:jc w:val="center"/>
        <w:rPr>
          <w:sz w:val="24"/>
          <w:szCs w:val="24"/>
        </w:rPr>
      </w:pPr>
    </w:p>
    <w:p w14:paraId="287BCC3D" w14:textId="77777777" w:rsidR="00567EF5" w:rsidRPr="00E837F8" w:rsidRDefault="00567EF5">
      <w:pPr>
        <w:spacing w:line="360" w:lineRule="auto"/>
        <w:jc w:val="center"/>
        <w:rPr>
          <w:sz w:val="24"/>
          <w:szCs w:val="24"/>
        </w:rPr>
      </w:pPr>
    </w:p>
    <w:p w14:paraId="287BCC3E" w14:textId="77777777" w:rsidR="00567EF5" w:rsidRPr="00E837F8" w:rsidRDefault="006578A3">
      <w:pPr>
        <w:spacing w:line="360" w:lineRule="auto"/>
        <w:jc w:val="center"/>
        <w:rPr>
          <w:sz w:val="24"/>
          <w:szCs w:val="24"/>
        </w:rPr>
      </w:pPr>
      <w:r w:rsidRPr="00E837F8">
        <w:rPr>
          <w:sz w:val="24"/>
          <w:szCs w:val="24"/>
        </w:rPr>
        <w:t>ASSIGNMENT REPORT</w:t>
      </w:r>
    </w:p>
    <w:p w14:paraId="287BCC3F" w14:textId="77777777" w:rsidR="00567EF5" w:rsidRPr="00E837F8" w:rsidRDefault="00567EF5">
      <w:pPr>
        <w:spacing w:line="360" w:lineRule="auto"/>
        <w:jc w:val="center"/>
        <w:rPr>
          <w:sz w:val="24"/>
          <w:szCs w:val="24"/>
        </w:rPr>
      </w:pPr>
    </w:p>
    <w:p w14:paraId="287BCC40" w14:textId="77777777" w:rsidR="00567EF5" w:rsidRPr="00E837F8" w:rsidRDefault="00567EF5">
      <w:pPr>
        <w:spacing w:line="360" w:lineRule="auto"/>
        <w:jc w:val="center"/>
        <w:rPr>
          <w:sz w:val="24"/>
          <w:szCs w:val="24"/>
        </w:rPr>
      </w:pPr>
    </w:p>
    <w:p w14:paraId="287BCC41" w14:textId="77777777" w:rsidR="00567EF5" w:rsidRPr="00E837F8" w:rsidRDefault="00567EF5">
      <w:pPr>
        <w:spacing w:line="360" w:lineRule="auto"/>
        <w:jc w:val="center"/>
        <w:rPr>
          <w:sz w:val="24"/>
          <w:szCs w:val="24"/>
        </w:rPr>
      </w:pPr>
    </w:p>
    <w:p w14:paraId="287BCC42" w14:textId="77777777" w:rsidR="00567EF5" w:rsidRPr="00E837F8" w:rsidRDefault="00567EF5">
      <w:pPr>
        <w:spacing w:line="360" w:lineRule="auto"/>
        <w:jc w:val="center"/>
        <w:rPr>
          <w:sz w:val="24"/>
          <w:szCs w:val="24"/>
        </w:rPr>
      </w:pPr>
    </w:p>
    <w:p w14:paraId="287BCC43" w14:textId="77777777" w:rsidR="00567EF5" w:rsidRPr="00E837F8" w:rsidRDefault="006578A3">
      <w:pPr>
        <w:spacing w:line="360" w:lineRule="auto"/>
        <w:jc w:val="center"/>
        <w:rPr>
          <w:sz w:val="24"/>
          <w:szCs w:val="24"/>
        </w:rPr>
      </w:pPr>
      <w:r w:rsidRPr="00E837F8">
        <w:rPr>
          <w:sz w:val="24"/>
          <w:szCs w:val="24"/>
        </w:rPr>
        <w:t>27TH MARCH 2026</w:t>
      </w:r>
    </w:p>
    <w:p w14:paraId="287BCC44" w14:textId="77777777" w:rsidR="00567EF5" w:rsidRPr="00E837F8" w:rsidRDefault="006578A3">
      <w:pPr>
        <w:spacing w:line="360" w:lineRule="auto"/>
        <w:jc w:val="center"/>
        <w:rPr>
          <w:sz w:val="24"/>
          <w:szCs w:val="24"/>
        </w:rPr>
      </w:pPr>
      <w:r w:rsidRPr="00E837F8">
        <w:rPr>
          <w:sz w:val="24"/>
          <w:szCs w:val="24"/>
        </w:rPr>
        <w:t>STUDENT: BINA SUBEDI (2512009)</w:t>
      </w:r>
    </w:p>
    <w:p w14:paraId="287BCC45" w14:textId="77777777" w:rsidR="00567EF5" w:rsidRPr="00E837F8" w:rsidRDefault="006578A3">
      <w:pPr>
        <w:spacing w:line="360" w:lineRule="auto"/>
        <w:jc w:val="center"/>
        <w:rPr>
          <w:sz w:val="24"/>
          <w:szCs w:val="24"/>
        </w:rPr>
      </w:pPr>
      <w:r w:rsidRPr="00E837F8">
        <w:rPr>
          <w:sz w:val="24"/>
          <w:szCs w:val="24"/>
        </w:rPr>
        <w:t>LECTURER: DR. MANSOOB MURSHED</w:t>
      </w:r>
    </w:p>
    <w:p w14:paraId="287BCC46" w14:textId="77777777" w:rsidR="00567EF5" w:rsidRPr="00E837F8" w:rsidRDefault="006578A3">
      <w:pPr>
        <w:spacing w:line="360" w:lineRule="auto"/>
        <w:jc w:val="center"/>
        <w:rPr>
          <w:sz w:val="24"/>
          <w:szCs w:val="24"/>
        </w:rPr>
      </w:pPr>
      <w:r w:rsidRPr="00E837F8">
        <w:rPr>
          <w:sz w:val="24"/>
          <w:szCs w:val="24"/>
        </w:rPr>
        <w:t>CRITICAL LITERATURE REVIEW FOR DOCTORAL RESEARCH (LCDB7009)</w:t>
      </w:r>
    </w:p>
    <w:p w14:paraId="287BCC47" w14:textId="77777777" w:rsidR="00567EF5" w:rsidRPr="00E837F8" w:rsidRDefault="00567EF5">
      <w:pPr>
        <w:spacing w:line="360" w:lineRule="auto"/>
        <w:jc w:val="center"/>
        <w:rPr>
          <w:sz w:val="24"/>
          <w:szCs w:val="24"/>
        </w:rPr>
      </w:pPr>
    </w:p>
    <w:p w14:paraId="287BCC48" w14:textId="77777777" w:rsidR="00567EF5" w:rsidRPr="00E837F8" w:rsidRDefault="00567EF5">
      <w:pPr>
        <w:spacing w:line="360" w:lineRule="auto"/>
        <w:jc w:val="center"/>
        <w:rPr>
          <w:b/>
          <w:bCs/>
          <w:sz w:val="24"/>
          <w:szCs w:val="24"/>
        </w:rPr>
      </w:pPr>
    </w:p>
    <w:p w14:paraId="287BCC49" w14:textId="77777777" w:rsidR="00567EF5" w:rsidRPr="00E837F8" w:rsidRDefault="00567EF5">
      <w:pPr>
        <w:spacing w:line="360" w:lineRule="auto"/>
        <w:jc w:val="center"/>
        <w:rPr>
          <w:b/>
          <w:bCs/>
          <w:sz w:val="24"/>
          <w:szCs w:val="24"/>
        </w:rPr>
      </w:pPr>
    </w:p>
    <w:p w14:paraId="287BCC4A" w14:textId="77777777" w:rsidR="00567EF5" w:rsidRPr="00E837F8" w:rsidRDefault="00567EF5">
      <w:pPr>
        <w:spacing w:line="360" w:lineRule="auto"/>
        <w:jc w:val="center"/>
        <w:rPr>
          <w:b/>
          <w:bCs/>
          <w:sz w:val="24"/>
          <w:szCs w:val="24"/>
        </w:rPr>
      </w:pPr>
    </w:p>
    <w:p w14:paraId="287BCC4B" w14:textId="77777777" w:rsidR="00567EF5" w:rsidRPr="00E837F8" w:rsidRDefault="00567EF5">
      <w:pPr>
        <w:spacing w:line="360" w:lineRule="auto"/>
        <w:jc w:val="center"/>
        <w:rPr>
          <w:b/>
          <w:bCs/>
          <w:sz w:val="24"/>
          <w:szCs w:val="24"/>
        </w:rPr>
      </w:pPr>
    </w:p>
    <w:p w14:paraId="287BCC4C" w14:textId="77777777" w:rsidR="00567EF5" w:rsidRPr="00E837F8" w:rsidRDefault="00567EF5">
      <w:pPr>
        <w:spacing w:line="360" w:lineRule="auto"/>
        <w:jc w:val="center"/>
        <w:rPr>
          <w:b/>
          <w:bCs/>
          <w:sz w:val="24"/>
          <w:szCs w:val="24"/>
        </w:rPr>
      </w:pPr>
    </w:p>
    <w:p w14:paraId="287BCC4D" w14:textId="77777777" w:rsidR="00567EF5" w:rsidRPr="00E837F8" w:rsidRDefault="006578A3">
      <w:pPr>
        <w:spacing w:line="360" w:lineRule="auto"/>
        <w:jc w:val="center"/>
        <w:rPr>
          <w:b/>
          <w:bCs/>
          <w:sz w:val="24"/>
          <w:szCs w:val="24"/>
        </w:rPr>
      </w:pPr>
      <w:r w:rsidRPr="00E837F8">
        <w:rPr>
          <w:smallCaps/>
          <w:noProof/>
          <w:color w:val="4472C4"/>
          <w:sz w:val="24"/>
          <w:szCs w:val="24"/>
        </w:rPr>
        <w:drawing>
          <wp:inline distT="0" distB="0" distL="0" distR="0" wp14:anchorId="287BD004" wp14:editId="287BD005">
            <wp:extent cx="915357" cy="1016046"/>
            <wp:effectExtent l="0" t="0" r="0" b="0"/>
            <wp:docPr id="205272330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915357" cy="1016046"/>
                    </a:xfrm>
                    <a:prstGeom prst="rect">
                      <a:avLst/>
                    </a:prstGeom>
                    <a:ln/>
                  </pic:spPr>
                </pic:pic>
              </a:graphicData>
            </a:graphic>
          </wp:inline>
        </w:drawing>
      </w:r>
    </w:p>
    <w:p w14:paraId="287BCC4E" w14:textId="77777777" w:rsidR="00567EF5" w:rsidRPr="00E837F8" w:rsidRDefault="00567EF5">
      <w:pPr>
        <w:spacing w:line="360" w:lineRule="auto"/>
        <w:jc w:val="center"/>
        <w:rPr>
          <w:b/>
          <w:bCs/>
          <w:sz w:val="24"/>
          <w:szCs w:val="24"/>
        </w:rPr>
      </w:pPr>
    </w:p>
    <w:p w14:paraId="287BCC4F" w14:textId="77777777" w:rsidR="00567EF5" w:rsidRPr="00E837F8" w:rsidRDefault="00567EF5">
      <w:pPr>
        <w:spacing w:line="360" w:lineRule="auto"/>
        <w:jc w:val="center"/>
        <w:rPr>
          <w:b/>
          <w:bCs/>
          <w:sz w:val="24"/>
          <w:szCs w:val="24"/>
        </w:rPr>
      </w:pPr>
    </w:p>
    <w:p w14:paraId="287BCC50" w14:textId="77777777" w:rsidR="00567EF5" w:rsidRPr="00E837F8" w:rsidRDefault="00567EF5">
      <w:pPr>
        <w:spacing w:line="360" w:lineRule="auto"/>
        <w:jc w:val="center"/>
        <w:rPr>
          <w:b/>
          <w:bCs/>
          <w:sz w:val="24"/>
          <w:szCs w:val="24"/>
        </w:rPr>
      </w:pPr>
    </w:p>
    <w:p w14:paraId="287BCC51" w14:textId="77777777" w:rsidR="00567EF5" w:rsidRPr="00E837F8" w:rsidRDefault="00567EF5">
      <w:pPr>
        <w:spacing w:line="360" w:lineRule="auto"/>
        <w:jc w:val="center"/>
        <w:rPr>
          <w:b/>
          <w:bCs/>
          <w:sz w:val="24"/>
          <w:szCs w:val="24"/>
        </w:rPr>
      </w:pPr>
    </w:p>
    <w:p w14:paraId="287BCC52" w14:textId="77777777" w:rsidR="00567EF5" w:rsidRPr="00E837F8" w:rsidRDefault="00567EF5">
      <w:pPr>
        <w:spacing w:line="360" w:lineRule="auto"/>
        <w:jc w:val="center"/>
        <w:rPr>
          <w:b/>
          <w:bCs/>
          <w:sz w:val="24"/>
          <w:szCs w:val="24"/>
        </w:rPr>
      </w:pPr>
    </w:p>
    <w:p w14:paraId="287BCC53" w14:textId="77777777" w:rsidR="00567EF5" w:rsidRPr="00E837F8" w:rsidRDefault="00567EF5">
      <w:pPr>
        <w:spacing w:line="360" w:lineRule="auto"/>
        <w:jc w:val="center"/>
        <w:rPr>
          <w:b/>
          <w:bCs/>
          <w:sz w:val="24"/>
          <w:szCs w:val="24"/>
        </w:rPr>
      </w:pPr>
    </w:p>
    <w:p w14:paraId="287BCC54" w14:textId="77777777" w:rsidR="00567EF5" w:rsidRPr="00E837F8" w:rsidRDefault="00567EF5">
      <w:pPr>
        <w:spacing w:line="360" w:lineRule="auto"/>
        <w:jc w:val="center"/>
        <w:rPr>
          <w:b/>
          <w:bCs/>
          <w:sz w:val="24"/>
          <w:szCs w:val="24"/>
        </w:rPr>
      </w:pPr>
    </w:p>
    <w:p w14:paraId="287BCC55" w14:textId="77777777" w:rsidR="00567EF5" w:rsidRPr="00E837F8" w:rsidRDefault="00567EF5">
      <w:pPr>
        <w:spacing w:line="360" w:lineRule="auto"/>
        <w:jc w:val="center"/>
        <w:rPr>
          <w:b/>
          <w:bCs/>
          <w:sz w:val="24"/>
          <w:szCs w:val="24"/>
        </w:rPr>
      </w:pPr>
    </w:p>
    <w:p w14:paraId="287BCC56" w14:textId="77777777" w:rsidR="00567EF5" w:rsidRPr="00E837F8" w:rsidRDefault="00567EF5">
      <w:pPr>
        <w:spacing w:line="360" w:lineRule="auto"/>
        <w:jc w:val="center"/>
        <w:rPr>
          <w:b/>
          <w:bCs/>
          <w:sz w:val="24"/>
          <w:szCs w:val="24"/>
        </w:rPr>
      </w:pPr>
    </w:p>
    <w:p w14:paraId="287BCC57" w14:textId="77777777" w:rsidR="00567EF5" w:rsidRPr="00E837F8" w:rsidRDefault="00567EF5">
      <w:pPr>
        <w:spacing w:line="360" w:lineRule="auto"/>
        <w:jc w:val="center"/>
        <w:rPr>
          <w:b/>
          <w:bCs/>
          <w:sz w:val="24"/>
          <w:szCs w:val="24"/>
        </w:rPr>
      </w:pPr>
    </w:p>
    <w:p w14:paraId="287BCC58" w14:textId="77777777" w:rsidR="00567EF5" w:rsidRPr="00E837F8" w:rsidRDefault="00567EF5">
      <w:pPr>
        <w:spacing w:line="360" w:lineRule="auto"/>
        <w:jc w:val="center"/>
        <w:rPr>
          <w:b/>
          <w:bCs/>
          <w:sz w:val="24"/>
          <w:szCs w:val="24"/>
        </w:rPr>
      </w:pPr>
    </w:p>
    <w:p w14:paraId="287BCC59" w14:textId="77777777" w:rsidR="00567EF5" w:rsidRPr="00E837F8" w:rsidRDefault="00567EF5">
      <w:pPr>
        <w:spacing w:line="360" w:lineRule="auto"/>
        <w:jc w:val="center"/>
        <w:rPr>
          <w:b/>
          <w:bCs/>
          <w:sz w:val="24"/>
          <w:szCs w:val="24"/>
        </w:rPr>
      </w:pPr>
    </w:p>
    <w:p w14:paraId="287BCC5A" w14:textId="77777777" w:rsidR="00567EF5" w:rsidRPr="00E837F8" w:rsidRDefault="00567EF5">
      <w:pPr>
        <w:spacing w:line="360" w:lineRule="auto"/>
        <w:jc w:val="center"/>
        <w:rPr>
          <w:b/>
          <w:bCs/>
          <w:sz w:val="24"/>
          <w:szCs w:val="24"/>
        </w:rPr>
      </w:pPr>
    </w:p>
    <w:p w14:paraId="287BCC5B" w14:textId="77777777" w:rsidR="00567EF5" w:rsidRPr="00E837F8" w:rsidRDefault="006578A3">
      <w:pPr>
        <w:spacing w:line="360" w:lineRule="auto"/>
        <w:jc w:val="center"/>
        <w:rPr>
          <w:b/>
          <w:bCs/>
          <w:sz w:val="24"/>
          <w:szCs w:val="24"/>
        </w:rPr>
      </w:pPr>
      <w:r w:rsidRPr="00E837F8">
        <w:rPr>
          <w:b/>
          <w:bCs/>
          <w:sz w:val="24"/>
          <w:szCs w:val="24"/>
        </w:rPr>
        <w:t>Part-I</w:t>
      </w:r>
    </w:p>
    <w:p w14:paraId="287BCC5C" w14:textId="77777777" w:rsidR="00567EF5" w:rsidRPr="00E837F8" w:rsidRDefault="006578A3">
      <w:pPr>
        <w:spacing w:line="360" w:lineRule="auto"/>
        <w:jc w:val="center"/>
        <w:rPr>
          <w:b/>
          <w:bCs/>
          <w:sz w:val="24"/>
          <w:szCs w:val="24"/>
        </w:rPr>
      </w:pPr>
      <w:r w:rsidRPr="00E837F8">
        <w:rPr>
          <w:b/>
          <w:bCs/>
          <w:sz w:val="24"/>
          <w:szCs w:val="24"/>
        </w:rPr>
        <w:t>Explore critically the purpose, content, and format of a critical literature review for doctoral research.</w:t>
      </w:r>
    </w:p>
    <w:p w14:paraId="287BCC5D" w14:textId="77777777" w:rsidR="00567EF5" w:rsidRPr="00E837F8" w:rsidRDefault="00567EF5">
      <w:pPr>
        <w:spacing w:line="360" w:lineRule="auto"/>
        <w:jc w:val="center"/>
        <w:rPr>
          <w:sz w:val="24"/>
          <w:szCs w:val="24"/>
        </w:rPr>
      </w:pPr>
    </w:p>
    <w:p w14:paraId="287BCC5E" w14:textId="77777777" w:rsidR="00567EF5" w:rsidRPr="00E837F8" w:rsidRDefault="00567EF5">
      <w:pPr>
        <w:spacing w:line="360" w:lineRule="auto"/>
        <w:jc w:val="both"/>
        <w:rPr>
          <w:sz w:val="24"/>
          <w:szCs w:val="24"/>
        </w:rPr>
      </w:pPr>
    </w:p>
    <w:p w14:paraId="287BCC5F" w14:textId="77777777" w:rsidR="00567EF5" w:rsidRPr="00E837F8" w:rsidRDefault="00567EF5">
      <w:pPr>
        <w:spacing w:line="360" w:lineRule="auto"/>
        <w:jc w:val="both"/>
        <w:rPr>
          <w:sz w:val="24"/>
          <w:szCs w:val="24"/>
        </w:rPr>
      </w:pPr>
    </w:p>
    <w:p w14:paraId="287BCC60" w14:textId="77777777" w:rsidR="00567EF5" w:rsidRPr="00E837F8" w:rsidRDefault="00567EF5">
      <w:pPr>
        <w:spacing w:line="360" w:lineRule="auto"/>
        <w:jc w:val="both"/>
        <w:rPr>
          <w:sz w:val="24"/>
          <w:szCs w:val="24"/>
        </w:rPr>
      </w:pPr>
    </w:p>
    <w:p w14:paraId="287BCC61" w14:textId="77777777" w:rsidR="00567EF5" w:rsidRPr="00E837F8" w:rsidRDefault="00567EF5">
      <w:pPr>
        <w:spacing w:line="360" w:lineRule="auto"/>
        <w:jc w:val="both"/>
        <w:rPr>
          <w:sz w:val="24"/>
          <w:szCs w:val="24"/>
        </w:rPr>
      </w:pPr>
    </w:p>
    <w:p w14:paraId="287BCC62" w14:textId="77777777" w:rsidR="00567EF5" w:rsidRPr="00E837F8" w:rsidRDefault="00567EF5">
      <w:pPr>
        <w:spacing w:line="360" w:lineRule="auto"/>
        <w:jc w:val="both"/>
        <w:rPr>
          <w:sz w:val="24"/>
          <w:szCs w:val="24"/>
        </w:rPr>
      </w:pPr>
    </w:p>
    <w:p w14:paraId="287BCC63" w14:textId="77777777" w:rsidR="00567EF5" w:rsidRPr="00E837F8" w:rsidRDefault="00567EF5">
      <w:pPr>
        <w:spacing w:line="360" w:lineRule="auto"/>
        <w:jc w:val="both"/>
        <w:rPr>
          <w:sz w:val="24"/>
          <w:szCs w:val="24"/>
        </w:rPr>
      </w:pPr>
    </w:p>
    <w:p w14:paraId="287BCC64" w14:textId="77777777" w:rsidR="00567EF5" w:rsidRPr="00E837F8" w:rsidRDefault="00567EF5">
      <w:pPr>
        <w:spacing w:line="360" w:lineRule="auto"/>
        <w:jc w:val="both"/>
        <w:rPr>
          <w:sz w:val="24"/>
          <w:szCs w:val="24"/>
        </w:rPr>
      </w:pPr>
    </w:p>
    <w:p w14:paraId="287BCC65" w14:textId="77777777" w:rsidR="00567EF5" w:rsidRPr="00E837F8" w:rsidRDefault="00567EF5">
      <w:pPr>
        <w:spacing w:line="360" w:lineRule="auto"/>
        <w:jc w:val="both"/>
        <w:rPr>
          <w:sz w:val="24"/>
          <w:szCs w:val="24"/>
        </w:rPr>
      </w:pPr>
    </w:p>
    <w:p w14:paraId="287BCC66" w14:textId="77777777" w:rsidR="00567EF5" w:rsidRPr="00E837F8" w:rsidRDefault="00567EF5">
      <w:pPr>
        <w:spacing w:line="360" w:lineRule="auto"/>
        <w:jc w:val="both"/>
        <w:rPr>
          <w:sz w:val="24"/>
          <w:szCs w:val="24"/>
        </w:rPr>
      </w:pPr>
    </w:p>
    <w:p w14:paraId="287BCC67" w14:textId="77777777" w:rsidR="00567EF5" w:rsidRPr="00E837F8" w:rsidRDefault="00567EF5">
      <w:pPr>
        <w:spacing w:line="360" w:lineRule="auto"/>
        <w:jc w:val="both"/>
        <w:rPr>
          <w:sz w:val="24"/>
          <w:szCs w:val="24"/>
        </w:rPr>
      </w:pPr>
    </w:p>
    <w:p w14:paraId="287BCC68" w14:textId="77777777" w:rsidR="00567EF5" w:rsidRPr="00E837F8" w:rsidRDefault="00567EF5">
      <w:pPr>
        <w:spacing w:line="360" w:lineRule="auto"/>
        <w:jc w:val="both"/>
        <w:rPr>
          <w:sz w:val="24"/>
          <w:szCs w:val="24"/>
        </w:rPr>
      </w:pPr>
    </w:p>
    <w:p w14:paraId="287BCC69" w14:textId="77777777" w:rsidR="00567EF5" w:rsidRPr="00E837F8" w:rsidRDefault="00567EF5">
      <w:pPr>
        <w:spacing w:line="360" w:lineRule="auto"/>
        <w:jc w:val="both"/>
        <w:rPr>
          <w:sz w:val="24"/>
          <w:szCs w:val="24"/>
        </w:rPr>
      </w:pPr>
    </w:p>
    <w:p w14:paraId="0113D672" w14:textId="77777777" w:rsidR="007B2679" w:rsidRDefault="007B2679">
      <w:pPr>
        <w:spacing w:line="360" w:lineRule="auto"/>
        <w:jc w:val="both"/>
        <w:rPr>
          <w:sz w:val="24"/>
          <w:szCs w:val="24"/>
        </w:rPr>
        <w:sectPr w:rsidR="007B2679">
          <w:footerReference w:type="default" r:id="rId10"/>
          <w:pgSz w:w="12240" w:h="15840"/>
          <w:pgMar w:top="1440" w:right="1440" w:bottom="1440" w:left="1440" w:header="720" w:footer="720" w:gutter="0"/>
          <w:pgNumType w:start="1"/>
          <w:cols w:space="720"/>
        </w:sectPr>
      </w:pPr>
    </w:p>
    <w:p w14:paraId="1A67BFD7" w14:textId="36852515" w:rsidR="00A937A4" w:rsidRPr="00CB77DC" w:rsidRDefault="00CB77DC">
      <w:pPr>
        <w:spacing w:line="360" w:lineRule="auto"/>
        <w:jc w:val="both"/>
        <w:rPr>
          <w:b/>
          <w:bCs/>
          <w:sz w:val="24"/>
          <w:szCs w:val="24"/>
        </w:rPr>
      </w:pPr>
      <w:r>
        <w:rPr>
          <w:b/>
          <w:bCs/>
          <w:sz w:val="24"/>
          <w:szCs w:val="24"/>
        </w:rPr>
        <w:lastRenderedPageBreak/>
        <w:t xml:space="preserve">1. </w:t>
      </w:r>
      <w:r w:rsidRPr="00CB77DC">
        <w:rPr>
          <w:b/>
          <w:bCs/>
          <w:sz w:val="24"/>
          <w:szCs w:val="24"/>
        </w:rPr>
        <w:t>Introduction</w:t>
      </w:r>
    </w:p>
    <w:p w14:paraId="287BCC6B" w14:textId="799669DA" w:rsidR="00567EF5" w:rsidRPr="00E837F8" w:rsidRDefault="006578A3">
      <w:pPr>
        <w:spacing w:line="360" w:lineRule="auto"/>
        <w:jc w:val="both"/>
        <w:rPr>
          <w:sz w:val="24"/>
          <w:szCs w:val="24"/>
        </w:rPr>
      </w:pPr>
      <w:r w:rsidRPr="00E837F8">
        <w:rPr>
          <w:sz w:val="24"/>
          <w:szCs w:val="24"/>
        </w:rPr>
        <w:t xml:space="preserve">A Critical Literature Review (CLR) is an essential component of doctoral research because it goes beyond a descriptive overview to provide a systematic evaluation, critical synthesis, and intellectual questioning about current work. As stated, a CLR "moves beyond descriptive summary through its participation in a systematic assessment and cognitive examination of existing research," necessitating critical examination of assumptions, comparison of viewpoints, and discovery of conceptual or methodological deficiencies (Jesson and Lacey, 2006). This critical view enables the researcher to develop a cohesive, evidence-based presentation, map existing knowledge, highlight discrepancies, and justify the proposed study's uniqueness and significance (Cardoso </w:t>
      </w:r>
      <w:r w:rsidRPr="00E837F8">
        <w:rPr>
          <w:i/>
          <w:iCs/>
          <w:sz w:val="24"/>
          <w:szCs w:val="24"/>
        </w:rPr>
        <w:t>et al.</w:t>
      </w:r>
      <w:r w:rsidRPr="00E837F8">
        <w:rPr>
          <w:sz w:val="24"/>
          <w:szCs w:val="24"/>
        </w:rPr>
        <w:t>, 2022). The CLR exhibits the researcher's analytical maturity and scholarly significance by synthesizing knowledge, defining conceptual and methodological issues, and establishing the thesis within its academic field (Leite, Padilha, and Cecatti, 2019).</w:t>
      </w:r>
    </w:p>
    <w:p w14:paraId="287BCC6C" w14:textId="77777777" w:rsidR="00567EF5" w:rsidRPr="00E837F8" w:rsidRDefault="006578A3">
      <w:pPr>
        <w:spacing w:line="360" w:lineRule="auto"/>
        <w:jc w:val="both"/>
        <w:rPr>
          <w:sz w:val="24"/>
          <w:szCs w:val="24"/>
        </w:rPr>
      </w:pPr>
      <w:r w:rsidRPr="00E837F8">
        <w:rPr>
          <w:sz w:val="24"/>
          <w:szCs w:val="24"/>
        </w:rPr>
        <w:t>According to Hart (2018), a doctoral-level review must present "critical engagement, conceptual clarity, and analytical depth," which shapes the study's objectives, research questions, conceptual framework, and methodological choices. The iterative method of reading, analyzing, and revising enhances conceptual comprehension and allows for "threshold crossings" that signal the researcher's transition to an autonomous researcher (Wisker, 2015). This method allows applicants to explain their theoretical perspective, explain strong intellectual knowledge, and showcase their critical thinking and synthesizing skills.</w:t>
      </w:r>
    </w:p>
    <w:p w14:paraId="287BCC6D" w14:textId="4B845EC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 Purpose of the Critical Literature Review</w:t>
      </w:r>
    </w:p>
    <w:p w14:paraId="287BCC6E" w14:textId="77777777" w:rsidR="00567EF5" w:rsidRPr="00E837F8" w:rsidRDefault="006578A3">
      <w:pPr>
        <w:spacing w:line="360" w:lineRule="auto"/>
        <w:jc w:val="both"/>
        <w:rPr>
          <w:sz w:val="24"/>
          <w:szCs w:val="24"/>
        </w:rPr>
      </w:pPr>
      <w:r w:rsidRPr="00E837F8">
        <w:rPr>
          <w:sz w:val="24"/>
          <w:szCs w:val="24"/>
        </w:rPr>
        <w:t>The purpose of the CLR for doctoral research is to create a sound intellectual foundation by critically analyzing current literature to identify what is known, what is unknown, and whether research gaps justify the need for new investigations.</w:t>
      </w:r>
    </w:p>
    <w:p w14:paraId="287BCC6F" w14:textId="7F1644CD"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.1 Developing the Conceptual Foundation Through Previous Academic work</w:t>
      </w:r>
    </w:p>
    <w:p w14:paraId="287BCC70" w14:textId="77777777" w:rsidR="00567EF5" w:rsidRPr="00E837F8" w:rsidRDefault="006578A3">
      <w:pPr>
        <w:spacing w:line="360" w:lineRule="auto"/>
        <w:jc w:val="both"/>
        <w:rPr>
          <w:sz w:val="24"/>
          <w:szCs w:val="24"/>
        </w:rPr>
      </w:pPr>
      <w:r w:rsidRPr="00E837F8">
        <w:rPr>
          <w:sz w:val="24"/>
          <w:szCs w:val="24"/>
        </w:rPr>
        <w:t xml:space="preserve">The CLR offers a conceptual framework for one's doctoral study by evaluating previous academic work and suggesting areas for creative contribution. According to Bastalich (2017), it analyzes the research paper among its disciplinary, methodological, and social contexts by clarifying what is known, how knowledge is produced, and where contextual gaps exist. Williams </w:t>
      </w:r>
      <w:r w:rsidRPr="00E837F8">
        <w:rPr>
          <w:i/>
          <w:iCs/>
          <w:sz w:val="24"/>
          <w:szCs w:val="24"/>
        </w:rPr>
        <w:t xml:space="preserve">et al. </w:t>
      </w:r>
      <w:r w:rsidRPr="00E837F8">
        <w:rPr>
          <w:sz w:val="24"/>
          <w:szCs w:val="24"/>
        </w:rPr>
        <w:t>(2021) agree that systematic reviews incorporate earlier work to establish a solid conceptual foundation while preserving transparency and decreasing bias.</w:t>
      </w:r>
    </w:p>
    <w:p w14:paraId="287BCC71" w14:textId="77777777" w:rsidR="00567EF5" w:rsidRPr="00E837F8" w:rsidRDefault="00567EF5">
      <w:pPr>
        <w:spacing w:line="360" w:lineRule="auto"/>
        <w:jc w:val="both"/>
        <w:rPr>
          <w:sz w:val="24"/>
          <w:szCs w:val="24"/>
        </w:rPr>
      </w:pPr>
    </w:p>
    <w:p w14:paraId="287BCC73" w14:textId="69C354B7" w:rsidR="00567EF5" w:rsidRPr="00E837F8" w:rsidRDefault="00CB77DC">
      <w:pPr>
        <w:spacing w:line="360" w:lineRule="auto"/>
        <w:jc w:val="both"/>
        <w:rPr>
          <w:b/>
          <w:bCs/>
          <w:sz w:val="24"/>
          <w:szCs w:val="24"/>
        </w:rPr>
      </w:pPr>
      <w:r>
        <w:rPr>
          <w:b/>
          <w:bCs/>
          <w:sz w:val="24"/>
          <w:szCs w:val="24"/>
        </w:rPr>
        <w:lastRenderedPageBreak/>
        <w:t>2</w:t>
      </w:r>
      <w:r w:rsidR="006578A3" w:rsidRPr="00E837F8">
        <w:rPr>
          <w:b/>
          <w:bCs/>
          <w:sz w:val="24"/>
          <w:szCs w:val="24"/>
        </w:rPr>
        <w:t>.2 Identifying Research Gaps and Justifying Future Research</w:t>
      </w:r>
    </w:p>
    <w:p w14:paraId="287BCC74" w14:textId="77777777" w:rsidR="00567EF5" w:rsidRPr="00E837F8" w:rsidRDefault="006578A3">
      <w:pPr>
        <w:spacing w:line="360" w:lineRule="auto"/>
        <w:jc w:val="both"/>
        <w:rPr>
          <w:b/>
          <w:bCs/>
          <w:sz w:val="24"/>
          <w:szCs w:val="24"/>
        </w:rPr>
      </w:pPr>
      <w:r w:rsidRPr="00E837F8">
        <w:rPr>
          <w:sz w:val="24"/>
          <w:szCs w:val="24"/>
        </w:rPr>
        <w:t>At the doctoral level, a CLR has to acknowledge what is unknown and justify the need for further research. According to Sauer and Seuring (2023), literature reviews help researchers identify gaps in the literature that require new contributions, give evidence for emerging findings, and construct theoretical frameworks. Chigbu, Atiku, and Du Plessis (2023) emphasize that the objective of the literature review is to critically analyze existing research in order to identify gaps and propose recommendations for future studies.</w:t>
      </w:r>
    </w:p>
    <w:p w14:paraId="287BCC75" w14:textId="637EA3E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.3 Building Rigour Through Critical engagement of literature</w:t>
      </w:r>
    </w:p>
    <w:p w14:paraId="287BCC76" w14:textId="77777777" w:rsidR="00567EF5" w:rsidRPr="00E837F8" w:rsidRDefault="006578A3">
      <w:pPr>
        <w:spacing w:line="360" w:lineRule="auto"/>
        <w:jc w:val="both"/>
        <w:rPr>
          <w:sz w:val="24"/>
          <w:szCs w:val="24"/>
        </w:rPr>
      </w:pPr>
      <w:r w:rsidRPr="00E837F8">
        <w:rPr>
          <w:sz w:val="24"/>
          <w:szCs w:val="24"/>
        </w:rPr>
        <w:t>Critical engagement has been essential for building scholarly rigor. Saunders and Rojon (2011) emphasize the importance of CLRs in analyzing and contextualizing previous research, while Welch, Lahr and Webb (2022) say that good reviews must critically evaluate present literature and offer innovative viewpoints on existing fields of knowledge. Fernandez (2019) agrees that critical review is necessary for demonstrating the subject expertise, identifying research ideas, placing the study, and proposing theory.</w:t>
      </w:r>
    </w:p>
    <w:p w14:paraId="287BCC77" w14:textId="4D67A96F"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.4 Developing Theoretical and Conceptual Foundations</w:t>
      </w:r>
    </w:p>
    <w:p w14:paraId="287BCC78" w14:textId="77777777" w:rsidR="00567EF5" w:rsidRPr="00E837F8" w:rsidRDefault="006578A3">
      <w:pPr>
        <w:spacing w:line="360" w:lineRule="auto"/>
        <w:jc w:val="both"/>
        <w:rPr>
          <w:sz w:val="24"/>
          <w:szCs w:val="24"/>
        </w:rPr>
      </w:pPr>
      <w:r w:rsidRPr="00E837F8">
        <w:rPr>
          <w:sz w:val="24"/>
          <w:szCs w:val="24"/>
        </w:rPr>
        <w:t>A CLR enhances the researcher's theoretical and conceptual knowledge. Doctoral candidates must exhibit scholarly maturity by questioning theoretical assumptions, comparing viewpoints, and assessing the positive and negative aspects of current frameworks (Boote and Beile, 2005). The CLR investigates the central topic, predicts hypotheses and results, and uncovers gaps that reinforce the dissertation's foundation (Leite, Padilha, &amp; Cecatti, 2019). It contextualizes the study within current scholarship by analyzing, comparing, and synthesizing previous literature (Saunders and Rojon, 2011). Machi and McEvoy (2009) claim that the CLR provides background knowledge, detects gaps, develops a conceptual framework, and refines research questions.</w:t>
      </w:r>
    </w:p>
    <w:p w14:paraId="287BCC79" w14:textId="391AC84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.5 Refining Research Questions and Methodology</w:t>
      </w:r>
    </w:p>
    <w:p w14:paraId="287BCC7A" w14:textId="77777777" w:rsidR="00567EF5" w:rsidRPr="00E837F8" w:rsidRDefault="006578A3">
      <w:pPr>
        <w:spacing w:line="360" w:lineRule="auto"/>
        <w:jc w:val="both"/>
        <w:rPr>
          <w:sz w:val="24"/>
          <w:szCs w:val="24"/>
        </w:rPr>
      </w:pPr>
      <w:r w:rsidRPr="00E837F8">
        <w:rPr>
          <w:sz w:val="24"/>
          <w:szCs w:val="24"/>
        </w:rPr>
        <w:t>The CLR directs methodological decisions by allowing researchers to assess how prior studies have tackled the same issues. According to Snyder (2019), literature reviews keep academics up to date on current research and provide direction for performing and evaluating reviews. According to Linnenluecke, Marrone, and Singh (2020), literature reviews facilitate comprehensive and replicable knowledge gathering, field development analysis, and methodology refining.</w:t>
      </w:r>
    </w:p>
    <w:p w14:paraId="287BCC7B" w14:textId="77777777" w:rsidR="00567EF5" w:rsidRPr="00E837F8" w:rsidRDefault="00567EF5">
      <w:pPr>
        <w:spacing w:line="360" w:lineRule="auto"/>
        <w:jc w:val="both"/>
        <w:rPr>
          <w:sz w:val="24"/>
          <w:szCs w:val="24"/>
        </w:rPr>
      </w:pPr>
    </w:p>
    <w:p w14:paraId="287BCC7C" w14:textId="77777777" w:rsidR="00567EF5" w:rsidRPr="00E837F8" w:rsidRDefault="00567EF5">
      <w:pPr>
        <w:spacing w:line="360" w:lineRule="auto"/>
        <w:jc w:val="both"/>
        <w:rPr>
          <w:sz w:val="24"/>
          <w:szCs w:val="24"/>
        </w:rPr>
      </w:pPr>
    </w:p>
    <w:p w14:paraId="287BCC7D" w14:textId="2FED5156" w:rsidR="00567EF5" w:rsidRPr="00E837F8" w:rsidRDefault="00397D9D">
      <w:pPr>
        <w:spacing w:line="360" w:lineRule="auto"/>
        <w:jc w:val="both"/>
        <w:rPr>
          <w:b/>
          <w:bCs/>
          <w:sz w:val="24"/>
          <w:szCs w:val="24"/>
        </w:rPr>
      </w:pPr>
      <w:r>
        <w:rPr>
          <w:b/>
          <w:bCs/>
          <w:sz w:val="24"/>
          <w:szCs w:val="24"/>
        </w:rPr>
        <w:lastRenderedPageBreak/>
        <w:t>3</w:t>
      </w:r>
      <w:r w:rsidR="006578A3" w:rsidRPr="00E837F8">
        <w:rPr>
          <w:b/>
          <w:bCs/>
          <w:sz w:val="24"/>
          <w:szCs w:val="24"/>
        </w:rPr>
        <w:t>. Content of the Critical Literature Review</w:t>
      </w:r>
    </w:p>
    <w:p w14:paraId="287BCC7E" w14:textId="77777777" w:rsidR="00567EF5" w:rsidRPr="00E837F8" w:rsidRDefault="006578A3">
      <w:pPr>
        <w:spacing w:line="360" w:lineRule="auto"/>
        <w:jc w:val="both"/>
        <w:rPr>
          <w:b/>
          <w:bCs/>
          <w:sz w:val="24"/>
          <w:szCs w:val="24"/>
        </w:rPr>
      </w:pPr>
      <w:r w:rsidRPr="00E837F8">
        <w:rPr>
          <w:sz w:val="24"/>
          <w:szCs w:val="24"/>
        </w:rPr>
        <w:t>The content of CLR includes reviewing relevant scholarship, assessing source quality, synthesising evidence, formatting the review, and recognizing gaps that demonstrate the proposed study's requirements.</w:t>
      </w:r>
    </w:p>
    <w:p w14:paraId="287BCC7F" w14:textId="080CB6A9"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.1 Achieving Breadth from Multidisciplinary Scholarship</w:t>
      </w:r>
    </w:p>
    <w:p w14:paraId="287BCC80" w14:textId="77777777" w:rsidR="00567EF5" w:rsidRPr="00E837F8" w:rsidRDefault="006578A3">
      <w:pPr>
        <w:spacing w:line="360" w:lineRule="auto"/>
        <w:jc w:val="both"/>
        <w:rPr>
          <w:sz w:val="24"/>
          <w:szCs w:val="24"/>
        </w:rPr>
      </w:pPr>
      <w:r w:rsidRPr="00E837F8">
        <w:rPr>
          <w:sz w:val="24"/>
          <w:szCs w:val="24"/>
        </w:rPr>
        <w:t>Critical reviews gain breadth by using literature and theory from multiple disciplines to reconceptualize challenges. According to Kahlke, Lee and Eva (2023), such breadth allows researchers to synthesize information gained from different academic scholarship or philosophical perspectives in order to develop their understanding of difficult challenges. According to Maxwell (2006), many reviews are inadequately conceptualised due to a lack of formal training. Therefore, Context, Intervention, Mechanism, Outcome (CIMO) logic helps organize and synthesize research (Denyer, Tranfield and Van Aken, 2008) in an effective way.</w:t>
      </w:r>
    </w:p>
    <w:p w14:paraId="287BCC81" w14:textId="1D6057FC"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.2 Critically Evaluating Sources</w:t>
      </w:r>
    </w:p>
    <w:p w14:paraId="287BCC82" w14:textId="77777777" w:rsidR="00567EF5" w:rsidRPr="00E837F8" w:rsidRDefault="006578A3">
      <w:pPr>
        <w:spacing w:line="360" w:lineRule="auto"/>
        <w:jc w:val="both"/>
        <w:rPr>
          <w:sz w:val="24"/>
          <w:szCs w:val="24"/>
        </w:rPr>
      </w:pPr>
      <w:r w:rsidRPr="00E837F8">
        <w:rPr>
          <w:sz w:val="24"/>
          <w:szCs w:val="24"/>
        </w:rPr>
        <w:t xml:space="preserve">As opposed to descriptive reporting, a CLR must involve a systematic review based on study quality. Katrak </w:t>
      </w:r>
      <w:r w:rsidRPr="00E837F8">
        <w:rPr>
          <w:i/>
          <w:iCs/>
          <w:sz w:val="24"/>
          <w:szCs w:val="24"/>
        </w:rPr>
        <w:t>et al.</w:t>
      </w:r>
      <w:r w:rsidRPr="00E837F8">
        <w:rPr>
          <w:sz w:val="24"/>
          <w:szCs w:val="24"/>
        </w:rPr>
        <w:t xml:space="preserve"> (2004) emphasize the need for evaluating methodological rigor, which includes sampling, randomization, blinding, outcome measurements, data analysis, bias, and external validity. Also, inclusion and exclusion criteria establish visible, fair, and replicable limitations (Sauer and Seuring 2023) for research. In order to guarantee rigor and replicability, PRISMA-aligned reviews must record what was done and discovered at each stage (Sarkis Onofre </w:t>
      </w:r>
      <w:r w:rsidRPr="00E837F8">
        <w:rPr>
          <w:i/>
          <w:iCs/>
          <w:sz w:val="24"/>
          <w:szCs w:val="24"/>
        </w:rPr>
        <w:t>et al.</w:t>
      </w:r>
      <w:r w:rsidRPr="00E837F8">
        <w:rPr>
          <w:sz w:val="24"/>
          <w:szCs w:val="24"/>
        </w:rPr>
        <w:t xml:space="preserve"> 2021). Therefore, Clark (2016) emphasizes that critical reviewing necessitates critique or explanation instead of just reporting data, necessitating clear selection procedures and treating literature as analytical evidence.</w:t>
      </w:r>
    </w:p>
    <w:p w14:paraId="287BCC83" w14:textId="16A3E28F"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.3 Advancing from Mapping to Critical Synthesis</w:t>
      </w:r>
    </w:p>
    <w:p w14:paraId="287BCC84" w14:textId="77777777" w:rsidR="00567EF5" w:rsidRPr="00E837F8" w:rsidRDefault="006578A3">
      <w:pPr>
        <w:spacing w:line="360" w:lineRule="auto"/>
        <w:jc w:val="both"/>
        <w:rPr>
          <w:sz w:val="24"/>
          <w:szCs w:val="24"/>
        </w:rPr>
      </w:pPr>
      <w:r w:rsidRPr="00E837F8">
        <w:rPr>
          <w:sz w:val="24"/>
          <w:szCs w:val="24"/>
        </w:rPr>
        <w:t>A doctoral CLR should continue from mapping the field to synthesizing. Webster and Watson (2002) believe that reviews should be "concept-centric," emphasizing concepts rather than writers. Besides, genuine synthesis necessitates the inductive integration of facts to uncover patterns, correlations, advantages and disadvantages, and gaps (Dodgson, 2021). Wolgemuth, Hicks, and Agosto (2017) contend that critical evaluations must question the societal, historical, political, and cultural assumptions implicit in conceptions.</w:t>
      </w:r>
    </w:p>
    <w:p w14:paraId="287BCC85" w14:textId="77777777" w:rsidR="00567EF5" w:rsidRPr="00E837F8" w:rsidRDefault="00567EF5">
      <w:pPr>
        <w:spacing w:line="360" w:lineRule="auto"/>
        <w:jc w:val="both"/>
        <w:rPr>
          <w:sz w:val="24"/>
          <w:szCs w:val="24"/>
        </w:rPr>
      </w:pPr>
    </w:p>
    <w:p w14:paraId="287BCC86" w14:textId="77777777" w:rsidR="00567EF5" w:rsidRPr="00E837F8" w:rsidRDefault="00567EF5">
      <w:pPr>
        <w:spacing w:line="360" w:lineRule="auto"/>
        <w:jc w:val="both"/>
        <w:rPr>
          <w:sz w:val="24"/>
          <w:szCs w:val="24"/>
        </w:rPr>
      </w:pPr>
    </w:p>
    <w:p w14:paraId="287BCC87" w14:textId="69E416C9" w:rsidR="00567EF5" w:rsidRPr="00E837F8" w:rsidRDefault="00397D9D">
      <w:pPr>
        <w:spacing w:line="360" w:lineRule="auto"/>
        <w:jc w:val="both"/>
        <w:rPr>
          <w:b/>
          <w:bCs/>
          <w:sz w:val="24"/>
          <w:szCs w:val="24"/>
        </w:rPr>
      </w:pPr>
      <w:r>
        <w:rPr>
          <w:b/>
          <w:bCs/>
          <w:sz w:val="24"/>
          <w:szCs w:val="24"/>
        </w:rPr>
        <w:lastRenderedPageBreak/>
        <w:t>3</w:t>
      </w:r>
      <w:r w:rsidR="006578A3" w:rsidRPr="00E837F8">
        <w:rPr>
          <w:b/>
          <w:bCs/>
          <w:sz w:val="24"/>
          <w:szCs w:val="24"/>
        </w:rPr>
        <w:t>.4 Structuring the Critical Literature Review</w:t>
      </w:r>
    </w:p>
    <w:p w14:paraId="287BCC88" w14:textId="77777777" w:rsidR="00567EF5" w:rsidRPr="00E837F8" w:rsidRDefault="006578A3">
      <w:pPr>
        <w:spacing w:line="360" w:lineRule="auto"/>
        <w:jc w:val="both"/>
        <w:rPr>
          <w:sz w:val="24"/>
          <w:szCs w:val="24"/>
        </w:rPr>
      </w:pPr>
      <w:r w:rsidRPr="00E837F8">
        <w:rPr>
          <w:sz w:val="24"/>
          <w:szCs w:val="24"/>
        </w:rPr>
        <w:t>A CLR might be arranged thematically, chronologically, or methodologically. Dumay and Cai (2014) remark that each approach encourages synthesis, which exposes contradictions and addresses field dynamics. Especially, thematic reviews organize literature around concerns; historical reviews follow progress over time; and methodological reviews examine study designs (The University of North Carolina at Chapel Hill, 2026). Denney and Tewksbury (2013) emphasize the importance of structure in establishing a clear transition from broad ideas to the research theme.</w:t>
      </w:r>
    </w:p>
    <w:p w14:paraId="287BCC89" w14:textId="4F544BEB"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.5 Identifying and Justifying Research Gaps</w:t>
      </w:r>
    </w:p>
    <w:p w14:paraId="287BCC8A" w14:textId="77777777" w:rsidR="00567EF5" w:rsidRPr="00E837F8" w:rsidRDefault="006578A3">
      <w:pPr>
        <w:spacing w:line="360" w:lineRule="auto"/>
        <w:jc w:val="both"/>
        <w:rPr>
          <w:sz w:val="24"/>
          <w:szCs w:val="24"/>
        </w:rPr>
      </w:pPr>
      <w:r w:rsidRPr="00E837F8">
        <w:rPr>
          <w:sz w:val="24"/>
          <w:szCs w:val="24"/>
        </w:rPr>
        <w:t>A significant result of the CLR is the specific determination of conceptual, empirical, and methodological limitations. Grant and Booth (2009) suggest that this is critical for developing novelty. Therefore, (Robinson, Saldanha and McKoy, 2011) emphasize the importance of describing gaps in terms of population, intervention, comparison, outcomes, and setting, as well as explaining the root causes of the problem, such as a lack of data, bias, or consistency.</w:t>
      </w:r>
    </w:p>
    <w:p w14:paraId="287BCC8B" w14:textId="179EF94B"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 Format of the Critical Literature Review</w:t>
      </w:r>
    </w:p>
    <w:p w14:paraId="287BCC8C" w14:textId="77777777" w:rsidR="00567EF5" w:rsidRPr="00E837F8" w:rsidRDefault="006578A3">
      <w:pPr>
        <w:spacing w:line="360" w:lineRule="auto"/>
        <w:jc w:val="both"/>
        <w:rPr>
          <w:sz w:val="24"/>
          <w:szCs w:val="24"/>
        </w:rPr>
      </w:pPr>
      <w:r w:rsidRPr="00E837F8">
        <w:rPr>
          <w:sz w:val="24"/>
          <w:szCs w:val="24"/>
        </w:rPr>
        <w:t>A CLR for doctoral research should begin with an introduction that defines the review's purpose and rationale, then organize the debate thematically or conceptually, combining empirical as well as theoretical data in order to produce an integrated conceptual framework, and conclude with a critical synthesis that summarizes the key gaps and how the study will fill them.</w:t>
      </w:r>
    </w:p>
    <w:p w14:paraId="287BCC8D" w14:textId="3115BC66"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.1 Introducing and Framing the CLR</w:t>
      </w:r>
    </w:p>
    <w:p w14:paraId="287BCC8E" w14:textId="77777777" w:rsidR="00567EF5" w:rsidRPr="00E837F8" w:rsidRDefault="006578A3">
      <w:pPr>
        <w:spacing w:line="360" w:lineRule="auto"/>
        <w:jc w:val="both"/>
        <w:rPr>
          <w:sz w:val="24"/>
          <w:szCs w:val="24"/>
        </w:rPr>
      </w:pPr>
      <w:r w:rsidRPr="00E837F8">
        <w:rPr>
          <w:sz w:val="24"/>
          <w:szCs w:val="24"/>
        </w:rPr>
        <w:t>The CLR starts with an introduction that describes the review's goal, scope, and structure while relating it to research objectives. Baumeister (2013) describes a structured procedure that includes articulating the synthesis, exploring the literature, linking findings, critically analyzing, and developing a valid argument. Significantly, Wee and Banister (2016) emphasize creating a consistent narrative, whereas Snyder (2019) focuses on motive and audience.</w:t>
      </w:r>
    </w:p>
    <w:p w14:paraId="287BCC8F" w14:textId="77F77F66"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.2 Designing a Transparent and Systematic Review Protocol</w:t>
      </w:r>
    </w:p>
    <w:p w14:paraId="287BCC90" w14:textId="77777777" w:rsidR="00567EF5" w:rsidRPr="00E837F8" w:rsidRDefault="006578A3">
      <w:pPr>
        <w:spacing w:line="360" w:lineRule="auto"/>
        <w:jc w:val="both"/>
        <w:rPr>
          <w:sz w:val="24"/>
          <w:szCs w:val="24"/>
        </w:rPr>
      </w:pPr>
      <w:r w:rsidRPr="00E837F8">
        <w:rPr>
          <w:sz w:val="24"/>
          <w:szCs w:val="24"/>
        </w:rPr>
        <w:t xml:space="preserve">The review protocol should describe the study's goal, research questions, inclusion and exclusion criteria, search methodology, quality assurance, screening steps, data extraction, synthesis, and reporting (Gates 2002). Butler, Hall, and Copnell (2016) emphasize careful documenting of search terms, criteria, and appraisal procedures. According to Moher </w:t>
      </w:r>
      <w:r w:rsidRPr="00E837F8">
        <w:rPr>
          <w:i/>
          <w:iCs/>
          <w:sz w:val="24"/>
          <w:szCs w:val="24"/>
        </w:rPr>
        <w:t>et al.</w:t>
      </w:r>
      <w:r w:rsidRPr="00E837F8">
        <w:rPr>
          <w:sz w:val="24"/>
          <w:szCs w:val="24"/>
        </w:rPr>
        <w:t xml:space="preserve"> (2015), well-defined protocols make it easier to assess and detect methodological changes.</w:t>
      </w:r>
    </w:p>
    <w:p w14:paraId="287BCC91" w14:textId="5248F1B9" w:rsidR="00567EF5" w:rsidRPr="00E837F8" w:rsidRDefault="00397D9D">
      <w:pPr>
        <w:spacing w:line="360" w:lineRule="auto"/>
        <w:jc w:val="both"/>
        <w:rPr>
          <w:b/>
          <w:bCs/>
          <w:sz w:val="24"/>
          <w:szCs w:val="24"/>
        </w:rPr>
      </w:pPr>
      <w:r>
        <w:rPr>
          <w:b/>
          <w:bCs/>
          <w:sz w:val="24"/>
          <w:szCs w:val="24"/>
        </w:rPr>
        <w:lastRenderedPageBreak/>
        <w:t>4</w:t>
      </w:r>
      <w:r w:rsidR="006578A3" w:rsidRPr="00E837F8">
        <w:rPr>
          <w:b/>
          <w:bCs/>
          <w:sz w:val="24"/>
          <w:szCs w:val="24"/>
        </w:rPr>
        <w:t>.3 Approaches to Reviewing Structure: Thematic, Conceptual, and Meta-Analysis</w:t>
      </w:r>
    </w:p>
    <w:p w14:paraId="287BCC92" w14:textId="77777777" w:rsidR="00567EF5" w:rsidRPr="00E837F8" w:rsidRDefault="006578A3">
      <w:pPr>
        <w:spacing w:line="360" w:lineRule="auto"/>
        <w:jc w:val="both"/>
        <w:rPr>
          <w:sz w:val="24"/>
          <w:szCs w:val="24"/>
        </w:rPr>
      </w:pPr>
      <w:r w:rsidRPr="00E837F8">
        <w:rPr>
          <w:sz w:val="24"/>
          <w:szCs w:val="24"/>
        </w:rPr>
        <w:t>Doctoral CLRs are often structured thematically or theoretically. Machi and McEvoy (2016) believe that this supports more in-depth critical assessment. Rocco and Plakhotnik (2009) state that conceptual frameworks represent fundamental concepts and their interactions. Meta-analysis may be employed to integrate data statistically (Mengist, Soromessa, &amp; Legese, 2020).</w:t>
      </w:r>
    </w:p>
    <w:p w14:paraId="287BCC93" w14:textId="43CD32A7"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.4 Integrating Theoretical and Empirical Literature</w:t>
      </w:r>
    </w:p>
    <w:p w14:paraId="287BCC94" w14:textId="77777777" w:rsidR="00567EF5" w:rsidRPr="00E837F8" w:rsidRDefault="006578A3">
      <w:pPr>
        <w:spacing w:line="360" w:lineRule="auto"/>
        <w:jc w:val="both"/>
        <w:rPr>
          <w:sz w:val="24"/>
          <w:szCs w:val="24"/>
        </w:rPr>
      </w:pPr>
      <w:r w:rsidRPr="00E837F8">
        <w:rPr>
          <w:sz w:val="24"/>
          <w:szCs w:val="24"/>
        </w:rPr>
        <w:t>A CLR must contain empirical as well as theoretical research. Seuring et al. (2021) suggest that theory serves as the analytical foundation for discovering constructs and causal linkages. Shepherd and Suddaby (2017) argue that conceptualizing arises from contradictions between theory and empirical facts.</w:t>
      </w:r>
    </w:p>
    <w:p w14:paraId="287BCC95" w14:textId="1C7CCDAE"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.5 Development of a Conceptual Framework</w:t>
      </w:r>
    </w:p>
    <w:p w14:paraId="287BCC96" w14:textId="77777777" w:rsidR="00567EF5" w:rsidRPr="00E837F8" w:rsidRDefault="006578A3">
      <w:pPr>
        <w:spacing w:line="360" w:lineRule="auto"/>
        <w:jc w:val="both"/>
        <w:rPr>
          <w:sz w:val="24"/>
          <w:szCs w:val="24"/>
        </w:rPr>
      </w:pPr>
      <w:r w:rsidRPr="00E837F8">
        <w:rPr>
          <w:sz w:val="24"/>
          <w:szCs w:val="24"/>
        </w:rPr>
        <w:t>A distinguishing element of doctoral evaluations is the creation of a conceptual framework that combines fundamental concepts, theories, and correlations. Miles, Huberman, and Saldaña (2014) describe frameworks as creative visual or descriptive representations that illustrate fundamental components and their interconnections. To comprehend how research reviews, philosophical models, and conceptual models interplay will be essential (Rocco and Plakhotnik, 2009).</w:t>
      </w:r>
    </w:p>
    <w:p w14:paraId="287BCC97" w14:textId="31276FE2"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.6 Concluding with a critical and gap-focused synthesis.</w:t>
      </w:r>
    </w:p>
    <w:p w14:paraId="287BCC98" w14:textId="5CD260AB" w:rsidR="00567EF5" w:rsidRPr="00E837F8" w:rsidRDefault="006578A3">
      <w:pPr>
        <w:spacing w:line="360" w:lineRule="auto"/>
        <w:jc w:val="both"/>
        <w:rPr>
          <w:sz w:val="24"/>
          <w:szCs w:val="24"/>
        </w:rPr>
      </w:pPr>
      <w:r w:rsidRPr="00E837F8">
        <w:rPr>
          <w:sz w:val="24"/>
          <w:szCs w:val="24"/>
        </w:rPr>
        <w:t>The CLR culminates with a critical synthesis that highlights significant discoveries, assesses both convergence and divergence, and explains empirical, theoretical, methodological, population, information, evidence, and accomplishment limitations (Paul and Criado, 2020; Chigbu, Atiku, and Du Plessis, 2023)</w:t>
      </w:r>
      <w:r w:rsidR="00E266F1">
        <w:rPr>
          <w:sz w:val="24"/>
          <w:szCs w:val="24"/>
        </w:rPr>
        <w:t xml:space="preserve"> which </w:t>
      </w:r>
      <w:r w:rsidR="006D0A1C">
        <w:rPr>
          <w:sz w:val="24"/>
          <w:szCs w:val="24"/>
        </w:rPr>
        <w:t>shows</w:t>
      </w:r>
      <w:r w:rsidR="00E266F1">
        <w:rPr>
          <w:sz w:val="24"/>
          <w:szCs w:val="24"/>
        </w:rPr>
        <w:t xml:space="preserve"> the research gap </w:t>
      </w:r>
      <w:r w:rsidR="009E376C">
        <w:rPr>
          <w:sz w:val="24"/>
          <w:szCs w:val="24"/>
        </w:rPr>
        <w:t xml:space="preserve">and formulation of  </w:t>
      </w:r>
      <w:r w:rsidR="0064567A">
        <w:rPr>
          <w:sz w:val="24"/>
          <w:szCs w:val="24"/>
        </w:rPr>
        <w:t xml:space="preserve">possible </w:t>
      </w:r>
      <w:r w:rsidR="009E376C">
        <w:rPr>
          <w:sz w:val="24"/>
          <w:szCs w:val="24"/>
        </w:rPr>
        <w:t>research questions.</w:t>
      </w:r>
    </w:p>
    <w:p w14:paraId="287BCC99" w14:textId="6D45B35D"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.7 Referencing</w:t>
      </w:r>
    </w:p>
    <w:p w14:paraId="287BCC9A" w14:textId="77777777" w:rsidR="00567EF5" w:rsidRPr="00E837F8" w:rsidRDefault="006578A3">
      <w:pPr>
        <w:spacing w:line="360" w:lineRule="auto"/>
        <w:jc w:val="both"/>
        <w:rPr>
          <w:sz w:val="24"/>
          <w:szCs w:val="24"/>
        </w:rPr>
      </w:pPr>
      <w:r w:rsidRPr="00E837F8">
        <w:rPr>
          <w:sz w:val="24"/>
          <w:szCs w:val="24"/>
        </w:rPr>
        <w:t>Referencing is an essential component of academic writing. In accordance with a study, a robust references part will require gathering comprehensive and accurate bibliographic information throughout the earliest phases of the review process (Fernandez 2019); this is because errors undermine the overall credibility of the review.</w:t>
      </w:r>
    </w:p>
    <w:p w14:paraId="287BCC9B" w14:textId="77777777" w:rsidR="00567EF5" w:rsidRPr="00E837F8" w:rsidRDefault="00567EF5">
      <w:pPr>
        <w:spacing w:line="360" w:lineRule="auto"/>
        <w:jc w:val="both"/>
        <w:rPr>
          <w:sz w:val="24"/>
          <w:szCs w:val="24"/>
        </w:rPr>
      </w:pPr>
    </w:p>
    <w:p w14:paraId="287BCC9C" w14:textId="77777777" w:rsidR="00567EF5" w:rsidRPr="00E837F8" w:rsidRDefault="00567EF5">
      <w:pPr>
        <w:spacing w:line="360" w:lineRule="auto"/>
        <w:jc w:val="both"/>
        <w:rPr>
          <w:sz w:val="24"/>
          <w:szCs w:val="24"/>
        </w:rPr>
      </w:pPr>
    </w:p>
    <w:p w14:paraId="287BCC9D" w14:textId="77777777" w:rsidR="00567EF5" w:rsidRPr="00E837F8" w:rsidRDefault="00567EF5">
      <w:pPr>
        <w:spacing w:line="360" w:lineRule="auto"/>
        <w:jc w:val="both"/>
        <w:rPr>
          <w:sz w:val="24"/>
          <w:szCs w:val="24"/>
        </w:rPr>
      </w:pPr>
    </w:p>
    <w:p w14:paraId="287BCC9E" w14:textId="77777777" w:rsidR="00567EF5" w:rsidRPr="00E837F8" w:rsidRDefault="00567EF5">
      <w:pPr>
        <w:spacing w:line="360" w:lineRule="auto"/>
        <w:jc w:val="both"/>
        <w:rPr>
          <w:sz w:val="24"/>
          <w:szCs w:val="24"/>
        </w:rPr>
      </w:pPr>
    </w:p>
    <w:p w14:paraId="287BCC9F" w14:textId="77777777" w:rsidR="00567EF5" w:rsidRPr="00E837F8" w:rsidRDefault="00567EF5">
      <w:pPr>
        <w:spacing w:line="360" w:lineRule="auto"/>
        <w:jc w:val="both"/>
        <w:rPr>
          <w:sz w:val="24"/>
          <w:szCs w:val="24"/>
        </w:rPr>
      </w:pPr>
    </w:p>
    <w:p w14:paraId="287BCCD5" w14:textId="77777777" w:rsidR="00567EF5" w:rsidRDefault="00567EF5">
      <w:pPr>
        <w:spacing w:after="240" w:line="360" w:lineRule="auto"/>
        <w:jc w:val="center"/>
        <w:rPr>
          <w:b/>
          <w:bCs/>
          <w:sz w:val="24"/>
          <w:szCs w:val="24"/>
        </w:rPr>
      </w:pPr>
    </w:p>
    <w:p w14:paraId="368A3E32" w14:textId="77777777" w:rsidR="004959B9" w:rsidRDefault="004959B9">
      <w:pPr>
        <w:spacing w:after="240" w:line="360" w:lineRule="auto"/>
        <w:jc w:val="center"/>
        <w:rPr>
          <w:b/>
          <w:bCs/>
          <w:sz w:val="24"/>
          <w:szCs w:val="24"/>
        </w:rPr>
      </w:pPr>
    </w:p>
    <w:p w14:paraId="1C21EEE8" w14:textId="77777777" w:rsidR="004959B9" w:rsidRPr="00E837F8" w:rsidRDefault="004959B9">
      <w:pPr>
        <w:spacing w:after="240" w:line="360" w:lineRule="auto"/>
        <w:jc w:val="center"/>
        <w:rPr>
          <w:b/>
          <w:bCs/>
          <w:sz w:val="24"/>
          <w:szCs w:val="24"/>
        </w:rPr>
      </w:pPr>
    </w:p>
    <w:p w14:paraId="287BCCD8" w14:textId="77777777" w:rsidR="00567EF5" w:rsidRPr="00E837F8" w:rsidRDefault="00567EF5">
      <w:pPr>
        <w:spacing w:after="240" w:line="360" w:lineRule="auto"/>
        <w:jc w:val="center"/>
        <w:rPr>
          <w:b/>
          <w:bCs/>
          <w:sz w:val="24"/>
          <w:szCs w:val="24"/>
        </w:rPr>
      </w:pPr>
    </w:p>
    <w:p w14:paraId="287BCCD9" w14:textId="77777777" w:rsidR="00567EF5" w:rsidRPr="00E837F8" w:rsidRDefault="00567EF5">
      <w:pPr>
        <w:spacing w:after="240" w:line="360" w:lineRule="auto"/>
        <w:jc w:val="center"/>
        <w:rPr>
          <w:b/>
          <w:bCs/>
          <w:sz w:val="24"/>
          <w:szCs w:val="24"/>
        </w:rPr>
      </w:pPr>
    </w:p>
    <w:p w14:paraId="287BCCDA" w14:textId="77777777" w:rsidR="00567EF5" w:rsidRPr="00E837F8" w:rsidRDefault="006578A3">
      <w:pPr>
        <w:spacing w:after="240" w:line="360" w:lineRule="auto"/>
        <w:jc w:val="center"/>
        <w:rPr>
          <w:b/>
          <w:bCs/>
          <w:sz w:val="24"/>
          <w:szCs w:val="24"/>
        </w:rPr>
      </w:pPr>
      <w:r w:rsidRPr="00E837F8">
        <w:rPr>
          <w:b/>
          <w:bCs/>
          <w:sz w:val="24"/>
          <w:szCs w:val="24"/>
        </w:rPr>
        <w:t>Part-II</w:t>
      </w:r>
    </w:p>
    <w:p w14:paraId="287BCCDB" w14:textId="77777777" w:rsidR="00567EF5" w:rsidRPr="00E837F8" w:rsidRDefault="006578A3">
      <w:pPr>
        <w:spacing w:line="360" w:lineRule="auto"/>
        <w:jc w:val="center"/>
        <w:rPr>
          <w:b/>
          <w:bCs/>
          <w:sz w:val="24"/>
          <w:szCs w:val="24"/>
        </w:rPr>
      </w:pPr>
      <w:r w:rsidRPr="00E837F8">
        <w:rPr>
          <w:b/>
          <w:bCs/>
          <w:sz w:val="24"/>
          <w:szCs w:val="24"/>
        </w:rPr>
        <w:t>Present an annotated bibliography of at least 100 relevant sources with some brief comments on the usefulness and key points of each. The majority of these should be recent journal articles but some will be from classic sources that explore seminal concepts within your field. Ideally, this should be a real, live working document and can be presented in the actual format you will use for your notes.</w:t>
      </w:r>
    </w:p>
    <w:p w14:paraId="287BCCDC" w14:textId="77777777" w:rsidR="00567EF5" w:rsidRPr="00E837F8" w:rsidRDefault="00567EF5">
      <w:pPr>
        <w:spacing w:after="240" w:line="360" w:lineRule="auto"/>
        <w:jc w:val="center"/>
        <w:rPr>
          <w:b/>
          <w:bCs/>
          <w:sz w:val="24"/>
          <w:szCs w:val="24"/>
        </w:rPr>
      </w:pPr>
    </w:p>
    <w:p w14:paraId="287BCCDD" w14:textId="77777777" w:rsidR="00567EF5" w:rsidRPr="00E837F8" w:rsidRDefault="00567EF5">
      <w:pPr>
        <w:spacing w:after="240" w:line="360" w:lineRule="auto"/>
        <w:jc w:val="center"/>
        <w:rPr>
          <w:b/>
          <w:bCs/>
          <w:sz w:val="24"/>
          <w:szCs w:val="24"/>
        </w:rPr>
      </w:pPr>
    </w:p>
    <w:p w14:paraId="287BCCDE" w14:textId="77777777" w:rsidR="00567EF5" w:rsidRPr="00E837F8" w:rsidRDefault="00567EF5">
      <w:pPr>
        <w:spacing w:after="240" w:line="360" w:lineRule="auto"/>
        <w:jc w:val="center"/>
        <w:rPr>
          <w:b/>
          <w:bCs/>
          <w:sz w:val="24"/>
          <w:szCs w:val="24"/>
        </w:rPr>
      </w:pPr>
    </w:p>
    <w:p w14:paraId="287BCCDF" w14:textId="77777777" w:rsidR="00567EF5" w:rsidRPr="00E837F8" w:rsidRDefault="00567EF5">
      <w:pPr>
        <w:spacing w:after="240" w:line="360" w:lineRule="auto"/>
        <w:jc w:val="center"/>
        <w:rPr>
          <w:b/>
          <w:bCs/>
          <w:sz w:val="24"/>
          <w:szCs w:val="24"/>
        </w:rPr>
      </w:pPr>
    </w:p>
    <w:p w14:paraId="287BCCE0" w14:textId="77777777" w:rsidR="00567EF5" w:rsidRPr="00E837F8" w:rsidRDefault="00567EF5">
      <w:pPr>
        <w:spacing w:after="240" w:line="360" w:lineRule="auto"/>
        <w:jc w:val="center"/>
        <w:rPr>
          <w:b/>
          <w:bCs/>
          <w:sz w:val="24"/>
          <w:szCs w:val="24"/>
        </w:rPr>
      </w:pPr>
    </w:p>
    <w:p w14:paraId="287BCCE1" w14:textId="77777777" w:rsidR="00567EF5" w:rsidRPr="00E837F8" w:rsidRDefault="00567EF5">
      <w:pPr>
        <w:spacing w:after="240" w:line="360" w:lineRule="auto"/>
        <w:jc w:val="center"/>
        <w:rPr>
          <w:b/>
          <w:bCs/>
          <w:sz w:val="24"/>
          <w:szCs w:val="24"/>
        </w:rPr>
      </w:pPr>
    </w:p>
    <w:p w14:paraId="287BCCE2" w14:textId="77777777" w:rsidR="00567EF5" w:rsidRPr="00E837F8" w:rsidRDefault="00567EF5">
      <w:pPr>
        <w:spacing w:after="240" w:line="360" w:lineRule="auto"/>
        <w:jc w:val="center"/>
        <w:rPr>
          <w:b/>
          <w:bCs/>
          <w:sz w:val="24"/>
          <w:szCs w:val="24"/>
        </w:rPr>
      </w:pPr>
    </w:p>
    <w:p w14:paraId="287BCCE3" w14:textId="77777777" w:rsidR="00567EF5" w:rsidRPr="00E837F8" w:rsidRDefault="00567EF5">
      <w:pPr>
        <w:spacing w:after="240" w:line="360" w:lineRule="auto"/>
        <w:jc w:val="center"/>
        <w:rPr>
          <w:b/>
          <w:bCs/>
          <w:sz w:val="24"/>
          <w:szCs w:val="24"/>
        </w:rPr>
      </w:pPr>
    </w:p>
    <w:p w14:paraId="287BCCE4" w14:textId="77777777" w:rsidR="00567EF5" w:rsidRPr="00E837F8" w:rsidRDefault="00567EF5">
      <w:pPr>
        <w:spacing w:after="240" w:line="360" w:lineRule="auto"/>
        <w:jc w:val="center"/>
        <w:rPr>
          <w:b/>
          <w:bCs/>
          <w:sz w:val="24"/>
          <w:szCs w:val="24"/>
        </w:rPr>
      </w:pPr>
    </w:p>
    <w:p w14:paraId="287BCCE5" w14:textId="77777777" w:rsidR="00567EF5" w:rsidRPr="00E837F8" w:rsidRDefault="006578A3">
      <w:pPr>
        <w:spacing w:line="360" w:lineRule="auto"/>
        <w:jc w:val="both"/>
        <w:rPr>
          <w:sz w:val="24"/>
          <w:szCs w:val="24"/>
        </w:rPr>
      </w:pPr>
      <w:r w:rsidRPr="00E837F8">
        <w:rPr>
          <w:sz w:val="24"/>
          <w:szCs w:val="24"/>
        </w:rPr>
        <w:lastRenderedPageBreak/>
        <w:t>This section is a research preparation tool that consists of 100 annotated bibliographies for the research topic: The role of retained earnings in capital budgeting decisions: A critical examination of strategic, financial, and organisational influences in organisation.</w:t>
      </w:r>
    </w:p>
    <w:tbl>
      <w:tblPr>
        <w:tblStyle w:val="a"/>
        <w:tblW w:w="10255" w:type="dxa"/>
        <w:tblLayout w:type="fixed"/>
        <w:tblLook w:val="0400" w:firstRow="0" w:lastRow="0" w:firstColumn="0" w:lastColumn="0" w:noHBand="0" w:noVBand="1"/>
      </w:tblPr>
      <w:tblGrid>
        <w:gridCol w:w="715"/>
        <w:gridCol w:w="4963"/>
        <w:gridCol w:w="4577"/>
      </w:tblGrid>
      <w:tr w:rsidR="00567EF5" w:rsidRPr="00E837F8" w14:paraId="287BCCE9" w14:textId="77777777" w:rsidTr="00B37CE2">
        <w:trPr>
          <w:trHeight w:val="312"/>
        </w:trPr>
        <w:tc>
          <w:tcPr>
            <w:tcW w:w="715" w:type="dxa"/>
            <w:tcBorders>
              <w:top w:val="single" w:sz="4" w:space="0" w:color="000000"/>
              <w:left w:val="single" w:sz="4" w:space="0" w:color="000000"/>
              <w:bottom w:val="single" w:sz="4" w:space="0" w:color="000000"/>
              <w:right w:val="single" w:sz="4" w:space="0" w:color="000000"/>
            </w:tcBorders>
          </w:tcPr>
          <w:p w14:paraId="287BCCE6" w14:textId="77777777" w:rsidR="00567EF5" w:rsidRPr="00E837F8" w:rsidRDefault="006578A3">
            <w:pPr>
              <w:rPr>
                <w:b/>
                <w:bCs/>
                <w:color w:val="000000"/>
                <w:sz w:val="24"/>
                <w:szCs w:val="24"/>
              </w:rPr>
            </w:pPr>
            <w:r w:rsidRPr="00E837F8">
              <w:rPr>
                <w:b/>
                <w:bCs/>
                <w:color w:val="000000"/>
                <w:sz w:val="24"/>
                <w:szCs w:val="24"/>
              </w:rPr>
              <w:t>S.N</w:t>
            </w:r>
          </w:p>
        </w:tc>
        <w:tc>
          <w:tcPr>
            <w:tcW w:w="4963" w:type="dxa"/>
            <w:tcBorders>
              <w:top w:val="single" w:sz="4" w:space="0" w:color="000000"/>
              <w:left w:val="nil"/>
              <w:bottom w:val="single" w:sz="4" w:space="0" w:color="000000"/>
              <w:right w:val="single" w:sz="4" w:space="0" w:color="000000"/>
            </w:tcBorders>
          </w:tcPr>
          <w:p w14:paraId="287BCCE7" w14:textId="77777777" w:rsidR="00567EF5" w:rsidRPr="00E837F8" w:rsidRDefault="006578A3">
            <w:pPr>
              <w:rPr>
                <w:b/>
                <w:bCs/>
                <w:color w:val="000000"/>
                <w:sz w:val="24"/>
                <w:szCs w:val="24"/>
              </w:rPr>
            </w:pPr>
            <w:r w:rsidRPr="00E837F8">
              <w:rPr>
                <w:b/>
                <w:bCs/>
                <w:color w:val="000000"/>
                <w:sz w:val="24"/>
                <w:szCs w:val="24"/>
              </w:rPr>
              <w:t>Source</w:t>
            </w:r>
          </w:p>
        </w:tc>
        <w:tc>
          <w:tcPr>
            <w:tcW w:w="4577" w:type="dxa"/>
            <w:tcBorders>
              <w:top w:val="single" w:sz="4" w:space="0" w:color="000000"/>
              <w:left w:val="nil"/>
              <w:bottom w:val="single" w:sz="4" w:space="0" w:color="000000"/>
              <w:right w:val="single" w:sz="4" w:space="0" w:color="000000"/>
            </w:tcBorders>
          </w:tcPr>
          <w:p w14:paraId="287BCCE8" w14:textId="77777777" w:rsidR="00567EF5" w:rsidRPr="00E837F8" w:rsidRDefault="006578A3">
            <w:pPr>
              <w:rPr>
                <w:b/>
                <w:bCs/>
                <w:color w:val="000000"/>
                <w:sz w:val="24"/>
                <w:szCs w:val="24"/>
              </w:rPr>
            </w:pPr>
            <w:r w:rsidRPr="00E837F8">
              <w:rPr>
                <w:b/>
                <w:bCs/>
                <w:color w:val="000000"/>
                <w:sz w:val="24"/>
                <w:szCs w:val="24"/>
              </w:rPr>
              <w:t>Summary</w:t>
            </w:r>
          </w:p>
        </w:tc>
      </w:tr>
      <w:tr w:rsidR="00567EF5" w:rsidRPr="00E837F8" w14:paraId="287BCCE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EA" w14:textId="77777777" w:rsidR="00567EF5" w:rsidRPr="00E837F8" w:rsidRDefault="006578A3">
            <w:pPr>
              <w:jc w:val="right"/>
              <w:rPr>
                <w:b/>
                <w:bCs/>
                <w:color w:val="000000"/>
                <w:sz w:val="24"/>
                <w:szCs w:val="24"/>
              </w:rPr>
            </w:pPr>
            <w:r w:rsidRPr="00E837F8">
              <w:rPr>
                <w:b/>
                <w:bCs/>
                <w:color w:val="000000"/>
                <w:sz w:val="24"/>
                <w:szCs w:val="24"/>
              </w:rPr>
              <w:t>1</w:t>
            </w:r>
          </w:p>
        </w:tc>
        <w:tc>
          <w:tcPr>
            <w:tcW w:w="4963" w:type="dxa"/>
            <w:tcBorders>
              <w:top w:val="nil"/>
              <w:left w:val="nil"/>
              <w:bottom w:val="single" w:sz="4" w:space="0" w:color="000000"/>
              <w:right w:val="single" w:sz="4" w:space="0" w:color="000000"/>
            </w:tcBorders>
          </w:tcPr>
          <w:p w14:paraId="287BCCEB" w14:textId="77777777" w:rsidR="00567EF5" w:rsidRPr="00E837F8" w:rsidRDefault="006578A3">
            <w:pPr>
              <w:rPr>
                <w:color w:val="333333"/>
                <w:sz w:val="24"/>
                <w:szCs w:val="24"/>
              </w:rPr>
            </w:pPr>
            <w:r w:rsidRPr="00E837F8">
              <w:rPr>
                <w:color w:val="333333"/>
                <w:sz w:val="24"/>
                <w:szCs w:val="24"/>
              </w:rPr>
              <w:t>Sureka, R., Kumar, S., Colombage, S. and Abedin, M.Z. (2022) ‘Five decades of research on capital budgeting – A systematic review and future research agenda’, </w:t>
            </w:r>
            <w:r w:rsidRPr="00E837F8">
              <w:rPr>
                <w:i/>
                <w:iCs/>
                <w:color w:val="333333"/>
                <w:sz w:val="24"/>
                <w:szCs w:val="24"/>
              </w:rPr>
              <w:t>Research in international business and finance</w:t>
            </w:r>
            <w:r w:rsidRPr="00E837F8">
              <w:rPr>
                <w:color w:val="333333"/>
                <w:sz w:val="24"/>
                <w:szCs w:val="24"/>
              </w:rPr>
              <w:t>, 60, pp. 1–20. Available at: https://doi.org/10.1016/j.ribaf.2021.101609</w:t>
            </w:r>
          </w:p>
        </w:tc>
        <w:tc>
          <w:tcPr>
            <w:tcW w:w="4577" w:type="dxa"/>
            <w:tcBorders>
              <w:top w:val="nil"/>
              <w:left w:val="nil"/>
              <w:bottom w:val="single" w:sz="4" w:space="0" w:color="000000"/>
              <w:right w:val="single" w:sz="4" w:space="0" w:color="000000"/>
            </w:tcBorders>
          </w:tcPr>
          <w:p w14:paraId="287BCCEC" w14:textId="77777777" w:rsidR="00567EF5" w:rsidRPr="00E837F8" w:rsidRDefault="006578A3">
            <w:pPr>
              <w:rPr>
                <w:color w:val="000000"/>
                <w:sz w:val="24"/>
                <w:szCs w:val="24"/>
              </w:rPr>
            </w:pPr>
            <w:r w:rsidRPr="00E837F8">
              <w:rPr>
                <w:color w:val="000000"/>
                <w:sz w:val="24"/>
                <w:szCs w:val="24"/>
              </w:rPr>
              <w:t>Firm and managerial characteristics greatly impact capital budgeting (CB) processes. Firm size, budgetary level, ownership framework, ethical circumstances, uncertainty concerning the environment, and CFO/CEO demographics all influence the use of sophisticated CB approaches.</w:t>
            </w:r>
          </w:p>
        </w:tc>
      </w:tr>
      <w:tr w:rsidR="00567EF5" w:rsidRPr="00E837F8" w14:paraId="287BCCF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CEE" w14:textId="77777777" w:rsidR="00567EF5" w:rsidRPr="00E837F8" w:rsidRDefault="006578A3">
            <w:pPr>
              <w:jc w:val="right"/>
              <w:rPr>
                <w:b/>
                <w:bCs/>
                <w:color w:val="000000"/>
                <w:sz w:val="24"/>
                <w:szCs w:val="24"/>
              </w:rPr>
            </w:pPr>
            <w:r w:rsidRPr="00E837F8">
              <w:rPr>
                <w:b/>
                <w:bCs/>
                <w:color w:val="000000"/>
                <w:sz w:val="24"/>
                <w:szCs w:val="24"/>
              </w:rPr>
              <w:t>2</w:t>
            </w:r>
          </w:p>
        </w:tc>
        <w:tc>
          <w:tcPr>
            <w:tcW w:w="4963" w:type="dxa"/>
            <w:tcBorders>
              <w:top w:val="nil"/>
              <w:left w:val="nil"/>
              <w:bottom w:val="single" w:sz="4" w:space="0" w:color="000000"/>
              <w:right w:val="single" w:sz="4" w:space="0" w:color="000000"/>
            </w:tcBorders>
          </w:tcPr>
          <w:p w14:paraId="287BCCEF" w14:textId="77777777" w:rsidR="00567EF5" w:rsidRPr="00E837F8" w:rsidRDefault="006578A3">
            <w:pPr>
              <w:rPr>
                <w:color w:val="333333"/>
                <w:sz w:val="24"/>
                <w:szCs w:val="24"/>
              </w:rPr>
            </w:pPr>
            <w:r w:rsidRPr="00E837F8">
              <w:rPr>
                <w:color w:val="333333"/>
                <w:sz w:val="24"/>
                <w:szCs w:val="24"/>
              </w:rPr>
              <w:t>VHuikku, J., Karjalainen, J. and Seppälä, T. (2018) ‘The dynamism of pre-decision controls in the appraisal of strategic investments’, </w:t>
            </w:r>
            <w:r w:rsidRPr="00E837F8">
              <w:rPr>
                <w:i/>
                <w:iCs/>
                <w:color w:val="333333"/>
                <w:sz w:val="24"/>
                <w:szCs w:val="24"/>
              </w:rPr>
              <w:t>The British accounting review</w:t>
            </w:r>
            <w:r w:rsidRPr="00E837F8">
              <w:rPr>
                <w:color w:val="333333"/>
                <w:sz w:val="24"/>
                <w:szCs w:val="24"/>
              </w:rPr>
              <w:t>, 50(5), pp. 516–538. Available at: https://doi.org/10.1016/j.bar.2018.04.002</w:t>
            </w:r>
          </w:p>
        </w:tc>
        <w:tc>
          <w:tcPr>
            <w:tcW w:w="4577" w:type="dxa"/>
            <w:tcBorders>
              <w:top w:val="nil"/>
              <w:left w:val="nil"/>
              <w:bottom w:val="single" w:sz="4" w:space="0" w:color="000000"/>
              <w:right w:val="single" w:sz="4" w:space="0" w:color="000000"/>
            </w:tcBorders>
          </w:tcPr>
          <w:p w14:paraId="287BCCF0" w14:textId="77777777" w:rsidR="00567EF5" w:rsidRPr="00E837F8" w:rsidRDefault="006578A3">
            <w:pPr>
              <w:rPr>
                <w:color w:val="000000"/>
                <w:sz w:val="24"/>
                <w:szCs w:val="24"/>
              </w:rPr>
            </w:pPr>
            <w:r w:rsidRPr="00E837F8">
              <w:rPr>
                <w:color w:val="000000"/>
                <w:sz w:val="24"/>
                <w:szCs w:val="24"/>
              </w:rPr>
              <w:t xml:space="preserve">Changes in the </w:t>
            </w:r>
            <w:r w:rsidRPr="00E837F8">
              <w:rPr>
                <w:sz w:val="24"/>
                <w:szCs w:val="24"/>
              </w:rPr>
              <w:t>environment,</w:t>
            </w:r>
            <w:r w:rsidRPr="00E837F8">
              <w:rPr>
                <w:color w:val="000000"/>
                <w:sz w:val="24"/>
                <w:szCs w:val="24"/>
              </w:rPr>
              <w:t xml:space="preserve"> </w:t>
            </w:r>
            <w:r w:rsidRPr="00E837F8">
              <w:rPr>
                <w:sz w:val="24"/>
                <w:szCs w:val="24"/>
              </w:rPr>
              <w:t>whether</w:t>
            </w:r>
            <w:r w:rsidRPr="00E837F8">
              <w:rPr>
                <w:color w:val="000000"/>
                <w:sz w:val="24"/>
                <w:szCs w:val="24"/>
              </w:rPr>
              <w:t xml:space="preserve"> economic, strategic, or </w:t>
            </w:r>
            <w:r w:rsidRPr="00E837F8">
              <w:rPr>
                <w:sz w:val="24"/>
                <w:szCs w:val="24"/>
              </w:rPr>
              <w:t>organizational,</w:t>
            </w:r>
            <w:r w:rsidRPr="00E837F8">
              <w:rPr>
                <w:color w:val="000000"/>
                <w:sz w:val="24"/>
                <w:szCs w:val="24"/>
              </w:rPr>
              <w:t xml:space="preserve"> lead to dynamic modifications in capital budgeting controls, highlighting the impact of external disruptions as well as internal decision-makers.</w:t>
            </w:r>
          </w:p>
        </w:tc>
      </w:tr>
      <w:tr w:rsidR="00567EF5" w:rsidRPr="00E837F8" w14:paraId="287BCCF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CF2" w14:textId="77777777" w:rsidR="00567EF5" w:rsidRPr="00E837F8" w:rsidRDefault="006578A3">
            <w:pPr>
              <w:jc w:val="right"/>
              <w:rPr>
                <w:b/>
                <w:bCs/>
                <w:color w:val="000000"/>
                <w:sz w:val="24"/>
                <w:szCs w:val="24"/>
              </w:rPr>
            </w:pPr>
            <w:r w:rsidRPr="00E837F8">
              <w:rPr>
                <w:b/>
                <w:bCs/>
                <w:color w:val="000000"/>
                <w:sz w:val="24"/>
                <w:szCs w:val="24"/>
              </w:rPr>
              <w:t>3</w:t>
            </w:r>
          </w:p>
        </w:tc>
        <w:tc>
          <w:tcPr>
            <w:tcW w:w="4963" w:type="dxa"/>
            <w:tcBorders>
              <w:top w:val="nil"/>
              <w:left w:val="nil"/>
              <w:bottom w:val="single" w:sz="4" w:space="0" w:color="000000"/>
              <w:right w:val="single" w:sz="4" w:space="0" w:color="000000"/>
            </w:tcBorders>
          </w:tcPr>
          <w:p w14:paraId="287BCCF3" w14:textId="77777777" w:rsidR="00567EF5" w:rsidRPr="00E837F8" w:rsidRDefault="006578A3">
            <w:pPr>
              <w:rPr>
                <w:color w:val="333333"/>
                <w:sz w:val="24"/>
                <w:szCs w:val="24"/>
              </w:rPr>
            </w:pPr>
            <w:r w:rsidRPr="00E837F8">
              <w:rPr>
                <w:color w:val="333333"/>
                <w:sz w:val="24"/>
                <w:szCs w:val="24"/>
              </w:rPr>
              <w:t>Koussis, N., Martzoukos, S.H. and Trigeorgis, L. (2017) ‘Corporate liquidity and dividend policy under uncertainty’, </w:t>
            </w:r>
            <w:r w:rsidRPr="00E837F8">
              <w:rPr>
                <w:i/>
                <w:iCs/>
                <w:color w:val="333333"/>
                <w:sz w:val="24"/>
                <w:szCs w:val="24"/>
              </w:rPr>
              <w:t>Journal of banking &amp; finance</w:t>
            </w:r>
            <w:r w:rsidRPr="00E837F8">
              <w:rPr>
                <w:color w:val="333333"/>
                <w:sz w:val="24"/>
                <w:szCs w:val="24"/>
              </w:rPr>
              <w:t>, 81, pp. 221–235. Available at: https://doi.org/10.1016/j.jbankfin.2017.01.021</w:t>
            </w:r>
          </w:p>
        </w:tc>
        <w:tc>
          <w:tcPr>
            <w:tcW w:w="4577" w:type="dxa"/>
            <w:tcBorders>
              <w:top w:val="nil"/>
              <w:left w:val="nil"/>
              <w:bottom w:val="single" w:sz="4" w:space="0" w:color="000000"/>
              <w:right w:val="single" w:sz="4" w:space="0" w:color="000000"/>
            </w:tcBorders>
          </w:tcPr>
          <w:p w14:paraId="287BCCF4" w14:textId="77777777" w:rsidR="00567EF5" w:rsidRPr="00E837F8" w:rsidRDefault="006578A3">
            <w:pPr>
              <w:rPr>
                <w:color w:val="000000"/>
                <w:sz w:val="24"/>
                <w:szCs w:val="24"/>
              </w:rPr>
            </w:pPr>
            <w:r w:rsidRPr="00E837F8">
              <w:rPr>
                <w:color w:val="000000"/>
                <w:sz w:val="24"/>
                <w:szCs w:val="24"/>
              </w:rPr>
              <w:t>High external borrowing costs elevate the value of finances, making retained earnings the preferred source of income and driving corporations to boost plowback ratios.</w:t>
            </w:r>
          </w:p>
        </w:tc>
      </w:tr>
      <w:tr w:rsidR="00567EF5" w:rsidRPr="00E837F8" w14:paraId="287BCCF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F6" w14:textId="77777777" w:rsidR="00567EF5" w:rsidRPr="00E837F8" w:rsidRDefault="006578A3">
            <w:pPr>
              <w:jc w:val="right"/>
              <w:rPr>
                <w:b/>
                <w:bCs/>
                <w:color w:val="000000"/>
                <w:sz w:val="24"/>
                <w:szCs w:val="24"/>
              </w:rPr>
            </w:pPr>
            <w:r w:rsidRPr="00E837F8">
              <w:rPr>
                <w:b/>
                <w:bCs/>
                <w:color w:val="000000"/>
                <w:sz w:val="24"/>
                <w:szCs w:val="24"/>
              </w:rPr>
              <w:t>4</w:t>
            </w:r>
          </w:p>
        </w:tc>
        <w:tc>
          <w:tcPr>
            <w:tcW w:w="4963" w:type="dxa"/>
            <w:tcBorders>
              <w:top w:val="nil"/>
              <w:left w:val="nil"/>
              <w:bottom w:val="single" w:sz="4" w:space="0" w:color="000000"/>
              <w:right w:val="single" w:sz="4" w:space="0" w:color="000000"/>
            </w:tcBorders>
          </w:tcPr>
          <w:p w14:paraId="287BCCF7" w14:textId="77777777" w:rsidR="00567EF5" w:rsidRPr="00E837F8" w:rsidRDefault="006578A3">
            <w:pPr>
              <w:rPr>
                <w:color w:val="333333"/>
                <w:sz w:val="24"/>
                <w:szCs w:val="24"/>
              </w:rPr>
            </w:pPr>
            <w:r w:rsidRPr="00E837F8">
              <w:rPr>
                <w:color w:val="333333"/>
                <w:sz w:val="24"/>
                <w:szCs w:val="24"/>
              </w:rPr>
              <w:t>Tawfik, O.I. and Elmaasrawy, H.E. (2024) ‘Effect of Shariah compliance on financing decisions: empirical evidence from GCC’, </w:t>
            </w:r>
            <w:r w:rsidRPr="00E837F8">
              <w:rPr>
                <w:i/>
                <w:iCs/>
                <w:color w:val="333333"/>
                <w:sz w:val="24"/>
                <w:szCs w:val="24"/>
              </w:rPr>
              <w:t>Journal of Islamic accounting and business research</w:t>
            </w:r>
            <w:r w:rsidRPr="00E837F8">
              <w:rPr>
                <w:color w:val="333333"/>
                <w:sz w:val="24"/>
                <w:szCs w:val="24"/>
              </w:rPr>
              <w:t>, 15(1), pp. 196–223. Available at: https://doi.org/10.1108/JIABR-07-2022-0165</w:t>
            </w:r>
          </w:p>
        </w:tc>
        <w:tc>
          <w:tcPr>
            <w:tcW w:w="4577" w:type="dxa"/>
            <w:tcBorders>
              <w:top w:val="nil"/>
              <w:left w:val="nil"/>
              <w:bottom w:val="single" w:sz="4" w:space="0" w:color="000000"/>
              <w:right w:val="single" w:sz="4" w:space="0" w:color="000000"/>
            </w:tcBorders>
          </w:tcPr>
          <w:p w14:paraId="287BCCF8" w14:textId="77777777" w:rsidR="00567EF5" w:rsidRPr="00E837F8" w:rsidRDefault="006578A3">
            <w:pPr>
              <w:rPr>
                <w:color w:val="000000"/>
                <w:sz w:val="24"/>
                <w:szCs w:val="24"/>
              </w:rPr>
            </w:pPr>
            <w:r w:rsidRPr="00E837F8">
              <w:rPr>
                <w:color w:val="000000"/>
                <w:sz w:val="24"/>
                <w:szCs w:val="24"/>
              </w:rPr>
              <w:t>Shariah-compliant organisations mostly rely on internal funding due to limited access to debt, which contributes to a strong positive correlation with retained earnings.</w:t>
            </w:r>
          </w:p>
        </w:tc>
      </w:tr>
      <w:tr w:rsidR="00567EF5" w:rsidRPr="00E837F8" w14:paraId="287BCCF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FA" w14:textId="77777777" w:rsidR="00567EF5" w:rsidRPr="00E837F8" w:rsidRDefault="006578A3">
            <w:pPr>
              <w:jc w:val="right"/>
              <w:rPr>
                <w:b/>
                <w:bCs/>
                <w:color w:val="000000"/>
                <w:sz w:val="24"/>
                <w:szCs w:val="24"/>
              </w:rPr>
            </w:pPr>
            <w:r w:rsidRPr="00E837F8">
              <w:rPr>
                <w:b/>
                <w:bCs/>
                <w:color w:val="000000"/>
                <w:sz w:val="24"/>
                <w:szCs w:val="24"/>
              </w:rPr>
              <w:t>5</w:t>
            </w:r>
          </w:p>
        </w:tc>
        <w:tc>
          <w:tcPr>
            <w:tcW w:w="4963" w:type="dxa"/>
            <w:tcBorders>
              <w:top w:val="nil"/>
              <w:left w:val="nil"/>
              <w:bottom w:val="single" w:sz="4" w:space="0" w:color="000000"/>
              <w:right w:val="single" w:sz="4" w:space="0" w:color="000000"/>
            </w:tcBorders>
          </w:tcPr>
          <w:p w14:paraId="287BCCFB" w14:textId="77777777" w:rsidR="00567EF5" w:rsidRPr="00E837F8" w:rsidRDefault="006578A3">
            <w:pPr>
              <w:rPr>
                <w:color w:val="333333"/>
                <w:sz w:val="24"/>
                <w:szCs w:val="24"/>
              </w:rPr>
            </w:pPr>
            <w:r w:rsidRPr="00E837F8">
              <w:rPr>
                <w:color w:val="333333"/>
                <w:sz w:val="24"/>
                <w:szCs w:val="24"/>
              </w:rPr>
              <w:t>Tawfik, O.I., Elmaasrawy, H.E. and Albitar, K. (2024) ‘Political connections, financing decisions and cash holdings: empirical evidence from Gulf Cooperation Council’, </w:t>
            </w:r>
            <w:r w:rsidRPr="00E837F8">
              <w:rPr>
                <w:i/>
                <w:iCs/>
                <w:color w:val="333333"/>
                <w:sz w:val="24"/>
                <w:szCs w:val="24"/>
              </w:rPr>
              <w:t>Journal of financial reporting &amp; accounting</w:t>
            </w:r>
            <w:r w:rsidRPr="00E837F8">
              <w:rPr>
                <w:color w:val="333333"/>
                <w:sz w:val="24"/>
                <w:szCs w:val="24"/>
              </w:rPr>
              <w:t>, 22(4), pp. 942–971. Available at: https://doi.org/10.1108/JFRA-10-2021-0382</w:t>
            </w:r>
          </w:p>
        </w:tc>
        <w:tc>
          <w:tcPr>
            <w:tcW w:w="4577" w:type="dxa"/>
            <w:tcBorders>
              <w:top w:val="nil"/>
              <w:left w:val="nil"/>
              <w:bottom w:val="single" w:sz="4" w:space="0" w:color="000000"/>
              <w:right w:val="single" w:sz="4" w:space="0" w:color="000000"/>
            </w:tcBorders>
          </w:tcPr>
          <w:p w14:paraId="287BCCFC" w14:textId="77777777" w:rsidR="00567EF5" w:rsidRPr="00E837F8" w:rsidRDefault="006578A3">
            <w:pPr>
              <w:rPr>
                <w:color w:val="000000"/>
                <w:sz w:val="24"/>
                <w:szCs w:val="24"/>
              </w:rPr>
            </w:pPr>
            <w:r w:rsidRPr="00E837F8">
              <w:rPr>
                <w:color w:val="000000"/>
                <w:sz w:val="24"/>
                <w:szCs w:val="24"/>
              </w:rPr>
              <w:t>Cash holdings reflect pecking-order financing needs and managerial incentives. Governance competency, financial boundaries, potential investments, and agency issues all influence retention, with ineffective governance boosting managerial independence and capital holding.</w:t>
            </w:r>
          </w:p>
        </w:tc>
      </w:tr>
      <w:tr w:rsidR="00567EF5" w:rsidRPr="00E837F8" w14:paraId="287BCD0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CFE" w14:textId="77777777" w:rsidR="00567EF5" w:rsidRPr="00E837F8" w:rsidRDefault="006578A3">
            <w:pPr>
              <w:jc w:val="right"/>
              <w:rPr>
                <w:b/>
                <w:bCs/>
                <w:color w:val="000000"/>
                <w:sz w:val="24"/>
                <w:szCs w:val="24"/>
              </w:rPr>
            </w:pPr>
            <w:r w:rsidRPr="00E837F8">
              <w:rPr>
                <w:b/>
                <w:bCs/>
                <w:color w:val="000000"/>
                <w:sz w:val="24"/>
                <w:szCs w:val="24"/>
              </w:rPr>
              <w:lastRenderedPageBreak/>
              <w:t>6</w:t>
            </w:r>
          </w:p>
        </w:tc>
        <w:tc>
          <w:tcPr>
            <w:tcW w:w="4963" w:type="dxa"/>
            <w:tcBorders>
              <w:top w:val="nil"/>
              <w:left w:val="nil"/>
              <w:bottom w:val="single" w:sz="4" w:space="0" w:color="000000"/>
              <w:right w:val="single" w:sz="4" w:space="0" w:color="000000"/>
            </w:tcBorders>
          </w:tcPr>
          <w:p w14:paraId="287BCCFF" w14:textId="77777777" w:rsidR="00567EF5" w:rsidRPr="00E837F8" w:rsidRDefault="006578A3">
            <w:pPr>
              <w:rPr>
                <w:color w:val="333333"/>
                <w:sz w:val="24"/>
                <w:szCs w:val="24"/>
              </w:rPr>
            </w:pPr>
            <w:r w:rsidRPr="00E837F8">
              <w:rPr>
                <w:color w:val="333333"/>
                <w:sz w:val="24"/>
                <w:szCs w:val="24"/>
              </w:rPr>
              <w:t>Elmaasrawy, H.E., Tawfik, O.I. and Hussainey, K. (2023) ‘Effects of chairman ownership on financing decisions: empirical evidence from GCC’, </w:t>
            </w:r>
            <w:r w:rsidRPr="00E837F8">
              <w:rPr>
                <w:i/>
                <w:iCs/>
                <w:color w:val="333333"/>
                <w:sz w:val="24"/>
                <w:szCs w:val="24"/>
              </w:rPr>
              <w:t>The journal of risk finance</w:t>
            </w:r>
            <w:r w:rsidRPr="00E837F8">
              <w:rPr>
                <w:color w:val="333333"/>
                <w:sz w:val="24"/>
                <w:szCs w:val="24"/>
              </w:rPr>
              <w:t>, 24(5), pp. 631–656. Available at: https://doi.org/10.1108/JRF-01-2023-0017</w:t>
            </w:r>
          </w:p>
        </w:tc>
        <w:tc>
          <w:tcPr>
            <w:tcW w:w="4577" w:type="dxa"/>
            <w:tcBorders>
              <w:top w:val="nil"/>
              <w:left w:val="nil"/>
              <w:bottom w:val="single" w:sz="4" w:space="0" w:color="000000"/>
              <w:right w:val="single" w:sz="4" w:space="0" w:color="000000"/>
            </w:tcBorders>
          </w:tcPr>
          <w:p w14:paraId="287BCD00" w14:textId="77777777" w:rsidR="00567EF5" w:rsidRPr="00E837F8" w:rsidRDefault="006578A3">
            <w:pPr>
              <w:rPr>
                <w:color w:val="000000"/>
                <w:sz w:val="24"/>
                <w:szCs w:val="24"/>
              </w:rPr>
            </w:pPr>
            <w:r w:rsidRPr="00E837F8">
              <w:rPr>
                <w:color w:val="000000"/>
                <w:sz w:val="24"/>
                <w:szCs w:val="24"/>
              </w:rPr>
              <w:t xml:space="preserve">Chairman ownership lowers reliance on retained earnings, but not debt use. Royal-chaired enterprises avoid debt, indicating a strong desire for </w:t>
            </w:r>
            <w:r w:rsidRPr="00E837F8">
              <w:rPr>
                <w:sz w:val="24"/>
                <w:szCs w:val="24"/>
              </w:rPr>
              <w:t>less</w:t>
            </w:r>
            <w:r w:rsidRPr="00E837F8">
              <w:rPr>
                <w:color w:val="000000"/>
                <w:sz w:val="24"/>
                <w:szCs w:val="24"/>
              </w:rPr>
              <w:t xml:space="preserve"> leverage.</w:t>
            </w:r>
          </w:p>
        </w:tc>
      </w:tr>
      <w:tr w:rsidR="00567EF5" w:rsidRPr="00E837F8" w14:paraId="287BCD0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02" w14:textId="77777777" w:rsidR="00567EF5" w:rsidRPr="00E837F8" w:rsidRDefault="006578A3">
            <w:pPr>
              <w:jc w:val="right"/>
              <w:rPr>
                <w:b/>
                <w:bCs/>
                <w:color w:val="000000"/>
                <w:sz w:val="24"/>
                <w:szCs w:val="24"/>
              </w:rPr>
            </w:pPr>
            <w:r w:rsidRPr="00E837F8">
              <w:rPr>
                <w:b/>
                <w:bCs/>
                <w:color w:val="000000"/>
                <w:sz w:val="24"/>
                <w:szCs w:val="24"/>
              </w:rPr>
              <w:t>7</w:t>
            </w:r>
          </w:p>
        </w:tc>
        <w:tc>
          <w:tcPr>
            <w:tcW w:w="4963" w:type="dxa"/>
            <w:tcBorders>
              <w:top w:val="nil"/>
              <w:left w:val="nil"/>
              <w:bottom w:val="single" w:sz="4" w:space="0" w:color="000000"/>
              <w:right w:val="single" w:sz="4" w:space="0" w:color="000000"/>
            </w:tcBorders>
          </w:tcPr>
          <w:p w14:paraId="287BCD03" w14:textId="77777777" w:rsidR="00567EF5" w:rsidRPr="00E837F8" w:rsidRDefault="006578A3">
            <w:pPr>
              <w:rPr>
                <w:color w:val="333333"/>
                <w:sz w:val="24"/>
                <w:szCs w:val="24"/>
              </w:rPr>
            </w:pPr>
            <w:r w:rsidRPr="00E837F8">
              <w:rPr>
                <w:color w:val="333333"/>
                <w:sz w:val="24"/>
                <w:szCs w:val="24"/>
              </w:rPr>
              <w:t>Fadil, N. and St-Pierre, J. (2021) ‘Growing SMEs and internal financing: the role of business practices’, </w:t>
            </w:r>
            <w:r w:rsidRPr="00E837F8">
              <w:rPr>
                <w:i/>
                <w:iCs/>
                <w:color w:val="333333"/>
                <w:sz w:val="24"/>
                <w:szCs w:val="24"/>
              </w:rPr>
              <w:t>Journal of small business and enterprise development</w:t>
            </w:r>
            <w:r w:rsidRPr="00E837F8">
              <w:rPr>
                <w:color w:val="333333"/>
                <w:sz w:val="24"/>
                <w:szCs w:val="24"/>
              </w:rPr>
              <w:t>, 28(7), pp. 973–994. Available at: https://doi.org/10.1108/JSBED-11-2019-0375</w:t>
            </w:r>
          </w:p>
        </w:tc>
        <w:tc>
          <w:tcPr>
            <w:tcW w:w="4577" w:type="dxa"/>
            <w:tcBorders>
              <w:top w:val="nil"/>
              <w:left w:val="nil"/>
              <w:bottom w:val="single" w:sz="4" w:space="0" w:color="000000"/>
              <w:right w:val="single" w:sz="4" w:space="0" w:color="000000"/>
            </w:tcBorders>
          </w:tcPr>
          <w:p w14:paraId="287BCD04" w14:textId="77777777" w:rsidR="00567EF5" w:rsidRPr="00E837F8" w:rsidRDefault="006578A3">
            <w:pPr>
              <w:rPr>
                <w:color w:val="000000"/>
                <w:sz w:val="24"/>
                <w:szCs w:val="24"/>
              </w:rPr>
            </w:pPr>
            <w:r w:rsidRPr="00E837F8">
              <w:rPr>
                <w:color w:val="000000"/>
                <w:sz w:val="24"/>
                <w:szCs w:val="24"/>
              </w:rPr>
              <w:t>Efficiency-enhancing methods encourage SMEs to rely on internal financing by reducing expenses and stabilizing operations. This reduces dependency on external finance and increases the chance of self-financing.</w:t>
            </w:r>
          </w:p>
        </w:tc>
      </w:tr>
      <w:tr w:rsidR="00567EF5" w:rsidRPr="00E837F8" w14:paraId="287BCD0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06" w14:textId="77777777" w:rsidR="00567EF5" w:rsidRPr="00E837F8" w:rsidRDefault="006578A3">
            <w:pPr>
              <w:jc w:val="right"/>
              <w:rPr>
                <w:b/>
                <w:bCs/>
                <w:color w:val="000000"/>
                <w:sz w:val="24"/>
                <w:szCs w:val="24"/>
              </w:rPr>
            </w:pPr>
            <w:r w:rsidRPr="00E837F8">
              <w:rPr>
                <w:b/>
                <w:bCs/>
                <w:color w:val="000000"/>
                <w:sz w:val="24"/>
                <w:szCs w:val="24"/>
              </w:rPr>
              <w:t>8</w:t>
            </w:r>
          </w:p>
        </w:tc>
        <w:tc>
          <w:tcPr>
            <w:tcW w:w="4963" w:type="dxa"/>
            <w:tcBorders>
              <w:top w:val="nil"/>
              <w:left w:val="nil"/>
              <w:bottom w:val="single" w:sz="4" w:space="0" w:color="000000"/>
              <w:right w:val="single" w:sz="4" w:space="0" w:color="000000"/>
            </w:tcBorders>
          </w:tcPr>
          <w:p w14:paraId="287BCD07" w14:textId="77777777" w:rsidR="00567EF5" w:rsidRPr="00E837F8" w:rsidRDefault="006578A3">
            <w:pPr>
              <w:rPr>
                <w:color w:val="333333"/>
                <w:sz w:val="24"/>
                <w:szCs w:val="24"/>
              </w:rPr>
            </w:pPr>
            <w:r w:rsidRPr="00E837F8">
              <w:rPr>
                <w:color w:val="333333"/>
                <w:sz w:val="24"/>
                <w:szCs w:val="24"/>
              </w:rPr>
              <w:t>Jansen, K., Michiels, A., Voordeckers, W. and Steijvers, T. (2023) ‘Financing decisions in private family firms: a family firm pecking order: Financing decisions in private family firms: a family firm pecking order’, </w:t>
            </w:r>
            <w:r w:rsidRPr="00E837F8">
              <w:rPr>
                <w:i/>
                <w:iCs/>
                <w:color w:val="333333"/>
                <w:sz w:val="24"/>
                <w:szCs w:val="24"/>
              </w:rPr>
              <w:t>Small business economics</w:t>
            </w:r>
            <w:r w:rsidRPr="00E837F8">
              <w:rPr>
                <w:color w:val="333333"/>
                <w:sz w:val="24"/>
                <w:szCs w:val="24"/>
              </w:rPr>
              <w:t>, 61(2), pp. 495–515. Available at: https://doi.org/10.1007/s11187-022-00711-9</w:t>
            </w:r>
          </w:p>
        </w:tc>
        <w:tc>
          <w:tcPr>
            <w:tcW w:w="4577" w:type="dxa"/>
            <w:tcBorders>
              <w:top w:val="nil"/>
              <w:left w:val="nil"/>
              <w:bottom w:val="single" w:sz="4" w:space="0" w:color="000000"/>
              <w:right w:val="single" w:sz="4" w:space="0" w:color="000000"/>
            </w:tcBorders>
          </w:tcPr>
          <w:p w14:paraId="287BCD08" w14:textId="77777777" w:rsidR="00567EF5" w:rsidRPr="00E837F8" w:rsidRDefault="006578A3">
            <w:pPr>
              <w:rPr>
                <w:color w:val="000000"/>
                <w:sz w:val="24"/>
                <w:szCs w:val="24"/>
              </w:rPr>
            </w:pPr>
            <w:r w:rsidRPr="00E837F8">
              <w:rPr>
                <w:color w:val="000000"/>
                <w:sz w:val="24"/>
                <w:szCs w:val="24"/>
              </w:rPr>
              <w:t>Family enterprises prioritize internal finances, followed by bank loans, family capital, and external equity, indicating a family-specific pecking order.</w:t>
            </w:r>
          </w:p>
        </w:tc>
      </w:tr>
      <w:tr w:rsidR="00567EF5" w:rsidRPr="00E837F8" w14:paraId="287BCD0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0A" w14:textId="77777777" w:rsidR="00567EF5" w:rsidRPr="00E837F8" w:rsidRDefault="006578A3">
            <w:pPr>
              <w:jc w:val="right"/>
              <w:rPr>
                <w:b/>
                <w:bCs/>
                <w:color w:val="000000"/>
                <w:sz w:val="24"/>
                <w:szCs w:val="24"/>
              </w:rPr>
            </w:pPr>
            <w:r w:rsidRPr="00E837F8">
              <w:rPr>
                <w:b/>
                <w:bCs/>
                <w:color w:val="000000"/>
                <w:sz w:val="24"/>
                <w:szCs w:val="24"/>
              </w:rPr>
              <w:t>9</w:t>
            </w:r>
          </w:p>
        </w:tc>
        <w:tc>
          <w:tcPr>
            <w:tcW w:w="4963" w:type="dxa"/>
            <w:tcBorders>
              <w:top w:val="nil"/>
              <w:left w:val="nil"/>
              <w:bottom w:val="single" w:sz="4" w:space="0" w:color="000000"/>
              <w:right w:val="single" w:sz="4" w:space="0" w:color="000000"/>
            </w:tcBorders>
          </w:tcPr>
          <w:p w14:paraId="287BCD0B" w14:textId="77777777" w:rsidR="00567EF5" w:rsidRPr="00E837F8" w:rsidRDefault="006578A3">
            <w:pPr>
              <w:rPr>
                <w:color w:val="333333"/>
                <w:sz w:val="24"/>
                <w:szCs w:val="24"/>
              </w:rPr>
            </w:pPr>
            <w:r w:rsidRPr="00E837F8">
              <w:rPr>
                <w:color w:val="333333"/>
                <w:sz w:val="24"/>
                <w:szCs w:val="24"/>
              </w:rPr>
              <w:t>Zhang, H., Wu, J., Mei, Y. and Hong, X. (2024) ‘Exploring the relationship between digital transformation and green innovation: The mediating role of financing modes’, </w:t>
            </w:r>
            <w:r w:rsidRPr="00E837F8">
              <w:rPr>
                <w:i/>
                <w:iCs/>
                <w:color w:val="333333"/>
                <w:sz w:val="24"/>
                <w:szCs w:val="24"/>
              </w:rPr>
              <w:t>Journal of environmental management</w:t>
            </w:r>
            <w:r w:rsidRPr="00E837F8">
              <w:rPr>
                <w:color w:val="333333"/>
                <w:sz w:val="24"/>
                <w:szCs w:val="24"/>
              </w:rPr>
              <w:t>, 356, pp. 1–18. Available at: https://doi.org/10.1016/j.jenvman.2024.120558</w:t>
            </w:r>
          </w:p>
        </w:tc>
        <w:tc>
          <w:tcPr>
            <w:tcW w:w="4577" w:type="dxa"/>
            <w:tcBorders>
              <w:top w:val="nil"/>
              <w:left w:val="nil"/>
              <w:bottom w:val="single" w:sz="4" w:space="0" w:color="000000"/>
              <w:right w:val="single" w:sz="4" w:space="0" w:color="000000"/>
            </w:tcBorders>
          </w:tcPr>
          <w:p w14:paraId="287BCD0C" w14:textId="77777777" w:rsidR="00567EF5" w:rsidRPr="00E837F8" w:rsidRDefault="006578A3">
            <w:pPr>
              <w:rPr>
                <w:color w:val="000000"/>
                <w:sz w:val="24"/>
                <w:szCs w:val="24"/>
              </w:rPr>
            </w:pPr>
            <w:r w:rsidRPr="00E837F8">
              <w:rPr>
                <w:color w:val="000000"/>
                <w:sz w:val="24"/>
                <w:szCs w:val="24"/>
              </w:rPr>
              <w:t>Digital transformation increases retained earnings and bank credit, transforming internal funds and loans into essential intermediaries that benefit enterprises' green innovation through enhanced liquidity, transparency, and cheaper financing costs.</w:t>
            </w:r>
          </w:p>
        </w:tc>
      </w:tr>
      <w:tr w:rsidR="00567EF5" w:rsidRPr="00E837F8" w14:paraId="287BCD1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0E" w14:textId="77777777" w:rsidR="00567EF5" w:rsidRPr="00E837F8" w:rsidRDefault="006578A3">
            <w:pPr>
              <w:jc w:val="right"/>
              <w:rPr>
                <w:b/>
                <w:bCs/>
                <w:color w:val="000000"/>
                <w:sz w:val="24"/>
                <w:szCs w:val="24"/>
              </w:rPr>
            </w:pPr>
            <w:r w:rsidRPr="00E837F8">
              <w:rPr>
                <w:b/>
                <w:bCs/>
                <w:color w:val="000000"/>
                <w:sz w:val="24"/>
                <w:szCs w:val="24"/>
              </w:rPr>
              <w:t>10</w:t>
            </w:r>
          </w:p>
        </w:tc>
        <w:tc>
          <w:tcPr>
            <w:tcW w:w="4963" w:type="dxa"/>
            <w:tcBorders>
              <w:top w:val="nil"/>
              <w:left w:val="nil"/>
              <w:bottom w:val="single" w:sz="4" w:space="0" w:color="000000"/>
              <w:right w:val="single" w:sz="4" w:space="0" w:color="000000"/>
            </w:tcBorders>
          </w:tcPr>
          <w:p w14:paraId="287BCD0F" w14:textId="77777777" w:rsidR="00567EF5" w:rsidRPr="00E837F8" w:rsidRDefault="006578A3">
            <w:pPr>
              <w:rPr>
                <w:color w:val="333333"/>
                <w:sz w:val="24"/>
                <w:szCs w:val="24"/>
              </w:rPr>
            </w:pPr>
            <w:r w:rsidRPr="00E837F8">
              <w:rPr>
                <w:color w:val="333333"/>
                <w:sz w:val="24"/>
                <w:szCs w:val="24"/>
              </w:rPr>
              <w:t>El-Ansary, O. and Ahmed, A.M. (2025) ‘Does overconfidence blur out the investment efficiency? The managerial overconfidence and internal financing effect on investment efficiency: evidence from MENA region’, </w:t>
            </w:r>
            <w:r w:rsidRPr="00E837F8">
              <w:rPr>
                <w:i/>
                <w:iCs/>
                <w:color w:val="333333"/>
                <w:sz w:val="24"/>
                <w:szCs w:val="24"/>
              </w:rPr>
              <w:t>International journal of emerging markets</w:t>
            </w:r>
            <w:r w:rsidRPr="00E837F8">
              <w:rPr>
                <w:color w:val="333333"/>
                <w:sz w:val="24"/>
                <w:szCs w:val="24"/>
              </w:rPr>
              <w:t>, 20(2), pp. 701–721. Available at: https://doi.org/10.1108/IJOEM-06-2021-0931</w:t>
            </w:r>
          </w:p>
        </w:tc>
        <w:tc>
          <w:tcPr>
            <w:tcW w:w="4577" w:type="dxa"/>
            <w:tcBorders>
              <w:top w:val="nil"/>
              <w:left w:val="nil"/>
              <w:bottom w:val="single" w:sz="4" w:space="0" w:color="000000"/>
              <w:right w:val="single" w:sz="4" w:space="0" w:color="000000"/>
            </w:tcBorders>
          </w:tcPr>
          <w:p w14:paraId="287BCD10" w14:textId="77777777" w:rsidR="00567EF5" w:rsidRPr="00E837F8" w:rsidRDefault="006578A3">
            <w:pPr>
              <w:rPr>
                <w:color w:val="000000"/>
                <w:sz w:val="24"/>
                <w:szCs w:val="24"/>
              </w:rPr>
            </w:pPr>
            <w:r w:rsidRPr="00E837F8">
              <w:rPr>
                <w:color w:val="000000"/>
                <w:sz w:val="24"/>
                <w:szCs w:val="24"/>
              </w:rPr>
              <w:t>Managerial overconfidence enhances dependence on internal funds, whereas ample internal financing increases investment scale and minimizes underinvestment while increasing overinvestment risk.</w:t>
            </w:r>
          </w:p>
        </w:tc>
      </w:tr>
      <w:tr w:rsidR="00567EF5" w:rsidRPr="00E837F8" w14:paraId="287BCD1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12" w14:textId="77777777" w:rsidR="00567EF5" w:rsidRPr="00E837F8" w:rsidRDefault="006578A3">
            <w:pPr>
              <w:jc w:val="right"/>
              <w:rPr>
                <w:b/>
                <w:bCs/>
                <w:color w:val="000000"/>
                <w:sz w:val="24"/>
                <w:szCs w:val="24"/>
              </w:rPr>
            </w:pPr>
            <w:r w:rsidRPr="00E837F8">
              <w:rPr>
                <w:b/>
                <w:bCs/>
                <w:color w:val="000000"/>
                <w:sz w:val="24"/>
                <w:szCs w:val="24"/>
              </w:rPr>
              <w:t>11</w:t>
            </w:r>
          </w:p>
        </w:tc>
        <w:tc>
          <w:tcPr>
            <w:tcW w:w="4963" w:type="dxa"/>
            <w:tcBorders>
              <w:top w:val="nil"/>
              <w:left w:val="nil"/>
              <w:bottom w:val="single" w:sz="4" w:space="0" w:color="000000"/>
              <w:right w:val="single" w:sz="4" w:space="0" w:color="000000"/>
            </w:tcBorders>
          </w:tcPr>
          <w:p w14:paraId="287BCD13" w14:textId="77777777" w:rsidR="00567EF5" w:rsidRPr="00E837F8" w:rsidRDefault="006578A3">
            <w:pPr>
              <w:rPr>
                <w:color w:val="333333"/>
                <w:sz w:val="24"/>
                <w:szCs w:val="24"/>
              </w:rPr>
            </w:pPr>
            <w:r w:rsidRPr="00E837F8">
              <w:rPr>
                <w:color w:val="333333"/>
                <w:sz w:val="24"/>
                <w:szCs w:val="24"/>
              </w:rPr>
              <w:t>Messaadia, M., Mispah Said Omar, M. and Ben Abdelaziz, F. (2025) ‘Modeling Firm Growth Dynamics: The Role of Financing Strategies, Financial Management, and Managerial Skills through Multiagent Simulation’, </w:t>
            </w:r>
            <w:r w:rsidRPr="00E837F8">
              <w:rPr>
                <w:i/>
                <w:iCs/>
                <w:color w:val="333333"/>
                <w:sz w:val="24"/>
                <w:szCs w:val="24"/>
              </w:rPr>
              <w:t>Annals of data science</w:t>
            </w:r>
            <w:r w:rsidRPr="00E837F8">
              <w:rPr>
                <w:color w:val="333333"/>
                <w:sz w:val="24"/>
                <w:szCs w:val="24"/>
              </w:rPr>
              <w:t>, 12(6), pp. 1825–1849. Available at: https://doi.org/10.1007/s40745-025-00641-9</w:t>
            </w:r>
          </w:p>
        </w:tc>
        <w:tc>
          <w:tcPr>
            <w:tcW w:w="4577" w:type="dxa"/>
            <w:tcBorders>
              <w:top w:val="nil"/>
              <w:left w:val="nil"/>
              <w:bottom w:val="single" w:sz="4" w:space="0" w:color="000000"/>
              <w:right w:val="single" w:sz="4" w:space="0" w:color="000000"/>
            </w:tcBorders>
          </w:tcPr>
          <w:p w14:paraId="287BCD14" w14:textId="77777777" w:rsidR="00567EF5" w:rsidRPr="00E837F8" w:rsidRDefault="006578A3">
            <w:pPr>
              <w:rPr>
                <w:color w:val="000000"/>
                <w:sz w:val="24"/>
                <w:szCs w:val="24"/>
              </w:rPr>
            </w:pPr>
            <w:r w:rsidRPr="00E837F8">
              <w:rPr>
                <w:color w:val="000000"/>
                <w:sz w:val="24"/>
                <w:szCs w:val="24"/>
              </w:rPr>
              <w:t>Trade credit and internal funds improve financial health, but trade credit increases liquidity risk. Market volatility affects funding in an unbalanced way, with debt being more vulnerable and stock diminishing ownership.</w:t>
            </w:r>
          </w:p>
        </w:tc>
      </w:tr>
      <w:tr w:rsidR="00567EF5" w:rsidRPr="00E837F8" w14:paraId="287BCD1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16" w14:textId="77777777" w:rsidR="00567EF5" w:rsidRPr="00E837F8" w:rsidRDefault="006578A3">
            <w:pPr>
              <w:jc w:val="right"/>
              <w:rPr>
                <w:b/>
                <w:bCs/>
                <w:color w:val="000000"/>
                <w:sz w:val="24"/>
                <w:szCs w:val="24"/>
              </w:rPr>
            </w:pPr>
            <w:r w:rsidRPr="00E837F8">
              <w:rPr>
                <w:b/>
                <w:bCs/>
                <w:color w:val="000000"/>
                <w:sz w:val="24"/>
                <w:szCs w:val="24"/>
              </w:rPr>
              <w:lastRenderedPageBreak/>
              <w:t>12</w:t>
            </w:r>
          </w:p>
        </w:tc>
        <w:tc>
          <w:tcPr>
            <w:tcW w:w="4963" w:type="dxa"/>
            <w:tcBorders>
              <w:top w:val="nil"/>
              <w:left w:val="nil"/>
              <w:bottom w:val="single" w:sz="4" w:space="0" w:color="000000"/>
              <w:right w:val="single" w:sz="4" w:space="0" w:color="000000"/>
            </w:tcBorders>
          </w:tcPr>
          <w:p w14:paraId="287BCD17" w14:textId="77777777" w:rsidR="00567EF5" w:rsidRPr="00E837F8" w:rsidRDefault="006578A3">
            <w:pPr>
              <w:rPr>
                <w:color w:val="333333"/>
                <w:sz w:val="24"/>
                <w:szCs w:val="24"/>
              </w:rPr>
            </w:pPr>
            <w:r w:rsidRPr="00E837F8">
              <w:rPr>
                <w:color w:val="333333"/>
                <w:sz w:val="24"/>
                <w:szCs w:val="24"/>
              </w:rPr>
              <w:t>Magni, C.A. and Marchioni, A. (2020) ‘Average rates of return, working capital, and NPV-consistency in project appraisal: A sensitivity analysis approach’, </w:t>
            </w:r>
            <w:r w:rsidRPr="00E837F8">
              <w:rPr>
                <w:i/>
                <w:iCs/>
                <w:color w:val="333333"/>
                <w:sz w:val="24"/>
                <w:szCs w:val="24"/>
              </w:rPr>
              <w:t>International journal of production economics</w:t>
            </w:r>
            <w:r w:rsidRPr="00E837F8">
              <w:rPr>
                <w:color w:val="333333"/>
                <w:sz w:val="24"/>
                <w:szCs w:val="24"/>
              </w:rPr>
              <w:t>, 229, pp. 1–15. Available at: https://doi.org/10.1016/j.ijpe.2020.107769</w:t>
            </w:r>
          </w:p>
        </w:tc>
        <w:tc>
          <w:tcPr>
            <w:tcW w:w="4577" w:type="dxa"/>
            <w:tcBorders>
              <w:top w:val="nil"/>
              <w:left w:val="nil"/>
              <w:bottom w:val="single" w:sz="4" w:space="0" w:color="000000"/>
              <w:right w:val="single" w:sz="4" w:space="0" w:color="000000"/>
            </w:tcBorders>
          </w:tcPr>
          <w:p w14:paraId="287BCD18" w14:textId="77777777" w:rsidR="00567EF5" w:rsidRPr="00E837F8" w:rsidRDefault="006578A3">
            <w:pPr>
              <w:rPr>
                <w:color w:val="000000"/>
                <w:sz w:val="24"/>
                <w:szCs w:val="24"/>
              </w:rPr>
            </w:pPr>
            <w:r w:rsidRPr="00E837F8">
              <w:rPr>
                <w:color w:val="000000"/>
                <w:sz w:val="24"/>
                <w:szCs w:val="24"/>
              </w:rPr>
              <w:t>When working capital is unknown, average ROI diverges from NPV, yet IRR is unreliable due to various solutions, nonexistence, and confusing economic interpretation.</w:t>
            </w:r>
          </w:p>
        </w:tc>
      </w:tr>
      <w:tr w:rsidR="00567EF5" w:rsidRPr="00E837F8" w14:paraId="287BCD1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1A" w14:textId="77777777" w:rsidR="00567EF5" w:rsidRPr="00E837F8" w:rsidRDefault="006578A3">
            <w:pPr>
              <w:jc w:val="right"/>
              <w:rPr>
                <w:b/>
                <w:bCs/>
                <w:color w:val="000000"/>
                <w:sz w:val="24"/>
                <w:szCs w:val="24"/>
              </w:rPr>
            </w:pPr>
            <w:r w:rsidRPr="00E837F8">
              <w:rPr>
                <w:b/>
                <w:bCs/>
                <w:color w:val="000000"/>
                <w:sz w:val="24"/>
                <w:szCs w:val="24"/>
              </w:rPr>
              <w:t>13</w:t>
            </w:r>
          </w:p>
        </w:tc>
        <w:tc>
          <w:tcPr>
            <w:tcW w:w="4963" w:type="dxa"/>
            <w:tcBorders>
              <w:top w:val="nil"/>
              <w:left w:val="nil"/>
              <w:bottom w:val="single" w:sz="4" w:space="0" w:color="000000"/>
              <w:right w:val="single" w:sz="4" w:space="0" w:color="000000"/>
            </w:tcBorders>
          </w:tcPr>
          <w:p w14:paraId="287BCD1B" w14:textId="77777777" w:rsidR="00567EF5" w:rsidRPr="00E837F8" w:rsidRDefault="006578A3">
            <w:pPr>
              <w:rPr>
                <w:color w:val="333333"/>
                <w:sz w:val="24"/>
                <w:szCs w:val="24"/>
              </w:rPr>
            </w:pPr>
            <w:r w:rsidRPr="00E837F8">
              <w:rPr>
                <w:color w:val="333333"/>
                <w:sz w:val="24"/>
                <w:szCs w:val="24"/>
              </w:rPr>
              <w:t>Purani, K. and Jeesha, K. (2020) ‘Capital Budgeting: Maledia Broadcasting Ltd’, </w:t>
            </w:r>
            <w:r w:rsidRPr="00E837F8">
              <w:rPr>
                <w:i/>
                <w:iCs/>
                <w:color w:val="333333"/>
                <w:sz w:val="24"/>
                <w:szCs w:val="24"/>
              </w:rPr>
              <w:t>Asian journal of management cases</w:t>
            </w:r>
            <w:r w:rsidRPr="00E837F8">
              <w:rPr>
                <w:color w:val="333333"/>
                <w:sz w:val="24"/>
                <w:szCs w:val="24"/>
              </w:rPr>
              <w:t>, 17(2), pp. 241–256. Available at: https://doi.org/10.1177/0972820120922641</w:t>
            </w:r>
          </w:p>
        </w:tc>
        <w:tc>
          <w:tcPr>
            <w:tcW w:w="4577" w:type="dxa"/>
            <w:tcBorders>
              <w:top w:val="nil"/>
              <w:left w:val="nil"/>
              <w:bottom w:val="single" w:sz="4" w:space="0" w:color="000000"/>
              <w:right w:val="single" w:sz="4" w:space="0" w:color="000000"/>
            </w:tcBorders>
          </w:tcPr>
          <w:p w14:paraId="287BCD1C" w14:textId="77777777" w:rsidR="00567EF5" w:rsidRPr="00E837F8" w:rsidRDefault="006578A3">
            <w:pPr>
              <w:rPr>
                <w:color w:val="000000"/>
                <w:sz w:val="24"/>
                <w:szCs w:val="24"/>
              </w:rPr>
            </w:pPr>
            <w:r w:rsidRPr="00E837F8">
              <w:rPr>
                <w:color w:val="000000"/>
                <w:sz w:val="24"/>
                <w:szCs w:val="24"/>
              </w:rPr>
              <w:t>The feasibility study included scenario-based financial modeling, including NPV, IRR, hurdle rates, and payback under various assumptions. It emphasizes the importance of balancing narrative with quantitative rationale in the face of uncertainty.</w:t>
            </w:r>
          </w:p>
        </w:tc>
      </w:tr>
      <w:tr w:rsidR="00567EF5" w:rsidRPr="00E837F8" w14:paraId="287BCD2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1E" w14:textId="77777777" w:rsidR="00567EF5" w:rsidRPr="00E837F8" w:rsidRDefault="006578A3">
            <w:pPr>
              <w:jc w:val="right"/>
              <w:rPr>
                <w:b/>
                <w:bCs/>
                <w:color w:val="000000"/>
                <w:sz w:val="24"/>
                <w:szCs w:val="24"/>
              </w:rPr>
            </w:pPr>
            <w:r w:rsidRPr="00E837F8">
              <w:rPr>
                <w:b/>
                <w:bCs/>
                <w:color w:val="000000"/>
                <w:sz w:val="24"/>
                <w:szCs w:val="24"/>
              </w:rPr>
              <w:t>14</w:t>
            </w:r>
          </w:p>
        </w:tc>
        <w:tc>
          <w:tcPr>
            <w:tcW w:w="4963" w:type="dxa"/>
            <w:tcBorders>
              <w:top w:val="nil"/>
              <w:left w:val="nil"/>
              <w:bottom w:val="single" w:sz="4" w:space="0" w:color="000000"/>
              <w:right w:val="single" w:sz="4" w:space="0" w:color="000000"/>
            </w:tcBorders>
          </w:tcPr>
          <w:p w14:paraId="287BCD1F" w14:textId="77777777" w:rsidR="00567EF5" w:rsidRPr="00E837F8" w:rsidRDefault="006578A3">
            <w:pPr>
              <w:rPr>
                <w:color w:val="333333"/>
                <w:sz w:val="24"/>
                <w:szCs w:val="24"/>
              </w:rPr>
            </w:pPr>
            <w:r w:rsidRPr="00E837F8">
              <w:rPr>
                <w:color w:val="333333"/>
                <w:sz w:val="24"/>
                <w:szCs w:val="24"/>
              </w:rPr>
              <w:t>Baker, H.K., Jabbouri, I. and Dyaz, C. (2017) ‘Corporate finance practices in Morocco’, </w:t>
            </w:r>
            <w:r w:rsidRPr="00E837F8">
              <w:rPr>
                <w:i/>
                <w:iCs/>
                <w:color w:val="333333"/>
                <w:sz w:val="24"/>
                <w:szCs w:val="24"/>
              </w:rPr>
              <w:t>Managerial finance</w:t>
            </w:r>
            <w:r w:rsidRPr="00E837F8">
              <w:rPr>
                <w:color w:val="333333"/>
                <w:sz w:val="24"/>
                <w:szCs w:val="24"/>
              </w:rPr>
              <w:t>, 43(8), pp. 865–880. Available at: https://doi.org/10.1108/MF-12-2016-0359</w:t>
            </w:r>
          </w:p>
        </w:tc>
        <w:tc>
          <w:tcPr>
            <w:tcW w:w="4577" w:type="dxa"/>
            <w:tcBorders>
              <w:top w:val="nil"/>
              <w:left w:val="nil"/>
              <w:bottom w:val="single" w:sz="4" w:space="0" w:color="000000"/>
              <w:right w:val="single" w:sz="4" w:space="0" w:color="000000"/>
            </w:tcBorders>
          </w:tcPr>
          <w:p w14:paraId="287BCD20" w14:textId="77777777" w:rsidR="00567EF5" w:rsidRPr="00E837F8" w:rsidRDefault="006578A3">
            <w:pPr>
              <w:rPr>
                <w:color w:val="000000"/>
                <w:sz w:val="24"/>
                <w:szCs w:val="24"/>
              </w:rPr>
            </w:pPr>
            <w:r w:rsidRPr="00E837F8">
              <w:rPr>
                <w:color w:val="000000"/>
                <w:sz w:val="24"/>
                <w:szCs w:val="24"/>
              </w:rPr>
              <w:t>Managers frequently prioritize simpler, non-discounted approaches (IRR, ARR, and Payback) versus their theoretically stronger NPV, notwithstanding finance theory defining NPV as the fundamental decision criterion.</w:t>
            </w:r>
          </w:p>
        </w:tc>
      </w:tr>
      <w:tr w:rsidR="00567EF5" w:rsidRPr="00E837F8" w14:paraId="287BCD2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22" w14:textId="77777777" w:rsidR="00567EF5" w:rsidRPr="00E837F8" w:rsidRDefault="006578A3">
            <w:pPr>
              <w:jc w:val="right"/>
              <w:rPr>
                <w:b/>
                <w:bCs/>
                <w:color w:val="000000"/>
                <w:sz w:val="24"/>
                <w:szCs w:val="24"/>
              </w:rPr>
            </w:pPr>
            <w:r w:rsidRPr="00E837F8">
              <w:rPr>
                <w:b/>
                <w:bCs/>
                <w:color w:val="000000"/>
                <w:sz w:val="24"/>
                <w:szCs w:val="24"/>
              </w:rPr>
              <w:t>15</w:t>
            </w:r>
          </w:p>
        </w:tc>
        <w:tc>
          <w:tcPr>
            <w:tcW w:w="4963" w:type="dxa"/>
            <w:tcBorders>
              <w:top w:val="nil"/>
              <w:left w:val="nil"/>
              <w:bottom w:val="single" w:sz="4" w:space="0" w:color="000000"/>
              <w:right w:val="single" w:sz="4" w:space="0" w:color="000000"/>
            </w:tcBorders>
          </w:tcPr>
          <w:p w14:paraId="287BCD23" w14:textId="77777777" w:rsidR="00567EF5" w:rsidRPr="00E837F8" w:rsidRDefault="006578A3">
            <w:pPr>
              <w:rPr>
                <w:color w:val="333333"/>
                <w:sz w:val="24"/>
                <w:szCs w:val="24"/>
              </w:rPr>
            </w:pPr>
            <w:r w:rsidRPr="00E837F8">
              <w:rPr>
                <w:color w:val="333333"/>
                <w:sz w:val="24"/>
                <w:szCs w:val="24"/>
              </w:rPr>
              <w:t>Sureka, R., Kumar, S., Mukherjee, D. and Theodoraki, C. (2023) ‘What restricts SMEs from adopting sophisticated capital budgeting practices?’, </w:t>
            </w:r>
            <w:r w:rsidRPr="00E837F8">
              <w:rPr>
                <w:i/>
                <w:iCs/>
                <w:color w:val="333333"/>
                <w:sz w:val="24"/>
                <w:szCs w:val="24"/>
              </w:rPr>
              <w:t>Small business economics</w:t>
            </w:r>
            <w:r w:rsidRPr="00E837F8">
              <w:rPr>
                <w:color w:val="333333"/>
                <w:sz w:val="24"/>
                <w:szCs w:val="24"/>
              </w:rPr>
              <w:t>, 60(1), pp. 265–290. Available at: https://doi.org/10.1007/s11187-022-00648-z</w:t>
            </w:r>
          </w:p>
        </w:tc>
        <w:tc>
          <w:tcPr>
            <w:tcW w:w="4577" w:type="dxa"/>
            <w:tcBorders>
              <w:top w:val="nil"/>
              <w:left w:val="nil"/>
              <w:bottom w:val="single" w:sz="4" w:space="0" w:color="000000"/>
              <w:right w:val="single" w:sz="4" w:space="0" w:color="000000"/>
            </w:tcBorders>
          </w:tcPr>
          <w:p w14:paraId="287BCD24" w14:textId="77777777" w:rsidR="00567EF5" w:rsidRPr="00E837F8" w:rsidRDefault="006578A3">
            <w:pPr>
              <w:rPr>
                <w:color w:val="000000"/>
                <w:sz w:val="24"/>
                <w:szCs w:val="24"/>
              </w:rPr>
            </w:pPr>
            <w:r w:rsidRPr="00E837F8">
              <w:rPr>
                <w:color w:val="000000"/>
                <w:sz w:val="24"/>
                <w:szCs w:val="24"/>
              </w:rPr>
              <w:t>MEs struggle to employ formal capital-budgeting techniques due to technical limitations such as time, complexity, and calculation difficulty. Knowledge shortages also restrict their utilization.</w:t>
            </w:r>
          </w:p>
        </w:tc>
      </w:tr>
      <w:tr w:rsidR="00567EF5" w:rsidRPr="00E837F8" w14:paraId="287BCD2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26" w14:textId="77777777" w:rsidR="00567EF5" w:rsidRPr="00E837F8" w:rsidRDefault="006578A3">
            <w:pPr>
              <w:jc w:val="right"/>
              <w:rPr>
                <w:b/>
                <w:bCs/>
                <w:color w:val="000000"/>
                <w:sz w:val="24"/>
                <w:szCs w:val="24"/>
              </w:rPr>
            </w:pPr>
            <w:r w:rsidRPr="00E837F8">
              <w:rPr>
                <w:b/>
                <w:bCs/>
                <w:color w:val="000000"/>
                <w:sz w:val="24"/>
                <w:szCs w:val="24"/>
              </w:rPr>
              <w:t>16</w:t>
            </w:r>
          </w:p>
        </w:tc>
        <w:tc>
          <w:tcPr>
            <w:tcW w:w="4963" w:type="dxa"/>
            <w:tcBorders>
              <w:top w:val="nil"/>
              <w:left w:val="nil"/>
              <w:bottom w:val="single" w:sz="4" w:space="0" w:color="000000"/>
              <w:right w:val="single" w:sz="4" w:space="0" w:color="000000"/>
            </w:tcBorders>
          </w:tcPr>
          <w:p w14:paraId="287BCD27" w14:textId="77777777" w:rsidR="00567EF5" w:rsidRPr="00E837F8" w:rsidRDefault="006578A3">
            <w:pPr>
              <w:rPr>
                <w:color w:val="333333"/>
                <w:sz w:val="24"/>
                <w:szCs w:val="24"/>
              </w:rPr>
            </w:pPr>
            <w:r w:rsidRPr="00E837F8">
              <w:rPr>
                <w:color w:val="333333"/>
                <w:sz w:val="24"/>
                <w:szCs w:val="24"/>
              </w:rPr>
              <w:t>Purnamasari, P. (2024) ‘Capital budgeting techniques and financial performance: a comparison between SMEs and large listed firms’, </w:t>
            </w:r>
            <w:r w:rsidRPr="00E837F8">
              <w:rPr>
                <w:i/>
                <w:iCs/>
                <w:color w:val="333333"/>
                <w:sz w:val="24"/>
                <w:szCs w:val="24"/>
              </w:rPr>
              <w:t>Cogent economics &amp; finance</w:t>
            </w:r>
            <w:r w:rsidRPr="00E837F8">
              <w:rPr>
                <w:color w:val="333333"/>
                <w:sz w:val="24"/>
                <w:szCs w:val="24"/>
              </w:rPr>
              <w:t>, 12(1), pp. 1–18. Available at: https://doi.org/10.1080/23322039.2024.2404707</w:t>
            </w:r>
          </w:p>
        </w:tc>
        <w:tc>
          <w:tcPr>
            <w:tcW w:w="4577" w:type="dxa"/>
            <w:tcBorders>
              <w:top w:val="nil"/>
              <w:left w:val="nil"/>
              <w:bottom w:val="single" w:sz="4" w:space="0" w:color="000000"/>
              <w:right w:val="single" w:sz="4" w:space="0" w:color="000000"/>
            </w:tcBorders>
          </w:tcPr>
          <w:p w14:paraId="287BCD28" w14:textId="77777777" w:rsidR="00567EF5" w:rsidRPr="00E837F8" w:rsidRDefault="006578A3">
            <w:pPr>
              <w:rPr>
                <w:color w:val="000000"/>
                <w:sz w:val="24"/>
                <w:szCs w:val="24"/>
              </w:rPr>
            </w:pPr>
            <w:r w:rsidRPr="00E837F8">
              <w:rPr>
                <w:color w:val="000000"/>
                <w:sz w:val="24"/>
                <w:szCs w:val="24"/>
              </w:rPr>
              <w:t xml:space="preserve">Simple CB strategies do not considerably enhance SME efficiency, whereas advanced </w:t>
            </w:r>
            <w:r w:rsidRPr="00E837F8">
              <w:rPr>
                <w:sz w:val="24"/>
                <w:szCs w:val="24"/>
              </w:rPr>
              <w:t>methods, NPV,</w:t>
            </w:r>
            <w:r w:rsidRPr="00E837F8">
              <w:rPr>
                <w:color w:val="000000"/>
                <w:sz w:val="24"/>
                <w:szCs w:val="24"/>
              </w:rPr>
              <w:t xml:space="preserve"> IRR, and PI, significantly increase ROA and ROE in large publicly traded enterprises with formal decision processes.</w:t>
            </w:r>
          </w:p>
        </w:tc>
      </w:tr>
      <w:tr w:rsidR="00567EF5" w:rsidRPr="00E837F8" w14:paraId="287BCD2D"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2A" w14:textId="77777777" w:rsidR="00567EF5" w:rsidRPr="00E837F8" w:rsidRDefault="006578A3">
            <w:pPr>
              <w:jc w:val="right"/>
              <w:rPr>
                <w:b/>
                <w:bCs/>
                <w:color w:val="000000"/>
                <w:sz w:val="24"/>
                <w:szCs w:val="24"/>
              </w:rPr>
            </w:pPr>
            <w:r w:rsidRPr="00E837F8">
              <w:rPr>
                <w:b/>
                <w:bCs/>
                <w:color w:val="000000"/>
                <w:sz w:val="24"/>
                <w:szCs w:val="24"/>
              </w:rPr>
              <w:t>17</w:t>
            </w:r>
          </w:p>
        </w:tc>
        <w:tc>
          <w:tcPr>
            <w:tcW w:w="4963" w:type="dxa"/>
            <w:tcBorders>
              <w:top w:val="nil"/>
              <w:left w:val="nil"/>
              <w:bottom w:val="single" w:sz="4" w:space="0" w:color="000000"/>
              <w:right w:val="single" w:sz="4" w:space="0" w:color="000000"/>
            </w:tcBorders>
          </w:tcPr>
          <w:p w14:paraId="287BCD2B" w14:textId="77777777" w:rsidR="00567EF5" w:rsidRPr="00E837F8" w:rsidRDefault="006578A3">
            <w:pPr>
              <w:rPr>
                <w:color w:val="333333"/>
                <w:sz w:val="24"/>
                <w:szCs w:val="24"/>
              </w:rPr>
            </w:pPr>
            <w:r w:rsidRPr="00E837F8">
              <w:rPr>
                <w:color w:val="333333"/>
                <w:sz w:val="24"/>
                <w:szCs w:val="24"/>
              </w:rPr>
              <w:t>Mand, H.S., Atri, M., Gill, A. and Amiraslany, A. (2018) ‘The impact of bank financing and internal financing sources on women’s motivation for e-entrepreneurship’, </w:t>
            </w:r>
            <w:r w:rsidRPr="00E837F8">
              <w:rPr>
                <w:i/>
                <w:iCs/>
                <w:color w:val="333333"/>
                <w:sz w:val="24"/>
                <w:szCs w:val="24"/>
              </w:rPr>
              <w:t>International journal of gender and entrepreneurship</w:t>
            </w:r>
            <w:r w:rsidRPr="00E837F8">
              <w:rPr>
                <w:color w:val="333333"/>
                <w:sz w:val="24"/>
                <w:szCs w:val="24"/>
              </w:rPr>
              <w:t>, 10(2), pp. 102–115. Available at: https://doi.org/10.1108/IJGE-07-2017-0041</w:t>
            </w:r>
          </w:p>
        </w:tc>
        <w:tc>
          <w:tcPr>
            <w:tcW w:w="4577" w:type="dxa"/>
            <w:tcBorders>
              <w:top w:val="nil"/>
              <w:left w:val="nil"/>
              <w:bottom w:val="single" w:sz="4" w:space="0" w:color="000000"/>
              <w:right w:val="single" w:sz="4" w:space="0" w:color="000000"/>
            </w:tcBorders>
          </w:tcPr>
          <w:p w14:paraId="287BCD2C" w14:textId="77777777" w:rsidR="00567EF5" w:rsidRPr="00E837F8" w:rsidRDefault="006578A3">
            <w:pPr>
              <w:rPr>
                <w:color w:val="000000"/>
                <w:sz w:val="24"/>
                <w:szCs w:val="24"/>
              </w:rPr>
            </w:pPr>
            <w:r w:rsidRPr="00E837F8">
              <w:rPr>
                <w:color w:val="000000"/>
                <w:sz w:val="24"/>
                <w:szCs w:val="24"/>
              </w:rPr>
              <w:t>The study confirms that bank credit and personal money play a major role in women's digital entrepreneurship. This supports previous research and informs credit and training policies.</w:t>
            </w:r>
          </w:p>
        </w:tc>
      </w:tr>
      <w:tr w:rsidR="00567EF5" w:rsidRPr="00E837F8" w14:paraId="287BCD3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2E" w14:textId="77777777" w:rsidR="00567EF5" w:rsidRPr="00E837F8" w:rsidRDefault="006578A3">
            <w:pPr>
              <w:jc w:val="right"/>
              <w:rPr>
                <w:b/>
                <w:bCs/>
                <w:color w:val="000000"/>
                <w:sz w:val="24"/>
                <w:szCs w:val="24"/>
              </w:rPr>
            </w:pPr>
            <w:r w:rsidRPr="00E837F8">
              <w:rPr>
                <w:b/>
                <w:bCs/>
                <w:color w:val="000000"/>
                <w:sz w:val="24"/>
                <w:szCs w:val="24"/>
              </w:rPr>
              <w:lastRenderedPageBreak/>
              <w:t>18</w:t>
            </w:r>
          </w:p>
        </w:tc>
        <w:tc>
          <w:tcPr>
            <w:tcW w:w="4963" w:type="dxa"/>
            <w:tcBorders>
              <w:top w:val="nil"/>
              <w:left w:val="nil"/>
              <w:bottom w:val="single" w:sz="4" w:space="0" w:color="000000"/>
              <w:right w:val="single" w:sz="4" w:space="0" w:color="000000"/>
            </w:tcBorders>
          </w:tcPr>
          <w:p w14:paraId="287BCD2F" w14:textId="77777777" w:rsidR="00567EF5" w:rsidRPr="00E837F8" w:rsidRDefault="006578A3">
            <w:pPr>
              <w:rPr>
                <w:color w:val="333333"/>
                <w:sz w:val="24"/>
                <w:szCs w:val="24"/>
              </w:rPr>
            </w:pPr>
            <w:r w:rsidRPr="00E837F8">
              <w:rPr>
                <w:color w:val="333333"/>
                <w:sz w:val="24"/>
                <w:szCs w:val="24"/>
              </w:rPr>
              <w:t>Austin, A., Alataş, S. and Agbonifi, D. (2026) ‘Financing Eco‐Innovation in an Emerging Economy: The Role of Internal Resources, External Support and Government in Turkish SMEs’, </w:t>
            </w:r>
            <w:r w:rsidRPr="00E837F8">
              <w:rPr>
                <w:i/>
                <w:iCs/>
                <w:color w:val="333333"/>
                <w:sz w:val="24"/>
                <w:szCs w:val="24"/>
              </w:rPr>
              <w:t>Sustainable development (Bradford, West Yorkshire, England)</w:t>
            </w:r>
            <w:r w:rsidRPr="00E837F8">
              <w:rPr>
                <w:color w:val="333333"/>
                <w:sz w:val="24"/>
                <w:szCs w:val="24"/>
              </w:rPr>
              <w:t>, 34(1), pp. 213–226. Available at: https://doi.org/10.1002/sd.70260</w:t>
            </w:r>
          </w:p>
        </w:tc>
        <w:tc>
          <w:tcPr>
            <w:tcW w:w="4577" w:type="dxa"/>
            <w:tcBorders>
              <w:top w:val="nil"/>
              <w:left w:val="nil"/>
              <w:bottom w:val="single" w:sz="4" w:space="0" w:color="000000"/>
              <w:right w:val="single" w:sz="4" w:space="0" w:color="000000"/>
            </w:tcBorders>
          </w:tcPr>
          <w:p w14:paraId="287BCD30" w14:textId="77777777" w:rsidR="00567EF5" w:rsidRPr="00E837F8" w:rsidRDefault="006578A3">
            <w:pPr>
              <w:rPr>
                <w:color w:val="000000"/>
                <w:sz w:val="24"/>
                <w:szCs w:val="24"/>
              </w:rPr>
            </w:pPr>
            <w:r w:rsidRPr="00E837F8">
              <w:rPr>
                <w:color w:val="000000"/>
                <w:sz w:val="24"/>
                <w:szCs w:val="24"/>
              </w:rPr>
              <w:t>Eco-innovation in Turkish SMEs is primarily driven by internal funds and technical expertise, with younger, larger enterprises adopting more. However, structural financing constraints and risk-averse lending limit investment.</w:t>
            </w:r>
          </w:p>
        </w:tc>
      </w:tr>
      <w:tr w:rsidR="00567EF5" w:rsidRPr="00E837F8" w14:paraId="287BCD3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32" w14:textId="77777777" w:rsidR="00567EF5" w:rsidRPr="00E837F8" w:rsidRDefault="006578A3">
            <w:pPr>
              <w:jc w:val="right"/>
              <w:rPr>
                <w:b/>
                <w:bCs/>
                <w:color w:val="000000"/>
                <w:sz w:val="24"/>
                <w:szCs w:val="24"/>
              </w:rPr>
            </w:pPr>
            <w:r w:rsidRPr="00E837F8">
              <w:rPr>
                <w:b/>
                <w:bCs/>
                <w:color w:val="000000"/>
                <w:sz w:val="24"/>
                <w:szCs w:val="24"/>
              </w:rPr>
              <w:t>19</w:t>
            </w:r>
          </w:p>
        </w:tc>
        <w:tc>
          <w:tcPr>
            <w:tcW w:w="4963" w:type="dxa"/>
            <w:tcBorders>
              <w:top w:val="nil"/>
              <w:left w:val="nil"/>
              <w:bottom w:val="single" w:sz="4" w:space="0" w:color="000000"/>
              <w:right w:val="single" w:sz="4" w:space="0" w:color="000000"/>
            </w:tcBorders>
          </w:tcPr>
          <w:p w14:paraId="287BCD33" w14:textId="77777777" w:rsidR="00567EF5" w:rsidRPr="00E837F8" w:rsidRDefault="006578A3">
            <w:pPr>
              <w:rPr>
                <w:color w:val="333333"/>
                <w:sz w:val="24"/>
                <w:szCs w:val="24"/>
              </w:rPr>
            </w:pPr>
            <w:r w:rsidRPr="00E837F8">
              <w:rPr>
                <w:color w:val="333333"/>
                <w:sz w:val="24"/>
                <w:szCs w:val="24"/>
              </w:rPr>
              <w:t>Martinez-Cillero, M., Lawless, M. and O’Toole, C. (2023) ‘Analysing SME investment, financing constraints and its determinants. A stochastic frontier approach’, </w:t>
            </w:r>
            <w:r w:rsidRPr="00E837F8">
              <w:rPr>
                <w:i/>
                <w:iCs/>
                <w:color w:val="333333"/>
                <w:sz w:val="24"/>
                <w:szCs w:val="24"/>
              </w:rPr>
              <w:t>International review of economics &amp; finance</w:t>
            </w:r>
            <w:r w:rsidRPr="00E837F8">
              <w:rPr>
                <w:color w:val="333333"/>
                <w:sz w:val="24"/>
                <w:szCs w:val="24"/>
              </w:rPr>
              <w:t>, 85, pp. 578–588. Available at: https://doi.org/10.1016/j.iref.2023.01.029</w:t>
            </w:r>
          </w:p>
        </w:tc>
        <w:tc>
          <w:tcPr>
            <w:tcW w:w="4577" w:type="dxa"/>
            <w:tcBorders>
              <w:top w:val="nil"/>
              <w:left w:val="nil"/>
              <w:bottom w:val="single" w:sz="4" w:space="0" w:color="000000"/>
              <w:right w:val="single" w:sz="4" w:space="0" w:color="000000"/>
            </w:tcBorders>
          </w:tcPr>
          <w:p w14:paraId="287BCD34" w14:textId="77777777" w:rsidR="00567EF5" w:rsidRPr="00E837F8" w:rsidRDefault="006578A3">
            <w:pPr>
              <w:rPr>
                <w:color w:val="000000"/>
                <w:sz w:val="24"/>
                <w:szCs w:val="24"/>
              </w:rPr>
            </w:pPr>
            <w:r w:rsidRPr="00E837F8">
              <w:rPr>
                <w:color w:val="000000"/>
                <w:sz w:val="24"/>
                <w:szCs w:val="24"/>
              </w:rPr>
              <w:t>Collateral consistently reduces financing limitations across all assets, whereas liquidity and debt capacity boost investment effectiveness only for smaller assets such as machinery and transportation, rather than buildings or intangibles.</w:t>
            </w:r>
          </w:p>
        </w:tc>
      </w:tr>
      <w:tr w:rsidR="00567EF5" w:rsidRPr="00E837F8" w14:paraId="287BCD3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36" w14:textId="77777777" w:rsidR="00567EF5" w:rsidRPr="00E837F8" w:rsidRDefault="006578A3">
            <w:pPr>
              <w:jc w:val="right"/>
              <w:rPr>
                <w:b/>
                <w:bCs/>
                <w:color w:val="000000"/>
                <w:sz w:val="24"/>
                <w:szCs w:val="24"/>
              </w:rPr>
            </w:pPr>
            <w:r w:rsidRPr="00E837F8">
              <w:rPr>
                <w:b/>
                <w:bCs/>
                <w:color w:val="000000"/>
                <w:sz w:val="24"/>
                <w:szCs w:val="24"/>
              </w:rPr>
              <w:t>20</w:t>
            </w:r>
          </w:p>
        </w:tc>
        <w:tc>
          <w:tcPr>
            <w:tcW w:w="4963" w:type="dxa"/>
            <w:tcBorders>
              <w:top w:val="nil"/>
              <w:left w:val="nil"/>
              <w:bottom w:val="single" w:sz="4" w:space="0" w:color="000000"/>
              <w:right w:val="single" w:sz="4" w:space="0" w:color="000000"/>
            </w:tcBorders>
          </w:tcPr>
          <w:p w14:paraId="287BCD37" w14:textId="77777777" w:rsidR="00567EF5" w:rsidRPr="00E837F8" w:rsidRDefault="006578A3">
            <w:pPr>
              <w:rPr>
                <w:color w:val="333333"/>
                <w:sz w:val="24"/>
                <w:szCs w:val="24"/>
              </w:rPr>
            </w:pPr>
            <w:r w:rsidRPr="00E837F8">
              <w:rPr>
                <w:color w:val="333333"/>
                <w:sz w:val="24"/>
                <w:szCs w:val="24"/>
              </w:rPr>
              <w:t>Zubair, S., Kabir, R. and Huang, X. (2020) ‘Does the financial crisis change the effect of financing on investment? Evidence from private SMEs’, </w:t>
            </w:r>
            <w:r w:rsidRPr="00E837F8">
              <w:rPr>
                <w:i/>
                <w:iCs/>
                <w:color w:val="333333"/>
                <w:sz w:val="24"/>
                <w:szCs w:val="24"/>
              </w:rPr>
              <w:t>Journal of business research</w:t>
            </w:r>
            <w:r w:rsidRPr="00E837F8">
              <w:rPr>
                <w:color w:val="333333"/>
                <w:sz w:val="24"/>
                <w:szCs w:val="24"/>
              </w:rPr>
              <w:t>, 110, pp. 456–463. Available at: https://doi.org/10.1016/j.jbusres.2020.01.063</w:t>
            </w:r>
          </w:p>
        </w:tc>
        <w:tc>
          <w:tcPr>
            <w:tcW w:w="4577" w:type="dxa"/>
            <w:tcBorders>
              <w:top w:val="nil"/>
              <w:left w:val="nil"/>
              <w:bottom w:val="single" w:sz="4" w:space="0" w:color="000000"/>
              <w:right w:val="single" w:sz="4" w:space="0" w:color="000000"/>
            </w:tcBorders>
          </w:tcPr>
          <w:p w14:paraId="287BCD38" w14:textId="77777777" w:rsidR="00567EF5" w:rsidRPr="00E837F8" w:rsidRDefault="006578A3">
            <w:pPr>
              <w:rPr>
                <w:color w:val="000000"/>
                <w:sz w:val="24"/>
                <w:szCs w:val="24"/>
              </w:rPr>
            </w:pPr>
            <w:r w:rsidRPr="00E837F8">
              <w:rPr>
                <w:color w:val="000000"/>
                <w:sz w:val="24"/>
                <w:szCs w:val="24"/>
              </w:rPr>
              <w:t>During the crisis, internal finances lost effect on SME investment, although external bank debt remained important; SMEs with borrowing capacity continued to invest despite tighter credit.</w:t>
            </w:r>
          </w:p>
        </w:tc>
      </w:tr>
      <w:tr w:rsidR="00567EF5" w:rsidRPr="00E837F8" w14:paraId="287BCD3D" w14:textId="77777777" w:rsidTr="00B37CE2">
        <w:trPr>
          <w:trHeight w:val="1248"/>
        </w:trPr>
        <w:tc>
          <w:tcPr>
            <w:tcW w:w="715" w:type="dxa"/>
            <w:tcBorders>
              <w:top w:val="nil"/>
              <w:left w:val="single" w:sz="4" w:space="0" w:color="000000"/>
              <w:bottom w:val="single" w:sz="4" w:space="0" w:color="000000"/>
              <w:right w:val="single" w:sz="4" w:space="0" w:color="000000"/>
            </w:tcBorders>
          </w:tcPr>
          <w:p w14:paraId="287BCD3A" w14:textId="77777777" w:rsidR="00567EF5" w:rsidRPr="00E837F8" w:rsidRDefault="006578A3">
            <w:pPr>
              <w:jc w:val="right"/>
              <w:rPr>
                <w:b/>
                <w:bCs/>
                <w:color w:val="000000"/>
                <w:sz w:val="24"/>
                <w:szCs w:val="24"/>
              </w:rPr>
            </w:pPr>
            <w:r w:rsidRPr="00E837F8">
              <w:rPr>
                <w:b/>
                <w:bCs/>
                <w:color w:val="000000"/>
                <w:sz w:val="24"/>
                <w:szCs w:val="24"/>
              </w:rPr>
              <w:t>21</w:t>
            </w:r>
          </w:p>
        </w:tc>
        <w:tc>
          <w:tcPr>
            <w:tcW w:w="4963" w:type="dxa"/>
            <w:tcBorders>
              <w:top w:val="nil"/>
              <w:left w:val="nil"/>
              <w:bottom w:val="single" w:sz="4" w:space="0" w:color="000000"/>
              <w:right w:val="single" w:sz="4" w:space="0" w:color="000000"/>
            </w:tcBorders>
          </w:tcPr>
          <w:p w14:paraId="287BCD3B" w14:textId="77777777" w:rsidR="00567EF5" w:rsidRPr="00E837F8" w:rsidRDefault="006578A3">
            <w:pPr>
              <w:rPr>
                <w:color w:val="333333"/>
                <w:sz w:val="24"/>
                <w:szCs w:val="24"/>
              </w:rPr>
            </w:pPr>
            <w:r w:rsidRPr="00E837F8">
              <w:rPr>
                <w:color w:val="333333"/>
                <w:sz w:val="24"/>
                <w:szCs w:val="24"/>
              </w:rPr>
              <w:t>Kent Baker, H., Kumar, S. and Rao, P. (2020) ‘Financing preferences and practices of Indian SMEs’, </w:t>
            </w:r>
            <w:r w:rsidRPr="00E837F8">
              <w:rPr>
                <w:i/>
                <w:iCs/>
                <w:color w:val="333333"/>
                <w:sz w:val="24"/>
                <w:szCs w:val="24"/>
              </w:rPr>
              <w:t>Global finance journal</w:t>
            </w:r>
            <w:r w:rsidRPr="00E837F8">
              <w:rPr>
                <w:color w:val="333333"/>
                <w:sz w:val="24"/>
                <w:szCs w:val="24"/>
              </w:rPr>
              <w:t>, 43, pp. 1–16. Available at: https://doi.org/10.1016/j.gfj.2017.10.003</w:t>
            </w:r>
          </w:p>
        </w:tc>
        <w:tc>
          <w:tcPr>
            <w:tcW w:w="4577" w:type="dxa"/>
            <w:tcBorders>
              <w:top w:val="nil"/>
              <w:left w:val="nil"/>
              <w:bottom w:val="single" w:sz="4" w:space="0" w:color="000000"/>
              <w:right w:val="single" w:sz="4" w:space="0" w:color="000000"/>
            </w:tcBorders>
          </w:tcPr>
          <w:p w14:paraId="287BCD3C" w14:textId="77777777" w:rsidR="00567EF5" w:rsidRPr="00E837F8" w:rsidRDefault="006578A3">
            <w:pPr>
              <w:rPr>
                <w:color w:val="000000"/>
                <w:sz w:val="24"/>
                <w:szCs w:val="24"/>
              </w:rPr>
            </w:pPr>
            <w:r w:rsidRPr="00E837F8">
              <w:rPr>
                <w:color w:val="000000"/>
                <w:sz w:val="24"/>
                <w:szCs w:val="24"/>
              </w:rPr>
              <w:t>Indian SMEs rely on internal finances, mostly retained earnings and ownership capital, and choose short-term borrowing due to liquidity limitations and the requirement to maintain daily operations.</w:t>
            </w:r>
          </w:p>
        </w:tc>
      </w:tr>
      <w:tr w:rsidR="00567EF5" w:rsidRPr="00E837F8" w14:paraId="287BCD4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3E" w14:textId="77777777" w:rsidR="00567EF5" w:rsidRPr="00E837F8" w:rsidRDefault="006578A3">
            <w:pPr>
              <w:jc w:val="right"/>
              <w:rPr>
                <w:b/>
                <w:bCs/>
                <w:color w:val="000000"/>
                <w:sz w:val="24"/>
                <w:szCs w:val="24"/>
              </w:rPr>
            </w:pPr>
            <w:r w:rsidRPr="00E837F8">
              <w:rPr>
                <w:b/>
                <w:bCs/>
                <w:color w:val="000000"/>
                <w:sz w:val="24"/>
                <w:szCs w:val="24"/>
              </w:rPr>
              <w:t>22</w:t>
            </w:r>
          </w:p>
        </w:tc>
        <w:tc>
          <w:tcPr>
            <w:tcW w:w="4963" w:type="dxa"/>
            <w:tcBorders>
              <w:top w:val="nil"/>
              <w:left w:val="nil"/>
              <w:bottom w:val="single" w:sz="4" w:space="0" w:color="000000"/>
              <w:right w:val="single" w:sz="4" w:space="0" w:color="000000"/>
            </w:tcBorders>
          </w:tcPr>
          <w:p w14:paraId="287BCD3F" w14:textId="77777777" w:rsidR="00567EF5" w:rsidRPr="00E837F8" w:rsidRDefault="006578A3">
            <w:pPr>
              <w:rPr>
                <w:color w:val="333333"/>
                <w:sz w:val="24"/>
                <w:szCs w:val="24"/>
              </w:rPr>
            </w:pPr>
            <w:r w:rsidRPr="00E837F8">
              <w:rPr>
                <w:color w:val="333333"/>
                <w:sz w:val="24"/>
                <w:szCs w:val="24"/>
              </w:rPr>
              <w:t>Kwak, G. (2021) ‘Financing Decision of High-tech SMEs in Korea: A Revisitation to Pecking Order Theory’, </w:t>
            </w:r>
            <w:r w:rsidRPr="00E837F8">
              <w:rPr>
                <w:i/>
                <w:iCs/>
                <w:color w:val="333333"/>
                <w:sz w:val="24"/>
                <w:szCs w:val="24"/>
              </w:rPr>
              <w:t>Applied economics letters</w:t>
            </w:r>
            <w:r w:rsidRPr="00E837F8">
              <w:rPr>
                <w:color w:val="333333"/>
                <w:sz w:val="24"/>
                <w:szCs w:val="24"/>
              </w:rPr>
              <w:t>, 28(16), pp. 1400–1406. Available at: https://doi.org/10.1080/13504851.2020.1820437</w:t>
            </w:r>
          </w:p>
        </w:tc>
        <w:tc>
          <w:tcPr>
            <w:tcW w:w="4577" w:type="dxa"/>
            <w:tcBorders>
              <w:top w:val="nil"/>
              <w:left w:val="nil"/>
              <w:bottom w:val="single" w:sz="4" w:space="0" w:color="000000"/>
              <w:right w:val="single" w:sz="4" w:space="0" w:color="000000"/>
            </w:tcBorders>
          </w:tcPr>
          <w:p w14:paraId="287BCD40" w14:textId="77777777" w:rsidR="00567EF5" w:rsidRPr="00E837F8" w:rsidRDefault="006578A3">
            <w:pPr>
              <w:rPr>
                <w:color w:val="000000"/>
                <w:sz w:val="24"/>
                <w:szCs w:val="24"/>
              </w:rPr>
            </w:pPr>
            <w:r w:rsidRPr="00E837F8">
              <w:rPr>
                <w:color w:val="000000"/>
                <w:sz w:val="24"/>
                <w:szCs w:val="24"/>
              </w:rPr>
              <w:t>Enterprises with high R&amp;D and intangible intensities prefer equity from outside due to opacity and minimal collateral. Young, unprofitable, intangible-heavy enterprises choose equity over debt or internal finances.</w:t>
            </w:r>
          </w:p>
        </w:tc>
      </w:tr>
      <w:tr w:rsidR="00567EF5" w:rsidRPr="00E837F8" w14:paraId="287BCD4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42" w14:textId="77777777" w:rsidR="00567EF5" w:rsidRPr="00E837F8" w:rsidRDefault="006578A3">
            <w:pPr>
              <w:jc w:val="right"/>
              <w:rPr>
                <w:b/>
                <w:bCs/>
                <w:color w:val="000000"/>
                <w:sz w:val="24"/>
                <w:szCs w:val="24"/>
              </w:rPr>
            </w:pPr>
            <w:r w:rsidRPr="00E837F8">
              <w:rPr>
                <w:b/>
                <w:bCs/>
                <w:color w:val="000000"/>
                <w:sz w:val="24"/>
                <w:szCs w:val="24"/>
              </w:rPr>
              <w:t>23</w:t>
            </w:r>
          </w:p>
        </w:tc>
        <w:tc>
          <w:tcPr>
            <w:tcW w:w="4963" w:type="dxa"/>
            <w:tcBorders>
              <w:top w:val="nil"/>
              <w:left w:val="nil"/>
              <w:bottom w:val="single" w:sz="4" w:space="0" w:color="000000"/>
              <w:right w:val="single" w:sz="4" w:space="0" w:color="000000"/>
            </w:tcBorders>
          </w:tcPr>
          <w:p w14:paraId="287BCD43" w14:textId="77777777" w:rsidR="00567EF5" w:rsidRPr="00E837F8" w:rsidRDefault="006578A3">
            <w:pPr>
              <w:rPr>
                <w:color w:val="333333"/>
                <w:sz w:val="24"/>
                <w:szCs w:val="24"/>
              </w:rPr>
            </w:pPr>
            <w:r w:rsidRPr="00E837F8">
              <w:rPr>
                <w:color w:val="333333"/>
                <w:sz w:val="24"/>
                <w:szCs w:val="24"/>
              </w:rPr>
              <w:t>Caporale, G.M., Donati, C. and Spagnolo, N. (2023) ‘Small and medium sized European firms and energy saving measures: The role of financing’, </w:t>
            </w:r>
            <w:r w:rsidRPr="00E837F8">
              <w:rPr>
                <w:i/>
                <w:iCs/>
                <w:color w:val="333333"/>
                <w:sz w:val="24"/>
                <w:szCs w:val="24"/>
              </w:rPr>
              <w:t>Energy policy</w:t>
            </w:r>
            <w:r w:rsidRPr="00E837F8">
              <w:rPr>
                <w:color w:val="333333"/>
                <w:sz w:val="24"/>
                <w:szCs w:val="24"/>
              </w:rPr>
              <w:t>, 179, pp. 1–11. Available at: https://doi.org/10.1016/j.enpol.2023.113613</w:t>
            </w:r>
          </w:p>
        </w:tc>
        <w:tc>
          <w:tcPr>
            <w:tcW w:w="4577" w:type="dxa"/>
            <w:tcBorders>
              <w:top w:val="nil"/>
              <w:left w:val="nil"/>
              <w:bottom w:val="single" w:sz="4" w:space="0" w:color="000000"/>
              <w:right w:val="single" w:sz="4" w:space="0" w:color="000000"/>
            </w:tcBorders>
          </w:tcPr>
          <w:p w14:paraId="287BCD44" w14:textId="77777777" w:rsidR="00567EF5" w:rsidRPr="00E837F8" w:rsidRDefault="006578A3">
            <w:pPr>
              <w:rPr>
                <w:color w:val="000000"/>
                <w:sz w:val="24"/>
                <w:szCs w:val="24"/>
              </w:rPr>
            </w:pPr>
            <w:r w:rsidRPr="00E837F8">
              <w:rPr>
                <w:color w:val="000000"/>
                <w:sz w:val="24"/>
                <w:szCs w:val="24"/>
              </w:rPr>
              <w:t>SME energy-saving adoption is primarily driven by internal financing, although official subsidies, assurances, and lending also play a role, particularly among financially challenged Eastern European enterprises.</w:t>
            </w:r>
          </w:p>
        </w:tc>
      </w:tr>
      <w:tr w:rsidR="00567EF5" w:rsidRPr="00E837F8" w14:paraId="287BCD4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6" w14:textId="77777777" w:rsidR="00567EF5" w:rsidRPr="00E837F8" w:rsidRDefault="006578A3">
            <w:pPr>
              <w:jc w:val="right"/>
              <w:rPr>
                <w:b/>
                <w:bCs/>
                <w:color w:val="000000"/>
                <w:sz w:val="24"/>
                <w:szCs w:val="24"/>
              </w:rPr>
            </w:pPr>
            <w:r w:rsidRPr="00E837F8">
              <w:rPr>
                <w:b/>
                <w:bCs/>
                <w:color w:val="000000"/>
                <w:sz w:val="24"/>
                <w:szCs w:val="24"/>
              </w:rPr>
              <w:lastRenderedPageBreak/>
              <w:t>24</w:t>
            </w:r>
          </w:p>
        </w:tc>
        <w:tc>
          <w:tcPr>
            <w:tcW w:w="4963" w:type="dxa"/>
            <w:tcBorders>
              <w:top w:val="nil"/>
              <w:left w:val="nil"/>
              <w:bottom w:val="single" w:sz="4" w:space="0" w:color="000000"/>
              <w:right w:val="single" w:sz="4" w:space="0" w:color="000000"/>
            </w:tcBorders>
          </w:tcPr>
          <w:p w14:paraId="287BCD47" w14:textId="77777777" w:rsidR="00567EF5" w:rsidRPr="00E837F8" w:rsidRDefault="006578A3">
            <w:pPr>
              <w:rPr>
                <w:color w:val="333333"/>
                <w:sz w:val="24"/>
                <w:szCs w:val="24"/>
              </w:rPr>
            </w:pPr>
            <w:r w:rsidRPr="00E837F8">
              <w:rPr>
                <w:color w:val="333333"/>
                <w:sz w:val="24"/>
                <w:szCs w:val="24"/>
              </w:rPr>
              <w:t>Kounouwewa, J. and Azon, A.T. (2025) ‘Pecking Order Theory and Financing Decisions: Evidence from African Small and Medium-Sized Enterprises’, </w:t>
            </w:r>
            <w:r w:rsidRPr="00E837F8">
              <w:rPr>
                <w:i/>
                <w:iCs/>
                <w:color w:val="333333"/>
                <w:sz w:val="24"/>
                <w:szCs w:val="24"/>
              </w:rPr>
              <w:t>International journal of economics and financial issues</w:t>
            </w:r>
            <w:r w:rsidRPr="00E837F8">
              <w:rPr>
                <w:color w:val="333333"/>
                <w:sz w:val="24"/>
                <w:szCs w:val="24"/>
              </w:rPr>
              <w:t>, 15(6), pp. 677–685. Available at: https://doi.org/10.32479/ijefi.21477</w:t>
            </w:r>
          </w:p>
        </w:tc>
        <w:tc>
          <w:tcPr>
            <w:tcW w:w="4577" w:type="dxa"/>
            <w:tcBorders>
              <w:top w:val="nil"/>
              <w:left w:val="nil"/>
              <w:bottom w:val="single" w:sz="4" w:space="0" w:color="000000"/>
              <w:right w:val="single" w:sz="4" w:space="0" w:color="000000"/>
            </w:tcBorders>
          </w:tcPr>
          <w:p w14:paraId="287BCD48" w14:textId="77777777" w:rsidR="00567EF5" w:rsidRPr="00E837F8" w:rsidRDefault="006578A3">
            <w:pPr>
              <w:rPr>
                <w:color w:val="000000"/>
                <w:sz w:val="24"/>
                <w:szCs w:val="24"/>
              </w:rPr>
            </w:pPr>
            <w:r w:rsidRPr="00E837F8">
              <w:rPr>
                <w:color w:val="000000"/>
                <w:sz w:val="24"/>
                <w:szCs w:val="24"/>
              </w:rPr>
              <w:t xml:space="preserve">African SMEs rely largely on internal </w:t>
            </w:r>
            <w:r w:rsidRPr="00E837F8">
              <w:rPr>
                <w:sz w:val="24"/>
                <w:szCs w:val="24"/>
              </w:rPr>
              <w:t>funds,</w:t>
            </w:r>
            <w:r w:rsidRPr="00E837F8">
              <w:rPr>
                <w:color w:val="000000"/>
                <w:sz w:val="24"/>
                <w:szCs w:val="24"/>
              </w:rPr>
              <w:t xml:space="preserve"> mostly retained </w:t>
            </w:r>
            <w:r w:rsidRPr="00E837F8">
              <w:rPr>
                <w:sz w:val="24"/>
                <w:szCs w:val="24"/>
              </w:rPr>
              <w:t>earnings,</w:t>
            </w:r>
            <w:r w:rsidRPr="00E837F8">
              <w:rPr>
                <w:color w:val="000000"/>
                <w:sz w:val="24"/>
                <w:szCs w:val="24"/>
              </w:rPr>
              <w:t xml:space="preserve"> with loans </w:t>
            </w:r>
            <w:r w:rsidRPr="00E837F8">
              <w:rPr>
                <w:sz w:val="24"/>
                <w:szCs w:val="24"/>
              </w:rPr>
              <w:t>utilized</w:t>
            </w:r>
            <w:r w:rsidRPr="00E837F8">
              <w:rPr>
                <w:color w:val="000000"/>
                <w:sz w:val="24"/>
                <w:szCs w:val="24"/>
              </w:rPr>
              <w:t xml:space="preserve"> next and external equity merely accessed, which corresponds to the first phase of the </w:t>
            </w:r>
            <w:r w:rsidRPr="00E837F8">
              <w:rPr>
                <w:sz w:val="24"/>
                <w:szCs w:val="24"/>
              </w:rPr>
              <w:t>pecking order theory.</w:t>
            </w:r>
          </w:p>
        </w:tc>
      </w:tr>
      <w:tr w:rsidR="00567EF5" w:rsidRPr="00E837F8" w14:paraId="287BCD4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A" w14:textId="77777777" w:rsidR="00567EF5" w:rsidRPr="00E837F8" w:rsidRDefault="006578A3">
            <w:pPr>
              <w:jc w:val="right"/>
              <w:rPr>
                <w:b/>
                <w:bCs/>
                <w:color w:val="000000"/>
                <w:sz w:val="24"/>
                <w:szCs w:val="24"/>
              </w:rPr>
            </w:pPr>
            <w:r w:rsidRPr="00E837F8">
              <w:rPr>
                <w:b/>
                <w:bCs/>
                <w:color w:val="000000"/>
                <w:sz w:val="24"/>
                <w:szCs w:val="24"/>
              </w:rPr>
              <w:t>25</w:t>
            </w:r>
          </w:p>
        </w:tc>
        <w:tc>
          <w:tcPr>
            <w:tcW w:w="4963" w:type="dxa"/>
            <w:tcBorders>
              <w:top w:val="nil"/>
              <w:left w:val="nil"/>
              <w:bottom w:val="single" w:sz="4" w:space="0" w:color="000000"/>
              <w:right w:val="single" w:sz="4" w:space="0" w:color="000000"/>
            </w:tcBorders>
          </w:tcPr>
          <w:p w14:paraId="287BCD4B" w14:textId="77777777" w:rsidR="00567EF5" w:rsidRPr="00E837F8" w:rsidRDefault="006578A3">
            <w:pPr>
              <w:rPr>
                <w:color w:val="333333"/>
                <w:sz w:val="24"/>
                <w:szCs w:val="24"/>
              </w:rPr>
            </w:pPr>
            <w:r w:rsidRPr="00E837F8">
              <w:rPr>
                <w:color w:val="333333"/>
                <w:sz w:val="24"/>
                <w:szCs w:val="24"/>
              </w:rPr>
              <w:t>Liang, H., Huang, W., Zhao, W. and Zhou, J. (2025) ‘Internal retention, shareholding structure, and equity financing capacity of innovative small and medium-sized enterprises’, </w:t>
            </w:r>
            <w:r w:rsidRPr="00E837F8">
              <w:rPr>
                <w:i/>
                <w:iCs/>
                <w:color w:val="333333"/>
                <w:sz w:val="24"/>
                <w:szCs w:val="24"/>
              </w:rPr>
              <w:t>Finance research letters</w:t>
            </w:r>
            <w:r w:rsidRPr="00E837F8">
              <w:rPr>
                <w:color w:val="333333"/>
                <w:sz w:val="24"/>
                <w:szCs w:val="24"/>
              </w:rPr>
              <w:t>, 77, pp. 1–10. Available at: https://doi.org/10.1016/j.frl.2025.107006</w:t>
            </w:r>
          </w:p>
        </w:tc>
        <w:tc>
          <w:tcPr>
            <w:tcW w:w="4577" w:type="dxa"/>
            <w:tcBorders>
              <w:top w:val="nil"/>
              <w:left w:val="nil"/>
              <w:bottom w:val="single" w:sz="4" w:space="0" w:color="000000"/>
              <w:right w:val="single" w:sz="4" w:space="0" w:color="000000"/>
            </w:tcBorders>
          </w:tcPr>
          <w:p w14:paraId="287BCD4C" w14:textId="77777777" w:rsidR="00567EF5" w:rsidRPr="00E837F8" w:rsidRDefault="006578A3">
            <w:pPr>
              <w:rPr>
                <w:color w:val="000000"/>
                <w:sz w:val="24"/>
                <w:szCs w:val="24"/>
              </w:rPr>
            </w:pPr>
            <w:r w:rsidRPr="00E837F8">
              <w:rPr>
                <w:color w:val="000000"/>
                <w:sz w:val="24"/>
                <w:szCs w:val="24"/>
              </w:rPr>
              <w:t>Higher retained earnings decrease capital demand while boosting profitability, thus reducing equity requirements; concentrated ownership amplifies this outcome by enhancing opacity and diminishing innovation incentives.</w:t>
            </w:r>
          </w:p>
        </w:tc>
      </w:tr>
      <w:tr w:rsidR="00567EF5" w:rsidRPr="00E837F8" w14:paraId="287BCD5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E" w14:textId="77777777" w:rsidR="00567EF5" w:rsidRPr="00E837F8" w:rsidRDefault="006578A3">
            <w:pPr>
              <w:jc w:val="right"/>
              <w:rPr>
                <w:b/>
                <w:bCs/>
                <w:color w:val="000000"/>
                <w:sz w:val="24"/>
                <w:szCs w:val="24"/>
              </w:rPr>
            </w:pPr>
            <w:r w:rsidRPr="00E837F8">
              <w:rPr>
                <w:b/>
                <w:bCs/>
                <w:color w:val="000000"/>
                <w:sz w:val="24"/>
                <w:szCs w:val="24"/>
              </w:rPr>
              <w:t>26</w:t>
            </w:r>
          </w:p>
        </w:tc>
        <w:tc>
          <w:tcPr>
            <w:tcW w:w="4963" w:type="dxa"/>
            <w:tcBorders>
              <w:top w:val="nil"/>
              <w:left w:val="nil"/>
              <w:bottom w:val="single" w:sz="4" w:space="0" w:color="000000"/>
              <w:right w:val="single" w:sz="4" w:space="0" w:color="000000"/>
            </w:tcBorders>
          </w:tcPr>
          <w:p w14:paraId="287BCD4F" w14:textId="77777777" w:rsidR="00567EF5" w:rsidRPr="00E837F8" w:rsidRDefault="006578A3">
            <w:pPr>
              <w:rPr>
                <w:color w:val="333333"/>
                <w:sz w:val="24"/>
                <w:szCs w:val="24"/>
              </w:rPr>
            </w:pPr>
            <w:r w:rsidRPr="00E837F8">
              <w:rPr>
                <w:color w:val="333333"/>
                <w:sz w:val="24"/>
                <w:szCs w:val="24"/>
              </w:rPr>
              <w:t>Trinh, H.T., Kakinaka, M., Kim, D. and Jung, T.Y. (2017) ‘Capital Structure and Investment Financing of Small and Medium-Sized Enterprises in Vietnam’, </w:t>
            </w:r>
            <w:r w:rsidRPr="00E837F8">
              <w:rPr>
                <w:i/>
                <w:iCs/>
                <w:color w:val="333333"/>
                <w:sz w:val="24"/>
                <w:szCs w:val="24"/>
              </w:rPr>
              <w:t>Global economic review</w:t>
            </w:r>
            <w:r w:rsidRPr="00E837F8">
              <w:rPr>
                <w:color w:val="333333"/>
                <w:sz w:val="24"/>
                <w:szCs w:val="24"/>
              </w:rPr>
              <w:t>, 46(3), pp. 325–349. Available at: https://doi.org/10.1080/1226508X.2017.1340184</w:t>
            </w:r>
          </w:p>
        </w:tc>
        <w:tc>
          <w:tcPr>
            <w:tcW w:w="4577" w:type="dxa"/>
            <w:tcBorders>
              <w:top w:val="nil"/>
              <w:left w:val="nil"/>
              <w:bottom w:val="single" w:sz="4" w:space="0" w:color="000000"/>
              <w:right w:val="single" w:sz="4" w:space="0" w:color="000000"/>
            </w:tcBorders>
          </w:tcPr>
          <w:p w14:paraId="287BCD50" w14:textId="77777777" w:rsidR="00567EF5" w:rsidRPr="00E837F8" w:rsidRDefault="006578A3">
            <w:pPr>
              <w:rPr>
                <w:color w:val="000000"/>
                <w:sz w:val="24"/>
                <w:szCs w:val="24"/>
              </w:rPr>
            </w:pPr>
            <w:r w:rsidRPr="00E837F8">
              <w:rPr>
                <w:color w:val="000000"/>
                <w:sz w:val="24"/>
                <w:szCs w:val="24"/>
              </w:rPr>
              <w:t>Higher leverage boosts SME investment and drives enterprises into external debt, allowing for a dynamic Pecking Order in which SMEs begin with internal capital and gradually transition to external finance.</w:t>
            </w:r>
          </w:p>
        </w:tc>
      </w:tr>
      <w:tr w:rsidR="00567EF5" w:rsidRPr="00E837F8" w14:paraId="287BCD55"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2" w14:textId="77777777" w:rsidR="00567EF5" w:rsidRPr="00E837F8" w:rsidRDefault="006578A3">
            <w:pPr>
              <w:jc w:val="right"/>
              <w:rPr>
                <w:b/>
                <w:bCs/>
                <w:color w:val="000000"/>
                <w:sz w:val="24"/>
                <w:szCs w:val="24"/>
              </w:rPr>
            </w:pPr>
            <w:r w:rsidRPr="00E837F8">
              <w:rPr>
                <w:b/>
                <w:bCs/>
                <w:color w:val="000000"/>
                <w:sz w:val="24"/>
                <w:szCs w:val="24"/>
              </w:rPr>
              <w:t>27</w:t>
            </w:r>
          </w:p>
        </w:tc>
        <w:tc>
          <w:tcPr>
            <w:tcW w:w="4963" w:type="dxa"/>
            <w:tcBorders>
              <w:top w:val="nil"/>
              <w:left w:val="nil"/>
              <w:bottom w:val="single" w:sz="4" w:space="0" w:color="000000"/>
              <w:right w:val="single" w:sz="4" w:space="0" w:color="000000"/>
            </w:tcBorders>
          </w:tcPr>
          <w:p w14:paraId="287BCD53" w14:textId="77777777" w:rsidR="00567EF5" w:rsidRPr="00E837F8" w:rsidRDefault="006578A3">
            <w:pPr>
              <w:rPr>
                <w:color w:val="333333"/>
                <w:sz w:val="24"/>
                <w:szCs w:val="24"/>
              </w:rPr>
            </w:pPr>
            <w:r w:rsidRPr="00E837F8">
              <w:rPr>
                <w:color w:val="333333"/>
                <w:sz w:val="24"/>
                <w:szCs w:val="24"/>
              </w:rPr>
              <w:t>Adonia, S.A. (2021) ‘The influence of managerial characteristics on external financing preferences in smaller enterprises: The case of Malaysian micro-sized enterprises’, </w:t>
            </w:r>
            <w:r w:rsidRPr="00E837F8">
              <w:rPr>
                <w:i/>
                <w:iCs/>
                <w:color w:val="333333"/>
                <w:sz w:val="24"/>
                <w:szCs w:val="24"/>
              </w:rPr>
              <w:t>Cogent business &amp; management</w:t>
            </w:r>
            <w:r w:rsidRPr="00E837F8">
              <w:rPr>
                <w:color w:val="333333"/>
                <w:sz w:val="24"/>
                <w:szCs w:val="24"/>
              </w:rPr>
              <w:t>, 8(1), pp. 1–23. Available at: https://doi.org/10.1080/23311975.2021.1912524</w:t>
            </w:r>
          </w:p>
        </w:tc>
        <w:tc>
          <w:tcPr>
            <w:tcW w:w="4577" w:type="dxa"/>
            <w:tcBorders>
              <w:top w:val="nil"/>
              <w:left w:val="nil"/>
              <w:bottom w:val="single" w:sz="4" w:space="0" w:color="000000"/>
              <w:right w:val="single" w:sz="4" w:space="0" w:color="000000"/>
            </w:tcBorders>
          </w:tcPr>
          <w:p w14:paraId="287BCD54" w14:textId="77777777" w:rsidR="00567EF5" w:rsidRPr="00E837F8" w:rsidRDefault="006578A3">
            <w:pPr>
              <w:rPr>
                <w:color w:val="000000"/>
                <w:sz w:val="24"/>
                <w:szCs w:val="24"/>
              </w:rPr>
            </w:pPr>
            <w:r w:rsidRPr="00E837F8">
              <w:rPr>
                <w:color w:val="000000"/>
                <w:sz w:val="24"/>
                <w:szCs w:val="24"/>
              </w:rPr>
              <w:t xml:space="preserve">External finance preferences are influenced by access to knowledge, internal funds, networking, growth </w:t>
            </w:r>
            <w:r w:rsidRPr="00E837F8">
              <w:rPr>
                <w:sz w:val="24"/>
                <w:szCs w:val="24"/>
              </w:rPr>
              <w:t>goals,</w:t>
            </w:r>
            <w:r w:rsidRPr="00E837F8">
              <w:rPr>
                <w:color w:val="000000"/>
                <w:sz w:val="24"/>
                <w:szCs w:val="24"/>
              </w:rPr>
              <w:t xml:space="preserve"> and experience, with networking taking precedence; ample internal funds lessen dependency on external loans.</w:t>
            </w:r>
          </w:p>
        </w:tc>
      </w:tr>
      <w:tr w:rsidR="00567EF5" w:rsidRPr="00E837F8" w14:paraId="287BCD5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6" w14:textId="77777777" w:rsidR="00567EF5" w:rsidRPr="00E837F8" w:rsidRDefault="006578A3">
            <w:pPr>
              <w:jc w:val="right"/>
              <w:rPr>
                <w:b/>
                <w:bCs/>
                <w:color w:val="000000"/>
                <w:sz w:val="24"/>
                <w:szCs w:val="24"/>
              </w:rPr>
            </w:pPr>
            <w:r w:rsidRPr="00E837F8">
              <w:rPr>
                <w:b/>
                <w:bCs/>
                <w:color w:val="000000"/>
                <w:sz w:val="24"/>
                <w:szCs w:val="24"/>
              </w:rPr>
              <w:t>28</w:t>
            </w:r>
          </w:p>
        </w:tc>
        <w:tc>
          <w:tcPr>
            <w:tcW w:w="4963" w:type="dxa"/>
            <w:tcBorders>
              <w:top w:val="nil"/>
              <w:left w:val="nil"/>
              <w:bottom w:val="single" w:sz="4" w:space="0" w:color="000000"/>
              <w:right w:val="single" w:sz="4" w:space="0" w:color="000000"/>
            </w:tcBorders>
          </w:tcPr>
          <w:p w14:paraId="287BCD57" w14:textId="77777777" w:rsidR="00567EF5" w:rsidRPr="00E837F8" w:rsidRDefault="006578A3">
            <w:pPr>
              <w:rPr>
                <w:color w:val="333333"/>
                <w:sz w:val="24"/>
                <w:szCs w:val="24"/>
              </w:rPr>
            </w:pPr>
            <w:r w:rsidRPr="00E837F8">
              <w:rPr>
                <w:color w:val="333333"/>
                <w:sz w:val="24"/>
                <w:szCs w:val="24"/>
              </w:rPr>
              <w:t>Cull, R., Li, W., Sun, B. and Xu, L.C. (2015) ‘Government connections and financial constraints: Evidence from a large representative sample of Chinese firms’, </w:t>
            </w:r>
            <w:r w:rsidRPr="00E837F8">
              <w:rPr>
                <w:i/>
                <w:iCs/>
                <w:color w:val="333333"/>
                <w:sz w:val="24"/>
                <w:szCs w:val="24"/>
              </w:rPr>
              <w:t>Journal of corporate finance (Amsterdam, Netherlands)</w:t>
            </w:r>
            <w:r w:rsidRPr="00E837F8">
              <w:rPr>
                <w:color w:val="333333"/>
                <w:sz w:val="24"/>
                <w:szCs w:val="24"/>
              </w:rPr>
              <w:t>, 32, pp. 271–294. Available at: https://doi.org/10.1016/j.jcorpfin.2014.10.012</w:t>
            </w:r>
          </w:p>
        </w:tc>
        <w:tc>
          <w:tcPr>
            <w:tcW w:w="4577" w:type="dxa"/>
            <w:tcBorders>
              <w:top w:val="nil"/>
              <w:left w:val="nil"/>
              <w:bottom w:val="single" w:sz="4" w:space="0" w:color="000000"/>
              <w:right w:val="single" w:sz="4" w:space="0" w:color="000000"/>
            </w:tcBorders>
          </w:tcPr>
          <w:p w14:paraId="287BCD58" w14:textId="77777777" w:rsidR="00567EF5" w:rsidRPr="00E837F8" w:rsidRDefault="006578A3">
            <w:pPr>
              <w:rPr>
                <w:color w:val="000000"/>
                <w:sz w:val="24"/>
                <w:szCs w:val="24"/>
              </w:rPr>
            </w:pPr>
            <w:r w:rsidRPr="00E837F8">
              <w:rPr>
                <w:color w:val="000000"/>
                <w:sz w:val="24"/>
                <w:szCs w:val="24"/>
              </w:rPr>
              <w:t xml:space="preserve">Government-connected enterprises have </w:t>
            </w:r>
            <w:r w:rsidRPr="00E837F8">
              <w:rPr>
                <w:sz w:val="24"/>
                <w:szCs w:val="24"/>
              </w:rPr>
              <w:t>fewer</w:t>
            </w:r>
            <w:r w:rsidRPr="00E837F8">
              <w:rPr>
                <w:color w:val="000000"/>
                <w:sz w:val="24"/>
                <w:szCs w:val="24"/>
              </w:rPr>
              <w:t xml:space="preserve"> financing constraints and rely less on internal finances, whereas non-state firms are more constrained. Politically linked CEOs also underinvest in growth possibilities.</w:t>
            </w:r>
          </w:p>
        </w:tc>
      </w:tr>
      <w:tr w:rsidR="00567EF5" w:rsidRPr="00E837F8" w14:paraId="287BCD5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5A" w14:textId="77777777" w:rsidR="00567EF5" w:rsidRPr="00E837F8" w:rsidRDefault="006578A3">
            <w:pPr>
              <w:jc w:val="right"/>
              <w:rPr>
                <w:b/>
                <w:bCs/>
                <w:color w:val="000000"/>
                <w:sz w:val="24"/>
                <w:szCs w:val="24"/>
              </w:rPr>
            </w:pPr>
            <w:r w:rsidRPr="00E837F8">
              <w:rPr>
                <w:b/>
                <w:bCs/>
                <w:color w:val="000000"/>
                <w:sz w:val="24"/>
                <w:szCs w:val="24"/>
              </w:rPr>
              <w:lastRenderedPageBreak/>
              <w:t>29</w:t>
            </w:r>
          </w:p>
        </w:tc>
        <w:tc>
          <w:tcPr>
            <w:tcW w:w="4963" w:type="dxa"/>
            <w:tcBorders>
              <w:top w:val="nil"/>
              <w:left w:val="nil"/>
              <w:bottom w:val="single" w:sz="4" w:space="0" w:color="000000"/>
              <w:right w:val="single" w:sz="4" w:space="0" w:color="000000"/>
            </w:tcBorders>
          </w:tcPr>
          <w:p w14:paraId="287BCD5B" w14:textId="77777777" w:rsidR="00567EF5" w:rsidRPr="00E837F8" w:rsidRDefault="006578A3">
            <w:pPr>
              <w:rPr>
                <w:color w:val="333333"/>
                <w:sz w:val="24"/>
                <w:szCs w:val="24"/>
              </w:rPr>
            </w:pPr>
            <w:r w:rsidRPr="00E837F8">
              <w:rPr>
                <w:color w:val="333333"/>
                <w:sz w:val="24"/>
                <w:szCs w:val="24"/>
              </w:rPr>
              <w:t>Appiah, M.K., Odei, S.A. and Kumi-Amoah, G. (2024) ‘Modelling the determinants of SME’s investment intention in the Ghanaian energy sector: the role of local content policy’, </w:t>
            </w:r>
            <w:r w:rsidRPr="00E837F8">
              <w:rPr>
                <w:i/>
                <w:iCs/>
                <w:color w:val="333333"/>
                <w:sz w:val="24"/>
                <w:szCs w:val="24"/>
              </w:rPr>
              <w:t>International journal of energy sector management</w:t>
            </w:r>
            <w:r w:rsidRPr="00E837F8">
              <w:rPr>
                <w:color w:val="333333"/>
                <w:sz w:val="24"/>
                <w:szCs w:val="24"/>
              </w:rPr>
              <w:t>, 18(1), pp. 94–118. Available at: https://doi.org/10.1108/IJESM-05-2022-000</w:t>
            </w:r>
          </w:p>
        </w:tc>
        <w:tc>
          <w:tcPr>
            <w:tcW w:w="4577" w:type="dxa"/>
            <w:tcBorders>
              <w:top w:val="nil"/>
              <w:left w:val="nil"/>
              <w:bottom w:val="single" w:sz="4" w:space="0" w:color="000000"/>
              <w:right w:val="single" w:sz="4" w:space="0" w:color="000000"/>
            </w:tcBorders>
          </w:tcPr>
          <w:p w14:paraId="287BCD5C" w14:textId="77777777" w:rsidR="00567EF5" w:rsidRPr="00E837F8" w:rsidRDefault="006578A3">
            <w:pPr>
              <w:rPr>
                <w:color w:val="000000"/>
                <w:sz w:val="24"/>
                <w:szCs w:val="24"/>
              </w:rPr>
            </w:pPr>
            <w:r w:rsidRPr="00E837F8">
              <w:rPr>
                <w:color w:val="000000"/>
                <w:sz w:val="24"/>
                <w:szCs w:val="24"/>
              </w:rPr>
              <w:t>Entrepreneurial competency is the most powerful driver of investment intention, followed by marketing, knowledge exchange, and technology, but SMEs' investment decisions are unaffected by a lack of capital.</w:t>
            </w:r>
          </w:p>
        </w:tc>
      </w:tr>
      <w:tr w:rsidR="00567EF5" w:rsidRPr="00E837F8" w14:paraId="287BCD6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E" w14:textId="77777777" w:rsidR="00567EF5" w:rsidRPr="00E837F8" w:rsidRDefault="006578A3">
            <w:pPr>
              <w:jc w:val="right"/>
              <w:rPr>
                <w:b/>
                <w:bCs/>
                <w:color w:val="000000"/>
                <w:sz w:val="24"/>
                <w:szCs w:val="24"/>
              </w:rPr>
            </w:pPr>
            <w:r w:rsidRPr="00E837F8">
              <w:rPr>
                <w:b/>
                <w:bCs/>
                <w:color w:val="000000"/>
                <w:sz w:val="24"/>
                <w:szCs w:val="24"/>
              </w:rPr>
              <w:t>30</w:t>
            </w:r>
          </w:p>
        </w:tc>
        <w:tc>
          <w:tcPr>
            <w:tcW w:w="4963" w:type="dxa"/>
            <w:tcBorders>
              <w:top w:val="nil"/>
              <w:left w:val="nil"/>
              <w:bottom w:val="single" w:sz="4" w:space="0" w:color="000000"/>
              <w:right w:val="single" w:sz="4" w:space="0" w:color="000000"/>
            </w:tcBorders>
          </w:tcPr>
          <w:p w14:paraId="287BCD5F" w14:textId="77777777" w:rsidR="00567EF5" w:rsidRPr="00E837F8" w:rsidRDefault="006578A3">
            <w:pPr>
              <w:rPr>
                <w:color w:val="333333"/>
                <w:sz w:val="24"/>
                <w:szCs w:val="24"/>
              </w:rPr>
            </w:pPr>
            <w:r w:rsidRPr="00E837F8">
              <w:rPr>
                <w:color w:val="333333"/>
                <w:sz w:val="24"/>
                <w:szCs w:val="24"/>
              </w:rPr>
              <w:t>Nylund, P.A., Arimany-Serrat, N., Ferras-Hernandez, X., Viardot, E., Boateng, H. and Brem, A. (2020) ‘Internal and external financing of innovation: Sectoral differences in a longitudinal study of European firms’, </w:t>
            </w:r>
            <w:r w:rsidRPr="00E837F8">
              <w:rPr>
                <w:i/>
                <w:iCs/>
                <w:color w:val="333333"/>
                <w:sz w:val="24"/>
                <w:szCs w:val="24"/>
              </w:rPr>
              <w:t>European journal of innovation management</w:t>
            </w:r>
            <w:r w:rsidRPr="00E837F8">
              <w:rPr>
                <w:color w:val="333333"/>
                <w:sz w:val="24"/>
                <w:szCs w:val="24"/>
              </w:rPr>
              <w:t>, 23(2), pp. 200–213. Available at: https://doi.org/10.1108/EJIM-09-2018-0207</w:t>
            </w:r>
          </w:p>
        </w:tc>
        <w:tc>
          <w:tcPr>
            <w:tcW w:w="4577" w:type="dxa"/>
            <w:tcBorders>
              <w:top w:val="nil"/>
              <w:left w:val="nil"/>
              <w:bottom w:val="single" w:sz="4" w:space="0" w:color="000000"/>
              <w:right w:val="single" w:sz="4" w:space="0" w:color="000000"/>
            </w:tcBorders>
          </w:tcPr>
          <w:p w14:paraId="287BCD60" w14:textId="77777777" w:rsidR="00567EF5" w:rsidRPr="00E837F8" w:rsidRDefault="006578A3">
            <w:pPr>
              <w:rPr>
                <w:color w:val="000000"/>
                <w:sz w:val="24"/>
                <w:szCs w:val="24"/>
              </w:rPr>
            </w:pPr>
            <w:r w:rsidRPr="00E837F8">
              <w:rPr>
                <w:color w:val="000000"/>
                <w:sz w:val="24"/>
                <w:szCs w:val="24"/>
              </w:rPr>
              <w:t xml:space="preserve">Profitability stimulates innovation exclusively in energy enterprises while suppressing it elsewhere; borrowing continuously dampens innovation throughout sectors, with negative profit-innovation </w:t>
            </w:r>
            <w:r w:rsidRPr="00E837F8">
              <w:rPr>
                <w:sz w:val="24"/>
                <w:szCs w:val="24"/>
              </w:rPr>
              <w:t>impacts being</w:t>
            </w:r>
            <w:r w:rsidRPr="00E837F8">
              <w:rPr>
                <w:color w:val="000000"/>
                <w:sz w:val="24"/>
                <w:szCs w:val="24"/>
              </w:rPr>
              <w:t xml:space="preserve"> largest in manufacturing, services, construction, finance, and technology.</w:t>
            </w:r>
          </w:p>
        </w:tc>
      </w:tr>
      <w:tr w:rsidR="00567EF5" w:rsidRPr="00E837F8" w14:paraId="287BCD6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62" w14:textId="77777777" w:rsidR="00567EF5" w:rsidRPr="00E837F8" w:rsidRDefault="006578A3">
            <w:pPr>
              <w:jc w:val="right"/>
              <w:rPr>
                <w:b/>
                <w:bCs/>
                <w:color w:val="000000"/>
                <w:sz w:val="24"/>
                <w:szCs w:val="24"/>
              </w:rPr>
            </w:pPr>
            <w:r w:rsidRPr="00E837F8">
              <w:rPr>
                <w:b/>
                <w:bCs/>
                <w:color w:val="000000"/>
                <w:sz w:val="24"/>
                <w:szCs w:val="24"/>
              </w:rPr>
              <w:t>31</w:t>
            </w:r>
          </w:p>
        </w:tc>
        <w:tc>
          <w:tcPr>
            <w:tcW w:w="4963" w:type="dxa"/>
            <w:tcBorders>
              <w:top w:val="nil"/>
              <w:left w:val="nil"/>
              <w:bottom w:val="single" w:sz="4" w:space="0" w:color="000000"/>
              <w:right w:val="single" w:sz="4" w:space="0" w:color="000000"/>
            </w:tcBorders>
          </w:tcPr>
          <w:p w14:paraId="287BCD63" w14:textId="77777777" w:rsidR="00567EF5" w:rsidRPr="00E837F8" w:rsidRDefault="006578A3">
            <w:pPr>
              <w:rPr>
                <w:color w:val="333333"/>
                <w:sz w:val="24"/>
                <w:szCs w:val="24"/>
              </w:rPr>
            </w:pPr>
            <w:r w:rsidRPr="00E837F8">
              <w:rPr>
                <w:color w:val="333333"/>
                <w:sz w:val="24"/>
                <w:szCs w:val="24"/>
              </w:rPr>
              <w:t>Restrepo, N. and Uribe, J.M. (2023) ‘Cash flow investment, external funding and the energy transition: Evidence from large US energy firms’,Energy policy, 181, pp. 1–16. Available at: https://doi.org/10.1016/j.enpol.2023.113720</w:t>
            </w:r>
          </w:p>
        </w:tc>
        <w:tc>
          <w:tcPr>
            <w:tcW w:w="4577" w:type="dxa"/>
            <w:tcBorders>
              <w:top w:val="nil"/>
              <w:left w:val="nil"/>
              <w:bottom w:val="single" w:sz="4" w:space="0" w:color="000000"/>
              <w:right w:val="single" w:sz="4" w:space="0" w:color="000000"/>
            </w:tcBorders>
          </w:tcPr>
          <w:p w14:paraId="287BCD64" w14:textId="77777777" w:rsidR="00567EF5" w:rsidRPr="00E837F8" w:rsidRDefault="006578A3">
            <w:pPr>
              <w:rPr>
                <w:color w:val="000000"/>
                <w:sz w:val="24"/>
                <w:szCs w:val="24"/>
              </w:rPr>
            </w:pPr>
            <w:r w:rsidRPr="00E837F8">
              <w:rPr>
                <w:color w:val="000000"/>
                <w:sz w:val="24"/>
                <w:szCs w:val="24"/>
              </w:rPr>
              <w:t>Financially constrained businesses rely on internal resources to payoff debt and invest; green businesses reduce debt when cash flows increase, emphasizing their limited external financing and the need for additional support.</w:t>
            </w:r>
          </w:p>
        </w:tc>
      </w:tr>
      <w:tr w:rsidR="00567EF5" w:rsidRPr="00E837F8" w14:paraId="287BCD6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66" w14:textId="77777777" w:rsidR="00567EF5" w:rsidRPr="00E837F8" w:rsidRDefault="006578A3">
            <w:pPr>
              <w:jc w:val="right"/>
              <w:rPr>
                <w:b/>
                <w:bCs/>
                <w:color w:val="000000"/>
                <w:sz w:val="24"/>
                <w:szCs w:val="24"/>
              </w:rPr>
            </w:pPr>
            <w:r w:rsidRPr="00E837F8">
              <w:rPr>
                <w:b/>
                <w:bCs/>
                <w:color w:val="000000"/>
                <w:sz w:val="24"/>
                <w:szCs w:val="24"/>
              </w:rPr>
              <w:t>32</w:t>
            </w:r>
          </w:p>
        </w:tc>
        <w:tc>
          <w:tcPr>
            <w:tcW w:w="4963" w:type="dxa"/>
            <w:tcBorders>
              <w:top w:val="nil"/>
              <w:left w:val="nil"/>
              <w:bottom w:val="single" w:sz="4" w:space="0" w:color="000000"/>
              <w:right w:val="single" w:sz="4" w:space="0" w:color="000000"/>
            </w:tcBorders>
          </w:tcPr>
          <w:p w14:paraId="287BCD67" w14:textId="77777777" w:rsidR="00567EF5" w:rsidRPr="00E837F8" w:rsidRDefault="006578A3">
            <w:pPr>
              <w:rPr>
                <w:color w:val="333333"/>
                <w:sz w:val="24"/>
                <w:szCs w:val="24"/>
              </w:rPr>
            </w:pPr>
            <w:r w:rsidRPr="00E837F8">
              <w:rPr>
                <w:color w:val="333333"/>
                <w:sz w:val="24"/>
                <w:szCs w:val="24"/>
              </w:rPr>
              <w:t>Chay, J.B., Park, S.H., Kim, S. and Suh, J. (2015) ‘Financing hierarchy: Evidence from quantile regression’, </w:t>
            </w:r>
            <w:r w:rsidRPr="00E837F8">
              <w:rPr>
                <w:i/>
                <w:iCs/>
                <w:color w:val="333333"/>
                <w:sz w:val="24"/>
                <w:szCs w:val="24"/>
              </w:rPr>
              <w:t>Journal of corporate finance (Amsterdam, Netherlands</w:t>
            </w:r>
            <w:r w:rsidRPr="00E837F8">
              <w:rPr>
                <w:color w:val="333333"/>
                <w:sz w:val="24"/>
                <w:szCs w:val="24"/>
              </w:rPr>
              <w:t>, 33, pp. 147–163. Available at: https://doi.org/10.1016/j.jcorpfin.2015.06.004</w:t>
            </w:r>
          </w:p>
        </w:tc>
        <w:tc>
          <w:tcPr>
            <w:tcW w:w="4577" w:type="dxa"/>
            <w:tcBorders>
              <w:top w:val="nil"/>
              <w:left w:val="nil"/>
              <w:bottom w:val="single" w:sz="4" w:space="0" w:color="000000"/>
              <w:right w:val="single" w:sz="4" w:space="0" w:color="000000"/>
            </w:tcBorders>
          </w:tcPr>
          <w:p w14:paraId="287BCD68" w14:textId="77777777" w:rsidR="00567EF5" w:rsidRPr="00E837F8" w:rsidRDefault="006578A3">
            <w:pPr>
              <w:rPr>
                <w:color w:val="000000"/>
                <w:sz w:val="24"/>
                <w:szCs w:val="24"/>
              </w:rPr>
            </w:pPr>
            <w:r w:rsidRPr="00E837F8">
              <w:rPr>
                <w:color w:val="000000"/>
                <w:sz w:val="24"/>
                <w:szCs w:val="24"/>
              </w:rPr>
              <w:t>Internal funds dominate SME investment, but at high levels of investment, enterprises run out of liquidity and progressively rely on external finance, where responsiveness essentially equals or exceeds internal funding.</w:t>
            </w:r>
          </w:p>
        </w:tc>
      </w:tr>
      <w:tr w:rsidR="00567EF5" w:rsidRPr="00E837F8" w14:paraId="287BCD6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6A" w14:textId="77777777" w:rsidR="00567EF5" w:rsidRPr="00E837F8" w:rsidRDefault="006578A3">
            <w:pPr>
              <w:jc w:val="right"/>
              <w:rPr>
                <w:b/>
                <w:bCs/>
                <w:color w:val="000000"/>
                <w:sz w:val="24"/>
                <w:szCs w:val="24"/>
              </w:rPr>
            </w:pPr>
            <w:r w:rsidRPr="00E837F8">
              <w:rPr>
                <w:b/>
                <w:bCs/>
                <w:color w:val="000000"/>
                <w:sz w:val="24"/>
                <w:szCs w:val="24"/>
              </w:rPr>
              <w:t>33</w:t>
            </w:r>
          </w:p>
        </w:tc>
        <w:tc>
          <w:tcPr>
            <w:tcW w:w="4963" w:type="dxa"/>
            <w:tcBorders>
              <w:top w:val="nil"/>
              <w:left w:val="nil"/>
              <w:bottom w:val="single" w:sz="4" w:space="0" w:color="000000"/>
              <w:right w:val="single" w:sz="4" w:space="0" w:color="000000"/>
            </w:tcBorders>
          </w:tcPr>
          <w:p w14:paraId="287BCD6B" w14:textId="77777777" w:rsidR="00567EF5" w:rsidRPr="00E837F8" w:rsidRDefault="006578A3">
            <w:pPr>
              <w:rPr>
                <w:color w:val="333333"/>
                <w:sz w:val="24"/>
                <w:szCs w:val="24"/>
              </w:rPr>
            </w:pPr>
            <w:r w:rsidRPr="00E837F8">
              <w:rPr>
                <w:color w:val="333333"/>
                <w:sz w:val="24"/>
                <w:szCs w:val="24"/>
              </w:rPr>
              <w:t>Czarnitzki, D. and Hottenrott, H. (2017) ‘Inter-organizational collaboration and financing constraints for R&amp;D’, </w:t>
            </w:r>
            <w:r w:rsidRPr="00E837F8">
              <w:rPr>
                <w:i/>
                <w:iCs/>
                <w:color w:val="333333"/>
                <w:sz w:val="24"/>
                <w:szCs w:val="24"/>
              </w:rPr>
              <w:t>Economics letters</w:t>
            </w:r>
            <w:r w:rsidRPr="00E837F8">
              <w:rPr>
                <w:color w:val="333333"/>
                <w:sz w:val="24"/>
                <w:szCs w:val="24"/>
              </w:rPr>
              <w:t>, 161, pp. 15–18. Available at: https://doi.org/10.1016/j.econlet.2017.09.008</w:t>
            </w:r>
          </w:p>
        </w:tc>
        <w:tc>
          <w:tcPr>
            <w:tcW w:w="4577" w:type="dxa"/>
            <w:tcBorders>
              <w:top w:val="nil"/>
              <w:left w:val="nil"/>
              <w:bottom w:val="single" w:sz="4" w:space="0" w:color="000000"/>
              <w:right w:val="single" w:sz="4" w:space="0" w:color="000000"/>
            </w:tcBorders>
          </w:tcPr>
          <w:p w14:paraId="287BCD6C" w14:textId="77777777" w:rsidR="00567EF5" w:rsidRPr="00E837F8" w:rsidRDefault="006578A3">
            <w:pPr>
              <w:rPr>
                <w:color w:val="000000"/>
                <w:sz w:val="24"/>
                <w:szCs w:val="24"/>
              </w:rPr>
            </w:pPr>
            <w:r w:rsidRPr="00E837F8">
              <w:rPr>
                <w:color w:val="000000"/>
                <w:sz w:val="24"/>
                <w:szCs w:val="24"/>
              </w:rPr>
              <w:t>Collaboration in R&amp;D reduces dependence on internal funds, whereas non-collaborating enterprises are more reliant on internal funds for research financing.</w:t>
            </w:r>
          </w:p>
        </w:tc>
      </w:tr>
      <w:tr w:rsidR="00567EF5" w:rsidRPr="00E837F8" w14:paraId="287BCD7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6E" w14:textId="77777777" w:rsidR="00567EF5" w:rsidRPr="00E837F8" w:rsidRDefault="006578A3">
            <w:pPr>
              <w:jc w:val="right"/>
              <w:rPr>
                <w:b/>
                <w:bCs/>
                <w:color w:val="000000"/>
                <w:sz w:val="24"/>
                <w:szCs w:val="24"/>
              </w:rPr>
            </w:pPr>
            <w:r w:rsidRPr="00E837F8">
              <w:rPr>
                <w:b/>
                <w:bCs/>
                <w:color w:val="000000"/>
                <w:sz w:val="24"/>
                <w:szCs w:val="24"/>
              </w:rPr>
              <w:t>34</w:t>
            </w:r>
          </w:p>
        </w:tc>
        <w:tc>
          <w:tcPr>
            <w:tcW w:w="4963" w:type="dxa"/>
            <w:tcBorders>
              <w:top w:val="nil"/>
              <w:left w:val="nil"/>
              <w:bottom w:val="single" w:sz="4" w:space="0" w:color="000000"/>
              <w:right w:val="single" w:sz="4" w:space="0" w:color="000000"/>
            </w:tcBorders>
          </w:tcPr>
          <w:p w14:paraId="287BCD6F" w14:textId="77777777" w:rsidR="00567EF5" w:rsidRPr="00E837F8" w:rsidRDefault="006578A3">
            <w:pPr>
              <w:rPr>
                <w:color w:val="333333"/>
                <w:sz w:val="24"/>
                <w:szCs w:val="24"/>
              </w:rPr>
            </w:pPr>
            <w:r w:rsidRPr="00E837F8">
              <w:rPr>
                <w:color w:val="333333"/>
                <w:sz w:val="24"/>
                <w:szCs w:val="24"/>
              </w:rPr>
              <w:t>Peng, S., Shu, Z. and Zhang, W. (2022) ‘Does service trade liberalization relieve manufacturing enterprises’ financial constraints? Evidence from China’, </w:t>
            </w:r>
            <w:r w:rsidRPr="00E837F8">
              <w:rPr>
                <w:i/>
                <w:iCs/>
                <w:color w:val="333333"/>
                <w:sz w:val="24"/>
                <w:szCs w:val="24"/>
              </w:rPr>
              <w:t>Economic modelling</w:t>
            </w:r>
            <w:r w:rsidRPr="00E837F8">
              <w:rPr>
                <w:color w:val="333333"/>
                <w:sz w:val="24"/>
                <w:szCs w:val="24"/>
              </w:rPr>
              <w:t>, 106, pp. 1–11. Available at: https://doi.org/10.1016/j.econmod.2021.105710</w:t>
            </w:r>
          </w:p>
        </w:tc>
        <w:tc>
          <w:tcPr>
            <w:tcW w:w="4577" w:type="dxa"/>
            <w:tcBorders>
              <w:top w:val="nil"/>
              <w:left w:val="nil"/>
              <w:bottom w:val="single" w:sz="4" w:space="0" w:color="000000"/>
              <w:right w:val="single" w:sz="4" w:space="0" w:color="000000"/>
            </w:tcBorders>
          </w:tcPr>
          <w:p w14:paraId="287BCD70" w14:textId="77777777" w:rsidR="00567EF5" w:rsidRPr="00E837F8" w:rsidRDefault="006578A3">
            <w:pPr>
              <w:rPr>
                <w:color w:val="000000"/>
                <w:sz w:val="24"/>
                <w:szCs w:val="24"/>
              </w:rPr>
            </w:pPr>
            <w:r w:rsidRPr="00E837F8">
              <w:rPr>
                <w:color w:val="000000"/>
                <w:sz w:val="24"/>
                <w:szCs w:val="24"/>
              </w:rPr>
              <w:t>Service trade liberalization alleviates overall financial limitations while decreasing commercial credit; SMEs and private enterprises profit the most, while SOEs and large firms suffer tight lending and financing conditions.</w:t>
            </w:r>
          </w:p>
        </w:tc>
      </w:tr>
      <w:tr w:rsidR="00567EF5" w:rsidRPr="00E837F8" w14:paraId="287BCD7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72" w14:textId="77777777" w:rsidR="00567EF5" w:rsidRPr="00E837F8" w:rsidRDefault="006578A3">
            <w:pPr>
              <w:jc w:val="right"/>
              <w:rPr>
                <w:b/>
                <w:bCs/>
                <w:color w:val="000000"/>
                <w:sz w:val="24"/>
                <w:szCs w:val="24"/>
              </w:rPr>
            </w:pPr>
            <w:r w:rsidRPr="00E837F8">
              <w:rPr>
                <w:b/>
                <w:bCs/>
                <w:color w:val="000000"/>
                <w:sz w:val="24"/>
                <w:szCs w:val="24"/>
              </w:rPr>
              <w:lastRenderedPageBreak/>
              <w:t>35</w:t>
            </w:r>
          </w:p>
        </w:tc>
        <w:tc>
          <w:tcPr>
            <w:tcW w:w="4963" w:type="dxa"/>
            <w:tcBorders>
              <w:top w:val="nil"/>
              <w:left w:val="nil"/>
              <w:bottom w:val="single" w:sz="4" w:space="0" w:color="000000"/>
              <w:right w:val="single" w:sz="4" w:space="0" w:color="000000"/>
            </w:tcBorders>
          </w:tcPr>
          <w:p w14:paraId="287BCD73" w14:textId="77777777" w:rsidR="00567EF5" w:rsidRPr="00E837F8" w:rsidRDefault="006578A3">
            <w:pPr>
              <w:rPr>
                <w:color w:val="333333"/>
                <w:sz w:val="24"/>
                <w:szCs w:val="24"/>
              </w:rPr>
            </w:pPr>
            <w:r w:rsidRPr="00E837F8">
              <w:rPr>
                <w:color w:val="333333"/>
                <w:sz w:val="24"/>
                <w:szCs w:val="24"/>
              </w:rPr>
              <w:t>Cohen, B.H. and Scatigna, M. (2016) ‘Banks and capital requirements: Channels of adjustment’, </w:t>
            </w:r>
            <w:r w:rsidRPr="00E837F8">
              <w:rPr>
                <w:i/>
                <w:iCs/>
                <w:color w:val="333333"/>
                <w:sz w:val="24"/>
                <w:szCs w:val="24"/>
              </w:rPr>
              <w:t>Journal of banking &amp; finance</w:t>
            </w:r>
            <w:r w:rsidRPr="00E837F8">
              <w:rPr>
                <w:color w:val="333333"/>
                <w:sz w:val="24"/>
                <w:szCs w:val="24"/>
              </w:rPr>
              <w:t>, 69, pp. S56–S69. Available at: https://doi.org/10.1016/j.jbankfin.2015.09.022</w:t>
            </w:r>
          </w:p>
        </w:tc>
        <w:tc>
          <w:tcPr>
            <w:tcW w:w="4577" w:type="dxa"/>
            <w:tcBorders>
              <w:top w:val="nil"/>
              <w:left w:val="nil"/>
              <w:bottom w:val="single" w:sz="4" w:space="0" w:color="000000"/>
              <w:right w:val="single" w:sz="4" w:space="0" w:color="000000"/>
            </w:tcBorders>
          </w:tcPr>
          <w:p w14:paraId="287BCD74" w14:textId="77777777" w:rsidR="00567EF5" w:rsidRPr="00E837F8" w:rsidRDefault="006578A3">
            <w:pPr>
              <w:rPr>
                <w:color w:val="000000"/>
                <w:sz w:val="24"/>
                <w:szCs w:val="24"/>
              </w:rPr>
            </w:pPr>
            <w:r w:rsidRPr="00E837F8">
              <w:rPr>
                <w:color w:val="000000"/>
                <w:sz w:val="24"/>
                <w:szCs w:val="24"/>
              </w:rPr>
              <w:t xml:space="preserve">Banks boosted capital mostly through retained earnings, as dividends declined. Higher profit retention, particularly in </w:t>
            </w:r>
            <w:r w:rsidRPr="00E837F8">
              <w:rPr>
                <w:sz w:val="24"/>
                <w:szCs w:val="24"/>
              </w:rPr>
              <w:t>global systemically important banks,</w:t>
            </w:r>
            <w:r w:rsidRPr="00E837F8">
              <w:rPr>
                <w:color w:val="000000"/>
                <w:sz w:val="24"/>
                <w:szCs w:val="24"/>
              </w:rPr>
              <w:t xml:space="preserve"> boosted capital ratios without significant lending or asset reductions.</w:t>
            </w:r>
          </w:p>
        </w:tc>
      </w:tr>
      <w:tr w:rsidR="00567EF5" w:rsidRPr="00E837F8" w14:paraId="287BCD7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76" w14:textId="77777777" w:rsidR="00567EF5" w:rsidRPr="00E837F8" w:rsidRDefault="006578A3">
            <w:pPr>
              <w:jc w:val="right"/>
              <w:rPr>
                <w:b/>
                <w:bCs/>
                <w:color w:val="000000"/>
                <w:sz w:val="24"/>
                <w:szCs w:val="24"/>
              </w:rPr>
            </w:pPr>
            <w:r w:rsidRPr="00E837F8">
              <w:rPr>
                <w:b/>
                <w:bCs/>
                <w:color w:val="000000"/>
                <w:sz w:val="24"/>
                <w:szCs w:val="24"/>
              </w:rPr>
              <w:t>36</w:t>
            </w:r>
          </w:p>
        </w:tc>
        <w:tc>
          <w:tcPr>
            <w:tcW w:w="4963" w:type="dxa"/>
            <w:tcBorders>
              <w:top w:val="nil"/>
              <w:left w:val="nil"/>
              <w:bottom w:val="single" w:sz="4" w:space="0" w:color="000000"/>
              <w:right w:val="single" w:sz="4" w:space="0" w:color="000000"/>
            </w:tcBorders>
          </w:tcPr>
          <w:p w14:paraId="287BCD77" w14:textId="77777777" w:rsidR="00567EF5" w:rsidRPr="00E837F8" w:rsidRDefault="006578A3">
            <w:pPr>
              <w:rPr>
                <w:color w:val="333333"/>
                <w:sz w:val="24"/>
                <w:szCs w:val="24"/>
              </w:rPr>
            </w:pPr>
            <w:r w:rsidRPr="00E837F8">
              <w:rPr>
                <w:color w:val="333333"/>
                <w:sz w:val="24"/>
                <w:szCs w:val="24"/>
              </w:rPr>
              <w:t>Han, D. and Zhang, P. (2016) ‘Monetary policy, financing constraints and investment efficiency: Evidence from listed private companies of China’,Nankai business review international, 7(1), pp. 80–98. Available at: https://doi.org/10.1108/NBRI-11-2015-0027</w:t>
            </w:r>
          </w:p>
        </w:tc>
        <w:tc>
          <w:tcPr>
            <w:tcW w:w="4577" w:type="dxa"/>
            <w:tcBorders>
              <w:top w:val="nil"/>
              <w:left w:val="nil"/>
              <w:bottom w:val="single" w:sz="4" w:space="0" w:color="000000"/>
              <w:right w:val="single" w:sz="4" w:space="0" w:color="000000"/>
            </w:tcBorders>
          </w:tcPr>
          <w:p w14:paraId="287BCD78" w14:textId="77777777" w:rsidR="00567EF5" w:rsidRPr="00E837F8" w:rsidRDefault="006578A3">
            <w:pPr>
              <w:rPr>
                <w:color w:val="000000"/>
                <w:sz w:val="24"/>
                <w:szCs w:val="24"/>
              </w:rPr>
            </w:pPr>
            <w:r w:rsidRPr="00E837F8">
              <w:rPr>
                <w:color w:val="000000"/>
                <w:sz w:val="24"/>
                <w:szCs w:val="24"/>
              </w:rPr>
              <w:t>Loose monetary policy relieves financing limitations for politically linked enterprises while reducing investment efficiency, but firms with good internal leadership risk underinvestment as credit availability remains limited.</w:t>
            </w:r>
          </w:p>
        </w:tc>
      </w:tr>
      <w:tr w:rsidR="00567EF5" w:rsidRPr="00E837F8" w14:paraId="287BCD7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7A" w14:textId="77777777" w:rsidR="00567EF5" w:rsidRPr="00E837F8" w:rsidRDefault="006578A3">
            <w:pPr>
              <w:jc w:val="right"/>
              <w:rPr>
                <w:b/>
                <w:bCs/>
                <w:color w:val="000000"/>
                <w:sz w:val="24"/>
                <w:szCs w:val="24"/>
              </w:rPr>
            </w:pPr>
            <w:r w:rsidRPr="00E837F8">
              <w:rPr>
                <w:b/>
                <w:bCs/>
                <w:color w:val="000000"/>
                <w:sz w:val="24"/>
                <w:szCs w:val="24"/>
              </w:rPr>
              <w:t>37</w:t>
            </w:r>
          </w:p>
        </w:tc>
        <w:tc>
          <w:tcPr>
            <w:tcW w:w="4963" w:type="dxa"/>
            <w:tcBorders>
              <w:top w:val="nil"/>
              <w:left w:val="nil"/>
              <w:bottom w:val="single" w:sz="4" w:space="0" w:color="000000"/>
              <w:right w:val="single" w:sz="4" w:space="0" w:color="000000"/>
            </w:tcBorders>
          </w:tcPr>
          <w:p w14:paraId="287BCD7B" w14:textId="77777777" w:rsidR="00567EF5" w:rsidRPr="00E837F8" w:rsidRDefault="006578A3">
            <w:pPr>
              <w:rPr>
                <w:color w:val="333333"/>
                <w:sz w:val="24"/>
                <w:szCs w:val="24"/>
              </w:rPr>
            </w:pPr>
            <w:r w:rsidRPr="00E837F8">
              <w:rPr>
                <w:color w:val="333333"/>
                <w:sz w:val="24"/>
                <w:szCs w:val="24"/>
              </w:rPr>
              <w:t>Liu, B., Wang, J., Tong, X., Zhou, Z. and Qiu, Z. (2024) ‘Institutional investor shareholding and the quality of corporate innovation: Moderating effects based on internal and external environment’, </w:t>
            </w:r>
            <w:r w:rsidRPr="00E837F8">
              <w:rPr>
                <w:i/>
                <w:iCs/>
                <w:color w:val="333333"/>
                <w:sz w:val="24"/>
                <w:szCs w:val="24"/>
              </w:rPr>
              <w:t>Managerial and decision economics</w:t>
            </w:r>
            <w:r w:rsidRPr="00E837F8">
              <w:rPr>
                <w:color w:val="333333"/>
                <w:sz w:val="24"/>
                <w:szCs w:val="24"/>
              </w:rPr>
              <w:t>, 45(1), pp. 326–338. Available at: https://doi.org/10.1002/mde.4007</w:t>
            </w:r>
          </w:p>
        </w:tc>
        <w:tc>
          <w:tcPr>
            <w:tcW w:w="4577" w:type="dxa"/>
            <w:tcBorders>
              <w:top w:val="nil"/>
              <w:left w:val="nil"/>
              <w:bottom w:val="single" w:sz="4" w:space="0" w:color="000000"/>
              <w:right w:val="single" w:sz="4" w:space="0" w:color="000000"/>
            </w:tcBorders>
          </w:tcPr>
          <w:p w14:paraId="287BCD7C" w14:textId="77777777" w:rsidR="00567EF5" w:rsidRPr="00E837F8" w:rsidRDefault="006578A3">
            <w:pPr>
              <w:rPr>
                <w:color w:val="000000"/>
                <w:sz w:val="24"/>
                <w:szCs w:val="24"/>
              </w:rPr>
            </w:pPr>
            <w:r w:rsidRPr="00E837F8">
              <w:rPr>
                <w:color w:val="000000"/>
                <w:sz w:val="24"/>
                <w:szCs w:val="24"/>
              </w:rPr>
              <w:t>Institutional investor shareholding improves innovation quality through finance and governance. Risk-averse investors have the largest positive influence due to their independence, long-term focus, and stronger monitoring.</w:t>
            </w:r>
          </w:p>
        </w:tc>
      </w:tr>
      <w:tr w:rsidR="00567EF5" w:rsidRPr="00E837F8" w14:paraId="287BCD8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7E" w14:textId="77777777" w:rsidR="00567EF5" w:rsidRPr="00E837F8" w:rsidRDefault="006578A3">
            <w:pPr>
              <w:jc w:val="right"/>
              <w:rPr>
                <w:b/>
                <w:bCs/>
                <w:color w:val="000000"/>
                <w:sz w:val="24"/>
                <w:szCs w:val="24"/>
              </w:rPr>
            </w:pPr>
            <w:r w:rsidRPr="00E837F8">
              <w:rPr>
                <w:b/>
                <w:bCs/>
                <w:color w:val="000000"/>
                <w:sz w:val="24"/>
                <w:szCs w:val="24"/>
              </w:rPr>
              <w:t>38</w:t>
            </w:r>
          </w:p>
        </w:tc>
        <w:tc>
          <w:tcPr>
            <w:tcW w:w="4963" w:type="dxa"/>
            <w:tcBorders>
              <w:top w:val="nil"/>
              <w:left w:val="nil"/>
              <w:bottom w:val="single" w:sz="4" w:space="0" w:color="000000"/>
              <w:right w:val="single" w:sz="4" w:space="0" w:color="000000"/>
            </w:tcBorders>
          </w:tcPr>
          <w:p w14:paraId="287BCD7F" w14:textId="77777777" w:rsidR="00567EF5" w:rsidRPr="00E837F8" w:rsidRDefault="006578A3">
            <w:pPr>
              <w:rPr>
                <w:color w:val="333333"/>
                <w:sz w:val="24"/>
                <w:szCs w:val="24"/>
              </w:rPr>
            </w:pPr>
            <w:r w:rsidRPr="00E837F8">
              <w:rPr>
                <w:color w:val="333333"/>
                <w:sz w:val="24"/>
                <w:szCs w:val="24"/>
              </w:rPr>
              <w:t>Liu, Z., Hu, K. and Hussain, A. (2023) ‘R&amp;D disclosure and corporate innovation: Mediating role of financing structure’, </w:t>
            </w:r>
            <w:r w:rsidRPr="00E837F8">
              <w:rPr>
                <w:i/>
                <w:iCs/>
                <w:color w:val="333333"/>
                <w:sz w:val="24"/>
                <w:szCs w:val="24"/>
              </w:rPr>
              <w:t>Finance research letters</w:t>
            </w:r>
            <w:r w:rsidRPr="00E837F8">
              <w:rPr>
                <w:color w:val="333333"/>
                <w:sz w:val="24"/>
                <w:szCs w:val="24"/>
              </w:rPr>
              <w:t>, 56, pp. 1–9. Available at: https://doi.org/10.1016/j.frl.2023.104106</w:t>
            </w:r>
          </w:p>
        </w:tc>
        <w:tc>
          <w:tcPr>
            <w:tcW w:w="4577" w:type="dxa"/>
            <w:tcBorders>
              <w:top w:val="nil"/>
              <w:left w:val="nil"/>
              <w:bottom w:val="single" w:sz="4" w:space="0" w:color="000000"/>
              <w:right w:val="single" w:sz="4" w:space="0" w:color="000000"/>
            </w:tcBorders>
          </w:tcPr>
          <w:p w14:paraId="287BCD80" w14:textId="77777777" w:rsidR="00567EF5" w:rsidRPr="00E837F8" w:rsidRDefault="006578A3">
            <w:pPr>
              <w:rPr>
                <w:color w:val="000000"/>
                <w:sz w:val="24"/>
                <w:szCs w:val="24"/>
              </w:rPr>
            </w:pPr>
            <w:r w:rsidRPr="00E837F8">
              <w:rPr>
                <w:color w:val="000000"/>
                <w:sz w:val="24"/>
                <w:szCs w:val="24"/>
              </w:rPr>
              <w:t>R&amp;D transparency promotes innovation by decreasing information asymmetry and increasing internal and equity investment. Extremely constrained firms rely on internal funds, whereas less constrained firms gain from external financing.</w:t>
            </w:r>
          </w:p>
        </w:tc>
      </w:tr>
      <w:tr w:rsidR="00567EF5" w:rsidRPr="00E837F8" w14:paraId="287BCD85"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82" w14:textId="77777777" w:rsidR="00567EF5" w:rsidRPr="00E837F8" w:rsidRDefault="006578A3">
            <w:pPr>
              <w:jc w:val="right"/>
              <w:rPr>
                <w:b/>
                <w:bCs/>
                <w:color w:val="000000"/>
                <w:sz w:val="24"/>
                <w:szCs w:val="24"/>
              </w:rPr>
            </w:pPr>
            <w:r w:rsidRPr="00E837F8">
              <w:rPr>
                <w:b/>
                <w:bCs/>
                <w:color w:val="000000"/>
                <w:sz w:val="24"/>
                <w:szCs w:val="24"/>
              </w:rPr>
              <w:t>39</w:t>
            </w:r>
          </w:p>
        </w:tc>
        <w:tc>
          <w:tcPr>
            <w:tcW w:w="4963" w:type="dxa"/>
            <w:tcBorders>
              <w:top w:val="nil"/>
              <w:left w:val="nil"/>
              <w:bottom w:val="single" w:sz="4" w:space="0" w:color="000000"/>
              <w:right w:val="single" w:sz="4" w:space="0" w:color="000000"/>
            </w:tcBorders>
          </w:tcPr>
          <w:p w14:paraId="287BCD83" w14:textId="77777777" w:rsidR="00567EF5" w:rsidRPr="00E837F8" w:rsidRDefault="006578A3">
            <w:pPr>
              <w:rPr>
                <w:color w:val="333333"/>
                <w:sz w:val="24"/>
                <w:szCs w:val="24"/>
              </w:rPr>
            </w:pPr>
            <w:r w:rsidRPr="00E837F8">
              <w:rPr>
                <w:color w:val="333333"/>
                <w:sz w:val="24"/>
                <w:szCs w:val="24"/>
              </w:rPr>
              <w:t>Zhao, Z., Wang, L., Wu, J. and Yang, R. (2023) ‘The threshold effect of financing channels on the R&amp;D investment: evidence from the manufacturing companies in China’, </w:t>
            </w:r>
            <w:r w:rsidRPr="00E837F8">
              <w:rPr>
                <w:i/>
                <w:iCs/>
                <w:color w:val="333333"/>
                <w:sz w:val="24"/>
                <w:szCs w:val="24"/>
              </w:rPr>
              <w:t>Technology analysis &amp; strategic management</w:t>
            </w:r>
            <w:r w:rsidRPr="00E837F8">
              <w:rPr>
                <w:color w:val="333333"/>
                <w:sz w:val="24"/>
                <w:szCs w:val="24"/>
              </w:rPr>
              <w:t>, 35(8), pp. 1024–1037. Available at: https://doi.org/10.1080/09537325.2021.199130</w:t>
            </w:r>
          </w:p>
        </w:tc>
        <w:tc>
          <w:tcPr>
            <w:tcW w:w="4577" w:type="dxa"/>
            <w:tcBorders>
              <w:top w:val="nil"/>
              <w:left w:val="nil"/>
              <w:bottom w:val="single" w:sz="4" w:space="0" w:color="000000"/>
              <w:right w:val="single" w:sz="4" w:space="0" w:color="000000"/>
            </w:tcBorders>
          </w:tcPr>
          <w:p w14:paraId="287BCD84" w14:textId="77777777" w:rsidR="00567EF5" w:rsidRPr="00E837F8" w:rsidRDefault="006578A3">
            <w:pPr>
              <w:rPr>
                <w:color w:val="000000"/>
                <w:sz w:val="24"/>
                <w:szCs w:val="24"/>
              </w:rPr>
            </w:pPr>
            <w:r w:rsidRPr="00E837F8">
              <w:rPr>
                <w:color w:val="000000"/>
                <w:sz w:val="24"/>
                <w:szCs w:val="24"/>
              </w:rPr>
              <w:t>Internal finance enhances R&amp;D when there are low debt levels; at 49%, it becomes negative. Equity financing reduces R&amp;D</w:t>
            </w:r>
            <w:r w:rsidRPr="00E837F8">
              <w:rPr>
                <w:sz w:val="24"/>
                <w:szCs w:val="24"/>
              </w:rPr>
              <w:t>; however,</w:t>
            </w:r>
            <w:r w:rsidRPr="00E837F8">
              <w:rPr>
                <w:color w:val="000000"/>
                <w:sz w:val="24"/>
                <w:szCs w:val="24"/>
              </w:rPr>
              <w:t xml:space="preserve"> strong profitability mitigates this detrimental effect.</w:t>
            </w:r>
          </w:p>
        </w:tc>
      </w:tr>
      <w:tr w:rsidR="00567EF5" w:rsidRPr="00E837F8" w14:paraId="287BCD8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86" w14:textId="77777777" w:rsidR="00567EF5" w:rsidRPr="00E837F8" w:rsidRDefault="006578A3">
            <w:pPr>
              <w:jc w:val="right"/>
              <w:rPr>
                <w:b/>
                <w:bCs/>
                <w:color w:val="000000"/>
                <w:sz w:val="24"/>
                <w:szCs w:val="24"/>
              </w:rPr>
            </w:pPr>
            <w:r w:rsidRPr="00E837F8">
              <w:rPr>
                <w:b/>
                <w:bCs/>
                <w:color w:val="000000"/>
                <w:sz w:val="24"/>
                <w:szCs w:val="24"/>
              </w:rPr>
              <w:t>40</w:t>
            </w:r>
          </w:p>
        </w:tc>
        <w:tc>
          <w:tcPr>
            <w:tcW w:w="4963" w:type="dxa"/>
            <w:tcBorders>
              <w:top w:val="nil"/>
              <w:left w:val="nil"/>
              <w:bottom w:val="single" w:sz="4" w:space="0" w:color="000000"/>
              <w:right w:val="single" w:sz="4" w:space="0" w:color="000000"/>
            </w:tcBorders>
          </w:tcPr>
          <w:p w14:paraId="287BCD87" w14:textId="77777777" w:rsidR="00567EF5" w:rsidRPr="00E837F8" w:rsidRDefault="006578A3">
            <w:pPr>
              <w:rPr>
                <w:color w:val="333333"/>
                <w:sz w:val="24"/>
                <w:szCs w:val="24"/>
              </w:rPr>
            </w:pPr>
            <w:r w:rsidRPr="00E837F8">
              <w:rPr>
                <w:color w:val="333333"/>
                <w:sz w:val="24"/>
                <w:szCs w:val="24"/>
              </w:rPr>
              <w:t>Doruk, Ö.T. (2024) ‘The Link Between R&amp;D and Financing Constraints in Manufacturing Sectors for Two Emerging Markets’, </w:t>
            </w:r>
            <w:r w:rsidRPr="00E837F8">
              <w:rPr>
                <w:i/>
                <w:iCs/>
                <w:color w:val="333333"/>
                <w:sz w:val="24"/>
                <w:szCs w:val="24"/>
              </w:rPr>
              <w:t>Journal of the knowledge economy</w:t>
            </w:r>
            <w:r w:rsidRPr="00E837F8">
              <w:rPr>
                <w:color w:val="333333"/>
                <w:sz w:val="24"/>
                <w:szCs w:val="24"/>
              </w:rPr>
              <w:t>, 15(3), pp. 12596–12621. Available at: https://doi.org/10.1007/s13132-023-01563-8</w:t>
            </w:r>
          </w:p>
        </w:tc>
        <w:tc>
          <w:tcPr>
            <w:tcW w:w="4577" w:type="dxa"/>
            <w:tcBorders>
              <w:top w:val="nil"/>
              <w:left w:val="nil"/>
              <w:bottom w:val="single" w:sz="4" w:space="0" w:color="000000"/>
              <w:right w:val="single" w:sz="4" w:space="0" w:color="000000"/>
            </w:tcBorders>
          </w:tcPr>
          <w:p w14:paraId="287BCD88" w14:textId="77777777" w:rsidR="00567EF5" w:rsidRPr="00E837F8" w:rsidRDefault="006578A3">
            <w:pPr>
              <w:rPr>
                <w:color w:val="000000"/>
                <w:sz w:val="24"/>
                <w:szCs w:val="24"/>
              </w:rPr>
            </w:pPr>
            <w:r w:rsidRPr="00E837F8">
              <w:rPr>
                <w:color w:val="000000"/>
                <w:sz w:val="24"/>
                <w:szCs w:val="24"/>
              </w:rPr>
              <w:t>Financing limitations have a significant impact on R&amp;D in Brazil and Turkey; constrained enterprises rely largely on internal funds, and internal funding consistently fosters R&amp;D while external marketplaces are imperfect.</w:t>
            </w:r>
          </w:p>
        </w:tc>
      </w:tr>
      <w:tr w:rsidR="00567EF5" w:rsidRPr="00E837F8" w14:paraId="287BCD8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8A" w14:textId="77777777" w:rsidR="00567EF5" w:rsidRPr="00E837F8" w:rsidRDefault="006578A3">
            <w:pPr>
              <w:jc w:val="right"/>
              <w:rPr>
                <w:b/>
                <w:bCs/>
                <w:color w:val="000000"/>
                <w:sz w:val="24"/>
                <w:szCs w:val="24"/>
              </w:rPr>
            </w:pPr>
            <w:r w:rsidRPr="00E837F8">
              <w:rPr>
                <w:b/>
                <w:bCs/>
                <w:color w:val="000000"/>
                <w:sz w:val="24"/>
                <w:szCs w:val="24"/>
              </w:rPr>
              <w:lastRenderedPageBreak/>
              <w:t>41</w:t>
            </w:r>
          </w:p>
        </w:tc>
        <w:tc>
          <w:tcPr>
            <w:tcW w:w="4963" w:type="dxa"/>
            <w:tcBorders>
              <w:top w:val="nil"/>
              <w:left w:val="nil"/>
              <w:bottom w:val="single" w:sz="4" w:space="0" w:color="000000"/>
              <w:right w:val="single" w:sz="4" w:space="0" w:color="000000"/>
            </w:tcBorders>
          </w:tcPr>
          <w:p w14:paraId="287BCD8B" w14:textId="77777777" w:rsidR="00567EF5" w:rsidRPr="00E837F8" w:rsidRDefault="006578A3">
            <w:pPr>
              <w:rPr>
                <w:color w:val="333333"/>
                <w:sz w:val="24"/>
                <w:szCs w:val="24"/>
              </w:rPr>
            </w:pPr>
            <w:r w:rsidRPr="00E837F8">
              <w:rPr>
                <w:color w:val="333333"/>
                <w:sz w:val="24"/>
                <w:szCs w:val="24"/>
              </w:rPr>
              <w:t>Zou, Z., Teng, X., Liu, X. and Wang, M. (2024) ‘Commercial Credit, Financial Constraints, and Firm’s R&amp;D Investment: Evidence from China’, </w:t>
            </w:r>
            <w:r w:rsidRPr="00E837F8">
              <w:rPr>
                <w:i/>
                <w:iCs/>
                <w:color w:val="333333"/>
                <w:sz w:val="24"/>
                <w:szCs w:val="24"/>
              </w:rPr>
              <w:t>Journal of the knowledge economy</w:t>
            </w:r>
            <w:r w:rsidRPr="00E837F8">
              <w:rPr>
                <w:color w:val="333333"/>
                <w:sz w:val="24"/>
                <w:szCs w:val="24"/>
              </w:rPr>
              <w:t>, 15(2), pp. 7257–7279. Available at: https://doi.org/10.1007/s13132-023-01416-4</w:t>
            </w:r>
          </w:p>
        </w:tc>
        <w:tc>
          <w:tcPr>
            <w:tcW w:w="4577" w:type="dxa"/>
            <w:tcBorders>
              <w:top w:val="nil"/>
              <w:left w:val="nil"/>
              <w:bottom w:val="single" w:sz="4" w:space="0" w:color="000000"/>
              <w:right w:val="single" w:sz="4" w:space="0" w:color="000000"/>
            </w:tcBorders>
          </w:tcPr>
          <w:p w14:paraId="287BCD8C" w14:textId="77777777" w:rsidR="00567EF5" w:rsidRPr="00E837F8" w:rsidRDefault="006578A3">
            <w:pPr>
              <w:rPr>
                <w:color w:val="000000"/>
                <w:sz w:val="24"/>
                <w:szCs w:val="24"/>
              </w:rPr>
            </w:pPr>
            <w:r w:rsidRPr="00E837F8">
              <w:rPr>
                <w:color w:val="000000"/>
                <w:sz w:val="24"/>
                <w:szCs w:val="24"/>
              </w:rPr>
              <w:t>Commercial borrowing creates liquidity pressure, but internal finance fosters innovation by providing convenient, low-cost cash for enterprises that sustain R&amp;D investment.</w:t>
            </w:r>
          </w:p>
        </w:tc>
      </w:tr>
      <w:tr w:rsidR="00567EF5" w:rsidRPr="00E837F8" w14:paraId="287BCD9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8E" w14:textId="77777777" w:rsidR="00567EF5" w:rsidRPr="00E837F8" w:rsidRDefault="006578A3">
            <w:pPr>
              <w:jc w:val="right"/>
              <w:rPr>
                <w:b/>
                <w:bCs/>
                <w:color w:val="000000"/>
                <w:sz w:val="24"/>
                <w:szCs w:val="24"/>
              </w:rPr>
            </w:pPr>
            <w:r w:rsidRPr="00E837F8">
              <w:rPr>
                <w:b/>
                <w:bCs/>
                <w:color w:val="000000"/>
                <w:sz w:val="24"/>
                <w:szCs w:val="24"/>
              </w:rPr>
              <w:t>42</w:t>
            </w:r>
          </w:p>
        </w:tc>
        <w:tc>
          <w:tcPr>
            <w:tcW w:w="4963" w:type="dxa"/>
            <w:tcBorders>
              <w:top w:val="nil"/>
              <w:left w:val="nil"/>
              <w:bottom w:val="single" w:sz="4" w:space="0" w:color="000000"/>
              <w:right w:val="single" w:sz="4" w:space="0" w:color="000000"/>
            </w:tcBorders>
          </w:tcPr>
          <w:p w14:paraId="287BCD8F" w14:textId="77777777" w:rsidR="00567EF5" w:rsidRPr="00E837F8" w:rsidRDefault="006578A3">
            <w:pPr>
              <w:rPr>
                <w:color w:val="333333"/>
                <w:sz w:val="24"/>
                <w:szCs w:val="24"/>
              </w:rPr>
            </w:pPr>
            <w:r w:rsidRPr="00E837F8">
              <w:rPr>
                <w:color w:val="333333"/>
                <w:sz w:val="24"/>
                <w:szCs w:val="24"/>
              </w:rPr>
              <w:t>Sturm, M. and Nüesch, S. (2019) ‘Strong shareholder rights, internal capital allocation efficiency, and the moderating role of market competition and external financing needs’, </w:t>
            </w:r>
            <w:r w:rsidRPr="00E837F8">
              <w:rPr>
                <w:i/>
                <w:iCs/>
                <w:color w:val="333333"/>
                <w:sz w:val="24"/>
                <w:szCs w:val="24"/>
              </w:rPr>
              <w:t>Review of managerial science</w:t>
            </w:r>
            <w:r w:rsidRPr="00E837F8">
              <w:rPr>
                <w:color w:val="333333"/>
                <w:sz w:val="24"/>
                <w:szCs w:val="24"/>
              </w:rPr>
              <w:t>, 13(1), pp. 93–111. Available at: https://doi.org/10.1007/s11846-017-0244-1</w:t>
            </w:r>
          </w:p>
        </w:tc>
        <w:tc>
          <w:tcPr>
            <w:tcW w:w="4577" w:type="dxa"/>
            <w:tcBorders>
              <w:top w:val="nil"/>
              <w:left w:val="nil"/>
              <w:bottom w:val="single" w:sz="4" w:space="0" w:color="000000"/>
              <w:right w:val="single" w:sz="4" w:space="0" w:color="000000"/>
            </w:tcBorders>
          </w:tcPr>
          <w:p w14:paraId="287BCD90" w14:textId="77777777" w:rsidR="00567EF5" w:rsidRPr="00E837F8" w:rsidRDefault="006578A3">
            <w:pPr>
              <w:rPr>
                <w:color w:val="000000"/>
                <w:sz w:val="24"/>
                <w:szCs w:val="24"/>
              </w:rPr>
            </w:pPr>
            <w:r w:rsidRPr="00E837F8">
              <w:rPr>
                <w:color w:val="000000"/>
                <w:sz w:val="24"/>
                <w:szCs w:val="24"/>
              </w:rPr>
              <w:t xml:space="preserve">Strong shareholder rights increase internal capital allocation effectiveness; </w:t>
            </w:r>
            <w:r w:rsidRPr="00E837F8">
              <w:rPr>
                <w:sz w:val="24"/>
                <w:szCs w:val="24"/>
              </w:rPr>
              <w:t>however,</w:t>
            </w:r>
            <w:r w:rsidRPr="00E837F8">
              <w:rPr>
                <w:color w:val="000000"/>
                <w:sz w:val="24"/>
                <w:szCs w:val="24"/>
              </w:rPr>
              <w:t xml:space="preserve"> high market competition reduces this benefit because managerial choice is already constrained by competitive pressure.</w:t>
            </w:r>
          </w:p>
        </w:tc>
      </w:tr>
      <w:tr w:rsidR="00567EF5" w:rsidRPr="00E837F8" w14:paraId="287BCD9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92" w14:textId="77777777" w:rsidR="00567EF5" w:rsidRPr="00E837F8" w:rsidRDefault="006578A3">
            <w:pPr>
              <w:jc w:val="right"/>
              <w:rPr>
                <w:b/>
                <w:bCs/>
                <w:color w:val="000000"/>
                <w:sz w:val="24"/>
                <w:szCs w:val="24"/>
              </w:rPr>
            </w:pPr>
            <w:r w:rsidRPr="00E837F8">
              <w:rPr>
                <w:b/>
                <w:bCs/>
                <w:color w:val="000000"/>
                <w:sz w:val="24"/>
                <w:szCs w:val="24"/>
              </w:rPr>
              <w:t>43</w:t>
            </w:r>
          </w:p>
        </w:tc>
        <w:tc>
          <w:tcPr>
            <w:tcW w:w="4963" w:type="dxa"/>
            <w:tcBorders>
              <w:top w:val="nil"/>
              <w:left w:val="nil"/>
              <w:bottom w:val="single" w:sz="4" w:space="0" w:color="000000"/>
              <w:right w:val="single" w:sz="4" w:space="0" w:color="000000"/>
            </w:tcBorders>
          </w:tcPr>
          <w:p w14:paraId="287BCD93" w14:textId="77777777" w:rsidR="00567EF5" w:rsidRPr="00E837F8" w:rsidRDefault="006578A3">
            <w:pPr>
              <w:rPr>
                <w:color w:val="333333"/>
                <w:sz w:val="24"/>
                <w:szCs w:val="24"/>
              </w:rPr>
            </w:pPr>
            <w:r w:rsidRPr="00E837F8">
              <w:rPr>
                <w:color w:val="333333"/>
                <w:sz w:val="24"/>
                <w:szCs w:val="24"/>
              </w:rPr>
              <w:t>Byoun, S. and Xu, Z. (2016) ‘Product Market Competition and Financial Decisions During a Financial Crisis’, </w:t>
            </w:r>
            <w:r w:rsidRPr="00E837F8">
              <w:rPr>
                <w:i/>
                <w:iCs/>
                <w:color w:val="333333"/>
                <w:sz w:val="24"/>
                <w:szCs w:val="24"/>
              </w:rPr>
              <w:t>Financial management</w:t>
            </w:r>
            <w:r w:rsidRPr="00E837F8">
              <w:rPr>
                <w:color w:val="333333"/>
                <w:sz w:val="24"/>
                <w:szCs w:val="24"/>
              </w:rPr>
              <w:t>, 45(2), pp. 267–290. Available at: https://doi.org/10.1111/fima.12096</w:t>
            </w:r>
          </w:p>
        </w:tc>
        <w:tc>
          <w:tcPr>
            <w:tcW w:w="4577" w:type="dxa"/>
            <w:tcBorders>
              <w:top w:val="nil"/>
              <w:left w:val="nil"/>
              <w:bottom w:val="single" w:sz="4" w:space="0" w:color="000000"/>
              <w:right w:val="single" w:sz="4" w:space="0" w:color="000000"/>
            </w:tcBorders>
          </w:tcPr>
          <w:p w14:paraId="287BCD94" w14:textId="77777777" w:rsidR="00567EF5" w:rsidRPr="00E837F8" w:rsidRDefault="006578A3">
            <w:pPr>
              <w:rPr>
                <w:color w:val="000000"/>
                <w:sz w:val="24"/>
                <w:szCs w:val="24"/>
              </w:rPr>
            </w:pPr>
            <w:r w:rsidRPr="00E837F8">
              <w:rPr>
                <w:color w:val="000000"/>
                <w:sz w:val="24"/>
                <w:szCs w:val="24"/>
              </w:rPr>
              <w:t>More heavily financed SMEs invest more, relying on external bank funding rather than internal funds, contrary to standard theory that predicts less investment with high leverage.</w:t>
            </w:r>
          </w:p>
        </w:tc>
      </w:tr>
      <w:tr w:rsidR="00567EF5" w:rsidRPr="00E837F8" w14:paraId="287BCD9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96" w14:textId="77777777" w:rsidR="00567EF5" w:rsidRPr="00E837F8" w:rsidRDefault="006578A3">
            <w:pPr>
              <w:jc w:val="right"/>
              <w:rPr>
                <w:b/>
                <w:bCs/>
                <w:color w:val="000000"/>
                <w:sz w:val="24"/>
                <w:szCs w:val="24"/>
              </w:rPr>
            </w:pPr>
            <w:r w:rsidRPr="00E837F8">
              <w:rPr>
                <w:b/>
                <w:bCs/>
                <w:color w:val="000000"/>
                <w:sz w:val="24"/>
                <w:szCs w:val="24"/>
              </w:rPr>
              <w:t>44</w:t>
            </w:r>
          </w:p>
        </w:tc>
        <w:tc>
          <w:tcPr>
            <w:tcW w:w="4963" w:type="dxa"/>
            <w:tcBorders>
              <w:top w:val="nil"/>
              <w:left w:val="nil"/>
              <w:bottom w:val="single" w:sz="4" w:space="0" w:color="000000"/>
              <w:right w:val="single" w:sz="4" w:space="0" w:color="000000"/>
            </w:tcBorders>
          </w:tcPr>
          <w:p w14:paraId="287BCD97" w14:textId="77777777" w:rsidR="00567EF5" w:rsidRPr="00E837F8" w:rsidRDefault="006578A3">
            <w:pPr>
              <w:rPr>
                <w:color w:val="333333"/>
                <w:sz w:val="24"/>
                <w:szCs w:val="24"/>
              </w:rPr>
            </w:pPr>
            <w:r w:rsidRPr="00E837F8">
              <w:rPr>
                <w:color w:val="333333"/>
                <w:sz w:val="24"/>
                <w:szCs w:val="24"/>
              </w:rPr>
              <w:t>Khan, M.A., Qin, X., Jebran, K. and Ullah, I. (2020) ‘Uncertainty and R&amp;D investment: Does product market competition matter?’, </w:t>
            </w:r>
            <w:r w:rsidRPr="00E837F8">
              <w:rPr>
                <w:i/>
                <w:iCs/>
                <w:color w:val="333333"/>
                <w:sz w:val="24"/>
                <w:szCs w:val="24"/>
              </w:rPr>
              <w:t>Research in international business and finance</w:t>
            </w:r>
            <w:r w:rsidRPr="00E837F8">
              <w:rPr>
                <w:color w:val="333333"/>
                <w:sz w:val="24"/>
                <w:szCs w:val="24"/>
              </w:rPr>
              <w:t>, 52, pp. 1–13. Available at: https://doi.org/10.1016/j.ribaf.2019.101167</w:t>
            </w:r>
          </w:p>
        </w:tc>
        <w:tc>
          <w:tcPr>
            <w:tcW w:w="4577" w:type="dxa"/>
            <w:tcBorders>
              <w:top w:val="nil"/>
              <w:left w:val="nil"/>
              <w:bottom w:val="single" w:sz="4" w:space="0" w:color="000000"/>
              <w:right w:val="single" w:sz="4" w:space="0" w:color="000000"/>
            </w:tcBorders>
          </w:tcPr>
          <w:p w14:paraId="287BCD98" w14:textId="77777777" w:rsidR="00567EF5" w:rsidRPr="00E837F8" w:rsidRDefault="006578A3">
            <w:pPr>
              <w:rPr>
                <w:color w:val="000000"/>
                <w:sz w:val="24"/>
                <w:szCs w:val="24"/>
              </w:rPr>
            </w:pPr>
            <w:r w:rsidRPr="00E837F8">
              <w:rPr>
                <w:color w:val="000000"/>
                <w:sz w:val="24"/>
                <w:szCs w:val="24"/>
              </w:rPr>
              <w:t>Uncertainty in organisations, markets, and policies can negatively impact R&amp;D, especially in highly competitive sectors with less protection from competitors.</w:t>
            </w:r>
          </w:p>
        </w:tc>
      </w:tr>
      <w:tr w:rsidR="00567EF5" w:rsidRPr="00E837F8" w14:paraId="287BCD9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9A" w14:textId="77777777" w:rsidR="00567EF5" w:rsidRPr="00E837F8" w:rsidRDefault="006578A3">
            <w:pPr>
              <w:jc w:val="right"/>
              <w:rPr>
                <w:b/>
                <w:bCs/>
                <w:color w:val="000000"/>
                <w:sz w:val="24"/>
                <w:szCs w:val="24"/>
              </w:rPr>
            </w:pPr>
            <w:r w:rsidRPr="00E837F8">
              <w:rPr>
                <w:b/>
                <w:bCs/>
                <w:color w:val="000000"/>
                <w:sz w:val="24"/>
                <w:szCs w:val="24"/>
              </w:rPr>
              <w:t>45</w:t>
            </w:r>
          </w:p>
        </w:tc>
        <w:tc>
          <w:tcPr>
            <w:tcW w:w="4963" w:type="dxa"/>
            <w:tcBorders>
              <w:top w:val="nil"/>
              <w:left w:val="nil"/>
              <w:bottom w:val="single" w:sz="4" w:space="0" w:color="000000"/>
              <w:right w:val="single" w:sz="4" w:space="0" w:color="000000"/>
            </w:tcBorders>
          </w:tcPr>
          <w:p w14:paraId="287BCD9B" w14:textId="77777777" w:rsidR="00567EF5" w:rsidRPr="00E837F8" w:rsidRDefault="006578A3">
            <w:pPr>
              <w:rPr>
                <w:color w:val="333333"/>
                <w:sz w:val="24"/>
                <w:szCs w:val="24"/>
              </w:rPr>
            </w:pPr>
            <w:r w:rsidRPr="00E837F8">
              <w:rPr>
                <w:color w:val="333333"/>
                <w:sz w:val="24"/>
                <w:szCs w:val="24"/>
              </w:rPr>
              <w:t>Agembe, A. J., Chesoli, J. W., &amp; Ngacho, C. (2024) ‘The Relationship between Retained Earnings and Financial Performance of Listed Non-Financial Firms: An Econometrics Examination’, </w:t>
            </w:r>
            <w:r w:rsidRPr="00E837F8">
              <w:rPr>
                <w:i/>
                <w:iCs/>
                <w:color w:val="333333"/>
                <w:sz w:val="24"/>
                <w:szCs w:val="24"/>
              </w:rPr>
              <w:t>Journal of Finance and Accounting</w:t>
            </w:r>
            <w:r w:rsidRPr="00E837F8">
              <w:rPr>
                <w:color w:val="333333"/>
                <w:sz w:val="24"/>
                <w:szCs w:val="24"/>
              </w:rPr>
              <w:t>, 8(7), pp. 64–75. Available at: https://doi.org/10.53819/81018102t4285</w:t>
            </w:r>
          </w:p>
        </w:tc>
        <w:tc>
          <w:tcPr>
            <w:tcW w:w="4577" w:type="dxa"/>
            <w:tcBorders>
              <w:top w:val="nil"/>
              <w:left w:val="nil"/>
              <w:bottom w:val="single" w:sz="4" w:space="0" w:color="000000"/>
              <w:right w:val="single" w:sz="4" w:space="0" w:color="000000"/>
            </w:tcBorders>
          </w:tcPr>
          <w:p w14:paraId="287BCD9C" w14:textId="77777777" w:rsidR="00567EF5" w:rsidRPr="00E837F8" w:rsidRDefault="006578A3">
            <w:pPr>
              <w:rPr>
                <w:color w:val="000000"/>
                <w:sz w:val="24"/>
                <w:szCs w:val="24"/>
              </w:rPr>
            </w:pPr>
            <w:r w:rsidRPr="00E837F8">
              <w:rPr>
                <w:color w:val="000000"/>
                <w:sz w:val="24"/>
                <w:szCs w:val="24"/>
              </w:rPr>
              <w:t>Retained earnings significantly improve business performance across countries, proving internal finance as the lowest, most efficient funding source, in line with Pecking Order Theory and decreased information asymmetry.</w:t>
            </w:r>
          </w:p>
        </w:tc>
      </w:tr>
      <w:tr w:rsidR="00567EF5" w:rsidRPr="00E837F8" w14:paraId="287BCDA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9E" w14:textId="77777777" w:rsidR="00567EF5" w:rsidRPr="00E837F8" w:rsidRDefault="006578A3">
            <w:pPr>
              <w:jc w:val="right"/>
              <w:rPr>
                <w:b/>
                <w:bCs/>
                <w:color w:val="000000"/>
                <w:sz w:val="24"/>
                <w:szCs w:val="24"/>
              </w:rPr>
            </w:pPr>
            <w:r w:rsidRPr="00E837F8">
              <w:rPr>
                <w:b/>
                <w:bCs/>
                <w:color w:val="000000"/>
                <w:sz w:val="24"/>
                <w:szCs w:val="24"/>
              </w:rPr>
              <w:t>46</w:t>
            </w:r>
          </w:p>
        </w:tc>
        <w:tc>
          <w:tcPr>
            <w:tcW w:w="4963" w:type="dxa"/>
            <w:tcBorders>
              <w:top w:val="nil"/>
              <w:left w:val="nil"/>
              <w:bottom w:val="single" w:sz="4" w:space="0" w:color="000000"/>
              <w:right w:val="single" w:sz="4" w:space="0" w:color="000000"/>
            </w:tcBorders>
          </w:tcPr>
          <w:p w14:paraId="287BCD9F" w14:textId="77777777" w:rsidR="00567EF5" w:rsidRPr="00E837F8" w:rsidRDefault="006578A3">
            <w:pPr>
              <w:rPr>
                <w:color w:val="333333"/>
                <w:sz w:val="24"/>
                <w:szCs w:val="24"/>
              </w:rPr>
            </w:pPr>
            <w:r w:rsidRPr="00E837F8">
              <w:rPr>
                <w:color w:val="333333"/>
                <w:sz w:val="24"/>
                <w:szCs w:val="24"/>
              </w:rPr>
              <w:t>Chit, M.M. and Rizov, M. (2024) ‘SMEs’ diversification of financing sources: Strategy or desperation?’, </w:t>
            </w:r>
            <w:r w:rsidRPr="00E837F8">
              <w:rPr>
                <w:i/>
                <w:iCs/>
                <w:color w:val="333333"/>
                <w:sz w:val="24"/>
                <w:szCs w:val="24"/>
              </w:rPr>
              <w:t>International journal of finance and economics</w:t>
            </w:r>
            <w:r w:rsidRPr="00E837F8">
              <w:rPr>
                <w:color w:val="333333"/>
                <w:sz w:val="24"/>
                <w:szCs w:val="24"/>
              </w:rPr>
              <w:t>, 29(3), pp. 3123–3146. Available at: https://doi.org/10.1002/ijfe.2822</w:t>
            </w:r>
          </w:p>
        </w:tc>
        <w:tc>
          <w:tcPr>
            <w:tcW w:w="4577" w:type="dxa"/>
            <w:tcBorders>
              <w:top w:val="nil"/>
              <w:left w:val="nil"/>
              <w:bottom w:val="single" w:sz="4" w:space="0" w:color="000000"/>
              <w:right w:val="single" w:sz="4" w:space="0" w:color="000000"/>
            </w:tcBorders>
          </w:tcPr>
          <w:p w14:paraId="287BCDA0" w14:textId="77777777" w:rsidR="00567EF5" w:rsidRPr="00E837F8" w:rsidRDefault="006578A3">
            <w:pPr>
              <w:rPr>
                <w:color w:val="000000"/>
                <w:sz w:val="24"/>
                <w:szCs w:val="24"/>
              </w:rPr>
            </w:pPr>
            <w:r w:rsidRPr="00E837F8">
              <w:rPr>
                <w:color w:val="000000"/>
                <w:sz w:val="24"/>
                <w:szCs w:val="24"/>
              </w:rPr>
              <w:t>SMEs rely mostly on internal funding, primarily retained earnings, due to high external costs and information asymmetry; restrictions impact behavior, with constrained firms expanding while unconstrained firms rely almost solely on internal funds.</w:t>
            </w:r>
          </w:p>
        </w:tc>
      </w:tr>
      <w:tr w:rsidR="00567EF5" w:rsidRPr="00E837F8" w14:paraId="287BCDA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A2" w14:textId="77777777" w:rsidR="00567EF5" w:rsidRPr="00E837F8" w:rsidRDefault="006578A3">
            <w:pPr>
              <w:jc w:val="right"/>
              <w:rPr>
                <w:b/>
                <w:bCs/>
                <w:color w:val="000000"/>
                <w:sz w:val="24"/>
                <w:szCs w:val="24"/>
              </w:rPr>
            </w:pPr>
            <w:r w:rsidRPr="00E837F8">
              <w:rPr>
                <w:b/>
                <w:bCs/>
                <w:color w:val="000000"/>
                <w:sz w:val="24"/>
                <w:szCs w:val="24"/>
              </w:rPr>
              <w:lastRenderedPageBreak/>
              <w:t>47</w:t>
            </w:r>
          </w:p>
        </w:tc>
        <w:tc>
          <w:tcPr>
            <w:tcW w:w="4963" w:type="dxa"/>
            <w:tcBorders>
              <w:top w:val="nil"/>
              <w:left w:val="nil"/>
              <w:bottom w:val="single" w:sz="4" w:space="0" w:color="000000"/>
              <w:right w:val="single" w:sz="4" w:space="0" w:color="000000"/>
            </w:tcBorders>
          </w:tcPr>
          <w:p w14:paraId="287BCDA3" w14:textId="77777777" w:rsidR="00567EF5" w:rsidRPr="00E837F8" w:rsidRDefault="006578A3">
            <w:pPr>
              <w:rPr>
                <w:color w:val="333333"/>
                <w:sz w:val="24"/>
                <w:szCs w:val="24"/>
              </w:rPr>
            </w:pPr>
            <w:r w:rsidRPr="00E837F8">
              <w:rPr>
                <w:color w:val="333333"/>
                <w:sz w:val="24"/>
                <w:szCs w:val="24"/>
              </w:rPr>
              <w:t>Romero Alvarez YP, Salas-Navarro K, Martínez LB, Zamora-Musa R (2026) ‘Financing innovation in SMEs: a systematic review of financing channels’, </w:t>
            </w:r>
            <w:r w:rsidRPr="00E837F8">
              <w:rPr>
                <w:i/>
                <w:iCs/>
                <w:color w:val="333333"/>
                <w:sz w:val="24"/>
                <w:szCs w:val="24"/>
              </w:rPr>
              <w:t>International Journal of Innovation Science</w:t>
            </w:r>
            <w:r w:rsidRPr="00E837F8">
              <w:rPr>
                <w:color w:val="333333"/>
                <w:sz w:val="24"/>
                <w:szCs w:val="24"/>
              </w:rPr>
              <w:t>, 18(2), pp. 524–563. Available at: https://doi.org/10.1108/IJIS-06-2024-0151</w:t>
            </w:r>
          </w:p>
        </w:tc>
        <w:tc>
          <w:tcPr>
            <w:tcW w:w="4577" w:type="dxa"/>
            <w:tcBorders>
              <w:top w:val="nil"/>
              <w:left w:val="nil"/>
              <w:bottom w:val="single" w:sz="4" w:space="0" w:color="000000"/>
              <w:right w:val="single" w:sz="4" w:space="0" w:color="000000"/>
            </w:tcBorders>
          </w:tcPr>
          <w:p w14:paraId="287BCDA4" w14:textId="77777777" w:rsidR="00567EF5" w:rsidRPr="00E837F8" w:rsidRDefault="006578A3">
            <w:pPr>
              <w:rPr>
                <w:color w:val="000000"/>
                <w:sz w:val="24"/>
                <w:szCs w:val="24"/>
              </w:rPr>
            </w:pPr>
            <w:r w:rsidRPr="00E837F8">
              <w:rPr>
                <w:color w:val="000000"/>
                <w:sz w:val="24"/>
                <w:szCs w:val="24"/>
              </w:rPr>
              <w:t>Access to financing influences innovation. Subsidy and tax discounts encourage R&amp;D, whereas bank lending has mixed impacts. SMEs rely on self-funding due to high external costs.</w:t>
            </w:r>
          </w:p>
        </w:tc>
      </w:tr>
      <w:tr w:rsidR="00567EF5" w:rsidRPr="00E837F8" w14:paraId="287BCDA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A6" w14:textId="77777777" w:rsidR="00567EF5" w:rsidRPr="00E837F8" w:rsidRDefault="006578A3">
            <w:pPr>
              <w:jc w:val="right"/>
              <w:rPr>
                <w:b/>
                <w:bCs/>
                <w:color w:val="000000"/>
                <w:sz w:val="24"/>
                <w:szCs w:val="24"/>
              </w:rPr>
            </w:pPr>
            <w:r w:rsidRPr="00E837F8">
              <w:rPr>
                <w:b/>
                <w:bCs/>
                <w:color w:val="000000"/>
                <w:sz w:val="24"/>
                <w:szCs w:val="24"/>
              </w:rPr>
              <w:t>48</w:t>
            </w:r>
          </w:p>
        </w:tc>
        <w:tc>
          <w:tcPr>
            <w:tcW w:w="4963" w:type="dxa"/>
            <w:tcBorders>
              <w:top w:val="nil"/>
              <w:left w:val="nil"/>
              <w:bottom w:val="single" w:sz="4" w:space="0" w:color="000000"/>
              <w:right w:val="single" w:sz="4" w:space="0" w:color="000000"/>
            </w:tcBorders>
          </w:tcPr>
          <w:p w14:paraId="287BCDA7" w14:textId="77777777" w:rsidR="00567EF5" w:rsidRPr="00E837F8" w:rsidRDefault="006578A3">
            <w:pPr>
              <w:rPr>
                <w:color w:val="333333"/>
                <w:sz w:val="24"/>
                <w:szCs w:val="24"/>
              </w:rPr>
            </w:pPr>
            <w:r w:rsidRPr="00E837F8">
              <w:rPr>
                <w:color w:val="333333"/>
                <w:sz w:val="24"/>
                <w:szCs w:val="24"/>
              </w:rPr>
              <w:t>Kabbach-de-Castro, L.R., Kirch, G. and Matta, R. (2022) ‘Do internal capital markets in business groups mitigate firms’ financial constraints?’, </w:t>
            </w:r>
            <w:r w:rsidRPr="00E837F8">
              <w:rPr>
                <w:i/>
                <w:iCs/>
                <w:color w:val="333333"/>
                <w:sz w:val="24"/>
                <w:szCs w:val="24"/>
              </w:rPr>
              <w:t>Journal of banking &amp; finance</w:t>
            </w:r>
            <w:r w:rsidRPr="00E837F8">
              <w:rPr>
                <w:color w:val="333333"/>
                <w:sz w:val="24"/>
                <w:szCs w:val="24"/>
              </w:rPr>
              <w:t>, 143, pp. 1–15. Available at: https://doi.org/10.1016/j.jbankfin.2022.106573</w:t>
            </w:r>
          </w:p>
        </w:tc>
        <w:tc>
          <w:tcPr>
            <w:tcW w:w="4577" w:type="dxa"/>
            <w:tcBorders>
              <w:top w:val="nil"/>
              <w:left w:val="nil"/>
              <w:bottom w:val="single" w:sz="4" w:space="0" w:color="000000"/>
              <w:right w:val="single" w:sz="4" w:space="0" w:color="000000"/>
            </w:tcBorders>
          </w:tcPr>
          <w:p w14:paraId="287BCDA8" w14:textId="77777777" w:rsidR="00567EF5" w:rsidRPr="00E837F8" w:rsidRDefault="006578A3">
            <w:pPr>
              <w:rPr>
                <w:color w:val="000000"/>
                <w:sz w:val="24"/>
                <w:szCs w:val="24"/>
              </w:rPr>
            </w:pPr>
            <w:r w:rsidRPr="00E837F8">
              <w:rPr>
                <w:color w:val="000000"/>
                <w:sz w:val="24"/>
                <w:szCs w:val="24"/>
              </w:rPr>
              <w:t>Capital allocation is driven by both productivity and pledgeable income. Constrained organisations send retained revenues to high-pledgeable-income enterprises, where each internal dollar has a multiplier effect, resulting in more total investment.</w:t>
            </w:r>
          </w:p>
        </w:tc>
      </w:tr>
      <w:tr w:rsidR="00567EF5" w:rsidRPr="00E837F8" w14:paraId="287BCDAD" w14:textId="77777777" w:rsidTr="00B37CE2">
        <w:trPr>
          <w:trHeight w:val="1248"/>
        </w:trPr>
        <w:tc>
          <w:tcPr>
            <w:tcW w:w="715" w:type="dxa"/>
            <w:tcBorders>
              <w:top w:val="nil"/>
              <w:left w:val="single" w:sz="4" w:space="0" w:color="000000"/>
              <w:bottom w:val="single" w:sz="4" w:space="0" w:color="000000"/>
              <w:right w:val="single" w:sz="4" w:space="0" w:color="000000"/>
            </w:tcBorders>
          </w:tcPr>
          <w:p w14:paraId="287BCDAA" w14:textId="77777777" w:rsidR="00567EF5" w:rsidRPr="00E837F8" w:rsidRDefault="006578A3">
            <w:pPr>
              <w:jc w:val="right"/>
              <w:rPr>
                <w:b/>
                <w:bCs/>
                <w:color w:val="000000"/>
                <w:sz w:val="24"/>
                <w:szCs w:val="24"/>
              </w:rPr>
            </w:pPr>
            <w:r w:rsidRPr="00E837F8">
              <w:rPr>
                <w:b/>
                <w:bCs/>
                <w:color w:val="000000"/>
                <w:sz w:val="24"/>
                <w:szCs w:val="24"/>
              </w:rPr>
              <w:t>49</w:t>
            </w:r>
          </w:p>
        </w:tc>
        <w:tc>
          <w:tcPr>
            <w:tcW w:w="4963" w:type="dxa"/>
            <w:tcBorders>
              <w:top w:val="nil"/>
              <w:left w:val="nil"/>
              <w:bottom w:val="single" w:sz="4" w:space="0" w:color="000000"/>
              <w:right w:val="single" w:sz="4" w:space="0" w:color="000000"/>
            </w:tcBorders>
          </w:tcPr>
          <w:p w14:paraId="287BCDAB" w14:textId="77777777" w:rsidR="00567EF5" w:rsidRPr="00E837F8" w:rsidRDefault="006578A3">
            <w:pPr>
              <w:rPr>
                <w:color w:val="333333"/>
                <w:sz w:val="24"/>
                <w:szCs w:val="24"/>
              </w:rPr>
            </w:pPr>
            <w:r w:rsidRPr="00E837F8">
              <w:rPr>
                <w:sz w:val="24"/>
                <w:szCs w:val="24"/>
              </w:rPr>
              <w:t>Tirelli, M. and Spinesi, L. (2021)</w:t>
            </w:r>
            <w:r w:rsidRPr="00E837F8">
              <w:rPr>
                <w:color w:val="333333"/>
                <w:sz w:val="24"/>
                <w:szCs w:val="24"/>
              </w:rPr>
              <w:t xml:space="preserve"> ‘R&amp;D financing and growth’, </w:t>
            </w:r>
            <w:r w:rsidRPr="00E837F8">
              <w:rPr>
                <w:i/>
                <w:iCs/>
                <w:color w:val="333333"/>
                <w:sz w:val="24"/>
                <w:szCs w:val="24"/>
              </w:rPr>
              <w:t>Economics of innovation and new technology</w:t>
            </w:r>
            <w:r w:rsidRPr="00E837F8">
              <w:rPr>
                <w:color w:val="333333"/>
                <w:sz w:val="24"/>
                <w:szCs w:val="24"/>
              </w:rPr>
              <w:t>, 30(1), pp. 24–47. Available at: https://doi.org/10.1080/10438599.2019.1666505</w:t>
            </w:r>
          </w:p>
        </w:tc>
        <w:tc>
          <w:tcPr>
            <w:tcW w:w="4577" w:type="dxa"/>
            <w:tcBorders>
              <w:top w:val="nil"/>
              <w:left w:val="nil"/>
              <w:bottom w:val="single" w:sz="4" w:space="0" w:color="000000"/>
              <w:right w:val="single" w:sz="4" w:space="0" w:color="000000"/>
            </w:tcBorders>
          </w:tcPr>
          <w:p w14:paraId="287BCDAC" w14:textId="77777777" w:rsidR="00567EF5" w:rsidRPr="00E837F8" w:rsidRDefault="006578A3">
            <w:pPr>
              <w:rPr>
                <w:color w:val="000000"/>
                <w:sz w:val="24"/>
                <w:szCs w:val="24"/>
              </w:rPr>
            </w:pPr>
            <w:r w:rsidRPr="00E837F8">
              <w:rPr>
                <w:color w:val="000000"/>
                <w:sz w:val="24"/>
                <w:szCs w:val="24"/>
              </w:rPr>
              <w:t>R&amp;D-intensive organisations rely on internal finance, particularly retained earnings, due to debt constraints. While equity reduces borrowing limits, it is also costly, leading high-growth firms to invest less in innovation.</w:t>
            </w:r>
          </w:p>
        </w:tc>
      </w:tr>
      <w:tr w:rsidR="00567EF5" w:rsidRPr="00E837F8" w14:paraId="287BCDB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AE" w14:textId="77777777" w:rsidR="00567EF5" w:rsidRPr="00E837F8" w:rsidRDefault="006578A3">
            <w:pPr>
              <w:jc w:val="right"/>
              <w:rPr>
                <w:b/>
                <w:bCs/>
                <w:color w:val="000000"/>
                <w:sz w:val="24"/>
                <w:szCs w:val="24"/>
              </w:rPr>
            </w:pPr>
            <w:r w:rsidRPr="00E837F8">
              <w:rPr>
                <w:b/>
                <w:bCs/>
                <w:color w:val="000000"/>
                <w:sz w:val="24"/>
                <w:szCs w:val="24"/>
              </w:rPr>
              <w:t>50</w:t>
            </w:r>
          </w:p>
        </w:tc>
        <w:tc>
          <w:tcPr>
            <w:tcW w:w="4963" w:type="dxa"/>
            <w:tcBorders>
              <w:top w:val="nil"/>
              <w:left w:val="nil"/>
              <w:bottom w:val="single" w:sz="4" w:space="0" w:color="000000"/>
              <w:right w:val="single" w:sz="4" w:space="0" w:color="000000"/>
            </w:tcBorders>
          </w:tcPr>
          <w:p w14:paraId="287BCDAF" w14:textId="77777777" w:rsidR="00567EF5" w:rsidRPr="00E837F8" w:rsidRDefault="006578A3">
            <w:pPr>
              <w:rPr>
                <w:color w:val="333333"/>
                <w:sz w:val="24"/>
                <w:szCs w:val="24"/>
              </w:rPr>
            </w:pPr>
            <w:r w:rsidRPr="00E837F8">
              <w:rPr>
                <w:color w:val="333333"/>
                <w:sz w:val="24"/>
                <w:szCs w:val="24"/>
              </w:rPr>
              <w:t>Sulistianingsih, H. and Santi, F. (2023)  ‘Does SME’s financing decisions follow pecking order pattern? The role of financial literacy, risk preference, and home bias in SME financing decisions’, </w:t>
            </w:r>
            <w:r w:rsidRPr="00E837F8">
              <w:rPr>
                <w:i/>
                <w:iCs/>
                <w:color w:val="333333"/>
                <w:sz w:val="24"/>
                <w:szCs w:val="24"/>
              </w:rPr>
              <w:t>Cogent business &amp; management</w:t>
            </w:r>
            <w:r w:rsidRPr="00E837F8">
              <w:rPr>
                <w:color w:val="333333"/>
                <w:sz w:val="24"/>
                <w:szCs w:val="24"/>
              </w:rPr>
              <w:t>, 10(1), pp. 1–17. Available at: https://doi.org/10.1080/23311975.2023.2174477</w:t>
            </w:r>
          </w:p>
        </w:tc>
        <w:tc>
          <w:tcPr>
            <w:tcW w:w="4577" w:type="dxa"/>
            <w:tcBorders>
              <w:top w:val="nil"/>
              <w:left w:val="nil"/>
              <w:bottom w:val="single" w:sz="4" w:space="0" w:color="000000"/>
              <w:right w:val="single" w:sz="4" w:space="0" w:color="000000"/>
            </w:tcBorders>
          </w:tcPr>
          <w:p w14:paraId="287BCDB0" w14:textId="77777777" w:rsidR="00567EF5" w:rsidRPr="00E837F8" w:rsidRDefault="006578A3">
            <w:pPr>
              <w:rPr>
                <w:color w:val="000000"/>
                <w:sz w:val="24"/>
                <w:szCs w:val="24"/>
              </w:rPr>
            </w:pPr>
            <w:r w:rsidRPr="00E837F8">
              <w:rPr>
                <w:color w:val="000000"/>
                <w:sz w:val="24"/>
                <w:szCs w:val="24"/>
              </w:rPr>
              <w:t>SMEs diverge from pecking order theory since their personal biases and risk-taking habits distort decisions, forcing them to seek external finance even though internal funds appear safer.</w:t>
            </w:r>
          </w:p>
        </w:tc>
      </w:tr>
      <w:tr w:rsidR="00567EF5" w:rsidRPr="00E837F8" w14:paraId="287BCDB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B2" w14:textId="77777777" w:rsidR="00567EF5" w:rsidRPr="00E837F8" w:rsidRDefault="006578A3">
            <w:pPr>
              <w:jc w:val="right"/>
              <w:rPr>
                <w:b/>
                <w:bCs/>
                <w:color w:val="000000"/>
                <w:sz w:val="24"/>
                <w:szCs w:val="24"/>
              </w:rPr>
            </w:pPr>
            <w:r w:rsidRPr="00E837F8">
              <w:rPr>
                <w:b/>
                <w:bCs/>
                <w:color w:val="000000"/>
                <w:sz w:val="24"/>
                <w:szCs w:val="24"/>
              </w:rPr>
              <w:t>51</w:t>
            </w:r>
          </w:p>
        </w:tc>
        <w:tc>
          <w:tcPr>
            <w:tcW w:w="4963" w:type="dxa"/>
            <w:tcBorders>
              <w:top w:val="nil"/>
              <w:left w:val="nil"/>
              <w:bottom w:val="single" w:sz="4" w:space="0" w:color="000000"/>
              <w:right w:val="single" w:sz="4" w:space="0" w:color="000000"/>
            </w:tcBorders>
          </w:tcPr>
          <w:p w14:paraId="287BCDB3" w14:textId="77777777" w:rsidR="00567EF5" w:rsidRPr="00E837F8" w:rsidRDefault="006578A3">
            <w:pPr>
              <w:rPr>
                <w:color w:val="333333"/>
                <w:sz w:val="24"/>
                <w:szCs w:val="24"/>
              </w:rPr>
            </w:pPr>
            <w:r w:rsidRPr="00E837F8">
              <w:rPr>
                <w:color w:val="333333"/>
                <w:sz w:val="24"/>
                <w:szCs w:val="24"/>
              </w:rPr>
              <w:t>Singh, K., Pillai, D. and Rastogi, S. (2025) ‘Pecking Order Theory of Capital Structure: Empirical Evidence for Listed SMEs in India’, </w:t>
            </w:r>
            <w:r w:rsidRPr="00E837F8">
              <w:rPr>
                <w:i/>
                <w:iCs/>
                <w:color w:val="333333"/>
                <w:sz w:val="24"/>
                <w:szCs w:val="24"/>
              </w:rPr>
              <w:t>Vision (New Delhi, India)</w:t>
            </w:r>
            <w:r w:rsidRPr="00E837F8">
              <w:rPr>
                <w:color w:val="333333"/>
                <w:sz w:val="24"/>
                <w:szCs w:val="24"/>
              </w:rPr>
              <w:t>, 29(1), pp. 35–47. Available at: https://doi.org/10.1177/09722629211057208</w:t>
            </w:r>
          </w:p>
        </w:tc>
        <w:tc>
          <w:tcPr>
            <w:tcW w:w="4577" w:type="dxa"/>
            <w:tcBorders>
              <w:top w:val="nil"/>
              <w:left w:val="nil"/>
              <w:bottom w:val="single" w:sz="4" w:space="0" w:color="000000"/>
              <w:right w:val="single" w:sz="4" w:space="0" w:color="000000"/>
            </w:tcBorders>
          </w:tcPr>
          <w:p w14:paraId="287BCDB4" w14:textId="77777777" w:rsidR="00567EF5" w:rsidRPr="00E837F8" w:rsidRDefault="006578A3">
            <w:pPr>
              <w:rPr>
                <w:color w:val="000000"/>
                <w:sz w:val="24"/>
                <w:szCs w:val="24"/>
              </w:rPr>
            </w:pPr>
            <w:r w:rsidRPr="00E837F8">
              <w:rPr>
                <w:color w:val="000000"/>
                <w:sz w:val="24"/>
                <w:szCs w:val="24"/>
              </w:rPr>
              <w:t xml:space="preserve">Listed Indian SMEs adhere to the Pecking Order Theory: profitability, liquidity, </w:t>
            </w:r>
            <w:r w:rsidRPr="00E837F8">
              <w:rPr>
                <w:sz w:val="24"/>
                <w:szCs w:val="24"/>
              </w:rPr>
              <w:t>non-debt tax shield,</w:t>
            </w:r>
            <w:r w:rsidRPr="00E837F8">
              <w:rPr>
                <w:color w:val="000000"/>
                <w:sz w:val="24"/>
                <w:szCs w:val="24"/>
              </w:rPr>
              <w:t xml:space="preserve"> and scale diminish leverage, yet chronic information asymmetry remains organisations reliant on internal finance notwithstanding their listing.</w:t>
            </w:r>
          </w:p>
        </w:tc>
      </w:tr>
      <w:tr w:rsidR="00567EF5" w:rsidRPr="00E837F8" w14:paraId="287BCDB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B6" w14:textId="77777777" w:rsidR="00567EF5" w:rsidRPr="00E837F8" w:rsidRDefault="006578A3">
            <w:pPr>
              <w:jc w:val="right"/>
              <w:rPr>
                <w:b/>
                <w:bCs/>
                <w:color w:val="000000"/>
                <w:sz w:val="24"/>
                <w:szCs w:val="24"/>
              </w:rPr>
            </w:pPr>
            <w:r w:rsidRPr="00E837F8">
              <w:rPr>
                <w:b/>
                <w:bCs/>
                <w:color w:val="000000"/>
                <w:sz w:val="24"/>
                <w:szCs w:val="24"/>
              </w:rPr>
              <w:t>52</w:t>
            </w:r>
          </w:p>
        </w:tc>
        <w:tc>
          <w:tcPr>
            <w:tcW w:w="4963" w:type="dxa"/>
            <w:tcBorders>
              <w:top w:val="nil"/>
              <w:left w:val="nil"/>
              <w:bottom w:val="single" w:sz="4" w:space="0" w:color="000000"/>
              <w:right w:val="single" w:sz="4" w:space="0" w:color="000000"/>
            </w:tcBorders>
          </w:tcPr>
          <w:p w14:paraId="287BCDB7" w14:textId="77777777" w:rsidR="00567EF5" w:rsidRPr="00E837F8" w:rsidRDefault="006578A3">
            <w:pPr>
              <w:rPr>
                <w:color w:val="333333"/>
                <w:sz w:val="24"/>
                <w:szCs w:val="24"/>
              </w:rPr>
            </w:pPr>
            <w:r w:rsidRPr="00E837F8">
              <w:rPr>
                <w:color w:val="333333"/>
                <w:sz w:val="24"/>
                <w:szCs w:val="24"/>
              </w:rPr>
              <w:t>Guizani, M. (2020) ‘Testing the pecking order theory of capital structure: The case of Islamic financing modes’, </w:t>
            </w:r>
            <w:r w:rsidRPr="00E837F8">
              <w:rPr>
                <w:i/>
                <w:iCs/>
                <w:color w:val="333333"/>
                <w:sz w:val="24"/>
                <w:szCs w:val="24"/>
              </w:rPr>
              <w:t> Future business journal</w:t>
            </w:r>
            <w:r w:rsidRPr="00E837F8">
              <w:rPr>
                <w:color w:val="333333"/>
                <w:sz w:val="24"/>
                <w:szCs w:val="24"/>
              </w:rPr>
              <w:t>, 6(1), pp. 1–12. Available at: https://doi.org/10.1186/s43093-020-00042-9</w:t>
            </w:r>
          </w:p>
        </w:tc>
        <w:tc>
          <w:tcPr>
            <w:tcW w:w="4577" w:type="dxa"/>
            <w:tcBorders>
              <w:top w:val="nil"/>
              <w:left w:val="nil"/>
              <w:bottom w:val="single" w:sz="4" w:space="0" w:color="000000"/>
              <w:right w:val="single" w:sz="4" w:space="0" w:color="000000"/>
            </w:tcBorders>
          </w:tcPr>
          <w:p w14:paraId="287BCDB8" w14:textId="77777777" w:rsidR="00567EF5" w:rsidRPr="00E837F8" w:rsidRDefault="006578A3">
            <w:pPr>
              <w:rPr>
                <w:color w:val="000000"/>
                <w:sz w:val="24"/>
                <w:szCs w:val="24"/>
              </w:rPr>
            </w:pPr>
            <w:r w:rsidRPr="00E837F8">
              <w:rPr>
                <w:color w:val="000000"/>
                <w:sz w:val="24"/>
                <w:szCs w:val="24"/>
              </w:rPr>
              <w:t>Islamic enterprises prioritize internal capital, sale-based debt, and equity, with Sukuk coming last. However, crises can upset this order, leading to increased reliance on equity.</w:t>
            </w:r>
          </w:p>
        </w:tc>
      </w:tr>
      <w:tr w:rsidR="00567EF5" w:rsidRPr="00E837F8" w14:paraId="287BCDB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BA" w14:textId="77777777" w:rsidR="00567EF5" w:rsidRPr="00E837F8" w:rsidRDefault="006578A3">
            <w:pPr>
              <w:jc w:val="right"/>
              <w:rPr>
                <w:b/>
                <w:bCs/>
                <w:color w:val="000000"/>
                <w:sz w:val="24"/>
                <w:szCs w:val="24"/>
              </w:rPr>
            </w:pPr>
            <w:r w:rsidRPr="00E837F8">
              <w:rPr>
                <w:b/>
                <w:bCs/>
                <w:color w:val="000000"/>
                <w:sz w:val="24"/>
                <w:szCs w:val="24"/>
              </w:rPr>
              <w:lastRenderedPageBreak/>
              <w:t>53</w:t>
            </w:r>
          </w:p>
        </w:tc>
        <w:tc>
          <w:tcPr>
            <w:tcW w:w="4963" w:type="dxa"/>
            <w:tcBorders>
              <w:top w:val="nil"/>
              <w:left w:val="nil"/>
              <w:bottom w:val="single" w:sz="4" w:space="0" w:color="000000"/>
              <w:right w:val="single" w:sz="4" w:space="0" w:color="000000"/>
            </w:tcBorders>
          </w:tcPr>
          <w:p w14:paraId="287BCDBB" w14:textId="77777777" w:rsidR="00567EF5" w:rsidRPr="00E837F8" w:rsidRDefault="006578A3">
            <w:pPr>
              <w:rPr>
                <w:color w:val="333333"/>
                <w:sz w:val="24"/>
                <w:szCs w:val="24"/>
              </w:rPr>
            </w:pPr>
            <w:r w:rsidRPr="00E837F8">
              <w:rPr>
                <w:color w:val="333333"/>
                <w:sz w:val="24"/>
                <w:szCs w:val="24"/>
              </w:rPr>
              <w:t>Albanez, T. (2015) ‘Impact of the cost of capital on the financing decisions of Brazilian companies’, </w:t>
            </w:r>
            <w:r w:rsidRPr="00E837F8">
              <w:rPr>
                <w:i/>
                <w:iCs/>
                <w:color w:val="333333"/>
                <w:sz w:val="24"/>
                <w:szCs w:val="24"/>
              </w:rPr>
              <w:t>International journal of managerial finance</w:t>
            </w:r>
            <w:r w:rsidRPr="00E837F8">
              <w:rPr>
                <w:color w:val="333333"/>
                <w:sz w:val="24"/>
                <w:szCs w:val="24"/>
              </w:rPr>
              <w:t>, 11(3), pp. 285–307. Available at: https://doi.org/10.1108/IJMF-02-2014-0026</w:t>
            </w:r>
          </w:p>
        </w:tc>
        <w:tc>
          <w:tcPr>
            <w:tcW w:w="4577" w:type="dxa"/>
            <w:tcBorders>
              <w:top w:val="nil"/>
              <w:left w:val="nil"/>
              <w:bottom w:val="single" w:sz="4" w:space="0" w:color="000000"/>
              <w:right w:val="single" w:sz="4" w:space="0" w:color="000000"/>
            </w:tcBorders>
          </w:tcPr>
          <w:p w14:paraId="287BCDBC" w14:textId="77777777" w:rsidR="00567EF5" w:rsidRPr="00E837F8" w:rsidRDefault="006578A3">
            <w:pPr>
              <w:rPr>
                <w:color w:val="000000"/>
                <w:sz w:val="24"/>
                <w:szCs w:val="24"/>
              </w:rPr>
            </w:pPr>
            <w:r w:rsidRPr="00E837F8">
              <w:rPr>
                <w:color w:val="000000"/>
                <w:sz w:val="24"/>
                <w:szCs w:val="24"/>
              </w:rPr>
              <w:t>Brazilian enterprises prioritize market timing: high equity costs lead to debt use, whereas high debt costs move firms to equity or internal funds. Leverage primarily reflects capital-cost conditions, rather than strict hierarchy.</w:t>
            </w:r>
          </w:p>
        </w:tc>
      </w:tr>
      <w:tr w:rsidR="00567EF5" w:rsidRPr="00E837F8" w14:paraId="287BCDC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BE" w14:textId="77777777" w:rsidR="00567EF5" w:rsidRPr="00E837F8" w:rsidRDefault="006578A3">
            <w:pPr>
              <w:jc w:val="right"/>
              <w:rPr>
                <w:b/>
                <w:bCs/>
                <w:color w:val="000000"/>
                <w:sz w:val="24"/>
                <w:szCs w:val="24"/>
              </w:rPr>
            </w:pPr>
            <w:r w:rsidRPr="00E837F8">
              <w:rPr>
                <w:b/>
                <w:bCs/>
                <w:color w:val="000000"/>
                <w:sz w:val="24"/>
                <w:szCs w:val="24"/>
              </w:rPr>
              <w:t>54</w:t>
            </w:r>
          </w:p>
        </w:tc>
        <w:tc>
          <w:tcPr>
            <w:tcW w:w="4963" w:type="dxa"/>
            <w:tcBorders>
              <w:top w:val="nil"/>
              <w:left w:val="nil"/>
              <w:bottom w:val="single" w:sz="4" w:space="0" w:color="000000"/>
              <w:right w:val="single" w:sz="4" w:space="0" w:color="000000"/>
            </w:tcBorders>
          </w:tcPr>
          <w:p w14:paraId="287BCDBF" w14:textId="77777777" w:rsidR="00567EF5" w:rsidRPr="00E837F8" w:rsidRDefault="006578A3">
            <w:pPr>
              <w:rPr>
                <w:color w:val="333333"/>
                <w:sz w:val="24"/>
                <w:szCs w:val="24"/>
              </w:rPr>
            </w:pPr>
            <w:r w:rsidRPr="00E837F8">
              <w:rPr>
                <w:color w:val="333333"/>
                <w:sz w:val="24"/>
                <w:szCs w:val="24"/>
              </w:rPr>
              <w:t>Akhtar, T. (2025) ‘Cash holdings in MENA region: evidence from trade-off model, pecking order theory, and agency theory’, </w:t>
            </w:r>
            <w:r w:rsidRPr="00E837F8">
              <w:rPr>
                <w:i/>
                <w:iCs/>
                <w:color w:val="333333"/>
                <w:sz w:val="24"/>
                <w:szCs w:val="24"/>
              </w:rPr>
              <w:t>Future business journal</w:t>
            </w:r>
            <w:r w:rsidRPr="00E837F8">
              <w:rPr>
                <w:color w:val="333333"/>
                <w:sz w:val="24"/>
                <w:szCs w:val="24"/>
              </w:rPr>
              <w:t>, 11(1), pp. 1–18. Available at: https://doi.org/10.1186/s43093-025-00454-5</w:t>
            </w:r>
          </w:p>
        </w:tc>
        <w:tc>
          <w:tcPr>
            <w:tcW w:w="4577" w:type="dxa"/>
            <w:tcBorders>
              <w:top w:val="nil"/>
              <w:left w:val="nil"/>
              <w:bottom w:val="single" w:sz="4" w:space="0" w:color="000000"/>
              <w:right w:val="single" w:sz="4" w:space="0" w:color="000000"/>
            </w:tcBorders>
          </w:tcPr>
          <w:p w14:paraId="287BCDC0" w14:textId="77777777" w:rsidR="00567EF5" w:rsidRPr="00E837F8" w:rsidRDefault="006578A3">
            <w:pPr>
              <w:rPr>
                <w:color w:val="000000"/>
                <w:sz w:val="24"/>
                <w:szCs w:val="24"/>
              </w:rPr>
            </w:pPr>
            <w:r w:rsidRPr="00E837F8">
              <w:rPr>
                <w:color w:val="000000"/>
                <w:sz w:val="24"/>
                <w:szCs w:val="24"/>
              </w:rPr>
              <w:t xml:space="preserve">Pecking </w:t>
            </w:r>
            <w:r w:rsidRPr="00E837F8">
              <w:rPr>
                <w:sz w:val="24"/>
                <w:szCs w:val="24"/>
              </w:rPr>
              <w:t>order</w:t>
            </w:r>
            <w:r w:rsidRPr="00E837F8">
              <w:rPr>
                <w:color w:val="000000"/>
                <w:sz w:val="24"/>
                <w:szCs w:val="24"/>
              </w:rPr>
              <w:t xml:space="preserve"> and </w:t>
            </w:r>
            <w:r w:rsidRPr="00E837F8">
              <w:rPr>
                <w:sz w:val="24"/>
                <w:szCs w:val="24"/>
              </w:rPr>
              <w:t>trade-off</w:t>
            </w:r>
            <w:r w:rsidRPr="00E837F8">
              <w:rPr>
                <w:color w:val="000000"/>
                <w:sz w:val="24"/>
                <w:szCs w:val="24"/>
              </w:rPr>
              <w:t xml:space="preserve"> </w:t>
            </w:r>
            <w:r w:rsidRPr="00E837F8">
              <w:rPr>
                <w:sz w:val="24"/>
                <w:szCs w:val="24"/>
              </w:rPr>
              <w:t>theories</w:t>
            </w:r>
            <w:r w:rsidRPr="00E837F8">
              <w:rPr>
                <w:color w:val="000000"/>
                <w:sz w:val="24"/>
                <w:szCs w:val="24"/>
              </w:rPr>
              <w:t xml:space="preserve"> are dominant, with low-growth enterprises hoarding cash, small firms relying on cash flow, and giant firms holding capital to avert distress.</w:t>
            </w:r>
          </w:p>
        </w:tc>
      </w:tr>
      <w:tr w:rsidR="00567EF5" w:rsidRPr="00E837F8" w14:paraId="287BCDC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C2" w14:textId="77777777" w:rsidR="00567EF5" w:rsidRPr="00E837F8" w:rsidRDefault="006578A3">
            <w:pPr>
              <w:jc w:val="right"/>
              <w:rPr>
                <w:b/>
                <w:bCs/>
                <w:color w:val="000000"/>
                <w:sz w:val="24"/>
                <w:szCs w:val="24"/>
              </w:rPr>
            </w:pPr>
            <w:r w:rsidRPr="00E837F8">
              <w:rPr>
                <w:b/>
                <w:bCs/>
                <w:color w:val="000000"/>
                <w:sz w:val="24"/>
                <w:szCs w:val="24"/>
              </w:rPr>
              <w:t>55</w:t>
            </w:r>
          </w:p>
        </w:tc>
        <w:tc>
          <w:tcPr>
            <w:tcW w:w="4963" w:type="dxa"/>
            <w:tcBorders>
              <w:top w:val="nil"/>
              <w:left w:val="nil"/>
              <w:bottom w:val="single" w:sz="4" w:space="0" w:color="000000"/>
              <w:right w:val="single" w:sz="4" w:space="0" w:color="000000"/>
            </w:tcBorders>
          </w:tcPr>
          <w:p w14:paraId="287BCDC3" w14:textId="77777777" w:rsidR="00567EF5" w:rsidRPr="00E837F8" w:rsidRDefault="006578A3">
            <w:pPr>
              <w:rPr>
                <w:color w:val="333333"/>
                <w:sz w:val="24"/>
                <w:szCs w:val="24"/>
              </w:rPr>
            </w:pPr>
            <w:r w:rsidRPr="00E837F8">
              <w:rPr>
                <w:color w:val="333333"/>
                <w:sz w:val="24"/>
                <w:szCs w:val="24"/>
              </w:rPr>
              <w:t>Tanin, T.I., Sarker, A., Hammoudeh, S. and Batten, J.A. (2024) ‘The determinants of corporate cost of debt during a financial crisis’, </w:t>
            </w:r>
            <w:r w:rsidRPr="00E837F8">
              <w:rPr>
                <w:i/>
                <w:iCs/>
                <w:color w:val="333333"/>
                <w:sz w:val="24"/>
                <w:szCs w:val="24"/>
              </w:rPr>
              <w:t>The British accounting review</w:t>
            </w:r>
            <w:r w:rsidRPr="00E837F8">
              <w:rPr>
                <w:color w:val="333333"/>
                <w:sz w:val="24"/>
                <w:szCs w:val="24"/>
              </w:rPr>
              <w:t>, 56(6), pp. 1–12. Available at: https://doi.org/10.1016/j.bar.2024.101390</w:t>
            </w:r>
          </w:p>
        </w:tc>
        <w:tc>
          <w:tcPr>
            <w:tcW w:w="4577" w:type="dxa"/>
            <w:tcBorders>
              <w:top w:val="nil"/>
              <w:left w:val="nil"/>
              <w:bottom w:val="single" w:sz="4" w:space="0" w:color="000000"/>
              <w:right w:val="single" w:sz="4" w:space="0" w:color="000000"/>
            </w:tcBorders>
          </w:tcPr>
          <w:p w14:paraId="287BCDC4" w14:textId="77777777" w:rsidR="00567EF5" w:rsidRPr="00E837F8" w:rsidRDefault="006578A3">
            <w:pPr>
              <w:rPr>
                <w:color w:val="000000"/>
                <w:sz w:val="24"/>
                <w:szCs w:val="24"/>
              </w:rPr>
            </w:pPr>
            <w:r w:rsidRPr="00E837F8">
              <w:rPr>
                <w:color w:val="000000"/>
                <w:sz w:val="24"/>
                <w:szCs w:val="24"/>
              </w:rPr>
              <w:t>Pecking Order Theory (POT) degrades in crises, maintaining only at very low cost-of-debt levels. Across most quantiles, finance decisions reflect access restrictions rather than the POT hierarchy.</w:t>
            </w:r>
          </w:p>
        </w:tc>
      </w:tr>
      <w:tr w:rsidR="00567EF5" w:rsidRPr="00E837F8" w14:paraId="287BCDC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C6" w14:textId="77777777" w:rsidR="00567EF5" w:rsidRPr="00E837F8" w:rsidRDefault="006578A3">
            <w:pPr>
              <w:jc w:val="right"/>
              <w:rPr>
                <w:b/>
                <w:bCs/>
                <w:color w:val="000000"/>
                <w:sz w:val="24"/>
                <w:szCs w:val="24"/>
              </w:rPr>
            </w:pPr>
            <w:r w:rsidRPr="00E837F8">
              <w:rPr>
                <w:b/>
                <w:bCs/>
                <w:color w:val="000000"/>
                <w:sz w:val="24"/>
                <w:szCs w:val="24"/>
              </w:rPr>
              <w:t>56</w:t>
            </w:r>
          </w:p>
        </w:tc>
        <w:tc>
          <w:tcPr>
            <w:tcW w:w="4963" w:type="dxa"/>
            <w:tcBorders>
              <w:top w:val="nil"/>
              <w:left w:val="nil"/>
              <w:bottom w:val="single" w:sz="4" w:space="0" w:color="000000"/>
              <w:right w:val="single" w:sz="4" w:space="0" w:color="000000"/>
            </w:tcBorders>
          </w:tcPr>
          <w:p w14:paraId="287BCDC7" w14:textId="77777777" w:rsidR="00567EF5" w:rsidRPr="00E837F8" w:rsidRDefault="006578A3">
            <w:pPr>
              <w:rPr>
                <w:color w:val="333333"/>
                <w:sz w:val="24"/>
                <w:szCs w:val="24"/>
              </w:rPr>
            </w:pPr>
            <w:r w:rsidRPr="00E837F8">
              <w:rPr>
                <w:color w:val="333333"/>
                <w:sz w:val="24"/>
                <w:szCs w:val="24"/>
              </w:rPr>
              <w:t>Monda, L.L., Mbaduet, J.F. and Djoutsa Wamba, L. (2025) ‘Financial situation of SMEs and access to supplier credit in the context of the COVID-19 crisis in Cameroon’, </w:t>
            </w:r>
            <w:r w:rsidRPr="00E837F8">
              <w:rPr>
                <w:i/>
                <w:iCs/>
                <w:color w:val="333333"/>
                <w:sz w:val="24"/>
                <w:szCs w:val="24"/>
              </w:rPr>
              <w:t>Journal of general management</w:t>
            </w:r>
            <w:r w:rsidRPr="00E837F8">
              <w:rPr>
                <w:color w:val="333333"/>
                <w:sz w:val="24"/>
                <w:szCs w:val="24"/>
              </w:rPr>
              <w:t>, 0(0), pp. 1–12. Available at: https://doi.org/10.1177/03063070251366596</w:t>
            </w:r>
          </w:p>
        </w:tc>
        <w:tc>
          <w:tcPr>
            <w:tcW w:w="4577" w:type="dxa"/>
            <w:tcBorders>
              <w:top w:val="nil"/>
              <w:left w:val="nil"/>
              <w:bottom w:val="single" w:sz="4" w:space="0" w:color="000000"/>
              <w:right w:val="single" w:sz="4" w:space="0" w:color="000000"/>
            </w:tcBorders>
          </w:tcPr>
          <w:p w14:paraId="287BCDC8" w14:textId="77777777" w:rsidR="00567EF5" w:rsidRPr="00E837F8" w:rsidRDefault="006578A3">
            <w:pPr>
              <w:rPr>
                <w:color w:val="000000"/>
                <w:sz w:val="24"/>
                <w:szCs w:val="24"/>
              </w:rPr>
            </w:pPr>
            <w:r w:rsidRPr="00E837F8">
              <w:rPr>
                <w:color w:val="000000"/>
                <w:sz w:val="24"/>
                <w:szCs w:val="24"/>
              </w:rPr>
              <w:t>During crises, SMEs with significant debt capacity, liquidity, and solvency benefit from supplier financing. However, severe COVID-19 repercussions have reduced availability as vendors become more cautious and risk-averse.</w:t>
            </w:r>
          </w:p>
        </w:tc>
      </w:tr>
      <w:tr w:rsidR="00567EF5" w:rsidRPr="00E837F8" w14:paraId="287BCDC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CA" w14:textId="77777777" w:rsidR="00567EF5" w:rsidRPr="00E837F8" w:rsidRDefault="006578A3">
            <w:pPr>
              <w:jc w:val="right"/>
              <w:rPr>
                <w:b/>
                <w:bCs/>
                <w:color w:val="000000"/>
                <w:sz w:val="24"/>
                <w:szCs w:val="24"/>
              </w:rPr>
            </w:pPr>
            <w:r w:rsidRPr="00E837F8">
              <w:rPr>
                <w:b/>
                <w:bCs/>
                <w:color w:val="000000"/>
                <w:sz w:val="24"/>
                <w:szCs w:val="24"/>
              </w:rPr>
              <w:t>57</w:t>
            </w:r>
          </w:p>
        </w:tc>
        <w:tc>
          <w:tcPr>
            <w:tcW w:w="4963" w:type="dxa"/>
            <w:tcBorders>
              <w:top w:val="nil"/>
              <w:left w:val="nil"/>
              <w:bottom w:val="single" w:sz="4" w:space="0" w:color="000000"/>
              <w:right w:val="single" w:sz="4" w:space="0" w:color="000000"/>
            </w:tcBorders>
          </w:tcPr>
          <w:p w14:paraId="287BCDCB" w14:textId="77777777" w:rsidR="00567EF5" w:rsidRPr="00E837F8" w:rsidRDefault="006578A3">
            <w:pPr>
              <w:rPr>
                <w:color w:val="333333"/>
                <w:sz w:val="24"/>
                <w:szCs w:val="24"/>
              </w:rPr>
            </w:pPr>
            <w:r w:rsidRPr="00E837F8">
              <w:rPr>
                <w:color w:val="333333"/>
                <w:sz w:val="24"/>
                <w:szCs w:val="24"/>
              </w:rPr>
              <w:t>Kalash, I. (2023) ‘How do firms manage liquidity during currency crisis? The case of Turkey’, </w:t>
            </w:r>
            <w:r w:rsidRPr="00E837F8">
              <w:rPr>
                <w:i/>
                <w:iCs/>
                <w:color w:val="333333"/>
                <w:sz w:val="24"/>
                <w:szCs w:val="24"/>
              </w:rPr>
              <w:t>Macroeconomics and finance in emerging market economies</w:t>
            </w:r>
            <w:r w:rsidRPr="00E837F8">
              <w:rPr>
                <w:color w:val="333333"/>
                <w:sz w:val="24"/>
                <w:szCs w:val="24"/>
              </w:rPr>
              <w:t>, 16(2), pp. 247–263. Available at: https://doi.org/10.1080/17520843.2021.1983703</w:t>
            </w:r>
          </w:p>
        </w:tc>
        <w:tc>
          <w:tcPr>
            <w:tcW w:w="4577" w:type="dxa"/>
            <w:tcBorders>
              <w:top w:val="nil"/>
              <w:left w:val="nil"/>
              <w:bottom w:val="single" w:sz="4" w:space="0" w:color="000000"/>
              <w:right w:val="single" w:sz="4" w:space="0" w:color="000000"/>
            </w:tcBorders>
          </w:tcPr>
          <w:p w14:paraId="287BCDCC" w14:textId="77777777" w:rsidR="00567EF5" w:rsidRPr="00E837F8" w:rsidRDefault="006578A3">
            <w:pPr>
              <w:rPr>
                <w:color w:val="000000"/>
                <w:sz w:val="24"/>
                <w:szCs w:val="24"/>
              </w:rPr>
            </w:pPr>
            <w:r w:rsidRPr="00E837F8">
              <w:rPr>
                <w:color w:val="000000"/>
                <w:sz w:val="24"/>
                <w:szCs w:val="24"/>
              </w:rPr>
              <w:t>Investment levels remained constant as firms increased internal liquidity; small SMEs reduced borrowing and generated more internal liquidity due to stricter external financing constraints.</w:t>
            </w:r>
          </w:p>
        </w:tc>
      </w:tr>
      <w:tr w:rsidR="00567EF5" w:rsidRPr="00E837F8" w14:paraId="287BCDD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CE" w14:textId="77777777" w:rsidR="00567EF5" w:rsidRPr="00E837F8" w:rsidRDefault="006578A3">
            <w:pPr>
              <w:jc w:val="right"/>
              <w:rPr>
                <w:b/>
                <w:bCs/>
                <w:color w:val="000000"/>
                <w:sz w:val="24"/>
                <w:szCs w:val="24"/>
              </w:rPr>
            </w:pPr>
            <w:r w:rsidRPr="00E837F8">
              <w:rPr>
                <w:b/>
                <w:bCs/>
                <w:color w:val="000000"/>
                <w:sz w:val="24"/>
                <w:szCs w:val="24"/>
              </w:rPr>
              <w:t>58</w:t>
            </w:r>
          </w:p>
        </w:tc>
        <w:tc>
          <w:tcPr>
            <w:tcW w:w="4963" w:type="dxa"/>
            <w:tcBorders>
              <w:top w:val="nil"/>
              <w:left w:val="nil"/>
              <w:bottom w:val="single" w:sz="4" w:space="0" w:color="000000"/>
              <w:right w:val="single" w:sz="4" w:space="0" w:color="000000"/>
            </w:tcBorders>
          </w:tcPr>
          <w:p w14:paraId="287BCDCF" w14:textId="77777777" w:rsidR="00567EF5" w:rsidRPr="00E837F8" w:rsidRDefault="006578A3">
            <w:pPr>
              <w:rPr>
                <w:color w:val="333333"/>
                <w:sz w:val="24"/>
                <w:szCs w:val="24"/>
              </w:rPr>
            </w:pPr>
            <w:r w:rsidRPr="00E837F8">
              <w:rPr>
                <w:color w:val="333333"/>
                <w:sz w:val="24"/>
                <w:szCs w:val="24"/>
              </w:rPr>
              <w:t>Tut, D. (2024) ‘External financing, corporate governance and the value of cash holdings’, </w:t>
            </w:r>
            <w:r w:rsidRPr="00E837F8">
              <w:rPr>
                <w:i/>
                <w:iCs/>
                <w:color w:val="333333"/>
                <w:sz w:val="24"/>
                <w:szCs w:val="24"/>
              </w:rPr>
              <w:t>International review of economics &amp; finance</w:t>
            </w:r>
            <w:r w:rsidRPr="00E837F8">
              <w:rPr>
                <w:color w:val="333333"/>
                <w:sz w:val="24"/>
                <w:szCs w:val="24"/>
              </w:rPr>
              <w:t>, 91, pp. 156–179. Available at: https://doi.org/10.1016/j.iref.2024.01.008</w:t>
            </w:r>
          </w:p>
        </w:tc>
        <w:tc>
          <w:tcPr>
            <w:tcW w:w="4577" w:type="dxa"/>
            <w:tcBorders>
              <w:top w:val="nil"/>
              <w:left w:val="nil"/>
              <w:bottom w:val="single" w:sz="4" w:space="0" w:color="000000"/>
              <w:right w:val="single" w:sz="4" w:space="0" w:color="000000"/>
            </w:tcBorders>
          </w:tcPr>
          <w:p w14:paraId="287BCDD0" w14:textId="77777777" w:rsidR="00567EF5" w:rsidRPr="00E837F8" w:rsidRDefault="006578A3">
            <w:pPr>
              <w:rPr>
                <w:color w:val="000000"/>
                <w:sz w:val="24"/>
                <w:szCs w:val="24"/>
              </w:rPr>
            </w:pPr>
            <w:r w:rsidRPr="00E837F8">
              <w:rPr>
                <w:color w:val="000000"/>
                <w:sz w:val="24"/>
                <w:szCs w:val="24"/>
              </w:rPr>
              <w:t>Strong governance enhances liquidity management and reduces unproductive cash use during crises. Well-governed enterprises spend cash conservatively to reduce short-term debt and grow pledgeable assets.</w:t>
            </w:r>
          </w:p>
        </w:tc>
      </w:tr>
      <w:tr w:rsidR="00567EF5" w:rsidRPr="00E837F8" w14:paraId="287BCDD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D2" w14:textId="77777777" w:rsidR="00567EF5" w:rsidRPr="00E837F8" w:rsidRDefault="006578A3">
            <w:pPr>
              <w:jc w:val="right"/>
              <w:rPr>
                <w:b/>
                <w:bCs/>
                <w:color w:val="000000"/>
                <w:sz w:val="24"/>
                <w:szCs w:val="24"/>
              </w:rPr>
            </w:pPr>
            <w:r w:rsidRPr="00E837F8">
              <w:rPr>
                <w:b/>
                <w:bCs/>
                <w:color w:val="000000"/>
                <w:sz w:val="24"/>
                <w:szCs w:val="24"/>
              </w:rPr>
              <w:lastRenderedPageBreak/>
              <w:t>59</w:t>
            </w:r>
          </w:p>
        </w:tc>
        <w:tc>
          <w:tcPr>
            <w:tcW w:w="4963" w:type="dxa"/>
            <w:tcBorders>
              <w:top w:val="nil"/>
              <w:left w:val="nil"/>
              <w:bottom w:val="single" w:sz="4" w:space="0" w:color="000000"/>
              <w:right w:val="single" w:sz="4" w:space="0" w:color="000000"/>
            </w:tcBorders>
          </w:tcPr>
          <w:p w14:paraId="287BCDD3" w14:textId="77777777" w:rsidR="00567EF5" w:rsidRPr="00E837F8" w:rsidRDefault="006578A3">
            <w:pPr>
              <w:rPr>
                <w:color w:val="333333"/>
                <w:sz w:val="24"/>
                <w:szCs w:val="24"/>
              </w:rPr>
            </w:pPr>
            <w:r w:rsidRPr="00E837F8">
              <w:rPr>
                <w:color w:val="333333"/>
                <w:sz w:val="24"/>
                <w:szCs w:val="24"/>
              </w:rPr>
              <w:t>Christodoulou, D., Ho, S. and Prokhorov, A. (2022) ‘The evolution of financial constraints’, </w:t>
            </w:r>
            <w:r w:rsidRPr="00E837F8">
              <w:rPr>
                <w:i/>
                <w:iCs/>
                <w:color w:val="333333"/>
                <w:sz w:val="24"/>
                <w:szCs w:val="24"/>
              </w:rPr>
              <w:t>European financial management : the journal of the European Financial Management Association</w:t>
            </w:r>
            <w:r w:rsidRPr="00E837F8">
              <w:rPr>
                <w:color w:val="333333"/>
                <w:sz w:val="24"/>
                <w:szCs w:val="24"/>
              </w:rPr>
              <w:t>,28(1), pp. 233–259. Available at: https://doi.org/10.1111/eufm.12310</w:t>
            </w:r>
          </w:p>
        </w:tc>
        <w:tc>
          <w:tcPr>
            <w:tcW w:w="4577" w:type="dxa"/>
            <w:tcBorders>
              <w:top w:val="nil"/>
              <w:left w:val="nil"/>
              <w:bottom w:val="single" w:sz="4" w:space="0" w:color="000000"/>
              <w:right w:val="single" w:sz="4" w:space="0" w:color="000000"/>
            </w:tcBorders>
          </w:tcPr>
          <w:p w14:paraId="287BCDD4" w14:textId="77777777" w:rsidR="00567EF5" w:rsidRPr="00E837F8" w:rsidRDefault="006578A3">
            <w:pPr>
              <w:rPr>
                <w:color w:val="000000"/>
                <w:sz w:val="24"/>
                <w:szCs w:val="24"/>
              </w:rPr>
            </w:pPr>
            <w:r w:rsidRPr="00E837F8">
              <w:rPr>
                <w:color w:val="000000"/>
                <w:sz w:val="24"/>
                <w:szCs w:val="24"/>
              </w:rPr>
              <w:t>Recessions can have a significant impact on funding, particularly for small enterprises, whereas larger firms may be more durable due to flight-to-quality effects.</w:t>
            </w:r>
          </w:p>
        </w:tc>
      </w:tr>
      <w:tr w:rsidR="00567EF5" w:rsidRPr="00E837F8" w14:paraId="287BCDD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D6" w14:textId="77777777" w:rsidR="00567EF5" w:rsidRPr="00E837F8" w:rsidRDefault="006578A3">
            <w:pPr>
              <w:jc w:val="right"/>
              <w:rPr>
                <w:b/>
                <w:bCs/>
                <w:color w:val="000000"/>
                <w:sz w:val="24"/>
                <w:szCs w:val="24"/>
              </w:rPr>
            </w:pPr>
            <w:r w:rsidRPr="00E837F8">
              <w:rPr>
                <w:b/>
                <w:bCs/>
                <w:color w:val="000000"/>
                <w:sz w:val="24"/>
                <w:szCs w:val="24"/>
              </w:rPr>
              <w:t>60</w:t>
            </w:r>
          </w:p>
        </w:tc>
        <w:tc>
          <w:tcPr>
            <w:tcW w:w="4963" w:type="dxa"/>
            <w:tcBorders>
              <w:top w:val="nil"/>
              <w:left w:val="nil"/>
              <w:bottom w:val="single" w:sz="4" w:space="0" w:color="000000"/>
              <w:right w:val="single" w:sz="4" w:space="0" w:color="000000"/>
            </w:tcBorders>
          </w:tcPr>
          <w:p w14:paraId="287BCDD7" w14:textId="77777777" w:rsidR="00567EF5" w:rsidRPr="00E837F8" w:rsidRDefault="006578A3">
            <w:pPr>
              <w:rPr>
                <w:color w:val="333333"/>
                <w:sz w:val="24"/>
                <w:szCs w:val="24"/>
              </w:rPr>
            </w:pPr>
            <w:r w:rsidRPr="00E837F8">
              <w:rPr>
                <w:color w:val="333333"/>
                <w:sz w:val="24"/>
                <w:szCs w:val="24"/>
              </w:rPr>
              <w:t>Zhou, M., Li, K. and Chen, Z. (2021) ‘Corporate governance quality and financial leverage: Evidence from China’, </w:t>
            </w:r>
            <w:r w:rsidRPr="00E837F8">
              <w:rPr>
                <w:i/>
                <w:iCs/>
                <w:color w:val="333333"/>
                <w:sz w:val="24"/>
                <w:szCs w:val="24"/>
              </w:rPr>
              <w:t>Nature</w:t>
            </w:r>
            <w:r w:rsidRPr="00E837F8">
              <w:rPr>
                <w:color w:val="333333"/>
                <w:sz w:val="24"/>
                <w:szCs w:val="24"/>
              </w:rPr>
              <w:t>, 73, pp. 1–13. Available at: https://doi.org/10.1016/j.irfa.2020.101652</w:t>
            </w:r>
          </w:p>
        </w:tc>
        <w:tc>
          <w:tcPr>
            <w:tcW w:w="4577" w:type="dxa"/>
            <w:tcBorders>
              <w:top w:val="nil"/>
              <w:left w:val="nil"/>
              <w:bottom w:val="single" w:sz="4" w:space="0" w:color="000000"/>
              <w:right w:val="single" w:sz="4" w:space="0" w:color="000000"/>
            </w:tcBorders>
          </w:tcPr>
          <w:p w14:paraId="287BCDD8" w14:textId="77777777" w:rsidR="00567EF5" w:rsidRPr="00E837F8" w:rsidRDefault="006578A3">
            <w:pPr>
              <w:rPr>
                <w:color w:val="000000"/>
                <w:sz w:val="24"/>
                <w:szCs w:val="24"/>
              </w:rPr>
            </w:pPr>
            <w:r w:rsidRPr="00E837F8">
              <w:rPr>
                <w:color w:val="000000"/>
                <w:sz w:val="24"/>
                <w:szCs w:val="24"/>
              </w:rPr>
              <w:t>Stronger corporate governance lowers indebtedness by increasing internal and equity financing. Deleveraging is more prevalent among state-owned, huge, high-pollution, non-tech, heavy-asset, and main-board companies.</w:t>
            </w:r>
          </w:p>
        </w:tc>
      </w:tr>
      <w:tr w:rsidR="00567EF5" w:rsidRPr="00E837F8" w14:paraId="287BCDD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DA" w14:textId="77777777" w:rsidR="00567EF5" w:rsidRPr="00E837F8" w:rsidRDefault="006578A3">
            <w:pPr>
              <w:jc w:val="right"/>
              <w:rPr>
                <w:b/>
                <w:bCs/>
                <w:color w:val="000000"/>
                <w:sz w:val="24"/>
                <w:szCs w:val="24"/>
              </w:rPr>
            </w:pPr>
            <w:r w:rsidRPr="00E837F8">
              <w:rPr>
                <w:b/>
                <w:bCs/>
                <w:color w:val="000000"/>
                <w:sz w:val="24"/>
                <w:szCs w:val="24"/>
              </w:rPr>
              <w:t>61</w:t>
            </w:r>
          </w:p>
        </w:tc>
        <w:tc>
          <w:tcPr>
            <w:tcW w:w="4963" w:type="dxa"/>
            <w:tcBorders>
              <w:top w:val="nil"/>
              <w:left w:val="nil"/>
              <w:bottom w:val="single" w:sz="4" w:space="0" w:color="000000"/>
              <w:right w:val="single" w:sz="4" w:space="0" w:color="000000"/>
            </w:tcBorders>
          </w:tcPr>
          <w:p w14:paraId="287BCDDB" w14:textId="77777777" w:rsidR="00567EF5" w:rsidRPr="00E837F8" w:rsidRDefault="006578A3">
            <w:pPr>
              <w:rPr>
                <w:color w:val="333333"/>
                <w:sz w:val="24"/>
                <w:szCs w:val="24"/>
              </w:rPr>
            </w:pPr>
            <w:r w:rsidRPr="00E837F8">
              <w:rPr>
                <w:color w:val="333333"/>
                <w:sz w:val="24"/>
                <w:szCs w:val="24"/>
              </w:rPr>
              <w:t>Li, S. and Wang, B. (2019) ‘Evolutionary game simulation of corporate investing and financing behavior from a risk perspective’, </w:t>
            </w:r>
            <w:r w:rsidRPr="00E837F8">
              <w:rPr>
                <w:i/>
                <w:iCs/>
                <w:color w:val="333333"/>
                <w:sz w:val="24"/>
                <w:szCs w:val="24"/>
              </w:rPr>
              <w:t>Cluster computing</w:t>
            </w:r>
            <w:r w:rsidRPr="00E837F8">
              <w:rPr>
                <w:color w:val="333333"/>
                <w:sz w:val="24"/>
                <w:szCs w:val="24"/>
              </w:rPr>
              <w:t>, 22(Suppl 3), pp. 5955–5964. Available at: https://doi.org/10.1007/s10586-018-1734-x</w:t>
            </w:r>
          </w:p>
        </w:tc>
        <w:tc>
          <w:tcPr>
            <w:tcW w:w="4577" w:type="dxa"/>
            <w:tcBorders>
              <w:top w:val="nil"/>
              <w:left w:val="nil"/>
              <w:bottom w:val="single" w:sz="4" w:space="0" w:color="000000"/>
              <w:right w:val="single" w:sz="4" w:space="0" w:color="000000"/>
            </w:tcBorders>
          </w:tcPr>
          <w:p w14:paraId="287BCDDC" w14:textId="77777777" w:rsidR="00567EF5" w:rsidRPr="00E837F8" w:rsidRDefault="006578A3">
            <w:pPr>
              <w:rPr>
                <w:color w:val="000000"/>
                <w:sz w:val="24"/>
                <w:szCs w:val="24"/>
              </w:rPr>
            </w:pPr>
            <w:r w:rsidRPr="00E837F8">
              <w:rPr>
                <w:color w:val="000000"/>
                <w:sz w:val="24"/>
                <w:szCs w:val="24"/>
              </w:rPr>
              <w:t>Internal governance risk mostly impacts managers: insufficient limitations lead to managerial overinvestment, but owners' financing decisions stay largely unaltered despite governance flaws.</w:t>
            </w:r>
          </w:p>
        </w:tc>
      </w:tr>
      <w:tr w:rsidR="00567EF5" w:rsidRPr="00E837F8" w14:paraId="287BCDE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DE" w14:textId="77777777" w:rsidR="00567EF5" w:rsidRPr="00E837F8" w:rsidRDefault="006578A3">
            <w:pPr>
              <w:jc w:val="right"/>
              <w:rPr>
                <w:b/>
                <w:bCs/>
                <w:color w:val="000000"/>
                <w:sz w:val="24"/>
                <w:szCs w:val="24"/>
              </w:rPr>
            </w:pPr>
            <w:r w:rsidRPr="00E837F8">
              <w:rPr>
                <w:b/>
                <w:bCs/>
                <w:color w:val="000000"/>
                <w:sz w:val="24"/>
                <w:szCs w:val="24"/>
              </w:rPr>
              <w:t>62</w:t>
            </w:r>
          </w:p>
        </w:tc>
        <w:tc>
          <w:tcPr>
            <w:tcW w:w="4963" w:type="dxa"/>
            <w:tcBorders>
              <w:top w:val="nil"/>
              <w:left w:val="nil"/>
              <w:bottom w:val="single" w:sz="4" w:space="0" w:color="000000"/>
              <w:right w:val="single" w:sz="4" w:space="0" w:color="000000"/>
            </w:tcBorders>
          </w:tcPr>
          <w:p w14:paraId="287BCDDF" w14:textId="77777777" w:rsidR="00567EF5" w:rsidRPr="00E837F8" w:rsidRDefault="006578A3">
            <w:pPr>
              <w:rPr>
                <w:color w:val="333333"/>
                <w:sz w:val="24"/>
                <w:szCs w:val="24"/>
              </w:rPr>
            </w:pPr>
            <w:r w:rsidRPr="00E837F8">
              <w:rPr>
                <w:color w:val="333333"/>
                <w:sz w:val="24"/>
                <w:szCs w:val="24"/>
              </w:rPr>
              <w:t>Jaisinghani, D. and Kanjilal, K. (2017) ‘Non-linear dynamics of size, capital structure and profitability: Empirical evidence from Indian manufacturing sector’, </w:t>
            </w:r>
            <w:r w:rsidRPr="00E837F8">
              <w:rPr>
                <w:i/>
                <w:iCs/>
                <w:color w:val="333333"/>
                <w:sz w:val="24"/>
                <w:szCs w:val="24"/>
              </w:rPr>
              <w:t>Asia Pacific management review</w:t>
            </w:r>
            <w:r w:rsidRPr="00E837F8">
              <w:rPr>
                <w:color w:val="333333"/>
                <w:sz w:val="24"/>
                <w:szCs w:val="24"/>
              </w:rPr>
              <w:t>, 22(3), pp. 159–165. Available at: https://doi.org/10.1016/j.apmrv.2016.12.003</w:t>
            </w:r>
          </w:p>
        </w:tc>
        <w:tc>
          <w:tcPr>
            <w:tcW w:w="4577" w:type="dxa"/>
            <w:tcBorders>
              <w:top w:val="nil"/>
              <w:left w:val="nil"/>
              <w:bottom w:val="single" w:sz="4" w:space="0" w:color="000000"/>
              <w:right w:val="single" w:sz="4" w:space="0" w:color="000000"/>
            </w:tcBorders>
          </w:tcPr>
          <w:p w14:paraId="287BCDE0" w14:textId="77777777" w:rsidR="00567EF5" w:rsidRPr="00E837F8" w:rsidRDefault="006578A3">
            <w:pPr>
              <w:rPr>
                <w:color w:val="000000"/>
                <w:sz w:val="24"/>
                <w:szCs w:val="24"/>
              </w:rPr>
            </w:pPr>
            <w:r w:rsidRPr="00E837F8">
              <w:rPr>
                <w:color w:val="000000"/>
                <w:sz w:val="24"/>
                <w:szCs w:val="24"/>
              </w:rPr>
              <w:t>Debt reduces profitability for small businesses due to increased expenditures and monitoring requirements; the negative impact is significantly greater for small businesses than the beneficial benefit for large businesses.</w:t>
            </w:r>
          </w:p>
        </w:tc>
      </w:tr>
      <w:tr w:rsidR="00567EF5" w:rsidRPr="00E837F8" w14:paraId="287BCDE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E2" w14:textId="77777777" w:rsidR="00567EF5" w:rsidRPr="00E837F8" w:rsidRDefault="006578A3">
            <w:pPr>
              <w:jc w:val="right"/>
              <w:rPr>
                <w:b/>
                <w:bCs/>
                <w:color w:val="000000"/>
                <w:sz w:val="24"/>
                <w:szCs w:val="24"/>
              </w:rPr>
            </w:pPr>
            <w:r w:rsidRPr="00E837F8">
              <w:rPr>
                <w:b/>
                <w:bCs/>
                <w:color w:val="000000"/>
                <w:sz w:val="24"/>
                <w:szCs w:val="24"/>
              </w:rPr>
              <w:t>63</w:t>
            </w:r>
          </w:p>
        </w:tc>
        <w:tc>
          <w:tcPr>
            <w:tcW w:w="4963" w:type="dxa"/>
            <w:tcBorders>
              <w:top w:val="nil"/>
              <w:left w:val="nil"/>
              <w:bottom w:val="single" w:sz="4" w:space="0" w:color="000000"/>
              <w:right w:val="single" w:sz="4" w:space="0" w:color="000000"/>
            </w:tcBorders>
          </w:tcPr>
          <w:p w14:paraId="287BCDE3" w14:textId="77777777" w:rsidR="00567EF5" w:rsidRPr="00E837F8" w:rsidRDefault="006578A3">
            <w:pPr>
              <w:rPr>
                <w:color w:val="333333"/>
                <w:sz w:val="24"/>
                <w:szCs w:val="24"/>
              </w:rPr>
            </w:pPr>
            <w:r w:rsidRPr="00E837F8">
              <w:rPr>
                <w:color w:val="333333"/>
                <w:sz w:val="24"/>
                <w:szCs w:val="24"/>
              </w:rPr>
              <w:t>Mukherjee, T., Al Rahahleh, N. and Lane, W. (2016 ‘The Capital Budgeting Process of Healthcare Organizations: A Review of Surveys’, </w:t>
            </w:r>
            <w:r w:rsidRPr="00E837F8">
              <w:rPr>
                <w:i/>
                <w:iCs/>
                <w:color w:val="333333"/>
                <w:sz w:val="24"/>
                <w:szCs w:val="24"/>
              </w:rPr>
              <w:t>Journal of healthcare management</w:t>
            </w:r>
            <w:r w:rsidRPr="00E837F8">
              <w:rPr>
                <w:color w:val="333333"/>
                <w:sz w:val="24"/>
                <w:szCs w:val="24"/>
              </w:rPr>
              <w:t>, 61(1), pp. 58–76. Available at: https://doi.org/10.1097/00115514-201601000-00011</w:t>
            </w:r>
          </w:p>
        </w:tc>
        <w:tc>
          <w:tcPr>
            <w:tcW w:w="4577" w:type="dxa"/>
            <w:tcBorders>
              <w:top w:val="nil"/>
              <w:left w:val="nil"/>
              <w:bottom w:val="single" w:sz="4" w:space="0" w:color="000000"/>
              <w:right w:val="single" w:sz="4" w:space="0" w:color="000000"/>
            </w:tcBorders>
          </w:tcPr>
          <w:p w14:paraId="287BCDE4" w14:textId="77777777" w:rsidR="00567EF5" w:rsidRPr="00E837F8" w:rsidRDefault="006578A3">
            <w:pPr>
              <w:rPr>
                <w:color w:val="000000"/>
                <w:sz w:val="24"/>
                <w:szCs w:val="24"/>
              </w:rPr>
            </w:pPr>
            <w:r w:rsidRPr="00E837F8">
              <w:rPr>
                <w:color w:val="000000"/>
                <w:sz w:val="24"/>
                <w:szCs w:val="24"/>
              </w:rPr>
              <w:t xml:space="preserve">Investment decisions are influenced by strategic, competitive, regulatory, and experiential non-financial considerations, in addition to financial indicators. Discounted </w:t>
            </w:r>
            <w:r w:rsidRPr="00E837F8">
              <w:rPr>
                <w:sz w:val="24"/>
                <w:szCs w:val="24"/>
              </w:rPr>
              <w:t>cash flow</w:t>
            </w:r>
            <w:r w:rsidRPr="00E837F8">
              <w:rPr>
                <w:color w:val="000000"/>
                <w:sz w:val="24"/>
                <w:szCs w:val="24"/>
              </w:rPr>
              <w:t xml:space="preserve"> methodologies such as NPV and IRR are commonly used.</w:t>
            </w:r>
          </w:p>
        </w:tc>
      </w:tr>
      <w:tr w:rsidR="00567EF5" w:rsidRPr="00E837F8" w14:paraId="287BCDE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E6" w14:textId="77777777" w:rsidR="00567EF5" w:rsidRPr="00E837F8" w:rsidRDefault="006578A3">
            <w:pPr>
              <w:jc w:val="right"/>
              <w:rPr>
                <w:b/>
                <w:bCs/>
                <w:color w:val="000000"/>
                <w:sz w:val="24"/>
                <w:szCs w:val="24"/>
              </w:rPr>
            </w:pPr>
            <w:r w:rsidRPr="00E837F8">
              <w:rPr>
                <w:b/>
                <w:bCs/>
                <w:color w:val="000000"/>
                <w:sz w:val="24"/>
                <w:szCs w:val="24"/>
              </w:rPr>
              <w:t>64</w:t>
            </w:r>
          </w:p>
        </w:tc>
        <w:tc>
          <w:tcPr>
            <w:tcW w:w="4963" w:type="dxa"/>
            <w:tcBorders>
              <w:top w:val="nil"/>
              <w:left w:val="nil"/>
              <w:bottom w:val="single" w:sz="4" w:space="0" w:color="000000"/>
              <w:right w:val="single" w:sz="4" w:space="0" w:color="000000"/>
            </w:tcBorders>
          </w:tcPr>
          <w:p w14:paraId="287BCDE7" w14:textId="77777777" w:rsidR="00567EF5" w:rsidRPr="00E837F8" w:rsidRDefault="006578A3">
            <w:pPr>
              <w:rPr>
                <w:color w:val="333333"/>
                <w:sz w:val="24"/>
                <w:szCs w:val="24"/>
              </w:rPr>
            </w:pPr>
            <w:r w:rsidRPr="00E837F8">
              <w:rPr>
                <w:color w:val="333333"/>
                <w:sz w:val="24"/>
                <w:szCs w:val="24"/>
              </w:rPr>
              <w:t>Khalfan, T. and Sturluson, J.Þ. (2018) ‘Corporate finance approaches of Icelandic private firms after the financial crisis’, </w:t>
            </w:r>
            <w:r w:rsidRPr="00E837F8">
              <w:rPr>
                <w:i/>
                <w:iCs/>
                <w:color w:val="333333"/>
                <w:sz w:val="24"/>
                <w:szCs w:val="24"/>
              </w:rPr>
              <w:t>Managerial finance</w:t>
            </w:r>
            <w:r w:rsidRPr="00E837F8">
              <w:rPr>
                <w:color w:val="333333"/>
                <w:sz w:val="24"/>
                <w:szCs w:val="24"/>
              </w:rPr>
              <w:t>, 44(11), pp. 1274–1291. Available at: https://doi.org/10.1108/MF-05-2017-0167</w:t>
            </w:r>
          </w:p>
        </w:tc>
        <w:tc>
          <w:tcPr>
            <w:tcW w:w="4577" w:type="dxa"/>
            <w:tcBorders>
              <w:top w:val="nil"/>
              <w:left w:val="nil"/>
              <w:bottom w:val="single" w:sz="4" w:space="0" w:color="000000"/>
              <w:right w:val="single" w:sz="4" w:space="0" w:color="000000"/>
            </w:tcBorders>
          </w:tcPr>
          <w:p w14:paraId="287BCDE8" w14:textId="77777777" w:rsidR="00567EF5" w:rsidRPr="00E837F8" w:rsidRDefault="006578A3">
            <w:pPr>
              <w:rPr>
                <w:color w:val="000000"/>
                <w:sz w:val="24"/>
                <w:szCs w:val="24"/>
              </w:rPr>
            </w:pPr>
            <w:r w:rsidRPr="00E837F8">
              <w:rPr>
                <w:color w:val="000000"/>
                <w:sz w:val="24"/>
                <w:szCs w:val="24"/>
              </w:rPr>
              <w:t>Firms sometimes misapply capital-cost approaches, leading to investment mispricing, as they typically base their capital costs on debt rather than equity.</w:t>
            </w:r>
          </w:p>
        </w:tc>
      </w:tr>
      <w:tr w:rsidR="00567EF5" w:rsidRPr="00E837F8" w14:paraId="287BCDE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EA" w14:textId="77777777" w:rsidR="00567EF5" w:rsidRPr="00E837F8" w:rsidRDefault="006578A3">
            <w:pPr>
              <w:jc w:val="right"/>
              <w:rPr>
                <w:b/>
                <w:bCs/>
                <w:color w:val="000000"/>
                <w:sz w:val="24"/>
                <w:szCs w:val="24"/>
              </w:rPr>
            </w:pPr>
            <w:r w:rsidRPr="00E837F8">
              <w:rPr>
                <w:b/>
                <w:bCs/>
                <w:color w:val="000000"/>
                <w:sz w:val="24"/>
                <w:szCs w:val="24"/>
              </w:rPr>
              <w:lastRenderedPageBreak/>
              <w:t>65</w:t>
            </w:r>
          </w:p>
        </w:tc>
        <w:tc>
          <w:tcPr>
            <w:tcW w:w="4963" w:type="dxa"/>
            <w:tcBorders>
              <w:top w:val="nil"/>
              <w:left w:val="nil"/>
              <w:bottom w:val="single" w:sz="4" w:space="0" w:color="000000"/>
              <w:right w:val="single" w:sz="4" w:space="0" w:color="000000"/>
            </w:tcBorders>
          </w:tcPr>
          <w:p w14:paraId="287BCDEB" w14:textId="77777777" w:rsidR="00567EF5" w:rsidRPr="00E837F8" w:rsidRDefault="006578A3">
            <w:pPr>
              <w:rPr>
                <w:color w:val="333333"/>
                <w:sz w:val="24"/>
                <w:szCs w:val="24"/>
              </w:rPr>
            </w:pPr>
            <w:r w:rsidRPr="00E837F8">
              <w:rPr>
                <w:color w:val="333333"/>
                <w:sz w:val="24"/>
                <w:szCs w:val="24"/>
              </w:rPr>
              <w:t>Busenbark, J.R., Wiseman, R.M., Arrfelt, M. and Woo, H.S. (2017) ‘A Review of the Internal Capital Allocation Literature: Piecing Together the Capital Allocation Puzzle’, </w:t>
            </w:r>
            <w:r w:rsidRPr="00E837F8">
              <w:rPr>
                <w:i/>
                <w:iCs/>
                <w:color w:val="333333"/>
                <w:sz w:val="24"/>
                <w:szCs w:val="24"/>
              </w:rPr>
              <w:t>Journal of management</w:t>
            </w:r>
            <w:r w:rsidRPr="00E837F8">
              <w:rPr>
                <w:color w:val="333333"/>
                <w:sz w:val="24"/>
                <w:szCs w:val="24"/>
              </w:rPr>
              <w:t>, 43(8), pp. 2430–2455. Available at: https://doi.org/10.1177/0149206316671584</w:t>
            </w:r>
          </w:p>
        </w:tc>
        <w:tc>
          <w:tcPr>
            <w:tcW w:w="4577" w:type="dxa"/>
            <w:tcBorders>
              <w:top w:val="nil"/>
              <w:left w:val="nil"/>
              <w:bottom w:val="single" w:sz="4" w:space="0" w:color="000000"/>
              <w:right w:val="single" w:sz="4" w:space="0" w:color="000000"/>
            </w:tcBorders>
          </w:tcPr>
          <w:p w14:paraId="287BCDEC" w14:textId="77777777" w:rsidR="00567EF5" w:rsidRPr="00E837F8" w:rsidRDefault="006578A3">
            <w:pPr>
              <w:rPr>
                <w:color w:val="000000"/>
                <w:sz w:val="24"/>
                <w:szCs w:val="24"/>
              </w:rPr>
            </w:pPr>
            <w:r w:rsidRPr="00E837F8">
              <w:rPr>
                <w:color w:val="000000"/>
                <w:sz w:val="24"/>
                <w:szCs w:val="24"/>
              </w:rPr>
              <w:t>Managers utilise many allocation strategies, but agency, behavioral, and political frictions can skew decisions. Scholars often confuse capital allocation performance with internal capital market efficiency.</w:t>
            </w:r>
          </w:p>
        </w:tc>
      </w:tr>
      <w:tr w:rsidR="00567EF5" w:rsidRPr="00E837F8" w14:paraId="287BCDF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EE" w14:textId="77777777" w:rsidR="00567EF5" w:rsidRPr="00E837F8" w:rsidRDefault="006578A3">
            <w:pPr>
              <w:jc w:val="right"/>
              <w:rPr>
                <w:b/>
                <w:bCs/>
                <w:color w:val="000000"/>
                <w:sz w:val="24"/>
                <w:szCs w:val="24"/>
              </w:rPr>
            </w:pPr>
            <w:r w:rsidRPr="00E837F8">
              <w:rPr>
                <w:b/>
                <w:bCs/>
                <w:color w:val="000000"/>
                <w:sz w:val="24"/>
                <w:szCs w:val="24"/>
              </w:rPr>
              <w:t>66</w:t>
            </w:r>
          </w:p>
        </w:tc>
        <w:tc>
          <w:tcPr>
            <w:tcW w:w="4963" w:type="dxa"/>
            <w:tcBorders>
              <w:top w:val="nil"/>
              <w:left w:val="nil"/>
              <w:bottom w:val="single" w:sz="4" w:space="0" w:color="000000"/>
              <w:right w:val="single" w:sz="4" w:space="0" w:color="000000"/>
            </w:tcBorders>
          </w:tcPr>
          <w:p w14:paraId="287BCDEF" w14:textId="77777777" w:rsidR="00567EF5" w:rsidRPr="00E837F8" w:rsidRDefault="006578A3">
            <w:pPr>
              <w:rPr>
                <w:color w:val="333333"/>
                <w:sz w:val="24"/>
                <w:szCs w:val="24"/>
              </w:rPr>
            </w:pPr>
            <w:r w:rsidRPr="00E837F8">
              <w:rPr>
                <w:color w:val="333333"/>
                <w:sz w:val="24"/>
                <w:szCs w:val="24"/>
              </w:rPr>
              <w:t>Bartocci, L., Grossi, G., Mauro, S.G. and Ebdon, C. (2023) ‘The journey of participatory budgeting: a systematic literature review and future research directions’, </w:t>
            </w:r>
            <w:r w:rsidRPr="00E837F8">
              <w:rPr>
                <w:i/>
                <w:iCs/>
                <w:color w:val="333333"/>
                <w:sz w:val="24"/>
                <w:szCs w:val="24"/>
              </w:rPr>
              <w:t>International review of administrative sciences</w:t>
            </w:r>
            <w:r w:rsidRPr="00E837F8">
              <w:rPr>
                <w:color w:val="333333"/>
                <w:sz w:val="24"/>
                <w:szCs w:val="24"/>
              </w:rPr>
              <w:t>, 89(3), pp. 757–774. Available at: https://doi.org/10.1177/00208523221078938</w:t>
            </w:r>
          </w:p>
        </w:tc>
        <w:tc>
          <w:tcPr>
            <w:tcW w:w="4577" w:type="dxa"/>
            <w:tcBorders>
              <w:top w:val="nil"/>
              <w:left w:val="nil"/>
              <w:bottom w:val="single" w:sz="4" w:space="0" w:color="000000"/>
              <w:right w:val="single" w:sz="4" w:space="0" w:color="000000"/>
            </w:tcBorders>
          </w:tcPr>
          <w:p w14:paraId="287BCDF0" w14:textId="77777777" w:rsidR="00567EF5" w:rsidRPr="00E837F8" w:rsidRDefault="006578A3">
            <w:pPr>
              <w:rPr>
                <w:color w:val="000000"/>
                <w:sz w:val="24"/>
                <w:szCs w:val="24"/>
              </w:rPr>
            </w:pPr>
            <w:r w:rsidRPr="00E837F8">
              <w:rPr>
                <w:color w:val="000000"/>
                <w:sz w:val="24"/>
                <w:szCs w:val="24"/>
              </w:rPr>
              <w:t>Environmental and organisational factors such as political culture, decentralization, civil society strength, management professionalism, and internal leadership competence all influence the adoption of participatory budgeting.</w:t>
            </w:r>
          </w:p>
        </w:tc>
      </w:tr>
      <w:tr w:rsidR="00567EF5" w:rsidRPr="00E837F8" w14:paraId="287BCDF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F2" w14:textId="77777777" w:rsidR="00567EF5" w:rsidRPr="00E837F8" w:rsidRDefault="006578A3">
            <w:pPr>
              <w:jc w:val="right"/>
              <w:rPr>
                <w:b/>
                <w:bCs/>
                <w:color w:val="000000"/>
                <w:sz w:val="24"/>
                <w:szCs w:val="24"/>
              </w:rPr>
            </w:pPr>
            <w:r w:rsidRPr="00E837F8">
              <w:rPr>
                <w:b/>
                <w:bCs/>
                <w:color w:val="000000"/>
                <w:sz w:val="24"/>
                <w:szCs w:val="24"/>
              </w:rPr>
              <w:t>67</w:t>
            </w:r>
          </w:p>
        </w:tc>
        <w:tc>
          <w:tcPr>
            <w:tcW w:w="4963" w:type="dxa"/>
            <w:tcBorders>
              <w:top w:val="nil"/>
              <w:left w:val="nil"/>
              <w:bottom w:val="single" w:sz="4" w:space="0" w:color="000000"/>
              <w:right w:val="single" w:sz="4" w:space="0" w:color="000000"/>
            </w:tcBorders>
          </w:tcPr>
          <w:p w14:paraId="287BCDF3" w14:textId="77777777" w:rsidR="00567EF5" w:rsidRPr="00E837F8" w:rsidRDefault="006578A3">
            <w:pPr>
              <w:rPr>
                <w:color w:val="333333"/>
                <w:sz w:val="24"/>
                <w:szCs w:val="24"/>
              </w:rPr>
            </w:pPr>
            <w:r w:rsidRPr="00E837F8">
              <w:rPr>
                <w:color w:val="333333"/>
                <w:sz w:val="24"/>
                <w:szCs w:val="24"/>
              </w:rPr>
              <w:t>Uhde, D.A., Klarner, P. and Tuschke, A. (2017) ‘Board monitoring of the chief financial officer: A review and research agenda’, </w:t>
            </w:r>
            <w:r w:rsidRPr="00E837F8">
              <w:rPr>
                <w:i/>
                <w:iCs/>
                <w:color w:val="333333"/>
                <w:sz w:val="24"/>
                <w:szCs w:val="24"/>
              </w:rPr>
              <w:t>Corporate governance : an international review</w:t>
            </w:r>
            <w:r w:rsidRPr="00E837F8">
              <w:rPr>
                <w:color w:val="333333"/>
                <w:sz w:val="24"/>
                <w:szCs w:val="24"/>
              </w:rPr>
              <w:t>, 25(2), pp. 116–133. Available at: https://doi.org/10.1111/corg.12188</w:t>
            </w:r>
          </w:p>
        </w:tc>
        <w:tc>
          <w:tcPr>
            <w:tcW w:w="4577" w:type="dxa"/>
            <w:tcBorders>
              <w:top w:val="nil"/>
              <w:left w:val="nil"/>
              <w:bottom w:val="single" w:sz="4" w:space="0" w:color="000000"/>
              <w:right w:val="single" w:sz="4" w:space="0" w:color="000000"/>
            </w:tcBorders>
          </w:tcPr>
          <w:p w14:paraId="287BCDF4" w14:textId="77777777" w:rsidR="00567EF5" w:rsidRPr="00E837F8" w:rsidRDefault="006578A3">
            <w:pPr>
              <w:rPr>
                <w:color w:val="000000"/>
                <w:sz w:val="24"/>
                <w:szCs w:val="24"/>
              </w:rPr>
            </w:pPr>
            <w:r w:rsidRPr="00E837F8">
              <w:rPr>
                <w:color w:val="000000"/>
                <w:sz w:val="24"/>
                <w:szCs w:val="24"/>
              </w:rPr>
              <w:t>CFOs have evolved into significant executives who are influencing strategy, capital allocation, and important decisions and putting further pressure on boards to tighten oversight and monitor their growing influence.</w:t>
            </w:r>
          </w:p>
        </w:tc>
      </w:tr>
      <w:tr w:rsidR="00567EF5" w:rsidRPr="00E837F8" w14:paraId="287BCDF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6" w14:textId="77777777" w:rsidR="00567EF5" w:rsidRPr="00E837F8" w:rsidRDefault="006578A3">
            <w:pPr>
              <w:jc w:val="right"/>
              <w:rPr>
                <w:b/>
                <w:bCs/>
                <w:color w:val="000000"/>
                <w:sz w:val="24"/>
                <w:szCs w:val="24"/>
              </w:rPr>
            </w:pPr>
            <w:r w:rsidRPr="00E837F8">
              <w:rPr>
                <w:b/>
                <w:bCs/>
                <w:color w:val="000000"/>
                <w:sz w:val="24"/>
                <w:szCs w:val="24"/>
              </w:rPr>
              <w:t>68</w:t>
            </w:r>
          </w:p>
        </w:tc>
        <w:tc>
          <w:tcPr>
            <w:tcW w:w="4963" w:type="dxa"/>
            <w:tcBorders>
              <w:top w:val="nil"/>
              <w:left w:val="nil"/>
              <w:bottom w:val="single" w:sz="4" w:space="0" w:color="000000"/>
              <w:right w:val="single" w:sz="4" w:space="0" w:color="000000"/>
            </w:tcBorders>
          </w:tcPr>
          <w:p w14:paraId="287BCDF7" w14:textId="77777777" w:rsidR="00567EF5" w:rsidRPr="00E837F8" w:rsidRDefault="006578A3">
            <w:pPr>
              <w:rPr>
                <w:color w:val="333333"/>
                <w:sz w:val="24"/>
                <w:szCs w:val="24"/>
              </w:rPr>
            </w:pPr>
            <w:r w:rsidRPr="00E837F8">
              <w:rPr>
                <w:color w:val="333333"/>
                <w:sz w:val="24"/>
                <w:szCs w:val="24"/>
              </w:rPr>
              <w:t>Coelho, R., Jayantilal, S. and Ferreira, J.J. (2023) ‘The impact of social responsibility on corporate financial performance: A systematic literature review’, </w:t>
            </w:r>
            <w:r w:rsidRPr="00E837F8">
              <w:rPr>
                <w:i/>
                <w:iCs/>
                <w:color w:val="333333"/>
                <w:sz w:val="24"/>
                <w:szCs w:val="24"/>
              </w:rPr>
              <w:t>Corporate social-responsibility and environmental management</w:t>
            </w:r>
            <w:r w:rsidRPr="00E837F8">
              <w:rPr>
                <w:color w:val="333333"/>
                <w:sz w:val="24"/>
                <w:szCs w:val="24"/>
              </w:rPr>
              <w:t>, 30(4), pp. 1535–1560. Available at: https://doi.org/10.1002/csr.2446</w:t>
            </w:r>
          </w:p>
        </w:tc>
        <w:tc>
          <w:tcPr>
            <w:tcW w:w="4577" w:type="dxa"/>
            <w:tcBorders>
              <w:top w:val="nil"/>
              <w:left w:val="nil"/>
              <w:bottom w:val="single" w:sz="4" w:space="0" w:color="000000"/>
              <w:right w:val="single" w:sz="4" w:space="0" w:color="000000"/>
            </w:tcBorders>
          </w:tcPr>
          <w:p w14:paraId="287BCDF8" w14:textId="77777777" w:rsidR="00567EF5" w:rsidRPr="00E837F8" w:rsidRDefault="006578A3">
            <w:pPr>
              <w:rPr>
                <w:color w:val="000000"/>
                <w:sz w:val="24"/>
                <w:szCs w:val="24"/>
              </w:rPr>
            </w:pPr>
            <w:r w:rsidRPr="00E837F8">
              <w:rPr>
                <w:color w:val="000000"/>
                <w:sz w:val="24"/>
                <w:szCs w:val="24"/>
              </w:rPr>
              <w:t xml:space="preserve">Stronger </w:t>
            </w:r>
            <w:r w:rsidRPr="00E837F8">
              <w:rPr>
                <w:sz w:val="24"/>
                <w:szCs w:val="24"/>
              </w:rPr>
              <w:t>environmental,</w:t>
            </w:r>
            <w:r w:rsidRPr="00E837F8">
              <w:rPr>
                <w:color w:val="000000"/>
                <w:sz w:val="24"/>
                <w:szCs w:val="24"/>
              </w:rPr>
              <w:t xml:space="preserve"> </w:t>
            </w:r>
            <w:r w:rsidRPr="00E837F8">
              <w:rPr>
                <w:sz w:val="24"/>
                <w:szCs w:val="24"/>
              </w:rPr>
              <w:t>social,</w:t>
            </w:r>
            <w:r w:rsidRPr="00E837F8">
              <w:rPr>
                <w:color w:val="000000"/>
                <w:sz w:val="24"/>
                <w:szCs w:val="24"/>
              </w:rPr>
              <w:t xml:space="preserve"> and </w:t>
            </w:r>
            <w:r w:rsidRPr="00E837F8">
              <w:rPr>
                <w:sz w:val="24"/>
                <w:szCs w:val="24"/>
              </w:rPr>
              <w:t>governance</w:t>
            </w:r>
            <w:r w:rsidRPr="00E837F8">
              <w:rPr>
                <w:color w:val="000000"/>
                <w:sz w:val="24"/>
                <w:szCs w:val="24"/>
              </w:rPr>
              <w:t xml:space="preserve"> policies improve financial performance by lowering agency costs and information asymmetry, while transparency and collaboration between stakeholders increase finance access and cut enterprises' cost of equity.</w:t>
            </w:r>
          </w:p>
        </w:tc>
      </w:tr>
      <w:tr w:rsidR="00567EF5" w:rsidRPr="00E837F8" w14:paraId="287BCDF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A" w14:textId="77777777" w:rsidR="00567EF5" w:rsidRPr="00E837F8" w:rsidRDefault="006578A3">
            <w:pPr>
              <w:jc w:val="right"/>
              <w:rPr>
                <w:b/>
                <w:bCs/>
                <w:color w:val="000000"/>
                <w:sz w:val="24"/>
                <w:szCs w:val="24"/>
              </w:rPr>
            </w:pPr>
            <w:r w:rsidRPr="00E837F8">
              <w:rPr>
                <w:b/>
                <w:bCs/>
                <w:color w:val="000000"/>
                <w:sz w:val="24"/>
                <w:szCs w:val="24"/>
              </w:rPr>
              <w:t>69</w:t>
            </w:r>
          </w:p>
        </w:tc>
        <w:tc>
          <w:tcPr>
            <w:tcW w:w="4963" w:type="dxa"/>
            <w:tcBorders>
              <w:top w:val="nil"/>
              <w:left w:val="nil"/>
              <w:bottom w:val="single" w:sz="4" w:space="0" w:color="000000"/>
              <w:right w:val="single" w:sz="4" w:space="0" w:color="000000"/>
            </w:tcBorders>
          </w:tcPr>
          <w:p w14:paraId="287BCDFB" w14:textId="77777777" w:rsidR="00567EF5" w:rsidRPr="00E837F8" w:rsidRDefault="006578A3">
            <w:pPr>
              <w:rPr>
                <w:color w:val="333333"/>
                <w:sz w:val="24"/>
                <w:szCs w:val="24"/>
              </w:rPr>
            </w:pPr>
            <w:r w:rsidRPr="00E837F8">
              <w:rPr>
                <w:color w:val="333333"/>
                <w:sz w:val="24"/>
                <w:szCs w:val="24"/>
              </w:rPr>
              <w:t>Roper, S. and Turner, J. (2020) ‘R&amp;D and innovation after COVID-19: What can we expect? A review of prior research and data trends after the great financial crisis’, </w:t>
            </w:r>
            <w:r w:rsidRPr="00E837F8">
              <w:rPr>
                <w:i/>
                <w:iCs/>
                <w:color w:val="333333"/>
                <w:sz w:val="24"/>
                <w:szCs w:val="24"/>
              </w:rPr>
              <w:t>International small business journal</w:t>
            </w:r>
            <w:r w:rsidRPr="00E837F8">
              <w:rPr>
                <w:color w:val="333333"/>
                <w:sz w:val="24"/>
                <w:szCs w:val="24"/>
              </w:rPr>
              <w:t>, 38(6), pp. 504–514. Available at: https://doi.org/10.1177/0266242620947946</w:t>
            </w:r>
          </w:p>
        </w:tc>
        <w:tc>
          <w:tcPr>
            <w:tcW w:w="4577" w:type="dxa"/>
            <w:tcBorders>
              <w:top w:val="nil"/>
              <w:left w:val="nil"/>
              <w:bottom w:val="single" w:sz="4" w:space="0" w:color="000000"/>
              <w:right w:val="single" w:sz="4" w:space="0" w:color="000000"/>
            </w:tcBorders>
          </w:tcPr>
          <w:p w14:paraId="287BCDFC" w14:textId="77777777" w:rsidR="00567EF5" w:rsidRPr="00E837F8" w:rsidRDefault="006578A3">
            <w:pPr>
              <w:rPr>
                <w:color w:val="000000"/>
                <w:sz w:val="24"/>
                <w:szCs w:val="24"/>
              </w:rPr>
            </w:pPr>
            <w:r w:rsidRPr="00E837F8">
              <w:rPr>
                <w:color w:val="000000"/>
                <w:sz w:val="24"/>
                <w:szCs w:val="24"/>
              </w:rPr>
              <w:t xml:space="preserve">R&amp;D is strongly procyclical, declining drastically during crises, especially for credit-constrained small enterprises. However, strong pre-crisis capital reserves assist </w:t>
            </w:r>
            <w:r w:rsidRPr="00E837F8">
              <w:rPr>
                <w:sz w:val="24"/>
                <w:szCs w:val="24"/>
              </w:rPr>
              <w:t>in sustaining</w:t>
            </w:r>
            <w:r w:rsidRPr="00E837F8">
              <w:rPr>
                <w:color w:val="000000"/>
                <w:sz w:val="24"/>
                <w:szCs w:val="24"/>
              </w:rPr>
              <w:t xml:space="preserve"> innovation and </w:t>
            </w:r>
            <w:r w:rsidRPr="00E837F8">
              <w:rPr>
                <w:sz w:val="24"/>
                <w:szCs w:val="24"/>
              </w:rPr>
              <w:t>boosting</w:t>
            </w:r>
            <w:r w:rsidRPr="00E837F8">
              <w:rPr>
                <w:color w:val="000000"/>
                <w:sz w:val="24"/>
                <w:szCs w:val="24"/>
              </w:rPr>
              <w:t xml:space="preserve"> long-term survival and growth.</w:t>
            </w:r>
          </w:p>
        </w:tc>
      </w:tr>
      <w:tr w:rsidR="00567EF5" w:rsidRPr="00E837F8" w14:paraId="287BCE0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E" w14:textId="77777777" w:rsidR="00567EF5" w:rsidRPr="00E837F8" w:rsidRDefault="006578A3">
            <w:pPr>
              <w:jc w:val="right"/>
              <w:rPr>
                <w:b/>
                <w:bCs/>
                <w:color w:val="000000"/>
                <w:sz w:val="24"/>
                <w:szCs w:val="24"/>
              </w:rPr>
            </w:pPr>
            <w:r w:rsidRPr="00E837F8">
              <w:rPr>
                <w:b/>
                <w:bCs/>
                <w:color w:val="000000"/>
                <w:sz w:val="24"/>
                <w:szCs w:val="24"/>
              </w:rPr>
              <w:t>70</w:t>
            </w:r>
          </w:p>
        </w:tc>
        <w:tc>
          <w:tcPr>
            <w:tcW w:w="4963" w:type="dxa"/>
            <w:tcBorders>
              <w:top w:val="nil"/>
              <w:left w:val="nil"/>
              <w:bottom w:val="single" w:sz="4" w:space="0" w:color="000000"/>
              <w:right w:val="single" w:sz="4" w:space="0" w:color="000000"/>
            </w:tcBorders>
          </w:tcPr>
          <w:p w14:paraId="287BCDFF" w14:textId="77777777" w:rsidR="00567EF5" w:rsidRPr="00E837F8" w:rsidRDefault="006578A3">
            <w:pPr>
              <w:rPr>
                <w:color w:val="333333"/>
                <w:sz w:val="24"/>
                <w:szCs w:val="24"/>
              </w:rPr>
            </w:pPr>
            <w:r w:rsidRPr="00E837F8">
              <w:rPr>
                <w:color w:val="333333"/>
                <w:sz w:val="24"/>
                <w:szCs w:val="24"/>
              </w:rPr>
              <w:t>Molina-García, A., Diéguez-Soto, J., Galache-Laza, M.T. and Campos-Valenzuela, M. (2023) ‘Financial literacy in SMEs: a bibliometric analysis and a systematic literature review of an emerging research field’, </w:t>
            </w:r>
            <w:r w:rsidRPr="00E837F8">
              <w:rPr>
                <w:i/>
                <w:iCs/>
                <w:color w:val="333333"/>
                <w:sz w:val="24"/>
                <w:szCs w:val="24"/>
              </w:rPr>
              <w:t>Review of managerial science</w:t>
            </w:r>
            <w:r w:rsidRPr="00E837F8">
              <w:rPr>
                <w:color w:val="333333"/>
                <w:sz w:val="24"/>
                <w:szCs w:val="24"/>
              </w:rPr>
              <w:t>, 17(3), pp. 787–826. Available at: https://doi.org/10.1007/s11846-022-00556-2</w:t>
            </w:r>
          </w:p>
        </w:tc>
        <w:tc>
          <w:tcPr>
            <w:tcW w:w="4577" w:type="dxa"/>
            <w:tcBorders>
              <w:top w:val="nil"/>
              <w:left w:val="nil"/>
              <w:bottom w:val="single" w:sz="4" w:space="0" w:color="000000"/>
              <w:right w:val="single" w:sz="4" w:space="0" w:color="000000"/>
            </w:tcBorders>
          </w:tcPr>
          <w:p w14:paraId="287BCE00" w14:textId="77777777" w:rsidR="00567EF5" w:rsidRPr="00E837F8" w:rsidRDefault="006578A3">
            <w:pPr>
              <w:rPr>
                <w:color w:val="000000"/>
                <w:sz w:val="24"/>
                <w:szCs w:val="24"/>
              </w:rPr>
            </w:pPr>
            <w:r w:rsidRPr="00E837F8">
              <w:rPr>
                <w:color w:val="000000"/>
                <w:sz w:val="24"/>
                <w:szCs w:val="24"/>
              </w:rPr>
              <w:t>Financial literacy improves SMEs' performance, finance availability, innovation, risk mitigation, and opportunity identification, frequently through intermediary channels such as ERM, capital structure decisions, and better financial practices.</w:t>
            </w:r>
          </w:p>
        </w:tc>
      </w:tr>
      <w:tr w:rsidR="00567EF5" w:rsidRPr="00E837F8" w14:paraId="287BCE0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2" w14:textId="77777777" w:rsidR="00567EF5" w:rsidRPr="00E837F8" w:rsidRDefault="006578A3">
            <w:pPr>
              <w:jc w:val="right"/>
              <w:rPr>
                <w:b/>
                <w:bCs/>
                <w:color w:val="000000"/>
                <w:sz w:val="24"/>
                <w:szCs w:val="24"/>
              </w:rPr>
            </w:pPr>
            <w:r w:rsidRPr="00E837F8">
              <w:rPr>
                <w:b/>
                <w:bCs/>
                <w:color w:val="000000"/>
                <w:sz w:val="24"/>
                <w:szCs w:val="24"/>
              </w:rPr>
              <w:lastRenderedPageBreak/>
              <w:t>71</w:t>
            </w:r>
          </w:p>
        </w:tc>
        <w:tc>
          <w:tcPr>
            <w:tcW w:w="4963" w:type="dxa"/>
            <w:tcBorders>
              <w:top w:val="nil"/>
              <w:left w:val="nil"/>
              <w:bottom w:val="single" w:sz="4" w:space="0" w:color="000000"/>
              <w:right w:val="single" w:sz="4" w:space="0" w:color="000000"/>
            </w:tcBorders>
          </w:tcPr>
          <w:p w14:paraId="287BCE03" w14:textId="77777777" w:rsidR="00567EF5" w:rsidRPr="00E837F8" w:rsidRDefault="006578A3">
            <w:pPr>
              <w:rPr>
                <w:color w:val="333333"/>
                <w:sz w:val="24"/>
                <w:szCs w:val="24"/>
              </w:rPr>
            </w:pPr>
            <w:r w:rsidRPr="00E837F8">
              <w:rPr>
                <w:color w:val="333333"/>
                <w:sz w:val="24"/>
                <w:szCs w:val="24"/>
              </w:rPr>
              <w:t>Tipu, S.A.A. (2022) ‘Organizational change for environmental, social, and financial sustainability: A systematic literature review’, </w:t>
            </w:r>
            <w:r w:rsidRPr="00E837F8">
              <w:rPr>
                <w:i/>
                <w:iCs/>
                <w:color w:val="333333"/>
                <w:sz w:val="24"/>
                <w:szCs w:val="24"/>
              </w:rPr>
              <w:t>Review of managerial science</w:t>
            </w:r>
            <w:r w:rsidRPr="00E837F8">
              <w:rPr>
                <w:color w:val="333333"/>
                <w:sz w:val="24"/>
                <w:szCs w:val="24"/>
              </w:rPr>
              <w:t>, 16(6), pp. 1697–1742. Available at: https://doi.org/10.1007/s11846-021-00494-5</w:t>
            </w:r>
          </w:p>
        </w:tc>
        <w:tc>
          <w:tcPr>
            <w:tcW w:w="4577" w:type="dxa"/>
            <w:tcBorders>
              <w:top w:val="nil"/>
              <w:left w:val="nil"/>
              <w:bottom w:val="single" w:sz="4" w:space="0" w:color="000000"/>
              <w:right w:val="single" w:sz="4" w:space="0" w:color="000000"/>
            </w:tcBorders>
          </w:tcPr>
          <w:p w14:paraId="287BCE04" w14:textId="77777777" w:rsidR="00567EF5" w:rsidRPr="00E837F8" w:rsidRDefault="006578A3">
            <w:pPr>
              <w:rPr>
                <w:color w:val="000000"/>
                <w:sz w:val="24"/>
                <w:szCs w:val="24"/>
              </w:rPr>
            </w:pPr>
            <w:r w:rsidRPr="00E837F8">
              <w:rPr>
                <w:color w:val="000000"/>
                <w:sz w:val="24"/>
                <w:szCs w:val="24"/>
              </w:rPr>
              <w:t xml:space="preserve">Sustainability-oriented change is primarily driven by learning, culture, and leadership. However, rules, the pressure of stakeholders, customer behavior, and </w:t>
            </w:r>
            <w:r w:rsidRPr="00E837F8">
              <w:rPr>
                <w:sz w:val="24"/>
                <w:szCs w:val="24"/>
              </w:rPr>
              <w:t>the industrial</w:t>
            </w:r>
            <w:r w:rsidRPr="00E837F8">
              <w:rPr>
                <w:color w:val="000000"/>
                <w:sz w:val="24"/>
                <w:szCs w:val="24"/>
              </w:rPr>
              <w:t xml:space="preserve"> environment also play a key role in its effectiveness.</w:t>
            </w:r>
          </w:p>
        </w:tc>
      </w:tr>
      <w:tr w:rsidR="00567EF5" w:rsidRPr="00E837F8" w14:paraId="287BCE0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6" w14:textId="77777777" w:rsidR="00567EF5" w:rsidRPr="00E837F8" w:rsidRDefault="006578A3">
            <w:pPr>
              <w:jc w:val="right"/>
              <w:rPr>
                <w:b/>
                <w:bCs/>
                <w:color w:val="000000"/>
                <w:sz w:val="24"/>
                <w:szCs w:val="24"/>
              </w:rPr>
            </w:pPr>
            <w:r w:rsidRPr="00E837F8">
              <w:rPr>
                <w:b/>
                <w:bCs/>
                <w:color w:val="000000"/>
                <w:sz w:val="24"/>
                <w:szCs w:val="24"/>
              </w:rPr>
              <w:t>72</w:t>
            </w:r>
          </w:p>
        </w:tc>
        <w:tc>
          <w:tcPr>
            <w:tcW w:w="4963" w:type="dxa"/>
            <w:tcBorders>
              <w:top w:val="nil"/>
              <w:left w:val="nil"/>
              <w:bottom w:val="single" w:sz="4" w:space="0" w:color="000000"/>
              <w:right w:val="single" w:sz="4" w:space="0" w:color="000000"/>
            </w:tcBorders>
          </w:tcPr>
          <w:p w14:paraId="287BCE07" w14:textId="77777777" w:rsidR="00567EF5" w:rsidRPr="00E837F8" w:rsidRDefault="006578A3">
            <w:pPr>
              <w:rPr>
                <w:color w:val="333333"/>
                <w:sz w:val="24"/>
                <w:szCs w:val="24"/>
              </w:rPr>
            </w:pPr>
            <w:r w:rsidRPr="00E837F8">
              <w:rPr>
                <w:color w:val="333333"/>
                <w:sz w:val="24"/>
                <w:szCs w:val="24"/>
              </w:rPr>
              <w:t>Broby, D. (2022) ‘The use of predictive analytics in finance’, </w:t>
            </w:r>
            <w:r w:rsidRPr="00E837F8">
              <w:rPr>
                <w:i/>
                <w:iCs/>
                <w:color w:val="333333"/>
                <w:sz w:val="24"/>
                <w:szCs w:val="24"/>
              </w:rPr>
              <w:t>The Journal of finance and data science</w:t>
            </w:r>
            <w:r w:rsidRPr="00E837F8">
              <w:rPr>
                <w:color w:val="333333"/>
                <w:sz w:val="24"/>
                <w:szCs w:val="24"/>
              </w:rPr>
              <w:t>, 8, pp. 145–161. Available at: https://doi.org/10.1016/j.jfds.2022.05.003</w:t>
            </w:r>
          </w:p>
        </w:tc>
        <w:tc>
          <w:tcPr>
            <w:tcW w:w="4577" w:type="dxa"/>
            <w:tcBorders>
              <w:top w:val="nil"/>
              <w:left w:val="nil"/>
              <w:bottom w:val="single" w:sz="4" w:space="0" w:color="000000"/>
              <w:right w:val="single" w:sz="4" w:space="0" w:color="000000"/>
            </w:tcBorders>
          </w:tcPr>
          <w:p w14:paraId="287BCE08" w14:textId="77777777" w:rsidR="00567EF5" w:rsidRPr="00E837F8" w:rsidRDefault="006578A3">
            <w:pPr>
              <w:rPr>
                <w:color w:val="000000"/>
                <w:sz w:val="24"/>
                <w:szCs w:val="24"/>
              </w:rPr>
            </w:pPr>
            <w:r w:rsidRPr="00E837F8">
              <w:rPr>
                <w:color w:val="000000"/>
                <w:sz w:val="24"/>
                <w:szCs w:val="24"/>
              </w:rPr>
              <w:t xml:space="preserve">Predictive finance forecasts customers, markets, risks associated with credit fraud, and cyber threats using statistics and mathematical techniques developed inside </w:t>
            </w:r>
            <w:r w:rsidRPr="00E837F8">
              <w:rPr>
                <w:sz w:val="24"/>
                <w:szCs w:val="24"/>
              </w:rPr>
              <w:t>the decision support system.</w:t>
            </w:r>
            <w:r w:rsidRPr="00E837F8">
              <w:rPr>
                <w:color w:val="000000"/>
                <w:sz w:val="24"/>
                <w:szCs w:val="24"/>
              </w:rPr>
              <w:t xml:space="preserve"> Data sources include external macro-market data and internal </w:t>
            </w:r>
            <w:r w:rsidRPr="00E837F8">
              <w:rPr>
                <w:sz w:val="24"/>
                <w:szCs w:val="24"/>
              </w:rPr>
              <w:t>information system</w:t>
            </w:r>
            <w:r w:rsidRPr="00E837F8">
              <w:rPr>
                <w:color w:val="000000"/>
                <w:sz w:val="24"/>
                <w:szCs w:val="24"/>
              </w:rPr>
              <w:t xml:space="preserve"> data.</w:t>
            </w:r>
          </w:p>
        </w:tc>
      </w:tr>
      <w:tr w:rsidR="00567EF5" w:rsidRPr="00E837F8" w14:paraId="287BCE0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A" w14:textId="77777777" w:rsidR="00567EF5" w:rsidRPr="00E837F8" w:rsidRDefault="006578A3">
            <w:pPr>
              <w:jc w:val="right"/>
              <w:rPr>
                <w:b/>
                <w:bCs/>
                <w:color w:val="000000"/>
                <w:sz w:val="24"/>
                <w:szCs w:val="24"/>
              </w:rPr>
            </w:pPr>
            <w:r w:rsidRPr="00E837F8">
              <w:rPr>
                <w:b/>
                <w:bCs/>
                <w:color w:val="000000"/>
                <w:sz w:val="24"/>
                <w:szCs w:val="24"/>
              </w:rPr>
              <w:t>73</w:t>
            </w:r>
          </w:p>
        </w:tc>
        <w:tc>
          <w:tcPr>
            <w:tcW w:w="4963" w:type="dxa"/>
            <w:tcBorders>
              <w:top w:val="nil"/>
              <w:left w:val="nil"/>
              <w:bottom w:val="single" w:sz="4" w:space="0" w:color="000000"/>
              <w:right w:val="single" w:sz="4" w:space="0" w:color="000000"/>
            </w:tcBorders>
          </w:tcPr>
          <w:p w14:paraId="287BCE0B" w14:textId="77777777" w:rsidR="00567EF5" w:rsidRPr="00E837F8" w:rsidRDefault="006578A3">
            <w:pPr>
              <w:rPr>
                <w:color w:val="333333"/>
                <w:sz w:val="24"/>
                <w:szCs w:val="24"/>
              </w:rPr>
            </w:pPr>
            <w:r w:rsidRPr="00E837F8">
              <w:rPr>
                <w:color w:val="333333"/>
                <w:sz w:val="24"/>
                <w:szCs w:val="24"/>
              </w:rPr>
              <w:t>Shen, Y. (2021) ‘CEO characteristics: a review of influential publications and a research agenda’, </w:t>
            </w:r>
            <w:r w:rsidRPr="00E837F8">
              <w:rPr>
                <w:i/>
                <w:iCs/>
                <w:color w:val="333333"/>
                <w:sz w:val="24"/>
                <w:szCs w:val="24"/>
              </w:rPr>
              <w:t>Accounting and finance (Parkville)</w:t>
            </w:r>
            <w:r w:rsidRPr="00E837F8">
              <w:rPr>
                <w:color w:val="333333"/>
                <w:sz w:val="24"/>
                <w:szCs w:val="24"/>
              </w:rPr>
              <w:t>, 61(1), pp. 361–385. Available at: https://doi.org/10.1111/acfi.12571</w:t>
            </w:r>
          </w:p>
        </w:tc>
        <w:tc>
          <w:tcPr>
            <w:tcW w:w="4577" w:type="dxa"/>
            <w:tcBorders>
              <w:top w:val="nil"/>
              <w:left w:val="nil"/>
              <w:bottom w:val="single" w:sz="4" w:space="0" w:color="000000"/>
              <w:right w:val="single" w:sz="4" w:space="0" w:color="000000"/>
            </w:tcBorders>
          </w:tcPr>
          <w:p w14:paraId="287BCE0C" w14:textId="77777777" w:rsidR="00567EF5" w:rsidRPr="00E837F8" w:rsidRDefault="006578A3">
            <w:pPr>
              <w:rPr>
                <w:color w:val="000000"/>
                <w:sz w:val="24"/>
                <w:szCs w:val="24"/>
              </w:rPr>
            </w:pPr>
            <w:r w:rsidRPr="00E837F8">
              <w:rPr>
                <w:color w:val="000000"/>
                <w:sz w:val="24"/>
                <w:szCs w:val="24"/>
              </w:rPr>
              <w:t>CEO backgrounds influence financial policies and strategic decisions; characteristics like overconfidence, military experience, and competence cause systematic variations, which are mitigated by duration, academic achievements, and occupational experience.</w:t>
            </w:r>
          </w:p>
        </w:tc>
      </w:tr>
      <w:tr w:rsidR="00567EF5" w:rsidRPr="00E837F8" w14:paraId="287BCE1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0E" w14:textId="77777777" w:rsidR="00567EF5" w:rsidRPr="00E837F8" w:rsidRDefault="006578A3">
            <w:pPr>
              <w:jc w:val="right"/>
              <w:rPr>
                <w:b/>
                <w:bCs/>
                <w:color w:val="000000"/>
                <w:sz w:val="24"/>
                <w:szCs w:val="24"/>
              </w:rPr>
            </w:pPr>
            <w:r w:rsidRPr="00E837F8">
              <w:rPr>
                <w:b/>
                <w:bCs/>
                <w:color w:val="000000"/>
                <w:sz w:val="24"/>
                <w:szCs w:val="24"/>
              </w:rPr>
              <w:t>74</w:t>
            </w:r>
          </w:p>
        </w:tc>
        <w:tc>
          <w:tcPr>
            <w:tcW w:w="4963" w:type="dxa"/>
            <w:tcBorders>
              <w:top w:val="nil"/>
              <w:left w:val="nil"/>
              <w:bottom w:val="single" w:sz="4" w:space="0" w:color="000000"/>
              <w:right w:val="single" w:sz="4" w:space="0" w:color="000000"/>
            </w:tcBorders>
          </w:tcPr>
          <w:p w14:paraId="287BCE0F" w14:textId="77777777" w:rsidR="00567EF5" w:rsidRPr="00E837F8" w:rsidRDefault="006578A3">
            <w:pPr>
              <w:rPr>
                <w:color w:val="333333"/>
                <w:sz w:val="24"/>
                <w:szCs w:val="24"/>
              </w:rPr>
            </w:pPr>
            <w:r w:rsidRPr="00E837F8">
              <w:rPr>
                <w:color w:val="333333"/>
                <w:sz w:val="24"/>
                <w:szCs w:val="24"/>
              </w:rPr>
              <w:t>Swaminathan, V., Gupta, S., Keller, K.L. and Lehmann, D. (2022) ‘Brand actions and financial consequences: a review of key findings and directions for future research’, </w:t>
            </w:r>
            <w:r w:rsidRPr="00E837F8">
              <w:rPr>
                <w:i/>
                <w:iCs/>
                <w:color w:val="333333"/>
                <w:sz w:val="24"/>
                <w:szCs w:val="24"/>
              </w:rPr>
              <w:t>Journal of the Academy of Marketing Science</w:t>
            </w:r>
            <w:r w:rsidRPr="00E837F8">
              <w:rPr>
                <w:color w:val="333333"/>
                <w:sz w:val="24"/>
                <w:szCs w:val="24"/>
              </w:rPr>
              <w:t>, 50(4), pp. 639–664. Available at: https://doi.org/10.1007/s11747-022-00866-7</w:t>
            </w:r>
          </w:p>
        </w:tc>
        <w:tc>
          <w:tcPr>
            <w:tcW w:w="4577" w:type="dxa"/>
            <w:tcBorders>
              <w:top w:val="nil"/>
              <w:left w:val="nil"/>
              <w:bottom w:val="single" w:sz="4" w:space="0" w:color="000000"/>
              <w:right w:val="single" w:sz="4" w:space="0" w:color="000000"/>
            </w:tcBorders>
          </w:tcPr>
          <w:p w14:paraId="287BCE10" w14:textId="77777777" w:rsidR="00567EF5" w:rsidRPr="00E837F8" w:rsidRDefault="006578A3">
            <w:pPr>
              <w:rPr>
                <w:color w:val="000000"/>
                <w:sz w:val="24"/>
                <w:szCs w:val="24"/>
              </w:rPr>
            </w:pPr>
            <w:r w:rsidRPr="00E837F8">
              <w:rPr>
                <w:color w:val="000000"/>
                <w:sz w:val="24"/>
                <w:szCs w:val="24"/>
              </w:rPr>
              <w:t>Proactive brand actions: new brands, innovation, and architecture drive significant financial rewards, whereas brand equity decreases risk and enhances resilience, yet uneven measurement still hinders correct evaluation.</w:t>
            </w:r>
          </w:p>
        </w:tc>
      </w:tr>
      <w:tr w:rsidR="00567EF5" w:rsidRPr="00E837F8" w14:paraId="287BCE1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12" w14:textId="77777777" w:rsidR="00567EF5" w:rsidRPr="00E837F8" w:rsidRDefault="006578A3">
            <w:pPr>
              <w:jc w:val="right"/>
              <w:rPr>
                <w:b/>
                <w:bCs/>
                <w:color w:val="000000"/>
                <w:sz w:val="24"/>
                <w:szCs w:val="24"/>
              </w:rPr>
            </w:pPr>
            <w:r w:rsidRPr="00E837F8">
              <w:rPr>
                <w:b/>
                <w:bCs/>
                <w:color w:val="000000"/>
                <w:sz w:val="24"/>
                <w:szCs w:val="24"/>
              </w:rPr>
              <w:t>75</w:t>
            </w:r>
          </w:p>
        </w:tc>
        <w:tc>
          <w:tcPr>
            <w:tcW w:w="4963" w:type="dxa"/>
            <w:tcBorders>
              <w:top w:val="nil"/>
              <w:left w:val="nil"/>
              <w:bottom w:val="single" w:sz="4" w:space="0" w:color="000000"/>
              <w:right w:val="single" w:sz="4" w:space="0" w:color="000000"/>
            </w:tcBorders>
          </w:tcPr>
          <w:p w14:paraId="287BCE13" w14:textId="77777777" w:rsidR="00567EF5" w:rsidRPr="00E837F8" w:rsidRDefault="006578A3">
            <w:pPr>
              <w:rPr>
                <w:color w:val="333333"/>
                <w:sz w:val="24"/>
                <w:szCs w:val="24"/>
              </w:rPr>
            </w:pPr>
            <w:r w:rsidRPr="00E837F8">
              <w:rPr>
                <w:color w:val="333333"/>
                <w:sz w:val="24"/>
                <w:szCs w:val="24"/>
              </w:rPr>
              <w:t>Eggers, F. (2020) ‘Masters of disasters? Challenges and opportunities for SMEs in times of crisis’, </w:t>
            </w:r>
            <w:r w:rsidRPr="00E837F8">
              <w:rPr>
                <w:i/>
                <w:iCs/>
                <w:color w:val="333333"/>
                <w:sz w:val="24"/>
                <w:szCs w:val="24"/>
              </w:rPr>
              <w:t>Journal of business research</w:t>
            </w:r>
            <w:r w:rsidRPr="00E837F8">
              <w:rPr>
                <w:color w:val="333333"/>
                <w:sz w:val="24"/>
                <w:szCs w:val="24"/>
              </w:rPr>
              <w:t>, 116, pp. 199–208. Available at: https://doi.org/10.1016/j.jbusres.2020.05.025</w:t>
            </w:r>
          </w:p>
        </w:tc>
        <w:tc>
          <w:tcPr>
            <w:tcW w:w="4577" w:type="dxa"/>
            <w:tcBorders>
              <w:top w:val="nil"/>
              <w:left w:val="nil"/>
              <w:bottom w:val="single" w:sz="4" w:space="0" w:color="000000"/>
              <w:right w:val="single" w:sz="4" w:space="0" w:color="000000"/>
            </w:tcBorders>
          </w:tcPr>
          <w:p w14:paraId="287BCE14" w14:textId="77777777" w:rsidR="00567EF5" w:rsidRPr="00E837F8" w:rsidRDefault="006578A3">
            <w:pPr>
              <w:rPr>
                <w:color w:val="000000"/>
                <w:sz w:val="24"/>
                <w:szCs w:val="24"/>
              </w:rPr>
            </w:pPr>
            <w:r w:rsidRPr="00E837F8">
              <w:rPr>
                <w:color w:val="000000"/>
                <w:sz w:val="24"/>
                <w:szCs w:val="24"/>
              </w:rPr>
              <w:t>Small and medium-sized enterprises (SMEs) have limited resources and are vulnerable to crises. However, flexible, proactive, and inventive organisations demonstrate stronger resilience through diversification, outsourcing, fast shifts, and opportunity-driven decisions.</w:t>
            </w:r>
          </w:p>
        </w:tc>
      </w:tr>
      <w:tr w:rsidR="00567EF5" w:rsidRPr="00E837F8" w14:paraId="287BCE1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16" w14:textId="77777777" w:rsidR="00567EF5" w:rsidRPr="00E837F8" w:rsidRDefault="006578A3">
            <w:pPr>
              <w:jc w:val="right"/>
              <w:rPr>
                <w:b/>
                <w:bCs/>
                <w:color w:val="000000"/>
                <w:sz w:val="24"/>
                <w:szCs w:val="24"/>
              </w:rPr>
            </w:pPr>
            <w:r w:rsidRPr="00E837F8">
              <w:rPr>
                <w:b/>
                <w:bCs/>
                <w:color w:val="000000"/>
                <w:sz w:val="24"/>
                <w:szCs w:val="24"/>
              </w:rPr>
              <w:t>76</w:t>
            </w:r>
          </w:p>
        </w:tc>
        <w:tc>
          <w:tcPr>
            <w:tcW w:w="4963" w:type="dxa"/>
            <w:tcBorders>
              <w:top w:val="nil"/>
              <w:left w:val="nil"/>
              <w:bottom w:val="single" w:sz="4" w:space="0" w:color="000000"/>
              <w:right w:val="single" w:sz="4" w:space="0" w:color="000000"/>
            </w:tcBorders>
          </w:tcPr>
          <w:p w14:paraId="287BCE17" w14:textId="77777777" w:rsidR="00567EF5" w:rsidRPr="00E837F8" w:rsidRDefault="006578A3">
            <w:pPr>
              <w:rPr>
                <w:color w:val="333333"/>
                <w:sz w:val="24"/>
                <w:szCs w:val="24"/>
              </w:rPr>
            </w:pPr>
            <w:r w:rsidRPr="00E837F8">
              <w:rPr>
                <w:color w:val="333333"/>
                <w:sz w:val="24"/>
                <w:szCs w:val="24"/>
              </w:rPr>
              <w:t>Bartolacci, F., Caputo, A. and Soverchia, M. (2020) ‘Sustainability and financial performance of small and medium sized enterprises: A bibliometric and systematic literature review’, </w:t>
            </w:r>
            <w:r w:rsidRPr="00E837F8">
              <w:rPr>
                <w:i/>
                <w:iCs/>
                <w:color w:val="333333"/>
                <w:sz w:val="24"/>
                <w:szCs w:val="24"/>
              </w:rPr>
              <w:t>Business strategy and the environment</w:t>
            </w:r>
            <w:r w:rsidRPr="00E837F8">
              <w:rPr>
                <w:color w:val="333333"/>
                <w:sz w:val="24"/>
                <w:szCs w:val="24"/>
              </w:rPr>
              <w:t>, 29(3), pp. 1297–1309. Available at: https://doi.org/10.1002/bse.2434</w:t>
            </w:r>
          </w:p>
        </w:tc>
        <w:tc>
          <w:tcPr>
            <w:tcW w:w="4577" w:type="dxa"/>
            <w:tcBorders>
              <w:top w:val="nil"/>
              <w:left w:val="nil"/>
              <w:bottom w:val="single" w:sz="4" w:space="0" w:color="000000"/>
              <w:right w:val="single" w:sz="4" w:space="0" w:color="000000"/>
            </w:tcBorders>
          </w:tcPr>
          <w:p w14:paraId="287BCE18" w14:textId="77777777" w:rsidR="00567EF5" w:rsidRPr="00E837F8" w:rsidRDefault="006578A3">
            <w:pPr>
              <w:rPr>
                <w:color w:val="000000"/>
                <w:sz w:val="24"/>
                <w:szCs w:val="24"/>
              </w:rPr>
            </w:pPr>
            <w:r w:rsidRPr="00E837F8">
              <w:rPr>
                <w:color w:val="000000"/>
                <w:sz w:val="24"/>
                <w:szCs w:val="24"/>
              </w:rPr>
              <w:t>SMEs' sustainability and financial performance rely heavily on internal resource-based capabilities, including innovation, knowledge, human capital, and intangible assets.</w:t>
            </w:r>
          </w:p>
        </w:tc>
      </w:tr>
      <w:tr w:rsidR="00567EF5" w:rsidRPr="00E837F8" w14:paraId="287BCE1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1A" w14:textId="77777777" w:rsidR="00567EF5" w:rsidRPr="00E837F8" w:rsidRDefault="006578A3">
            <w:pPr>
              <w:jc w:val="right"/>
              <w:rPr>
                <w:b/>
                <w:bCs/>
                <w:color w:val="000000"/>
                <w:sz w:val="24"/>
                <w:szCs w:val="24"/>
              </w:rPr>
            </w:pPr>
            <w:r w:rsidRPr="00E837F8">
              <w:rPr>
                <w:b/>
                <w:bCs/>
                <w:color w:val="000000"/>
                <w:sz w:val="24"/>
                <w:szCs w:val="24"/>
              </w:rPr>
              <w:lastRenderedPageBreak/>
              <w:t>77</w:t>
            </w:r>
          </w:p>
        </w:tc>
        <w:tc>
          <w:tcPr>
            <w:tcW w:w="4963" w:type="dxa"/>
            <w:tcBorders>
              <w:top w:val="nil"/>
              <w:left w:val="nil"/>
              <w:bottom w:val="single" w:sz="4" w:space="0" w:color="000000"/>
              <w:right w:val="single" w:sz="4" w:space="0" w:color="000000"/>
            </w:tcBorders>
          </w:tcPr>
          <w:p w14:paraId="287BCE1B" w14:textId="77777777" w:rsidR="00567EF5" w:rsidRPr="00E837F8" w:rsidRDefault="006578A3">
            <w:pPr>
              <w:rPr>
                <w:color w:val="333333"/>
                <w:sz w:val="24"/>
                <w:szCs w:val="24"/>
              </w:rPr>
            </w:pPr>
            <w:r w:rsidRPr="00E837F8">
              <w:rPr>
                <w:color w:val="333333"/>
                <w:sz w:val="24"/>
                <w:szCs w:val="24"/>
              </w:rPr>
              <w:t>Shattock, M. (2017) ‘University governance in flux: The impact of external and internal pressures on the distribution of authority within British universities. A synoptic view’, </w:t>
            </w:r>
            <w:r w:rsidRPr="00E837F8">
              <w:rPr>
                <w:i/>
                <w:iCs/>
                <w:color w:val="333333"/>
                <w:sz w:val="24"/>
                <w:szCs w:val="24"/>
              </w:rPr>
              <w:t>Higher education quarterly</w:t>
            </w:r>
            <w:r w:rsidRPr="00E837F8">
              <w:rPr>
                <w:color w:val="333333"/>
                <w:sz w:val="24"/>
                <w:szCs w:val="24"/>
              </w:rPr>
              <w:t>, 71(4), pp. 384–395. Available at: https://doi.org/10.1111/hequ.12132</w:t>
            </w:r>
          </w:p>
        </w:tc>
        <w:tc>
          <w:tcPr>
            <w:tcW w:w="4577" w:type="dxa"/>
            <w:tcBorders>
              <w:top w:val="nil"/>
              <w:left w:val="nil"/>
              <w:bottom w:val="single" w:sz="4" w:space="0" w:color="000000"/>
              <w:right w:val="single" w:sz="4" w:space="0" w:color="000000"/>
            </w:tcBorders>
          </w:tcPr>
          <w:p w14:paraId="287BCE1C" w14:textId="77777777" w:rsidR="00567EF5" w:rsidRPr="00E837F8" w:rsidRDefault="006578A3">
            <w:pPr>
              <w:rPr>
                <w:color w:val="000000"/>
                <w:sz w:val="24"/>
                <w:szCs w:val="24"/>
              </w:rPr>
            </w:pPr>
            <w:r w:rsidRPr="00E837F8">
              <w:rPr>
                <w:color w:val="000000"/>
                <w:sz w:val="24"/>
                <w:szCs w:val="24"/>
              </w:rPr>
              <w:t>Universities established market-oriented, performance-driven, executive-controlled institutions in response to external pressures such as funding regimes, marketization, and evaluations, which weakened academic bodies and empowered managerial executives.</w:t>
            </w:r>
          </w:p>
        </w:tc>
      </w:tr>
      <w:tr w:rsidR="00567EF5" w:rsidRPr="00E837F8" w14:paraId="287BCE2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1E" w14:textId="77777777" w:rsidR="00567EF5" w:rsidRPr="00E837F8" w:rsidRDefault="006578A3">
            <w:pPr>
              <w:jc w:val="right"/>
              <w:rPr>
                <w:b/>
                <w:bCs/>
                <w:color w:val="000000"/>
                <w:sz w:val="24"/>
                <w:szCs w:val="24"/>
              </w:rPr>
            </w:pPr>
            <w:r w:rsidRPr="00E837F8">
              <w:rPr>
                <w:b/>
                <w:bCs/>
                <w:color w:val="000000"/>
                <w:sz w:val="24"/>
                <w:szCs w:val="24"/>
              </w:rPr>
              <w:t>78</w:t>
            </w:r>
          </w:p>
        </w:tc>
        <w:tc>
          <w:tcPr>
            <w:tcW w:w="4963" w:type="dxa"/>
            <w:tcBorders>
              <w:top w:val="nil"/>
              <w:left w:val="nil"/>
              <w:bottom w:val="single" w:sz="4" w:space="0" w:color="000000"/>
              <w:right w:val="single" w:sz="4" w:space="0" w:color="000000"/>
            </w:tcBorders>
          </w:tcPr>
          <w:p w14:paraId="287BCE1F" w14:textId="77777777" w:rsidR="00567EF5" w:rsidRPr="00E837F8" w:rsidRDefault="006578A3">
            <w:pPr>
              <w:rPr>
                <w:color w:val="333333"/>
                <w:sz w:val="24"/>
                <w:szCs w:val="24"/>
              </w:rPr>
            </w:pPr>
            <w:r w:rsidRPr="00E837F8">
              <w:rPr>
                <w:color w:val="333333"/>
                <w:sz w:val="24"/>
                <w:szCs w:val="24"/>
              </w:rPr>
              <w:t>Alipour, M., Mohammadi, M.F.S. and Derakhshan, H. (2015) ‘Determinants of capital structure: an empirical study of firms in Iran’, </w:t>
            </w:r>
            <w:r w:rsidRPr="00E837F8">
              <w:rPr>
                <w:i/>
                <w:iCs/>
                <w:color w:val="333333"/>
                <w:sz w:val="24"/>
                <w:szCs w:val="24"/>
              </w:rPr>
              <w:t>International journal of law and management</w:t>
            </w:r>
            <w:r w:rsidRPr="00E837F8">
              <w:rPr>
                <w:color w:val="333333"/>
                <w:sz w:val="24"/>
                <w:szCs w:val="24"/>
              </w:rPr>
              <w:t>, 57(1), pp. 53–83. Available at: https://doi.org/10.1108/IJLMA-01-2013-0004</w:t>
            </w:r>
          </w:p>
        </w:tc>
        <w:tc>
          <w:tcPr>
            <w:tcW w:w="4577" w:type="dxa"/>
            <w:tcBorders>
              <w:top w:val="nil"/>
              <w:left w:val="nil"/>
              <w:bottom w:val="single" w:sz="4" w:space="0" w:color="000000"/>
              <w:right w:val="single" w:sz="4" w:space="0" w:color="000000"/>
            </w:tcBorders>
          </w:tcPr>
          <w:p w14:paraId="287BCE20" w14:textId="77777777" w:rsidR="00567EF5" w:rsidRPr="00E837F8" w:rsidRDefault="006578A3">
            <w:pPr>
              <w:rPr>
                <w:color w:val="000000"/>
                <w:sz w:val="24"/>
                <w:szCs w:val="24"/>
              </w:rPr>
            </w:pPr>
            <w:r w:rsidRPr="00E837F8">
              <w:rPr>
                <w:color w:val="000000"/>
                <w:sz w:val="24"/>
                <w:szCs w:val="24"/>
              </w:rPr>
              <w:t>Profitability, liquidity, flexibility, and expansion diminish leverage, confirming the pecking order theory. State ownership impacts the capital structure dynamics in Iran because of political and institutional issues.</w:t>
            </w:r>
          </w:p>
        </w:tc>
      </w:tr>
      <w:tr w:rsidR="00567EF5" w:rsidRPr="00E837F8" w14:paraId="287BCE2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2" w14:textId="77777777" w:rsidR="00567EF5" w:rsidRPr="00E837F8" w:rsidRDefault="006578A3">
            <w:pPr>
              <w:jc w:val="right"/>
              <w:rPr>
                <w:b/>
                <w:bCs/>
                <w:color w:val="000000"/>
                <w:sz w:val="24"/>
                <w:szCs w:val="24"/>
              </w:rPr>
            </w:pPr>
            <w:r w:rsidRPr="00E837F8">
              <w:rPr>
                <w:b/>
                <w:bCs/>
                <w:color w:val="000000"/>
                <w:sz w:val="24"/>
                <w:szCs w:val="24"/>
              </w:rPr>
              <w:t>79</w:t>
            </w:r>
          </w:p>
        </w:tc>
        <w:tc>
          <w:tcPr>
            <w:tcW w:w="4963" w:type="dxa"/>
            <w:tcBorders>
              <w:top w:val="nil"/>
              <w:left w:val="nil"/>
              <w:bottom w:val="single" w:sz="4" w:space="0" w:color="000000"/>
              <w:right w:val="single" w:sz="4" w:space="0" w:color="000000"/>
            </w:tcBorders>
          </w:tcPr>
          <w:p w14:paraId="287BCE23" w14:textId="77777777" w:rsidR="00567EF5" w:rsidRPr="00E837F8" w:rsidRDefault="006578A3">
            <w:pPr>
              <w:rPr>
                <w:color w:val="333333"/>
                <w:sz w:val="24"/>
                <w:szCs w:val="24"/>
              </w:rPr>
            </w:pPr>
            <w:r w:rsidRPr="00E837F8">
              <w:rPr>
                <w:color w:val="333333"/>
                <w:sz w:val="24"/>
                <w:szCs w:val="24"/>
              </w:rPr>
              <w:t>Al‐Thaqeb, S.A., Algharabali, B.G. and Alabdulghafour, K.T. (2022) ‘The pandemic and economic policy uncertainty’, </w:t>
            </w:r>
            <w:r w:rsidRPr="00E837F8">
              <w:rPr>
                <w:i/>
                <w:iCs/>
                <w:color w:val="333333"/>
                <w:sz w:val="24"/>
                <w:szCs w:val="24"/>
              </w:rPr>
              <w:t>International journal of finance and economics</w:t>
            </w:r>
            <w:r w:rsidRPr="00E837F8">
              <w:rPr>
                <w:color w:val="333333"/>
                <w:sz w:val="24"/>
                <w:szCs w:val="24"/>
              </w:rPr>
              <w:t>, 27(3), pp. 2784–2794. Available at: https://doi.org/10.1002/ijfe.2298</w:t>
            </w:r>
          </w:p>
        </w:tc>
        <w:tc>
          <w:tcPr>
            <w:tcW w:w="4577" w:type="dxa"/>
            <w:tcBorders>
              <w:top w:val="nil"/>
              <w:left w:val="nil"/>
              <w:bottom w:val="single" w:sz="4" w:space="0" w:color="000000"/>
              <w:right w:val="single" w:sz="4" w:space="0" w:color="000000"/>
            </w:tcBorders>
          </w:tcPr>
          <w:p w14:paraId="287BCE24" w14:textId="77777777" w:rsidR="00567EF5" w:rsidRPr="00E837F8" w:rsidRDefault="006578A3">
            <w:pPr>
              <w:rPr>
                <w:color w:val="000000"/>
                <w:sz w:val="24"/>
                <w:szCs w:val="24"/>
              </w:rPr>
            </w:pPr>
            <w:r w:rsidRPr="00E837F8">
              <w:rPr>
                <w:color w:val="000000"/>
                <w:sz w:val="24"/>
                <w:szCs w:val="24"/>
              </w:rPr>
              <w:t>Economic policy uncertainty increases volatility and lowers returns in the financial, housing, commodity, and currency markets, suggesting a broad destabilizing effect on asset performance.</w:t>
            </w:r>
          </w:p>
        </w:tc>
      </w:tr>
      <w:tr w:rsidR="00567EF5" w:rsidRPr="00E837F8" w14:paraId="287BCE2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6" w14:textId="77777777" w:rsidR="00567EF5" w:rsidRPr="00E837F8" w:rsidRDefault="006578A3">
            <w:pPr>
              <w:jc w:val="right"/>
              <w:rPr>
                <w:b/>
                <w:bCs/>
                <w:color w:val="000000"/>
                <w:sz w:val="24"/>
                <w:szCs w:val="24"/>
              </w:rPr>
            </w:pPr>
            <w:r w:rsidRPr="00E837F8">
              <w:rPr>
                <w:b/>
                <w:bCs/>
                <w:color w:val="000000"/>
                <w:sz w:val="24"/>
                <w:szCs w:val="24"/>
              </w:rPr>
              <w:t>80</w:t>
            </w:r>
          </w:p>
        </w:tc>
        <w:tc>
          <w:tcPr>
            <w:tcW w:w="4963" w:type="dxa"/>
            <w:tcBorders>
              <w:top w:val="nil"/>
              <w:left w:val="nil"/>
              <w:bottom w:val="single" w:sz="4" w:space="0" w:color="000000"/>
              <w:right w:val="single" w:sz="4" w:space="0" w:color="000000"/>
            </w:tcBorders>
          </w:tcPr>
          <w:p w14:paraId="287BCE27" w14:textId="77777777" w:rsidR="00567EF5" w:rsidRPr="00E837F8" w:rsidRDefault="006578A3">
            <w:pPr>
              <w:rPr>
                <w:color w:val="333333"/>
                <w:sz w:val="24"/>
                <w:szCs w:val="24"/>
              </w:rPr>
            </w:pPr>
            <w:r w:rsidRPr="00E837F8">
              <w:rPr>
                <w:color w:val="333333"/>
                <w:sz w:val="24"/>
                <w:szCs w:val="24"/>
              </w:rPr>
              <w:t>Bakhtiari, S., Breunig, R., Magnani, L. and Zhang, J. (2020) ‘Financial Constraints and Small and Medium Enterprises: A Review’, </w:t>
            </w:r>
            <w:r w:rsidRPr="00E837F8">
              <w:rPr>
                <w:i/>
                <w:iCs/>
                <w:color w:val="333333"/>
                <w:sz w:val="24"/>
                <w:szCs w:val="24"/>
              </w:rPr>
              <w:t>The Economic record</w:t>
            </w:r>
            <w:r w:rsidRPr="00E837F8">
              <w:rPr>
                <w:color w:val="333333"/>
                <w:sz w:val="24"/>
                <w:szCs w:val="24"/>
              </w:rPr>
              <w:t>, 96(315), pp. 506–523. Available at: https://doi.org/10.1111/1475-4932.12560</w:t>
            </w:r>
          </w:p>
        </w:tc>
        <w:tc>
          <w:tcPr>
            <w:tcW w:w="4577" w:type="dxa"/>
            <w:tcBorders>
              <w:top w:val="nil"/>
              <w:left w:val="nil"/>
              <w:bottom w:val="single" w:sz="4" w:space="0" w:color="000000"/>
              <w:right w:val="single" w:sz="4" w:space="0" w:color="000000"/>
            </w:tcBorders>
          </w:tcPr>
          <w:p w14:paraId="287BCE28" w14:textId="77777777" w:rsidR="00567EF5" w:rsidRPr="00E837F8" w:rsidRDefault="006578A3">
            <w:pPr>
              <w:rPr>
                <w:color w:val="000000"/>
                <w:sz w:val="24"/>
                <w:szCs w:val="24"/>
              </w:rPr>
            </w:pPr>
            <w:r w:rsidRPr="00E837F8">
              <w:rPr>
                <w:color w:val="000000"/>
                <w:sz w:val="24"/>
                <w:szCs w:val="24"/>
              </w:rPr>
              <w:t>Financial constraints deteriorate during downturns, particularly for small and young businesses, and access to capital is critical for SME sustainability, investment, innovation, productivity, and growth.</w:t>
            </w:r>
          </w:p>
        </w:tc>
      </w:tr>
      <w:tr w:rsidR="00567EF5" w:rsidRPr="00E837F8" w14:paraId="287BCE2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E2A" w14:textId="77777777" w:rsidR="00567EF5" w:rsidRPr="00E837F8" w:rsidRDefault="006578A3">
            <w:pPr>
              <w:jc w:val="right"/>
              <w:rPr>
                <w:b/>
                <w:bCs/>
                <w:color w:val="000000"/>
                <w:sz w:val="24"/>
                <w:szCs w:val="24"/>
              </w:rPr>
            </w:pPr>
            <w:r w:rsidRPr="00E837F8">
              <w:rPr>
                <w:b/>
                <w:bCs/>
                <w:color w:val="000000"/>
                <w:sz w:val="24"/>
                <w:szCs w:val="24"/>
              </w:rPr>
              <w:t>81</w:t>
            </w:r>
          </w:p>
        </w:tc>
        <w:tc>
          <w:tcPr>
            <w:tcW w:w="4963" w:type="dxa"/>
            <w:tcBorders>
              <w:top w:val="nil"/>
              <w:left w:val="nil"/>
              <w:bottom w:val="single" w:sz="4" w:space="0" w:color="000000"/>
              <w:right w:val="single" w:sz="4" w:space="0" w:color="000000"/>
            </w:tcBorders>
          </w:tcPr>
          <w:p w14:paraId="287BCE2B" w14:textId="77777777" w:rsidR="00567EF5" w:rsidRPr="00E837F8" w:rsidRDefault="006578A3">
            <w:pPr>
              <w:rPr>
                <w:color w:val="333333"/>
                <w:sz w:val="24"/>
                <w:szCs w:val="24"/>
              </w:rPr>
            </w:pPr>
            <w:r w:rsidRPr="00E837F8">
              <w:rPr>
                <w:color w:val="333333"/>
                <w:sz w:val="24"/>
                <w:szCs w:val="24"/>
              </w:rPr>
              <w:t>Michiels, A. and Molly, V. (2017) ‘Financing Decisions in Family Businesses: A Review and Suggestions for Developing the Field’,Family business review,  30(4), pp. 369–399. Available at: https://doi.org/10.1177/0894486517736958</w:t>
            </w:r>
          </w:p>
        </w:tc>
        <w:tc>
          <w:tcPr>
            <w:tcW w:w="4577" w:type="dxa"/>
            <w:tcBorders>
              <w:top w:val="nil"/>
              <w:left w:val="nil"/>
              <w:bottom w:val="single" w:sz="4" w:space="0" w:color="000000"/>
              <w:right w:val="single" w:sz="4" w:space="0" w:color="000000"/>
            </w:tcBorders>
          </w:tcPr>
          <w:p w14:paraId="287BCE2C" w14:textId="77777777" w:rsidR="00567EF5" w:rsidRPr="00E837F8" w:rsidRDefault="006578A3">
            <w:pPr>
              <w:rPr>
                <w:color w:val="000000"/>
                <w:sz w:val="24"/>
                <w:szCs w:val="24"/>
              </w:rPr>
            </w:pPr>
            <w:r w:rsidRPr="00E837F8">
              <w:rPr>
                <w:color w:val="000000"/>
                <w:sz w:val="24"/>
                <w:szCs w:val="24"/>
              </w:rPr>
              <w:t>Control, risk avoidance, and socioemotional wealth preferences generate opposing reasons for family enterprises to choose debt, equity, or retained earnings, resulting in mixed data.</w:t>
            </w:r>
          </w:p>
        </w:tc>
      </w:tr>
      <w:tr w:rsidR="00567EF5" w:rsidRPr="00E837F8" w14:paraId="287BCE3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E" w14:textId="77777777" w:rsidR="00567EF5" w:rsidRPr="00E837F8" w:rsidRDefault="006578A3">
            <w:pPr>
              <w:jc w:val="right"/>
              <w:rPr>
                <w:b/>
                <w:bCs/>
                <w:color w:val="000000"/>
                <w:sz w:val="24"/>
                <w:szCs w:val="24"/>
              </w:rPr>
            </w:pPr>
            <w:r w:rsidRPr="00E837F8">
              <w:rPr>
                <w:b/>
                <w:bCs/>
                <w:color w:val="000000"/>
                <w:sz w:val="24"/>
                <w:szCs w:val="24"/>
              </w:rPr>
              <w:t>82</w:t>
            </w:r>
          </w:p>
        </w:tc>
        <w:tc>
          <w:tcPr>
            <w:tcW w:w="4963" w:type="dxa"/>
            <w:tcBorders>
              <w:top w:val="nil"/>
              <w:left w:val="nil"/>
              <w:bottom w:val="single" w:sz="4" w:space="0" w:color="000000"/>
              <w:right w:val="single" w:sz="4" w:space="0" w:color="000000"/>
            </w:tcBorders>
          </w:tcPr>
          <w:p w14:paraId="287BCE2F" w14:textId="77777777" w:rsidR="00567EF5" w:rsidRPr="00E837F8" w:rsidRDefault="006578A3">
            <w:pPr>
              <w:rPr>
                <w:color w:val="333333"/>
                <w:sz w:val="24"/>
                <w:szCs w:val="24"/>
              </w:rPr>
            </w:pPr>
            <w:r w:rsidRPr="00E837F8">
              <w:rPr>
                <w:color w:val="333333"/>
                <w:sz w:val="24"/>
                <w:szCs w:val="24"/>
              </w:rPr>
              <w:t>Davis, L.E. (2017) ‘FINANCIALIZATION AND INVESTMENT: A SURVEY OF THE EMPIRICAL LITERATURE’, </w:t>
            </w:r>
            <w:r w:rsidRPr="00E837F8">
              <w:rPr>
                <w:i/>
                <w:iCs/>
                <w:color w:val="333333"/>
                <w:sz w:val="24"/>
                <w:szCs w:val="24"/>
              </w:rPr>
              <w:t>Journal of economic surveys</w:t>
            </w:r>
            <w:r w:rsidRPr="00E837F8">
              <w:rPr>
                <w:color w:val="333333"/>
                <w:sz w:val="24"/>
                <w:szCs w:val="24"/>
              </w:rPr>
              <w:t>, 31(5), pp. 1332–1358. Available at: https://doi.org/10.1111/joes.12242</w:t>
            </w:r>
          </w:p>
        </w:tc>
        <w:tc>
          <w:tcPr>
            <w:tcW w:w="4577" w:type="dxa"/>
            <w:tcBorders>
              <w:top w:val="nil"/>
              <w:left w:val="nil"/>
              <w:bottom w:val="single" w:sz="4" w:space="0" w:color="000000"/>
              <w:right w:val="single" w:sz="4" w:space="0" w:color="000000"/>
            </w:tcBorders>
          </w:tcPr>
          <w:p w14:paraId="287BCE30" w14:textId="77777777" w:rsidR="00567EF5" w:rsidRPr="00E837F8" w:rsidRDefault="006578A3">
            <w:pPr>
              <w:rPr>
                <w:color w:val="000000"/>
                <w:sz w:val="24"/>
                <w:szCs w:val="24"/>
              </w:rPr>
            </w:pPr>
            <w:r w:rsidRPr="00E837F8">
              <w:rPr>
                <w:color w:val="000000"/>
                <w:sz w:val="24"/>
                <w:szCs w:val="24"/>
              </w:rPr>
              <w:t>Since 1980, there has been a separation among borrowing and real capital production, with increased corporate debt funding monetary assets and shareholder payments over productive investment.</w:t>
            </w:r>
          </w:p>
        </w:tc>
      </w:tr>
      <w:tr w:rsidR="00567EF5" w:rsidRPr="00E837F8" w14:paraId="287BCE3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32" w14:textId="77777777" w:rsidR="00567EF5" w:rsidRPr="00E837F8" w:rsidRDefault="006578A3">
            <w:pPr>
              <w:jc w:val="right"/>
              <w:rPr>
                <w:b/>
                <w:bCs/>
                <w:color w:val="000000"/>
                <w:sz w:val="24"/>
                <w:szCs w:val="24"/>
              </w:rPr>
            </w:pPr>
            <w:r w:rsidRPr="00E837F8">
              <w:rPr>
                <w:b/>
                <w:bCs/>
                <w:color w:val="000000"/>
                <w:sz w:val="24"/>
                <w:szCs w:val="24"/>
              </w:rPr>
              <w:lastRenderedPageBreak/>
              <w:t>83</w:t>
            </w:r>
          </w:p>
        </w:tc>
        <w:tc>
          <w:tcPr>
            <w:tcW w:w="4963" w:type="dxa"/>
            <w:tcBorders>
              <w:top w:val="nil"/>
              <w:left w:val="nil"/>
              <w:bottom w:val="single" w:sz="4" w:space="0" w:color="000000"/>
              <w:right w:val="single" w:sz="4" w:space="0" w:color="000000"/>
            </w:tcBorders>
          </w:tcPr>
          <w:p w14:paraId="287BCE33" w14:textId="77777777" w:rsidR="00567EF5" w:rsidRPr="00E837F8" w:rsidRDefault="006578A3">
            <w:pPr>
              <w:rPr>
                <w:color w:val="333333"/>
                <w:sz w:val="24"/>
                <w:szCs w:val="24"/>
              </w:rPr>
            </w:pPr>
            <w:r w:rsidRPr="00E837F8">
              <w:rPr>
                <w:color w:val="333333"/>
                <w:sz w:val="24"/>
                <w:szCs w:val="24"/>
              </w:rPr>
              <w:t>Martinez, L.B., Scherger, V. and Guercio, M.B. (2019) ‘SMEs capital structure: trade-off or pecking order theory: a systematic review’, </w:t>
            </w:r>
            <w:r w:rsidRPr="00E837F8">
              <w:rPr>
                <w:i/>
                <w:iCs/>
                <w:color w:val="333333"/>
                <w:sz w:val="24"/>
                <w:szCs w:val="24"/>
              </w:rPr>
              <w:t>Journal of small business and enterprise development</w:t>
            </w:r>
            <w:r w:rsidRPr="00E837F8">
              <w:rPr>
                <w:color w:val="333333"/>
                <w:sz w:val="24"/>
                <w:szCs w:val="24"/>
              </w:rPr>
              <w:t>, 26(1), pp. 105–132. Available at: https://doi.org/10.1108/JSBED-12-2017-0387</w:t>
            </w:r>
          </w:p>
        </w:tc>
        <w:tc>
          <w:tcPr>
            <w:tcW w:w="4577" w:type="dxa"/>
            <w:tcBorders>
              <w:top w:val="nil"/>
              <w:left w:val="nil"/>
              <w:bottom w:val="single" w:sz="4" w:space="0" w:color="000000"/>
              <w:right w:val="single" w:sz="4" w:space="0" w:color="000000"/>
            </w:tcBorders>
          </w:tcPr>
          <w:p w14:paraId="287BCE34" w14:textId="77777777" w:rsidR="00567EF5" w:rsidRPr="00E837F8" w:rsidRDefault="006578A3">
            <w:pPr>
              <w:rPr>
                <w:color w:val="000000"/>
                <w:sz w:val="24"/>
                <w:szCs w:val="24"/>
              </w:rPr>
            </w:pPr>
            <w:r w:rsidRPr="00E837F8">
              <w:rPr>
                <w:color w:val="000000"/>
                <w:sz w:val="24"/>
                <w:szCs w:val="24"/>
              </w:rPr>
              <w:t>Small and medium-sized enterprises (SMEs) prioritize internal funding over debt and equity due to financial constraints, information asymmetry, and insufficient collateral, making external financing costly and limiting.</w:t>
            </w:r>
          </w:p>
        </w:tc>
      </w:tr>
      <w:tr w:rsidR="00567EF5" w:rsidRPr="00E837F8" w14:paraId="287BCE3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36" w14:textId="77777777" w:rsidR="00567EF5" w:rsidRPr="00E837F8" w:rsidRDefault="006578A3">
            <w:pPr>
              <w:jc w:val="right"/>
              <w:rPr>
                <w:b/>
                <w:bCs/>
                <w:color w:val="000000"/>
                <w:sz w:val="24"/>
                <w:szCs w:val="24"/>
              </w:rPr>
            </w:pPr>
            <w:r w:rsidRPr="00E837F8">
              <w:rPr>
                <w:b/>
                <w:bCs/>
                <w:color w:val="000000"/>
                <w:sz w:val="24"/>
                <w:szCs w:val="24"/>
              </w:rPr>
              <w:t>84</w:t>
            </w:r>
          </w:p>
        </w:tc>
        <w:tc>
          <w:tcPr>
            <w:tcW w:w="4963" w:type="dxa"/>
            <w:tcBorders>
              <w:top w:val="nil"/>
              <w:left w:val="nil"/>
              <w:bottom w:val="single" w:sz="4" w:space="0" w:color="000000"/>
              <w:right w:val="single" w:sz="4" w:space="0" w:color="000000"/>
            </w:tcBorders>
          </w:tcPr>
          <w:p w14:paraId="287BCE37" w14:textId="77777777" w:rsidR="00567EF5" w:rsidRPr="00E837F8" w:rsidRDefault="006578A3">
            <w:pPr>
              <w:rPr>
                <w:color w:val="333333"/>
                <w:sz w:val="24"/>
                <w:szCs w:val="24"/>
              </w:rPr>
            </w:pPr>
            <w:r w:rsidRPr="00E837F8">
              <w:rPr>
                <w:color w:val="333333"/>
                <w:sz w:val="24"/>
                <w:szCs w:val="24"/>
              </w:rPr>
              <w:t>Falcone, P.M. and Sica, E. (2019) ‘Assessing the Opportunities and Challenges of Green Finance in Italy: An Analysis of the Biomass Production Sector’, </w:t>
            </w:r>
            <w:r w:rsidRPr="00E837F8">
              <w:rPr>
                <w:i/>
                <w:iCs/>
                <w:color w:val="333333"/>
                <w:sz w:val="24"/>
                <w:szCs w:val="24"/>
              </w:rPr>
              <w:t>Sustainability</w:t>
            </w:r>
            <w:r w:rsidRPr="00E837F8">
              <w:rPr>
                <w:color w:val="333333"/>
                <w:sz w:val="24"/>
                <w:szCs w:val="24"/>
              </w:rPr>
              <w:t>, 11(2), p. 517. Available at: https://doi.org/10.3390/su11020517</w:t>
            </w:r>
          </w:p>
        </w:tc>
        <w:tc>
          <w:tcPr>
            <w:tcW w:w="4577" w:type="dxa"/>
            <w:tcBorders>
              <w:top w:val="nil"/>
              <w:left w:val="nil"/>
              <w:bottom w:val="single" w:sz="4" w:space="0" w:color="000000"/>
              <w:right w:val="single" w:sz="4" w:space="0" w:color="000000"/>
            </w:tcBorders>
          </w:tcPr>
          <w:p w14:paraId="287BCE38" w14:textId="77777777" w:rsidR="00567EF5" w:rsidRPr="00E837F8" w:rsidRDefault="006578A3">
            <w:pPr>
              <w:rPr>
                <w:color w:val="000000"/>
                <w:sz w:val="24"/>
                <w:szCs w:val="24"/>
              </w:rPr>
            </w:pPr>
            <w:r w:rsidRPr="00E837F8">
              <w:rPr>
                <w:color w:val="000000"/>
                <w:sz w:val="24"/>
                <w:szCs w:val="24"/>
              </w:rPr>
              <w:t>Green financing promotes sustainable innovation and the biomass sector in Italy, but it faces significant financial constraints such as low financier engagement, short-term instruments, and little technical and financial knowledge.</w:t>
            </w:r>
          </w:p>
        </w:tc>
      </w:tr>
      <w:tr w:rsidR="00567EF5" w:rsidRPr="00E837F8" w14:paraId="287BCE3D"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E3A" w14:textId="77777777" w:rsidR="00567EF5" w:rsidRPr="00E837F8" w:rsidRDefault="006578A3">
            <w:pPr>
              <w:jc w:val="right"/>
              <w:rPr>
                <w:b/>
                <w:bCs/>
                <w:color w:val="000000"/>
                <w:sz w:val="24"/>
                <w:szCs w:val="24"/>
              </w:rPr>
            </w:pPr>
            <w:r w:rsidRPr="00E837F8">
              <w:rPr>
                <w:b/>
                <w:bCs/>
                <w:color w:val="000000"/>
                <w:sz w:val="24"/>
                <w:szCs w:val="24"/>
              </w:rPr>
              <w:t>85</w:t>
            </w:r>
          </w:p>
        </w:tc>
        <w:tc>
          <w:tcPr>
            <w:tcW w:w="4963" w:type="dxa"/>
            <w:tcBorders>
              <w:top w:val="nil"/>
              <w:left w:val="nil"/>
              <w:bottom w:val="single" w:sz="4" w:space="0" w:color="000000"/>
              <w:right w:val="single" w:sz="4" w:space="0" w:color="000000"/>
            </w:tcBorders>
          </w:tcPr>
          <w:p w14:paraId="287BCE3B" w14:textId="77777777" w:rsidR="00567EF5" w:rsidRPr="00E837F8" w:rsidRDefault="006578A3">
            <w:pPr>
              <w:rPr>
                <w:color w:val="333333"/>
                <w:sz w:val="24"/>
                <w:szCs w:val="24"/>
              </w:rPr>
            </w:pPr>
            <w:r w:rsidRPr="00E837F8">
              <w:rPr>
                <w:color w:val="333333"/>
                <w:sz w:val="24"/>
                <w:szCs w:val="24"/>
              </w:rPr>
              <w:t>Twum, A.K., ZhongMing, T., Agyemang, A.O., Ayamba, E.C. and Chibsah, R. (2021) ‘The impact of internal and external factors of credit risk on businesses: An empirical study of Chinese commercial banks’, </w:t>
            </w:r>
            <w:r w:rsidRPr="00E837F8">
              <w:rPr>
                <w:i/>
                <w:iCs/>
                <w:color w:val="333333"/>
                <w:sz w:val="24"/>
                <w:szCs w:val="24"/>
              </w:rPr>
              <w:t>The Journal of corporate accounting &amp; finance</w:t>
            </w:r>
            <w:r w:rsidRPr="00E837F8">
              <w:rPr>
                <w:color w:val="333333"/>
                <w:sz w:val="24"/>
                <w:szCs w:val="24"/>
              </w:rPr>
              <w:t>, 32(1), pp. 115–128. Available at: https://doi.org/10.1002/jcaf.22482</w:t>
            </w:r>
          </w:p>
        </w:tc>
        <w:tc>
          <w:tcPr>
            <w:tcW w:w="4577" w:type="dxa"/>
            <w:tcBorders>
              <w:top w:val="nil"/>
              <w:left w:val="nil"/>
              <w:bottom w:val="single" w:sz="4" w:space="0" w:color="000000"/>
              <w:right w:val="single" w:sz="4" w:space="0" w:color="000000"/>
            </w:tcBorders>
          </w:tcPr>
          <w:p w14:paraId="287BCE3C" w14:textId="77777777" w:rsidR="00567EF5" w:rsidRPr="00E837F8" w:rsidRDefault="006578A3">
            <w:pPr>
              <w:rPr>
                <w:color w:val="000000"/>
                <w:sz w:val="24"/>
                <w:szCs w:val="24"/>
              </w:rPr>
            </w:pPr>
            <w:r w:rsidRPr="00E837F8">
              <w:rPr>
                <w:color w:val="000000"/>
                <w:sz w:val="24"/>
                <w:szCs w:val="24"/>
              </w:rPr>
              <w:t>Higher interest rates dramatically raise credit risk, as rising borrowing costs put more pressure on borrowers and expose vulnerabilities in the banking sector during volatile periods.</w:t>
            </w:r>
          </w:p>
        </w:tc>
      </w:tr>
      <w:tr w:rsidR="00567EF5" w:rsidRPr="00E837F8" w14:paraId="287BCE4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3E" w14:textId="77777777" w:rsidR="00567EF5" w:rsidRPr="00E837F8" w:rsidRDefault="006578A3">
            <w:pPr>
              <w:jc w:val="right"/>
              <w:rPr>
                <w:b/>
                <w:bCs/>
                <w:color w:val="000000"/>
                <w:sz w:val="24"/>
                <w:szCs w:val="24"/>
              </w:rPr>
            </w:pPr>
            <w:r w:rsidRPr="00E837F8">
              <w:rPr>
                <w:b/>
                <w:bCs/>
                <w:color w:val="000000"/>
                <w:sz w:val="24"/>
                <w:szCs w:val="24"/>
              </w:rPr>
              <w:t>86</w:t>
            </w:r>
          </w:p>
        </w:tc>
        <w:tc>
          <w:tcPr>
            <w:tcW w:w="4963" w:type="dxa"/>
            <w:tcBorders>
              <w:top w:val="nil"/>
              <w:left w:val="nil"/>
              <w:bottom w:val="single" w:sz="4" w:space="0" w:color="000000"/>
              <w:right w:val="single" w:sz="4" w:space="0" w:color="000000"/>
            </w:tcBorders>
          </w:tcPr>
          <w:p w14:paraId="287BCE3F" w14:textId="77777777" w:rsidR="00567EF5" w:rsidRPr="00E837F8" w:rsidRDefault="006578A3">
            <w:pPr>
              <w:rPr>
                <w:color w:val="333333"/>
                <w:sz w:val="24"/>
                <w:szCs w:val="24"/>
              </w:rPr>
            </w:pPr>
            <w:r w:rsidRPr="00E837F8">
              <w:rPr>
                <w:color w:val="333333"/>
                <w:sz w:val="24"/>
                <w:szCs w:val="24"/>
              </w:rPr>
              <w:t>Schneider, A. (2018) ‘Studies on the impact of accounting information and assurance on commercial lending judgments’, </w:t>
            </w:r>
            <w:r w:rsidRPr="00E837F8">
              <w:rPr>
                <w:i/>
                <w:iCs/>
                <w:color w:val="333333"/>
                <w:sz w:val="24"/>
                <w:szCs w:val="24"/>
              </w:rPr>
              <w:t>Journal of accounting literature</w:t>
            </w:r>
            <w:r w:rsidRPr="00E837F8">
              <w:rPr>
                <w:color w:val="333333"/>
                <w:sz w:val="24"/>
                <w:szCs w:val="24"/>
              </w:rPr>
              <w:t>, 41(1), pp. 63–74. Available at: https://doi.org/10.1016/j.acclit.2018.03.005</w:t>
            </w:r>
          </w:p>
        </w:tc>
        <w:tc>
          <w:tcPr>
            <w:tcW w:w="4577" w:type="dxa"/>
            <w:tcBorders>
              <w:top w:val="nil"/>
              <w:left w:val="nil"/>
              <w:bottom w:val="single" w:sz="4" w:space="0" w:color="000000"/>
              <w:right w:val="single" w:sz="4" w:space="0" w:color="000000"/>
            </w:tcBorders>
          </w:tcPr>
          <w:p w14:paraId="287BCE40" w14:textId="77777777" w:rsidR="00567EF5" w:rsidRPr="00E837F8" w:rsidRDefault="006578A3">
            <w:pPr>
              <w:rPr>
                <w:color w:val="000000"/>
                <w:sz w:val="24"/>
                <w:szCs w:val="24"/>
              </w:rPr>
            </w:pPr>
            <w:r w:rsidRPr="00E837F8">
              <w:rPr>
                <w:color w:val="000000"/>
                <w:sz w:val="24"/>
                <w:szCs w:val="24"/>
              </w:rPr>
              <w:t>Lenders rely on audited statements and key financial ratios to determine risk, but additional data does not always increase bankruptcy forecast accuracy.</w:t>
            </w:r>
          </w:p>
        </w:tc>
      </w:tr>
      <w:tr w:rsidR="00567EF5" w:rsidRPr="00E837F8" w14:paraId="287BCE4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2" w14:textId="77777777" w:rsidR="00567EF5" w:rsidRPr="00E837F8" w:rsidRDefault="006578A3">
            <w:pPr>
              <w:jc w:val="right"/>
              <w:rPr>
                <w:b/>
                <w:bCs/>
                <w:color w:val="000000"/>
                <w:sz w:val="24"/>
                <w:szCs w:val="24"/>
              </w:rPr>
            </w:pPr>
            <w:r w:rsidRPr="00E837F8">
              <w:rPr>
                <w:b/>
                <w:bCs/>
                <w:color w:val="000000"/>
                <w:sz w:val="24"/>
                <w:szCs w:val="24"/>
              </w:rPr>
              <w:t>87</w:t>
            </w:r>
          </w:p>
        </w:tc>
        <w:tc>
          <w:tcPr>
            <w:tcW w:w="4963" w:type="dxa"/>
            <w:tcBorders>
              <w:top w:val="nil"/>
              <w:left w:val="nil"/>
              <w:bottom w:val="single" w:sz="4" w:space="0" w:color="000000"/>
              <w:right w:val="single" w:sz="4" w:space="0" w:color="000000"/>
            </w:tcBorders>
          </w:tcPr>
          <w:p w14:paraId="287BCE43" w14:textId="77777777" w:rsidR="00567EF5" w:rsidRPr="00E837F8" w:rsidRDefault="006578A3">
            <w:pPr>
              <w:rPr>
                <w:color w:val="333333"/>
                <w:sz w:val="24"/>
                <w:szCs w:val="24"/>
              </w:rPr>
            </w:pPr>
            <w:r w:rsidRPr="00E837F8">
              <w:rPr>
                <w:color w:val="333333"/>
                <w:sz w:val="24"/>
                <w:szCs w:val="24"/>
              </w:rPr>
              <w:t>Gyimah, K.N., Akande, J.O. and Muzindutsi, P.-F. (2022) ‘Lending methodologies and SMEs access to finance in Ghana; the mediating role of credit reference information’, </w:t>
            </w:r>
            <w:r w:rsidRPr="00E837F8">
              <w:rPr>
                <w:i/>
                <w:iCs/>
                <w:color w:val="333333"/>
                <w:sz w:val="24"/>
                <w:szCs w:val="24"/>
              </w:rPr>
              <w:t>Cogent business &amp; management</w:t>
            </w:r>
            <w:r w:rsidRPr="00E837F8">
              <w:rPr>
                <w:color w:val="333333"/>
                <w:sz w:val="24"/>
                <w:szCs w:val="24"/>
              </w:rPr>
              <w:t>, 9(1), pp. 1–22. Available at: https://doi.org/10.1080/23311975.2022.2143075</w:t>
            </w:r>
          </w:p>
        </w:tc>
        <w:tc>
          <w:tcPr>
            <w:tcW w:w="4577" w:type="dxa"/>
            <w:tcBorders>
              <w:top w:val="nil"/>
              <w:left w:val="nil"/>
              <w:bottom w:val="single" w:sz="4" w:space="0" w:color="000000"/>
              <w:right w:val="single" w:sz="4" w:space="0" w:color="000000"/>
            </w:tcBorders>
          </w:tcPr>
          <w:p w14:paraId="287BCE44" w14:textId="77777777" w:rsidR="00567EF5" w:rsidRPr="00E837F8" w:rsidRDefault="006578A3">
            <w:pPr>
              <w:rPr>
                <w:color w:val="000000"/>
                <w:sz w:val="24"/>
                <w:szCs w:val="24"/>
              </w:rPr>
            </w:pPr>
            <w:r w:rsidRPr="00E837F8">
              <w:rPr>
                <w:color w:val="000000"/>
                <w:sz w:val="24"/>
                <w:szCs w:val="24"/>
              </w:rPr>
              <w:t>Credit reference information enhances transaction-based lending and improves SME loan access. Additionally, SME factors such as age, experience, assets, and income significantly impact credit outcomes and lending approaches.</w:t>
            </w:r>
          </w:p>
        </w:tc>
      </w:tr>
      <w:tr w:rsidR="00567EF5" w:rsidRPr="00E837F8" w14:paraId="287BCE4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46" w14:textId="77777777" w:rsidR="00567EF5" w:rsidRPr="00E837F8" w:rsidRDefault="006578A3">
            <w:pPr>
              <w:jc w:val="right"/>
              <w:rPr>
                <w:b/>
                <w:bCs/>
                <w:color w:val="000000"/>
                <w:sz w:val="24"/>
                <w:szCs w:val="24"/>
              </w:rPr>
            </w:pPr>
            <w:r w:rsidRPr="00E837F8">
              <w:rPr>
                <w:b/>
                <w:bCs/>
                <w:color w:val="000000"/>
                <w:sz w:val="24"/>
                <w:szCs w:val="24"/>
              </w:rPr>
              <w:t>88</w:t>
            </w:r>
          </w:p>
        </w:tc>
        <w:tc>
          <w:tcPr>
            <w:tcW w:w="4963" w:type="dxa"/>
            <w:tcBorders>
              <w:top w:val="nil"/>
              <w:left w:val="nil"/>
              <w:bottom w:val="single" w:sz="4" w:space="0" w:color="000000"/>
              <w:right w:val="single" w:sz="4" w:space="0" w:color="000000"/>
            </w:tcBorders>
          </w:tcPr>
          <w:p w14:paraId="287BCE47" w14:textId="77777777" w:rsidR="00567EF5" w:rsidRPr="00E837F8" w:rsidRDefault="006578A3">
            <w:pPr>
              <w:rPr>
                <w:color w:val="333333"/>
                <w:sz w:val="24"/>
                <w:szCs w:val="24"/>
              </w:rPr>
            </w:pPr>
            <w:r w:rsidRPr="00E837F8">
              <w:rPr>
                <w:color w:val="333333"/>
                <w:sz w:val="24"/>
                <w:szCs w:val="24"/>
              </w:rPr>
              <w:t>Gao, X., Jia, Y. and Li, S. (2020) ‘Does Mandatory Disclosure of Internal Control Weaknesses Affect Corporate Financing Decisions?’, </w:t>
            </w:r>
            <w:r w:rsidRPr="00E837F8">
              <w:rPr>
                <w:i/>
                <w:iCs/>
                <w:color w:val="333333"/>
                <w:sz w:val="24"/>
                <w:szCs w:val="24"/>
              </w:rPr>
              <w:t>Journal of accounting, auditing &amp; finance</w:t>
            </w:r>
            <w:r w:rsidRPr="00E837F8">
              <w:rPr>
                <w:color w:val="333333"/>
                <w:sz w:val="24"/>
                <w:szCs w:val="24"/>
              </w:rPr>
              <w:t>, 35(3), pp. 581–606. Available at: https://doi.org/10.1177/0148558X18772244</w:t>
            </w:r>
          </w:p>
        </w:tc>
        <w:tc>
          <w:tcPr>
            <w:tcW w:w="4577" w:type="dxa"/>
            <w:tcBorders>
              <w:top w:val="nil"/>
              <w:left w:val="nil"/>
              <w:bottom w:val="single" w:sz="4" w:space="0" w:color="000000"/>
              <w:right w:val="single" w:sz="4" w:space="0" w:color="000000"/>
            </w:tcBorders>
          </w:tcPr>
          <w:p w14:paraId="287BCE48" w14:textId="77777777" w:rsidR="00567EF5" w:rsidRPr="00E837F8" w:rsidRDefault="006578A3">
            <w:pPr>
              <w:rPr>
                <w:color w:val="000000"/>
                <w:sz w:val="24"/>
                <w:szCs w:val="24"/>
              </w:rPr>
            </w:pPr>
            <w:r w:rsidRPr="00E837F8">
              <w:rPr>
                <w:color w:val="000000"/>
                <w:sz w:val="24"/>
                <w:szCs w:val="24"/>
              </w:rPr>
              <w:t>Prior to disclosure, organisations rely more on external finance, particularly equity, but this increased requirement for outside capital vanishes once internal control deficiencies are recognized.</w:t>
            </w:r>
          </w:p>
        </w:tc>
      </w:tr>
      <w:tr w:rsidR="00567EF5" w:rsidRPr="00E837F8" w14:paraId="287BCE4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A" w14:textId="77777777" w:rsidR="00567EF5" w:rsidRPr="00E837F8" w:rsidRDefault="006578A3">
            <w:pPr>
              <w:jc w:val="right"/>
              <w:rPr>
                <w:b/>
                <w:bCs/>
                <w:color w:val="000000"/>
                <w:sz w:val="24"/>
                <w:szCs w:val="24"/>
              </w:rPr>
            </w:pPr>
            <w:r w:rsidRPr="00E837F8">
              <w:rPr>
                <w:b/>
                <w:bCs/>
                <w:color w:val="000000"/>
                <w:sz w:val="24"/>
                <w:szCs w:val="24"/>
              </w:rPr>
              <w:lastRenderedPageBreak/>
              <w:t>89</w:t>
            </w:r>
          </w:p>
        </w:tc>
        <w:tc>
          <w:tcPr>
            <w:tcW w:w="4963" w:type="dxa"/>
            <w:tcBorders>
              <w:top w:val="nil"/>
              <w:left w:val="nil"/>
              <w:bottom w:val="single" w:sz="4" w:space="0" w:color="000000"/>
              <w:right w:val="single" w:sz="4" w:space="0" w:color="000000"/>
            </w:tcBorders>
          </w:tcPr>
          <w:p w14:paraId="287BCE4B" w14:textId="77777777" w:rsidR="00567EF5" w:rsidRPr="00E837F8" w:rsidRDefault="006578A3">
            <w:pPr>
              <w:rPr>
                <w:color w:val="333333"/>
                <w:sz w:val="24"/>
                <w:szCs w:val="24"/>
              </w:rPr>
            </w:pPr>
            <w:r w:rsidRPr="00E837F8">
              <w:rPr>
                <w:color w:val="333333"/>
                <w:sz w:val="24"/>
                <w:szCs w:val="24"/>
              </w:rPr>
              <w:t>Hong, C. and Ren, T. (2025) ‘Financial Constraints and Firm Innovation Decision: The Roles of Corporate Governance and Risk Diversification’, </w:t>
            </w:r>
            <w:r w:rsidRPr="00E837F8">
              <w:rPr>
                <w:i/>
                <w:iCs/>
                <w:color w:val="333333"/>
                <w:sz w:val="24"/>
                <w:szCs w:val="24"/>
              </w:rPr>
              <w:t>Emerging markets finance &amp; trade</w:t>
            </w:r>
            <w:r w:rsidRPr="00E837F8">
              <w:rPr>
                <w:color w:val="333333"/>
                <w:sz w:val="24"/>
                <w:szCs w:val="24"/>
              </w:rPr>
              <w:t>, 61(5), pp. 1428–1445. Available at: https://doi.org/10.1080/1540496X.2024.2420605</w:t>
            </w:r>
          </w:p>
        </w:tc>
        <w:tc>
          <w:tcPr>
            <w:tcW w:w="4577" w:type="dxa"/>
            <w:tcBorders>
              <w:top w:val="nil"/>
              <w:left w:val="nil"/>
              <w:bottom w:val="single" w:sz="4" w:space="0" w:color="000000"/>
              <w:right w:val="single" w:sz="4" w:space="0" w:color="000000"/>
            </w:tcBorders>
          </w:tcPr>
          <w:p w14:paraId="287BCE4C" w14:textId="77777777" w:rsidR="00567EF5" w:rsidRPr="00E837F8" w:rsidRDefault="006578A3">
            <w:pPr>
              <w:rPr>
                <w:color w:val="000000"/>
                <w:sz w:val="24"/>
                <w:szCs w:val="24"/>
              </w:rPr>
            </w:pPr>
            <w:r w:rsidRPr="00E837F8">
              <w:rPr>
                <w:color w:val="000000"/>
                <w:sz w:val="24"/>
                <w:szCs w:val="24"/>
              </w:rPr>
              <w:t>Tighter financial limitations drive organisations to innovate in order to avoid poor financing conditions, whereas diversified ownership enables firms to explore riskier inventive tactics as an alternative to these constraints.</w:t>
            </w:r>
          </w:p>
        </w:tc>
      </w:tr>
      <w:tr w:rsidR="00567EF5" w:rsidRPr="00E837F8" w14:paraId="287BCE5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E" w14:textId="77777777" w:rsidR="00567EF5" w:rsidRPr="00E837F8" w:rsidRDefault="006578A3">
            <w:pPr>
              <w:jc w:val="right"/>
              <w:rPr>
                <w:b/>
                <w:bCs/>
                <w:color w:val="000000"/>
                <w:sz w:val="24"/>
                <w:szCs w:val="24"/>
              </w:rPr>
            </w:pPr>
            <w:r w:rsidRPr="00E837F8">
              <w:rPr>
                <w:b/>
                <w:bCs/>
                <w:color w:val="000000"/>
                <w:sz w:val="24"/>
                <w:szCs w:val="24"/>
              </w:rPr>
              <w:t>90</w:t>
            </w:r>
          </w:p>
        </w:tc>
        <w:tc>
          <w:tcPr>
            <w:tcW w:w="4963" w:type="dxa"/>
            <w:tcBorders>
              <w:top w:val="nil"/>
              <w:left w:val="nil"/>
              <w:bottom w:val="single" w:sz="4" w:space="0" w:color="000000"/>
              <w:right w:val="single" w:sz="4" w:space="0" w:color="000000"/>
            </w:tcBorders>
          </w:tcPr>
          <w:p w14:paraId="287BCE4F" w14:textId="77777777" w:rsidR="00567EF5" w:rsidRPr="00E837F8" w:rsidRDefault="006578A3">
            <w:pPr>
              <w:rPr>
                <w:color w:val="333333"/>
                <w:sz w:val="24"/>
                <w:szCs w:val="24"/>
              </w:rPr>
            </w:pPr>
            <w:r w:rsidRPr="00E837F8">
              <w:rPr>
                <w:color w:val="333333"/>
                <w:sz w:val="24"/>
                <w:szCs w:val="24"/>
              </w:rPr>
              <w:t>Comino-Jurado, M., Sánchez-Andújar, S. and Parrado-Martínez, P. (2021) ‘Reassessing debt-financing decisions in family firms: Family involvement on the board of directors and generational stage’, </w:t>
            </w:r>
            <w:r w:rsidRPr="00E837F8">
              <w:rPr>
                <w:i/>
                <w:iCs/>
                <w:color w:val="333333"/>
                <w:sz w:val="24"/>
                <w:szCs w:val="24"/>
              </w:rPr>
              <w:t>Journal of business research</w:t>
            </w:r>
            <w:r w:rsidRPr="00E837F8">
              <w:rPr>
                <w:color w:val="333333"/>
                <w:sz w:val="24"/>
                <w:szCs w:val="24"/>
              </w:rPr>
              <w:t>, 135, pp. 426–435. Available at: https://doi.org/10.1016/j.jbusres.2021.06.060</w:t>
            </w:r>
          </w:p>
        </w:tc>
        <w:tc>
          <w:tcPr>
            <w:tcW w:w="4577" w:type="dxa"/>
            <w:tcBorders>
              <w:top w:val="nil"/>
              <w:left w:val="nil"/>
              <w:bottom w:val="single" w:sz="4" w:space="0" w:color="000000"/>
              <w:right w:val="single" w:sz="4" w:space="0" w:color="000000"/>
            </w:tcBorders>
          </w:tcPr>
          <w:p w14:paraId="287BCE50" w14:textId="77777777" w:rsidR="00567EF5" w:rsidRPr="00E837F8" w:rsidRDefault="006578A3">
            <w:pPr>
              <w:rPr>
                <w:color w:val="000000"/>
                <w:sz w:val="24"/>
                <w:szCs w:val="24"/>
              </w:rPr>
            </w:pPr>
            <w:r w:rsidRPr="00E837F8">
              <w:rPr>
                <w:color w:val="000000"/>
                <w:sz w:val="24"/>
                <w:szCs w:val="24"/>
              </w:rPr>
              <w:t>Long-term debt is more influenced by family involvement than short-term borrowing. However, liquidity, profitability, age, size, and industry continue to lower leverage and influence capital structure decisions.</w:t>
            </w:r>
          </w:p>
        </w:tc>
      </w:tr>
      <w:tr w:rsidR="00567EF5" w:rsidRPr="00E837F8" w14:paraId="287BCE5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52" w14:textId="77777777" w:rsidR="00567EF5" w:rsidRPr="00E837F8" w:rsidRDefault="006578A3">
            <w:pPr>
              <w:jc w:val="right"/>
              <w:rPr>
                <w:b/>
                <w:bCs/>
                <w:color w:val="000000"/>
                <w:sz w:val="24"/>
                <w:szCs w:val="24"/>
              </w:rPr>
            </w:pPr>
            <w:r w:rsidRPr="00E837F8">
              <w:rPr>
                <w:b/>
                <w:bCs/>
                <w:color w:val="000000"/>
                <w:sz w:val="24"/>
                <w:szCs w:val="24"/>
              </w:rPr>
              <w:t>91</w:t>
            </w:r>
          </w:p>
        </w:tc>
        <w:tc>
          <w:tcPr>
            <w:tcW w:w="4963" w:type="dxa"/>
            <w:tcBorders>
              <w:top w:val="nil"/>
              <w:left w:val="nil"/>
              <w:bottom w:val="single" w:sz="4" w:space="0" w:color="000000"/>
              <w:right w:val="single" w:sz="4" w:space="0" w:color="000000"/>
            </w:tcBorders>
          </w:tcPr>
          <w:p w14:paraId="287BCE53" w14:textId="77777777" w:rsidR="00567EF5" w:rsidRPr="00E837F8" w:rsidRDefault="006578A3">
            <w:pPr>
              <w:rPr>
                <w:color w:val="333333"/>
                <w:sz w:val="24"/>
                <w:szCs w:val="24"/>
              </w:rPr>
            </w:pPr>
            <w:r w:rsidRPr="00E837F8">
              <w:rPr>
                <w:color w:val="333333"/>
                <w:sz w:val="24"/>
                <w:szCs w:val="24"/>
              </w:rPr>
              <w:t>Xie, S. and Bashir, M.F. (2024) ‘Institutional differences, state ownership and financing decisions: Evidence from Chinese cross‐border mergers and acquisitions’, </w:t>
            </w:r>
            <w:r w:rsidRPr="00E837F8">
              <w:rPr>
                <w:i/>
                <w:iCs/>
                <w:color w:val="333333"/>
                <w:sz w:val="24"/>
                <w:szCs w:val="24"/>
              </w:rPr>
              <w:t> International finance (Oxford, England)</w:t>
            </w:r>
            <w:r w:rsidRPr="00E837F8">
              <w:rPr>
                <w:color w:val="333333"/>
                <w:sz w:val="24"/>
                <w:szCs w:val="24"/>
              </w:rPr>
              <w:t>, 27(3), pp. 309–338. Available at: https://doi.org/10.1111/infi.12455</w:t>
            </w:r>
          </w:p>
        </w:tc>
        <w:tc>
          <w:tcPr>
            <w:tcW w:w="4577" w:type="dxa"/>
            <w:tcBorders>
              <w:top w:val="nil"/>
              <w:left w:val="nil"/>
              <w:bottom w:val="single" w:sz="4" w:space="0" w:color="000000"/>
              <w:right w:val="single" w:sz="4" w:space="0" w:color="000000"/>
            </w:tcBorders>
          </w:tcPr>
          <w:p w14:paraId="287BCE54" w14:textId="77777777" w:rsidR="00567EF5" w:rsidRPr="00E837F8" w:rsidRDefault="006578A3">
            <w:pPr>
              <w:rPr>
                <w:color w:val="000000"/>
                <w:sz w:val="24"/>
                <w:szCs w:val="24"/>
              </w:rPr>
            </w:pPr>
            <w:r w:rsidRPr="00E837F8">
              <w:rPr>
                <w:color w:val="000000"/>
                <w:sz w:val="24"/>
                <w:szCs w:val="24"/>
              </w:rPr>
              <w:t>Due to institutional and cultural distance, Chinese enterprises rely more on internal and equity finance, resulting in a reversed pecking order (internal-equity-loan) and substantial information asymmetry.</w:t>
            </w:r>
          </w:p>
        </w:tc>
      </w:tr>
      <w:tr w:rsidR="00567EF5" w:rsidRPr="00E837F8" w14:paraId="287BCE5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6" w14:textId="77777777" w:rsidR="00567EF5" w:rsidRPr="00E837F8" w:rsidRDefault="006578A3">
            <w:pPr>
              <w:jc w:val="right"/>
              <w:rPr>
                <w:b/>
                <w:bCs/>
                <w:color w:val="000000"/>
                <w:sz w:val="24"/>
                <w:szCs w:val="24"/>
              </w:rPr>
            </w:pPr>
            <w:r w:rsidRPr="00E837F8">
              <w:rPr>
                <w:b/>
                <w:bCs/>
                <w:color w:val="000000"/>
                <w:sz w:val="24"/>
                <w:szCs w:val="24"/>
              </w:rPr>
              <w:t>92</w:t>
            </w:r>
          </w:p>
        </w:tc>
        <w:tc>
          <w:tcPr>
            <w:tcW w:w="4963" w:type="dxa"/>
            <w:tcBorders>
              <w:top w:val="nil"/>
              <w:left w:val="nil"/>
              <w:bottom w:val="single" w:sz="4" w:space="0" w:color="000000"/>
              <w:right w:val="single" w:sz="4" w:space="0" w:color="000000"/>
            </w:tcBorders>
          </w:tcPr>
          <w:p w14:paraId="287BCE57" w14:textId="77777777" w:rsidR="00567EF5" w:rsidRPr="00E837F8" w:rsidRDefault="006578A3">
            <w:pPr>
              <w:rPr>
                <w:color w:val="333333"/>
                <w:sz w:val="24"/>
                <w:szCs w:val="24"/>
              </w:rPr>
            </w:pPr>
            <w:r w:rsidRPr="00E837F8">
              <w:rPr>
                <w:color w:val="333333"/>
                <w:sz w:val="24"/>
                <w:szCs w:val="24"/>
              </w:rPr>
              <w:t>Tayachi, T., Hunjra, A.I., Jones, K., Mehmood, R. and Al-Faryan, M.A.S. (2023) ‘How does ownership structure affect the financing and dividend decisions of firm?’, </w:t>
            </w:r>
            <w:r w:rsidRPr="00E837F8">
              <w:rPr>
                <w:i/>
                <w:iCs/>
                <w:color w:val="333333"/>
                <w:sz w:val="24"/>
                <w:szCs w:val="24"/>
              </w:rPr>
              <w:t>Journal of financial reporting &amp; accounting</w:t>
            </w:r>
            <w:r w:rsidRPr="00E837F8">
              <w:rPr>
                <w:color w:val="333333"/>
                <w:sz w:val="24"/>
                <w:szCs w:val="24"/>
              </w:rPr>
              <w:t>, 21(3), pp. 729–746. Available at: https://doi.org/10.1108/JFRA-09-2021-0291</w:t>
            </w:r>
          </w:p>
        </w:tc>
        <w:tc>
          <w:tcPr>
            <w:tcW w:w="4577" w:type="dxa"/>
            <w:tcBorders>
              <w:top w:val="nil"/>
              <w:left w:val="nil"/>
              <w:bottom w:val="single" w:sz="4" w:space="0" w:color="000000"/>
              <w:right w:val="single" w:sz="4" w:space="0" w:color="000000"/>
            </w:tcBorders>
          </w:tcPr>
          <w:p w14:paraId="287BCE58" w14:textId="77777777" w:rsidR="00567EF5" w:rsidRPr="00E837F8" w:rsidRDefault="006578A3">
            <w:pPr>
              <w:rPr>
                <w:color w:val="000000"/>
                <w:sz w:val="24"/>
                <w:szCs w:val="24"/>
              </w:rPr>
            </w:pPr>
            <w:r w:rsidRPr="00E837F8">
              <w:rPr>
                <w:color w:val="000000"/>
                <w:sz w:val="24"/>
                <w:szCs w:val="24"/>
              </w:rPr>
              <w:t>Management ownership raises leverage and cuts dividends, whereas ownership concentration boosts debt and reduces payouts by retaining earnings for personal gain.</w:t>
            </w:r>
          </w:p>
        </w:tc>
      </w:tr>
      <w:tr w:rsidR="00567EF5" w:rsidRPr="00E837F8" w14:paraId="287BCE5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A" w14:textId="77777777" w:rsidR="00567EF5" w:rsidRPr="00E837F8" w:rsidRDefault="006578A3">
            <w:pPr>
              <w:jc w:val="right"/>
              <w:rPr>
                <w:b/>
                <w:bCs/>
                <w:color w:val="000000"/>
                <w:sz w:val="24"/>
                <w:szCs w:val="24"/>
              </w:rPr>
            </w:pPr>
            <w:r w:rsidRPr="00E837F8">
              <w:rPr>
                <w:b/>
                <w:bCs/>
                <w:color w:val="000000"/>
                <w:sz w:val="24"/>
                <w:szCs w:val="24"/>
              </w:rPr>
              <w:t>93</w:t>
            </w:r>
          </w:p>
        </w:tc>
        <w:tc>
          <w:tcPr>
            <w:tcW w:w="4963" w:type="dxa"/>
            <w:tcBorders>
              <w:top w:val="nil"/>
              <w:left w:val="nil"/>
              <w:bottom w:val="single" w:sz="4" w:space="0" w:color="000000"/>
              <w:right w:val="single" w:sz="4" w:space="0" w:color="000000"/>
            </w:tcBorders>
          </w:tcPr>
          <w:p w14:paraId="287BCE5B" w14:textId="77777777" w:rsidR="00567EF5" w:rsidRPr="00E837F8" w:rsidRDefault="006578A3">
            <w:pPr>
              <w:rPr>
                <w:color w:val="333333"/>
                <w:sz w:val="24"/>
                <w:szCs w:val="24"/>
              </w:rPr>
            </w:pPr>
            <w:r w:rsidRPr="00E837F8">
              <w:rPr>
                <w:color w:val="333333"/>
                <w:sz w:val="24"/>
                <w:szCs w:val="24"/>
              </w:rPr>
              <w:t>Lai, L. and Tam, H. (2017) ‘Corporate governance, ownership structure and managing earnings to meet critical thresholds among Chinese listed firms’, </w:t>
            </w:r>
            <w:r w:rsidRPr="00E837F8">
              <w:rPr>
                <w:i/>
                <w:iCs/>
                <w:color w:val="333333"/>
                <w:sz w:val="24"/>
                <w:szCs w:val="24"/>
              </w:rPr>
              <w:t>Review of quantitative finance and accounting</w:t>
            </w:r>
            <w:r w:rsidRPr="00E837F8">
              <w:rPr>
                <w:color w:val="333333"/>
                <w:sz w:val="24"/>
                <w:szCs w:val="24"/>
              </w:rPr>
              <w:t>, 48(3), pp. 789–818. Available at: https://doi.org/10.1007/s11156-016-0568-y</w:t>
            </w:r>
          </w:p>
        </w:tc>
        <w:tc>
          <w:tcPr>
            <w:tcW w:w="4577" w:type="dxa"/>
            <w:tcBorders>
              <w:top w:val="nil"/>
              <w:left w:val="nil"/>
              <w:bottom w:val="single" w:sz="4" w:space="0" w:color="000000"/>
              <w:right w:val="single" w:sz="4" w:space="0" w:color="000000"/>
            </w:tcBorders>
          </w:tcPr>
          <w:p w14:paraId="287BCE5C" w14:textId="77777777" w:rsidR="00567EF5" w:rsidRPr="00E837F8" w:rsidRDefault="006578A3">
            <w:pPr>
              <w:rPr>
                <w:color w:val="000000"/>
                <w:sz w:val="24"/>
                <w:szCs w:val="24"/>
              </w:rPr>
            </w:pPr>
            <w:r w:rsidRPr="00E837F8">
              <w:rPr>
                <w:color w:val="000000"/>
                <w:sz w:val="24"/>
                <w:szCs w:val="24"/>
              </w:rPr>
              <w:t xml:space="preserve">Concentrated ownership lowers </w:t>
            </w:r>
            <w:r w:rsidRPr="00E837F8">
              <w:rPr>
                <w:sz w:val="24"/>
                <w:szCs w:val="24"/>
              </w:rPr>
              <w:t>profit</w:t>
            </w:r>
            <w:r w:rsidRPr="00E837F8">
              <w:rPr>
                <w:color w:val="000000"/>
                <w:sz w:val="24"/>
                <w:szCs w:val="24"/>
              </w:rPr>
              <w:t xml:space="preserve"> manipulation through tighter monitoring, but state and legal-person ownership increases </w:t>
            </w:r>
            <w:r w:rsidRPr="00E837F8">
              <w:rPr>
                <w:sz w:val="24"/>
                <w:szCs w:val="24"/>
              </w:rPr>
              <w:t>manipulation</w:t>
            </w:r>
            <w:r w:rsidRPr="00E837F8">
              <w:rPr>
                <w:color w:val="000000"/>
                <w:sz w:val="24"/>
                <w:szCs w:val="24"/>
              </w:rPr>
              <w:t xml:space="preserve"> due to political incentives, rent-seeking, and less control.</w:t>
            </w:r>
          </w:p>
        </w:tc>
      </w:tr>
      <w:tr w:rsidR="00567EF5" w:rsidRPr="00E837F8" w14:paraId="287BCE6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E" w14:textId="77777777" w:rsidR="00567EF5" w:rsidRPr="00E837F8" w:rsidRDefault="006578A3">
            <w:pPr>
              <w:jc w:val="right"/>
              <w:rPr>
                <w:b/>
                <w:bCs/>
                <w:color w:val="000000"/>
                <w:sz w:val="24"/>
                <w:szCs w:val="24"/>
              </w:rPr>
            </w:pPr>
            <w:r w:rsidRPr="00E837F8">
              <w:rPr>
                <w:b/>
                <w:bCs/>
                <w:color w:val="000000"/>
                <w:sz w:val="24"/>
                <w:szCs w:val="24"/>
              </w:rPr>
              <w:t>94</w:t>
            </w:r>
          </w:p>
        </w:tc>
        <w:tc>
          <w:tcPr>
            <w:tcW w:w="4963" w:type="dxa"/>
            <w:tcBorders>
              <w:top w:val="nil"/>
              <w:left w:val="nil"/>
              <w:bottom w:val="single" w:sz="4" w:space="0" w:color="000000"/>
              <w:right w:val="single" w:sz="4" w:space="0" w:color="000000"/>
            </w:tcBorders>
          </w:tcPr>
          <w:p w14:paraId="287BCE5F" w14:textId="77777777" w:rsidR="00567EF5" w:rsidRPr="00E837F8" w:rsidRDefault="006578A3">
            <w:pPr>
              <w:rPr>
                <w:color w:val="333333"/>
                <w:sz w:val="24"/>
                <w:szCs w:val="24"/>
              </w:rPr>
            </w:pPr>
            <w:r w:rsidRPr="00E837F8">
              <w:rPr>
                <w:color w:val="333333"/>
                <w:sz w:val="24"/>
                <w:szCs w:val="24"/>
              </w:rPr>
              <w:t>Yakubu, I.N. and Oumarou, S. (2023) ‘Boardroom dynamics: The power of board composition and gender diversity in shaping capital structure’, </w:t>
            </w:r>
            <w:r w:rsidRPr="00E837F8">
              <w:rPr>
                <w:i/>
                <w:iCs/>
                <w:color w:val="333333"/>
                <w:sz w:val="24"/>
                <w:szCs w:val="24"/>
              </w:rPr>
              <w:t>Cogent business &amp; management</w:t>
            </w:r>
            <w:r w:rsidRPr="00E837F8">
              <w:rPr>
                <w:color w:val="333333"/>
                <w:sz w:val="24"/>
                <w:szCs w:val="24"/>
              </w:rPr>
              <w:t>, 10(2), pp. 1–19. Available at: https://doi.org/10.1080/23311975.2023.2236836</w:t>
            </w:r>
          </w:p>
        </w:tc>
        <w:tc>
          <w:tcPr>
            <w:tcW w:w="4577" w:type="dxa"/>
            <w:tcBorders>
              <w:top w:val="nil"/>
              <w:left w:val="nil"/>
              <w:bottom w:val="single" w:sz="4" w:space="0" w:color="000000"/>
              <w:right w:val="single" w:sz="4" w:space="0" w:color="000000"/>
            </w:tcBorders>
          </w:tcPr>
          <w:p w14:paraId="287BCE60" w14:textId="77777777" w:rsidR="00567EF5" w:rsidRPr="00E837F8" w:rsidRDefault="006578A3">
            <w:pPr>
              <w:rPr>
                <w:color w:val="000000"/>
                <w:sz w:val="24"/>
                <w:szCs w:val="24"/>
              </w:rPr>
            </w:pPr>
            <w:r w:rsidRPr="00E837F8">
              <w:rPr>
                <w:color w:val="000000"/>
                <w:sz w:val="24"/>
                <w:szCs w:val="24"/>
              </w:rPr>
              <w:t>Inside directors reduce leverage through risk-averse scrutiny, whereas outside directors increase leverage through resource access. Larger organisations utilise less debt and rely on internal finance.</w:t>
            </w:r>
          </w:p>
        </w:tc>
      </w:tr>
      <w:tr w:rsidR="00567EF5" w:rsidRPr="00E837F8" w14:paraId="287BCE6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62" w14:textId="77777777" w:rsidR="00567EF5" w:rsidRPr="00E837F8" w:rsidRDefault="006578A3">
            <w:pPr>
              <w:jc w:val="right"/>
              <w:rPr>
                <w:b/>
                <w:bCs/>
                <w:color w:val="000000"/>
                <w:sz w:val="24"/>
                <w:szCs w:val="24"/>
              </w:rPr>
            </w:pPr>
            <w:r w:rsidRPr="00E837F8">
              <w:rPr>
                <w:b/>
                <w:bCs/>
                <w:color w:val="000000"/>
                <w:sz w:val="24"/>
                <w:szCs w:val="24"/>
              </w:rPr>
              <w:lastRenderedPageBreak/>
              <w:t>95</w:t>
            </w:r>
          </w:p>
        </w:tc>
        <w:tc>
          <w:tcPr>
            <w:tcW w:w="4963" w:type="dxa"/>
            <w:tcBorders>
              <w:top w:val="nil"/>
              <w:left w:val="nil"/>
              <w:bottom w:val="single" w:sz="4" w:space="0" w:color="000000"/>
              <w:right w:val="single" w:sz="4" w:space="0" w:color="000000"/>
            </w:tcBorders>
          </w:tcPr>
          <w:p w14:paraId="287BCE63" w14:textId="77777777" w:rsidR="00567EF5" w:rsidRPr="00E837F8" w:rsidRDefault="006578A3">
            <w:pPr>
              <w:rPr>
                <w:color w:val="333333"/>
                <w:sz w:val="24"/>
                <w:szCs w:val="24"/>
              </w:rPr>
            </w:pPr>
            <w:r w:rsidRPr="00E837F8">
              <w:rPr>
                <w:color w:val="333333"/>
                <w:sz w:val="24"/>
                <w:szCs w:val="24"/>
              </w:rPr>
              <w:t>Gao, T. and Ma, X. (2025) ‘Directors’ and officers’ liability insurance and corporate R&amp;D capitalisation: evidence from China’, </w:t>
            </w:r>
            <w:r w:rsidRPr="00E837F8">
              <w:rPr>
                <w:i/>
                <w:iCs/>
                <w:color w:val="333333"/>
                <w:sz w:val="24"/>
                <w:szCs w:val="24"/>
              </w:rPr>
              <w:t>Geneva papers on risk and insurance. Issues and practice</w:t>
            </w:r>
            <w:r w:rsidRPr="00E837F8">
              <w:rPr>
                <w:color w:val="333333"/>
                <w:sz w:val="24"/>
                <w:szCs w:val="24"/>
              </w:rPr>
              <w:t>, 50(4), pp. 792–824. Available at: https://doi.org/10.1057/s41288-025-00353-4</w:t>
            </w:r>
          </w:p>
        </w:tc>
        <w:tc>
          <w:tcPr>
            <w:tcW w:w="4577" w:type="dxa"/>
            <w:tcBorders>
              <w:top w:val="nil"/>
              <w:left w:val="nil"/>
              <w:bottom w:val="single" w:sz="4" w:space="0" w:color="000000"/>
              <w:right w:val="single" w:sz="4" w:space="0" w:color="000000"/>
            </w:tcBorders>
          </w:tcPr>
          <w:p w14:paraId="287BCE64" w14:textId="77777777" w:rsidR="00567EF5" w:rsidRPr="00E837F8" w:rsidRDefault="006578A3">
            <w:pPr>
              <w:rPr>
                <w:color w:val="000000"/>
                <w:sz w:val="24"/>
                <w:szCs w:val="24"/>
              </w:rPr>
            </w:pPr>
            <w:r w:rsidRPr="00E837F8">
              <w:rPr>
                <w:color w:val="000000"/>
                <w:sz w:val="24"/>
                <w:szCs w:val="24"/>
              </w:rPr>
              <w:t>Directors' and officers' insurance encourages managerial risk-taking, leading to increased earnings through R&amp;D capitalization. This effect is more pronounced when enterprises face tighter financial limitations or performance pressure.</w:t>
            </w:r>
          </w:p>
        </w:tc>
      </w:tr>
      <w:tr w:rsidR="00567EF5" w:rsidRPr="00E837F8" w14:paraId="287BCE6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E66" w14:textId="77777777" w:rsidR="00567EF5" w:rsidRPr="00E837F8" w:rsidRDefault="006578A3">
            <w:pPr>
              <w:jc w:val="right"/>
              <w:rPr>
                <w:b/>
                <w:bCs/>
                <w:color w:val="000000"/>
                <w:sz w:val="24"/>
                <w:szCs w:val="24"/>
              </w:rPr>
            </w:pPr>
            <w:r w:rsidRPr="00E837F8">
              <w:rPr>
                <w:b/>
                <w:bCs/>
                <w:color w:val="000000"/>
                <w:sz w:val="24"/>
                <w:szCs w:val="24"/>
              </w:rPr>
              <w:t>96</w:t>
            </w:r>
          </w:p>
        </w:tc>
        <w:tc>
          <w:tcPr>
            <w:tcW w:w="4963" w:type="dxa"/>
            <w:tcBorders>
              <w:top w:val="nil"/>
              <w:left w:val="nil"/>
              <w:bottom w:val="single" w:sz="4" w:space="0" w:color="000000"/>
              <w:right w:val="single" w:sz="4" w:space="0" w:color="000000"/>
            </w:tcBorders>
          </w:tcPr>
          <w:p w14:paraId="287BCE67" w14:textId="77777777" w:rsidR="00567EF5" w:rsidRPr="00E837F8" w:rsidRDefault="006578A3">
            <w:pPr>
              <w:rPr>
                <w:color w:val="333333"/>
                <w:sz w:val="24"/>
                <w:szCs w:val="24"/>
              </w:rPr>
            </w:pPr>
            <w:r w:rsidRPr="00E837F8">
              <w:rPr>
                <w:color w:val="333333"/>
                <w:sz w:val="24"/>
                <w:szCs w:val="24"/>
              </w:rPr>
              <w:t>Zhang, Y. (2025) ‘Incentive Contract, Equity Pooling, and Optimal Securitization Design’, </w:t>
            </w:r>
            <w:r w:rsidRPr="00E837F8">
              <w:rPr>
                <w:i/>
                <w:iCs/>
                <w:color w:val="333333"/>
                <w:sz w:val="24"/>
                <w:szCs w:val="24"/>
              </w:rPr>
              <w:t>Managerial and decision economics</w:t>
            </w:r>
            <w:r w:rsidRPr="00E837F8">
              <w:rPr>
                <w:color w:val="333333"/>
                <w:sz w:val="24"/>
                <w:szCs w:val="24"/>
              </w:rPr>
              <w:t>, 46(3), pp. 1558–1570. Available at: https://doi.org/10.1002/mde.4455</w:t>
            </w:r>
          </w:p>
        </w:tc>
        <w:tc>
          <w:tcPr>
            <w:tcW w:w="4577" w:type="dxa"/>
            <w:tcBorders>
              <w:top w:val="nil"/>
              <w:left w:val="nil"/>
              <w:bottom w:val="single" w:sz="4" w:space="0" w:color="000000"/>
              <w:right w:val="single" w:sz="4" w:space="0" w:color="000000"/>
            </w:tcBorders>
          </w:tcPr>
          <w:p w14:paraId="287BCE68" w14:textId="77777777" w:rsidR="00567EF5" w:rsidRPr="00E837F8" w:rsidRDefault="006578A3">
            <w:pPr>
              <w:rPr>
                <w:color w:val="000000"/>
                <w:sz w:val="24"/>
                <w:szCs w:val="24"/>
              </w:rPr>
            </w:pPr>
            <w:r w:rsidRPr="00E837F8">
              <w:rPr>
                <w:color w:val="000000"/>
                <w:sz w:val="24"/>
                <w:szCs w:val="24"/>
              </w:rPr>
              <w:t xml:space="preserve">Optimal contracts combine fixed compensation with equity incentives to drive managerial effort, whereas </w:t>
            </w:r>
            <w:r w:rsidRPr="00E837F8">
              <w:rPr>
                <w:sz w:val="24"/>
                <w:szCs w:val="24"/>
              </w:rPr>
              <w:t>optimal</w:t>
            </w:r>
            <w:r w:rsidRPr="00E837F8">
              <w:rPr>
                <w:color w:val="000000"/>
                <w:sz w:val="24"/>
                <w:szCs w:val="24"/>
              </w:rPr>
              <w:t xml:space="preserve"> financing maintains a waterfall structure (equity, senior bonds, junior bonds) that is tailored to investor risk tolerance.</w:t>
            </w:r>
          </w:p>
        </w:tc>
      </w:tr>
      <w:tr w:rsidR="00567EF5" w:rsidRPr="00E837F8" w14:paraId="287BCE6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6A" w14:textId="77777777" w:rsidR="00567EF5" w:rsidRPr="00E837F8" w:rsidRDefault="006578A3">
            <w:pPr>
              <w:jc w:val="right"/>
              <w:rPr>
                <w:b/>
                <w:bCs/>
                <w:color w:val="000000"/>
                <w:sz w:val="24"/>
                <w:szCs w:val="24"/>
              </w:rPr>
            </w:pPr>
            <w:r w:rsidRPr="00E837F8">
              <w:rPr>
                <w:b/>
                <w:bCs/>
                <w:color w:val="000000"/>
                <w:sz w:val="24"/>
                <w:szCs w:val="24"/>
              </w:rPr>
              <w:t>97</w:t>
            </w:r>
          </w:p>
        </w:tc>
        <w:tc>
          <w:tcPr>
            <w:tcW w:w="4963" w:type="dxa"/>
            <w:tcBorders>
              <w:top w:val="nil"/>
              <w:left w:val="nil"/>
              <w:bottom w:val="single" w:sz="4" w:space="0" w:color="000000"/>
              <w:right w:val="single" w:sz="4" w:space="0" w:color="000000"/>
            </w:tcBorders>
          </w:tcPr>
          <w:p w14:paraId="287BCE6B" w14:textId="77777777" w:rsidR="00567EF5" w:rsidRPr="00E837F8" w:rsidRDefault="006578A3">
            <w:pPr>
              <w:rPr>
                <w:color w:val="333333"/>
                <w:sz w:val="24"/>
                <w:szCs w:val="24"/>
              </w:rPr>
            </w:pPr>
            <w:r w:rsidRPr="00E837F8">
              <w:rPr>
                <w:color w:val="333333"/>
                <w:sz w:val="24"/>
                <w:szCs w:val="24"/>
              </w:rPr>
              <w:t>Leng, T., Liu, Y., Xiao, Y. and Hou, C. (2023) ‘Does firm financialization affect optimal real investment decisions? Evidence from China’, </w:t>
            </w:r>
            <w:r w:rsidRPr="00E837F8">
              <w:rPr>
                <w:i/>
                <w:iCs/>
                <w:color w:val="333333"/>
                <w:sz w:val="24"/>
                <w:szCs w:val="24"/>
              </w:rPr>
              <w:t>Pacific-Basin finance journal</w:t>
            </w:r>
            <w:r w:rsidRPr="00E837F8">
              <w:rPr>
                <w:color w:val="333333"/>
                <w:sz w:val="24"/>
                <w:szCs w:val="24"/>
              </w:rPr>
              <w:t>, 79, pp. 1–19. Available at: https://doi.org/10.1016/j.pacfin.2023.101970</w:t>
            </w:r>
          </w:p>
        </w:tc>
        <w:tc>
          <w:tcPr>
            <w:tcW w:w="4577" w:type="dxa"/>
            <w:tcBorders>
              <w:top w:val="nil"/>
              <w:left w:val="nil"/>
              <w:bottom w:val="single" w:sz="4" w:space="0" w:color="000000"/>
              <w:right w:val="single" w:sz="4" w:space="0" w:color="000000"/>
            </w:tcBorders>
          </w:tcPr>
          <w:p w14:paraId="287BCE6C" w14:textId="77777777" w:rsidR="00567EF5" w:rsidRPr="00E837F8" w:rsidRDefault="006578A3">
            <w:pPr>
              <w:rPr>
                <w:color w:val="000000"/>
                <w:sz w:val="24"/>
                <w:szCs w:val="24"/>
              </w:rPr>
            </w:pPr>
            <w:r w:rsidRPr="00E837F8">
              <w:rPr>
                <w:color w:val="000000"/>
                <w:sz w:val="24"/>
                <w:szCs w:val="24"/>
              </w:rPr>
              <w:t xml:space="preserve">Financialization weakens capital spending sensitivity to growth prospects, although </w:t>
            </w:r>
            <w:r w:rsidRPr="00E837F8">
              <w:rPr>
                <w:sz w:val="24"/>
                <w:szCs w:val="24"/>
              </w:rPr>
              <w:t>state-owned enterprises</w:t>
            </w:r>
            <w:r w:rsidRPr="00E837F8">
              <w:rPr>
                <w:color w:val="000000"/>
                <w:sz w:val="24"/>
                <w:szCs w:val="24"/>
              </w:rPr>
              <w:t xml:space="preserve"> and financially educated managers can minimize this distortion by better monitoring and information handling.</w:t>
            </w:r>
          </w:p>
        </w:tc>
      </w:tr>
      <w:tr w:rsidR="00567EF5" w:rsidRPr="00E837F8" w14:paraId="287BCE7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6E" w14:textId="77777777" w:rsidR="00567EF5" w:rsidRPr="00E837F8" w:rsidRDefault="006578A3">
            <w:pPr>
              <w:jc w:val="right"/>
              <w:rPr>
                <w:b/>
                <w:bCs/>
                <w:color w:val="000000"/>
                <w:sz w:val="24"/>
                <w:szCs w:val="24"/>
              </w:rPr>
            </w:pPr>
            <w:r w:rsidRPr="00E837F8">
              <w:rPr>
                <w:b/>
                <w:bCs/>
                <w:color w:val="000000"/>
                <w:sz w:val="24"/>
                <w:szCs w:val="24"/>
              </w:rPr>
              <w:t>98</w:t>
            </w:r>
          </w:p>
        </w:tc>
        <w:tc>
          <w:tcPr>
            <w:tcW w:w="4963" w:type="dxa"/>
            <w:tcBorders>
              <w:top w:val="nil"/>
              <w:left w:val="nil"/>
              <w:bottom w:val="single" w:sz="4" w:space="0" w:color="000000"/>
              <w:right w:val="single" w:sz="4" w:space="0" w:color="000000"/>
            </w:tcBorders>
          </w:tcPr>
          <w:p w14:paraId="287BCE6F" w14:textId="77777777" w:rsidR="00567EF5" w:rsidRPr="00E837F8" w:rsidRDefault="006578A3">
            <w:pPr>
              <w:rPr>
                <w:color w:val="333333"/>
                <w:sz w:val="24"/>
                <w:szCs w:val="24"/>
              </w:rPr>
            </w:pPr>
            <w:r w:rsidRPr="00E837F8">
              <w:rPr>
                <w:color w:val="333333"/>
                <w:sz w:val="24"/>
                <w:szCs w:val="24"/>
              </w:rPr>
              <w:t>Stewart C. Myers, Nicholas S. Majluf (1984) ‘Corporate financing and investment decisions when firms have information that investors do not haveh’, </w:t>
            </w:r>
            <w:r w:rsidRPr="00E837F8">
              <w:rPr>
                <w:i/>
                <w:iCs/>
                <w:color w:val="333333"/>
                <w:sz w:val="24"/>
                <w:szCs w:val="24"/>
              </w:rPr>
              <w:t>Journal of Financial Economics</w:t>
            </w:r>
            <w:r w:rsidRPr="00E837F8">
              <w:rPr>
                <w:color w:val="333333"/>
                <w:sz w:val="24"/>
                <w:szCs w:val="24"/>
              </w:rPr>
              <w:t>, 13(2), pp. 187–221. Available at: https://doi.org/10.1016/0304-405X(84)90023-0</w:t>
            </w:r>
          </w:p>
        </w:tc>
        <w:tc>
          <w:tcPr>
            <w:tcW w:w="4577" w:type="dxa"/>
            <w:tcBorders>
              <w:top w:val="nil"/>
              <w:left w:val="nil"/>
              <w:bottom w:val="single" w:sz="4" w:space="0" w:color="000000"/>
              <w:right w:val="single" w:sz="4" w:space="0" w:color="000000"/>
            </w:tcBorders>
          </w:tcPr>
          <w:p w14:paraId="287BCE70" w14:textId="77777777" w:rsidR="00567EF5" w:rsidRPr="00E837F8" w:rsidRDefault="006578A3">
            <w:pPr>
              <w:rPr>
                <w:color w:val="000000"/>
                <w:sz w:val="24"/>
                <w:szCs w:val="24"/>
              </w:rPr>
            </w:pPr>
            <w:r w:rsidRPr="00E837F8">
              <w:rPr>
                <w:color w:val="000000"/>
                <w:sz w:val="24"/>
                <w:szCs w:val="24"/>
              </w:rPr>
              <w:t>While the trade-off between debt and equity is well known, retained earnings are usually considered a passive residue instead of a proactively directed strategic resource.</w:t>
            </w:r>
          </w:p>
        </w:tc>
      </w:tr>
      <w:tr w:rsidR="00567EF5" w:rsidRPr="00E837F8" w14:paraId="287BCE7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72" w14:textId="77777777" w:rsidR="00567EF5" w:rsidRPr="00E837F8" w:rsidRDefault="006578A3">
            <w:pPr>
              <w:jc w:val="right"/>
              <w:rPr>
                <w:b/>
                <w:bCs/>
                <w:color w:val="000000"/>
                <w:sz w:val="24"/>
                <w:szCs w:val="24"/>
              </w:rPr>
            </w:pPr>
            <w:r w:rsidRPr="00E837F8">
              <w:rPr>
                <w:b/>
                <w:bCs/>
                <w:color w:val="000000"/>
                <w:sz w:val="24"/>
                <w:szCs w:val="24"/>
              </w:rPr>
              <w:t>99</w:t>
            </w:r>
          </w:p>
        </w:tc>
        <w:tc>
          <w:tcPr>
            <w:tcW w:w="4963" w:type="dxa"/>
            <w:tcBorders>
              <w:top w:val="nil"/>
              <w:left w:val="nil"/>
              <w:bottom w:val="single" w:sz="4" w:space="0" w:color="000000"/>
              <w:right w:val="single" w:sz="4" w:space="0" w:color="000000"/>
            </w:tcBorders>
          </w:tcPr>
          <w:p w14:paraId="287BCE73" w14:textId="77777777" w:rsidR="00567EF5" w:rsidRPr="00E837F8" w:rsidRDefault="006578A3">
            <w:pPr>
              <w:rPr>
                <w:color w:val="333333"/>
                <w:sz w:val="24"/>
                <w:szCs w:val="24"/>
              </w:rPr>
            </w:pPr>
            <w:r w:rsidRPr="00E837F8">
              <w:rPr>
                <w:color w:val="333333"/>
                <w:sz w:val="24"/>
                <w:szCs w:val="24"/>
              </w:rPr>
              <w:t>Lewellen, J. and Lewellen, K. (2016) ‘Investment and Cash Flow: New Evidence’, </w:t>
            </w:r>
            <w:r w:rsidRPr="00E837F8">
              <w:rPr>
                <w:i/>
                <w:iCs/>
                <w:color w:val="333333"/>
                <w:sz w:val="24"/>
                <w:szCs w:val="24"/>
              </w:rPr>
              <w:t>Journal of financial and quantitative analysis</w:t>
            </w:r>
            <w:r w:rsidRPr="00E837F8">
              <w:rPr>
                <w:color w:val="333333"/>
                <w:sz w:val="24"/>
                <w:szCs w:val="24"/>
              </w:rPr>
              <w:t>, 51(4), pp. 1135–1164. Available at: https://doi.org/10.1017/S002210901600065X</w:t>
            </w:r>
          </w:p>
        </w:tc>
        <w:tc>
          <w:tcPr>
            <w:tcW w:w="4577" w:type="dxa"/>
            <w:tcBorders>
              <w:top w:val="nil"/>
              <w:left w:val="nil"/>
              <w:bottom w:val="single" w:sz="4" w:space="0" w:color="000000"/>
              <w:right w:val="single" w:sz="4" w:space="0" w:color="000000"/>
            </w:tcBorders>
          </w:tcPr>
          <w:p w14:paraId="287BCE74" w14:textId="77777777" w:rsidR="00567EF5" w:rsidRPr="00E837F8" w:rsidRDefault="006578A3">
            <w:pPr>
              <w:rPr>
                <w:color w:val="000000"/>
                <w:sz w:val="24"/>
                <w:szCs w:val="24"/>
              </w:rPr>
            </w:pPr>
            <w:r w:rsidRPr="00E837F8">
              <w:rPr>
                <w:color w:val="000000"/>
                <w:sz w:val="24"/>
                <w:szCs w:val="24"/>
              </w:rPr>
              <w:t>Anticipated cash flow stimulates investment more than unanticipated shocks, and financially restricted enterprises exhibit significantly higher investment-cash flow sensitivity, relying mainly on internal capital for investment.</w:t>
            </w:r>
          </w:p>
        </w:tc>
      </w:tr>
      <w:tr w:rsidR="00567EF5" w:rsidRPr="00E837F8" w14:paraId="287BCE7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E76" w14:textId="77777777" w:rsidR="00567EF5" w:rsidRPr="00E837F8" w:rsidRDefault="006578A3">
            <w:pPr>
              <w:jc w:val="right"/>
              <w:rPr>
                <w:b/>
                <w:bCs/>
                <w:color w:val="000000"/>
                <w:sz w:val="24"/>
                <w:szCs w:val="24"/>
              </w:rPr>
            </w:pPr>
            <w:r w:rsidRPr="00E837F8">
              <w:rPr>
                <w:b/>
                <w:bCs/>
                <w:color w:val="000000"/>
                <w:sz w:val="24"/>
                <w:szCs w:val="24"/>
              </w:rPr>
              <w:t>100</w:t>
            </w:r>
          </w:p>
        </w:tc>
        <w:tc>
          <w:tcPr>
            <w:tcW w:w="4963" w:type="dxa"/>
            <w:tcBorders>
              <w:top w:val="nil"/>
              <w:left w:val="nil"/>
              <w:bottom w:val="single" w:sz="4" w:space="0" w:color="000000"/>
              <w:right w:val="single" w:sz="4" w:space="0" w:color="000000"/>
            </w:tcBorders>
          </w:tcPr>
          <w:p w14:paraId="287BCE77" w14:textId="77777777" w:rsidR="00567EF5" w:rsidRPr="00E837F8" w:rsidRDefault="006578A3">
            <w:pPr>
              <w:rPr>
                <w:color w:val="333333"/>
                <w:sz w:val="24"/>
                <w:szCs w:val="24"/>
              </w:rPr>
            </w:pPr>
            <w:r w:rsidRPr="00E837F8">
              <w:rPr>
                <w:color w:val="333333"/>
                <w:sz w:val="24"/>
                <w:szCs w:val="24"/>
              </w:rPr>
              <w:t>Perez-Alaniz, M., Lenihan, H., Doran, J. and Hewitt-Dundas, N. (2023) ‘Financial resources for research and innovation in small and larger firms: Is it a case of the more you have, the more you do?’, </w:t>
            </w:r>
            <w:r w:rsidRPr="00E837F8">
              <w:rPr>
                <w:i/>
                <w:iCs/>
                <w:color w:val="333333"/>
                <w:sz w:val="24"/>
                <w:szCs w:val="24"/>
              </w:rPr>
              <w:t>Industry and innovation</w:t>
            </w:r>
            <w:r w:rsidRPr="00E837F8">
              <w:rPr>
                <w:color w:val="333333"/>
                <w:sz w:val="24"/>
                <w:szCs w:val="24"/>
              </w:rPr>
              <w:t>, 30(2), pp. 189–232. Available at: https://doi.org/10.1080/13662716.2022.2036597</w:t>
            </w:r>
          </w:p>
        </w:tc>
        <w:tc>
          <w:tcPr>
            <w:tcW w:w="4577" w:type="dxa"/>
            <w:tcBorders>
              <w:top w:val="nil"/>
              <w:left w:val="nil"/>
              <w:bottom w:val="single" w:sz="4" w:space="0" w:color="000000"/>
              <w:right w:val="single" w:sz="4" w:space="0" w:color="000000"/>
            </w:tcBorders>
          </w:tcPr>
          <w:p w14:paraId="287BCE78" w14:textId="77777777" w:rsidR="00567EF5" w:rsidRPr="00E837F8" w:rsidRDefault="006578A3">
            <w:pPr>
              <w:rPr>
                <w:color w:val="000000"/>
                <w:sz w:val="24"/>
                <w:szCs w:val="24"/>
              </w:rPr>
            </w:pPr>
            <w:r w:rsidRPr="00E837F8">
              <w:rPr>
                <w:color w:val="000000"/>
                <w:sz w:val="24"/>
                <w:szCs w:val="24"/>
              </w:rPr>
              <w:t>Internal financial resources have a major impact on research and innovation, particularly in larger organisations, promoting scientific study, invention, operational enhancements, and product innovation.</w:t>
            </w:r>
          </w:p>
        </w:tc>
      </w:tr>
    </w:tbl>
    <w:p w14:paraId="287BCE7A" w14:textId="77777777" w:rsidR="00567EF5" w:rsidRPr="00E837F8" w:rsidRDefault="00567EF5">
      <w:pPr>
        <w:spacing w:line="360" w:lineRule="auto"/>
        <w:jc w:val="both"/>
        <w:rPr>
          <w:sz w:val="24"/>
          <w:szCs w:val="24"/>
        </w:rPr>
      </w:pPr>
    </w:p>
    <w:p w14:paraId="287BCE7B" w14:textId="77777777" w:rsidR="00567EF5" w:rsidRPr="00E837F8" w:rsidRDefault="00567EF5">
      <w:pPr>
        <w:spacing w:after="240" w:line="360" w:lineRule="auto"/>
        <w:rPr>
          <w:b/>
          <w:bCs/>
          <w:sz w:val="24"/>
          <w:szCs w:val="24"/>
        </w:rPr>
      </w:pPr>
    </w:p>
    <w:p w14:paraId="287BCE7C" w14:textId="77777777" w:rsidR="00567EF5" w:rsidRPr="00E837F8" w:rsidRDefault="00567EF5">
      <w:pPr>
        <w:spacing w:line="360" w:lineRule="auto"/>
        <w:jc w:val="center"/>
        <w:rPr>
          <w:b/>
          <w:bCs/>
          <w:sz w:val="24"/>
          <w:szCs w:val="24"/>
        </w:rPr>
      </w:pPr>
    </w:p>
    <w:p w14:paraId="287BCE7D" w14:textId="77777777" w:rsidR="00567EF5" w:rsidRPr="00E837F8" w:rsidRDefault="00567EF5">
      <w:pPr>
        <w:spacing w:line="360" w:lineRule="auto"/>
        <w:jc w:val="center"/>
        <w:rPr>
          <w:b/>
          <w:bCs/>
          <w:sz w:val="24"/>
          <w:szCs w:val="24"/>
        </w:rPr>
      </w:pPr>
    </w:p>
    <w:p w14:paraId="287BCE7E" w14:textId="77777777" w:rsidR="00567EF5" w:rsidRPr="00E837F8" w:rsidRDefault="00567EF5">
      <w:pPr>
        <w:spacing w:line="360" w:lineRule="auto"/>
        <w:jc w:val="center"/>
        <w:rPr>
          <w:b/>
          <w:bCs/>
          <w:sz w:val="24"/>
          <w:szCs w:val="24"/>
        </w:rPr>
      </w:pPr>
    </w:p>
    <w:p w14:paraId="287BCE7F" w14:textId="77777777" w:rsidR="00567EF5" w:rsidRPr="00E837F8" w:rsidRDefault="00567EF5">
      <w:pPr>
        <w:spacing w:line="360" w:lineRule="auto"/>
        <w:jc w:val="center"/>
        <w:rPr>
          <w:b/>
          <w:bCs/>
          <w:sz w:val="24"/>
          <w:szCs w:val="24"/>
        </w:rPr>
      </w:pPr>
    </w:p>
    <w:p w14:paraId="287BCE80" w14:textId="77777777" w:rsidR="00567EF5" w:rsidRPr="00E837F8" w:rsidRDefault="00567EF5">
      <w:pPr>
        <w:spacing w:line="360" w:lineRule="auto"/>
        <w:jc w:val="center"/>
        <w:rPr>
          <w:b/>
          <w:bCs/>
          <w:sz w:val="24"/>
          <w:szCs w:val="24"/>
        </w:rPr>
      </w:pPr>
    </w:p>
    <w:p w14:paraId="287BCE81" w14:textId="77777777" w:rsidR="00567EF5" w:rsidRPr="00E837F8" w:rsidRDefault="00567EF5">
      <w:pPr>
        <w:spacing w:line="360" w:lineRule="auto"/>
        <w:jc w:val="center"/>
        <w:rPr>
          <w:b/>
          <w:bCs/>
          <w:sz w:val="24"/>
          <w:szCs w:val="24"/>
        </w:rPr>
      </w:pPr>
    </w:p>
    <w:p w14:paraId="287BCE82" w14:textId="77777777" w:rsidR="00567EF5" w:rsidRPr="00E837F8" w:rsidRDefault="00567EF5">
      <w:pPr>
        <w:spacing w:line="360" w:lineRule="auto"/>
        <w:jc w:val="center"/>
        <w:rPr>
          <w:b/>
          <w:bCs/>
          <w:sz w:val="24"/>
          <w:szCs w:val="24"/>
        </w:rPr>
      </w:pPr>
    </w:p>
    <w:p w14:paraId="287BCE83" w14:textId="77777777" w:rsidR="00567EF5" w:rsidRPr="00E837F8" w:rsidRDefault="00567EF5">
      <w:pPr>
        <w:spacing w:line="360" w:lineRule="auto"/>
        <w:jc w:val="center"/>
        <w:rPr>
          <w:b/>
          <w:bCs/>
          <w:sz w:val="24"/>
          <w:szCs w:val="24"/>
        </w:rPr>
      </w:pPr>
    </w:p>
    <w:p w14:paraId="287BCE84" w14:textId="77777777" w:rsidR="00567EF5" w:rsidRPr="00E837F8" w:rsidRDefault="00567EF5">
      <w:pPr>
        <w:spacing w:line="360" w:lineRule="auto"/>
        <w:jc w:val="center"/>
        <w:rPr>
          <w:b/>
          <w:bCs/>
          <w:sz w:val="24"/>
          <w:szCs w:val="24"/>
        </w:rPr>
      </w:pPr>
    </w:p>
    <w:p w14:paraId="287BCE85" w14:textId="77777777" w:rsidR="00567EF5" w:rsidRPr="00E837F8" w:rsidRDefault="00567EF5">
      <w:pPr>
        <w:spacing w:line="360" w:lineRule="auto"/>
        <w:jc w:val="center"/>
        <w:rPr>
          <w:b/>
          <w:bCs/>
          <w:sz w:val="24"/>
          <w:szCs w:val="24"/>
        </w:rPr>
      </w:pPr>
    </w:p>
    <w:p w14:paraId="287BCE86" w14:textId="77777777" w:rsidR="00567EF5" w:rsidRPr="00E837F8" w:rsidRDefault="00567EF5">
      <w:pPr>
        <w:spacing w:line="360" w:lineRule="auto"/>
        <w:jc w:val="center"/>
        <w:rPr>
          <w:b/>
          <w:bCs/>
          <w:sz w:val="24"/>
          <w:szCs w:val="24"/>
        </w:rPr>
      </w:pPr>
    </w:p>
    <w:p w14:paraId="287BCE87" w14:textId="77777777" w:rsidR="00567EF5" w:rsidRPr="00E837F8" w:rsidRDefault="00567EF5">
      <w:pPr>
        <w:spacing w:line="360" w:lineRule="auto"/>
        <w:jc w:val="center"/>
        <w:rPr>
          <w:b/>
          <w:bCs/>
          <w:sz w:val="24"/>
          <w:szCs w:val="24"/>
        </w:rPr>
      </w:pPr>
    </w:p>
    <w:p w14:paraId="287BCE88" w14:textId="77777777" w:rsidR="00567EF5" w:rsidRPr="00E837F8" w:rsidRDefault="00567EF5">
      <w:pPr>
        <w:spacing w:line="360" w:lineRule="auto"/>
        <w:jc w:val="center"/>
        <w:rPr>
          <w:b/>
          <w:bCs/>
          <w:sz w:val="24"/>
          <w:szCs w:val="24"/>
        </w:rPr>
      </w:pPr>
    </w:p>
    <w:p w14:paraId="287BCE89" w14:textId="77777777" w:rsidR="00567EF5" w:rsidRPr="00E837F8" w:rsidRDefault="006578A3">
      <w:pPr>
        <w:spacing w:line="360" w:lineRule="auto"/>
        <w:jc w:val="center"/>
        <w:rPr>
          <w:b/>
          <w:bCs/>
          <w:sz w:val="24"/>
          <w:szCs w:val="24"/>
        </w:rPr>
      </w:pPr>
      <w:r w:rsidRPr="00E837F8">
        <w:rPr>
          <w:b/>
          <w:bCs/>
          <w:sz w:val="24"/>
          <w:szCs w:val="24"/>
        </w:rPr>
        <w:t>Part - III</w:t>
      </w:r>
    </w:p>
    <w:p w14:paraId="287BCE8A" w14:textId="77777777" w:rsidR="00567EF5" w:rsidRPr="00E837F8" w:rsidRDefault="006578A3">
      <w:pPr>
        <w:spacing w:line="360" w:lineRule="auto"/>
        <w:jc w:val="center"/>
        <w:rPr>
          <w:b/>
          <w:bCs/>
          <w:sz w:val="24"/>
          <w:szCs w:val="24"/>
        </w:rPr>
      </w:pPr>
      <w:r w:rsidRPr="00E837F8">
        <w:rPr>
          <w:b/>
          <w:bCs/>
          <w:sz w:val="24"/>
          <w:szCs w:val="24"/>
        </w:rPr>
        <w:t>Write a preliminary literature review on your chosen research topic. This should begin with a broad overview of the relevant field and close examination of key concepts and end with some tentative indications of the gaps in the field and some draft research questions.</w:t>
      </w:r>
    </w:p>
    <w:p w14:paraId="287BCE8B" w14:textId="77777777" w:rsidR="00567EF5" w:rsidRPr="00E837F8" w:rsidRDefault="00567EF5">
      <w:pPr>
        <w:spacing w:after="240" w:line="360" w:lineRule="auto"/>
        <w:rPr>
          <w:sz w:val="24"/>
          <w:szCs w:val="24"/>
        </w:rPr>
      </w:pPr>
    </w:p>
    <w:p w14:paraId="287BCE8C" w14:textId="77777777" w:rsidR="00567EF5" w:rsidRPr="00E837F8" w:rsidRDefault="00567EF5">
      <w:pPr>
        <w:spacing w:after="240" w:line="360" w:lineRule="auto"/>
        <w:jc w:val="both"/>
        <w:rPr>
          <w:b/>
          <w:bCs/>
          <w:sz w:val="24"/>
          <w:szCs w:val="24"/>
        </w:rPr>
      </w:pPr>
    </w:p>
    <w:p w14:paraId="287BCE8D" w14:textId="77777777" w:rsidR="00567EF5" w:rsidRPr="00E837F8" w:rsidRDefault="00567EF5">
      <w:pPr>
        <w:spacing w:after="240" w:line="360" w:lineRule="auto"/>
        <w:jc w:val="both"/>
        <w:rPr>
          <w:sz w:val="24"/>
          <w:szCs w:val="24"/>
        </w:rPr>
      </w:pPr>
    </w:p>
    <w:p w14:paraId="287BCE8E" w14:textId="77777777" w:rsidR="00567EF5" w:rsidRPr="00E837F8" w:rsidRDefault="00567EF5">
      <w:pPr>
        <w:spacing w:after="240" w:line="360" w:lineRule="auto"/>
        <w:jc w:val="both"/>
        <w:rPr>
          <w:sz w:val="24"/>
          <w:szCs w:val="24"/>
        </w:rPr>
      </w:pPr>
    </w:p>
    <w:p w14:paraId="287BCE8F" w14:textId="77777777" w:rsidR="00567EF5" w:rsidRPr="00E837F8" w:rsidRDefault="00567EF5">
      <w:pPr>
        <w:spacing w:after="240" w:line="360" w:lineRule="auto"/>
        <w:jc w:val="both"/>
        <w:rPr>
          <w:sz w:val="24"/>
          <w:szCs w:val="24"/>
        </w:rPr>
      </w:pPr>
    </w:p>
    <w:p w14:paraId="287BCE90" w14:textId="77777777" w:rsidR="00567EF5" w:rsidRPr="00E837F8" w:rsidRDefault="00567EF5">
      <w:pPr>
        <w:spacing w:after="240" w:line="360" w:lineRule="auto"/>
        <w:jc w:val="both"/>
        <w:rPr>
          <w:sz w:val="24"/>
          <w:szCs w:val="24"/>
        </w:rPr>
      </w:pPr>
    </w:p>
    <w:p w14:paraId="287BCE91" w14:textId="77777777" w:rsidR="00567EF5" w:rsidRPr="00E837F8" w:rsidRDefault="00567EF5">
      <w:pPr>
        <w:spacing w:after="240" w:line="360" w:lineRule="auto"/>
        <w:jc w:val="both"/>
        <w:rPr>
          <w:sz w:val="24"/>
          <w:szCs w:val="24"/>
        </w:rPr>
      </w:pPr>
    </w:p>
    <w:p w14:paraId="287BCE92" w14:textId="77777777" w:rsidR="00567EF5" w:rsidRPr="00E837F8" w:rsidRDefault="00567EF5">
      <w:pPr>
        <w:spacing w:after="240" w:line="360" w:lineRule="auto"/>
        <w:jc w:val="both"/>
        <w:rPr>
          <w:sz w:val="24"/>
          <w:szCs w:val="24"/>
        </w:rPr>
      </w:pPr>
    </w:p>
    <w:p w14:paraId="287BCE93" w14:textId="77777777" w:rsidR="00567EF5" w:rsidRPr="00E837F8" w:rsidRDefault="00567EF5">
      <w:pPr>
        <w:spacing w:line="360" w:lineRule="auto"/>
        <w:jc w:val="both"/>
        <w:rPr>
          <w:sz w:val="24"/>
          <w:szCs w:val="24"/>
        </w:rPr>
      </w:pPr>
    </w:p>
    <w:p w14:paraId="287BCE94" w14:textId="77777777" w:rsidR="00567EF5" w:rsidRPr="00E837F8" w:rsidRDefault="00567EF5">
      <w:pPr>
        <w:spacing w:line="360" w:lineRule="auto"/>
        <w:jc w:val="both"/>
        <w:rPr>
          <w:sz w:val="24"/>
          <w:szCs w:val="24"/>
        </w:rPr>
      </w:pPr>
    </w:p>
    <w:p w14:paraId="287BCE95" w14:textId="77777777" w:rsidR="00567EF5" w:rsidRPr="00E837F8" w:rsidRDefault="00567EF5">
      <w:pPr>
        <w:spacing w:line="360" w:lineRule="auto"/>
        <w:jc w:val="both"/>
        <w:rPr>
          <w:sz w:val="24"/>
          <w:szCs w:val="24"/>
        </w:rPr>
      </w:pPr>
    </w:p>
    <w:p w14:paraId="287BCE96" w14:textId="77777777" w:rsidR="00567EF5" w:rsidRPr="00E837F8" w:rsidRDefault="006578A3">
      <w:pPr>
        <w:spacing w:line="360" w:lineRule="auto"/>
        <w:jc w:val="center"/>
        <w:rPr>
          <w:sz w:val="24"/>
          <w:szCs w:val="24"/>
        </w:rPr>
      </w:pPr>
      <w:r w:rsidRPr="00E837F8">
        <w:rPr>
          <w:noProof/>
          <w:sz w:val="24"/>
          <w:szCs w:val="24"/>
        </w:rPr>
        <w:drawing>
          <wp:inline distT="0" distB="0" distL="0" distR="0" wp14:anchorId="287BD006" wp14:editId="287BD007">
            <wp:extent cx="4636076" cy="1936156"/>
            <wp:effectExtent l="0" t="0" r="0" b="0"/>
            <wp:docPr id="205272330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287BCE97" w14:textId="77777777" w:rsidR="00567EF5" w:rsidRPr="00E837F8" w:rsidRDefault="00567EF5">
      <w:pPr>
        <w:spacing w:line="360" w:lineRule="auto"/>
        <w:jc w:val="center"/>
        <w:rPr>
          <w:sz w:val="24"/>
          <w:szCs w:val="24"/>
        </w:rPr>
      </w:pPr>
    </w:p>
    <w:p w14:paraId="287BCE98" w14:textId="77777777" w:rsidR="00567EF5" w:rsidRPr="00E837F8" w:rsidRDefault="00567EF5">
      <w:pPr>
        <w:spacing w:line="360" w:lineRule="auto"/>
        <w:jc w:val="center"/>
        <w:rPr>
          <w:sz w:val="24"/>
          <w:szCs w:val="24"/>
        </w:rPr>
      </w:pPr>
    </w:p>
    <w:p w14:paraId="287BCE99" w14:textId="77777777" w:rsidR="00567EF5" w:rsidRPr="00E837F8" w:rsidRDefault="00567EF5">
      <w:pPr>
        <w:spacing w:line="360" w:lineRule="auto"/>
        <w:jc w:val="center"/>
        <w:rPr>
          <w:sz w:val="24"/>
          <w:szCs w:val="24"/>
        </w:rPr>
      </w:pPr>
    </w:p>
    <w:p w14:paraId="287BCE9A" w14:textId="77777777" w:rsidR="00567EF5" w:rsidRPr="00E837F8" w:rsidRDefault="00567EF5">
      <w:pPr>
        <w:spacing w:line="360" w:lineRule="auto"/>
        <w:jc w:val="center"/>
        <w:rPr>
          <w:sz w:val="24"/>
          <w:szCs w:val="24"/>
        </w:rPr>
      </w:pPr>
    </w:p>
    <w:p w14:paraId="287BCE9B" w14:textId="77777777" w:rsidR="00567EF5" w:rsidRPr="00E837F8" w:rsidRDefault="006578A3">
      <w:pPr>
        <w:spacing w:line="360" w:lineRule="auto"/>
        <w:jc w:val="center"/>
        <w:rPr>
          <w:sz w:val="24"/>
          <w:szCs w:val="24"/>
        </w:rPr>
      </w:pPr>
      <w:r w:rsidRPr="00E837F8">
        <w:rPr>
          <w:sz w:val="24"/>
          <w:szCs w:val="24"/>
        </w:rPr>
        <w:t>A PRELIMINARY LITERATURE REVIEW</w:t>
      </w:r>
    </w:p>
    <w:p w14:paraId="287BCE9C" w14:textId="77777777" w:rsidR="00567EF5" w:rsidRPr="00E837F8" w:rsidRDefault="006578A3">
      <w:pPr>
        <w:spacing w:line="360" w:lineRule="auto"/>
        <w:jc w:val="center"/>
        <w:rPr>
          <w:sz w:val="24"/>
          <w:szCs w:val="24"/>
        </w:rPr>
      </w:pPr>
      <w:r w:rsidRPr="00E837F8">
        <w:rPr>
          <w:sz w:val="24"/>
          <w:szCs w:val="24"/>
        </w:rPr>
        <w:t>ON</w:t>
      </w:r>
    </w:p>
    <w:p w14:paraId="287BCE9D" w14:textId="77777777" w:rsidR="00567EF5" w:rsidRPr="00E837F8" w:rsidRDefault="00567EF5">
      <w:pPr>
        <w:spacing w:line="360" w:lineRule="auto"/>
        <w:jc w:val="center"/>
        <w:rPr>
          <w:sz w:val="24"/>
          <w:szCs w:val="24"/>
        </w:rPr>
      </w:pPr>
    </w:p>
    <w:p w14:paraId="287BCE9E" w14:textId="77777777" w:rsidR="00567EF5" w:rsidRPr="00E837F8" w:rsidRDefault="00567EF5">
      <w:pPr>
        <w:spacing w:line="360" w:lineRule="auto"/>
        <w:jc w:val="center"/>
        <w:rPr>
          <w:sz w:val="24"/>
          <w:szCs w:val="24"/>
        </w:rPr>
      </w:pPr>
    </w:p>
    <w:p w14:paraId="287BCE9F" w14:textId="77777777" w:rsidR="00567EF5" w:rsidRPr="00E837F8" w:rsidRDefault="006578A3">
      <w:pPr>
        <w:spacing w:line="360" w:lineRule="auto"/>
        <w:jc w:val="center"/>
        <w:rPr>
          <w:sz w:val="24"/>
          <w:szCs w:val="24"/>
        </w:rPr>
      </w:pPr>
      <w:r w:rsidRPr="00E837F8">
        <w:rPr>
          <w:sz w:val="24"/>
          <w:szCs w:val="24"/>
        </w:rPr>
        <w:t>THE ROLE OF RETAINED EARNINGS IN CAPITAL BUDGETING DECISIONS: A CRITICAL EXAMINATION OF STRATEGIC, FINANCIAL, AND ORGANISATIONAL INFLUENCES IN ORGANISATION.</w:t>
      </w:r>
    </w:p>
    <w:p w14:paraId="287BCEA0" w14:textId="77777777" w:rsidR="00567EF5" w:rsidRPr="00E837F8" w:rsidRDefault="00567EF5">
      <w:pPr>
        <w:spacing w:line="360" w:lineRule="auto"/>
        <w:jc w:val="center"/>
        <w:rPr>
          <w:sz w:val="24"/>
          <w:szCs w:val="24"/>
        </w:rPr>
      </w:pPr>
    </w:p>
    <w:p w14:paraId="287BCEA1" w14:textId="77777777" w:rsidR="00567EF5" w:rsidRPr="00E837F8" w:rsidRDefault="00567EF5">
      <w:pPr>
        <w:spacing w:line="360" w:lineRule="auto"/>
        <w:jc w:val="center"/>
        <w:rPr>
          <w:sz w:val="24"/>
          <w:szCs w:val="24"/>
        </w:rPr>
      </w:pPr>
    </w:p>
    <w:p w14:paraId="287BCEA2" w14:textId="77777777" w:rsidR="00567EF5" w:rsidRPr="00E837F8" w:rsidRDefault="00567EF5">
      <w:pPr>
        <w:spacing w:line="360" w:lineRule="auto"/>
        <w:jc w:val="center"/>
        <w:rPr>
          <w:sz w:val="24"/>
          <w:szCs w:val="24"/>
        </w:rPr>
      </w:pPr>
    </w:p>
    <w:p w14:paraId="287BCEA3" w14:textId="77777777" w:rsidR="00567EF5" w:rsidRPr="00E837F8" w:rsidRDefault="006578A3">
      <w:pPr>
        <w:spacing w:line="360" w:lineRule="auto"/>
        <w:jc w:val="center"/>
        <w:rPr>
          <w:sz w:val="24"/>
          <w:szCs w:val="24"/>
        </w:rPr>
      </w:pPr>
      <w:r w:rsidRPr="00E837F8">
        <w:rPr>
          <w:sz w:val="24"/>
          <w:szCs w:val="24"/>
        </w:rPr>
        <w:t>27TH MARCH 2026</w:t>
      </w:r>
    </w:p>
    <w:p w14:paraId="287BCEA4" w14:textId="77777777" w:rsidR="00567EF5" w:rsidRPr="00E837F8" w:rsidRDefault="006578A3">
      <w:pPr>
        <w:spacing w:line="360" w:lineRule="auto"/>
        <w:jc w:val="center"/>
        <w:rPr>
          <w:sz w:val="24"/>
          <w:szCs w:val="24"/>
        </w:rPr>
      </w:pPr>
      <w:r w:rsidRPr="00E837F8">
        <w:rPr>
          <w:sz w:val="24"/>
          <w:szCs w:val="24"/>
        </w:rPr>
        <w:t>STUDENT: BINA SUBEDI (2512009)</w:t>
      </w:r>
    </w:p>
    <w:p w14:paraId="287BCEA5" w14:textId="77777777" w:rsidR="00567EF5" w:rsidRPr="00E837F8" w:rsidRDefault="006578A3">
      <w:pPr>
        <w:spacing w:line="360" w:lineRule="auto"/>
        <w:jc w:val="center"/>
        <w:rPr>
          <w:sz w:val="24"/>
          <w:szCs w:val="24"/>
        </w:rPr>
      </w:pPr>
      <w:r w:rsidRPr="00E837F8">
        <w:rPr>
          <w:sz w:val="24"/>
          <w:szCs w:val="24"/>
        </w:rPr>
        <w:t>LECTURER: DR. MANSOOB MURSHED</w:t>
      </w:r>
    </w:p>
    <w:p w14:paraId="287BCEA6" w14:textId="77777777" w:rsidR="00567EF5" w:rsidRPr="00E837F8" w:rsidRDefault="006578A3">
      <w:pPr>
        <w:spacing w:line="360" w:lineRule="auto"/>
        <w:jc w:val="center"/>
        <w:rPr>
          <w:sz w:val="24"/>
          <w:szCs w:val="24"/>
        </w:rPr>
      </w:pPr>
      <w:r w:rsidRPr="00E837F8">
        <w:rPr>
          <w:sz w:val="24"/>
          <w:szCs w:val="24"/>
        </w:rPr>
        <w:t>CRITICAL LITERATURE REVIEW FOR DOCTORAL RESEARCH (LCDB7009)</w:t>
      </w:r>
    </w:p>
    <w:p w14:paraId="287BCEA7" w14:textId="77777777" w:rsidR="00567EF5" w:rsidRPr="00E837F8" w:rsidRDefault="006578A3">
      <w:pPr>
        <w:spacing w:line="360" w:lineRule="auto"/>
        <w:jc w:val="center"/>
        <w:rPr>
          <w:sz w:val="24"/>
          <w:szCs w:val="24"/>
        </w:rPr>
      </w:pPr>
      <w:r w:rsidRPr="00E837F8">
        <w:rPr>
          <w:noProof/>
        </w:rPr>
        <mc:AlternateContent>
          <mc:Choice Requires="wps">
            <w:drawing>
              <wp:anchor distT="0" distB="0" distL="114300" distR="114300" simplePos="0" relativeHeight="251658240" behindDoc="0" locked="0" layoutInCell="1" hidden="0" allowOverlap="1" wp14:anchorId="287BD008" wp14:editId="287BD009">
                <wp:simplePos x="0" y="0"/>
                <wp:positionH relativeFrom="column">
                  <wp:posOffset>1962912</wp:posOffset>
                </wp:positionH>
                <wp:positionV relativeFrom="paragraph">
                  <wp:posOffset>11176</wp:posOffset>
                </wp:positionV>
                <wp:extent cx="1914144" cy="1218692"/>
                <wp:effectExtent l="0" t="0" r="0" b="0"/>
                <wp:wrapNone/>
                <wp:docPr id="2052723282" name="Text Box 2052723282"/>
                <wp:cNvGraphicFramePr/>
                <a:graphic xmlns:a="http://schemas.openxmlformats.org/drawingml/2006/main">
                  <a:graphicData uri="http://schemas.microsoft.com/office/word/2010/wordprocessingShape">
                    <wps:wsp>
                      <wps:cNvSpPr txBox="1"/>
                      <wps:spPr>
                        <a:xfrm>
                          <a:off x="0" y="0"/>
                          <a:ext cx="1914144" cy="12186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7BD03A" w14:textId="77777777" w:rsidR="006578A3" w:rsidRDefault="006578A3" w:rsidP="00744E78">
                            <w:pPr>
                              <w:jc w:val="center"/>
                            </w:pPr>
                            <w:r>
                              <w:rPr>
                                <w:caps/>
                                <w:noProof/>
                                <w:color w:val="4472C4" w:themeColor="accent1"/>
                              </w:rPr>
                              <w:drawing>
                                <wp:inline distT="0" distB="0" distL="0" distR="0" wp14:anchorId="287BD078" wp14:editId="287BD079">
                                  <wp:extent cx="882502" cy="979577"/>
                                  <wp:effectExtent l="0" t="0" r="0" b="0"/>
                                  <wp:docPr id="112479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11"/>
                                          <a:stretch>
                                            <a:fillRect/>
                                          </a:stretch>
                                        </pic:blipFill>
                                        <pic:spPr>
                                          <a:xfrm>
                                            <a:off x="0" y="0"/>
                                            <a:ext cx="915357" cy="101604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7BD008" id="_x0000_t202" coordsize="21600,21600" o:spt="202" path="m,l,21600r21600,l21600,xe">
                <v:stroke joinstyle="miter"/>
                <v:path gradientshapeok="t" o:connecttype="rect"/>
              </v:shapetype>
              <v:shape id="Text Box 2052723282" o:spid="_x0000_s1026" type="#_x0000_t202" style="position:absolute;left:0;text-align:left;margin-left:154.55pt;margin-top:.9pt;width:150.7pt;height:95.9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" filled="f" stroked="f">
                <v:textbox>
                  <w:txbxContent>
                    <w:p w14:paraId="287BD03A" w14:textId="77777777" w:rsidR="006578A3" w:rsidRDefault="006578A3" w:rsidP="00744E78">
                      <w:pPr>
                        <w:jc w:val="center"/>
                      </w:pPr>
                      <w:r>
                        <w:rPr>
                          <w:caps/>
                          <w:noProof/>
                          <w:color w:val="4472C4" w:themeColor="accent1"/>
                        </w:rPr>
                        <w:drawing>
                          <wp:inline distT="0" distB="0" distL="0" distR="0" wp14:anchorId="287BD078" wp14:editId="287BD079">
                            <wp:extent cx="882502" cy="979577"/>
                            <wp:effectExtent l="0" t="0" r="0" b="0"/>
                            <wp:docPr id="112479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11"/>
                                    <a:stretch>
                                      <a:fillRect/>
                                    </a:stretch>
                                  </pic:blipFill>
                                  <pic:spPr>
                                    <a:xfrm>
                                      <a:off x="0" y="0"/>
                                      <a:ext cx="915357" cy="1016046"/>
                                    </a:xfrm>
                                    <a:prstGeom prst="rect">
                                      <a:avLst/>
                                    </a:prstGeom>
                                  </pic:spPr>
                                </pic:pic>
                              </a:graphicData>
                            </a:graphic>
                          </wp:inline>
                        </w:drawing>
                      </w:r>
                    </w:p>
                  </w:txbxContent>
                </v:textbox>
              </v:shape>
            </w:pict>
          </mc:Fallback>
        </mc:AlternateContent>
      </w:r>
    </w:p>
    <w:p w14:paraId="287BCEA8" w14:textId="77777777" w:rsidR="00567EF5" w:rsidRPr="00E837F8" w:rsidRDefault="00567EF5">
      <w:pPr>
        <w:spacing w:line="360" w:lineRule="auto"/>
        <w:jc w:val="both"/>
        <w:rPr>
          <w:b/>
          <w:bCs/>
          <w:sz w:val="24"/>
          <w:szCs w:val="24"/>
        </w:rPr>
      </w:pPr>
    </w:p>
    <w:p w14:paraId="287BCEA9" w14:textId="77777777" w:rsidR="00567EF5" w:rsidRPr="00E837F8" w:rsidRDefault="00567EF5">
      <w:pPr>
        <w:spacing w:line="360" w:lineRule="auto"/>
        <w:jc w:val="both"/>
        <w:rPr>
          <w:b/>
          <w:bCs/>
          <w:sz w:val="24"/>
          <w:szCs w:val="24"/>
        </w:rPr>
      </w:pPr>
    </w:p>
    <w:p w14:paraId="287BCEAA" w14:textId="77777777" w:rsidR="00567EF5" w:rsidRPr="00E837F8" w:rsidRDefault="00567EF5">
      <w:pPr>
        <w:spacing w:line="360" w:lineRule="auto"/>
        <w:jc w:val="both"/>
        <w:rPr>
          <w:b/>
          <w:bCs/>
          <w:sz w:val="24"/>
          <w:szCs w:val="24"/>
        </w:rPr>
      </w:pPr>
    </w:p>
    <w:p w14:paraId="287BCEAB" w14:textId="77777777" w:rsidR="00567EF5" w:rsidRPr="00B37CE2" w:rsidRDefault="006578A3">
      <w:pPr>
        <w:keepNext/>
        <w:keepLines/>
        <w:pBdr>
          <w:top w:val="nil"/>
          <w:left w:val="nil"/>
          <w:bottom w:val="nil"/>
          <w:right w:val="nil"/>
          <w:between w:val="nil"/>
        </w:pBdr>
        <w:spacing w:before="240" w:line="259" w:lineRule="auto"/>
        <w:rPr>
          <w:rFonts w:eastAsia="Calibri"/>
          <w:b/>
          <w:bCs/>
          <w:color w:val="2F5496"/>
          <w:sz w:val="24"/>
          <w:szCs w:val="24"/>
        </w:rPr>
      </w:pPr>
      <w:r w:rsidRPr="00B37CE2">
        <w:rPr>
          <w:rFonts w:eastAsia="Calibri"/>
          <w:b/>
          <w:bCs/>
          <w:color w:val="2F5496"/>
          <w:sz w:val="24"/>
          <w:szCs w:val="24"/>
        </w:rPr>
        <w:lastRenderedPageBreak/>
        <w:t>Table of Contents</w:t>
      </w:r>
    </w:p>
    <w:sdt>
      <w:sdtPr>
        <w:id w:val="-774576039"/>
        <w:docPartObj>
          <w:docPartGallery w:val="Table of Contents"/>
          <w:docPartUnique/>
        </w:docPartObj>
      </w:sdtPr>
      <w:sdtEndPr/>
      <w:sdtContent>
        <w:p w14:paraId="2047364E" w14:textId="4C813DB7" w:rsidR="008B7DD8" w:rsidRDefault="006578A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rsidRPr="00E837F8">
            <w:fldChar w:fldCharType="begin"/>
          </w:r>
          <w:r w:rsidRPr="00E837F8">
            <w:instrText xml:space="preserve"> TOC \h \u \z \t "Heading 1,1,Heading 2,2,Heading 3,3,"</w:instrText>
          </w:r>
          <w:r w:rsidRPr="00E837F8">
            <w:fldChar w:fldCharType="separate"/>
          </w:r>
          <w:hyperlink w:anchor="_Toc225519580" w:history="1">
            <w:r w:rsidR="008B7DD8" w:rsidRPr="00FA2FEA">
              <w:rPr>
                <w:rStyle w:val="Hyperlink"/>
                <w:b/>
                <w:bCs/>
                <w:noProof/>
              </w:rPr>
              <w:t>1. Introduction</w:t>
            </w:r>
            <w:r w:rsidR="008B7DD8">
              <w:rPr>
                <w:noProof/>
                <w:webHidden/>
              </w:rPr>
              <w:tab/>
            </w:r>
            <w:r w:rsidR="008B7DD8">
              <w:rPr>
                <w:noProof/>
                <w:webHidden/>
              </w:rPr>
              <w:fldChar w:fldCharType="begin"/>
            </w:r>
            <w:r w:rsidR="008B7DD8">
              <w:rPr>
                <w:noProof/>
                <w:webHidden/>
              </w:rPr>
              <w:instrText xml:space="preserve"> PAGEREF _Toc225519580 \h </w:instrText>
            </w:r>
            <w:r w:rsidR="008B7DD8">
              <w:rPr>
                <w:noProof/>
                <w:webHidden/>
              </w:rPr>
            </w:r>
            <w:r w:rsidR="008B7DD8">
              <w:rPr>
                <w:noProof/>
                <w:webHidden/>
              </w:rPr>
              <w:fldChar w:fldCharType="separate"/>
            </w:r>
            <w:r w:rsidR="008B7DD8">
              <w:rPr>
                <w:noProof/>
                <w:webHidden/>
              </w:rPr>
              <w:t>1</w:t>
            </w:r>
            <w:r w:rsidR="008B7DD8">
              <w:rPr>
                <w:noProof/>
                <w:webHidden/>
              </w:rPr>
              <w:fldChar w:fldCharType="end"/>
            </w:r>
          </w:hyperlink>
        </w:p>
        <w:p w14:paraId="66FB0781" w14:textId="70CBB807"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1" w:history="1">
            <w:r w:rsidRPr="00FA2FEA">
              <w:rPr>
                <w:rStyle w:val="Hyperlink"/>
                <w:b/>
                <w:bCs/>
                <w:noProof/>
              </w:rPr>
              <w:t>1.1 Background to the study</w:t>
            </w:r>
            <w:r>
              <w:rPr>
                <w:noProof/>
                <w:webHidden/>
              </w:rPr>
              <w:tab/>
            </w:r>
            <w:r>
              <w:rPr>
                <w:noProof/>
                <w:webHidden/>
              </w:rPr>
              <w:fldChar w:fldCharType="begin"/>
            </w:r>
            <w:r>
              <w:rPr>
                <w:noProof/>
                <w:webHidden/>
              </w:rPr>
              <w:instrText xml:space="preserve"> PAGEREF _Toc225519581 \h </w:instrText>
            </w:r>
            <w:r>
              <w:rPr>
                <w:noProof/>
                <w:webHidden/>
              </w:rPr>
            </w:r>
            <w:r>
              <w:rPr>
                <w:noProof/>
                <w:webHidden/>
              </w:rPr>
              <w:fldChar w:fldCharType="separate"/>
            </w:r>
            <w:r>
              <w:rPr>
                <w:noProof/>
                <w:webHidden/>
              </w:rPr>
              <w:t>1</w:t>
            </w:r>
            <w:r>
              <w:rPr>
                <w:noProof/>
                <w:webHidden/>
              </w:rPr>
              <w:fldChar w:fldCharType="end"/>
            </w:r>
          </w:hyperlink>
        </w:p>
        <w:p w14:paraId="475BD068" w14:textId="437B4946"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2" w:history="1">
            <w:r w:rsidRPr="00FA2FEA">
              <w:rPr>
                <w:rStyle w:val="Hyperlink"/>
                <w:b/>
                <w:bCs/>
                <w:noProof/>
              </w:rPr>
              <w:t>1.2 Problem statement</w:t>
            </w:r>
            <w:r>
              <w:rPr>
                <w:noProof/>
                <w:webHidden/>
              </w:rPr>
              <w:tab/>
            </w:r>
            <w:r>
              <w:rPr>
                <w:noProof/>
                <w:webHidden/>
              </w:rPr>
              <w:fldChar w:fldCharType="begin"/>
            </w:r>
            <w:r>
              <w:rPr>
                <w:noProof/>
                <w:webHidden/>
              </w:rPr>
              <w:instrText xml:space="preserve"> PAGEREF _Toc225519582 \h </w:instrText>
            </w:r>
            <w:r>
              <w:rPr>
                <w:noProof/>
                <w:webHidden/>
              </w:rPr>
            </w:r>
            <w:r>
              <w:rPr>
                <w:noProof/>
                <w:webHidden/>
              </w:rPr>
              <w:fldChar w:fldCharType="separate"/>
            </w:r>
            <w:r>
              <w:rPr>
                <w:noProof/>
                <w:webHidden/>
              </w:rPr>
              <w:t>2</w:t>
            </w:r>
            <w:r>
              <w:rPr>
                <w:noProof/>
                <w:webHidden/>
              </w:rPr>
              <w:fldChar w:fldCharType="end"/>
            </w:r>
          </w:hyperlink>
        </w:p>
        <w:p w14:paraId="2856F8E1" w14:textId="5EEB4EBB"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3" w:history="1">
            <w:r w:rsidRPr="00FA2FEA">
              <w:rPr>
                <w:rStyle w:val="Hyperlink"/>
                <w:b/>
                <w:bCs/>
                <w:noProof/>
              </w:rPr>
              <w:t>1.3 Research aims</w:t>
            </w:r>
            <w:r>
              <w:rPr>
                <w:noProof/>
                <w:webHidden/>
              </w:rPr>
              <w:tab/>
            </w:r>
            <w:r>
              <w:rPr>
                <w:noProof/>
                <w:webHidden/>
              </w:rPr>
              <w:fldChar w:fldCharType="begin"/>
            </w:r>
            <w:r>
              <w:rPr>
                <w:noProof/>
                <w:webHidden/>
              </w:rPr>
              <w:instrText xml:space="preserve"> PAGEREF _Toc225519583 \h </w:instrText>
            </w:r>
            <w:r>
              <w:rPr>
                <w:noProof/>
                <w:webHidden/>
              </w:rPr>
            </w:r>
            <w:r>
              <w:rPr>
                <w:noProof/>
                <w:webHidden/>
              </w:rPr>
              <w:fldChar w:fldCharType="separate"/>
            </w:r>
            <w:r>
              <w:rPr>
                <w:noProof/>
                <w:webHidden/>
              </w:rPr>
              <w:t>2</w:t>
            </w:r>
            <w:r>
              <w:rPr>
                <w:noProof/>
                <w:webHidden/>
              </w:rPr>
              <w:fldChar w:fldCharType="end"/>
            </w:r>
          </w:hyperlink>
        </w:p>
        <w:p w14:paraId="2B969413" w14:textId="7ECC580F"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4" w:history="1">
            <w:r w:rsidRPr="00FA2FEA">
              <w:rPr>
                <w:rStyle w:val="Hyperlink"/>
                <w:b/>
                <w:bCs/>
                <w:noProof/>
              </w:rPr>
              <w:t>1.4 Research objectives</w:t>
            </w:r>
            <w:r>
              <w:rPr>
                <w:noProof/>
                <w:webHidden/>
              </w:rPr>
              <w:tab/>
            </w:r>
            <w:r>
              <w:rPr>
                <w:noProof/>
                <w:webHidden/>
              </w:rPr>
              <w:fldChar w:fldCharType="begin"/>
            </w:r>
            <w:r>
              <w:rPr>
                <w:noProof/>
                <w:webHidden/>
              </w:rPr>
              <w:instrText xml:space="preserve"> PAGEREF _Toc225519584 \h </w:instrText>
            </w:r>
            <w:r>
              <w:rPr>
                <w:noProof/>
                <w:webHidden/>
              </w:rPr>
            </w:r>
            <w:r>
              <w:rPr>
                <w:noProof/>
                <w:webHidden/>
              </w:rPr>
              <w:fldChar w:fldCharType="separate"/>
            </w:r>
            <w:r>
              <w:rPr>
                <w:noProof/>
                <w:webHidden/>
              </w:rPr>
              <w:t>2</w:t>
            </w:r>
            <w:r>
              <w:rPr>
                <w:noProof/>
                <w:webHidden/>
              </w:rPr>
              <w:fldChar w:fldCharType="end"/>
            </w:r>
          </w:hyperlink>
        </w:p>
        <w:p w14:paraId="4ABB698E" w14:textId="465054F7"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5" w:history="1">
            <w:r w:rsidRPr="00FA2FEA">
              <w:rPr>
                <w:rStyle w:val="Hyperlink"/>
                <w:b/>
                <w:bCs/>
                <w:noProof/>
              </w:rPr>
              <w:t>1.5 Research questions</w:t>
            </w:r>
            <w:r>
              <w:rPr>
                <w:noProof/>
                <w:webHidden/>
              </w:rPr>
              <w:tab/>
            </w:r>
            <w:r>
              <w:rPr>
                <w:noProof/>
                <w:webHidden/>
              </w:rPr>
              <w:fldChar w:fldCharType="begin"/>
            </w:r>
            <w:r>
              <w:rPr>
                <w:noProof/>
                <w:webHidden/>
              </w:rPr>
              <w:instrText xml:space="preserve"> PAGEREF _Toc225519585 \h </w:instrText>
            </w:r>
            <w:r>
              <w:rPr>
                <w:noProof/>
                <w:webHidden/>
              </w:rPr>
            </w:r>
            <w:r>
              <w:rPr>
                <w:noProof/>
                <w:webHidden/>
              </w:rPr>
              <w:fldChar w:fldCharType="separate"/>
            </w:r>
            <w:r>
              <w:rPr>
                <w:noProof/>
                <w:webHidden/>
              </w:rPr>
              <w:t>2</w:t>
            </w:r>
            <w:r>
              <w:rPr>
                <w:noProof/>
                <w:webHidden/>
              </w:rPr>
              <w:fldChar w:fldCharType="end"/>
            </w:r>
          </w:hyperlink>
        </w:p>
        <w:p w14:paraId="12CD3F76" w14:textId="14C77FB5"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6" w:history="1">
            <w:r w:rsidRPr="00FA2FEA">
              <w:rPr>
                <w:rStyle w:val="Hyperlink"/>
                <w:b/>
                <w:bCs/>
                <w:noProof/>
              </w:rPr>
              <w:t>2. Key concepts and theoretical foundations.</w:t>
            </w:r>
            <w:r>
              <w:rPr>
                <w:noProof/>
                <w:webHidden/>
              </w:rPr>
              <w:tab/>
            </w:r>
            <w:r>
              <w:rPr>
                <w:noProof/>
                <w:webHidden/>
              </w:rPr>
              <w:fldChar w:fldCharType="begin"/>
            </w:r>
            <w:r>
              <w:rPr>
                <w:noProof/>
                <w:webHidden/>
              </w:rPr>
              <w:instrText xml:space="preserve"> PAGEREF _Toc225519586 \h </w:instrText>
            </w:r>
            <w:r>
              <w:rPr>
                <w:noProof/>
                <w:webHidden/>
              </w:rPr>
            </w:r>
            <w:r>
              <w:rPr>
                <w:noProof/>
                <w:webHidden/>
              </w:rPr>
              <w:fldChar w:fldCharType="separate"/>
            </w:r>
            <w:r>
              <w:rPr>
                <w:noProof/>
                <w:webHidden/>
              </w:rPr>
              <w:t>3</w:t>
            </w:r>
            <w:r>
              <w:rPr>
                <w:noProof/>
                <w:webHidden/>
              </w:rPr>
              <w:fldChar w:fldCharType="end"/>
            </w:r>
          </w:hyperlink>
        </w:p>
        <w:p w14:paraId="6708414B" w14:textId="3FD43E1C"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7" w:history="1">
            <w:r w:rsidRPr="00FA2FEA">
              <w:rPr>
                <w:rStyle w:val="Hyperlink"/>
                <w:b/>
                <w:bCs/>
                <w:noProof/>
              </w:rPr>
              <w:t>2.1 Key concepts</w:t>
            </w:r>
            <w:r>
              <w:rPr>
                <w:noProof/>
                <w:webHidden/>
              </w:rPr>
              <w:tab/>
            </w:r>
            <w:r>
              <w:rPr>
                <w:noProof/>
                <w:webHidden/>
              </w:rPr>
              <w:fldChar w:fldCharType="begin"/>
            </w:r>
            <w:r>
              <w:rPr>
                <w:noProof/>
                <w:webHidden/>
              </w:rPr>
              <w:instrText xml:space="preserve"> PAGEREF _Toc225519587 \h </w:instrText>
            </w:r>
            <w:r>
              <w:rPr>
                <w:noProof/>
                <w:webHidden/>
              </w:rPr>
            </w:r>
            <w:r>
              <w:rPr>
                <w:noProof/>
                <w:webHidden/>
              </w:rPr>
              <w:fldChar w:fldCharType="separate"/>
            </w:r>
            <w:r>
              <w:rPr>
                <w:noProof/>
                <w:webHidden/>
              </w:rPr>
              <w:t>3</w:t>
            </w:r>
            <w:r>
              <w:rPr>
                <w:noProof/>
                <w:webHidden/>
              </w:rPr>
              <w:fldChar w:fldCharType="end"/>
            </w:r>
          </w:hyperlink>
        </w:p>
        <w:p w14:paraId="42BDD9A0" w14:textId="09127308"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8" w:history="1">
            <w:r w:rsidRPr="00FA2FEA">
              <w:rPr>
                <w:rStyle w:val="Hyperlink"/>
                <w:b/>
                <w:bCs/>
                <w:noProof/>
              </w:rPr>
              <w:t>2.2 Theoretical framework</w:t>
            </w:r>
            <w:r>
              <w:rPr>
                <w:noProof/>
                <w:webHidden/>
              </w:rPr>
              <w:tab/>
            </w:r>
            <w:r>
              <w:rPr>
                <w:noProof/>
                <w:webHidden/>
              </w:rPr>
              <w:fldChar w:fldCharType="begin"/>
            </w:r>
            <w:r>
              <w:rPr>
                <w:noProof/>
                <w:webHidden/>
              </w:rPr>
              <w:instrText xml:space="preserve"> PAGEREF _Toc225519588 \h </w:instrText>
            </w:r>
            <w:r>
              <w:rPr>
                <w:noProof/>
                <w:webHidden/>
              </w:rPr>
            </w:r>
            <w:r>
              <w:rPr>
                <w:noProof/>
                <w:webHidden/>
              </w:rPr>
              <w:fldChar w:fldCharType="separate"/>
            </w:r>
            <w:r>
              <w:rPr>
                <w:noProof/>
                <w:webHidden/>
              </w:rPr>
              <w:t>3</w:t>
            </w:r>
            <w:r>
              <w:rPr>
                <w:noProof/>
                <w:webHidden/>
              </w:rPr>
              <w:fldChar w:fldCharType="end"/>
            </w:r>
          </w:hyperlink>
        </w:p>
        <w:p w14:paraId="0852A0E0" w14:textId="0DC016F9"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9" w:history="1">
            <w:r w:rsidRPr="00FA2FEA">
              <w:rPr>
                <w:rStyle w:val="Hyperlink"/>
                <w:b/>
                <w:bCs/>
                <w:noProof/>
              </w:rPr>
              <w:t>3. Literature review of major studies (2015–2026)</w:t>
            </w:r>
            <w:r>
              <w:rPr>
                <w:noProof/>
                <w:webHidden/>
              </w:rPr>
              <w:tab/>
            </w:r>
            <w:r>
              <w:rPr>
                <w:noProof/>
                <w:webHidden/>
              </w:rPr>
              <w:fldChar w:fldCharType="begin"/>
            </w:r>
            <w:r>
              <w:rPr>
                <w:noProof/>
                <w:webHidden/>
              </w:rPr>
              <w:instrText xml:space="preserve"> PAGEREF _Toc225519589 \h </w:instrText>
            </w:r>
            <w:r>
              <w:rPr>
                <w:noProof/>
                <w:webHidden/>
              </w:rPr>
            </w:r>
            <w:r>
              <w:rPr>
                <w:noProof/>
                <w:webHidden/>
              </w:rPr>
              <w:fldChar w:fldCharType="separate"/>
            </w:r>
            <w:r>
              <w:rPr>
                <w:noProof/>
                <w:webHidden/>
              </w:rPr>
              <w:t>5</w:t>
            </w:r>
            <w:r>
              <w:rPr>
                <w:noProof/>
                <w:webHidden/>
              </w:rPr>
              <w:fldChar w:fldCharType="end"/>
            </w:r>
          </w:hyperlink>
        </w:p>
        <w:p w14:paraId="64F26B5E" w14:textId="6CEBB5DE"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0" w:history="1">
            <w:r w:rsidRPr="00FA2FEA">
              <w:rPr>
                <w:rStyle w:val="Hyperlink"/>
                <w:b/>
                <w:bCs/>
                <w:noProof/>
              </w:rPr>
              <w:t>3.1 CIMO framework</w:t>
            </w:r>
            <w:r>
              <w:rPr>
                <w:noProof/>
                <w:webHidden/>
              </w:rPr>
              <w:tab/>
            </w:r>
            <w:r>
              <w:rPr>
                <w:noProof/>
                <w:webHidden/>
              </w:rPr>
              <w:fldChar w:fldCharType="begin"/>
            </w:r>
            <w:r>
              <w:rPr>
                <w:noProof/>
                <w:webHidden/>
              </w:rPr>
              <w:instrText xml:space="preserve"> PAGEREF _Toc225519590 \h </w:instrText>
            </w:r>
            <w:r>
              <w:rPr>
                <w:noProof/>
                <w:webHidden/>
              </w:rPr>
            </w:r>
            <w:r>
              <w:rPr>
                <w:noProof/>
                <w:webHidden/>
              </w:rPr>
              <w:fldChar w:fldCharType="separate"/>
            </w:r>
            <w:r>
              <w:rPr>
                <w:noProof/>
                <w:webHidden/>
              </w:rPr>
              <w:t>5</w:t>
            </w:r>
            <w:r>
              <w:rPr>
                <w:noProof/>
                <w:webHidden/>
              </w:rPr>
              <w:fldChar w:fldCharType="end"/>
            </w:r>
          </w:hyperlink>
        </w:p>
        <w:p w14:paraId="430DE59E" w14:textId="6B50CA30"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1" w:history="1">
            <w:r w:rsidRPr="00FA2FEA">
              <w:rPr>
                <w:rStyle w:val="Hyperlink"/>
                <w:b/>
                <w:bCs/>
                <w:noProof/>
              </w:rPr>
              <w:t>3.2 Inclusion &amp; exclusion criteria</w:t>
            </w:r>
            <w:r>
              <w:rPr>
                <w:noProof/>
                <w:webHidden/>
              </w:rPr>
              <w:tab/>
            </w:r>
            <w:r>
              <w:rPr>
                <w:noProof/>
                <w:webHidden/>
              </w:rPr>
              <w:fldChar w:fldCharType="begin"/>
            </w:r>
            <w:r>
              <w:rPr>
                <w:noProof/>
                <w:webHidden/>
              </w:rPr>
              <w:instrText xml:space="preserve"> PAGEREF _Toc225519591 \h </w:instrText>
            </w:r>
            <w:r>
              <w:rPr>
                <w:noProof/>
                <w:webHidden/>
              </w:rPr>
            </w:r>
            <w:r>
              <w:rPr>
                <w:noProof/>
                <w:webHidden/>
              </w:rPr>
              <w:fldChar w:fldCharType="separate"/>
            </w:r>
            <w:r>
              <w:rPr>
                <w:noProof/>
                <w:webHidden/>
              </w:rPr>
              <w:t>5</w:t>
            </w:r>
            <w:r>
              <w:rPr>
                <w:noProof/>
                <w:webHidden/>
              </w:rPr>
              <w:fldChar w:fldCharType="end"/>
            </w:r>
          </w:hyperlink>
        </w:p>
        <w:p w14:paraId="072EAA88" w14:textId="0B860C9B"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2" w:history="1">
            <w:r w:rsidRPr="00FA2FEA">
              <w:rPr>
                <w:rStyle w:val="Hyperlink"/>
                <w:b/>
                <w:bCs/>
                <w:noProof/>
              </w:rPr>
              <w:t>3.3 Boolean operator</w:t>
            </w:r>
            <w:r>
              <w:rPr>
                <w:noProof/>
                <w:webHidden/>
              </w:rPr>
              <w:tab/>
            </w:r>
            <w:r>
              <w:rPr>
                <w:noProof/>
                <w:webHidden/>
              </w:rPr>
              <w:fldChar w:fldCharType="begin"/>
            </w:r>
            <w:r>
              <w:rPr>
                <w:noProof/>
                <w:webHidden/>
              </w:rPr>
              <w:instrText xml:space="preserve"> PAGEREF _Toc225519592 \h </w:instrText>
            </w:r>
            <w:r>
              <w:rPr>
                <w:noProof/>
                <w:webHidden/>
              </w:rPr>
            </w:r>
            <w:r>
              <w:rPr>
                <w:noProof/>
                <w:webHidden/>
              </w:rPr>
              <w:fldChar w:fldCharType="separate"/>
            </w:r>
            <w:r>
              <w:rPr>
                <w:noProof/>
                <w:webHidden/>
              </w:rPr>
              <w:t>5</w:t>
            </w:r>
            <w:r>
              <w:rPr>
                <w:noProof/>
                <w:webHidden/>
              </w:rPr>
              <w:fldChar w:fldCharType="end"/>
            </w:r>
          </w:hyperlink>
        </w:p>
        <w:p w14:paraId="2450C580" w14:textId="44140F19"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3" w:history="1">
            <w:r w:rsidRPr="00FA2FEA">
              <w:rPr>
                <w:rStyle w:val="Hyperlink"/>
                <w:b/>
                <w:bCs/>
                <w:noProof/>
              </w:rPr>
              <w:t>3.4 Database</w:t>
            </w:r>
            <w:r>
              <w:rPr>
                <w:noProof/>
                <w:webHidden/>
              </w:rPr>
              <w:tab/>
            </w:r>
            <w:r>
              <w:rPr>
                <w:noProof/>
                <w:webHidden/>
              </w:rPr>
              <w:fldChar w:fldCharType="begin"/>
            </w:r>
            <w:r>
              <w:rPr>
                <w:noProof/>
                <w:webHidden/>
              </w:rPr>
              <w:instrText xml:space="preserve"> PAGEREF _Toc225519593 \h </w:instrText>
            </w:r>
            <w:r>
              <w:rPr>
                <w:noProof/>
                <w:webHidden/>
              </w:rPr>
            </w:r>
            <w:r>
              <w:rPr>
                <w:noProof/>
                <w:webHidden/>
              </w:rPr>
              <w:fldChar w:fldCharType="separate"/>
            </w:r>
            <w:r>
              <w:rPr>
                <w:noProof/>
                <w:webHidden/>
              </w:rPr>
              <w:t>5</w:t>
            </w:r>
            <w:r>
              <w:rPr>
                <w:noProof/>
                <w:webHidden/>
              </w:rPr>
              <w:fldChar w:fldCharType="end"/>
            </w:r>
          </w:hyperlink>
        </w:p>
        <w:p w14:paraId="49B58BC7" w14:textId="57C8AEDE"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4" w:history="1">
            <w:r w:rsidRPr="00FA2FEA">
              <w:rPr>
                <w:rStyle w:val="Hyperlink"/>
                <w:b/>
                <w:bCs/>
                <w:noProof/>
              </w:rPr>
              <w:t>3.5 Quality assessment</w:t>
            </w:r>
            <w:r>
              <w:rPr>
                <w:noProof/>
                <w:webHidden/>
              </w:rPr>
              <w:tab/>
            </w:r>
            <w:r>
              <w:rPr>
                <w:noProof/>
                <w:webHidden/>
              </w:rPr>
              <w:fldChar w:fldCharType="begin"/>
            </w:r>
            <w:r>
              <w:rPr>
                <w:noProof/>
                <w:webHidden/>
              </w:rPr>
              <w:instrText xml:space="preserve"> PAGEREF _Toc225519594 \h </w:instrText>
            </w:r>
            <w:r>
              <w:rPr>
                <w:noProof/>
                <w:webHidden/>
              </w:rPr>
            </w:r>
            <w:r>
              <w:rPr>
                <w:noProof/>
                <w:webHidden/>
              </w:rPr>
              <w:fldChar w:fldCharType="separate"/>
            </w:r>
            <w:r>
              <w:rPr>
                <w:noProof/>
                <w:webHidden/>
              </w:rPr>
              <w:t>6</w:t>
            </w:r>
            <w:r>
              <w:rPr>
                <w:noProof/>
                <w:webHidden/>
              </w:rPr>
              <w:fldChar w:fldCharType="end"/>
            </w:r>
          </w:hyperlink>
        </w:p>
        <w:p w14:paraId="54C027AF" w14:textId="3A133451"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5" w:history="1">
            <w:r w:rsidRPr="00FA2FEA">
              <w:rPr>
                <w:rStyle w:val="Hyperlink"/>
                <w:b/>
                <w:bCs/>
                <w:noProof/>
              </w:rPr>
              <w:t>3.6 Prisma mapping</w:t>
            </w:r>
            <w:r>
              <w:rPr>
                <w:noProof/>
                <w:webHidden/>
              </w:rPr>
              <w:tab/>
            </w:r>
            <w:r>
              <w:rPr>
                <w:noProof/>
                <w:webHidden/>
              </w:rPr>
              <w:fldChar w:fldCharType="begin"/>
            </w:r>
            <w:r>
              <w:rPr>
                <w:noProof/>
                <w:webHidden/>
              </w:rPr>
              <w:instrText xml:space="preserve"> PAGEREF _Toc225519595 \h </w:instrText>
            </w:r>
            <w:r>
              <w:rPr>
                <w:noProof/>
                <w:webHidden/>
              </w:rPr>
            </w:r>
            <w:r>
              <w:rPr>
                <w:noProof/>
                <w:webHidden/>
              </w:rPr>
              <w:fldChar w:fldCharType="separate"/>
            </w:r>
            <w:r>
              <w:rPr>
                <w:noProof/>
                <w:webHidden/>
              </w:rPr>
              <w:t>6</w:t>
            </w:r>
            <w:r>
              <w:rPr>
                <w:noProof/>
                <w:webHidden/>
              </w:rPr>
              <w:fldChar w:fldCharType="end"/>
            </w:r>
          </w:hyperlink>
        </w:p>
        <w:p w14:paraId="6ABF4EF8" w14:textId="3950B4F9"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6" w:history="1">
            <w:r w:rsidRPr="00FA2FEA">
              <w:rPr>
                <w:rStyle w:val="Hyperlink"/>
                <w:b/>
                <w:bCs/>
                <w:noProof/>
              </w:rPr>
              <w:t>3.7 Data analysis: Thematic analysis</w:t>
            </w:r>
            <w:r>
              <w:rPr>
                <w:noProof/>
                <w:webHidden/>
              </w:rPr>
              <w:tab/>
            </w:r>
            <w:r>
              <w:rPr>
                <w:noProof/>
                <w:webHidden/>
              </w:rPr>
              <w:fldChar w:fldCharType="begin"/>
            </w:r>
            <w:r>
              <w:rPr>
                <w:noProof/>
                <w:webHidden/>
              </w:rPr>
              <w:instrText xml:space="preserve"> PAGEREF _Toc225519596 \h </w:instrText>
            </w:r>
            <w:r>
              <w:rPr>
                <w:noProof/>
                <w:webHidden/>
              </w:rPr>
            </w:r>
            <w:r>
              <w:rPr>
                <w:noProof/>
                <w:webHidden/>
              </w:rPr>
              <w:fldChar w:fldCharType="separate"/>
            </w:r>
            <w:r>
              <w:rPr>
                <w:noProof/>
                <w:webHidden/>
              </w:rPr>
              <w:t>7</w:t>
            </w:r>
            <w:r>
              <w:rPr>
                <w:noProof/>
                <w:webHidden/>
              </w:rPr>
              <w:fldChar w:fldCharType="end"/>
            </w:r>
          </w:hyperlink>
        </w:p>
        <w:p w14:paraId="48457D99" w14:textId="4F647011"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7" w:history="1">
            <w:r w:rsidRPr="00FA2FEA">
              <w:rPr>
                <w:rStyle w:val="Hyperlink"/>
                <w:b/>
                <w:bCs/>
                <w:noProof/>
              </w:rPr>
              <w:t>3.7.1 Evidence on retained earnings and investment behaviour</w:t>
            </w:r>
            <w:r>
              <w:rPr>
                <w:noProof/>
                <w:webHidden/>
              </w:rPr>
              <w:tab/>
            </w:r>
            <w:r>
              <w:rPr>
                <w:noProof/>
                <w:webHidden/>
              </w:rPr>
              <w:fldChar w:fldCharType="begin"/>
            </w:r>
            <w:r>
              <w:rPr>
                <w:noProof/>
                <w:webHidden/>
              </w:rPr>
              <w:instrText xml:space="preserve"> PAGEREF _Toc225519597 \h </w:instrText>
            </w:r>
            <w:r>
              <w:rPr>
                <w:noProof/>
                <w:webHidden/>
              </w:rPr>
            </w:r>
            <w:r>
              <w:rPr>
                <w:noProof/>
                <w:webHidden/>
              </w:rPr>
              <w:fldChar w:fldCharType="separate"/>
            </w:r>
            <w:r>
              <w:rPr>
                <w:noProof/>
                <w:webHidden/>
              </w:rPr>
              <w:t>7</w:t>
            </w:r>
            <w:r>
              <w:rPr>
                <w:noProof/>
                <w:webHidden/>
              </w:rPr>
              <w:fldChar w:fldCharType="end"/>
            </w:r>
          </w:hyperlink>
        </w:p>
        <w:p w14:paraId="2CF039F0" w14:textId="451ECB95"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8" w:history="1">
            <w:r w:rsidRPr="00FA2FEA">
              <w:rPr>
                <w:rStyle w:val="Hyperlink"/>
                <w:b/>
                <w:bCs/>
                <w:noProof/>
              </w:rPr>
              <w:t>3.7.2 Allocation of  Retained Earnings by organisations</w:t>
            </w:r>
            <w:r>
              <w:rPr>
                <w:noProof/>
                <w:webHidden/>
              </w:rPr>
              <w:tab/>
            </w:r>
            <w:r>
              <w:rPr>
                <w:noProof/>
                <w:webHidden/>
              </w:rPr>
              <w:fldChar w:fldCharType="begin"/>
            </w:r>
            <w:r>
              <w:rPr>
                <w:noProof/>
                <w:webHidden/>
              </w:rPr>
              <w:instrText xml:space="preserve"> PAGEREF _Toc225519598 \h </w:instrText>
            </w:r>
            <w:r>
              <w:rPr>
                <w:noProof/>
                <w:webHidden/>
              </w:rPr>
            </w:r>
            <w:r>
              <w:rPr>
                <w:noProof/>
                <w:webHidden/>
              </w:rPr>
              <w:fldChar w:fldCharType="separate"/>
            </w:r>
            <w:r>
              <w:rPr>
                <w:noProof/>
                <w:webHidden/>
              </w:rPr>
              <w:t>8</w:t>
            </w:r>
            <w:r>
              <w:rPr>
                <w:noProof/>
                <w:webHidden/>
              </w:rPr>
              <w:fldChar w:fldCharType="end"/>
            </w:r>
          </w:hyperlink>
        </w:p>
        <w:p w14:paraId="16EB807C" w14:textId="25DED5D4"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9" w:history="1">
            <w:r w:rsidRPr="00FA2FEA">
              <w:rPr>
                <w:rStyle w:val="Hyperlink"/>
                <w:b/>
                <w:bCs/>
                <w:noProof/>
              </w:rPr>
              <w:t>3.7.3 Strategic Influences on retained earnings use</w:t>
            </w:r>
            <w:r>
              <w:rPr>
                <w:noProof/>
                <w:webHidden/>
              </w:rPr>
              <w:tab/>
            </w:r>
            <w:r>
              <w:rPr>
                <w:noProof/>
                <w:webHidden/>
              </w:rPr>
              <w:fldChar w:fldCharType="begin"/>
            </w:r>
            <w:r>
              <w:rPr>
                <w:noProof/>
                <w:webHidden/>
              </w:rPr>
              <w:instrText xml:space="preserve"> PAGEREF _Toc225519599 \h </w:instrText>
            </w:r>
            <w:r>
              <w:rPr>
                <w:noProof/>
                <w:webHidden/>
              </w:rPr>
            </w:r>
            <w:r>
              <w:rPr>
                <w:noProof/>
                <w:webHidden/>
              </w:rPr>
              <w:fldChar w:fldCharType="separate"/>
            </w:r>
            <w:r>
              <w:rPr>
                <w:noProof/>
                <w:webHidden/>
              </w:rPr>
              <w:t>8</w:t>
            </w:r>
            <w:r>
              <w:rPr>
                <w:noProof/>
                <w:webHidden/>
              </w:rPr>
              <w:fldChar w:fldCharType="end"/>
            </w:r>
          </w:hyperlink>
        </w:p>
        <w:p w14:paraId="63ACD5C8" w14:textId="40784F7C"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0" w:history="1">
            <w:r w:rsidRPr="00FA2FEA">
              <w:rPr>
                <w:rStyle w:val="Hyperlink"/>
                <w:b/>
                <w:bCs/>
                <w:noProof/>
              </w:rPr>
              <w:t>3.7.4 Financial Influences on retained earnings use</w:t>
            </w:r>
            <w:r>
              <w:rPr>
                <w:noProof/>
                <w:webHidden/>
              </w:rPr>
              <w:tab/>
            </w:r>
            <w:r>
              <w:rPr>
                <w:noProof/>
                <w:webHidden/>
              </w:rPr>
              <w:fldChar w:fldCharType="begin"/>
            </w:r>
            <w:r>
              <w:rPr>
                <w:noProof/>
                <w:webHidden/>
              </w:rPr>
              <w:instrText xml:space="preserve"> PAGEREF _Toc225519600 \h </w:instrText>
            </w:r>
            <w:r>
              <w:rPr>
                <w:noProof/>
                <w:webHidden/>
              </w:rPr>
            </w:r>
            <w:r>
              <w:rPr>
                <w:noProof/>
                <w:webHidden/>
              </w:rPr>
              <w:fldChar w:fldCharType="separate"/>
            </w:r>
            <w:r>
              <w:rPr>
                <w:noProof/>
                <w:webHidden/>
              </w:rPr>
              <w:t>9</w:t>
            </w:r>
            <w:r>
              <w:rPr>
                <w:noProof/>
                <w:webHidden/>
              </w:rPr>
              <w:fldChar w:fldCharType="end"/>
            </w:r>
          </w:hyperlink>
        </w:p>
        <w:p w14:paraId="78925775" w14:textId="03324212"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1" w:history="1">
            <w:r w:rsidRPr="00FA2FEA">
              <w:rPr>
                <w:rStyle w:val="Hyperlink"/>
                <w:b/>
                <w:bCs/>
                <w:noProof/>
              </w:rPr>
              <w:t>3.7.5 Organizational Influences on retained earnings use</w:t>
            </w:r>
            <w:r>
              <w:rPr>
                <w:noProof/>
                <w:webHidden/>
              </w:rPr>
              <w:tab/>
            </w:r>
            <w:r>
              <w:rPr>
                <w:noProof/>
                <w:webHidden/>
              </w:rPr>
              <w:fldChar w:fldCharType="begin"/>
            </w:r>
            <w:r>
              <w:rPr>
                <w:noProof/>
                <w:webHidden/>
              </w:rPr>
              <w:instrText xml:space="preserve"> PAGEREF _Toc225519601 \h </w:instrText>
            </w:r>
            <w:r>
              <w:rPr>
                <w:noProof/>
                <w:webHidden/>
              </w:rPr>
            </w:r>
            <w:r>
              <w:rPr>
                <w:noProof/>
                <w:webHidden/>
              </w:rPr>
              <w:fldChar w:fldCharType="separate"/>
            </w:r>
            <w:r>
              <w:rPr>
                <w:noProof/>
                <w:webHidden/>
              </w:rPr>
              <w:t>10</w:t>
            </w:r>
            <w:r>
              <w:rPr>
                <w:noProof/>
                <w:webHidden/>
              </w:rPr>
              <w:fldChar w:fldCharType="end"/>
            </w:r>
          </w:hyperlink>
        </w:p>
        <w:p w14:paraId="213222BC" w14:textId="12DF97CE"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2" w:history="1">
            <w:r w:rsidRPr="00FA2FEA">
              <w:rPr>
                <w:rStyle w:val="Hyperlink"/>
                <w:b/>
                <w:bCs/>
                <w:noProof/>
              </w:rPr>
              <w:t>4. Discussion; debates, and contrasting opinions: Strategic, financial, and organisational interactions</w:t>
            </w:r>
            <w:r>
              <w:rPr>
                <w:noProof/>
                <w:webHidden/>
              </w:rPr>
              <w:tab/>
            </w:r>
            <w:r>
              <w:rPr>
                <w:noProof/>
                <w:webHidden/>
              </w:rPr>
              <w:fldChar w:fldCharType="begin"/>
            </w:r>
            <w:r>
              <w:rPr>
                <w:noProof/>
                <w:webHidden/>
              </w:rPr>
              <w:instrText xml:space="preserve"> PAGEREF _Toc225519602 \h </w:instrText>
            </w:r>
            <w:r>
              <w:rPr>
                <w:noProof/>
                <w:webHidden/>
              </w:rPr>
            </w:r>
            <w:r>
              <w:rPr>
                <w:noProof/>
                <w:webHidden/>
              </w:rPr>
              <w:fldChar w:fldCharType="separate"/>
            </w:r>
            <w:r>
              <w:rPr>
                <w:noProof/>
                <w:webHidden/>
              </w:rPr>
              <w:t>11</w:t>
            </w:r>
            <w:r>
              <w:rPr>
                <w:noProof/>
                <w:webHidden/>
              </w:rPr>
              <w:fldChar w:fldCharType="end"/>
            </w:r>
          </w:hyperlink>
        </w:p>
        <w:p w14:paraId="1B6B4A42" w14:textId="7F4B001A"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3" w:history="1">
            <w:r w:rsidRPr="00FA2FEA">
              <w:rPr>
                <w:rStyle w:val="Hyperlink"/>
                <w:b/>
                <w:bCs/>
                <w:noProof/>
              </w:rPr>
              <w:t>5. Research Contribution</w:t>
            </w:r>
            <w:r>
              <w:rPr>
                <w:noProof/>
                <w:webHidden/>
              </w:rPr>
              <w:tab/>
            </w:r>
            <w:r>
              <w:rPr>
                <w:noProof/>
                <w:webHidden/>
              </w:rPr>
              <w:fldChar w:fldCharType="begin"/>
            </w:r>
            <w:r>
              <w:rPr>
                <w:noProof/>
                <w:webHidden/>
              </w:rPr>
              <w:instrText xml:space="preserve"> PAGEREF _Toc225519603 \h </w:instrText>
            </w:r>
            <w:r>
              <w:rPr>
                <w:noProof/>
                <w:webHidden/>
              </w:rPr>
            </w:r>
            <w:r>
              <w:rPr>
                <w:noProof/>
                <w:webHidden/>
              </w:rPr>
              <w:fldChar w:fldCharType="separate"/>
            </w:r>
            <w:r>
              <w:rPr>
                <w:noProof/>
                <w:webHidden/>
              </w:rPr>
              <w:t>13</w:t>
            </w:r>
            <w:r>
              <w:rPr>
                <w:noProof/>
                <w:webHidden/>
              </w:rPr>
              <w:fldChar w:fldCharType="end"/>
            </w:r>
          </w:hyperlink>
        </w:p>
        <w:p w14:paraId="7E0C9625" w14:textId="41275A20"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4" w:history="1">
            <w:r w:rsidRPr="00FA2FEA">
              <w:rPr>
                <w:rStyle w:val="Hyperlink"/>
                <w:b/>
                <w:bCs/>
                <w:noProof/>
              </w:rPr>
              <w:t>6. Identified Gaps in the Literature</w:t>
            </w:r>
            <w:r>
              <w:rPr>
                <w:noProof/>
                <w:webHidden/>
              </w:rPr>
              <w:tab/>
            </w:r>
            <w:r>
              <w:rPr>
                <w:noProof/>
                <w:webHidden/>
              </w:rPr>
              <w:fldChar w:fldCharType="begin"/>
            </w:r>
            <w:r>
              <w:rPr>
                <w:noProof/>
                <w:webHidden/>
              </w:rPr>
              <w:instrText xml:space="preserve"> PAGEREF _Toc225519604 \h </w:instrText>
            </w:r>
            <w:r>
              <w:rPr>
                <w:noProof/>
                <w:webHidden/>
              </w:rPr>
            </w:r>
            <w:r>
              <w:rPr>
                <w:noProof/>
                <w:webHidden/>
              </w:rPr>
              <w:fldChar w:fldCharType="separate"/>
            </w:r>
            <w:r>
              <w:rPr>
                <w:noProof/>
                <w:webHidden/>
              </w:rPr>
              <w:t>13</w:t>
            </w:r>
            <w:r>
              <w:rPr>
                <w:noProof/>
                <w:webHidden/>
              </w:rPr>
              <w:fldChar w:fldCharType="end"/>
            </w:r>
          </w:hyperlink>
        </w:p>
        <w:p w14:paraId="43E91748" w14:textId="6B9F336A"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5" w:history="1">
            <w:r w:rsidRPr="00FA2FEA">
              <w:rPr>
                <w:rStyle w:val="Hyperlink"/>
                <w:b/>
                <w:bCs/>
                <w:noProof/>
              </w:rPr>
              <w:t>7. Revised Research Questions</w:t>
            </w:r>
            <w:r>
              <w:rPr>
                <w:noProof/>
                <w:webHidden/>
              </w:rPr>
              <w:tab/>
            </w:r>
            <w:r>
              <w:rPr>
                <w:noProof/>
                <w:webHidden/>
              </w:rPr>
              <w:fldChar w:fldCharType="begin"/>
            </w:r>
            <w:r>
              <w:rPr>
                <w:noProof/>
                <w:webHidden/>
              </w:rPr>
              <w:instrText xml:space="preserve"> PAGEREF _Toc225519605 \h </w:instrText>
            </w:r>
            <w:r>
              <w:rPr>
                <w:noProof/>
                <w:webHidden/>
              </w:rPr>
            </w:r>
            <w:r>
              <w:rPr>
                <w:noProof/>
                <w:webHidden/>
              </w:rPr>
              <w:fldChar w:fldCharType="separate"/>
            </w:r>
            <w:r>
              <w:rPr>
                <w:noProof/>
                <w:webHidden/>
              </w:rPr>
              <w:t>13</w:t>
            </w:r>
            <w:r>
              <w:rPr>
                <w:noProof/>
                <w:webHidden/>
              </w:rPr>
              <w:fldChar w:fldCharType="end"/>
            </w:r>
          </w:hyperlink>
        </w:p>
        <w:p w14:paraId="602EF926" w14:textId="5398FFB5"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6" w:history="1">
            <w:r w:rsidRPr="00FA2FEA">
              <w:rPr>
                <w:rStyle w:val="Hyperlink"/>
                <w:b/>
                <w:bCs/>
                <w:noProof/>
              </w:rPr>
              <w:t>8. Limitation of the study</w:t>
            </w:r>
            <w:r>
              <w:rPr>
                <w:noProof/>
                <w:webHidden/>
              </w:rPr>
              <w:tab/>
            </w:r>
            <w:r>
              <w:rPr>
                <w:noProof/>
                <w:webHidden/>
              </w:rPr>
              <w:fldChar w:fldCharType="begin"/>
            </w:r>
            <w:r>
              <w:rPr>
                <w:noProof/>
                <w:webHidden/>
              </w:rPr>
              <w:instrText xml:space="preserve"> PAGEREF _Toc225519606 \h </w:instrText>
            </w:r>
            <w:r>
              <w:rPr>
                <w:noProof/>
                <w:webHidden/>
              </w:rPr>
            </w:r>
            <w:r>
              <w:rPr>
                <w:noProof/>
                <w:webHidden/>
              </w:rPr>
              <w:fldChar w:fldCharType="separate"/>
            </w:r>
            <w:r>
              <w:rPr>
                <w:noProof/>
                <w:webHidden/>
              </w:rPr>
              <w:t>14</w:t>
            </w:r>
            <w:r>
              <w:rPr>
                <w:noProof/>
                <w:webHidden/>
              </w:rPr>
              <w:fldChar w:fldCharType="end"/>
            </w:r>
          </w:hyperlink>
        </w:p>
        <w:p w14:paraId="05191866" w14:textId="43130196"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7" w:history="1">
            <w:r w:rsidRPr="00FA2FEA">
              <w:rPr>
                <w:rStyle w:val="Hyperlink"/>
                <w:b/>
                <w:bCs/>
                <w:noProof/>
              </w:rPr>
              <w:t>9. Conclusion of the Literature Review</w:t>
            </w:r>
            <w:r>
              <w:rPr>
                <w:noProof/>
                <w:webHidden/>
              </w:rPr>
              <w:tab/>
            </w:r>
            <w:r>
              <w:rPr>
                <w:noProof/>
                <w:webHidden/>
              </w:rPr>
              <w:fldChar w:fldCharType="begin"/>
            </w:r>
            <w:r>
              <w:rPr>
                <w:noProof/>
                <w:webHidden/>
              </w:rPr>
              <w:instrText xml:space="preserve"> PAGEREF _Toc225519607 \h </w:instrText>
            </w:r>
            <w:r>
              <w:rPr>
                <w:noProof/>
                <w:webHidden/>
              </w:rPr>
            </w:r>
            <w:r>
              <w:rPr>
                <w:noProof/>
                <w:webHidden/>
              </w:rPr>
              <w:fldChar w:fldCharType="separate"/>
            </w:r>
            <w:r>
              <w:rPr>
                <w:noProof/>
                <w:webHidden/>
              </w:rPr>
              <w:t>14</w:t>
            </w:r>
            <w:r>
              <w:rPr>
                <w:noProof/>
                <w:webHidden/>
              </w:rPr>
              <w:fldChar w:fldCharType="end"/>
            </w:r>
          </w:hyperlink>
        </w:p>
        <w:p w14:paraId="2EC9C29E" w14:textId="241E91ED"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8" w:history="1">
            <w:r w:rsidRPr="00FA2FEA">
              <w:rPr>
                <w:rStyle w:val="Hyperlink"/>
                <w:b/>
                <w:bCs/>
                <w:noProof/>
              </w:rPr>
              <w:t>Reference</w:t>
            </w:r>
            <w:r>
              <w:rPr>
                <w:noProof/>
                <w:webHidden/>
              </w:rPr>
              <w:tab/>
            </w:r>
            <w:r>
              <w:rPr>
                <w:noProof/>
                <w:webHidden/>
              </w:rPr>
              <w:fldChar w:fldCharType="begin"/>
            </w:r>
            <w:r>
              <w:rPr>
                <w:noProof/>
                <w:webHidden/>
              </w:rPr>
              <w:instrText xml:space="preserve"> PAGEREF _Toc225519608 \h </w:instrText>
            </w:r>
            <w:r>
              <w:rPr>
                <w:noProof/>
                <w:webHidden/>
              </w:rPr>
            </w:r>
            <w:r>
              <w:rPr>
                <w:noProof/>
                <w:webHidden/>
              </w:rPr>
              <w:fldChar w:fldCharType="separate"/>
            </w:r>
            <w:r>
              <w:rPr>
                <w:noProof/>
                <w:webHidden/>
              </w:rPr>
              <w:t>15</w:t>
            </w:r>
            <w:r>
              <w:rPr>
                <w:noProof/>
                <w:webHidden/>
              </w:rPr>
              <w:fldChar w:fldCharType="end"/>
            </w:r>
          </w:hyperlink>
        </w:p>
        <w:p w14:paraId="287BCEC9" w14:textId="0D3BFEC5" w:rsidR="00567EF5" w:rsidRPr="00E837F8" w:rsidRDefault="006578A3">
          <w:r w:rsidRPr="00E837F8">
            <w:fldChar w:fldCharType="end"/>
          </w:r>
        </w:p>
      </w:sdtContent>
    </w:sdt>
    <w:p w14:paraId="287BCECA" w14:textId="77777777" w:rsidR="00567EF5" w:rsidRPr="00E837F8" w:rsidRDefault="00567EF5">
      <w:pPr>
        <w:pStyle w:val="Heading1"/>
        <w:rPr>
          <w:rFonts w:ascii="Times New Roman" w:eastAsia="Times New Roman" w:hAnsi="Times New Roman" w:cs="Times New Roman"/>
          <w:sz w:val="24"/>
          <w:szCs w:val="24"/>
        </w:rPr>
      </w:pPr>
    </w:p>
    <w:p w14:paraId="0CC8E2AE" w14:textId="77777777" w:rsidR="00A01ACA" w:rsidRPr="00E837F8" w:rsidRDefault="00A01ACA" w:rsidP="00A01ACA"/>
    <w:p w14:paraId="301D92A5" w14:textId="77777777" w:rsidR="00A01ACA" w:rsidRPr="00E837F8" w:rsidRDefault="00A01ACA" w:rsidP="00A01ACA"/>
    <w:p w14:paraId="14C49D6B" w14:textId="77777777" w:rsidR="00A01ACA" w:rsidRPr="00E837F8" w:rsidRDefault="00A01ACA" w:rsidP="00A01ACA"/>
    <w:p w14:paraId="53D720B1" w14:textId="77777777" w:rsidR="00A01ACA" w:rsidRPr="00E837F8" w:rsidRDefault="00A01ACA" w:rsidP="00A01ACA"/>
    <w:p w14:paraId="55F78475" w14:textId="77777777" w:rsidR="00A01ACA" w:rsidRPr="00E837F8" w:rsidRDefault="00A01ACA" w:rsidP="00A01ACA"/>
    <w:p w14:paraId="31A226D0" w14:textId="77777777" w:rsidR="00A01ACA" w:rsidRPr="00E837F8" w:rsidRDefault="00A01ACA" w:rsidP="00A01ACA"/>
    <w:p w14:paraId="078CD241" w14:textId="77777777" w:rsidR="00A01ACA" w:rsidRPr="00E837F8" w:rsidRDefault="00A01ACA" w:rsidP="00A01ACA"/>
    <w:p w14:paraId="59A3B282" w14:textId="77777777" w:rsidR="00A01ACA" w:rsidRPr="00E837F8" w:rsidRDefault="00A01ACA" w:rsidP="00A01ACA"/>
    <w:p w14:paraId="4F931BDC" w14:textId="075ACF78" w:rsidR="00A01ACA" w:rsidRPr="00B37CE2" w:rsidRDefault="00A01ACA" w:rsidP="00545728">
      <w:pPr>
        <w:spacing w:line="360" w:lineRule="auto"/>
        <w:rPr>
          <w:b/>
          <w:bCs/>
          <w:sz w:val="24"/>
          <w:szCs w:val="24"/>
        </w:rPr>
      </w:pPr>
      <w:r w:rsidRPr="00B37CE2">
        <w:rPr>
          <w:b/>
          <w:bCs/>
          <w:sz w:val="24"/>
          <w:szCs w:val="24"/>
        </w:rPr>
        <w:lastRenderedPageBreak/>
        <w:t>Table of Figures</w:t>
      </w:r>
    </w:p>
    <w:p w14:paraId="5EEC15FC" w14:textId="10A160B5" w:rsidR="00A01ACA" w:rsidRPr="00E837F8" w:rsidRDefault="00A01ACA" w:rsidP="00545728">
      <w:pPr>
        <w:pStyle w:val="TableofFigures"/>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r w:rsidRPr="00E837F8">
        <w:rPr>
          <w:sz w:val="24"/>
          <w:szCs w:val="24"/>
        </w:rPr>
        <w:fldChar w:fldCharType="begin"/>
      </w:r>
      <w:r w:rsidRPr="00E837F8">
        <w:rPr>
          <w:sz w:val="24"/>
          <w:szCs w:val="24"/>
        </w:rPr>
        <w:instrText xml:space="preserve"> TOC \h \z \c "Figure" </w:instrText>
      </w:r>
      <w:r w:rsidRPr="00E837F8">
        <w:rPr>
          <w:sz w:val="24"/>
          <w:szCs w:val="24"/>
        </w:rPr>
        <w:fldChar w:fldCharType="separate"/>
      </w:r>
      <w:hyperlink w:anchor="_Toc225491096" w:history="1">
        <w:r w:rsidRPr="00E837F8">
          <w:rPr>
            <w:rStyle w:val="Hyperlink"/>
            <w:noProof/>
            <w:sz w:val="24"/>
            <w:szCs w:val="24"/>
          </w:rPr>
          <w:t>Figure 1 : Prisma mapping of the research.</w:t>
        </w:r>
        <w:r w:rsidRPr="00E837F8">
          <w:rPr>
            <w:noProof/>
            <w:webHidden/>
            <w:sz w:val="24"/>
            <w:szCs w:val="24"/>
          </w:rPr>
          <w:tab/>
        </w:r>
        <w:r w:rsidRPr="00E837F8">
          <w:rPr>
            <w:noProof/>
            <w:webHidden/>
            <w:sz w:val="24"/>
            <w:szCs w:val="24"/>
          </w:rPr>
          <w:fldChar w:fldCharType="begin"/>
        </w:r>
        <w:r w:rsidRPr="00E837F8">
          <w:rPr>
            <w:noProof/>
            <w:webHidden/>
            <w:sz w:val="24"/>
            <w:szCs w:val="24"/>
          </w:rPr>
          <w:instrText xml:space="preserve"> PAGEREF _Toc225491096 \h </w:instrText>
        </w:r>
        <w:r w:rsidRPr="00E837F8">
          <w:rPr>
            <w:noProof/>
            <w:webHidden/>
            <w:sz w:val="24"/>
            <w:szCs w:val="24"/>
          </w:rPr>
        </w:r>
        <w:r w:rsidRPr="00E837F8">
          <w:rPr>
            <w:noProof/>
            <w:webHidden/>
            <w:sz w:val="24"/>
            <w:szCs w:val="24"/>
          </w:rPr>
          <w:fldChar w:fldCharType="separate"/>
        </w:r>
        <w:r w:rsidRPr="00E837F8">
          <w:rPr>
            <w:noProof/>
            <w:webHidden/>
            <w:sz w:val="24"/>
            <w:szCs w:val="24"/>
          </w:rPr>
          <w:t>6</w:t>
        </w:r>
        <w:r w:rsidRPr="00E837F8">
          <w:rPr>
            <w:noProof/>
            <w:webHidden/>
            <w:sz w:val="24"/>
            <w:szCs w:val="24"/>
          </w:rPr>
          <w:fldChar w:fldCharType="end"/>
        </w:r>
      </w:hyperlink>
    </w:p>
    <w:p w14:paraId="22144A00" w14:textId="361FFCD6" w:rsidR="00A01ACA" w:rsidRPr="00E837F8" w:rsidRDefault="00A01ACA" w:rsidP="00545728">
      <w:pPr>
        <w:pStyle w:val="TableofFigures"/>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25491097" w:history="1">
        <w:r w:rsidRPr="00E837F8">
          <w:rPr>
            <w:rStyle w:val="Hyperlink"/>
            <w:noProof/>
            <w:sz w:val="24"/>
            <w:szCs w:val="24"/>
          </w:rPr>
          <w:t>Figure 2: Conceptual Framework of the literature.</w:t>
        </w:r>
        <w:r w:rsidRPr="00E837F8">
          <w:rPr>
            <w:noProof/>
            <w:webHidden/>
            <w:sz w:val="24"/>
            <w:szCs w:val="24"/>
          </w:rPr>
          <w:tab/>
        </w:r>
        <w:r w:rsidRPr="00E837F8">
          <w:rPr>
            <w:noProof/>
            <w:webHidden/>
            <w:sz w:val="24"/>
            <w:szCs w:val="24"/>
          </w:rPr>
          <w:fldChar w:fldCharType="begin"/>
        </w:r>
        <w:r w:rsidRPr="00E837F8">
          <w:rPr>
            <w:noProof/>
            <w:webHidden/>
            <w:sz w:val="24"/>
            <w:szCs w:val="24"/>
          </w:rPr>
          <w:instrText xml:space="preserve"> PAGEREF _Toc225491097 \h </w:instrText>
        </w:r>
        <w:r w:rsidRPr="00E837F8">
          <w:rPr>
            <w:noProof/>
            <w:webHidden/>
            <w:sz w:val="24"/>
            <w:szCs w:val="24"/>
          </w:rPr>
        </w:r>
        <w:r w:rsidRPr="00E837F8">
          <w:rPr>
            <w:noProof/>
            <w:webHidden/>
            <w:sz w:val="24"/>
            <w:szCs w:val="24"/>
          </w:rPr>
          <w:fldChar w:fldCharType="separate"/>
        </w:r>
        <w:r w:rsidRPr="00E837F8">
          <w:rPr>
            <w:noProof/>
            <w:webHidden/>
            <w:sz w:val="24"/>
            <w:szCs w:val="24"/>
          </w:rPr>
          <w:t>11</w:t>
        </w:r>
        <w:r w:rsidRPr="00E837F8">
          <w:rPr>
            <w:noProof/>
            <w:webHidden/>
            <w:sz w:val="24"/>
            <w:szCs w:val="24"/>
          </w:rPr>
          <w:fldChar w:fldCharType="end"/>
        </w:r>
      </w:hyperlink>
    </w:p>
    <w:p w14:paraId="0C448F52" w14:textId="7F67B996" w:rsidR="00A01ACA" w:rsidRPr="00E837F8" w:rsidRDefault="00A01ACA" w:rsidP="00545728">
      <w:pPr>
        <w:spacing w:line="360" w:lineRule="auto"/>
        <w:rPr>
          <w:sz w:val="24"/>
          <w:szCs w:val="24"/>
        </w:rPr>
      </w:pPr>
      <w:r w:rsidRPr="00E837F8">
        <w:rPr>
          <w:sz w:val="24"/>
          <w:szCs w:val="24"/>
        </w:rPr>
        <w:fldChar w:fldCharType="end"/>
      </w:r>
    </w:p>
    <w:p w14:paraId="287BCECB" w14:textId="77777777" w:rsidR="00567EF5" w:rsidRPr="00E837F8" w:rsidRDefault="006578A3">
      <w:pPr>
        <w:sectPr w:rsidR="00567EF5" w:rsidRPr="00E837F8">
          <w:pgSz w:w="12240" w:h="15840"/>
          <w:pgMar w:top="1440" w:right="1440" w:bottom="1440" w:left="1440" w:header="720" w:footer="720" w:gutter="0"/>
          <w:pgNumType w:start="1"/>
          <w:cols w:space="720"/>
        </w:sectPr>
      </w:pPr>
      <w:r w:rsidRPr="00E837F8">
        <w:br w:type="page"/>
      </w:r>
    </w:p>
    <w:p w14:paraId="287BCECC" w14:textId="77777777" w:rsidR="00567EF5" w:rsidRPr="00E837F8" w:rsidRDefault="006578A3">
      <w:pPr>
        <w:pStyle w:val="Heading1"/>
        <w:rPr>
          <w:rFonts w:ascii="Times New Roman" w:eastAsia="Times New Roman" w:hAnsi="Times New Roman" w:cs="Times New Roman"/>
          <w:b/>
          <w:bCs/>
          <w:color w:val="000000"/>
          <w:sz w:val="24"/>
          <w:szCs w:val="24"/>
        </w:rPr>
      </w:pPr>
      <w:bookmarkStart w:id="0" w:name="_Toc225519580"/>
      <w:r w:rsidRPr="00E837F8">
        <w:rPr>
          <w:rFonts w:ascii="Times New Roman" w:eastAsia="Times New Roman" w:hAnsi="Times New Roman" w:cs="Times New Roman"/>
          <w:b/>
          <w:bCs/>
          <w:color w:val="000000"/>
          <w:sz w:val="24"/>
          <w:szCs w:val="24"/>
        </w:rPr>
        <w:lastRenderedPageBreak/>
        <w:t>1. Introduction</w:t>
      </w:r>
      <w:bookmarkEnd w:id="0"/>
    </w:p>
    <w:p w14:paraId="287BCECD" w14:textId="77777777" w:rsidR="00567EF5" w:rsidRPr="00E837F8" w:rsidRDefault="006578A3">
      <w:pPr>
        <w:pStyle w:val="Heading2"/>
        <w:rPr>
          <w:rFonts w:ascii="Times New Roman" w:eastAsia="Times New Roman" w:hAnsi="Times New Roman" w:cs="Times New Roman"/>
          <w:b/>
          <w:bCs/>
          <w:color w:val="000000"/>
          <w:sz w:val="24"/>
          <w:szCs w:val="24"/>
        </w:rPr>
      </w:pPr>
      <w:bookmarkStart w:id="1" w:name="_Toc225519581"/>
      <w:r w:rsidRPr="00E837F8">
        <w:rPr>
          <w:rFonts w:ascii="Times New Roman" w:eastAsia="Times New Roman" w:hAnsi="Times New Roman" w:cs="Times New Roman"/>
          <w:b/>
          <w:bCs/>
          <w:color w:val="000000"/>
          <w:sz w:val="24"/>
          <w:szCs w:val="24"/>
        </w:rPr>
        <w:t>1.1 Background to the study</w:t>
      </w:r>
      <w:bookmarkEnd w:id="1"/>
    </w:p>
    <w:p w14:paraId="287BCECE" w14:textId="77777777" w:rsidR="00567EF5" w:rsidRPr="00E837F8" w:rsidRDefault="006578A3">
      <w:pPr>
        <w:spacing w:after="240" w:line="360" w:lineRule="auto"/>
        <w:jc w:val="both"/>
        <w:rPr>
          <w:sz w:val="24"/>
          <w:szCs w:val="24"/>
        </w:rPr>
      </w:pPr>
      <w:r w:rsidRPr="00E837F8">
        <w:rPr>
          <w:sz w:val="24"/>
          <w:szCs w:val="24"/>
        </w:rPr>
        <w:t xml:space="preserve">Capital budgeting is a fundamental organisational process that guides long-term investment decisions and facilitates strategic value generation. It enables businesses to direct financial resources toward projects that increase shareholder capital (Garrison </w:t>
      </w:r>
      <w:r w:rsidRPr="00E837F8">
        <w:rPr>
          <w:i/>
          <w:iCs/>
          <w:sz w:val="24"/>
          <w:szCs w:val="24"/>
        </w:rPr>
        <w:t>et al.</w:t>
      </w:r>
      <w:r w:rsidRPr="00E837F8">
        <w:rPr>
          <w:sz w:val="24"/>
          <w:szCs w:val="24"/>
        </w:rPr>
        <w:t>, 2021). Purnamasari (2024) emphasises its importance in investment planning, evaluation, and prioritization to improve financial performance. However, effective capital budgeting improves strategy alignment, whereas bad practices, frequently associated with reliance on simple tools like payback, can harm revenue generation, assessments of risk, and ownership value (Sandahl and Sjögren, 2003).</w:t>
      </w:r>
    </w:p>
    <w:p w14:paraId="287BCECF" w14:textId="77777777" w:rsidR="00567EF5" w:rsidRPr="00E837F8" w:rsidRDefault="006578A3">
      <w:pPr>
        <w:spacing w:after="240" w:line="360" w:lineRule="auto"/>
        <w:jc w:val="both"/>
        <w:rPr>
          <w:sz w:val="24"/>
          <w:szCs w:val="24"/>
        </w:rPr>
      </w:pPr>
      <w:r w:rsidRPr="00E837F8">
        <w:rPr>
          <w:sz w:val="24"/>
          <w:szCs w:val="24"/>
        </w:rPr>
        <w:t>Traditional practices, such as the payback time and accounting rate of return, remain popular due to their simplicity, but they lack theoretical rigor and are rarely utilised as standalone decision tools. Instead, enterprises are increasingly combining them using discounted cash flow methodologies, indicating a trend toward temporal value-based approaches (Schall, Sundem, &amp; Geijsbeek, 1978).</w:t>
      </w:r>
    </w:p>
    <w:p w14:paraId="287BCED0" w14:textId="77777777" w:rsidR="00567EF5" w:rsidRPr="00E837F8" w:rsidRDefault="006578A3">
      <w:pPr>
        <w:spacing w:after="240" w:line="360" w:lineRule="auto"/>
        <w:jc w:val="both"/>
        <w:rPr>
          <w:sz w:val="24"/>
          <w:szCs w:val="24"/>
        </w:rPr>
      </w:pPr>
      <w:r w:rsidRPr="00E837F8">
        <w:rPr>
          <w:sz w:val="24"/>
          <w:szCs w:val="24"/>
        </w:rPr>
        <w:t>Since 2015, organisations have been depending more extensively on internal finance simply because of increased market volatility, stricter borrowing criteria, and greater interest rates. This trend accelerated during COVID-19, when external funding grew more expensive and enterprises preferred the adaptability of internal capital (Chen, Kimura, &amp; Inoue, 2025). Internal capital also lowers information asymmetry and vulnerability to unpredictable markets, while excessive liquidity might undermine governance (He, Chen, &amp; Hu, 2019). Whereas, internal financing saves money on issuance and lowers credit risk (Zhao and Zhang, 2023).</w:t>
      </w:r>
    </w:p>
    <w:p w14:paraId="287BCED1" w14:textId="77777777" w:rsidR="00567EF5" w:rsidRPr="00E837F8" w:rsidRDefault="006578A3">
      <w:pPr>
        <w:spacing w:after="240" w:line="360" w:lineRule="auto"/>
        <w:jc w:val="both"/>
        <w:rPr>
          <w:sz w:val="24"/>
          <w:szCs w:val="24"/>
        </w:rPr>
      </w:pPr>
      <w:r w:rsidRPr="00E837F8">
        <w:rPr>
          <w:sz w:val="24"/>
          <w:szCs w:val="24"/>
        </w:rPr>
        <w:t xml:space="preserve">Furthermore, retained profits, which are accumulated net income minus dispersed dividends, are an important internal funding resource for facilitating investments when external financing is limited (Ball </w:t>
      </w:r>
      <w:r w:rsidRPr="00E837F8">
        <w:rPr>
          <w:i/>
          <w:iCs/>
          <w:sz w:val="24"/>
          <w:szCs w:val="24"/>
        </w:rPr>
        <w:t>et al.</w:t>
      </w:r>
      <w:r w:rsidRPr="00E837F8">
        <w:rPr>
          <w:sz w:val="24"/>
          <w:szCs w:val="24"/>
        </w:rPr>
        <w:t>, 2020). Although enterprises in emerging economies, especially in Africa, have traditionally depended on retained earnings, external borrowing has a greater impact on investment than internal liquidity. Despite their importance, retained earnings are rarely investigated as an independent financing method in capital planning research.</w:t>
      </w:r>
    </w:p>
    <w:p w14:paraId="287BCED2" w14:textId="77777777" w:rsidR="00567EF5" w:rsidRPr="00E837F8" w:rsidRDefault="006578A3">
      <w:pPr>
        <w:pStyle w:val="Heading2"/>
        <w:rPr>
          <w:rFonts w:ascii="Times New Roman" w:eastAsia="Times New Roman" w:hAnsi="Times New Roman" w:cs="Times New Roman"/>
          <w:b/>
          <w:bCs/>
          <w:color w:val="000000"/>
          <w:sz w:val="24"/>
          <w:szCs w:val="24"/>
        </w:rPr>
      </w:pPr>
      <w:bookmarkStart w:id="2" w:name="_Toc225519582"/>
      <w:r w:rsidRPr="00E837F8">
        <w:rPr>
          <w:rFonts w:ascii="Times New Roman" w:eastAsia="Times New Roman" w:hAnsi="Times New Roman" w:cs="Times New Roman"/>
          <w:b/>
          <w:bCs/>
          <w:color w:val="000000"/>
          <w:sz w:val="24"/>
          <w:szCs w:val="24"/>
        </w:rPr>
        <w:lastRenderedPageBreak/>
        <w:t>1.2 Problem statement</w:t>
      </w:r>
      <w:bookmarkEnd w:id="2"/>
    </w:p>
    <w:p w14:paraId="287BCED3" w14:textId="77777777" w:rsidR="00567EF5" w:rsidRPr="00E837F8" w:rsidRDefault="006578A3">
      <w:pPr>
        <w:spacing w:after="240" w:line="360" w:lineRule="auto"/>
        <w:jc w:val="both"/>
        <w:rPr>
          <w:sz w:val="24"/>
          <w:szCs w:val="24"/>
        </w:rPr>
      </w:pPr>
      <w:r w:rsidRPr="00E837F8">
        <w:rPr>
          <w:sz w:val="24"/>
          <w:szCs w:val="24"/>
        </w:rPr>
        <w:t>Although capital budgeting and internal financing have been extensively examined, the precise significance of retained earnings in capital planning has received less attention. Internal finance is frequently treated widely in research, with retained earnings lumped together with cash flows or reserves rather than being recognized as a discrete strategic process (Caglayan and Machokoto, 2024). This limits the knowledge of how retained earnings are used to finance long-term projects. The 2015-2026 period, defined by COVID-19 and tightening lending conditions, provides even less empirical insight into enterprises' dependence on retained earnings (Michiels and Molly, 2017). Furthermore, previous research does not consider strategic, financial, and organisational factors. This study bridges these gaps using a unified conceptual framework.</w:t>
      </w:r>
    </w:p>
    <w:p w14:paraId="287BCED4" w14:textId="77777777" w:rsidR="00567EF5" w:rsidRPr="00E837F8" w:rsidRDefault="006578A3">
      <w:pPr>
        <w:pStyle w:val="Heading2"/>
        <w:rPr>
          <w:rFonts w:ascii="Times New Roman" w:eastAsia="Times New Roman" w:hAnsi="Times New Roman" w:cs="Times New Roman"/>
          <w:b/>
          <w:bCs/>
          <w:color w:val="000000"/>
          <w:sz w:val="24"/>
          <w:szCs w:val="24"/>
        </w:rPr>
      </w:pPr>
      <w:bookmarkStart w:id="3" w:name="_Toc225519583"/>
      <w:r w:rsidRPr="00E837F8">
        <w:rPr>
          <w:rFonts w:ascii="Times New Roman" w:eastAsia="Times New Roman" w:hAnsi="Times New Roman" w:cs="Times New Roman"/>
          <w:b/>
          <w:bCs/>
          <w:color w:val="000000"/>
          <w:sz w:val="24"/>
          <w:szCs w:val="24"/>
        </w:rPr>
        <w:t>1.3 Research aims</w:t>
      </w:r>
      <w:bookmarkEnd w:id="3"/>
      <w:r w:rsidRPr="00E837F8">
        <w:rPr>
          <w:rFonts w:ascii="Times New Roman" w:eastAsia="Times New Roman" w:hAnsi="Times New Roman" w:cs="Times New Roman"/>
          <w:b/>
          <w:bCs/>
          <w:color w:val="000000"/>
          <w:sz w:val="24"/>
          <w:szCs w:val="24"/>
        </w:rPr>
        <w:t> </w:t>
      </w:r>
    </w:p>
    <w:p w14:paraId="287BCED5" w14:textId="77777777" w:rsidR="00567EF5" w:rsidRPr="00E837F8" w:rsidRDefault="006578A3">
      <w:pPr>
        <w:spacing w:line="360" w:lineRule="auto"/>
        <w:jc w:val="both"/>
        <w:rPr>
          <w:sz w:val="24"/>
          <w:szCs w:val="24"/>
        </w:rPr>
      </w:pPr>
      <w:r w:rsidRPr="00E837F8">
        <w:rPr>
          <w:sz w:val="24"/>
          <w:szCs w:val="24"/>
        </w:rPr>
        <w:t>To critically assess the role of retained earnings in organisational capital budgeting decisions and to examine the strategic, financial, and organisational factors that shape this process.</w:t>
      </w:r>
    </w:p>
    <w:p w14:paraId="287BCED6" w14:textId="77777777" w:rsidR="00567EF5" w:rsidRPr="00E837F8" w:rsidRDefault="006578A3">
      <w:pPr>
        <w:pStyle w:val="Heading2"/>
        <w:rPr>
          <w:rFonts w:ascii="Times New Roman" w:eastAsia="Times New Roman" w:hAnsi="Times New Roman" w:cs="Times New Roman"/>
          <w:b/>
          <w:bCs/>
          <w:color w:val="000000"/>
          <w:sz w:val="24"/>
          <w:szCs w:val="24"/>
        </w:rPr>
      </w:pPr>
      <w:bookmarkStart w:id="4" w:name="_Toc225519584"/>
      <w:r w:rsidRPr="00E837F8">
        <w:rPr>
          <w:rFonts w:ascii="Times New Roman" w:eastAsia="Times New Roman" w:hAnsi="Times New Roman" w:cs="Times New Roman"/>
          <w:b/>
          <w:bCs/>
          <w:color w:val="000000"/>
          <w:sz w:val="24"/>
          <w:szCs w:val="24"/>
        </w:rPr>
        <w:t>1.4 Research objectives</w:t>
      </w:r>
      <w:bookmarkEnd w:id="4"/>
      <w:r w:rsidRPr="00E837F8">
        <w:rPr>
          <w:rFonts w:ascii="Times New Roman" w:eastAsia="Times New Roman" w:hAnsi="Times New Roman" w:cs="Times New Roman"/>
          <w:b/>
          <w:bCs/>
          <w:color w:val="000000"/>
          <w:sz w:val="24"/>
          <w:szCs w:val="24"/>
        </w:rPr>
        <w:t> </w:t>
      </w:r>
    </w:p>
    <w:p w14:paraId="287BCED7" w14:textId="1B73063F" w:rsidR="00567EF5" w:rsidRPr="00E837F8" w:rsidRDefault="006578A3">
      <w:pPr>
        <w:spacing w:line="360" w:lineRule="auto"/>
        <w:jc w:val="both"/>
        <w:rPr>
          <w:sz w:val="24"/>
          <w:szCs w:val="24"/>
        </w:rPr>
      </w:pPr>
      <w:r w:rsidRPr="00E837F8">
        <w:rPr>
          <w:sz w:val="24"/>
          <w:szCs w:val="24"/>
        </w:rPr>
        <w:t>1. To analyse the theoretical foundations and empirical evidence concerning the role of retained earnings in capital budgeting decisions</w:t>
      </w:r>
      <w:r w:rsidR="00741209">
        <w:rPr>
          <w:sz w:val="24"/>
          <w:szCs w:val="24"/>
        </w:rPr>
        <w:t xml:space="preserve"> in organisations</w:t>
      </w:r>
      <w:r w:rsidRPr="00E837F8">
        <w:rPr>
          <w:sz w:val="24"/>
          <w:szCs w:val="24"/>
        </w:rPr>
        <w:t>.</w:t>
      </w:r>
    </w:p>
    <w:p w14:paraId="287BCED8" w14:textId="77777777" w:rsidR="00567EF5" w:rsidRPr="00E837F8" w:rsidRDefault="006578A3">
      <w:pPr>
        <w:spacing w:line="360" w:lineRule="auto"/>
        <w:jc w:val="both"/>
        <w:rPr>
          <w:sz w:val="24"/>
          <w:szCs w:val="24"/>
        </w:rPr>
      </w:pPr>
      <w:r w:rsidRPr="00E837F8">
        <w:rPr>
          <w:sz w:val="24"/>
          <w:szCs w:val="24"/>
        </w:rPr>
        <w:t>2. To investigate how organisations utilise retained earnings as a source of internal financing for long-term investment projects. </w:t>
      </w:r>
    </w:p>
    <w:p w14:paraId="287BCED9" w14:textId="77777777" w:rsidR="00567EF5" w:rsidRPr="00E837F8" w:rsidRDefault="006578A3">
      <w:pPr>
        <w:spacing w:line="360" w:lineRule="auto"/>
        <w:jc w:val="both"/>
        <w:rPr>
          <w:sz w:val="24"/>
          <w:szCs w:val="24"/>
        </w:rPr>
      </w:pPr>
      <w:r w:rsidRPr="00E837F8">
        <w:rPr>
          <w:sz w:val="24"/>
          <w:szCs w:val="24"/>
        </w:rPr>
        <w:t>3. To examine the strategic, financial, and organisational factors that influence the use of retained earnings within capital budgeting processes.</w:t>
      </w:r>
    </w:p>
    <w:p w14:paraId="287BCEDA" w14:textId="77777777" w:rsidR="00567EF5" w:rsidRPr="00E837F8" w:rsidRDefault="006578A3">
      <w:pPr>
        <w:pStyle w:val="Heading2"/>
        <w:rPr>
          <w:rFonts w:ascii="Times New Roman" w:eastAsia="Times New Roman" w:hAnsi="Times New Roman" w:cs="Times New Roman"/>
          <w:b/>
          <w:bCs/>
          <w:color w:val="000000"/>
          <w:sz w:val="24"/>
          <w:szCs w:val="24"/>
        </w:rPr>
      </w:pPr>
      <w:bookmarkStart w:id="5" w:name="_Toc225519585"/>
      <w:r w:rsidRPr="00E837F8">
        <w:rPr>
          <w:rFonts w:ascii="Times New Roman" w:eastAsia="Times New Roman" w:hAnsi="Times New Roman" w:cs="Times New Roman"/>
          <w:b/>
          <w:bCs/>
          <w:color w:val="000000"/>
          <w:sz w:val="24"/>
          <w:szCs w:val="24"/>
        </w:rPr>
        <w:t>1.5 Research questions</w:t>
      </w:r>
      <w:bookmarkEnd w:id="5"/>
      <w:r w:rsidRPr="00E837F8">
        <w:rPr>
          <w:rFonts w:ascii="Times New Roman" w:eastAsia="Times New Roman" w:hAnsi="Times New Roman" w:cs="Times New Roman"/>
          <w:b/>
          <w:bCs/>
          <w:color w:val="000000"/>
          <w:sz w:val="24"/>
          <w:szCs w:val="24"/>
        </w:rPr>
        <w:t> </w:t>
      </w:r>
    </w:p>
    <w:p w14:paraId="287BCEDB" w14:textId="309C4735" w:rsidR="00567EF5" w:rsidRPr="00E837F8" w:rsidRDefault="006578A3">
      <w:pPr>
        <w:spacing w:line="360" w:lineRule="auto"/>
        <w:jc w:val="both"/>
        <w:rPr>
          <w:sz w:val="24"/>
          <w:szCs w:val="24"/>
        </w:rPr>
      </w:pPr>
      <w:r w:rsidRPr="00E837F8">
        <w:rPr>
          <w:sz w:val="24"/>
          <w:szCs w:val="24"/>
        </w:rPr>
        <w:t>1. What theoretical and empirical perspectives best explain the role of retained earnings in capital budgeting decisions</w:t>
      </w:r>
      <w:r w:rsidR="00F6442C">
        <w:rPr>
          <w:sz w:val="24"/>
          <w:szCs w:val="24"/>
        </w:rPr>
        <w:t xml:space="preserve"> in organisations</w:t>
      </w:r>
      <w:r w:rsidRPr="00E837F8">
        <w:rPr>
          <w:sz w:val="24"/>
          <w:szCs w:val="24"/>
        </w:rPr>
        <w:t>?</w:t>
      </w:r>
    </w:p>
    <w:p w14:paraId="287BCEDC" w14:textId="77777777" w:rsidR="00567EF5" w:rsidRPr="00E837F8" w:rsidRDefault="006578A3">
      <w:pPr>
        <w:spacing w:line="360" w:lineRule="auto"/>
        <w:jc w:val="both"/>
        <w:rPr>
          <w:sz w:val="24"/>
          <w:szCs w:val="24"/>
        </w:rPr>
      </w:pPr>
      <w:r w:rsidRPr="00E837F8">
        <w:rPr>
          <w:sz w:val="24"/>
          <w:szCs w:val="24"/>
        </w:rPr>
        <w:t>2. How do organisations allocate retained earnings when evaluating long-term investment projects? </w:t>
      </w:r>
    </w:p>
    <w:p w14:paraId="287BCEDD" w14:textId="77777777" w:rsidR="00567EF5" w:rsidRPr="00E837F8" w:rsidRDefault="006578A3">
      <w:pPr>
        <w:spacing w:line="360" w:lineRule="auto"/>
        <w:jc w:val="both"/>
        <w:rPr>
          <w:sz w:val="24"/>
          <w:szCs w:val="24"/>
        </w:rPr>
      </w:pPr>
      <w:r w:rsidRPr="00E837F8">
        <w:rPr>
          <w:sz w:val="24"/>
          <w:szCs w:val="24"/>
        </w:rPr>
        <w:t>3. What strategic, financial, and organisational factors influence the reliance on retained earnings within capital budgeting processes? </w:t>
      </w:r>
    </w:p>
    <w:p w14:paraId="287BCEDE" w14:textId="77777777" w:rsidR="00567EF5" w:rsidRPr="00E837F8" w:rsidRDefault="00567EF5">
      <w:pPr>
        <w:spacing w:line="360" w:lineRule="auto"/>
        <w:jc w:val="both"/>
        <w:rPr>
          <w:sz w:val="24"/>
          <w:szCs w:val="24"/>
        </w:rPr>
      </w:pPr>
    </w:p>
    <w:p w14:paraId="287BCEDF" w14:textId="77777777" w:rsidR="00567EF5" w:rsidRPr="00E837F8" w:rsidRDefault="00567EF5">
      <w:pPr>
        <w:spacing w:line="360" w:lineRule="auto"/>
        <w:jc w:val="both"/>
        <w:rPr>
          <w:sz w:val="24"/>
          <w:szCs w:val="24"/>
        </w:rPr>
      </w:pPr>
    </w:p>
    <w:p w14:paraId="287BCEE0" w14:textId="77777777" w:rsidR="00567EF5" w:rsidRPr="00E837F8" w:rsidRDefault="00567EF5">
      <w:pPr>
        <w:spacing w:line="360" w:lineRule="auto"/>
        <w:jc w:val="both"/>
        <w:rPr>
          <w:sz w:val="24"/>
          <w:szCs w:val="24"/>
        </w:rPr>
      </w:pPr>
    </w:p>
    <w:p w14:paraId="287BCEE1" w14:textId="77777777" w:rsidR="00567EF5" w:rsidRPr="00E837F8" w:rsidRDefault="006578A3">
      <w:pPr>
        <w:pStyle w:val="Heading1"/>
        <w:rPr>
          <w:rFonts w:ascii="Times New Roman" w:eastAsia="Times New Roman" w:hAnsi="Times New Roman" w:cs="Times New Roman"/>
          <w:b/>
          <w:bCs/>
          <w:color w:val="000000"/>
          <w:sz w:val="24"/>
          <w:szCs w:val="24"/>
        </w:rPr>
      </w:pPr>
      <w:bookmarkStart w:id="6" w:name="_Toc225519586"/>
      <w:r w:rsidRPr="00E837F8">
        <w:rPr>
          <w:rFonts w:ascii="Times New Roman" w:eastAsia="Times New Roman" w:hAnsi="Times New Roman" w:cs="Times New Roman"/>
          <w:b/>
          <w:bCs/>
          <w:color w:val="000000"/>
          <w:sz w:val="24"/>
          <w:szCs w:val="24"/>
        </w:rPr>
        <w:lastRenderedPageBreak/>
        <w:t>2. Key concepts and theoretical foundations.</w:t>
      </w:r>
      <w:bookmarkEnd w:id="6"/>
      <w:r w:rsidRPr="00E837F8">
        <w:rPr>
          <w:rFonts w:ascii="Times New Roman" w:eastAsia="Times New Roman" w:hAnsi="Times New Roman" w:cs="Times New Roman"/>
          <w:b/>
          <w:bCs/>
          <w:color w:val="000000"/>
          <w:sz w:val="24"/>
          <w:szCs w:val="24"/>
        </w:rPr>
        <w:t xml:space="preserve"> </w:t>
      </w:r>
    </w:p>
    <w:p w14:paraId="287BCEE2" w14:textId="77777777" w:rsidR="00567EF5" w:rsidRPr="00E837F8" w:rsidRDefault="006578A3">
      <w:pPr>
        <w:pStyle w:val="Heading2"/>
        <w:rPr>
          <w:rFonts w:ascii="Times New Roman" w:eastAsia="Times New Roman" w:hAnsi="Times New Roman" w:cs="Times New Roman"/>
          <w:b/>
          <w:bCs/>
          <w:color w:val="000000"/>
          <w:sz w:val="24"/>
          <w:szCs w:val="24"/>
        </w:rPr>
      </w:pPr>
      <w:bookmarkStart w:id="7" w:name="_Toc225519587"/>
      <w:r w:rsidRPr="00E837F8">
        <w:rPr>
          <w:rFonts w:ascii="Times New Roman" w:eastAsia="Times New Roman" w:hAnsi="Times New Roman" w:cs="Times New Roman"/>
          <w:b/>
          <w:bCs/>
          <w:color w:val="000000"/>
          <w:sz w:val="24"/>
          <w:szCs w:val="24"/>
        </w:rPr>
        <w:t>2.1 Key concepts</w:t>
      </w:r>
      <w:bookmarkEnd w:id="7"/>
    </w:p>
    <w:p w14:paraId="287BCEE3" w14:textId="77777777" w:rsidR="00567EF5" w:rsidRPr="00E837F8" w:rsidRDefault="006578A3">
      <w:pPr>
        <w:spacing w:line="360" w:lineRule="auto"/>
        <w:jc w:val="both"/>
        <w:rPr>
          <w:b/>
          <w:bCs/>
          <w:sz w:val="24"/>
          <w:szCs w:val="24"/>
        </w:rPr>
      </w:pPr>
      <w:r w:rsidRPr="00E837F8">
        <w:rPr>
          <w:b/>
          <w:bCs/>
          <w:sz w:val="24"/>
          <w:szCs w:val="24"/>
        </w:rPr>
        <w:t>2.1.1 Capital budgeting</w:t>
      </w:r>
    </w:p>
    <w:p w14:paraId="287BCEE4" w14:textId="77777777" w:rsidR="00567EF5" w:rsidRPr="00E837F8" w:rsidRDefault="006578A3">
      <w:pPr>
        <w:spacing w:after="240" w:line="360" w:lineRule="auto"/>
        <w:jc w:val="both"/>
        <w:rPr>
          <w:sz w:val="24"/>
          <w:szCs w:val="24"/>
        </w:rPr>
      </w:pPr>
      <w:r w:rsidRPr="00E837F8">
        <w:rPr>
          <w:sz w:val="24"/>
          <w:szCs w:val="24"/>
        </w:rPr>
        <w:t xml:space="preserve">Capital budgeting is a structured method by which organisations examine and select long-term investments in assets that are expected to yield benefits for more than one fiscal year (Peterson and Fabozzi, 2002). It normally has five different phases: project screening, proposal development, approval, monitoring, and post-completion evaluation. The organization commonly uses strategies such as net present value (NPV), internal rate of return (IRR), and payback period (Siziba and Hall, 2021). Besides, NPV is a reliable measure of value creation, IRR is an understandable rate of returns metric, and payback evaluates liquidity while neglecting the temporal value of money. SMEs frequently use basic strategies such as payback, but larger enterprises choose NPV and IRR (Purnamasari, P., 2024). Capital budgeting aids strategic decision-making by allocating resources to initiatives that are consistent with long-term goals, with funding availability, particularly retained earnings, playing an important influence in determining investment behavior (Al Amosh </w:t>
      </w:r>
      <w:r w:rsidRPr="00E837F8">
        <w:rPr>
          <w:i/>
          <w:iCs/>
          <w:sz w:val="24"/>
          <w:szCs w:val="24"/>
        </w:rPr>
        <w:t>et al.</w:t>
      </w:r>
      <w:r w:rsidRPr="00E837F8">
        <w:rPr>
          <w:sz w:val="24"/>
          <w:szCs w:val="24"/>
        </w:rPr>
        <w:t>, 2024).</w:t>
      </w:r>
    </w:p>
    <w:p w14:paraId="287BCEE5" w14:textId="77777777" w:rsidR="00567EF5" w:rsidRPr="00E837F8" w:rsidRDefault="006578A3">
      <w:pPr>
        <w:spacing w:line="360" w:lineRule="auto"/>
        <w:jc w:val="both"/>
        <w:rPr>
          <w:b/>
          <w:bCs/>
          <w:sz w:val="24"/>
          <w:szCs w:val="24"/>
        </w:rPr>
      </w:pPr>
      <w:r w:rsidRPr="00E837F8">
        <w:rPr>
          <w:b/>
          <w:bCs/>
          <w:sz w:val="24"/>
          <w:szCs w:val="24"/>
        </w:rPr>
        <w:t>2.1.2 Retained earnings: concept and role</w:t>
      </w:r>
    </w:p>
    <w:p w14:paraId="287BCEE6" w14:textId="77777777" w:rsidR="00567EF5" w:rsidRPr="00E837F8" w:rsidRDefault="006578A3">
      <w:pPr>
        <w:spacing w:after="240" w:line="360" w:lineRule="auto"/>
        <w:jc w:val="both"/>
        <w:rPr>
          <w:sz w:val="24"/>
          <w:szCs w:val="24"/>
        </w:rPr>
      </w:pPr>
      <w:r w:rsidRPr="00E837F8">
        <w:rPr>
          <w:sz w:val="24"/>
          <w:szCs w:val="24"/>
        </w:rPr>
        <w:t xml:space="preserve">Retained earnings are reinvested profits that show a company's past profit and reinvest strategy (Fischer </w:t>
      </w:r>
      <w:r w:rsidRPr="00E837F8">
        <w:rPr>
          <w:i/>
          <w:iCs/>
          <w:sz w:val="24"/>
          <w:szCs w:val="24"/>
        </w:rPr>
        <w:t>et al.</w:t>
      </w:r>
      <w:r w:rsidRPr="00E837F8">
        <w:rPr>
          <w:sz w:val="24"/>
          <w:szCs w:val="24"/>
        </w:rPr>
        <w:t>, 2019). According to pecking order theory, they are the preferred finance source because they prevent marketplace valuation errors and information asymmetry (Beattie, Goodacre and Thomson, 2006). Similarly, Donaldson (1961) discovered that managers preferred to fund investments using retained earnings rather than debt or stock. Although low in cost and risk, retained earnings are dependent on previous profitability and thus might be insufficient for substantial expenditures. These become optimum with uncertainties (Sethi and Taksar, 2002) and are especially relevant for SMEs with borrowing limits (Watson and Wilson, 2002). These qualities emphasize their importance for capital budgeting decisions.</w:t>
      </w:r>
    </w:p>
    <w:p w14:paraId="287BCEE7" w14:textId="77777777" w:rsidR="00567EF5" w:rsidRPr="00E837F8" w:rsidRDefault="006578A3">
      <w:pPr>
        <w:pStyle w:val="Heading2"/>
        <w:rPr>
          <w:rFonts w:ascii="Times New Roman" w:eastAsia="Times New Roman" w:hAnsi="Times New Roman" w:cs="Times New Roman"/>
          <w:b/>
          <w:bCs/>
          <w:color w:val="000000"/>
          <w:sz w:val="24"/>
          <w:szCs w:val="24"/>
        </w:rPr>
      </w:pPr>
      <w:bookmarkStart w:id="8" w:name="_Toc225519588"/>
      <w:r w:rsidRPr="00E837F8">
        <w:rPr>
          <w:rFonts w:ascii="Times New Roman" w:eastAsia="Times New Roman" w:hAnsi="Times New Roman" w:cs="Times New Roman"/>
          <w:b/>
          <w:bCs/>
          <w:color w:val="000000"/>
          <w:sz w:val="24"/>
          <w:szCs w:val="24"/>
        </w:rPr>
        <w:t>2.2 Theoretical framework</w:t>
      </w:r>
      <w:bookmarkEnd w:id="8"/>
    </w:p>
    <w:p w14:paraId="287BCEE8" w14:textId="77777777" w:rsidR="00567EF5" w:rsidRDefault="006578A3">
      <w:pPr>
        <w:spacing w:after="240" w:line="360" w:lineRule="auto"/>
        <w:jc w:val="both"/>
        <w:rPr>
          <w:sz w:val="24"/>
          <w:szCs w:val="24"/>
        </w:rPr>
      </w:pPr>
      <w:r w:rsidRPr="00E837F8">
        <w:rPr>
          <w:sz w:val="24"/>
          <w:szCs w:val="24"/>
        </w:rPr>
        <w:t>The theoretical foundation of the present study combines financial, strategic, and organisational views to explain how retained earnings impact capital budgeting decisions.</w:t>
      </w:r>
    </w:p>
    <w:p w14:paraId="563EF5C6" w14:textId="77777777" w:rsidR="002811F7" w:rsidRPr="00E837F8" w:rsidRDefault="002811F7">
      <w:pPr>
        <w:spacing w:after="240" w:line="360" w:lineRule="auto"/>
        <w:jc w:val="both"/>
        <w:rPr>
          <w:sz w:val="24"/>
          <w:szCs w:val="24"/>
        </w:rPr>
      </w:pPr>
    </w:p>
    <w:p w14:paraId="287BCEE9" w14:textId="77777777" w:rsidR="00567EF5" w:rsidRPr="00E837F8" w:rsidRDefault="006578A3">
      <w:pPr>
        <w:spacing w:line="360" w:lineRule="auto"/>
        <w:jc w:val="both"/>
        <w:rPr>
          <w:b/>
          <w:bCs/>
          <w:sz w:val="24"/>
          <w:szCs w:val="24"/>
        </w:rPr>
      </w:pPr>
      <w:r w:rsidRPr="00E837F8">
        <w:rPr>
          <w:b/>
          <w:bCs/>
          <w:sz w:val="24"/>
          <w:szCs w:val="24"/>
        </w:rPr>
        <w:lastRenderedPageBreak/>
        <w:t>2.2.1 Financial perspective: Pecking Order Theory</w:t>
      </w:r>
    </w:p>
    <w:p w14:paraId="287BCEEA" w14:textId="77777777" w:rsidR="00567EF5" w:rsidRPr="00E837F8" w:rsidRDefault="006578A3">
      <w:pPr>
        <w:spacing w:after="240" w:line="360" w:lineRule="auto"/>
        <w:jc w:val="both"/>
        <w:rPr>
          <w:sz w:val="24"/>
          <w:szCs w:val="24"/>
        </w:rPr>
      </w:pPr>
      <w:r w:rsidRPr="00E837F8">
        <w:rPr>
          <w:sz w:val="24"/>
          <w:szCs w:val="24"/>
        </w:rPr>
        <w:t xml:space="preserve">According to Pecking Order Theory (POT), business organisations prioritize retained earnings over debt and equity due to information asymmetry, which makes external financing costly. Frank and Goyal (2003) observe that, while equity sometimes follows funding shortfalls more closely than debt, testing POT's predictions, retained earnings remains the most predictable and favored funding source. As a result, capital budgeting decisions are strongly reliant on internal cash flows, with businesses that are profitable investing more quickly and enterprises with little retained earnings frequently deferring projects. Karadeniz </w:t>
      </w:r>
      <w:r w:rsidRPr="00E837F8">
        <w:rPr>
          <w:i/>
          <w:iCs/>
          <w:sz w:val="24"/>
          <w:szCs w:val="24"/>
        </w:rPr>
        <w:t>et al.</w:t>
      </w:r>
      <w:r w:rsidRPr="00E837F8">
        <w:rPr>
          <w:sz w:val="24"/>
          <w:szCs w:val="24"/>
        </w:rPr>
        <w:t xml:space="preserve"> (2009) demonstrate that profitability reduces loan use, confirming the reliance on retained earnings. In addition, retained earnings also influence leverage by growing equity within and automatically reducing debt ratios unless organisations issue fresh debt, so evident leverage is partially determined by prior profitability. Overall, POT illustrates why retained earnings are often used as the major funding source for capital allocation decisions.</w:t>
      </w:r>
    </w:p>
    <w:p w14:paraId="287BCEEB" w14:textId="77777777" w:rsidR="00567EF5" w:rsidRPr="00E837F8" w:rsidRDefault="006578A3">
      <w:pPr>
        <w:spacing w:line="360" w:lineRule="auto"/>
        <w:jc w:val="both"/>
        <w:rPr>
          <w:b/>
          <w:bCs/>
          <w:sz w:val="24"/>
          <w:szCs w:val="24"/>
        </w:rPr>
      </w:pPr>
      <w:r w:rsidRPr="00E837F8">
        <w:rPr>
          <w:b/>
          <w:bCs/>
          <w:sz w:val="24"/>
          <w:szCs w:val="24"/>
        </w:rPr>
        <w:t>2.2.2 Strategic perspective: Dynamic Capabilities Theory</w:t>
      </w:r>
    </w:p>
    <w:p w14:paraId="287BCEEC" w14:textId="77777777" w:rsidR="00567EF5" w:rsidRPr="00E837F8" w:rsidRDefault="006578A3">
      <w:pPr>
        <w:spacing w:after="240" w:line="360" w:lineRule="auto"/>
        <w:jc w:val="both"/>
        <w:rPr>
          <w:sz w:val="24"/>
          <w:szCs w:val="24"/>
        </w:rPr>
      </w:pPr>
      <w:r w:rsidRPr="00E837F8">
        <w:rPr>
          <w:sz w:val="24"/>
          <w:szCs w:val="24"/>
        </w:rPr>
        <w:t>Dynamic capabilities refer to a company's capacity to identify opportunities, capitalize on them through smart investment, and restructure resources in order to remain competitive in rapidly shifting environments (Teece, 2007). These qualities, which are based on managerial routines and strategic judgment, serve as the foundation for sustained exceptional performance. Teece and Pisano (1994) agree that dynamic capabilities allow organisations to adapt and rearrange assets, resulting in strategic flexibility. In particular, retained earnings serve as a crucial source of financial slack for these adaptive processes. O'Brien (2003) demonstrates that innovators use minimal leverage to protect internal capital, allowing for continuous R&amp;D, timely product introductions, and strategic acquisitions; heavy debt, on the other hand, limits innovation. Retained earnings are also important financial buffers for SMEs, enabling innovation, digital transformation, and crisis resilience (Hokmabadi, H., Rezvani, S.M.H.S., and de Matos, C.A., 2024).</w:t>
      </w:r>
    </w:p>
    <w:p w14:paraId="287BCEED" w14:textId="77777777" w:rsidR="00567EF5" w:rsidRPr="00E837F8" w:rsidRDefault="006578A3">
      <w:pPr>
        <w:spacing w:line="360" w:lineRule="auto"/>
        <w:jc w:val="both"/>
        <w:rPr>
          <w:b/>
          <w:bCs/>
          <w:sz w:val="24"/>
          <w:szCs w:val="24"/>
        </w:rPr>
      </w:pPr>
      <w:r w:rsidRPr="00E837F8">
        <w:rPr>
          <w:b/>
          <w:bCs/>
          <w:sz w:val="24"/>
          <w:szCs w:val="24"/>
        </w:rPr>
        <w:t>2.2.3 Organisational perspective: Agency Theory</w:t>
      </w:r>
    </w:p>
    <w:p w14:paraId="287BCEEE" w14:textId="77777777" w:rsidR="00567EF5" w:rsidRPr="00E837F8" w:rsidRDefault="006578A3">
      <w:pPr>
        <w:spacing w:after="240" w:line="360" w:lineRule="auto"/>
        <w:jc w:val="both"/>
        <w:rPr>
          <w:sz w:val="24"/>
          <w:szCs w:val="24"/>
        </w:rPr>
      </w:pPr>
      <w:r w:rsidRPr="00E837F8">
        <w:rPr>
          <w:sz w:val="24"/>
          <w:szCs w:val="24"/>
        </w:rPr>
        <w:t xml:space="preserve">Agency theory emphasizes conflicts that arise while management pursues goals that differ from those of shareholders, especially when managerial activities are difficult to detect (Eisenhardt, 1989). Incentive tools and monitoring, including as outcome-based awards and active boards, serve </w:t>
      </w:r>
      <w:r w:rsidRPr="00E837F8">
        <w:rPr>
          <w:sz w:val="24"/>
          <w:szCs w:val="24"/>
        </w:rPr>
        <w:lastRenderedPageBreak/>
        <w:t>to align managerial behavior with shareholder interests. According to Hirshleifer (1993), surplus internal finances weaken external discipline, allowing for opportunistic behavior and encouraging managers to pursue low-return or empire-building projects. Despite effective governance, which includes board monitoring and ownership concentration, constraints on earnings management while encouraging efficient use of retained earnings. Shleifer and Vishny (1997) argue that efficient systems of governance restrict management's autonomy over retained earnings, lowering the risk of unproductive investment and guaranteeing that capital budgeting decisions enhance shareholder value. In this view, governance functions as a disciplining instrument that directs retained earnings toward value-enhancing programs rather than managerial self-interest.</w:t>
      </w:r>
    </w:p>
    <w:p w14:paraId="287BCEEF" w14:textId="77777777" w:rsidR="00567EF5" w:rsidRPr="00E837F8" w:rsidRDefault="006578A3">
      <w:pPr>
        <w:pStyle w:val="Heading1"/>
        <w:rPr>
          <w:rFonts w:ascii="Times New Roman" w:eastAsia="Times New Roman" w:hAnsi="Times New Roman" w:cs="Times New Roman"/>
          <w:b/>
          <w:bCs/>
          <w:color w:val="000000"/>
          <w:sz w:val="24"/>
          <w:szCs w:val="24"/>
        </w:rPr>
      </w:pPr>
      <w:bookmarkStart w:id="9" w:name="_Toc225519589"/>
      <w:r w:rsidRPr="00E837F8">
        <w:rPr>
          <w:rFonts w:ascii="Times New Roman" w:eastAsia="Times New Roman" w:hAnsi="Times New Roman" w:cs="Times New Roman"/>
          <w:b/>
          <w:bCs/>
          <w:color w:val="000000"/>
          <w:sz w:val="24"/>
          <w:szCs w:val="24"/>
        </w:rPr>
        <w:t>3. Literature review of major studies (2015–2026)</w:t>
      </w:r>
      <w:bookmarkEnd w:id="9"/>
    </w:p>
    <w:p w14:paraId="287BCEF0" w14:textId="77777777" w:rsidR="00567EF5" w:rsidRPr="00E837F8" w:rsidRDefault="006578A3">
      <w:pPr>
        <w:pStyle w:val="Heading2"/>
        <w:rPr>
          <w:rFonts w:ascii="Times New Roman" w:eastAsia="Times New Roman" w:hAnsi="Times New Roman" w:cs="Times New Roman"/>
          <w:b/>
          <w:bCs/>
          <w:color w:val="000000"/>
          <w:sz w:val="24"/>
          <w:szCs w:val="24"/>
        </w:rPr>
      </w:pPr>
      <w:bookmarkStart w:id="10" w:name="_Toc225519590"/>
      <w:r w:rsidRPr="00E837F8">
        <w:rPr>
          <w:rFonts w:ascii="Times New Roman" w:eastAsia="Times New Roman" w:hAnsi="Times New Roman" w:cs="Times New Roman"/>
          <w:b/>
          <w:bCs/>
          <w:color w:val="000000"/>
          <w:sz w:val="24"/>
          <w:szCs w:val="24"/>
        </w:rPr>
        <w:t>3.1 CIMO framework</w:t>
      </w:r>
      <w:bookmarkEnd w:id="10"/>
    </w:p>
    <w:p w14:paraId="287BCEF1" w14:textId="77777777" w:rsidR="00567EF5" w:rsidRPr="00E837F8" w:rsidRDefault="006578A3">
      <w:pPr>
        <w:spacing w:line="360" w:lineRule="auto"/>
        <w:jc w:val="both"/>
        <w:rPr>
          <w:sz w:val="24"/>
          <w:szCs w:val="24"/>
        </w:rPr>
      </w:pPr>
      <w:r w:rsidRPr="00E837F8">
        <w:rPr>
          <w:sz w:val="24"/>
          <w:szCs w:val="24"/>
        </w:rPr>
        <w:t>Using the CIMO logic, in organisational contexts (C), employing retained earnings as an internal financing tool for capital budgeting decisions (I) generates strategic, financial, and organisational influences (M) that shape knowledge concerning how retained earnings affect decisions regarding capital budgets and the elements that influence this relationship (O).</w:t>
      </w:r>
    </w:p>
    <w:p w14:paraId="287BCEF2" w14:textId="77777777" w:rsidR="00567EF5" w:rsidRPr="00E837F8" w:rsidRDefault="006578A3">
      <w:pPr>
        <w:pStyle w:val="Heading2"/>
        <w:rPr>
          <w:rFonts w:ascii="Times New Roman" w:eastAsia="Times New Roman" w:hAnsi="Times New Roman" w:cs="Times New Roman"/>
          <w:b/>
          <w:bCs/>
          <w:color w:val="000000"/>
          <w:sz w:val="24"/>
          <w:szCs w:val="24"/>
        </w:rPr>
      </w:pPr>
      <w:bookmarkStart w:id="11" w:name="_Toc225519591"/>
      <w:r w:rsidRPr="00E837F8">
        <w:rPr>
          <w:rFonts w:ascii="Times New Roman" w:eastAsia="Times New Roman" w:hAnsi="Times New Roman" w:cs="Times New Roman"/>
          <w:b/>
          <w:bCs/>
          <w:color w:val="000000"/>
          <w:sz w:val="24"/>
          <w:szCs w:val="24"/>
        </w:rPr>
        <w:t>3.2 Inclusion &amp; exclusion criteria</w:t>
      </w:r>
      <w:bookmarkEnd w:id="11"/>
    </w:p>
    <w:p w14:paraId="287BCEF3" w14:textId="77777777" w:rsidR="00567EF5" w:rsidRPr="00E837F8" w:rsidRDefault="006578A3">
      <w:pPr>
        <w:spacing w:line="360" w:lineRule="auto"/>
        <w:jc w:val="both"/>
        <w:rPr>
          <w:sz w:val="24"/>
          <w:szCs w:val="24"/>
        </w:rPr>
      </w:pPr>
      <w:r w:rsidRPr="00E837F8">
        <w:rPr>
          <w:sz w:val="24"/>
          <w:szCs w:val="24"/>
        </w:rPr>
        <w:t>The inclusion criteria include recent (2015-2026), English-language, peer-reviewed or professional studies on retained earnings, internal financing, and capital-related decision-making, while the exclusion criteria exclude sources outside of this time frame, non-English publications, and non-scholarly or unverified content.</w:t>
      </w:r>
    </w:p>
    <w:p w14:paraId="287BCEF4" w14:textId="77777777" w:rsidR="00567EF5" w:rsidRPr="00E837F8" w:rsidRDefault="006578A3">
      <w:pPr>
        <w:pStyle w:val="Heading2"/>
        <w:rPr>
          <w:rFonts w:ascii="Times New Roman" w:eastAsia="Times New Roman" w:hAnsi="Times New Roman" w:cs="Times New Roman"/>
          <w:b/>
          <w:bCs/>
          <w:color w:val="000000"/>
          <w:sz w:val="24"/>
          <w:szCs w:val="24"/>
        </w:rPr>
      </w:pPr>
      <w:bookmarkStart w:id="12" w:name="_Toc225519592"/>
      <w:r w:rsidRPr="00E837F8">
        <w:rPr>
          <w:rFonts w:ascii="Times New Roman" w:eastAsia="Times New Roman" w:hAnsi="Times New Roman" w:cs="Times New Roman"/>
          <w:b/>
          <w:bCs/>
          <w:color w:val="000000"/>
          <w:sz w:val="24"/>
          <w:szCs w:val="24"/>
        </w:rPr>
        <w:t>3.3 Boolean operator</w:t>
      </w:r>
      <w:bookmarkEnd w:id="12"/>
    </w:p>
    <w:p w14:paraId="287BCEF5" w14:textId="77777777" w:rsidR="00567EF5" w:rsidRPr="00E837F8" w:rsidRDefault="006578A3">
      <w:pPr>
        <w:spacing w:line="360" w:lineRule="auto"/>
        <w:jc w:val="both"/>
        <w:rPr>
          <w:sz w:val="24"/>
          <w:szCs w:val="24"/>
        </w:rPr>
      </w:pPr>
      <w:r w:rsidRPr="00E837F8">
        <w:rPr>
          <w:sz w:val="24"/>
          <w:szCs w:val="24"/>
        </w:rPr>
        <w:t>Boolean operator: ("retained earnings" OR "internal financing" OR "internal funding") AND ("capital budgeting" OR "investment decisions" OR "capital structure") AND ("organisations" OR "firms") AND ("strategic factors" OR "financial factors" OR "organisational factors")</w:t>
      </w:r>
    </w:p>
    <w:p w14:paraId="287BCEF6" w14:textId="77777777" w:rsidR="00567EF5" w:rsidRPr="00E837F8" w:rsidRDefault="006578A3">
      <w:pPr>
        <w:pStyle w:val="Heading2"/>
        <w:rPr>
          <w:rFonts w:ascii="Times New Roman" w:eastAsia="Times New Roman" w:hAnsi="Times New Roman" w:cs="Times New Roman"/>
          <w:b/>
          <w:bCs/>
          <w:color w:val="000000"/>
          <w:sz w:val="24"/>
          <w:szCs w:val="24"/>
        </w:rPr>
      </w:pPr>
      <w:bookmarkStart w:id="13" w:name="_Toc225519593"/>
      <w:r w:rsidRPr="00E837F8">
        <w:rPr>
          <w:rFonts w:ascii="Times New Roman" w:eastAsia="Times New Roman" w:hAnsi="Times New Roman" w:cs="Times New Roman"/>
          <w:b/>
          <w:bCs/>
          <w:color w:val="000000"/>
          <w:sz w:val="24"/>
          <w:szCs w:val="24"/>
        </w:rPr>
        <w:t>3.4 Database</w:t>
      </w:r>
      <w:bookmarkEnd w:id="13"/>
    </w:p>
    <w:p w14:paraId="287BCEF7" w14:textId="77777777" w:rsidR="00567EF5" w:rsidRPr="00E837F8" w:rsidRDefault="006578A3">
      <w:pPr>
        <w:spacing w:line="360" w:lineRule="auto"/>
        <w:jc w:val="both"/>
        <w:rPr>
          <w:sz w:val="24"/>
          <w:szCs w:val="24"/>
        </w:rPr>
      </w:pPr>
      <w:r w:rsidRPr="00E837F8">
        <w:rPr>
          <w:sz w:val="24"/>
          <w:szCs w:val="24"/>
        </w:rPr>
        <w:t>In order to ensure comprehensive coverage and methodological integrity in discovering relevant research, a thorough study of scholarly literature was conducted utilizing multiple academic databases such as EBSCO, ProQuest, Scopus, ScienceDirect, and The University of Wales Trinity Saint David E-Library.</w:t>
      </w:r>
    </w:p>
    <w:p w14:paraId="287BCEF8" w14:textId="77777777" w:rsidR="00567EF5" w:rsidRPr="00E837F8" w:rsidRDefault="00567EF5"/>
    <w:p w14:paraId="287BCEF9" w14:textId="77777777" w:rsidR="00567EF5" w:rsidRPr="00E837F8" w:rsidRDefault="006578A3">
      <w:pPr>
        <w:pStyle w:val="Heading2"/>
        <w:rPr>
          <w:rFonts w:ascii="Times New Roman" w:eastAsia="Times New Roman" w:hAnsi="Times New Roman" w:cs="Times New Roman"/>
          <w:b/>
          <w:bCs/>
          <w:color w:val="000000"/>
          <w:sz w:val="24"/>
          <w:szCs w:val="24"/>
        </w:rPr>
      </w:pPr>
      <w:bookmarkStart w:id="14" w:name="_Toc225519594"/>
      <w:r w:rsidRPr="00E837F8">
        <w:rPr>
          <w:rFonts w:ascii="Times New Roman" w:eastAsia="Times New Roman" w:hAnsi="Times New Roman" w:cs="Times New Roman"/>
          <w:b/>
          <w:bCs/>
          <w:color w:val="000000"/>
          <w:sz w:val="24"/>
          <w:szCs w:val="24"/>
        </w:rPr>
        <w:t>3.5 Quality assessment</w:t>
      </w:r>
      <w:bookmarkEnd w:id="14"/>
    </w:p>
    <w:p w14:paraId="287BCEFA" w14:textId="77777777" w:rsidR="00567EF5" w:rsidRPr="00E837F8" w:rsidRDefault="006578A3">
      <w:pPr>
        <w:spacing w:line="360" w:lineRule="auto"/>
        <w:jc w:val="both"/>
        <w:rPr>
          <w:sz w:val="24"/>
          <w:szCs w:val="24"/>
        </w:rPr>
      </w:pPr>
      <w:r w:rsidRPr="00E837F8">
        <w:rPr>
          <w:sz w:val="24"/>
          <w:szCs w:val="24"/>
        </w:rPr>
        <w:t>A quality assessment of all included studies was conducted using the CASP checklist (CASP, 2022; Njau et al., 2019), which provided a structured way to assess each study's aims, design, data quality, academic accuracy, and philosophical credibility, with papers scored as yes (1 point), partial (0.5), or no (0), and only those achieving at least 65% of the total possible score were deemed methodologically suitable for inclusion.</w:t>
      </w:r>
    </w:p>
    <w:p w14:paraId="287BCEFB" w14:textId="77777777" w:rsidR="00567EF5" w:rsidRPr="00E837F8" w:rsidRDefault="006578A3">
      <w:pPr>
        <w:pStyle w:val="Heading2"/>
        <w:spacing w:after="0" w:line="360" w:lineRule="auto"/>
        <w:rPr>
          <w:rFonts w:ascii="Times New Roman" w:eastAsia="Times New Roman" w:hAnsi="Times New Roman" w:cs="Times New Roman"/>
          <w:b/>
          <w:bCs/>
          <w:color w:val="000000"/>
          <w:sz w:val="24"/>
          <w:szCs w:val="24"/>
        </w:rPr>
      </w:pPr>
      <w:bookmarkStart w:id="15" w:name="_Toc225519595"/>
      <w:r w:rsidRPr="00E837F8">
        <w:rPr>
          <w:rFonts w:ascii="Times New Roman" w:eastAsia="Times New Roman" w:hAnsi="Times New Roman" w:cs="Times New Roman"/>
          <w:b/>
          <w:bCs/>
          <w:color w:val="000000"/>
          <w:sz w:val="24"/>
          <w:szCs w:val="24"/>
        </w:rPr>
        <w:t>3.6 Prisma mapping</w:t>
      </w:r>
      <w:bookmarkEnd w:id="15"/>
    </w:p>
    <w:p w14:paraId="287BCEFC" w14:textId="77777777" w:rsidR="00567EF5" w:rsidRPr="00E837F8" w:rsidRDefault="006578A3">
      <w:pPr>
        <w:spacing w:line="360" w:lineRule="auto"/>
        <w:jc w:val="both"/>
      </w:pPr>
      <w:r w:rsidRPr="00E837F8">
        <w:rPr>
          <w:sz w:val="24"/>
          <w:szCs w:val="24"/>
        </w:rPr>
        <w:t>A total of one hundred and thirteen research papers were initially identified, following which twenty-eight duplicates were eliminated and twenty-three research papers were rejected for falling outside the stated time span. A quality assessment using the CASP checklist led to the removal of twenty-two further articles. As a result, only forty papers met all of the inclusion criteria and were selected for the final evaluation.</w:t>
      </w:r>
    </w:p>
    <w:p w14:paraId="287BCEFE" w14:textId="7DE8787F" w:rsidR="00567EF5" w:rsidRPr="00E837F8" w:rsidRDefault="002A6051">
      <w:pPr>
        <w:spacing w:line="360" w:lineRule="auto"/>
        <w:jc w:val="both"/>
        <w:rPr>
          <w:rFonts w:ascii="Arial" w:eastAsia="Arial" w:hAnsi="Arial" w:cs="Arial"/>
        </w:rPr>
      </w:pPr>
      <w:bookmarkStart w:id="16" w:name="_heading=h.bpmjlkm092sy" w:colFirst="0" w:colLast="0"/>
      <w:bookmarkEnd w:id="16"/>
      <w:r w:rsidRPr="00E837F8">
        <w:rPr>
          <w:noProof/>
        </w:rPr>
        <mc:AlternateContent>
          <mc:Choice Requires="wps">
            <w:drawing>
              <wp:anchor distT="0" distB="0" distL="114300" distR="114300" simplePos="0" relativeHeight="251669504" behindDoc="0" locked="0" layoutInCell="1" hidden="0" allowOverlap="1" wp14:anchorId="287BD020" wp14:editId="537090C3">
                <wp:simplePos x="0" y="0"/>
                <wp:positionH relativeFrom="column">
                  <wp:posOffset>321700</wp:posOffset>
                </wp:positionH>
                <wp:positionV relativeFrom="paragraph">
                  <wp:posOffset>2643981</wp:posOffset>
                </wp:positionV>
                <wp:extent cx="699972" cy="1078577"/>
                <wp:effectExtent l="1270" t="0" r="25400" b="25400"/>
                <wp:wrapNone/>
                <wp:docPr id="2052723283" name="Rectangle 2052723283"/>
                <wp:cNvGraphicFramePr/>
                <a:graphic xmlns:a="http://schemas.openxmlformats.org/drawingml/2006/main">
                  <a:graphicData uri="http://schemas.microsoft.com/office/word/2010/wordprocessingShape">
                    <wps:wsp>
                      <wps:cNvSpPr/>
                      <wps:spPr>
                        <a:xfrm rot="16200000">
                          <a:off x="0" y="0"/>
                          <a:ext cx="699972" cy="1078577"/>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A" w14:textId="77777777" w:rsidR="00567EF5" w:rsidRDefault="00567EF5">
                            <w:pPr>
                              <w:jc w:val="center"/>
                              <w:textDirection w:val="btLr"/>
                            </w:pPr>
                          </w:p>
                          <w:p w14:paraId="287BD05B" w14:textId="77777777" w:rsidR="00567EF5" w:rsidRDefault="006578A3">
                            <w:pPr>
                              <w:jc w:val="center"/>
                              <w:textDirection w:val="btLr"/>
                            </w:pPr>
                            <w:r>
                              <w:rPr>
                                <w:color w:val="000000"/>
                              </w:rPr>
                              <w:t>Included</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0" id="Rectangle 2052723283" o:spid="_x0000_s1027" style="position:absolute;left:0;text-align:left;margin-left:25.35pt;margin-top:208.2pt;width:55.1pt;height:84.9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" fillcolor="white [3201]" strokecolor="#4472c4 [3204]" strokeweight="1pt">
                <v:stroke startarrowwidth="narrow" startarrowlength="short" endarrowwidth="narrow" endarrowlength="short"/>
                <v:textbox inset="2.53958mm,1.2694mm,2.53958mm,1.2694mm">
                  <w:txbxContent>
                    <w:p w14:paraId="287BD05A" w14:textId="77777777" w:rsidR="00567EF5" w:rsidRDefault="00567EF5">
                      <w:pPr>
                        <w:jc w:val="center"/>
                        <w:textDirection w:val="btLr"/>
                      </w:pPr>
                    </w:p>
                    <w:p w14:paraId="287BD05B" w14:textId="77777777" w:rsidR="00567EF5" w:rsidRDefault="006578A3">
                      <w:pPr>
                        <w:jc w:val="center"/>
                        <w:textDirection w:val="btLr"/>
                      </w:pPr>
                      <w:r>
                        <w:rPr>
                          <w:color w:val="000000"/>
                        </w:rPr>
                        <w:t>Included</w:t>
                      </w:r>
                    </w:p>
                  </w:txbxContent>
                </v:textbox>
              </v:rect>
            </w:pict>
          </mc:Fallback>
        </mc:AlternateContent>
      </w:r>
      <w:r w:rsidRPr="00E837F8">
        <w:rPr>
          <w:noProof/>
        </w:rPr>
        <mc:AlternateContent>
          <mc:Choice Requires="wps">
            <w:drawing>
              <wp:anchor distT="0" distB="0" distL="114300" distR="114300" simplePos="0" relativeHeight="251668480" behindDoc="0" locked="0" layoutInCell="1" hidden="0" allowOverlap="1" wp14:anchorId="287BD01E" wp14:editId="456B8E8E">
                <wp:simplePos x="0" y="0"/>
                <wp:positionH relativeFrom="column">
                  <wp:posOffset>-164768</wp:posOffset>
                </wp:positionH>
                <wp:positionV relativeFrom="paragraph">
                  <wp:posOffset>1234916</wp:posOffset>
                </wp:positionV>
                <wp:extent cx="1706880" cy="1113818"/>
                <wp:effectExtent l="0" t="8255" r="18415" b="18415"/>
                <wp:wrapNone/>
                <wp:docPr id="2052723286" name="Rectangle 2052723286"/>
                <wp:cNvGraphicFramePr/>
                <a:graphic xmlns:a="http://schemas.openxmlformats.org/drawingml/2006/main">
                  <a:graphicData uri="http://schemas.microsoft.com/office/word/2010/wordprocessingShape">
                    <wps:wsp>
                      <wps:cNvSpPr/>
                      <wps:spPr>
                        <a:xfrm rot="16200000">
                          <a:off x="0" y="0"/>
                          <a:ext cx="1706880" cy="1113818"/>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8" w14:textId="77777777" w:rsidR="00567EF5" w:rsidRDefault="00567EF5">
                            <w:pPr>
                              <w:jc w:val="center"/>
                              <w:textDirection w:val="btLr"/>
                            </w:pPr>
                          </w:p>
                          <w:p w14:paraId="287BD059" w14:textId="77777777" w:rsidR="00567EF5" w:rsidRDefault="006578A3">
                            <w:pPr>
                              <w:jc w:val="center"/>
                              <w:textDirection w:val="btLr"/>
                            </w:pPr>
                            <w:r>
                              <w:rPr>
                                <w:color w:val="000000"/>
                              </w:rPr>
                              <w:t>Screening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1E" id="Rectangle 2052723286" o:spid="_x0000_s1028" style="position:absolute;left:0;text-align:left;margin-left:-12.95pt;margin-top:97.25pt;width:134.4pt;height:87.7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" fillcolor="white [3201]" strokecolor="#4472c4 [3204]" strokeweight="1pt">
                <v:stroke startarrowwidth="narrow" startarrowlength="short" endarrowwidth="narrow" endarrowlength="short"/>
                <v:textbox inset="2.53958mm,1.2694mm,2.53958mm,1.2694mm">
                  <w:txbxContent>
                    <w:p w14:paraId="287BD058" w14:textId="77777777" w:rsidR="00567EF5" w:rsidRDefault="00567EF5">
                      <w:pPr>
                        <w:jc w:val="center"/>
                        <w:textDirection w:val="btLr"/>
                      </w:pPr>
                    </w:p>
                    <w:p w14:paraId="287BD059" w14:textId="77777777" w:rsidR="00567EF5" w:rsidRDefault="006578A3">
                      <w:pPr>
                        <w:jc w:val="center"/>
                        <w:textDirection w:val="btLr"/>
                      </w:pPr>
                      <w:r>
                        <w:rPr>
                          <w:color w:val="000000"/>
                        </w:rPr>
                        <w:t>Screening</w:t>
                      </w:r>
                    </w:p>
                  </w:txbxContent>
                </v:textbox>
              </v:rect>
            </w:pict>
          </mc:Fallback>
        </mc:AlternateContent>
      </w:r>
      <w:r w:rsidR="006578A3" w:rsidRPr="00E837F8">
        <w:rPr>
          <w:rFonts w:ascii="Arial" w:eastAsia="Arial" w:hAnsi="Arial" w:cs="Arial"/>
          <w:noProof/>
        </w:rPr>
        <mc:AlternateContent>
          <mc:Choice Requires="wpg">
            <w:drawing>
              <wp:inline distT="0" distB="0" distL="0" distR="0" wp14:anchorId="287BD00A" wp14:editId="6B52F56C">
                <wp:extent cx="6296891" cy="3630295"/>
                <wp:effectExtent l="0" t="0" r="0" b="8255"/>
                <wp:docPr id="2052723284" name="Group 2052723284"/>
                <wp:cNvGraphicFramePr/>
                <a:graphic xmlns:a="http://schemas.openxmlformats.org/drawingml/2006/main">
                  <a:graphicData uri="http://schemas.microsoft.com/office/word/2010/wordprocessingGroup">
                    <wpg:wgp>
                      <wpg:cNvGrpSpPr/>
                      <wpg:grpSpPr>
                        <a:xfrm>
                          <a:off x="0" y="0"/>
                          <a:ext cx="6296891" cy="3630295"/>
                          <a:chOff x="-1" y="0"/>
                          <a:chExt cx="6296865" cy="3630275"/>
                        </a:xfrm>
                      </wpg:grpSpPr>
                      <wpg:grpSp>
                        <wpg:cNvPr id="64381219" name="Group 64381219"/>
                        <wpg:cNvGrpSpPr/>
                        <wpg:grpSpPr>
                          <a:xfrm>
                            <a:off x="-1" y="0"/>
                            <a:ext cx="6296865" cy="3630275"/>
                            <a:chOff x="-1" y="0"/>
                            <a:chExt cx="6296865" cy="3630275"/>
                          </a:xfrm>
                        </wpg:grpSpPr>
                        <wps:wsp>
                          <wps:cNvPr id="1446519574" name="Rectangle 1446519574"/>
                          <wps:cNvSpPr/>
                          <wps:spPr>
                            <a:xfrm>
                              <a:off x="-1" y="0"/>
                              <a:ext cx="6296865" cy="3630275"/>
                            </a:xfrm>
                            <a:prstGeom prst="rect">
                              <a:avLst/>
                            </a:prstGeom>
                            <a:noFill/>
                            <a:ln>
                              <a:noFill/>
                            </a:ln>
                          </wps:spPr>
                          <wps:txbx>
                            <w:txbxContent>
                              <w:p w14:paraId="287BD03B" w14:textId="77777777" w:rsidR="00567EF5" w:rsidRDefault="00567EF5">
                                <w:pPr>
                                  <w:textDirection w:val="btLr"/>
                                </w:pPr>
                              </w:p>
                            </w:txbxContent>
                          </wps:txbx>
                          <wps:bodyPr spcFirstLastPara="1" wrap="square" lIns="91425" tIns="91425" rIns="91425" bIns="91425" anchor="ctr" anchorCtr="0">
                            <a:noAutofit/>
                          </wps:bodyPr>
                        </wps:wsp>
                        <wps:wsp>
                          <wps:cNvPr id="234153317" name="Rectangle: Rounded Corners 234153317"/>
                          <wps:cNvSpPr/>
                          <wps:spPr>
                            <a:xfrm>
                              <a:off x="1502784" y="1110"/>
                              <a:ext cx="1209357" cy="604678"/>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287BD03C" w14:textId="77777777" w:rsidR="00567EF5" w:rsidRDefault="00567EF5">
                                <w:pPr>
                                  <w:textDirection w:val="btLr"/>
                                </w:pPr>
                              </w:p>
                            </w:txbxContent>
                          </wps:txbx>
                          <wps:bodyPr spcFirstLastPara="1" wrap="square" lIns="91425" tIns="91425" rIns="91425" bIns="91425" anchor="ctr" anchorCtr="0">
                            <a:noAutofit/>
                          </wps:bodyPr>
                        </wps:wsp>
                        <wps:wsp>
                          <wps:cNvPr id="1701419862" name="Text Box 1701419862"/>
                          <wps:cNvSpPr txBox="1"/>
                          <wps:spPr>
                            <a:xfrm>
                              <a:off x="1520494" y="18820"/>
                              <a:ext cx="1173937" cy="569258"/>
                            </a:xfrm>
                            <a:prstGeom prst="rect">
                              <a:avLst/>
                            </a:prstGeom>
                            <a:noFill/>
                            <a:ln>
                              <a:noFill/>
                            </a:ln>
                          </wps:spPr>
                          <wps:txbx>
                            <w:txbxContent>
                              <w:p w14:paraId="287BD03D" w14:textId="77777777" w:rsidR="00567EF5" w:rsidRDefault="006578A3">
                                <w:pPr>
                                  <w:spacing w:line="215" w:lineRule="auto"/>
                                  <w:jc w:val="center"/>
                                  <w:textDirection w:val="btLr"/>
                                </w:pPr>
                                <w:r>
                                  <w:rPr>
                                    <w:rFonts w:ascii="Calibri" w:eastAsia="Calibri" w:hAnsi="Calibri" w:cs="Calibri"/>
                                    <w:color w:val="000000"/>
                                    <w:sz w:val="24"/>
                                  </w:rPr>
                                  <w:t>Articles Identified from databases (n=113)</w:t>
                                </w:r>
                              </w:p>
                            </w:txbxContent>
                          </wps:txbx>
                          <wps:bodyPr spcFirstLastPara="1" wrap="square" lIns="22850" tIns="15225" rIns="22850" bIns="15225" anchor="ctr" anchorCtr="0">
                            <a:noAutofit/>
                          </wps:bodyPr>
                        </wps:wsp>
                        <wps:wsp>
                          <wps:cNvPr id="655732518" name="Freeform: Shape 655732518"/>
                          <wps:cNvSpPr/>
                          <wps:spPr>
                            <a:xfrm>
                              <a:off x="1623720" y="605789"/>
                              <a:ext cx="120935" cy="453509"/>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218667130" name="Rectangle: Rounded Corners 1218667130"/>
                          <wps:cNvSpPr/>
                          <wps:spPr>
                            <a:xfrm>
                              <a:off x="1744655" y="756959"/>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3E" w14:textId="77777777" w:rsidR="00567EF5" w:rsidRDefault="00567EF5">
                                <w:pPr>
                                  <w:textDirection w:val="btLr"/>
                                </w:pPr>
                              </w:p>
                            </w:txbxContent>
                          </wps:txbx>
                          <wps:bodyPr spcFirstLastPara="1" wrap="square" lIns="91425" tIns="91425" rIns="91425" bIns="91425" anchor="ctr" anchorCtr="0">
                            <a:noAutofit/>
                          </wps:bodyPr>
                        </wps:wsp>
                        <wps:wsp>
                          <wps:cNvPr id="1872031000" name="Text Box 1872031000"/>
                          <wps:cNvSpPr txBox="1"/>
                          <wps:spPr>
                            <a:xfrm>
                              <a:off x="1762365" y="774669"/>
                              <a:ext cx="932066" cy="569258"/>
                            </a:xfrm>
                            <a:prstGeom prst="rect">
                              <a:avLst/>
                            </a:prstGeom>
                            <a:noFill/>
                            <a:ln>
                              <a:noFill/>
                            </a:ln>
                          </wps:spPr>
                          <wps:txbx>
                            <w:txbxContent>
                              <w:p w14:paraId="287BD03F" w14:textId="77777777" w:rsidR="00567EF5" w:rsidRDefault="006578A3">
                                <w:pPr>
                                  <w:spacing w:line="215" w:lineRule="auto"/>
                                  <w:jc w:val="center"/>
                                  <w:textDirection w:val="btLr"/>
                                </w:pPr>
                                <w:r>
                                  <w:rPr>
                                    <w:rFonts w:ascii="Calibri" w:eastAsia="Calibri" w:hAnsi="Calibri" w:cs="Calibri"/>
                                    <w:color w:val="000000"/>
                                    <w:sz w:val="16"/>
                                  </w:rPr>
                                  <w:t>Articles Screened (n=85)</w:t>
                                </w:r>
                              </w:p>
                            </w:txbxContent>
                          </wps:txbx>
                          <wps:bodyPr spcFirstLastPara="1" wrap="square" lIns="15225" tIns="10150" rIns="15225" bIns="10150" anchor="ctr" anchorCtr="0">
                            <a:noAutofit/>
                          </wps:bodyPr>
                        </wps:wsp>
                        <wps:wsp>
                          <wps:cNvPr id="1985084485" name="Freeform: Shape 1985084485"/>
                          <wps:cNvSpPr/>
                          <wps:spPr>
                            <a:xfrm>
                              <a:off x="1623720" y="605789"/>
                              <a:ext cx="120935" cy="1209357"/>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657253495" name="Rectangle: Rounded Corners 657253495"/>
                          <wps:cNvSpPr/>
                          <wps:spPr>
                            <a:xfrm>
                              <a:off x="1744655" y="1512808"/>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0" w14:textId="77777777" w:rsidR="00567EF5" w:rsidRDefault="00567EF5">
                                <w:pPr>
                                  <w:textDirection w:val="btLr"/>
                                </w:pPr>
                              </w:p>
                            </w:txbxContent>
                          </wps:txbx>
                          <wps:bodyPr spcFirstLastPara="1" wrap="square" lIns="91425" tIns="91425" rIns="91425" bIns="91425" anchor="ctr" anchorCtr="0">
                            <a:noAutofit/>
                          </wps:bodyPr>
                        </wps:wsp>
                        <wps:wsp>
                          <wps:cNvPr id="1524505689" name="Text Box 1524505689"/>
                          <wps:cNvSpPr txBox="1"/>
                          <wps:spPr>
                            <a:xfrm>
                              <a:off x="1762365" y="1530518"/>
                              <a:ext cx="932066" cy="569258"/>
                            </a:xfrm>
                            <a:prstGeom prst="rect">
                              <a:avLst/>
                            </a:prstGeom>
                            <a:noFill/>
                            <a:ln>
                              <a:noFill/>
                            </a:ln>
                          </wps:spPr>
                          <wps:txbx>
                            <w:txbxContent>
                              <w:p w14:paraId="287BD041" w14:textId="77777777" w:rsidR="00567EF5" w:rsidRDefault="006578A3">
                                <w:pPr>
                                  <w:spacing w:line="215" w:lineRule="auto"/>
                                  <w:jc w:val="center"/>
                                  <w:textDirection w:val="btLr"/>
                                </w:pPr>
                                <w:r>
                                  <w:rPr>
                                    <w:rFonts w:ascii="Calibri" w:eastAsia="Calibri" w:hAnsi="Calibri" w:cs="Calibri"/>
                                    <w:color w:val="000000"/>
                                    <w:sz w:val="16"/>
                                  </w:rPr>
                                  <w:t>Articles included in timeframe check (n=85)</w:t>
                                </w:r>
                              </w:p>
                              <w:p w14:paraId="287BD042" w14:textId="77777777" w:rsidR="00567EF5" w:rsidRDefault="00567EF5">
                                <w:pPr>
                                  <w:spacing w:before="55" w:line="215" w:lineRule="auto"/>
                                  <w:jc w:val="center"/>
                                  <w:textDirection w:val="btLr"/>
                                </w:pPr>
                              </w:p>
                            </w:txbxContent>
                          </wps:txbx>
                          <wps:bodyPr spcFirstLastPara="1" wrap="square" lIns="15225" tIns="10150" rIns="15225" bIns="10150" anchor="ctr" anchorCtr="0">
                            <a:noAutofit/>
                          </wps:bodyPr>
                        </wps:wsp>
                        <wps:wsp>
                          <wps:cNvPr id="391849172" name="Freeform: Shape 391849172"/>
                          <wps:cNvSpPr/>
                          <wps:spPr>
                            <a:xfrm>
                              <a:off x="1623720" y="605789"/>
                              <a:ext cx="120935" cy="1965206"/>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263480208" name="Rectangle: Rounded Corners 1263480208"/>
                          <wps:cNvSpPr/>
                          <wps:spPr>
                            <a:xfrm>
                              <a:off x="1744655" y="2268656"/>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3" w14:textId="77777777" w:rsidR="00567EF5" w:rsidRDefault="00567EF5">
                                <w:pPr>
                                  <w:textDirection w:val="btLr"/>
                                </w:pPr>
                              </w:p>
                            </w:txbxContent>
                          </wps:txbx>
                          <wps:bodyPr spcFirstLastPara="1" wrap="square" lIns="91425" tIns="91425" rIns="91425" bIns="91425" anchor="ctr" anchorCtr="0">
                            <a:noAutofit/>
                          </wps:bodyPr>
                        </wps:wsp>
                        <wps:wsp>
                          <wps:cNvPr id="980049200" name="Text Box 980049200"/>
                          <wps:cNvSpPr txBox="1"/>
                          <wps:spPr>
                            <a:xfrm>
                              <a:off x="1762365" y="2286366"/>
                              <a:ext cx="932066" cy="569258"/>
                            </a:xfrm>
                            <a:prstGeom prst="rect">
                              <a:avLst/>
                            </a:prstGeom>
                            <a:noFill/>
                            <a:ln>
                              <a:noFill/>
                            </a:ln>
                          </wps:spPr>
                          <wps:txbx>
                            <w:txbxContent>
                              <w:p w14:paraId="287BD044" w14:textId="77777777" w:rsidR="00567EF5" w:rsidRDefault="006578A3">
                                <w:pPr>
                                  <w:spacing w:line="215" w:lineRule="auto"/>
                                  <w:jc w:val="center"/>
                                  <w:textDirection w:val="btLr"/>
                                </w:pPr>
                                <w:r>
                                  <w:rPr>
                                    <w:rFonts w:ascii="Calibri" w:eastAsia="Calibri" w:hAnsi="Calibri" w:cs="Calibri"/>
                                    <w:color w:val="000000"/>
                                    <w:sz w:val="16"/>
                                  </w:rPr>
                                  <w:t>Articles included in quality check (n=62)</w:t>
                                </w:r>
                              </w:p>
                            </w:txbxContent>
                          </wps:txbx>
                          <wps:bodyPr spcFirstLastPara="1" wrap="square" lIns="15225" tIns="10150" rIns="15225" bIns="10150" anchor="ctr" anchorCtr="0">
                            <a:noAutofit/>
                          </wps:bodyPr>
                        </wps:wsp>
                        <wps:wsp>
                          <wps:cNvPr id="1751987725" name="Freeform: Shape 1751987725"/>
                          <wps:cNvSpPr/>
                          <wps:spPr>
                            <a:xfrm>
                              <a:off x="1623720" y="605789"/>
                              <a:ext cx="120935" cy="2705805"/>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343842312" name="Rectangle: Rounded Corners 1343842312"/>
                          <wps:cNvSpPr/>
                          <wps:spPr>
                            <a:xfrm>
                              <a:off x="1744655" y="3009255"/>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5" w14:textId="77777777" w:rsidR="00567EF5" w:rsidRDefault="00567EF5">
                                <w:pPr>
                                  <w:textDirection w:val="btLr"/>
                                </w:pPr>
                              </w:p>
                            </w:txbxContent>
                          </wps:txbx>
                          <wps:bodyPr spcFirstLastPara="1" wrap="square" lIns="91425" tIns="91425" rIns="91425" bIns="91425" anchor="ctr" anchorCtr="0">
                            <a:noAutofit/>
                          </wps:bodyPr>
                        </wps:wsp>
                        <wps:wsp>
                          <wps:cNvPr id="1665216734" name="Text Box 1665216734"/>
                          <wps:cNvSpPr txBox="1"/>
                          <wps:spPr>
                            <a:xfrm>
                              <a:off x="1762365" y="3026965"/>
                              <a:ext cx="932066" cy="569258"/>
                            </a:xfrm>
                            <a:prstGeom prst="rect">
                              <a:avLst/>
                            </a:prstGeom>
                            <a:noFill/>
                            <a:ln>
                              <a:noFill/>
                            </a:ln>
                          </wps:spPr>
                          <wps:txbx>
                            <w:txbxContent>
                              <w:p w14:paraId="287BD046" w14:textId="77777777" w:rsidR="00567EF5" w:rsidRDefault="006578A3">
                                <w:pPr>
                                  <w:spacing w:line="215" w:lineRule="auto"/>
                                  <w:jc w:val="center"/>
                                  <w:textDirection w:val="btLr"/>
                                </w:pPr>
                                <w:r>
                                  <w:rPr>
                                    <w:rFonts w:ascii="Calibri" w:eastAsia="Calibri" w:hAnsi="Calibri" w:cs="Calibri"/>
                                    <w:color w:val="000000"/>
                                    <w:sz w:val="16"/>
                                  </w:rPr>
                                  <w:t>Articles included in the study (n=40)</w:t>
                                </w:r>
                              </w:p>
                            </w:txbxContent>
                          </wps:txbx>
                          <wps:bodyPr spcFirstLastPara="1" wrap="square" lIns="15225" tIns="10150" rIns="15225" bIns="10150" anchor="ctr" anchorCtr="0">
                            <a:noAutofit/>
                          </wps:bodyPr>
                        </wps:wsp>
                        <wps:wsp>
                          <wps:cNvPr id="1265240497" name="Rectangle: Rounded Corners 1265240497"/>
                          <wps:cNvSpPr/>
                          <wps:spPr>
                            <a:xfrm>
                              <a:off x="3014481" y="1110"/>
                              <a:ext cx="1209357" cy="604678"/>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287BD047" w14:textId="77777777" w:rsidR="00567EF5" w:rsidRDefault="00567EF5">
                                <w:pPr>
                                  <w:textDirection w:val="btLr"/>
                                </w:pPr>
                              </w:p>
                            </w:txbxContent>
                          </wps:txbx>
                          <wps:bodyPr spcFirstLastPara="1" wrap="square" lIns="91425" tIns="91425" rIns="91425" bIns="91425" anchor="ctr" anchorCtr="0">
                            <a:noAutofit/>
                          </wps:bodyPr>
                        </wps:wsp>
                        <wps:wsp>
                          <wps:cNvPr id="1340000964" name="Text Box 1340000964"/>
                          <wps:cNvSpPr txBox="1"/>
                          <wps:spPr>
                            <a:xfrm>
                              <a:off x="3032191" y="18820"/>
                              <a:ext cx="1173937" cy="569258"/>
                            </a:xfrm>
                            <a:prstGeom prst="rect">
                              <a:avLst/>
                            </a:prstGeom>
                            <a:noFill/>
                            <a:ln>
                              <a:noFill/>
                            </a:ln>
                          </wps:spPr>
                          <wps:txbx>
                            <w:txbxContent>
                              <w:p w14:paraId="287BD048" w14:textId="77777777" w:rsidR="00567EF5" w:rsidRDefault="006578A3">
                                <w:pPr>
                                  <w:spacing w:line="215" w:lineRule="auto"/>
                                  <w:jc w:val="center"/>
                                  <w:textDirection w:val="btLr"/>
                                </w:pPr>
                                <w:r>
                                  <w:rPr>
                                    <w:rFonts w:ascii="Calibri" w:eastAsia="Calibri" w:hAnsi="Calibri" w:cs="Calibri"/>
                                    <w:color w:val="000000"/>
                                    <w:sz w:val="24"/>
                                  </w:rPr>
                                  <w:t>Duplicates Removed (n=28)</w:t>
                                </w:r>
                              </w:p>
                            </w:txbxContent>
                          </wps:txbx>
                          <wps:bodyPr spcFirstLastPara="1" wrap="square" lIns="22850" tIns="15225" rIns="22850" bIns="15225" anchor="ctr" anchorCtr="0">
                            <a:noAutofit/>
                          </wps:bodyPr>
                        </wps:wsp>
                        <wps:wsp>
                          <wps:cNvPr id="1725974611" name="Freeform: Shape 1725974611"/>
                          <wps:cNvSpPr/>
                          <wps:spPr>
                            <a:xfrm>
                              <a:off x="3135417" y="605789"/>
                              <a:ext cx="120935" cy="453509"/>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872526877" name="Rectangle: Rounded Corners 872526877"/>
                          <wps:cNvSpPr/>
                          <wps:spPr>
                            <a:xfrm>
                              <a:off x="3256353" y="756959"/>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9" w14:textId="77777777" w:rsidR="00567EF5" w:rsidRDefault="00567EF5">
                                <w:pPr>
                                  <w:textDirection w:val="btLr"/>
                                </w:pPr>
                              </w:p>
                            </w:txbxContent>
                          </wps:txbx>
                          <wps:bodyPr spcFirstLastPara="1" wrap="square" lIns="91425" tIns="91425" rIns="91425" bIns="91425" anchor="ctr" anchorCtr="0">
                            <a:noAutofit/>
                          </wps:bodyPr>
                        </wps:wsp>
                        <wps:wsp>
                          <wps:cNvPr id="1228727751" name="Text Box 1228727751"/>
                          <wps:cNvSpPr txBox="1"/>
                          <wps:spPr>
                            <a:xfrm>
                              <a:off x="3274063" y="774669"/>
                              <a:ext cx="932066" cy="569258"/>
                            </a:xfrm>
                            <a:prstGeom prst="rect">
                              <a:avLst/>
                            </a:prstGeom>
                            <a:noFill/>
                            <a:ln>
                              <a:noFill/>
                            </a:ln>
                          </wps:spPr>
                          <wps:txbx>
                            <w:txbxContent>
                              <w:p w14:paraId="287BD04A" w14:textId="77777777" w:rsidR="00567EF5" w:rsidRDefault="006578A3">
                                <w:pPr>
                                  <w:spacing w:line="215" w:lineRule="auto"/>
                                  <w:jc w:val="center"/>
                                  <w:textDirection w:val="btLr"/>
                                </w:pPr>
                                <w:r>
                                  <w:rPr>
                                    <w:rFonts w:ascii="Calibri" w:eastAsia="Calibri" w:hAnsi="Calibri" w:cs="Calibri"/>
                                    <w:color w:val="000000"/>
                                    <w:sz w:val="16"/>
                                  </w:rPr>
                                  <w:t>Articles Excluded (n=0)</w:t>
                                </w:r>
                              </w:p>
                            </w:txbxContent>
                          </wps:txbx>
                          <wps:bodyPr spcFirstLastPara="1" wrap="square" lIns="15225" tIns="10150" rIns="15225" bIns="10150" anchor="ctr" anchorCtr="0">
                            <a:noAutofit/>
                          </wps:bodyPr>
                        </wps:wsp>
                        <wps:wsp>
                          <wps:cNvPr id="881467453" name="Freeform: Shape 881467453"/>
                          <wps:cNvSpPr/>
                          <wps:spPr>
                            <a:xfrm>
                              <a:off x="3135417" y="605789"/>
                              <a:ext cx="120935" cy="1209357"/>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881606688" name="Rectangle: Rounded Corners 1881606688"/>
                          <wps:cNvSpPr/>
                          <wps:spPr>
                            <a:xfrm>
                              <a:off x="3256353" y="1512808"/>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B" w14:textId="77777777" w:rsidR="00567EF5" w:rsidRDefault="00567EF5">
                                <w:pPr>
                                  <w:textDirection w:val="btLr"/>
                                </w:pPr>
                              </w:p>
                            </w:txbxContent>
                          </wps:txbx>
                          <wps:bodyPr spcFirstLastPara="1" wrap="square" lIns="91425" tIns="91425" rIns="91425" bIns="91425" anchor="ctr" anchorCtr="0">
                            <a:noAutofit/>
                          </wps:bodyPr>
                        </wps:wsp>
                        <wps:wsp>
                          <wps:cNvPr id="78945145" name="Text Box 78945145"/>
                          <wps:cNvSpPr txBox="1"/>
                          <wps:spPr>
                            <a:xfrm>
                              <a:off x="3274063" y="1530518"/>
                              <a:ext cx="932066" cy="569258"/>
                            </a:xfrm>
                            <a:prstGeom prst="rect">
                              <a:avLst/>
                            </a:prstGeom>
                            <a:noFill/>
                            <a:ln>
                              <a:noFill/>
                            </a:ln>
                          </wps:spPr>
                          <wps:txbx>
                            <w:txbxContent>
                              <w:p w14:paraId="287BD04C" w14:textId="77777777" w:rsidR="00567EF5" w:rsidRDefault="006578A3">
                                <w:pPr>
                                  <w:spacing w:line="215" w:lineRule="auto"/>
                                  <w:jc w:val="center"/>
                                  <w:textDirection w:val="btLr"/>
                                </w:pPr>
                                <w:r>
                                  <w:rPr>
                                    <w:rFonts w:ascii="Calibri" w:eastAsia="Calibri" w:hAnsi="Calibri" w:cs="Calibri"/>
                                    <w:color w:val="000000"/>
                                    <w:sz w:val="16"/>
                                  </w:rPr>
                                  <w:t>Articles excluded (n=23)</w:t>
                                </w:r>
                              </w:p>
                            </w:txbxContent>
                          </wps:txbx>
                          <wps:bodyPr spcFirstLastPara="1" wrap="square" lIns="15225" tIns="10150" rIns="15225" bIns="10150" anchor="ctr" anchorCtr="0">
                            <a:noAutofit/>
                          </wps:bodyPr>
                        </wps:wsp>
                        <wps:wsp>
                          <wps:cNvPr id="627657612" name="Freeform: Shape 627657612"/>
                          <wps:cNvSpPr/>
                          <wps:spPr>
                            <a:xfrm>
                              <a:off x="3135417" y="605789"/>
                              <a:ext cx="120935" cy="1965206"/>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599881344" name="Rectangle: Rounded Corners 599881344"/>
                          <wps:cNvSpPr/>
                          <wps:spPr>
                            <a:xfrm>
                              <a:off x="3256353" y="2268656"/>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D" w14:textId="77777777" w:rsidR="00567EF5" w:rsidRDefault="00567EF5">
                                <w:pPr>
                                  <w:textDirection w:val="btLr"/>
                                </w:pPr>
                              </w:p>
                            </w:txbxContent>
                          </wps:txbx>
                          <wps:bodyPr spcFirstLastPara="1" wrap="square" lIns="91425" tIns="91425" rIns="91425" bIns="91425" anchor="ctr" anchorCtr="0">
                            <a:noAutofit/>
                          </wps:bodyPr>
                        </wps:wsp>
                        <wps:wsp>
                          <wps:cNvPr id="1476116822" name="Text Box 1476116822"/>
                          <wps:cNvSpPr txBox="1"/>
                          <wps:spPr>
                            <a:xfrm>
                              <a:off x="3274063" y="2286366"/>
                              <a:ext cx="932066" cy="569258"/>
                            </a:xfrm>
                            <a:prstGeom prst="rect">
                              <a:avLst/>
                            </a:prstGeom>
                            <a:noFill/>
                            <a:ln>
                              <a:noFill/>
                            </a:ln>
                          </wps:spPr>
                          <wps:txbx>
                            <w:txbxContent>
                              <w:p w14:paraId="287BD04E" w14:textId="77777777" w:rsidR="00567EF5" w:rsidRDefault="006578A3">
                                <w:pPr>
                                  <w:spacing w:line="215" w:lineRule="auto"/>
                                  <w:jc w:val="center"/>
                                  <w:textDirection w:val="btLr"/>
                                </w:pPr>
                                <w:r>
                                  <w:rPr>
                                    <w:rFonts w:ascii="Calibri" w:eastAsia="Calibri" w:hAnsi="Calibri" w:cs="Calibri"/>
                                    <w:color w:val="000000"/>
                                    <w:sz w:val="16"/>
                                  </w:rPr>
                                  <w:t>Articles excluded (n=22)</w:t>
                                </w:r>
                              </w:p>
                            </w:txbxContent>
                          </wps:txbx>
                          <wps:bodyPr spcFirstLastPara="1" wrap="square" lIns="15225" tIns="10150" rIns="15225" bIns="10150" anchor="ctr" anchorCtr="0">
                            <a:noAutofit/>
                          </wps:bodyPr>
                        </wps:wsp>
                      </wpg:grpSp>
                    </wpg:wgp>
                  </a:graphicData>
                </a:graphic>
              </wp:inline>
            </w:drawing>
          </mc:Choice>
          <mc:Fallback>
            <w:pict>
              <v:group w14:anchorId="287BD00A" id="Group 2052723284" o:spid="_x0000_s1029" style="width:495.8pt;height:285.85pt;mso-position-horizontal-relative:char;mso-position-vertical-relative:line" coordorigin="" coordsize="62968,363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">
                <v:group id="Group 64381219" o:spid="_x0000_s1030" style="position:absolute;width:62968;height:36302" coordorigin="" coordsize="62968,36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">
                  <v:rect id="Rectangle 1446519574" o:spid="_x0000_s1031" style="position:absolute;width:62968;height:36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" filled="f" stroked="f">
                    <v:textbox inset="2.53958mm,2.53958mm,2.53958mm,2.53958mm">
                      <w:txbxContent>
                        <w:p w14:paraId="287BD03B" w14:textId="77777777" w:rsidR="00567EF5" w:rsidRDefault="00567EF5">
                          <w:pPr>
                            <w:textDirection w:val="btLr"/>
                          </w:pPr>
                        </w:p>
                      </w:txbxContent>
                    </v:textbox>
                  </v:rect>
                  <v:roundrect id="Rectangle: Rounded Corners 234153317" o:spid="_x0000_s1032" style="position:absolute;left:15027;top:11;width:12094;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" fillcolor="#4372c3" strokecolor="white [3201]" strokeweight="1pt">
                    <v:stroke startarrowwidth="narrow" startarrowlength="short" endarrowwidth="narrow" endarrowlength="short" joinstyle="miter"/>
                    <v:textbox inset="2.53958mm,2.53958mm,2.53958mm,2.53958mm">
                      <w:txbxContent>
                        <w:p w14:paraId="287BD03C" w14:textId="77777777" w:rsidR="00567EF5" w:rsidRDefault="00567EF5">
                          <w:pPr>
                            <w:textDirection w:val="btLr"/>
                          </w:pPr>
                        </w:p>
                      </w:txbxContent>
                    </v:textbox>
                  </v:roundrect>
                  <v:shape id="Text Box 1701419862" o:spid="_x0000_s1033" type="#_x0000_t202" style="position:absolute;left:15204;top:188;width:11740;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" filled="f" stroked="f">
                    <v:textbox inset=".63472mm,.42292mm,.63472mm,.42292mm">
                      <w:txbxContent>
                        <w:p w14:paraId="287BD03D" w14:textId="77777777" w:rsidR="00567EF5" w:rsidRDefault="006578A3">
                          <w:pPr>
                            <w:spacing w:line="215" w:lineRule="auto"/>
                            <w:jc w:val="center"/>
                            <w:textDirection w:val="btLr"/>
                          </w:pPr>
                          <w:r>
                            <w:rPr>
                              <w:rFonts w:ascii="Calibri" w:eastAsia="Calibri" w:hAnsi="Calibri" w:cs="Calibri"/>
                              <w:color w:val="000000"/>
                              <w:sz w:val="24"/>
                            </w:rPr>
                            <w:t>Articles Identified from databases (n=113)</w:t>
                          </w:r>
                        </w:p>
                      </w:txbxContent>
                    </v:textbox>
                  </v:shape>
                  <v:shape id="Freeform: Shape 655732518" o:spid="_x0000_s1034" style="position:absolute;left:16237;top:6057;width:1209;height:453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" path="m,l,120000r120000,e" filled="f" strokecolor="#345a99" strokeweight="1pt">
                    <v:stroke startarrowwidth="narrow" startarrowlength="short" endarrowwidth="narrow" endarrowlength="short" joinstyle="miter"/>
                    <v:path arrowok="t" o:extrusionok="f"/>
                  </v:shape>
                  <v:roundrect id="Rectangle: Rounded Corners 1218667130" o:spid="_x0000_s1035" style="position:absolute;left:17446;top:7569;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3E" w14:textId="77777777" w:rsidR="00567EF5" w:rsidRDefault="00567EF5">
                          <w:pPr>
                            <w:textDirection w:val="btLr"/>
                          </w:pPr>
                        </w:p>
                      </w:txbxContent>
                    </v:textbox>
                  </v:roundrect>
                  <v:shape id="Text Box 1872031000" o:spid="_x0000_s1036" type="#_x0000_t202" style="position:absolute;left:17623;top:7746;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" filled="f" stroked="f">
                    <v:textbox inset=".42292mm,.28194mm,.42292mm,.28194mm">
                      <w:txbxContent>
                        <w:p w14:paraId="287BD03F" w14:textId="77777777" w:rsidR="00567EF5" w:rsidRDefault="006578A3">
                          <w:pPr>
                            <w:spacing w:line="215" w:lineRule="auto"/>
                            <w:jc w:val="center"/>
                            <w:textDirection w:val="btLr"/>
                          </w:pPr>
                          <w:r>
                            <w:rPr>
                              <w:rFonts w:ascii="Calibri" w:eastAsia="Calibri" w:hAnsi="Calibri" w:cs="Calibri"/>
                              <w:color w:val="000000"/>
                              <w:sz w:val="16"/>
                            </w:rPr>
                            <w:t>Articles Screened (n=85)</w:t>
                          </w:r>
                        </w:p>
                      </w:txbxContent>
                    </v:textbox>
                  </v:shape>
                  <v:shape id="Freeform: Shape 1985084485" o:spid="_x0000_s1037" style="position:absolute;left:16237;top:6057;width:1209;height:12094;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657253495" o:spid="_x0000_s1038" style="position:absolute;left:17446;top:15128;width:9675;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0" w14:textId="77777777" w:rsidR="00567EF5" w:rsidRDefault="00567EF5">
                          <w:pPr>
                            <w:textDirection w:val="btLr"/>
                          </w:pPr>
                        </w:p>
                      </w:txbxContent>
                    </v:textbox>
                  </v:roundrect>
                  <v:shape id="Text Box 1524505689" o:spid="_x0000_s1039" type="#_x0000_t202" style="position:absolute;left:17623;top:15305;width:9321;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" filled="f" stroked="f">
                    <v:textbox inset=".42292mm,.28194mm,.42292mm,.28194mm">
                      <w:txbxContent>
                        <w:p w14:paraId="287BD041" w14:textId="77777777" w:rsidR="00567EF5" w:rsidRDefault="006578A3">
                          <w:pPr>
                            <w:spacing w:line="215" w:lineRule="auto"/>
                            <w:jc w:val="center"/>
                            <w:textDirection w:val="btLr"/>
                          </w:pPr>
                          <w:r>
                            <w:rPr>
                              <w:rFonts w:ascii="Calibri" w:eastAsia="Calibri" w:hAnsi="Calibri" w:cs="Calibri"/>
                              <w:color w:val="000000"/>
                              <w:sz w:val="16"/>
                            </w:rPr>
                            <w:t>Articles included in timeframe check (n=85)</w:t>
                          </w:r>
                        </w:p>
                        <w:p w14:paraId="287BD042" w14:textId="77777777" w:rsidR="00567EF5" w:rsidRDefault="00567EF5">
                          <w:pPr>
                            <w:spacing w:before="55" w:line="215" w:lineRule="auto"/>
                            <w:jc w:val="center"/>
                            <w:textDirection w:val="btLr"/>
                          </w:pPr>
                        </w:p>
                      </w:txbxContent>
                    </v:textbox>
                  </v:shape>
                  <v:shape id="Freeform: Shape 391849172" o:spid="_x0000_s1040" style="position:absolute;left:16237;top:6057;width:1209;height:1965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" path="m,l,120000r120000,e" filled="f" strokecolor="#345a99" strokeweight="1pt">
                    <v:stroke startarrowwidth="narrow" startarrowlength="short" endarrowwidth="narrow" endarrowlength="short" joinstyle="miter"/>
                    <v:path arrowok="t" o:extrusionok="f"/>
                  </v:shape>
                  <v:roundrect id="Rectangle: Rounded Corners 1263480208" o:spid="_x0000_s1041" style="position:absolute;left:17446;top:22686;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3" w14:textId="77777777" w:rsidR="00567EF5" w:rsidRDefault="00567EF5">
                          <w:pPr>
                            <w:textDirection w:val="btLr"/>
                          </w:pPr>
                        </w:p>
                      </w:txbxContent>
                    </v:textbox>
                  </v:roundrect>
                  <v:shape id="Text Box 980049200" o:spid="_x0000_s1042" type="#_x0000_t202" style="position:absolute;left:17623;top:22863;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" filled="f" stroked="f">
                    <v:textbox inset=".42292mm,.28194mm,.42292mm,.28194mm">
                      <w:txbxContent>
                        <w:p w14:paraId="287BD044" w14:textId="77777777" w:rsidR="00567EF5" w:rsidRDefault="006578A3">
                          <w:pPr>
                            <w:spacing w:line="215" w:lineRule="auto"/>
                            <w:jc w:val="center"/>
                            <w:textDirection w:val="btLr"/>
                          </w:pPr>
                          <w:r>
                            <w:rPr>
                              <w:rFonts w:ascii="Calibri" w:eastAsia="Calibri" w:hAnsi="Calibri" w:cs="Calibri"/>
                              <w:color w:val="000000"/>
                              <w:sz w:val="16"/>
                            </w:rPr>
                            <w:t>Articles included in quality check (n=62)</w:t>
                          </w:r>
                        </w:p>
                      </w:txbxContent>
                    </v:textbox>
                  </v:shape>
                  <v:shape id="Freeform: Shape 1751987725" o:spid="_x0000_s1043" style="position:absolute;left:16237;top:6057;width:1209;height:27058;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1343842312" o:spid="_x0000_s1044" style="position:absolute;left:17446;top:30092;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" fillcolor="white [3201]" strokecolor="#4372c3" strokeweight="1pt">
                    <v:fill opacity="59110f"/>
                    <v:stroke startarrowwidth="narrow" startarrowlength="short" endarrowwidth="narrow" endarrowlength="short" joinstyle="miter"/>
                    <v:textbox inset="2.53958mm,2.53958mm,2.53958mm,2.53958mm">
                      <w:txbxContent>
                        <w:p w14:paraId="287BD045" w14:textId="77777777" w:rsidR="00567EF5" w:rsidRDefault="00567EF5">
                          <w:pPr>
                            <w:textDirection w:val="btLr"/>
                          </w:pPr>
                        </w:p>
                      </w:txbxContent>
                    </v:textbox>
                  </v:roundrect>
                  <v:shape id="Text Box 1665216734" o:spid="_x0000_s1045" type="#_x0000_t202" style="position:absolute;left:17623;top:30269;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" filled="f" stroked="f">
                    <v:textbox inset=".42292mm,.28194mm,.42292mm,.28194mm">
                      <w:txbxContent>
                        <w:p w14:paraId="287BD046" w14:textId="77777777" w:rsidR="00567EF5" w:rsidRDefault="006578A3">
                          <w:pPr>
                            <w:spacing w:line="215" w:lineRule="auto"/>
                            <w:jc w:val="center"/>
                            <w:textDirection w:val="btLr"/>
                          </w:pPr>
                          <w:r>
                            <w:rPr>
                              <w:rFonts w:ascii="Calibri" w:eastAsia="Calibri" w:hAnsi="Calibri" w:cs="Calibri"/>
                              <w:color w:val="000000"/>
                              <w:sz w:val="16"/>
                            </w:rPr>
                            <w:t>Articles included in the study (n=40)</w:t>
                          </w:r>
                        </w:p>
                      </w:txbxContent>
                    </v:textbox>
                  </v:shape>
                  <v:roundrect id="Rectangle: Rounded Corners 1265240497" o:spid="_x0000_s1046" style="position:absolute;left:30144;top:11;width:12094;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" fillcolor="#4372c3" strokecolor="white [3201]" strokeweight="1pt">
                    <v:stroke startarrowwidth="narrow" startarrowlength="short" endarrowwidth="narrow" endarrowlength="short" joinstyle="miter"/>
                    <v:textbox inset="2.53958mm,2.53958mm,2.53958mm,2.53958mm">
                      <w:txbxContent>
                        <w:p w14:paraId="287BD047" w14:textId="77777777" w:rsidR="00567EF5" w:rsidRDefault="00567EF5">
                          <w:pPr>
                            <w:textDirection w:val="btLr"/>
                          </w:pPr>
                        </w:p>
                      </w:txbxContent>
                    </v:textbox>
                  </v:roundrect>
                  <v:shape id="Text Box 1340000964" o:spid="_x0000_s1047" type="#_x0000_t202" style="position:absolute;left:30321;top:188;width:11740;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" filled="f" stroked="f">
                    <v:textbox inset=".63472mm,.42292mm,.63472mm,.42292mm">
                      <w:txbxContent>
                        <w:p w14:paraId="287BD048" w14:textId="77777777" w:rsidR="00567EF5" w:rsidRDefault="006578A3">
                          <w:pPr>
                            <w:spacing w:line="215" w:lineRule="auto"/>
                            <w:jc w:val="center"/>
                            <w:textDirection w:val="btLr"/>
                          </w:pPr>
                          <w:r>
                            <w:rPr>
                              <w:rFonts w:ascii="Calibri" w:eastAsia="Calibri" w:hAnsi="Calibri" w:cs="Calibri"/>
                              <w:color w:val="000000"/>
                              <w:sz w:val="24"/>
                            </w:rPr>
                            <w:t>Duplicates Removed (n=28)</w:t>
                          </w:r>
                        </w:p>
                      </w:txbxContent>
                    </v:textbox>
                  </v:shape>
                  <v:shape id="Freeform: Shape 1725974611" o:spid="_x0000_s1048" style="position:absolute;left:31354;top:6057;width:1209;height:453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872526877" o:spid="_x0000_s1049" style="position:absolute;left:32563;top:7569;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" fillcolor="white [3201]" strokecolor="#4372c3" strokeweight="1pt">
                    <v:fill opacity="59110f"/>
                    <v:stroke startarrowwidth="narrow" startarrowlength="short" endarrowwidth="narrow" endarrowlength="short" joinstyle="miter"/>
                    <v:textbox inset="2.53958mm,2.53958mm,2.53958mm,2.53958mm">
                      <w:txbxContent>
                        <w:p w14:paraId="287BD049" w14:textId="77777777" w:rsidR="00567EF5" w:rsidRDefault="00567EF5">
                          <w:pPr>
                            <w:textDirection w:val="btLr"/>
                          </w:pPr>
                        </w:p>
                      </w:txbxContent>
                    </v:textbox>
                  </v:roundrect>
                  <v:shape id="Text Box 1228727751" o:spid="_x0000_s1050" type="#_x0000_t202" style="position:absolute;left:32740;top:7746;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" filled="f" stroked="f">
                    <v:textbox inset=".42292mm,.28194mm,.42292mm,.28194mm">
                      <w:txbxContent>
                        <w:p w14:paraId="287BD04A" w14:textId="77777777" w:rsidR="00567EF5" w:rsidRDefault="006578A3">
                          <w:pPr>
                            <w:spacing w:line="215" w:lineRule="auto"/>
                            <w:jc w:val="center"/>
                            <w:textDirection w:val="btLr"/>
                          </w:pPr>
                          <w:r>
                            <w:rPr>
                              <w:rFonts w:ascii="Calibri" w:eastAsia="Calibri" w:hAnsi="Calibri" w:cs="Calibri"/>
                              <w:color w:val="000000"/>
                              <w:sz w:val="16"/>
                            </w:rPr>
                            <w:t>Articles Excluded (n=0)</w:t>
                          </w:r>
                        </w:p>
                      </w:txbxContent>
                    </v:textbox>
                  </v:shape>
                  <v:shape id="Freeform: Shape 881467453" o:spid="_x0000_s1051" style="position:absolute;left:31354;top:6057;width:1209;height:12094;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" path="m,l,120000r120000,e" filled="f" strokecolor="#345a99" strokeweight="1pt">
                    <v:stroke startarrowwidth="narrow" startarrowlength="short" endarrowwidth="narrow" endarrowlength="short" joinstyle="miter"/>
                    <v:path arrowok="t" o:extrusionok="f"/>
                  </v:shape>
                  <v:roundrect id="Rectangle: Rounded Corners 1881606688" o:spid="_x0000_s1052" style="position:absolute;left:32563;top:15128;width:9675;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" fillcolor="white [3201]" strokecolor="#4372c3" strokeweight="1pt">
                    <v:fill opacity="59110f"/>
                    <v:stroke startarrowwidth="narrow" startarrowlength="short" endarrowwidth="narrow" endarrowlength="short" joinstyle="miter"/>
                    <v:textbox inset="2.53958mm,2.53958mm,2.53958mm,2.53958mm">
                      <w:txbxContent>
                        <w:p w14:paraId="287BD04B" w14:textId="77777777" w:rsidR="00567EF5" w:rsidRDefault="00567EF5">
                          <w:pPr>
                            <w:textDirection w:val="btLr"/>
                          </w:pPr>
                        </w:p>
                      </w:txbxContent>
                    </v:textbox>
                  </v:roundrect>
                  <v:shape id="Text Box 78945145" o:spid="_x0000_s1053" type="#_x0000_t202" style="position:absolute;left:32740;top:15305;width:9321;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" filled="f" stroked="f">
                    <v:textbox inset=".42292mm,.28194mm,.42292mm,.28194mm">
                      <w:txbxContent>
                        <w:p w14:paraId="287BD04C" w14:textId="77777777" w:rsidR="00567EF5" w:rsidRDefault="006578A3">
                          <w:pPr>
                            <w:spacing w:line="215" w:lineRule="auto"/>
                            <w:jc w:val="center"/>
                            <w:textDirection w:val="btLr"/>
                          </w:pPr>
                          <w:r>
                            <w:rPr>
                              <w:rFonts w:ascii="Calibri" w:eastAsia="Calibri" w:hAnsi="Calibri" w:cs="Calibri"/>
                              <w:color w:val="000000"/>
                              <w:sz w:val="16"/>
                            </w:rPr>
                            <w:t>Articles excluded (n=23)</w:t>
                          </w:r>
                        </w:p>
                      </w:txbxContent>
                    </v:textbox>
                  </v:shape>
                  <v:shape id="Freeform: Shape 627657612" o:spid="_x0000_s1054" style="position:absolute;left:31354;top:6057;width:1209;height:1965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" path="m,l,120000r120000,e" filled="f" strokecolor="#345a99" strokeweight="1pt">
                    <v:stroke startarrowwidth="narrow" startarrowlength="short" endarrowwidth="narrow" endarrowlength="short" joinstyle="miter"/>
                    <v:path arrowok="t" o:extrusionok="f"/>
                  </v:shape>
                  <v:roundrect id="Rectangle: Rounded Corners 599881344" o:spid="_x0000_s1055" style="position:absolute;left:32563;top:22686;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D" w14:textId="77777777" w:rsidR="00567EF5" w:rsidRDefault="00567EF5">
                          <w:pPr>
                            <w:textDirection w:val="btLr"/>
                          </w:pPr>
                        </w:p>
                      </w:txbxContent>
                    </v:textbox>
                  </v:roundrect>
                  <v:shape id="Text Box 1476116822" o:spid="_x0000_s1056" type="#_x0000_t202" style="position:absolute;left:32740;top:22863;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" filled="f" stroked="f">
                    <v:textbox inset=".42292mm,.28194mm,.42292mm,.28194mm">
                      <w:txbxContent>
                        <w:p w14:paraId="287BD04E" w14:textId="77777777" w:rsidR="00567EF5" w:rsidRDefault="006578A3">
                          <w:pPr>
                            <w:spacing w:line="215" w:lineRule="auto"/>
                            <w:jc w:val="center"/>
                            <w:textDirection w:val="btLr"/>
                          </w:pPr>
                          <w:r>
                            <w:rPr>
                              <w:rFonts w:ascii="Calibri" w:eastAsia="Calibri" w:hAnsi="Calibri" w:cs="Calibri"/>
                              <w:color w:val="000000"/>
                              <w:sz w:val="16"/>
                            </w:rPr>
                            <w:t>Articles excluded (n=22)</w:t>
                          </w:r>
                        </w:p>
                      </w:txbxContent>
                    </v:textbox>
                  </v:shape>
                </v:group>
                <w10:anchorlock/>
              </v:group>
            </w:pict>
          </mc:Fallback>
        </mc:AlternateContent>
      </w:r>
      <w:r w:rsidR="006578A3" w:rsidRPr="00E837F8">
        <w:rPr>
          <w:noProof/>
        </w:rPr>
        <mc:AlternateContent>
          <mc:Choice Requires="wps">
            <w:drawing>
              <wp:anchor distT="0" distB="0" distL="114300" distR="114300" simplePos="0" relativeHeight="251659264" behindDoc="0" locked="0" layoutInCell="1" hidden="0" allowOverlap="1" wp14:anchorId="287BD00C" wp14:editId="287BD00D">
                <wp:simplePos x="0" y="0"/>
                <wp:positionH relativeFrom="column">
                  <wp:posOffset>2683510</wp:posOffset>
                </wp:positionH>
                <wp:positionV relativeFrom="paragraph">
                  <wp:posOffset>337185</wp:posOffset>
                </wp:positionV>
                <wp:extent cx="397510" cy="57785"/>
                <wp:effectExtent l="0" t="0" r="0" b="0"/>
                <wp:wrapNone/>
                <wp:docPr id="2052723285" name="Arrow: Right 2052723285"/>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4F"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type w14:anchorId="287BD00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52723285" o:spid="_x0000_s1057" type="#_x0000_t13" style="position:absolute;left:0;text-align:left;margin-left:211.3pt;margin-top:26.55pt;width:31.3pt;height:4.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ZXiSw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" adj="20335" fillcolor="#4472c4 [3204]" strokecolor="#1c3052" strokeweight="1pt">
                <v:stroke startarrowwidth="narrow" startarrowlength="short" endarrowwidth="narrow" endarrowlength="short"/>
                <v:textbox inset="2.53958mm,2.53958mm,2.53958mm,2.53958mm">
                  <w:txbxContent>
                    <w:p w14:paraId="287BD04F"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0288" behindDoc="0" locked="0" layoutInCell="1" hidden="0" allowOverlap="1" wp14:anchorId="287BD00E" wp14:editId="287BD00F">
                <wp:simplePos x="0" y="0"/>
                <wp:positionH relativeFrom="column">
                  <wp:posOffset>2730500</wp:posOffset>
                </wp:positionH>
                <wp:positionV relativeFrom="paragraph">
                  <wp:posOffset>1024890</wp:posOffset>
                </wp:positionV>
                <wp:extent cx="397510" cy="57785"/>
                <wp:effectExtent l="0" t="0" r="0" b="0"/>
                <wp:wrapNone/>
                <wp:docPr id="2052723302" name="Arrow: Right 2052723302"/>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0"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0E" id="Arrow: Right 2052723302" o:spid="_x0000_s1058" type="#_x0000_t13" style="position:absolute;left:0;text-align:left;margin-left:215pt;margin-top:80.7pt;width:31.3pt;height:4.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BZtTA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" adj="20335" fillcolor="#4472c4 [3204]" strokecolor="#1c3052" strokeweight="1pt">
                <v:stroke startarrowwidth="narrow" startarrowlength="short" endarrowwidth="narrow" endarrowlength="short"/>
                <v:textbox inset="2.53958mm,2.53958mm,2.53958mm,2.53958mm">
                  <w:txbxContent>
                    <w:p w14:paraId="287BD050"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1312" behindDoc="0" locked="0" layoutInCell="1" hidden="0" allowOverlap="1" wp14:anchorId="287BD010" wp14:editId="287BD011">
                <wp:simplePos x="0" y="0"/>
                <wp:positionH relativeFrom="column">
                  <wp:posOffset>2736215</wp:posOffset>
                </wp:positionH>
                <wp:positionV relativeFrom="paragraph">
                  <wp:posOffset>1787525</wp:posOffset>
                </wp:positionV>
                <wp:extent cx="397510" cy="57785"/>
                <wp:effectExtent l="0" t="0" r="0" b="0"/>
                <wp:wrapNone/>
                <wp:docPr id="2052723297" name="Arrow: Right 2052723297"/>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1"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0" id="Arrow: Right 2052723297" o:spid="_x0000_s1059" type="#_x0000_t13" style="position:absolute;left:0;text-align:left;margin-left:215.45pt;margin-top:140.75pt;width:31.3pt;height: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H51TA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" adj="20335" fillcolor="#4472c4 [3204]" strokecolor="#1c3052" strokeweight="1pt">
                <v:stroke startarrowwidth="narrow" startarrowlength="short" endarrowwidth="narrow" endarrowlength="short"/>
                <v:textbox inset="2.53958mm,2.53958mm,2.53958mm,2.53958mm">
                  <w:txbxContent>
                    <w:p w14:paraId="287BD051"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2336" behindDoc="0" locked="0" layoutInCell="1" hidden="0" allowOverlap="1" wp14:anchorId="287BD012" wp14:editId="287BD013">
                <wp:simplePos x="0" y="0"/>
                <wp:positionH relativeFrom="column">
                  <wp:posOffset>2728595</wp:posOffset>
                </wp:positionH>
                <wp:positionV relativeFrom="paragraph">
                  <wp:posOffset>2552065</wp:posOffset>
                </wp:positionV>
                <wp:extent cx="397510" cy="57785"/>
                <wp:effectExtent l="0" t="0" r="0" b="0"/>
                <wp:wrapNone/>
                <wp:docPr id="2052723303" name="Arrow: Right 2052723303"/>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2"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2" id="Arrow: Right 2052723303" o:spid="_x0000_s1060" type="#_x0000_t13" style="position:absolute;left:0;text-align:left;margin-left:214.85pt;margin-top:200.95pt;width:31.3pt;height:4.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" adj="20335" fillcolor="#4472c4 [3204]" strokecolor="#1c3052" strokeweight="1pt">
                <v:stroke startarrowwidth="narrow" startarrowlength="short" endarrowwidth="narrow" endarrowlength="short"/>
                <v:textbox inset="2.53958mm,2.53958mm,2.53958mm,2.53958mm">
                  <w:txbxContent>
                    <w:p w14:paraId="287BD052"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3360" behindDoc="0" locked="0" layoutInCell="1" hidden="0" allowOverlap="1" wp14:anchorId="287BD014" wp14:editId="287BD015">
                <wp:simplePos x="0" y="0"/>
                <wp:positionH relativeFrom="column">
                  <wp:posOffset>2127250</wp:posOffset>
                </wp:positionH>
                <wp:positionV relativeFrom="paragraph">
                  <wp:posOffset>556260</wp:posOffset>
                </wp:positionV>
                <wp:extent cx="57785" cy="196850"/>
                <wp:effectExtent l="0" t="0" r="0" b="0"/>
                <wp:wrapNone/>
                <wp:docPr id="2052723290" name="Arrow: Down 2052723290"/>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3"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type w14:anchorId="287BD0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52723290" o:spid="_x0000_s1061" type="#_x0000_t67" style="position:absolute;left:0;text-align:left;margin-left:167.5pt;margin-top:43.8pt;width:4.55pt;height:1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3"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4384" behindDoc="0" locked="0" layoutInCell="1" hidden="0" allowOverlap="1" wp14:anchorId="287BD016" wp14:editId="287BD017">
                <wp:simplePos x="0" y="0"/>
                <wp:positionH relativeFrom="column">
                  <wp:posOffset>2166620</wp:posOffset>
                </wp:positionH>
                <wp:positionV relativeFrom="paragraph">
                  <wp:posOffset>1304925</wp:posOffset>
                </wp:positionV>
                <wp:extent cx="57785" cy="196850"/>
                <wp:effectExtent l="0" t="0" r="0" b="0"/>
                <wp:wrapNone/>
                <wp:docPr id="2052723291" name="Arrow: Down 2052723291"/>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4"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6" id="Arrow: Down 2052723291" o:spid="_x0000_s1062" type="#_x0000_t67" style="position:absolute;left:0;text-align:left;margin-left:170.6pt;margin-top:102.75pt;width:4.55pt;height:1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4"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5408" behindDoc="0" locked="0" layoutInCell="1" hidden="0" allowOverlap="1" wp14:anchorId="287BD018" wp14:editId="287BD019">
                <wp:simplePos x="0" y="0"/>
                <wp:positionH relativeFrom="column">
                  <wp:posOffset>2190114</wp:posOffset>
                </wp:positionH>
                <wp:positionV relativeFrom="paragraph">
                  <wp:posOffset>2091055</wp:posOffset>
                </wp:positionV>
                <wp:extent cx="57785" cy="196850"/>
                <wp:effectExtent l="0" t="0" r="0" b="0"/>
                <wp:wrapNone/>
                <wp:docPr id="2052723304" name="Arrow: Down 2052723304"/>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5"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8" id="Arrow: Down 2052723304" o:spid="_x0000_s1063" type="#_x0000_t67" style="position:absolute;left:0;text-align:left;margin-left:172.45pt;margin-top:164.65pt;width:4.55pt;height:1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" adj="18956" fillcolor="#4472c4 [3204]" strokecolor="#1c3052" strokeweight="1pt">
                <v:stroke startarrowwidth="narrow" startarrowlength="short" endarrowwidth="narrow" endarrowlength="short"/>
                <v:textbox inset="2.53958mm,2.53958mm,2.53958mm,2.53958mm">
                  <w:txbxContent>
                    <w:p w14:paraId="287BD055"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6432" behindDoc="0" locked="0" layoutInCell="1" hidden="0" allowOverlap="1" wp14:anchorId="287BD01A" wp14:editId="287BD01B">
                <wp:simplePos x="0" y="0"/>
                <wp:positionH relativeFrom="column">
                  <wp:posOffset>2206625</wp:posOffset>
                </wp:positionH>
                <wp:positionV relativeFrom="paragraph">
                  <wp:posOffset>2861310</wp:posOffset>
                </wp:positionV>
                <wp:extent cx="57785" cy="196850"/>
                <wp:effectExtent l="0" t="0" r="0" b="0"/>
                <wp:wrapNone/>
                <wp:docPr id="2052723296" name="Arrow: Down 2052723296"/>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6"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A" id="Arrow: Down 2052723296" o:spid="_x0000_s1064" type="#_x0000_t67" style="position:absolute;left:0;text-align:left;margin-left:173.75pt;margin-top:225.3pt;width:4.55pt;height:1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6"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7456" behindDoc="0" locked="0" layoutInCell="1" hidden="0" allowOverlap="1" wp14:anchorId="287BD01C" wp14:editId="48C234DE">
                <wp:simplePos x="0" y="0"/>
                <wp:positionH relativeFrom="column">
                  <wp:posOffset>113966</wp:posOffset>
                </wp:positionH>
                <wp:positionV relativeFrom="paragraph">
                  <wp:posOffset>41577</wp:posOffset>
                </wp:positionV>
                <wp:extent cx="1134745" cy="654016"/>
                <wp:effectExtent l="0" t="0" r="0" b="0"/>
                <wp:wrapNone/>
                <wp:docPr id="2052723299" name="Rectangle 2052723299"/>
                <wp:cNvGraphicFramePr/>
                <a:graphic xmlns:a="http://schemas.openxmlformats.org/drawingml/2006/main">
                  <a:graphicData uri="http://schemas.microsoft.com/office/word/2010/wordprocessingShape">
                    <wps:wsp>
                      <wps:cNvSpPr/>
                      <wps:spPr>
                        <a:xfrm>
                          <a:off x="4784978" y="3459342"/>
                          <a:ext cx="1122045" cy="641316"/>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7" w14:textId="77777777" w:rsidR="00567EF5" w:rsidRDefault="006578A3">
                            <w:pPr>
                              <w:textDirection w:val="btLr"/>
                            </w:pPr>
                            <w:r>
                              <w:rPr>
                                <w:color w:val="000000"/>
                              </w:rPr>
                              <w:t>Identification</w:t>
                            </w:r>
                          </w:p>
                        </w:txbxContent>
                      </wps:txbx>
                      <wps:bodyPr spcFirstLastPara="1" wrap="square" lIns="91425" tIns="45700" rIns="91425" bIns="45700" anchor="t" anchorCtr="0">
                        <a:noAutofit/>
                      </wps:bodyPr>
                    </wps:wsp>
                  </a:graphicData>
                </a:graphic>
              </wp:anchor>
            </w:drawing>
          </mc:Choice>
          <mc:Fallback>
            <w:pict>
              <v:rect w14:anchorId="287BD01C" id="Rectangle 2052723299" o:spid="_x0000_s1065" style="position:absolute;left:0;text-align:left;margin-left:8.95pt;margin-top:3.25pt;width:89.35pt;height:51.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" fillcolor="white [3201]" strokecolor="#4472c4 [3204]" strokeweight="1pt">
                <v:stroke startarrowwidth="narrow" startarrowlength="short" endarrowwidth="narrow" endarrowlength="short"/>
                <v:textbox inset="2.53958mm,1.2694mm,2.53958mm,1.2694mm">
                  <w:txbxContent>
                    <w:p w14:paraId="287BD057" w14:textId="77777777" w:rsidR="00567EF5" w:rsidRDefault="006578A3">
                      <w:pPr>
                        <w:textDirection w:val="btLr"/>
                      </w:pPr>
                      <w:r>
                        <w:rPr>
                          <w:color w:val="000000"/>
                        </w:rPr>
                        <w:t>Identification</w:t>
                      </w:r>
                    </w:p>
                  </w:txbxContent>
                </v:textbox>
              </v:rect>
            </w:pict>
          </mc:Fallback>
        </mc:AlternateContent>
      </w:r>
      <w:r w:rsidR="006578A3" w:rsidRPr="00E837F8">
        <w:rPr>
          <w:noProof/>
        </w:rPr>
        <mc:AlternateContent>
          <mc:Choice Requires="wps">
            <w:drawing>
              <wp:anchor distT="0" distB="0" distL="114300" distR="114300" simplePos="0" relativeHeight="251670528" behindDoc="0" locked="0" layoutInCell="1" hidden="0" allowOverlap="1" wp14:anchorId="287BD022" wp14:editId="287BD023">
                <wp:simplePos x="0" y="0"/>
                <wp:positionH relativeFrom="column">
                  <wp:posOffset>101920</wp:posOffset>
                </wp:positionH>
                <wp:positionV relativeFrom="paragraph">
                  <wp:posOffset>3611563</wp:posOffset>
                </wp:positionV>
                <wp:extent cx="3796665" cy="344805"/>
                <wp:effectExtent l="0" t="0" r="0" b="0"/>
                <wp:wrapNone/>
                <wp:docPr id="2052723301" name="Rectangle 2052723301"/>
                <wp:cNvGraphicFramePr/>
                <a:graphic xmlns:a="http://schemas.openxmlformats.org/drawingml/2006/main">
                  <a:graphicData uri="http://schemas.microsoft.com/office/word/2010/wordprocessingShape">
                    <wps:wsp>
                      <wps:cNvSpPr/>
                      <wps:spPr>
                        <a:xfrm>
                          <a:off x="3452430" y="3612360"/>
                          <a:ext cx="3787140" cy="335280"/>
                        </a:xfrm>
                        <a:prstGeom prst="rect">
                          <a:avLst/>
                        </a:prstGeom>
                        <a:noFill/>
                        <a:ln>
                          <a:noFill/>
                        </a:ln>
                      </wps:spPr>
                      <wps:txbx>
                        <w:txbxContent>
                          <w:p w14:paraId="287BD05C" w14:textId="77777777" w:rsidR="00567EF5" w:rsidRDefault="006578A3">
                            <w:pPr>
                              <w:spacing w:line="360" w:lineRule="auto"/>
                              <w:jc w:val="both"/>
                              <w:textDirection w:val="btLr"/>
                            </w:pPr>
                            <w:r>
                              <w:rPr>
                                <w:rFonts w:ascii="Arial" w:eastAsia="Arial" w:hAnsi="Arial" w:cs="Arial"/>
                                <w:color w:val="000000"/>
                              </w:rPr>
                              <w:t>Source(s): Authors' Work.</w:t>
                            </w:r>
                          </w:p>
                          <w:p w14:paraId="287BD05D" w14:textId="77777777" w:rsidR="00567EF5" w:rsidRDefault="00567EF5">
                            <w:pPr>
                              <w:textDirection w:val="btLr"/>
                            </w:pPr>
                          </w:p>
                        </w:txbxContent>
                      </wps:txbx>
                      <wps:bodyPr spcFirstLastPara="1" wrap="square" lIns="91425" tIns="45700" rIns="91425" bIns="45700" anchor="t" anchorCtr="0">
                        <a:noAutofit/>
                      </wps:bodyPr>
                    </wps:wsp>
                  </a:graphicData>
                </a:graphic>
              </wp:anchor>
            </w:drawing>
          </mc:Choice>
          <mc:Fallback>
            <w:pict>
              <v:rect w14:anchorId="287BD022" id="Rectangle 2052723301" o:spid="_x0000_s1066" style="position:absolute;left:0;text-align:left;margin-left:8.05pt;margin-top:284.4pt;width:298.95pt;height:27.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" filled="f" stroked="f">
                <v:textbox inset="2.53958mm,1.2694mm,2.53958mm,1.2694mm">
                  <w:txbxContent>
                    <w:p w14:paraId="287BD05C" w14:textId="77777777" w:rsidR="00567EF5" w:rsidRDefault="006578A3">
                      <w:pPr>
                        <w:spacing w:line="360" w:lineRule="auto"/>
                        <w:jc w:val="both"/>
                        <w:textDirection w:val="btLr"/>
                      </w:pPr>
                      <w:r>
                        <w:rPr>
                          <w:rFonts w:ascii="Arial" w:eastAsia="Arial" w:hAnsi="Arial" w:cs="Arial"/>
                          <w:color w:val="000000"/>
                        </w:rPr>
                        <w:t>Source(s): Authors' Work.</w:t>
                      </w:r>
                    </w:p>
                    <w:p w14:paraId="287BD05D" w14:textId="77777777" w:rsidR="00567EF5" w:rsidRDefault="00567EF5">
                      <w:pPr>
                        <w:textDirection w:val="btLr"/>
                      </w:pPr>
                    </w:p>
                  </w:txbxContent>
                </v:textbox>
              </v:rect>
            </w:pict>
          </mc:Fallback>
        </mc:AlternateContent>
      </w:r>
    </w:p>
    <w:p w14:paraId="287BCEFF" w14:textId="77777777" w:rsidR="00567EF5" w:rsidRPr="00E837F8" w:rsidRDefault="00567EF5">
      <w:pPr>
        <w:spacing w:line="360" w:lineRule="auto"/>
        <w:jc w:val="both"/>
        <w:rPr>
          <w:rFonts w:ascii="Arial" w:eastAsia="Arial" w:hAnsi="Arial" w:cs="Arial"/>
        </w:rPr>
      </w:pPr>
    </w:p>
    <w:p w14:paraId="41A7730E" w14:textId="7A121F08" w:rsidR="00DF0DEF" w:rsidRPr="00E837F8" w:rsidRDefault="00DF0DEF" w:rsidP="00DF0DEF">
      <w:pPr>
        <w:pStyle w:val="Caption"/>
        <w:rPr>
          <w:rFonts w:ascii="Times New Roman" w:eastAsia="Arial" w:hAnsi="Times New Roman" w:cs="Times New Roman"/>
          <w:sz w:val="24"/>
          <w:szCs w:val="24"/>
        </w:rPr>
      </w:pPr>
      <w:bookmarkStart w:id="17" w:name="_Toc225491096"/>
      <w:r w:rsidRPr="00E837F8">
        <w:rPr>
          <w:rFonts w:ascii="Times New Roman" w:hAnsi="Times New Roman" w:cs="Times New Roman"/>
          <w:sz w:val="24"/>
          <w:szCs w:val="24"/>
        </w:rPr>
        <w:t xml:space="preserve">Figure </w:t>
      </w:r>
      <w:r w:rsidRPr="00E837F8">
        <w:rPr>
          <w:rFonts w:ascii="Times New Roman" w:hAnsi="Times New Roman" w:cs="Times New Roman"/>
          <w:sz w:val="24"/>
          <w:szCs w:val="24"/>
        </w:rPr>
        <w:fldChar w:fldCharType="begin"/>
      </w:r>
      <w:r w:rsidRPr="00E837F8">
        <w:rPr>
          <w:rFonts w:ascii="Times New Roman" w:hAnsi="Times New Roman" w:cs="Times New Roman"/>
          <w:sz w:val="24"/>
          <w:szCs w:val="24"/>
        </w:rPr>
        <w:instrText xml:space="preserve"> SEQ Figure \* ARABIC </w:instrText>
      </w:r>
      <w:r w:rsidRPr="00E837F8">
        <w:rPr>
          <w:rFonts w:ascii="Times New Roman" w:hAnsi="Times New Roman" w:cs="Times New Roman"/>
          <w:sz w:val="24"/>
          <w:szCs w:val="24"/>
        </w:rPr>
        <w:fldChar w:fldCharType="separate"/>
      </w:r>
      <w:r w:rsidRPr="00E837F8">
        <w:rPr>
          <w:rFonts w:ascii="Times New Roman" w:hAnsi="Times New Roman" w:cs="Times New Roman"/>
          <w:noProof/>
          <w:sz w:val="24"/>
          <w:szCs w:val="24"/>
        </w:rPr>
        <w:t>1</w:t>
      </w:r>
      <w:r w:rsidRPr="00E837F8">
        <w:rPr>
          <w:rFonts w:ascii="Times New Roman" w:hAnsi="Times New Roman" w:cs="Times New Roman"/>
          <w:sz w:val="24"/>
          <w:szCs w:val="24"/>
        </w:rPr>
        <w:fldChar w:fldCharType="end"/>
      </w:r>
      <w:r w:rsidRPr="00E837F8">
        <w:rPr>
          <w:rFonts w:ascii="Times New Roman" w:hAnsi="Times New Roman" w:cs="Times New Roman"/>
          <w:sz w:val="24"/>
          <w:szCs w:val="24"/>
        </w:rPr>
        <w:t xml:space="preserve"> : Prisma mapping of the research.</w:t>
      </w:r>
      <w:bookmarkEnd w:id="17"/>
    </w:p>
    <w:p w14:paraId="287BCF00" w14:textId="77777777" w:rsidR="00567EF5" w:rsidRPr="00E837F8" w:rsidRDefault="00567EF5">
      <w:pPr>
        <w:spacing w:line="360" w:lineRule="auto"/>
        <w:jc w:val="both"/>
        <w:rPr>
          <w:sz w:val="24"/>
          <w:szCs w:val="24"/>
        </w:rPr>
      </w:pPr>
    </w:p>
    <w:p w14:paraId="287BCF01" w14:textId="77777777" w:rsidR="00567EF5" w:rsidRPr="00E837F8" w:rsidRDefault="00567EF5"/>
    <w:p w14:paraId="287BCF02" w14:textId="77777777" w:rsidR="00567EF5" w:rsidRPr="00E837F8" w:rsidRDefault="006578A3">
      <w:pPr>
        <w:pStyle w:val="Heading2"/>
        <w:spacing w:after="0" w:line="360" w:lineRule="auto"/>
        <w:rPr>
          <w:rFonts w:ascii="Times New Roman" w:eastAsia="Times New Roman" w:hAnsi="Times New Roman" w:cs="Times New Roman"/>
          <w:b/>
          <w:bCs/>
          <w:color w:val="000000"/>
          <w:sz w:val="24"/>
          <w:szCs w:val="24"/>
        </w:rPr>
      </w:pPr>
      <w:bookmarkStart w:id="18" w:name="_Toc225519596"/>
      <w:r w:rsidRPr="00E837F8">
        <w:rPr>
          <w:rFonts w:ascii="Times New Roman" w:eastAsia="Times New Roman" w:hAnsi="Times New Roman" w:cs="Times New Roman"/>
          <w:b/>
          <w:bCs/>
          <w:color w:val="000000"/>
          <w:sz w:val="24"/>
          <w:szCs w:val="24"/>
        </w:rPr>
        <w:lastRenderedPageBreak/>
        <w:t>3.7 Data analysis: Thematic analysis</w:t>
      </w:r>
      <w:bookmarkEnd w:id="18"/>
    </w:p>
    <w:p w14:paraId="287BCF03" w14:textId="77777777" w:rsidR="00567EF5" w:rsidRPr="00E837F8" w:rsidRDefault="006578A3">
      <w:pPr>
        <w:spacing w:line="360" w:lineRule="auto"/>
        <w:jc w:val="both"/>
        <w:rPr>
          <w:sz w:val="24"/>
          <w:szCs w:val="24"/>
        </w:rPr>
      </w:pPr>
      <w:r w:rsidRPr="00E837F8">
        <w:rPr>
          <w:sz w:val="24"/>
          <w:szCs w:val="24"/>
        </w:rPr>
        <w:t>Empirical research published between 2015 and 2026 reveals that retained earnings have a significant impact on organisations' investment behavior, internal capital allocation, and overall capital budgeting decisions. Retained earnings have regularly emerged as a crucial source of financial flexibility across a wide range of institutional contexts, industries, and organisational structures, particularly for enterprises dealing with information asymmetry, financing frictions, or increased uncertainty.</w:t>
      </w:r>
    </w:p>
    <w:p w14:paraId="287BCF04" w14:textId="77777777" w:rsidR="00567EF5" w:rsidRPr="00E837F8" w:rsidRDefault="006578A3">
      <w:pPr>
        <w:pStyle w:val="Heading3"/>
        <w:rPr>
          <w:rFonts w:ascii="Times New Roman" w:eastAsia="Times New Roman" w:hAnsi="Times New Roman" w:cs="Times New Roman"/>
          <w:b/>
          <w:bCs/>
          <w:color w:val="000000"/>
          <w:sz w:val="24"/>
          <w:szCs w:val="24"/>
        </w:rPr>
      </w:pPr>
      <w:bookmarkStart w:id="19" w:name="_Toc225519597"/>
      <w:r w:rsidRPr="00E837F8">
        <w:rPr>
          <w:rFonts w:ascii="Times New Roman" w:eastAsia="Times New Roman" w:hAnsi="Times New Roman" w:cs="Times New Roman"/>
          <w:b/>
          <w:bCs/>
          <w:color w:val="000000"/>
          <w:sz w:val="24"/>
          <w:szCs w:val="24"/>
        </w:rPr>
        <w:t>3.7.1 Evidence on retained earnings and investment behaviour</w:t>
      </w:r>
      <w:bookmarkEnd w:id="19"/>
    </w:p>
    <w:p w14:paraId="287BCF05" w14:textId="77777777" w:rsidR="00567EF5" w:rsidRPr="00E837F8" w:rsidRDefault="006578A3">
      <w:pPr>
        <w:spacing w:line="360" w:lineRule="auto"/>
        <w:jc w:val="both"/>
        <w:rPr>
          <w:b/>
          <w:bCs/>
          <w:sz w:val="24"/>
          <w:szCs w:val="24"/>
        </w:rPr>
      </w:pPr>
      <w:r w:rsidRPr="00E837F8">
        <w:rPr>
          <w:b/>
          <w:bCs/>
          <w:sz w:val="24"/>
          <w:szCs w:val="24"/>
        </w:rPr>
        <w:t>i. Investment cash flow sensitivity and reliance on retained earnings</w:t>
      </w:r>
    </w:p>
    <w:p w14:paraId="287BCF06" w14:textId="77777777" w:rsidR="00567EF5" w:rsidRPr="00E837F8" w:rsidRDefault="006578A3">
      <w:pPr>
        <w:spacing w:line="360" w:lineRule="auto"/>
        <w:jc w:val="both"/>
        <w:rPr>
          <w:sz w:val="24"/>
          <w:szCs w:val="24"/>
        </w:rPr>
      </w:pPr>
      <w:r w:rsidRPr="00E837F8">
        <w:rPr>
          <w:sz w:val="24"/>
          <w:szCs w:val="24"/>
        </w:rPr>
        <w:t xml:space="preserve">Retained earnings have a significant impact on investment decisions, particularly among financially limited enterprises. According to Lewellen and Lewellen (2016), constrained firms invest $0.63 for every additional dollar of cash flow, compared to $0.32 for unconstrained enterprises, indicating strong cash flow sensitivity. Similar tendencies emerge in emerging markets: Riaz </w:t>
      </w:r>
      <w:r w:rsidRPr="00E837F8">
        <w:rPr>
          <w:i/>
          <w:iCs/>
          <w:sz w:val="24"/>
          <w:szCs w:val="24"/>
        </w:rPr>
        <w:t>et al.</w:t>
      </w:r>
      <w:r w:rsidRPr="00E837F8">
        <w:rPr>
          <w:sz w:val="24"/>
          <w:szCs w:val="24"/>
        </w:rPr>
        <w:t xml:space="preserve"> (2016) find that investment-cash flow sensitivity increased with financial limitations in Pakistani enterprises, while Guizani and Ajmi (2021) show that contractionary monetary policy increases reliance on internal funds. Small and medium-sized enterprises (SMEs) and businesses in financially disadvantaged countries depend heavily on retained earnings.</w:t>
      </w:r>
    </w:p>
    <w:p w14:paraId="287BCF07" w14:textId="77777777" w:rsidR="00567EF5" w:rsidRPr="00E837F8" w:rsidRDefault="006578A3">
      <w:pPr>
        <w:spacing w:line="360" w:lineRule="auto"/>
        <w:jc w:val="both"/>
        <w:rPr>
          <w:b/>
          <w:bCs/>
          <w:sz w:val="24"/>
          <w:szCs w:val="24"/>
        </w:rPr>
      </w:pPr>
      <w:r w:rsidRPr="00E837F8">
        <w:rPr>
          <w:b/>
          <w:bCs/>
          <w:sz w:val="24"/>
          <w:szCs w:val="24"/>
        </w:rPr>
        <w:t>ii. Internal funds and technique selection for long-term project financing</w:t>
      </w:r>
    </w:p>
    <w:p w14:paraId="287BCF08" w14:textId="77777777" w:rsidR="00567EF5" w:rsidRPr="00E837F8" w:rsidRDefault="006578A3">
      <w:pPr>
        <w:spacing w:line="360" w:lineRule="auto"/>
        <w:jc w:val="both"/>
        <w:rPr>
          <w:sz w:val="24"/>
          <w:szCs w:val="24"/>
        </w:rPr>
      </w:pPr>
      <w:r w:rsidRPr="00E837F8">
        <w:rPr>
          <w:sz w:val="24"/>
          <w:szCs w:val="24"/>
        </w:rPr>
        <w:t>Internal funds influence the sophistication of capital budgeting approaches. Ermasova (2020) discovers that organisations with abundant internal finances employ complex methodologies such as NPV and IRR, whereas limited enterprises rely on simpler, liquidity-focused measures such as payback time. Becker (2015) argues that internal funding capacity improves analytical rigor and promotes long-term R&amp;D in the face of capital market inefficiencies. However, direct empirical linkages between method selection and internal fund levels are still restricted.</w:t>
      </w:r>
    </w:p>
    <w:p w14:paraId="287BCF09" w14:textId="77777777" w:rsidR="00567EF5" w:rsidRPr="00E837F8" w:rsidRDefault="006578A3">
      <w:pPr>
        <w:spacing w:line="360" w:lineRule="auto"/>
        <w:jc w:val="both"/>
        <w:rPr>
          <w:b/>
          <w:bCs/>
          <w:sz w:val="24"/>
          <w:szCs w:val="24"/>
        </w:rPr>
      </w:pPr>
      <w:r w:rsidRPr="00E837F8">
        <w:rPr>
          <w:b/>
          <w:bCs/>
          <w:sz w:val="24"/>
          <w:szCs w:val="24"/>
        </w:rPr>
        <w:t>iii. Industry characteristics and the reliance on retained earnings</w:t>
      </w:r>
    </w:p>
    <w:p w14:paraId="287BCF0A" w14:textId="77777777" w:rsidR="00567EF5" w:rsidRPr="00E837F8" w:rsidRDefault="006578A3">
      <w:pPr>
        <w:spacing w:line="360" w:lineRule="auto"/>
        <w:jc w:val="both"/>
        <w:rPr>
          <w:sz w:val="24"/>
          <w:szCs w:val="24"/>
        </w:rPr>
      </w:pPr>
      <w:r w:rsidRPr="00E837F8">
        <w:rPr>
          <w:sz w:val="24"/>
          <w:szCs w:val="24"/>
        </w:rPr>
        <w:t xml:space="preserve">Industry variables also influence the dependence on retained earnings. Alam, Uddin and Yazdifar (2019) found that emerging market enterprises primarily employ internal funding for R&amp;D. A The World Bank Enterprise Survey of 135 developing economies reveals that unconstrained SMEs "specialize the funding in retained earnings" (Chit and Rizov, 2024). Therefore, the organisation size and market dynamics may change the perception towards capital budgeting decisions by retained earnings. </w:t>
      </w:r>
    </w:p>
    <w:p w14:paraId="287BCF0B" w14:textId="77777777" w:rsidR="00567EF5" w:rsidRPr="00E837F8" w:rsidRDefault="006578A3">
      <w:pPr>
        <w:pStyle w:val="Heading3"/>
        <w:rPr>
          <w:rFonts w:ascii="Times New Roman" w:eastAsia="Times New Roman" w:hAnsi="Times New Roman" w:cs="Times New Roman"/>
          <w:b/>
          <w:bCs/>
          <w:color w:val="000000"/>
          <w:sz w:val="24"/>
          <w:szCs w:val="24"/>
        </w:rPr>
      </w:pPr>
      <w:bookmarkStart w:id="20" w:name="_Toc225519598"/>
      <w:r w:rsidRPr="00E837F8">
        <w:rPr>
          <w:rFonts w:ascii="Times New Roman" w:eastAsia="Times New Roman" w:hAnsi="Times New Roman" w:cs="Times New Roman"/>
          <w:b/>
          <w:bCs/>
          <w:color w:val="000000"/>
          <w:sz w:val="24"/>
          <w:szCs w:val="24"/>
        </w:rPr>
        <w:lastRenderedPageBreak/>
        <w:t>3.7.2 Allocation of  Retained Earnings by organisations</w:t>
      </w:r>
      <w:bookmarkEnd w:id="20"/>
    </w:p>
    <w:p w14:paraId="287BCF0C" w14:textId="77777777" w:rsidR="00567EF5" w:rsidRPr="00E837F8" w:rsidRDefault="006578A3">
      <w:pPr>
        <w:spacing w:line="360" w:lineRule="auto"/>
        <w:jc w:val="both"/>
        <w:rPr>
          <w:b/>
          <w:bCs/>
          <w:sz w:val="24"/>
          <w:szCs w:val="24"/>
        </w:rPr>
      </w:pPr>
      <w:r w:rsidRPr="00E837F8">
        <w:rPr>
          <w:b/>
          <w:bCs/>
          <w:sz w:val="24"/>
          <w:szCs w:val="24"/>
        </w:rPr>
        <w:t>i. Retained earnings as a driver of long-term investment</w:t>
      </w:r>
    </w:p>
    <w:p w14:paraId="287BCF0D" w14:textId="77777777" w:rsidR="00567EF5" w:rsidRPr="00E837F8" w:rsidRDefault="006578A3">
      <w:pPr>
        <w:spacing w:line="360" w:lineRule="auto"/>
        <w:jc w:val="both"/>
        <w:rPr>
          <w:sz w:val="24"/>
          <w:szCs w:val="24"/>
        </w:rPr>
      </w:pPr>
      <w:r w:rsidRPr="00E837F8">
        <w:rPr>
          <w:sz w:val="24"/>
          <w:szCs w:val="24"/>
        </w:rPr>
        <w:t xml:space="preserve">Retained earnings are commonly utilised to fund long-term innovation. According to Romero </w:t>
      </w:r>
      <w:r w:rsidRPr="00E837F8">
        <w:rPr>
          <w:i/>
          <w:iCs/>
          <w:sz w:val="24"/>
          <w:szCs w:val="24"/>
        </w:rPr>
        <w:t xml:space="preserve">et al. </w:t>
      </w:r>
      <w:r w:rsidRPr="00E837F8">
        <w:rPr>
          <w:sz w:val="24"/>
          <w:szCs w:val="24"/>
        </w:rPr>
        <w:t>(2026), enterprises prefer internal funds for innovation due to lower costs and risk compared to external capital. SMEs use pecking order reasoning, reinvesting profits in R&amp;D and generating a self-reinforcing cycle in which innovation produces additional profits, which are reinvested. However, utilization of retained earnings in the long term will relieve the financial burdens in the organizations.</w:t>
      </w:r>
    </w:p>
    <w:p w14:paraId="287BCF0E" w14:textId="77777777" w:rsidR="00567EF5" w:rsidRPr="00E837F8" w:rsidRDefault="006578A3">
      <w:pPr>
        <w:spacing w:line="360" w:lineRule="auto"/>
        <w:jc w:val="both"/>
        <w:rPr>
          <w:b/>
          <w:bCs/>
          <w:sz w:val="24"/>
          <w:szCs w:val="24"/>
        </w:rPr>
      </w:pPr>
      <w:r w:rsidRPr="00E837F8">
        <w:rPr>
          <w:b/>
          <w:bCs/>
          <w:sz w:val="24"/>
          <w:szCs w:val="24"/>
        </w:rPr>
        <w:t>ii. Internal Funds and Operational Investment Decisions</w:t>
      </w:r>
    </w:p>
    <w:p w14:paraId="287BCF0F" w14:textId="77777777" w:rsidR="00567EF5" w:rsidRPr="00E837F8" w:rsidRDefault="006578A3">
      <w:pPr>
        <w:spacing w:line="360" w:lineRule="auto"/>
        <w:jc w:val="both"/>
        <w:rPr>
          <w:sz w:val="24"/>
          <w:szCs w:val="24"/>
        </w:rPr>
      </w:pPr>
      <w:r w:rsidRPr="00E837F8">
        <w:rPr>
          <w:sz w:val="24"/>
          <w:szCs w:val="24"/>
        </w:rPr>
        <w:t xml:space="preserve">Internal finances also help make operational investment decisions. Roper and Turner (2020) discover that organisations with more retained earnings, or "financial slack," sustain innovation during crises, whereas restricted firms reduce R&amp;D and prioritize short-term survival. Perez-Alaniz </w:t>
      </w:r>
      <w:r w:rsidRPr="00E837F8">
        <w:rPr>
          <w:i/>
          <w:iCs/>
          <w:sz w:val="24"/>
          <w:szCs w:val="24"/>
        </w:rPr>
        <w:t>et al.</w:t>
      </w:r>
      <w:r w:rsidRPr="00E837F8">
        <w:rPr>
          <w:sz w:val="24"/>
          <w:szCs w:val="24"/>
        </w:rPr>
        <w:t xml:space="preserve"> (2023) demonstrate that organisations with more internal resources are more likely to commit to long-term research programs, whereas those with fewer internal resources focus on incremental operations. Davis (2017) observes, however, that certain advanced economy corporations are increasingly diverting retained revenues to financial assets or shareholder payments rather than productive investment.</w:t>
      </w:r>
    </w:p>
    <w:p w14:paraId="287BCF10" w14:textId="77777777" w:rsidR="00567EF5" w:rsidRPr="00E837F8" w:rsidRDefault="006578A3">
      <w:pPr>
        <w:spacing w:line="360" w:lineRule="auto"/>
        <w:jc w:val="both"/>
        <w:rPr>
          <w:b/>
          <w:bCs/>
          <w:sz w:val="24"/>
          <w:szCs w:val="24"/>
        </w:rPr>
      </w:pPr>
      <w:r w:rsidRPr="00E837F8">
        <w:rPr>
          <w:b/>
          <w:bCs/>
          <w:sz w:val="24"/>
          <w:szCs w:val="24"/>
        </w:rPr>
        <w:t>iii. Role of financial constraints</w:t>
      </w:r>
    </w:p>
    <w:p w14:paraId="287BCF11" w14:textId="77777777" w:rsidR="00567EF5" w:rsidRPr="00E837F8" w:rsidRDefault="006578A3">
      <w:pPr>
        <w:spacing w:line="360" w:lineRule="auto"/>
        <w:jc w:val="both"/>
        <w:rPr>
          <w:sz w:val="24"/>
          <w:szCs w:val="24"/>
        </w:rPr>
      </w:pPr>
      <w:r w:rsidRPr="00E837F8">
        <w:rPr>
          <w:sz w:val="24"/>
          <w:szCs w:val="24"/>
        </w:rPr>
        <w:t xml:space="preserve">Financial restrictions also influence allocation patterns. Firms with higher retained earnings have lower leverage because internal financing preserves flexibility and avoids the costs of external borrowing (Alipour </w:t>
      </w:r>
      <w:r w:rsidRPr="00E837F8">
        <w:rPr>
          <w:i/>
          <w:iCs/>
          <w:sz w:val="24"/>
          <w:szCs w:val="24"/>
        </w:rPr>
        <w:t xml:space="preserve">et al., </w:t>
      </w:r>
      <w:r w:rsidRPr="00E837F8">
        <w:rPr>
          <w:sz w:val="24"/>
          <w:szCs w:val="24"/>
        </w:rPr>
        <w:t>2015). SMEs primarily use retained earnings to fund their liquidity requirements as well as eliminate information asymmetries in borrowing from banks (Abe, Troilo and Batsaikhan, 2015). Under restrictions, retained earnings are strategically assigned to affiliates with the highest pledged income (Kabbach de Castro, Kirch and Matta, 2022).</w:t>
      </w:r>
    </w:p>
    <w:p w14:paraId="287BCF12" w14:textId="77777777" w:rsidR="00567EF5" w:rsidRPr="00E837F8" w:rsidRDefault="006578A3">
      <w:pPr>
        <w:pStyle w:val="Heading3"/>
        <w:rPr>
          <w:rFonts w:ascii="Times New Roman" w:eastAsia="Times New Roman" w:hAnsi="Times New Roman" w:cs="Times New Roman"/>
          <w:b/>
          <w:bCs/>
          <w:color w:val="000000"/>
          <w:sz w:val="24"/>
          <w:szCs w:val="24"/>
        </w:rPr>
      </w:pPr>
      <w:bookmarkStart w:id="21" w:name="_Toc225519599"/>
      <w:r w:rsidRPr="00E837F8">
        <w:rPr>
          <w:rFonts w:ascii="Times New Roman" w:eastAsia="Times New Roman" w:hAnsi="Times New Roman" w:cs="Times New Roman"/>
          <w:b/>
          <w:bCs/>
          <w:color w:val="000000"/>
          <w:sz w:val="24"/>
          <w:szCs w:val="24"/>
        </w:rPr>
        <w:t>3.7.3 Strategic Influences on retained earnings use</w:t>
      </w:r>
      <w:bookmarkEnd w:id="21"/>
    </w:p>
    <w:p w14:paraId="287BCF13" w14:textId="77777777" w:rsidR="00567EF5" w:rsidRPr="00E837F8" w:rsidRDefault="006578A3">
      <w:pPr>
        <w:spacing w:line="360" w:lineRule="auto"/>
        <w:jc w:val="both"/>
        <w:rPr>
          <w:b/>
          <w:bCs/>
          <w:sz w:val="24"/>
          <w:szCs w:val="24"/>
        </w:rPr>
      </w:pPr>
      <w:r w:rsidRPr="00E837F8">
        <w:rPr>
          <w:b/>
          <w:bCs/>
          <w:sz w:val="24"/>
          <w:szCs w:val="24"/>
        </w:rPr>
        <w:t>i. Innovation and Research and development (R&amp;D) intensity</w:t>
      </w:r>
    </w:p>
    <w:p w14:paraId="287BCF14" w14:textId="77777777" w:rsidR="00567EF5" w:rsidRPr="00E837F8" w:rsidRDefault="006578A3">
      <w:pPr>
        <w:spacing w:line="360" w:lineRule="auto"/>
        <w:jc w:val="both"/>
        <w:rPr>
          <w:sz w:val="24"/>
          <w:szCs w:val="24"/>
        </w:rPr>
      </w:pPr>
      <w:r w:rsidRPr="00E837F8">
        <w:rPr>
          <w:sz w:val="24"/>
          <w:szCs w:val="24"/>
        </w:rPr>
        <w:t>Internal fund dependency is heavily influenced by the level of innovation. Tirelli, and Spinesi (2021) demonstrate that R&amp;D-intensive enterprises rely largely on retained earnings as asymmetric information renders external financing costly. Love and Roper (2015) also discovered that SMEs rely on internal finances for high-risk innovation projects. When external finance is limited, social companies may innovate in the internal funding process (Schätzlein, Schlütter and Hahn 2023).</w:t>
      </w:r>
    </w:p>
    <w:p w14:paraId="287BCF15" w14:textId="77777777" w:rsidR="00567EF5" w:rsidRPr="00E837F8" w:rsidRDefault="006578A3">
      <w:pPr>
        <w:spacing w:line="360" w:lineRule="auto"/>
        <w:jc w:val="both"/>
        <w:rPr>
          <w:b/>
          <w:bCs/>
          <w:sz w:val="24"/>
          <w:szCs w:val="24"/>
        </w:rPr>
      </w:pPr>
      <w:r w:rsidRPr="00E837F8">
        <w:rPr>
          <w:b/>
          <w:bCs/>
          <w:sz w:val="24"/>
          <w:szCs w:val="24"/>
        </w:rPr>
        <w:lastRenderedPageBreak/>
        <w:t>ii. Market dynamism and competative pressure</w:t>
      </w:r>
    </w:p>
    <w:p w14:paraId="287BCF16" w14:textId="77777777" w:rsidR="00567EF5" w:rsidRPr="00E837F8" w:rsidRDefault="006578A3">
      <w:pPr>
        <w:spacing w:line="360" w:lineRule="auto"/>
        <w:jc w:val="both"/>
        <w:rPr>
          <w:sz w:val="24"/>
          <w:szCs w:val="24"/>
        </w:rPr>
      </w:pPr>
      <w:r w:rsidRPr="00E837F8">
        <w:rPr>
          <w:sz w:val="24"/>
          <w:szCs w:val="24"/>
        </w:rPr>
        <w:t xml:space="preserve">Market dynamism increases their reliance on internal financing. Retained profits offer SMEs fast, flexible funding in dynamic situations (Abe Troilo and Batsaikhan, 2015). As a result of information asymmetry and finance frictions, emerging market enterprises depend heavily on internal funds. Financially stronger companies retain and invest earnings more efficiently throughout crises (Byoun and Xu, 2016). Internal funding supports R&amp;D through deep integration and information exchange (Martínez Noya and Narula, 2018). </w:t>
      </w:r>
    </w:p>
    <w:p w14:paraId="287BCF17" w14:textId="77777777" w:rsidR="00567EF5" w:rsidRPr="00E837F8" w:rsidRDefault="006578A3">
      <w:pPr>
        <w:spacing w:line="360" w:lineRule="auto"/>
        <w:jc w:val="both"/>
        <w:rPr>
          <w:b/>
          <w:bCs/>
          <w:sz w:val="24"/>
          <w:szCs w:val="24"/>
        </w:rPr>
      </w:pPr>
      <w:r w:rsidRPr="00E837F8">
        <w:rPr>
          <w:b/>
          <w:bCs/>
          <w:sz w:val="24"/>
          <w:szCs w:val="24"/>
        </w:rPr>
        <w:t>iii. Digital transformation and sustainability investments</w:t>
      </w:r>
    </w:p>
    <w:p w14:paraId="287BCF18" w14:textId="77777777" w:rsidR="00567EF5" w:rsidRPr="00E837F8" w:rsidRDefault="006578A3">
      <w:pPr>
        <w:spacing w:line="360" w:lineRule="auto"/>
        <w:jc w:val="both"/>
        <w:rPr>
          <w:sz w:val="24"/>
          <w:szCs w:val="24"/>
        </w:rPr>
      </w:pPr>
      <w:r w:rsidRPr="00E837F8">
        <w:rPr>
          <w:sz w:val="24"/>
          <w:szCs w:val="24"/>
        </w:rPr>
        <w:t xml:space="preserve">Digital transformation and sustainability initiatives increase the importance of retained earnings. Internal financial capability improves the connection among digital transformation and green innovation (Zhang </w:t>
      </w:r>
      <w:r w:rsidRPr="00E837F8">
        <w:rPr>
          <w:i/>
          <w:iCs/>
          <w:sz w:val="24"/>
          <w:szCs w:val="24"/>
        </w:rPr>
        <w:t>et al.,</w:t>
      </w:r>
      <w:r w:rsidRPr="00E837F8">
        <w:rPr>
          <w:sz w:val="24"/>
          <w:szCs w:val="24"/>
        </w:rPr>
        <w:t xml:space="preserve"> 2024). Sustainability projects necessitate patient capital, making retained earnings critical (Joshipura, Mathur and Kedia, 2024). Retained earnings also contribute to ESG integration and renewable energy investments (Cunha, Meira and Orsato, 2021). Internal financing is particularly important for renewable energy innovation (Noailly and Smeets, 2022).</w:t>
      </w:r>
    </w:p>
    <w:p w14:paraId="287BCF19" w14:textId="77777777" w:rsidR="00567EF5" w:rsidRPr="00E837F8" w:rsidRDefault="006578A3">
      <w:pPr>
        <w:pStyle w:val="Heading3"/>
        <w:rPr>
          <w:rFonts w:ascii="Times New Roman" w:eastAsia="Times New Roman" w:hAnsi="Times New Roman" w:cs="Times New Roman"/>
          <w:b/>
          <w:bCs/>
          <w:color w:val="000000"/>
          <w:sz w:val="24"/>
          <w:szCs w:val="24"/>
        </w:rPr>
      </w:pPr>
      <w:bookmarkStart w:id="22" w:name="_Toc225519600"/>
      <w:r w:rsidRPr="00E837F8">
        <w:rPr>
          <w:rFonts w:ascii="Times New Roman" w:eastAsia="Times New Roman" w:hAnsi="Times New Roman" w:cs="Times New Roman"/>
          <w:b/>
          <w:bCs/>
          <w:color w:val="000000"/>
          <w:sz w:val="24"/>
          <w:szCs w:val="24"/>
        </w:rPr>
        <w:t>3.7.4 Financial Influences on retained earnings use</w:t>
      </w:r>
      <w:bookmarkEnd w:id="22"/>
    </w:p>
    <w:p w14:paraId="287BCF1A" w14:textId="77777777" w:rsidR="00567EF5" w:rsidRPr="00E837F8" w:rsidRDefault="006578A3">
      <w:pPr>
        <w:spacing w:line="360" w:lineRule="auto"/>
        <w:jc w:val="both"/>
        <w:rPr>
          <w:b/>
          <w:bCs/>
          <w:sz w:val="24"/>
          <w:szCs w:val="24"/>
        </w:rPr>
      </w:pPr>
      <w:r w:rsidRPr="00E837F8">
        <w:rPr>
          <w:b/>
          <w:bCs/>
          <w:sz w:val="24"/>
          <w:szCs w:val="24"/>
        </w:rPr>
        <w:t>i. Cost of capital and information asymmetry</w:t>
      </w:r>
    </w:p>
    <w:p w14:paraId="287BCF1B" w14:textId="77777777" w:rsidR="00567EF5" w:rsidRPr="00E837F8" w:rsidRDefault="006578A3">
      <w:pPr>
        <w:spacing w:line="360" w:lineRule="auto"/>
        <w:jc w:val="both"/>
        <w:rPr>
          <w:sz w:val="24"/>
          <w:szCs w:val="24"/>
        </w:rPr>
      </w:pPr>
      <w:r w:rsidRPr="00E837F8">
        <w:rPr>
          <w:sz w:val="24"/>
          <w:szCs w:val="24"/>
        </w:rPr>
        <w:t xml:space="preserve">Cost of capital and knowledge asymmetry have a significant impact on internal fund reliance. Pecking order theory suggests that when external finance is expensive, corporations will prioritize internal funds. Bilicka (2020) demonstrates that whenever retained earnings remain inadequate, investing becomes unresponsive to the cost of capital. Asymmetric information encourages enterprises to keep earnings (Ahmad </w:t>
      </w:r>
      <w:r w:rsidRPr="00E837F8">
        <w:rPr>
          <w:i/>
          <w:iCs/>
          <w:sz w:val="24"/>
          <w:szCs w:val="24"/>
        </w:rPr>
        <w:t>et al.,</w:t>
      </w:r>
      <w:r w:rsidRPr="00E837F8">
        <w:rPr>
          <w:sz w:val="24"/>
          <w:szCs w:val="24"/>
        </w:rPr>
        <w:t xml:space="preserve"> 2023), especially SMEs experiencing credit rationing (Martinez, Scherger and Guercio, 2019). Therefore, managers avoid issuing equities to avoid mispricing (Boateng </w:t>
      </w:r>
      <w:r w:rsidRPr="00E837F8">
        <w:rPr>
          <w:i/>
          <w:iCs/>
          <w:sz w:val="24"/>
          <w:szCs w:val="24"/>
        </w:rPr>
        <w:t>et al.,</w:t>
      </w:r>
      <w:r w:rsidRPr="00E837F8">
        <w:rPr>
          <w:sz w:val="24"/>
          <w:szCs w:val="24"/>
        </w:rPr>
        <w:t xml:space="preserve"> 2022). While banks raise internal funding during times of financial hardship (Coleman </w:t>
      </w:r>
      <w:r w:rsidRPr="00E837F8">
        <w:rPr>
          <w:i/>
          <w:iCs/>
          <w:sz w:val="24"/>
          <w:szCs w:val="24"/>
        </w:rPr>
        <w:t>et al.,</w:t>
      </w:r>
      <w:r w:rsidRPr="00E837F8">
        <w:rPr>
          <w:sz w:val="24"/>
          <w:szCs w:val="24"/>
        </w:rPr>
        <w:t xml:space="preserve"> 2017).</w:t>
      </w:r>
    </w:p>
    <w:p w14:paraId="287BCF1C" w14:textId="77777777" w:rsidR="00567EF5" w:rsidRPr="00E837F8" w:rsidRDefault="006578A3">
      <w:pPr>
        <w:spacing w:line="360" w:lineRule="auto"/>
        <w:jc w:val="both"/>
        <w:rPr>
          <w:b/>
          <w:bCs/>
          <w:sz w:val="24"/>
          <w:szCs w:val="24"/>
        </w:rPr>
      </w:pPr>
      <w:r w:rsidRPr="00E837F8">
        <w:rPr>
          <w:b/>
          <w:bCs/>
          <w:sz w:val="24"/>
          <w:szCs w:val="24"/>
        </w:rPr>
        <w:t>ii. Earnings volatility and liquidity management</w:t>
      </w:r>
    </w:p>
    <w:p w14:paraId="287BCF1D" w14:textId="77777777" w:rsidR="00567EF5" w:rsidRPr="00E837F8" w:rsidRDefault="006578A3">
      <w:pPr>
        <w:spacing w:line="360" w:lineRule="auto"/>
        <w:jc w:val="both"/>
        <w:rPr>
          <w:sz w:val="24"/>
          <w:szCs w:val="24"/>
        </w:rPr>
      </w:pPr>
      <w:r w:rsidRPr="00E837F8">
        <w:rPr>
          <w:sz w:val="24"/>
          <w:szCs w:val="24"/>
        </w:rPr>
        <w:t>Earnings volatility increases dependence on internal funds. High volatility lowers lender confidence (ILYAS, JEHANGIR and AHMAD, 2021) and causes businesses to hoard cash. Microfinance institutions also reduce leverage during periods of instability (Alexis, 2023). Strong liquidity positions increase reliance on retained earnings (Martinez, Scherger, and Guercio, 2019).</w:t>
      </w:r>
    </w:p>
    <w:p w14:paraId="3A056E2C" w14:textId="77777777" w:rsidR="00410BE7" w:rsidRPr="00E837F8" w:rsidRDefault="00410BE7">
      <w:pPr>
        <w:spacing w:line="360" w:lineRule="auto"/>
        <w:jc w:val="both"/>
        <w:rPr>
          <w:sz w:val="24"/>
          <w:szCs w:val="24"/>
        </w:rPr>
      </w:pPr>
    </w:p>
    <w:p w14:paraId="75C3E399" w14:textId="77777777" w:rsidR="00410BE7" w:rsidRPr="00E837F8" w:rsidRDefault="00410BE7">
      <w:pPr>
        <w:spacing w:line="360" w:lineRule="auto"/>
        <w:jc w:val="both"/>
        <w:rPr>
          <w:sz w:val="24"/>
          <w:szCs w:val="24"/>
        </w:rPr>
      </w:pPr>
    </w:p>
    <w:p w14:paraId="287BCF1E" w14:textId="77777777" w:rsidR="00567EF5" w:rsidRPr="00E837F8" w:rsidRDefault="006578A3">
      <w:pPr>
        <w:spacing w:line="360" w:lineRule="auto"/>
        <w:jc w:val="both"/>
        <w:rPr>
          <w:b/>
          <w:bCs/>
          <w:sz w:val="24"/>
          <w:szCs w:val="24"/>
        </w:rPr>
      </w:pPr>
      <w:r w:rsidRPr="00E837F8">
        <w:rPr>
          <w:b/>
          <w:bCs/>
          <w:sz w:val="24"/>
          <w:szCs w:val="24"/>
        </w:rPr>
        <w:lastRenderedPageBreak/>
        <w:t>iii. Access to external finance</w:t>
      </w:r>
    </w:p>
    <w:p w14:paraId="287BCF1F" w14:textId="77777777" w:rsidR="00567EF5" w:rsidRPr="00E837F8" w:rsidRDefault="006578A3">
      <w:pPr>
        <w:spacing w:line="360" w:lineRule="auto"/>
        <w:jc w:val="both"/>
        <w:rPr>
          <w:sz w:val="24"/>
          <w:szCs w:val="24"/>
        </w:rPr>
      </w:pPr>
      <w:r w:rsidRPr="00E837F8">
        <w:rPr>
          <w:sz w:val="24"/>
          <w:szCs w:val="24"/>
        </w:rPr>
        <w:t>Access to external financing reduces internal fund dependence. Stronger financial systems decrease reliance on retained earnings (Alam, Uddin and Yazdifar, 2019), whereas SMEs and young enterprises with limited access rely more frequently on internal funds (Martinez, Scherger and Guercio, 2019).</w:t>
      </w:r>
    </w:p>
    <w:p w14:paraId="287BCF20" w14:textId="77777777" w:rsidR="00567EF5" w:rsidRPr="00E837F8" w:rsidRDefault="006578A3">
      <w:pPr>
        <w:spacing w:line="360" w:lineRule="auto"/>
        <w:jc w:val="both"/>
        <w:rPr>
          <w:b/>
          <w:bCs/>
          <w:sz w:val="24"/>
          <w:szCs w:val="24"/>
        </w:rPr>
      </w:pPr>
      <w:r w:rsidRPr="00E837F8">
        <w:rPr>
          <w:b/>
          <w:bCs/>
          <w:sz w:val="24"/>
          <w:szCs w:val="24"/>
        </w:rPr>
        <w:t>iv. Adverse selection</w:t>
      </w:r>
    </w:p>
    <w:p w14:paraId="287BCF21" w14:textId="77777777" w:rsidR="00567EF5" w:rsidRPr="00E837F8" w:rsidRDefault="006578A3">
      <w:pPr>
        <w:spacing w:line="360" w:lineRule="auto"/>
        <w:jc w:val="both"/>
        <w:rPr>
          <w:sz w:val="24"/>
          <w:szCs w:val="24"/>
        </w:rPr>
      </w:pPr>
      <w:r w:rsidRPr="00E837F8">
        <w:rPr>
          <w:sz w:val="24"/>
          <w:szCs w:val="24"/>
        </w:rPr>
        <w:t xml:space="preserve">Adverse selection also influences funding decisions. Under knowledge asymmetry, equity issues become costly, prompting corporations to use internal funds (Ghose and Kabra, 2019). Adopting IFRS reduces adverse selection (Naranjo, Saavedra and Verdi, 2022), which increases external financing. Enterprises with excellent credit ratings have fewer asymmetries and have easier access to external financing, whereas smaller enterprises rely heavily upon retained earnings (Bakhtiari </w:t>
      </w:r>
      <w:r w:rsidRPr="00E837F8">
        <w:rPr>
          <w:i/>
          <w:iCs/>
          <w:sz w:val="24"/>
          <w:szCs w:val="24"/>
        </w:rPr>
        <w:t>et al.</w:t>
      </w:r>
      <w:r w:rsidRPr="00E837F8">
        <w:rPr>
          <w:sz w:val="24"/>
          <w:szCs w:val="24"/>
        </w:rPr>
        <w:t>, 2020).</w:t>
      </w:r>
    </w:p>
    <w:p w14:paraId="287BCF22" w14:textId="77777777" w:rsidR="00567EF5" w:rsidRPr="00E837F8" w:rsidRDefault="006578A3">
      <w:pPr>
        <w:pStyle w:val="Heading3"/>
        <w:rPr>
          <w:b/>
          <w:bCs/>
          <w:color w:val="000000"/>
        </w:rPr>
      </w:pPr>
      <w:bookmarkStart w:id="23" w:name="_Toc225519601"/>
      <w:r w:rsidRPr="00E837F8">
        <w:rPr>
          <w:rFonts w:ascii="Times New Roman" w:eastAsia="Times New Roman" w:hAnsi="Times New Roman" w:cs="Times New Roman"/>
          <w:b/>
          <w:bCs/>
          <w:color w:val="000000"/>
          <w:sz w:val="24"/>
          <w:szCs w:val="24"/>
        </w:rPr>
        <w:t>3.7.5 Organizational Influences on retained earnings use</w:t>
      </w:r>
      <w:bookmarkEnd w:id="23"/>
    </w:p>
    <w:p w14:paraId="287BCF23" w14:textId="77777777" w:rsidR="00567EF5" w:rsidRPr="00E837F8" w:rsidRDefault="006578A3">
      <w:pPr>
        <w:spacing w:line="360" w:lineRule="auto"/>
        <w:jc w:val="both"/>
        <w:rPr>
          <w:b/>
          <w:bCs/>
          <w:sz w:val="24"/>
          <w:szCs w:val="24"/>
        </w:rPr>
      </w:pPr>
      <w:r w:rsidRPr="00E837F8">
        <w:rPr>
          <w:b/>
          <w:bCs/>
          <w:sz w:val="24"/>
          <w:szCs w:val="24"/>
        </w:rPr>
        <w:t>i. Corporate governance structures</w:t>
      </w:r>
    </w:p>
    <w:p w14:paraId="287BCF24" w14:textId="77777777" w:rsidR="00567EF5" w:rsidRPr="00E837F8" w:rsidRDefault="006578A3">
      <w:pPr>
        <w:spacing w:line="360" w:lineRule="auto"/>
        <w:jc w:val="both"/>
        <w:rPr>
          <w:sz w:val="24"/>
          <w:szCs w:val="24"/>
        </w:rPr>
      </w:pPr>
      <w:r w:rsidRPr="00E837F8">
        <w:rPr>
          <w:sz w:val="24"/>
          <w:szCs w:val="24"/>
        </w:rPr>
        <w:t xml:space="preserve">Corporate governance structures influence capital budget decisions. Strong alignment mechanisms promote risk-taking and long-term investment (Dixon, Guariglia and Vijayakumaran, 2017); however, weak governance promotes leverage and hazardous funding practices (Boateng, A. </w:t>
      </w:r>
      <w:r w:rsidRPr="00E837F8">
        <w:rPr>
          <w:i/>
          <w:iCs/>
          <w:sz w:val="24"/>
          <w:szCs w:val="24"/>
        </w:rPr>
        <w:t>et al.</w:t>
      </w:r>
      <w:r w:rsidRPr="00E837F8">
        <w:rPr>
          <w:sz w:val="24"/>
          <w:szCs w:val="24"/>
        </w:rPr>
        <w:t>, 2017).</w:t>
      </w:r>
    </w:p>
    <w:p w14:paraId="287BCF25" w14:textId="77777777" w:rsidR="00567EF5" w:rsidRPr="00E837F8" w:rsidRDefault="006578A3">
      <w:pPr>
        <w:spacing w:line="360" w:lineRule="auto"/>
        <w:jc w:val="both"/>
        <w:rPr>
          <w:b/>
          <w:bCs/>
          <w:sz w:val="24"/>
          <w:szCs w:val="24"/>
        </w:rPr>
      </w:pPr>
      <w:r w:rsidRPr="00E837F8">
        <w:rPr>
          <w:b/>
          <w:bCs/>
          <w:sz w:val="24"/>
          <w:szCs w:val="24"/>
        </w:rPr>
        <w:t>ii. Ownership structure and concentrations</w:t>
      </w:r>
    </w:p>
    <w:p w14:paraId="287BCF26" w14:textId="77777777" w:rsidR="00567EF5" w:rsidRPr="00E837F8" w:rsidRDefault="006578A3">
      <w:pPr>
        <w:spacing w:line="360" w:lineRule="auto"/>
        <w:jc w:val="both"/>
        <w:rPr>
          <w:sz w:val="24"/>
          <w:szCs w:val="24"/>
        </w:rPr>
      </w:pPr>
      <w:r w:rsidRPr="00E837F8">
        <w:rPr>
          <w:sz w:val="24"/>
          <w:szCs w:val="24"/>
        </w:rPr>
        <w:t xml:space="preserve">Ownership structure is also important for the organization for decision-making. Managerial share ownership has a non-linear effect on loan utilization (Sun </w:t>
      </w:r>
      <w:r w:rsidRPr="00E837F8">
        <w:rPr>
          <w:i/>
          <w:iCs/>
          <w:sz w:val="24"/>
          <w:szCs w:val="24"/>
        </w:rPr>
        <w:t>et al.,</w:t>
      </w:r>
      <w:r w:rsidRPr="00E837F8">
        <w:rPr>
          <w:sz w:val="24"/>
          <w:szCs w:val="24"/>
        </w:rPr>
        <w:t xml:space="preserve"> 2016), whereas family enterprises prefer retained earnings to maintain control (Michiels and Molly, 2017) rather than inserting the capital into the business or borrowing the loans from the banks.</w:t>
      </w:r>
    </w:p>
    <w:p w14:paraId="287BCF27" w14:textId="77777777" w:rsidR="00567EF5" w:rsidRPr="00E837F8" w:rsidRDefault="006578A3">
      <w:pPr>
        <w:spacing w:line="360" w:lineRule="auto"/>
        <w:jc w:val="both"/>
        <w:rPr>
          <w:b/>
          <w:bCs/>
          <w:sz w:val="24"/>
          <w:szCs w:val="24"/>
        </w:rPr>
      </w:pPr>
      <w:r w:rsidRPr="00E837F8">
        <w:rPr>
          <w:b/>
          <w:bCs/>
          <w:sz w:val="24"/>
          <w:szCs w:val="24"/>
        </w:rPr>
        <w:t>iii. Managerial incentives and risk appetite</w:t>
      </w:r>
    </w:p>
    <w:p w14:paraId="287BCF28" w14:textId="77777777" w:rsidR="00567EF5" w:rsidRPr="00E837F8" w:rsidRDefault="006578A3">
      <w:pPr>
        <w:spacing w:line="360" w:lineRule="auto"/>
        <w:jc w:val="both"/>
        <w:rPr>
          <w:sz w:val="24"/>
          <w:szCs w:val="24"/>
        </w:rPr>
      </w:pPr>
      <w:r w:rsidRPr="00E837F8">
        <w:rPr>
          <w:sz w:val="24"/>
          <w:szCs w:val="24"/>
        </w:rPr>
        <w:t xml:space="preserve">Managerial incentives affect internal fund allocation. Equity-based remuneration influences risk appetite and internally funding (Hoskisson </w:t>
      </w:r>
      <w:r w:rsidRPr="00E837F8">
        <w:rPr>
          <w:i/>
          <w:iCs/>
          <w:sz w:val="24"/>
          <w:szCs w:val="24"/>
        </w:rPr>
        <w:t>et al.</w:t>
      </w:r>
      <w:r w:rsidRPr="00E837F8">
        <w:rPr>
          <w:sz w:val="24"/>
          <w:szCs w:val="24"/>
        </w:rPr>
        <w:t>, 2017), whereas CEOs with high vega direct internal money to risky segments (Casavecchia and Suh, 2017). Therefore, the risk-bearing capabilities also affect the use of retained earnings in capital decision-making.</w:t>
      </w:r>
    </w:p>
    <w:p w14:paraId="287BCF29" w14:textId="77777777" w:rsidR="00567EF5" w:rsidRPr="00E837F8" w:rsidRDefault="006578A3">
      <w:pPr>
        <w:spacing w:line="360" w:lineRule="auto"/>
        <w:jc w:val="both"/>
        <w:rPr>
          <w:b/>
          <w:bCs/>
          <w:sz w:val="24"/>
          <w:szCs w:val="24"/>
        </w:rPr>
      </w:pPr>
      <w:r w:rsidRPr="00E837F8">
        <w:rPr>
          <w:b/>
          <w:bCs/>
          <w:sz w:val="24"/>
          <w:szCs w:val="24"/>
        </w:rPr>
        <w:t>iv. Moral hazard and monitoring challenges</w:t>
      </w:r>
    </w:p>
    <w:p w14:paraId="287BCF2A" w14:textId="3BDC9EEA" w:rsidR="00567EF5" w:rsidRPr="00E837F8" w:rsidRDefault="006578A3">
      <w:pPr>
        <w:spacing w:line="360" w:lineRule="auto"/>
        <w:jc w:val="both"/>
        <w:rPr>
          <w:sz w:val="24"/>
          <w:szCs w:val="24"/>
        </w:rPr>
      </w:pPr>
      <w:r w:rsidRPr="00E837F8">
        <w:rPr>
          <w:sz w:val="24"/>
          <w:szCs w:val="24"/>
        </w:rPr>
        <w:t xml:space="preserve">Finally, moral hazard and inadequate monitoring might result in the misappropriation of internal funds. Executives might overinvest retained earnings when control is inadequate (Panda and </w:t>
      </w:r>
      <w:r w:rsidRPr="00E837F8">
        <w:rPr>
          <w:sz w:val="24"/>
          <w:szCs w:val="24"/>
        </w:rPr>
        <w:lastRenderedPageBreak/>
        <w:t>Leepsa, 2017); however, enhanced monitoring technologies can help to mitigate these difficulties (Silaghi and Sarkar, 2021). Poor oversight in state-owned enterprises distorts reported retained earnings and impairs investment discipline.</w:t>
      </w:r>
    </w:p>
    <w:p w14:paraId="287BCF2B" w14:textId="74B89C4A" w:rsidR="00567EF5" w:rsidRDefault="006578A3">
      <w:pPr>
        <w:spacing w:line="360" w:lineRule="auto"/>
        <w:jc w:val="both"/>
        <w:rPr>
          <w:b/>
          <w:bCs/>
          <w:sz w:val="24"/>
          <w:szCs w:val="24"/>
        </w:rPr>
      </w:pPr>
      <w:r w:rsidRPr="00E837F8">
        <w:rPr>
          <w:b/>
          <w:bCs/>
          <w:sz w:val="24"/>
          <w:szCs w:val="24"/>
        </w:rPr>
        <w:t>3.8.6 Conceptual frameworks</w:t>
      </w:r>
    </w:p>
    <w:p w14:paraId="03BBE4F3" w14:textId="0C17746B" w:rsidR="00D90BB0" w:rsidRDefault="00D90BB0">
      <w:pPr>
        <w:spacing w:line="360" w:lineRule="auto"/>
        <w:jc w:val="both"/>
        <w:rPr>
          <w:b/>
          <w:bCs/>
          <w:sz w:val="24"/>
          <w:szCs w:val="24"/>
        </w:rPr>
      </w:pPr>
    </w:p>
    <w:p w14:paraId="057489F5" w14:textId="4435ED29" w:rsidR="00D90BB0" w:rsidRDefault="00D90BB0">
      <w:pPr>
        <w:spacing w:line="360" w:lineRule="auto"/>
        <w:jc w:val="both"/>
        <w:rPr>
          <w:b/>
          <w:bCs/>
          <w:sz w:val="24"/>
          <w:szCs w:val="24"/>
        </w:rPr>
      </w:pPr>
    </w:p>
    <w:p w14:paraId="59BE3B80" w14:textId="070425F6" w:rsidR="00D90BB0" w:rsidRPr="00E837F8" w:rsidRDefault="00D90BB0">
      <w:pPr>
        <w:spacing w:line="360" w:lineRule="auto"/>
        <w:jc w:val="both"/>
        <w:rPr>
          <w:b/>
          <w:bCs/>
          <w:sz w:val="24"/>
          <w:szCs w:val="24"/>
        </w:rPr>
      </w:pPr>
      <w:r w:rsidRPr="00E837F8">
        <w:rPr>
          <w:noProof/>
        </w:rPr>
        <mc:AlternateContent>
          <mc:Choice Requires="wps">
            <w:drawing>
              <wp:anchor distT="0" distB="0" distL="114300" distR="114300" simplePos="0" relativeHeight="251671552" behindDoc="0" locked="0" layoutInCell="1" hidden="0" allowOverlap="1" wp14:anchorId="287BD024" wp14:editId="3B669335">
                <wp:simplePos x="0" y="0"/>
                <wp:positionH relativeFrom="column">
                  <wp:posOffset>56561</wp:posOffset>
                </wp:positionH>
                <wp:positionV relativeFrom="paragraph">
                  <wp:posOffset>6363</wp:posOffset>
                </wp:positionV>
                <wp:extent cx="1338573" cy="927624"/>
                <wp:effectExtent l="0" t="0" r="14605" b="25400"/>
                <wp:wrapNone/>
                <wp:docPr id="2052723288" name="Rectangle 2052723288"/>
                <wp:cNvGraphicFramePr/>
                <a:graphic xmlns:a="http://schemas.openxmlformats.org/drawingml/2006/main">
                  <a:graphicData uri="http://schemas.microsoft.com/office/word/2010/wordprocessingShape">
                    <wps:wsp>
                      <wps:cNvSpPr/>
                      <wps:spPr>
                        <a:xfrm>
                          <a:off x="0" y="0"/>
                          <a:ext cx="1338573" cy="927624"/>
                        </a:xfrm>
                        <a:prstGeom prst="rect">
                          <a:avLst/>
                        </a:prstGeom>
                        <a:solidFill>
                          <a:schemeClr val="lt1"/>
                        </a:solidFill>
                        <a:ln w="9525" cap="flat" cmpd="sng">
                          <a:solidFill>
                            <a:srgbClr val="000000"/>
                          </a:solidFill>
                          <a:prstDash val="solid"/>
                          <a:round/>
                          <a:headEnd type="none" w="sm" len="sm"/>
                          <a:tailEnd type="none" w="sm" len="sm"/>
                        </a:ln>
                      </wps:spPr>
                      <wps:txbx>
                        <w:txbxContent>
                          <w:p w14:paraId="287BD05E" w14:textId="77777777" w:rsidR="00567EF5" w:rsidRDefault="006578A3">
                            <w:pPr>
                              <w:jc w:val="center"/>
                              <w:textDirection w:val="btLr"/>
                            </w:pPr>
                            <w:r>
                              <w:rPr>
                                <w:b/>
                                <w:color w:val="000000"/>
                                <w:sz w:val="16"/>
                              </w:rPr>
                              <w:t>Retained earning (internal financing)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4" id="Rectangle 2052723288" o:spid="_x0000_s1067" style="position:absolute;left:0;text-align:left;margin-left:4.45pt;margin-top:.5pt;width:105.4pt;height:73.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" fillcolor="white [3201]">
                <v:stroke startarrowwidth="narrow" startarrowlength="short" endarrowwidth="narrow" endarrowlength="short" joinstyle="round"/>
                <v:textbox inset="2.53958mm,1.2694mm,2.53958mm,1.2694mm">
                  <w:txbxContent>
                    <w:p w14:paraId="287BD05E" w14:textId="77777777" w:rsidR="00567EF5" w:rsidRDefault="006578A3">
                      <w:pPr>
                        <w:jc w:val="center"/>
                        <w:textDirection w:val="btLr"/>
                      </w:pPr>
                      <w:r>
                        <w:rPr>
                          <w:b/>
                          <w:color w:val="000000"/>
                          <w:sz w:val="16"/>
                        </w:rPr>
                        <w:t>Retained earning (internal financing)</w:t>
                      </w:r>
                    </w:p>
                  </w:txbxContent>
                </v:textbox>
              </v:rect>
            </w:pict>
          </mc:Fallback>
        </mc:AlternateContent>
      </w:r>
      <w:r w:rsidRPr="00E837F8">
        <w:rPr>
          <w:noProof/>
        </w:rPr>
        <mc:AlternateContent>
          <mc:Choice Requires="wps">
            <w:drawing>
              <wp:anchor distT="0" distB="0" distL="114300" distR="114300" simplePos="0" relativeHeight="251672576" behindDoc="0" locked="0" layoutInCell="1" hidden="0" allowOverlap="1" wp14:anchorId="287BD026" wp14:editId="33311B69">
                <wp:simplePos x="0" y="0"/>
                <wp:positionH relativeFrom="column">
                  <wp:posOffset>4392733</wp:posOffset>
                </wp:positionH>
                <wp:positionV relativeFrom="paragraph">
                  <wp:posOffset>24620</wp:posOffset>
                </wp:positionV>
                <wp:extent cx="2158365" cy="1036948"/>
                <wp:effectExtent l="0" t="0" r="13335" b="11430"/>
                <wp:wrapNone/>
                <wp:docPr id="2052723298" name="Rectangle 2052723298"/>
                <wp:cNvGraphicFramePr/>
                <a:graphic xmlns:a="http://schemas.openxmlformats.org/drawingml/2006/main">
                  <a:graphicData uri="http://schemas.microsoft.com/office/word/2010/wordprocessingShape">
                    <wps:wsp>
                      <wps:cNvSpPr/>
                      <wps:spPr>
                        <a:xfrm>
                          <a:off x="0" y="0"/>
                          <a:ext cx="2158365" cy="1036948"/>
                        </a:xfrm>
                        <a:prstGeom prst="rect">
                          <a:avLst/>
                        </a:prstGeom>
                        <a:solidFill>
                          <a:schemeClr val="lt1"/>
                        </a:solidFill>
                        <a:ln w="9525" cap="flat" cmpd="sng">
                          <a:solidFill>
                            <a:srgbClr val="000000"/>
                          </a:solidFill>
                          <a:prstDash val="solid"/>
                          <a:round/>
                          <a:headEnd type="none" w="sm" len="sm"/>
                          <a:tailEnd type="none" w="sm" len="sm"/>
                        </a:ln>
                      </wps:spPr>
                      <wps:txbx>
                        <w:txbxContent>
                          <w:p w14:paraId="24AE6D89" w14:textId="77777777" w:rsidR="00F21EA7" w:rsidRDefault="006578A3" w:rsidP="00F21EA7">
                            <w:pPr>
                              <w:textDirection w:val="btLr"/>
                              <w:rPr>
                                <w:b/>
                                <w:color w:val="000000"/>
                                <w:sz w:val="16"/>
                              </w:rPr>
                            </w:pPr>
                            <w:r>
                              <w:rPr>
                                <w:b/>
                                <w:color w:val="000000"/>
                                <w:sz w:val="16"/>
                              </w:rPr>
                              <w:t>Capital budgeting decision</w:t>
                            </w:r>
                          </w:p>
                          <w:p w14:paraId="7DECD764"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Project evaluation</w:t>
                            </w:r>
                          </w:p>
                          <w:p w14:paraId="3FD4D4EA"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Investment priortisation</w:t>
                            </w:r>
                          </w:p>
                          <w:p w14:paraId="6FF04197" w14:textId="77777777" w:rsidR="00D90BB0" w:rsidRPr="00D90BB0" w:rsidRDefault="006578A3" w:rsidP="00D90BB0">
                            <w:pPr>
                              <w:pStyle w:val="ListParagraph"/>
                              <w:numPr>
                                <w:ilvl w:val="0"/>
                                <w:numId w:val="4"/>
                              </w:numPr>
                              <w:textDirection w:val="btLr"/>
                            </w:pPr>
                            <w:r w:rsidRPr="00F21EA7">
                              <w:rPr>
                                <w:rFonts w:ascii="Calibri" w:eastAsia="Calibri" w:hAnsi="Calibri" w:cs="Calibri"/>
                                <w:color w:val="000000"/>
                                <w:sz w:val="16"/>
                              </w:rPr>
                              <w:t>Technique selection</w:t>
                            </w:r>
                          </w:p>
                          <w:p w14:paraId="287BD063" w14:textId="185780AE" w:rsidR="00567EF5" w:rsidRDefault="006578A3" w:rsidP="00D90BB0">
                            <w:pPr>
                              <w:pStyle w:val="ListParagraph"/>
                              <w:numPr>
                                <w:ilvl w:val="0"/>
                                <w:numId w:val="4"/>
                              </w:numPr>
                              <w:textDirection w:val="btLr"/>
                            </w:pPr>
                            <w:r w:rsidRPr="00D90BB0">
                              <w:rPr>
                                <w:rFonts w:ascii="Calibri" w:eastAsia="Calibri" w:hAnsi="Calibri" w:cs="Calibri"/>
                                <w:color w:val="000000"/>
                                <w:sz w:val="16"/>
                              </w:rPr>
                              <w:t>Long term investment outcomes</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6" id="Rectangle 2052723298" o:spid="_x0000_s1068" style="position:absolute;left:0;text-align:left;margin-left:345.9pt;margin-top:1.95pt;width:169.95pt;height:81.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" fillcolor="white [3201]">
                <v:stroke startarrowwidth="narrow" startarrowlength="short" endarrowwidth="narrow" endarrowlength="short" joinstyle="round"/>
                <v:textbox inset="2.53958mm,1.2694mm,2.53958mm,1.2694mm">
                  <w:txbxContent>
                    <w:p w14:paraId="24AE6D89" w14:textId="77777777" w:rsidR="00F21EA7" w:rsidRDefault="006578A3" w:rsidP="00F21EA7">
                      <w:pPr>
                        <w:textDirection w:val="btLr"/>
                        <w:rPr>
                          <w:b/>
                          <w:color w:val="000000"/>
                          <w:sz w:val="16"/>
                        </w:rPr>
                      </w:pPr>
                      <w:r>
                        <w:rPr>
                          <w:b/>
                          <w:color w:val="000000"/>
                          <w:sz w:val="16"/>
                        </w:rPr>
                        <w:t>Capital budgeting decision</w:t>
                      </w:r>
                    </w:p>
                    <w:p w14:paraId="7DECD764"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Project evaluation</w:t>
                      </w:r>
                    </w:p>
                    <w:p w14:paraId="3FD4D4EA"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Investment priortisation</w:t>
                      </w:r>
                    </w:p>
                    <w:p w14:paraId="6FF04197" w14:textId="77777777" w:rsidR="00D90BB0" w:rsidRPr="00D90BB0" w:rsidRDefault="006578A3" w:rsidP="00D90BB0">
                      <w:pPr>
                        <w:pStyle w:val="ListParagraph"/>
                        <w:numPr>
                          <w:ilvl w:val="0"/>
                          <w:numId w:val="4"/>
                        </w:numPr>
                        <w:textDirection w:val="btLr"/>
                      </w:pPr>
                      <w:r w:rsidRPr="00F21EA7">
                        <w:rPr>
                          <w:rFonts w:ascii="Calibri" w:eastAsia="Calibri" w:hAnsi="Calibri" w:cs="Calibri"/>
                          <w:color w:val="000000"/>
                          <w:sz w:val="16"/>
                        </w:rPr>
                        <w:t>Technique selection</w:t>
                      </w:r>
                    </w:p>
                    <w:p w14:paraId="287BD063" w14:textId="185780AE" w:rsidR="00567EF5" w:rsidRDefault="006578A3" w:rsidP="00D90BB0">
                      <w:pPr>
                        <w:pStyle w:val="ListParagraph"/>
                        <w:numPr>
                          <w:ilvl w:val="0"/>
                          <w:numId w:val="4"/>
                        </w:numPr>
                        <w:textDirection w:val="btLr"/>
                      </w:pPr>
                      <w:r w:rsidRPr="00D90BB0">
                        <w:rPr>
                          <w:rFonts w:ascii="Calibri" w:eastAsia="Calibri" w:hAnsi="Calibri" w:cs="Calibri"/>
                          <w:color w:val="000000"/>
                          <w:sz w:val="16"/>
                        </w:rPr>
                        <w:t>Long term investment outcomes</w:t>
                      </w:r>
                    </w:p>
                  </w:txbxContent>
                </v:textbox>
              </v:rect>
            </w:pict>
          </mc:Fallback>
        </mc:AlternateContent>
      </w:r>
    </w:p>
    <w:p w14:paraId="287BCF2C" w14:textId="06E47FB6" w:rsidR="00567EF5" w:rsidRPr="00E837F8" w:rsidRDefault="00567EF5">
      <w:pPr>
        <w:spacing w:line="360" w:lineRule="auto"/>
        <w:jc w:val="both"/>
        <w:rPr>
          <w:sz w:val="24"/>
          <w:szCs w:val="24"/>
        </w:rPr>
      </w:pPr>
    </w:p>
    <w:p w14:paraId="287BCF2D" w14:textId="1F4A5FDD" w:rsidR="00567EF5" w:rsidRPr="00E837F8" w:rsidRDefault="006578A3">
      <w:pPr>
        <w:spacing w:line="360" w:lineRule="auto"/>
        <w:jc w:val="both"/>
        <w:rPr>
          <w:sz w:val="24"/>
          <w:szCs w:val="24"/>
        </w:rPr>
      </w:pPr>
      <w:r w:rsidRPr="00E837F8">
        <w:rPr>
          <w:noProof/>
        </w:rPr>
        <mc:AlternateContent>
          <mc:Choice Requires="wps">
            <w:drawing>
              <wp:anchor distT="0" distB="0" distL="114300" distR="114300" simplePos="0" relativeHeight="251657215" behindDoc="0" locked="0" layoutInCell="1" hidden="0" allowOverlap="1" wp14:anchorId="287BD028" wp14:editId="6215DAC8">
                <wp:simplePos x="0" y="0"/>
                <wp:positionH relativeFrom="column">
                  <wp:posOffset>1285737</wp:posOffset>
                </wp:positionH>
                <wp:positionV relativeFrom="paragraph">
                  <wp:posOffset>20567</wp:posOffset>
                </wp:positionV>
                <wp:extent cx="3027570" cy="152677"/>
                <wp:effectExtent l="0" t="0" r="0" b="0"/>
                <wp:wrapNone/>
                <wp:docPr id="2052723292" name="Arrow: Right 2052723292"/>
                <wp:cNvGraphicFramePr/>
                <a:graphic xmlns:a="http://schemas.openxmlformats.org/drawingml/2006/main">
                  <a:graphicData uri="http://schemas.microsoft.com/office/word/2010/wordprocessingShape">
                    <wps:wsp>
                      <wps:cNvSpPr/>
                      <wps:spPr>
                        <a:xfrm>
                          <a:off x="3838565" y="3710012"/>
                          <a:ext cx="3014870" cy="139977"/>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4"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28" id="Arrow: Right 2052723292" o:spid="_x0000_s1069" type="#_x0000_t13" style="position:absolute;left:0;text-align:left;margin-left:101.25pt;margin-top:1.6pt;width:238.4pt;height:12pt;z-index:25165721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" adj="21099" fillcolor="white [3201]" strokecolor="black [3200]" strokeweight="1pt">
                <v:stroke startarrowwidth="narrow" startarrowlength="short" endarrowwidth="narrow" endarrowlength="short"/>
                <v:textbox inset="2.53958mm,2.53958mm,2.53958mm,2.53958mm">
                  <w:txbxContent>
                    <w:p w14:paraId="287BD064" w14:textId="77777777" w:rsidR="00567EF5" w:rsidRDefault="00567EF5">
                      <w:pPr>
                        <w:textDirection w:val="btLr"/>
                      </w:pPr>
                    </w:p>
                  </w:txbxContent>
                </v:textbox>
              </v:shape>
            </w:pict>
          </mc:Fallback>
        </mc:AlternateContent>
      </w:r>
    </w:p>
    <w:p w14:paraId="287BCF2E" w14:textId="58205623" w:rsidR="00567EF5" w:rsidRPr="00E837F8" w:rsidRDefault="00567EF5">
      <w:pPr>
        <w:spacing w:line="360" w:lineRule="auto"/>
        <w:jc w:val="both"/>
        <w:rPr>
          <w:sz w:val="24"/>
          <w:szCs w:val="24"/>
        </w:rPr>
      </w:pPr>
    </w:p>
    <w:p w14:paraId="287BCF2F" w14:textId="6B9561DE" w:rsidR="00567EF5" w:rsidRPr="00E837F8" w:rsidRDefault="00697CEC">
      <w:pPr>
        <w:spacing w:line="360" w:lineRule="auto"/>
        <w:jc w:val="both"/>
        <w:rPr>
          <w:sz w:val="24"/>
          <w:szCs w:val="24"/>
        </w:rPr>
      </w:pPr>
      <w:r w:rsidRPr="00E837F8">
        <w:rPr>
          <w:noProof/>
        </w:rPr>
        <mc:AlternateContent>
          <mc:Choice Requires="wps">
            <w:drawing>
              <wp:anchor distT="0" distB="0" distL="114300" distR="114300" simplePos="0" relativeHeight="251676672" behindDoc="0" locked="0" layoutInCell="1" hidden="0" allowOverlap="1" wp14:anchorId="287BD02E" wp14:editId="768DEA4F">
                <wp:simplePos x="0" y="0"/>
                <wp:positionH relativeFrom="column">
                  <wp:posOffset>3521250</wp:posOffset>
                </wp:positionH>
                <wp:positionV relativeFrom="paragraph">
                  <wp:posOffset>136713</wp:posOffset>
                </wp:positionV>
                <wp:extent cx="1783153" cy="256029"/>
                <wp:effectExtent l="0" t="514350" r="0" b="563245"/>
                <wp:wrapNone/>
                <wp:docPr id="2052723287" name="Arrow: Right 2052723287"/>
                <wp:cNvGraphicFramePr/>
                <a:graphic xmlns:a="http://schemas.openxmlformats.org/drawingml/2006/main">
                  <a:graphicData uri="http://schemas.microsoft.com/office/word/2010/wordprocessingShape">
                    <wps:wsp>
                      <wps:cNvSpPr/>
                      <wps:spPr>
                        <a:xfrm rot="13438433">
                          <a:off x="0" y="0"/>
                          <a:ext cx="1783153" cy="256029"/>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7"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E" id="Arrow: Right 2052723287" o:spid="_x0000_s1070" type="#_x0000_t13" style="position:absolute;left:0;text-align:left;margin-left:277.25pt;margin-top:10.75pt;width:140.4pt;height:20.15pt;rotation:-8914608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" adj="20049" fillcolor="white [3201]" strokecolor="black [3200]" strokeweight="1pt">
                <v:stroke startarrowwidth="narrow" startarrowlength="short" endarrowwidth="narrow" endarrowlength="short"/>
                <v:textbox inset="2.53958mm,2.53958mm,2.53958mm,2.53958mm">
                  <w:txbxContent>
                    <w:p w14:paraId="287BD067" w14:textId="77777777" w:rsidR="00567EF5" w:rsidRDefault="00567EF5">
                      <w:pPr>
                        <w:textDirection w:val="btLr"/>
                      </w:pPr>
                    </w:p>
                  </w:txbxContent>
                </v:textbox>
              </v:shape>
            </w:pict>
          </mc:Fallback>
        </mc:AlternateContent>
      </w:r>
      <w:r w:rsidRPr="00E837F8">
        <w:rPr>
          <w:noProof/>
        </w:rPr>
        <mc:AlternateContent>
          <mc:Choice Requires="wps">
            <w:drawing>
              <wp:anchor distT="0" distB="0" distL="114300" distR="114300" simplePos="0" relativeHeight="251674624" behindDoc="0" locked="0" layoutInCell="1" hidden="0" allowOverlap="1" wp14:anchorId="287BD02A" wp14:editId="2688880E">
                <wp:simplePos x="0" y="0"/>
                <wp:positionH relativeFrom="column">
                  <wp:posOffset>555655</wp:posOffset>
                </wp:positionH>
                <wp:positionV relativeFrom="paragraph">
                  <wp:posOffset>134880</wp:posOffset>
                </wp:positionV>
                <wp:extent cx="1711960" cy="247602"/>
                <wp:effectExtent l="522922" t="0" r="487363" b="0"/>
                <wp:wrapNone/>
                <wp:docPr id="2052723295" name="Arrow: Right 2052723295"/>
                <wp:cNvGraphicFramePr/>
                <a:graphic xmlns:a="http://schemas.openxmlformats.org/drawingml/2006/main">
                  <a:graphicData uri="http://schemas.microsoft.com/office/word/2010/wordprocessingShape">
                    <wps:wsp>
                      <wps:cNvSpPr/>
                      <wps:spPr>
                        <a:xfrm rot="18786552">
                          <a:off x="0" y="0"/>
                          <a:ext cx="1711960" cy="247602"/>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5"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A" id="Arrow: Right 2052723295" o:spid="_x0000_s1071" type="#_x0000_t13" style="position:absolute;left:0;text-align:left;margin-left:43.75pt;margin-top:10.6pt;width:134.8pt;height:19.5pt;rotation:-3073035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" adj="20038" fillcolor="white [3201]" strokecolor="black [3200]" strokeweight="1pt">
                <v:stroke startarrowwidth="narrow" startarrowlength="short" endarrowwidth="narrow" endarrowlength="short"/>
                <v:textbox inset="2.53958mm,2.53958mm,2.53958mm,2.53958mm">
                  <w:txbxContent>
                    <w:p w14:paraId="287BD065" w14:textId="77777777" w:rsidR="00567EF5" w:rsidRDefault="00567EF5">
                      <w:pPr>
                        <w:textDirection w:val="btLr"/>
                      </w:pPr>
                    </w:p>
                  </w:txbxContent>
                </v:textbox>
              </v:shape>
            </w:pict>
          </mc:Fallback>
        </mc:AlternateContent>
      </w:r>
    </w:p>
    <w:p w14:paraId="287BCF30" w14:textId="2AECF66F" w:rsidR="00567EF5" w:rsidRPr="00E837F8" w:rsidRDefault="00116984">
      <w:pPr>
        <w:spacing w:line="360" w:lineRule="auto"/>
        <w:jc w:val="both"/>
        <w:rPr>
          <w:sz w:val="24"/>
          <w:szCs w:val="24"/>
        </w:rPr>
      </w:pPr>
      <w:r w:rsidRPr="00E837F8">
        <w:rPr>
          <w:noProof/>
        </w:rPr>
        <mc:AlternateContent>
          <mc:Choice Requires="wps">
            <w:drawing>
              <wp:anchor distT="0" distB="0" distL="114300" distR="114300" simplePos="0" relativeHeight="251675648" behindDoc="0" locked="0" layoutInCell="1" hidden="0" allowOverlap="1" wp14:anchorId="287BD02C" wp14:editId="5FB6C7A8">
                <wp:simplePos x="0" y="0"/>
                <wp:positionH relativeFrom="margin">
                  <wp:align>center</wp:align>
                </wp:positionH>
                <wp:positionV relativeFrom="paragraph">
                  <wp:posOffset>210878</wp:posOffset>
                </wp:positionV>
                <wp:extent cx="1883727" cy="214630"/>
                <wp:effectExtent l="0" t="22860" r="17780" b="17780"/>
                <wp:wrapNone/>
                <wp:docPr id="2052723289" name="Arrow: Right 2052723289"/>
                <wp:cNvGraphicFramePr/>
                <a:graphic xmlns:a="http://schemas.openxmlformats.org/drawingml/2006/main">
                  <a:graphicData uri="http://schemas.microsoft.com/office/word/2010/wordprocessingShape">
                    <wps:wsp>
                      <wps:cNvSpPr/>
                      <wps:spPr>
                        <a:xfrm rot="16200000">
                          <a:off x="0" y="0"/>
                          <a:ext cx="1883727" cy="214630"/>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6"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C" id="Arrow: Right 2052723289" o:spid="_x0000_s1072" type="#_x0000_t13" style="position:absolute;left:0;text-align:left;margin-left:0;margin-top:16.6pt;width:148.3pt;height:16.9pt;rotation:-90;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" adj="20369" fillcolor="white [3201]" strokecolor="black [3200]" strokeweight="1pt">
                <v:stroke startarrowwidth="narrow" startarrowlength="short" endarrowwidth="narrow" endarrowlength="short"/>
                <v:textbox inset="2.53958mm,2.53958mm,2.53958mm,2.53958mm">
                  <w:txbxContent>
                    <w:p w14:paraId="287BD066" w14:textId="77777777" w:rsidR="00567EF5" w:rsidRDefault="00567EF5">
                      <w:pPr>
                        <w:textDirection w:val="btLr"/>
                      </w:pPr>
                    </w:p>
                  </w:txbxContent>
                </v:textbox>
                <w10:wrap anchorx="margin"/>
              </v:shape>
            </w:pict>
          </mc:Fallback>
        </mc:AlternateContent>
      </w:r>
    </w:p>
    <w:p w14:paraId="287BCF31" w14:textId="1F26B4A6" w:rsidR="00567EF5" w:rsidRPr="00E837F8" w:rsidRDefault="00116984">
      <w:pPr>
        <w:spacing w:line="360" w:lineRule="auto"/>
        <w:jc w:val="both"/>
        <w:rPr>
          <w:sz w:val="24"/>
          <w:szCs w:val="24"/>
        </w:rPr>
      </w:pPr>
      <w:r w:rsidRPr="00E837F8">
        <w:rPr>
          <w:noProof/>
        </w:rPr>
        <mc:AlternateContent>
          <mc:Choice Requires="wps">
            <w:drawing>
              <wp:anchor distT="0" distB="0" distL="114300" distR="114300" simplePos="0" relativeHeight="251678720" behindDoc="0" locked="0" layoutInCell="1" hidden="0" allowOverlap="1" wp14:anchorId="287BD032" wp14:editId="4908AA51">
                <wp:simplePos x="0" y="0"/>
                <wp:positionH relativeFrom="column">
                  <wp:posOffset>2168236</wp:posOffset>
                </wp:positionH>
                <wp:positionV relativeFrom="paragraph">
                  <wp:posOffset>266007</wp:posOffset>
                </wp:positionV>
                <wp:extent cx="2000770" cy="1163782"/>
                <wp:effectExtent l="0" t="0" r="19050" b="17780"/>
                <wp:wrapNone/>
                <wp:docPr id="2052723300" name="Rectangle 2052723300"/>
                <wp:cNvGraphicFramePr/>
                <a:graphic xmlns:a="http://schemas.openxmlformats.org/drawingml/2006/main">
                  <a:graphicData uri="http://schemas.microsoft.com/office/word/2010/wordprocessingShape">
                    <wps:wsp>
                      <wps:cNvSpPr/>
                      <wps:spPr>
                        <a:xfrm>
                          <a:off x="0" y="0"/>
                          <a:ext cx="2000770" cy="1163782"/>
                        </a:xfrm>
                        <a:prstGeom prst="rect">
                          <a:avLst/>
                        </a:prstGeom>
                        <a:solidFill>
                          <a:schemeClr val="lt1"/>
                        </a:solidFill>
                        <a:ln w="9525" cap="flat" cmpd="sng">
                          <a:solidFill>
                            <a:srgbClr val="000000"/>
                          </a:solidFill>
                          <a:prstDash val="solid"/>
                          <a:round/>
                          <a:headEnd type="none" w="sm" len="sm"/>
                          <a:tailEnd type="none" w="sm" len="sm"/>
                        </a:ln>
                      </wps:spPr>
                      <wps:txbx>
                        <w:txbxContent>
                          <w:p w14:paraId="34BDB0C3" w14:textId="77777777" w:rsidR="00116984" w:rsidRDefault="006578A3" w:rsidP="00116984">
                            <w:pPr>
                              <w:textDirection w:val="btLr"/>
                            </w:pPr>
                            <w:r>
                              <w:rPr>
                                <w:b/>
                                <w:color w:val="000000"/>
                                <w:sz w:val="16"/>
                              </w:rPr>
                              <w:t>Financial Inflence (Pecking order theory)</w:t>
                            </w:r>
                          </w:p>
                          <w:p w14:paraId="59891923"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Cost of capital</w:t>
                            </w:r>
                          </w:p>
                          <w:p w14:paraId="5B4B6EC4"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Earnings volatility &amp; liquidity</w:t>
                            </w:r>
                          </w:p>
                          <w:p w14:paraId="683E82F0"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Access to external finance</w:t>
                            </w:r>
                          </w:p>
                          <w:p w14:paraId="287BD071" w14:textId="2E720BE1" w:rsidR="00567EF5" w:rsidRDefault="006578A3" w:rsidP="00116984">
                            <w:pPr>
                              <w:pStyle w:val="ListParagraph"/>
                              <w:numPr>
                                <w:ilvl w:val="0"/>
                                <w:numId w:val="2"/>
                              </w:numPr>
                              <w:textDirection w:val="btLr"/>
                            </w:pPr>
                            <w:r w:rsidRPr="00116984">
                              <w:rPr>
                                <w:rFonts w:ascii="Calibri" w:eastAsia="Calibri" w:hAnsi="Calibri" w:cs="Calibri"/>
                                <w:color w:val="000000"/>
                                <w:sz w:val="16"/>
                              </w:rPr>
                              <w:t>Adverse Selection</w:t>
                            </w:r>
                          </w:p>
                          <w:p w14:paraId="287BD072" w14:textId="77777777" w:rsidR="00567EF5" w:rsidRDefault="00567EF5">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2" id="Rectangle 2052723300" o:spid="_x0000_s1073" style="position:absolute;left:0;text-align:left;margin-left:170.75pt;margin-top:20.95pt;width:157.55pt;height:91.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" fillcolor="white [3201]">
                <v:stroke startarrowwidth="narrow" startarrowlength="short" endarrowwidth="narrow" endarrowlength="short" joinstyle="round"/>
                <v:textbox inset="2.53958mm,1.2694mm,2.53958mm,1.2694mm">
                  <w:txbxContent>
                    <w:p w14:paraId="34BDB0C3" w14:textId="77777777" w:rsidR="00116984" w:rsidRDefault="006578A3" w:rsidP="00116984">
                      <w:pPr>
                        <w:textDirection w:val="btLr"/>
                      </w:pPr>
                      <w:r>
                        <w:rPr>
                          <w:b/>
                          <w:color w:val="000000"/>
                          <w:sz w:val="16"/>
                        </w:rPr>
                        <w:t>Financial Inflence (Pecking order theory)</w:t>
                      </w:r>
                    </w:p>
                    <w:p w14:paraId="59891923"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Cost of capital</w:t>
                      </w:r>
                    </w:p>
                    <w:p w14:paraId="5B4B6EC4"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Earnings volatility &amp; liquidity</w:t>
                      </w:r>
                    </w:p>
                    <w:p w14:paraId="683E82F0"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Access to external finance</w:t>
                      </w:r>
                    </w:p>
                    <w:p w14:paraId="287BD071" w14:textId="2E720BE1" w:rsidR="00567EF5" w:rsidRDefault="006578A3" w:rsidP="00116984">
                      <w:pPr>
                        <w:pStyle w:val="ListParagraph"/>
                        <w:numPr>
                          <w:ilvl w:val="0"/>
                          <w:numId w:val="2"/>
                        </w:numPr>
                        <w:textDirection w:val="btLr"/>
                      </w:pPr>
                      <w:r w:rsidRPr="00116984">
                        <w:rPr>
                          <w:rFonts w:ascii="Calibri" w:eastAsia="Calibri" w:hAnsi="Calibri" w:cs="Calibri"/>
                          <w:color w:val="000000"/>
                          <w:sz w:val="16"/>
                        </w:rPr>
                        <w:t>Adverse Selection</w:t>
                      </w:r>
                    </w:p>
                    <w:p w14:paraId="287BD072" w14:textId="77777777" w:rsidR="00567EF5" w:rsidRDefault="00567EF5">
                      <w:pPr>
                        <w:textDirection w:val="btLr"/>
                      </w:pPr>
                    </w:p>
                  </w:txbxContent>
                </v:textbox>
              </v:rect>
            </w:pict>
          </mc:Fallback>
        </mc:AlternateContent>
      </w:r>
      <w:r w:rsidRPr="00E837F8">
        <w:rPr>
          <w:noProof/>
        </w:rPr>
        <mc:AlternateContent>
          <mc:Choice Requires="wps">
            <w:drawing>
              <wp:anchor distT="0" distB="0" distL="114300" distR="114300" simplePos="0" relativeHeight="251677696" behindDoc="0" locked="0" layoutInCell="1" hidden="0" allowOverlap="1" wp14:anchorId="287BD030" wp14:editId="1C4B7B32">
                <wp:simplePos x="0" y="0"/>
                <wp:positionH relativeFrom="column">
                  <wp:posOffset>-6927</wp:posOffset>
                </wp:positionH>
                <wp:positionV relativeFrom="paragraph">
                  <wp:posOffset>266007</wp:posOffset>
                </wp:positionV>
                <wp:extent cx="2007235" cy="1129146"/>
                <wp:effectExtent l="0" t="0" r="12065" b="13970"/>
                <wp:wrapNone/>
                <wp:docPr id="2052723294" name="Rectangle 2052723294"/>
                <wp:cNvGraphicFramePr/>
                <a:graphic xmlns:a="http://schemas.openxmlformats.org/drawingml/2006/main">
                  <a:graphicData uri="http://schemas.microsoft.com/office/word/2010/wordprocessingShape">
                    <wps:wsp>
                      <wps:cNvSpPr/>
                      <wps:spPr>
                        <a:xfrm>
                          <a:off x="0" y="0"/>
                          <a:ext cx="2007235" cy="1129146"/>
                        </a:xfrm>
                        <a:prstGeom prst="rect">
                          <a:avLst/>
                        </a:prstGeom>
                        <a:solidFill>
                          <a:schemeClr val="lt1"/>
                        </a:solidFill>
                        <a:ln w="9525" cap="flat" cmpd="sng">
                          <a:solidFill>
                            <a:srgbClr val="000000"/>
                          </a:solidFill>
                          <a:prstDash val="solid"/>
                          <a:round/>
                          <a:headEnd type="none" w="sm" len="sm"/>
                          <a:tailEnd type="none" w="sm" len="sm"/>
                        </a:ln>
                      </wps:spPr>
                      <wps:txbx>
                        <w:txbxContent>
                          <w:p w14:paraId="7CB03ACC" w14:textId="77777777" w:rsidR="00697CEC" w:rsidRDefault="006578A3" w:rsidP="00697CEC">
                            <w:pPr>
                              <w:textDirection w:val="btLr"/>
                            </w:pPr>
                            <w:r>
                              <w:rPr>
                                <w:b/>
                                <w:color w:val="000000"/>
                                <w:sz w:val="16"/>
                              </w:rPr>
                              <w:t>Strategic Influence (Dynamic capabilities theory)</w:t>
                            </w:r>
                          </w:p>
                          <w:p w14:paraId="116E3DA2" w14:textId="77777777" w:rsidR="00116984" w:rsidRPr="00116984" w:rsidRDefault="006578A3" w:rsidP="00697CEC">
                            <w:pPr>
                              <w:pStyle w:val="ListParagraph"/>
                              <w:numPr>
                                <w:ilvl w:val="0"/>
                                <w:numId w:val="1"/>
                              </w:numPr>
                              <w:textDirection w:val="btLr"/>
                            </w:pPr>
                            <w:r w:rsidRPr="00697CEC">
                              <w:rPr>
                                <w:rFonts w:ascii="Calibri" w:eastAsia="Calibri" w:hAnsi="Calibri" w:cs="Calibri"/>
                                <w:color w:val="000000"/>
                                <w:sz w:val="16"/>
                              </w:rPr>
                              <w:t>Innovation &amp; R&amp;D intensity</w:t>
                            </w:r>
                          </w:p>
                          <w:p w14:paraId="71DA6F0F" w14:textId="77777777" w:rsidR="00116984" w:rsidRPr="00116984" w:rsidRDefault="006578A3" w:rsidP="00116984">
                            <w:pPr>
                              <w:pStyle w:val="ListParagraph"/>
                              <w:numPr>
                                <w:ilvl w:val="0"/>
                                <w:numId w:val="1"/>
                              </w:numPr>
                              <w:textDirection w:val="btLr"/>
                            </w:pPr>
                            <w:r w:rsidRPr="00697CEC">
                              <w:rPr>
                                <w:rFonts w:ascii="Calibri" w:eastAsia="Calibri" w:hAnsi="Calibri" w:cs="Calibri"/>
                                <w:color w:val="000000"/>
                                <w:sz w:val="16"/>
                              </w:rPr>
                              <w:t>Market dynamism &amp; conpetition</w:t>
                            </w:r>
                          </w:p>
                          <w:p w14:paraId="34194922" w14:textId="77777777" w:rsidR="00116984" w:rsidRPr="00116984" w:rsidRDefault="006578A3" w:rsidP="00116984">
                            <w:pPr>
                              <w:pStyle w:val="ListParagraph"/>
                              <w:numPr>
                                <w:ilvl w:val="0"/>
                                <w:numId w:val="1"/>
                              </w:numPr>
                              <w:textDirection w:val="btLr"/>
                            </w:pPr>
                            <w:r w:rsidRPr="00116984">
                              <w:rPr>
                                <w:rFonts w:ascii="Calibri" w:eastAsia="Calibri" w:hAnsi="Calibri" w:cs="Calibri"/>
                                <w:color w:val="000000"/>
                                <w:sz w:val="16"/>
                              </w:rPr>
                              <w:t>Stategic flexibility</w:t>
                            </w:r>
                          </w:p>
                          <w:p w14:paraId="287BD06C" w14:textId="5713F7E1" w:rsidR="00567EF5" w:rsidRDefault="006578A3" w:rsidP="00116984">
                            <w:pPr>
                              <w:pStyle w:val="ListParagraph"/>
                              <w:numPr>
                                <w:ilvl w:val="0"/>
                                <w:numId w:val="1"/>
                              </w:numPr>
                              <w:textDirection w:val="btLr"/>
                            </w:pPr>
                            <w:r w:rsidRPr="00116984">
                              <w:rPr>
                                <w:rFonts w:ascii="Calibri" w:eastAsia="Calibri" w:hAnsi="Calibri" w:cs="Calibri"/>
                                <w:color w:val="000000"/>
                                <w:sz w:val="16"/>
                              </w:rPr>
                              <w:t>Capability development</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0" id="Rectangle 2052723294" o:spid="_x0000_s1074" style="position:absolute;left:0;text-align:left;margin-left:-.55pt;margin-top:20.95pt;width:158.05pt;height:8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" fillcolor="white [3201]">
                <v:stroke startarrowwidth="narrow" startarrowlength="short" endarrowwidth="narrow" endarrowlength="short" joinstyle="round"/>
                <v:textbox inset="2.53958mm,1.2694mm,2.53958mm,1.2694mm">
                  <w:txbxContent>
                    <w:p w14:paraId="7CB03ACC" w14:textId="77777777" w:rsidR="00697CEC" w:rsidRDefault="006578A3" w:rsidP="00697CEC">
                      <w:pPr>
                        <w:textDirection w:val="btLr"/>
                      </w:pPr>
                      <w:r>
                        <w:rPr>
                          <w:b/>
                          <w:color w:val="000000"/>
                          <w:sz w:val="16"/>
                        </w:rPr>
                        <w:t>Strategic Influence (Dynamic capabilities theory)</w:t>
                      </w:r>
                    </w:p>
                    <w:p w14:paraId="116E3DA2" w14:textId="77777777" w:rsidR="00116984" w:rsidRPr="00116984" w:rsidRDefault="006578A3" w:rsidP="00697CEC">
                      <w:pPr>
                        <w:pStyle w:val="ListParagraph"/>
                        <w:numPr>
                          <w:ilvl w:val="0"/>
                          <w:numId w:val="1"/>
                        </w:numPr>
                        <w:textDirection w:val="btLr"/>
                      </w:pPr>
                      <w:r w:rsidRPr="00697CEC">
                        <w:rPr>
                          <w:rFonts w:ascii="Calibri" w:eastAsia="Calibri" w:hAnsi="Calibri" w:cs="Calibri"/>
                          <w:color w:val="000000"/>
                          <w:sz w:val="16"/>
                        </w:rPr>
                        <w:t>Innovation &amp; R&amp;D intensity</w:t>
                      </w:r>
                    </w:p>
                    <w:p w14:paraId="71DA6F0F" w14:textId="77777777" w:rsidR="00116984" w:rsidRPr="00116984" w:rsidRDefault="006578A3" w:rsidP="00116984">
                      <w:pPr>
                        <w:pStyle w:val="ListParagraph"/>
                        <w:numPr>
                          <w:ilvl w:val="0"/>
                          <w:numId w:val="1"/>
                        </w:numPr>
                        <w:textDirection w:val="btLr"/>
                      </w:pPr>
                      <w:r w:rsidRPr="00697CEC">
                        <w:rPr>
                          <w:rFonts w:ascii="Calibri" w:eastAsia="Calibri" w:hAnsi="Calibri" w:cs="Calibri"/>
                          <w:color w:val="000000"/>
                          <w:sz w:val="16"/>
                        </w:rPr>
                        <w:t>Market dynamism &amp; conpetition</w:t>
                      </w:r>
                    </w:p>
                    <w:p w14:paraId="34194922" w14:textId="77777777" w:rsidR="00116984" w:rsidRPr="00116984" w:rsidRDefault="006578A3" w:rsidP="00116984">
                      <w:pPr>
                        <w:pStyle w:val="ListParagraph"/>
                        <w:numPr>
                          <w:ilvl w:val="0"/>
                          <w:numId w:val="1"/>
                        </w:numPr>
                        <w:textDirection w:val="btLr"/>
                      </w:pPr>
                      <w:r w:rsidRPr="00116984">
                        <w:rPr>
                          <w:rFonts w:ascii="Calibri" w:eastAsia="Calibri" w:hAnsi="Calibri" w:cs="Calibri"/>
                          <w:color w:val="000000"/>
                          <w:sz w:val="16"/>
                        </w:rPr>
                        <w:t>Stategic flexibility</w:t>
                      </w:r>
                    </w:p>
                    <w:p w14:paraId="287BD06C" w14:textId="5713F7E1" w:rsidR="00567EF5" w:rsidRDefault="006578A3" w:rsidP="00116984">
                      <w:pPr>
                        <w:pStyle w:val="ListParagraph"/>
                        <w:numPr>
                          <w:ilvl w:val="0"/>
                          <w:numId w:val="1"/>
                        </w:numPr>
                        <w:textDirection w:val="btLr"/>
                      </w:pPr>
                      <w:r w:rsidRPr="00116984">
                        <w:rPr>
                          <w:rFonts w:ascii="Calibri" w:eastAsia="Calibri" w:hAnsi="Calibri" w:cs="Calibri"/>
                          <w:color w:val="000000"/>
                          <w:sz w:val="16"/>
                        </w:rPr>
                        <w:t>Capability development</w:t>
                      </w:r>
                    </w:p>
                  </w:txbxContent>
                </v:textbox>
              </v:rect>
            </w:pict>
          </mc:Fallback>
        </mc:AlternateContent>
      </w:r>
    </w:p>
    <w:p w14:paraId="287BCF32" w14:textId="6D4C6764" w:rsidR="00567EF5" w:rsidRPr="00E837F8" w:rsidRDefault="006578A3">
      <w:pPr>
        <w:spacing w:line="360" w:lineRule="auto"/>
        <w:jc w:val="both"/>
        <w:rPr>
          <w:sz w:val="24"/>
          <w:szCs w:val="24"/>
        </w:rPr>
      </w:pPr>
      <w:r w:rsidRPr="00E837F8">
        <w:rPr>
          <w:noProof/>
        </w:rPr>
        <mc:AlternateContent>
          <mc:Choice Requires="wps">
            <w:drawing>
              <wp:anchor distT="0" distB="0" distL="114300" distR="114300" simplePos="0" relativeHeight="251679744" behindDoc="0" locked="0" layoutInCell="1" hidden="0" allowOverlap="1" wp14:anchorId="287BD034" wp14:editId="3B9B4AA0">
                <wp:simplePos x="0" y="0"/>
                <wp:positionH relativeFrom="column">
                  <wp:posOffset>4274127</wp:posOffset>
                </wp:positionH>
                <wp:positionV relativeFrom="paragraph">
                  <wp:posOffset>10045</wp:posOffset>
                </wp:positionV>
                <wp:extent cx="2034209" cy="1163781"/>
                <wp:effectExtent l="0" t="0" r="23495" b="17780"/>
                <wp:wrapNone/>
                <wp:docPr id="2052723293" name="Rectangle 2052723293"/>
                <wp:cNvGraphicFramePr/>
                <a:graphic xmlns:a="http://schemas.openxmlformats.org/drawingml/2006/main">
                  <a:graphicData uri="http://schemas.microsoft.com/office/word/2010/wordprocessingShape">
                    <wps:wsp>
                      <wps:cNvSpPr/>
                      <wps:spPr>
                        <a:xfrm>
                          <a:off x="0" y="0"/>
                          <a:ext cx="2034209" cy="1163781"/>
                        </a:xfrm>
                        <a:prstGeom prst="rect">
                          <a:avLst/>
                        </a:prstGeom>
                        <a:solidFill>
                          <a:schemeClr val="lt1"/>
                        </a:solidFill>
                        <a:ln w="9525" cap="flat" cmpd="sng">
                          <a:solidFill>
                            <a:srgbClr val="000000"/>
                          </a:solidFill>
                          <a:prstDash val="solid"/>
                          <a:round/>
                          <a:headEnd type="none" w="sm" len="sm"/>
                          <a:tailEnd type="none" w="sm" len="sm"/>
                        </a:ln>
                      </wps:spPr>
                      <wps:txbx>
                        <w:txbxContent>
                          <w:p w14:paraId="3158ED0D" w14:textId="77777777" w:rsidR="00116984" w:rsidRDefault="006578A3" w:rsidP="00116984">
                            <w:pPr>
                              <w:textDirection w:val="btLr"/>
                            </w:pPr>
                            <w:r>
                              <w:rPr>
                                <w:b/>
                                <w:color w:val="000000"/>
                                <w:sz w:val="16"/>
                              </w:rPr>
                              <w:t>Organisational influence (Agency Theory)</w:t>
                            </w:r>
                          </w:p>
                          <w:p w14:paraId="12AF8E5B"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Corporate Governence</w:t>
                            </w:r>
                          </w:p>
                          <w:p w14:paraId="30D10CB9"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Ownership structure</w:t>
                            </w:r>
                          </w:p>
                          <w:p w14:paraId="406144A3"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Managerial incentives and Risk appetite</w:t>
                            </w:r>
                          </w:p>
                          <w:p w14:paraId="287BD077" w14:textId="009DCA29" w:rsidR="00567EF5" w:rsidRDefault="006578A3" w:rsidP="00116984">
                            <w:pPr>
                              <w:pStyle w:val="ListParagraph"/>
                              <w:numPr>
                                <w:ilvl w:val="0"/>
                                <w:numId w:val="3"/>
                              </w:numPr>
                              <w:textDirection w:val="btLr"/>
                            </w:pPr>
                            <w:r w:rsidRPr="00116984">
                              <w:rPr>
                                <w:rFonts w:ascii="Calibri" w:eastAsia="Calibri" w:hAnsi="Calibri" w:cs="Calibri"/>
                                <w:color w:val="000000"/>
                                <w:sz w:val="16"/>
                              </w:rPr>
                              <w:t>Moral Hazard &amp; Monitoring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4" id="Rectangle 2052723293" o:spid="_x0000_s1075" style="position:absolute;left:0;text-align:left;margin-left:336.55pt;margin-top:.8pt;width:160.15pt;height:91.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" fillcolor="white [3201]">
                <v:stroke startarrowwidth="narrow" startarrowlength="short" endarrowwidth="narrow" endarrowlength="short" joinstyle="round"/>
                <v:textbox inset="2.53958mm,1.2694mm,2.53958mm,1.2694mm">
                  <w:txbxContent>
                    <w:p w14:paraId="3158ED0D" w14:textId="77777777" w:rsidR="00116984" w:rsidRDefault="006578A3" w:rsidP="00116984">
                      <w:pPr>
                        <w:textDirection w:val="btLr"/>
                      </w:pPr>
                      <w:r>
                        <w:rPr>
                          <w:b/>
                          <w:color w:val="000000"/>
                          <w:sz w:val="16"/>
                        </w:rPr>
                        <w:t>Organisational influence (Agency Theory)</w:t>
                      </w:r>
                    </w:p>
                    <w:p w14:paraId="12AF8E5B"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Corporate Governence</w:t>
                      </w:r>
                    </w:p>
                    <w:p w14:paraId="30D10CB9"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Ownership structure</w:t>
                      </w:r>
                    </w:p>
                    <w:p w14:paraId="406144A3"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Managerial incentives and Risk appetite</w:t>
                      </w:r>
                    </w:p>
                    <w:p w14:paraId="287BD077" w14:textId="009DCA29" w:rsidR="00567EF5" w:rsidRDefault="006578A3" w:rsidP="00116984">
                      <w:pPr>
                        <w:pStyle w:val="ListParagraph"/>
                        <w:numPr>
                          <w:ilvl w:val="0"/>
                          <w:numId w:val="3"/>
                        </w:numPr>
                        <w:textDirection w:val="btLr"/>
                      </w:pPr>
                      <w:r w:rsidRPr="00116984">
                        <w:rPr>
                          <w:rFonts w:ascii="Calibri" w:eastAsia="Calibri" w:hAnsi="Calibri" w:cs="Calibri"/>
                          <w:color w:val="000000"/>
                          <w:sz w:val="16"/>
                        </w:rPr>
                        <w:t>Moral Hazard &amp; Monitoring</w:t>
                      </w:r>
                    </w:p>
                  </w:txbxContent>
                </v:textbox>
              </v:rect>
            </w:pict>
          </mc:Fallback>
        </mc:AlternateContent>
      </w:r>
    </w:p>
    <w:p w14:paraId="287BCF33" w14:textId="77777777" w:rsidR="00567EF5" w:rsidRPr="00E837F8" w:rsidRDefault="00567EF5">
      <w:pPr>
        <w:spacing w:line="360" w:lineRule="auto"/>
        <w:jc w:val="both"/>
        <w:rPr>
          <w:sz w:val="24"/>
          <w:szCs w:val="24"/>
        </w:rPr>
      </w:pPr>
    </w:p>
    <w:p w14:paraId="287BCF34" w14:textId="77777777" w:rsidR="00567EF5" w:rsidRPr="00E837F8" w:rsidRDefault="00567EF5">
      <w:pPr>
        <w:pStyle w:val="Heading1"/>
        <w:rPr>
          <w:rFonts w:ascii="Times New Roman" w:eastAsia="Times New Roman" w:hAnsi="Times New Roman" w:cs="Times New Roman"/>
          <w:color w:val="000000"/>
          <w:sz w:val="24"/>
          <w:szCs w:val="24"/>
        </w:rPr>
      </w:pPr>
    </w:p>
    <w:p w14:paraId="571786DB" w14:textId="77777777" w:rsidR="00CA6026" w:rsidRPr="00E837F8" w:rsidRDefault="00CA6026" w:rsidP="00CA6026"/>
    <w:p w14:paraId="7D38FBAD" w14:textId="77777777" w:rsidR="00CA6026" w:rsidRDefault="00CA6026" w:rsidP="00CA6026"/>
    <w:p w14:paraId="2D5682DC" w14:textId="672D3B70" w:rsidR="00156B83" w:rsidRPr="00F21EA7" w:rsidRDefault="00156B83" w:rsidP="00CA6026">
      <w:pPr>
        <w:rPr>
          <w:i/>
          <w:iCs/>
        </w:rPr>
      </w:pPr>
      <w:r w:rsidRPr="00F21EA7">
        <w:rPr>
          <w:i/>
          <w:iCs/>
        </w:rPr>
        <w:t>Source(s): Authors' work.</w:t>
      </w:r>
    </w:p>
    <w:p w14:paraId="37DE6183" w14:textId="77777777" w:rsidR="00156B83" w:rsidRDefault="00156B83" w:rsidP="00CA6026"/>
    <w:p w14:paraId="72D6ADF5" w14:textId="77777777" w:rsidR="00156B83" w:rsidRPr="00E837F8" w:rsidRDefault="00156B83" w:rsidP="00CA6026"/>
    <w:p w14:paraId="012B7F6A" w14:textId="67794623" w:rsidR="008453C8" w:rsidRPr="00E837F8" w:rsidRDefault="00BF2833" w:rsidP="00BF2833">
      <w:pPr>
        <w:pStyle w:val="Caption"/>
        <w:rPr>
          <w:rFonts w:ascii="Times New Roman" w:eastAsia="Times New Roman" w:hAnsi="Times New Roman" w:cs="Times New Roman"/>
          <w:b/>
          <w:bCs/>
          <w:color w:val="000000"/>
          <w:sz w:val="24"/>
          <w:szCs w:val="24"/>
        </w:rPr>
      </w:pPr>
      <w:bookmarkStart w:id="24" w:name="_Toc225491097"/>
      <w:r w:rsidRPr="00E837F8">
        <w:rPr>
          <w:rFonts w:ascii="Times New Roman" w:hAnsi="Times New Roman" w:cs="Times New Roman"/>
          <w:sz w:val="24"/>
          <w:szCs w:val="24"/>
        </w:rPr>
        <w:t xml:space="preserve">Figure </w:t>
      </w:r>
      <w:r w:rsidRPr="00E837F8">
        <w:rPr>
          <w:rFonts w:ascii="Times New Roman" w:hAnsi="Times New Roman" w:cs="Times New Roman"/>
          <w:sz w:val="24"/>
          <w:szCs w:val="24"/>
        </w:rPr>
        <w:fldChar w:fldCharType="begin"/>
      </w:r>
      <w:r w:rsidRPr="00E837F8">
        <w:rPr>
          <w:rFonts w:ascii="Times New Roman" w:hAnsi="Times New Roman" w:cs="Times New Roman"/>
          <w:sz w:val="24"/>
          <w:szCs w:val="24"/>
        </w:rPr>
        <w:instrText xml:space="preserve"> SEQ Figure \* ARABIC </w:instrText>
      </w:r>
      <w:r w:rsidRPr="00E837F8">
        <w:rPr>
          <w:rFonts w:ascii="Times New Roman" w:hAnsi="Times New Roman" w:cs="Times New Roman"/>
          <w:sz w:val="24"/>
          <w:szCs w:val="24"/>
        </w:rPr>
        <w:fldChar w:fldCharType="separate"/>
      </w:r>
      <w:r w:rsidR="00DF0DEF" w:rsidRPr="00E837F8">
        <w:rPr>
          <w:rFonts w:ascii="Times New Roman" w:hAnsi="Times New Roman" w:cs="Times New Roman"/>
          <w:noProof/>
          <w:sz w:val="24"/>
          <w:szCs w:val="24"/>
        </w:rPr>
        <w:t>2</w:t>
      </w:r>
      <w:r w:rsidRPr="00E837F8">
        <w:rPr>
          <w:rFonts w:ascii="Times New Roman" w:hAnsi="Times New Roman" w:cs="Times New Roman"/>
          <w:sz w:val="24"/>
          <w:szCs w:val="24"/>
        </w:rPr>
        <w:fldChar w:fldCharType="end"/>
      </w:r>
      <w:r w:rsidRPr="00E837F8">
        <w:rPr>
          <w:rFonts w:ascii="Times New Roman" w:hAnsi="Times New Roman" w:cs="Times New Roman"/>
          <w:sz w:val="24"/>
          <w:szCs w:val="24"/>
        </w:rPr>
        <w:t>: Conceptual Framework</w:t>
      </w:r>
      <w:r w:rsidR="00CA6026" w:rsidRPr="00E837F8">
        <w:rPr>
          <w:rFonts w:ascii="Times New Roman" w:hAnsi="Times New Roman" w:cs="Times New Roman"/>
          <w:sz w:val="24"/>
          <w:szCs w:val="24"/>
        </w:rPr>
        <w:t xml:space="preserve"> of the literature.</w:t>
      </w:r>
      <w:bookmarkEnd w:id="24"/>
    </w:p>
    <w:p w14:paraId="287BCF35" w14:textId="7CBDF619" w:rsidR="00567EF5" w:rsidRPr="00E837F8" w:rsidRDefault="006578A3">
      <w:pPr>
        <w:pStyle w:val="Heading1"/>
        <w:jc w:val="both"/>
        <w:rPr>
          <w:rFonts w:ascii="Times New Roman" w:eastAsia="Times New Roman" w:hAnsi="Times New Roman" w:cs="Times New Roman"/>
          <w:b/>
          <w:bCs/>
          <w:color w:val="000000"/>
          <w:sz w:val="24"/>
          <w:szCs w:val="24"/>
        </w:rPr>
      </w:pPr>
      <w:bookmarkStart w:id="25" w:name="_Toc225519602"/>
      <w:r w:rsidRPr="00E837F8">
        <w:rPr>
          <w:rFonts w:ascii="Times New Roman" w:eastAsia="Times New Roman" w:hAnsi="Times New Roman" w:cs="Times New Roman"/>
          <w:b/>
          <w:bCs/>
          <w:color w:val="000000"/>
          <w:sz w:val="24"/>
          <w:szCs w:val="24"/>
        </w:rPr>
        <w:t xml:space="preserve">4. Discussion; debates, and contrasting opinions: Strategic, </w:t>
      </w:r>
      <w:r w:rsidR="00C12137">
        <w:rPr>
          <w:rFonts w:ascii="Times New Roman" w:eastAsia="Times New Roman" w:hAnsi="Times New Roman" w:cs="Times New Roman"/>
          <w:b/>
          <w:bCs/>
          <w:color w:val="000000"/>
          <w:sz w:val="24"/>
          <w:szCs w:val="24"/>
        </w:rPr>
        <w:t>f</w:t>
      </w:r>
      <w:r w:rsidRPr="00E837F8">
        <w:rPr>
          <w:rFonts w:ascii="Times New Roman" w:eastAsia="Times New Roman" w:hAnsi="Times New Roman" w:cs="Times New Roman"/>
          <w:b/>
          <w:bCs/>
          <w:color w:val="000000"/>
          <w:sz w:val="24"/>
          <w:szCs w:val="24"/>
        </w:rPr>
        <w:t>inancial, and organisational interactions</w:t>
      </w:r>
      <w:bookmarkEnd w:id="25"/>
    </w:p>
    <w:p w14:paraId="287BCF36" w14:textId="77777777" w:rsidR="00567EF5" w:rsidRPr="00E837F8" w:rsidRDefault="006578A3">
      <w:pPr>
        <w:spacing w:line="360" w:lineRule="auto"/>
        <w:jc w:val="both"/>
        <w:rPr>
          <w:sz w:val="24"/>
          <w:szCs w:val="24"/>
        </w:rPr>
      </w:pPr>
      <w:r w:rsidRPr="00E837F8">
        <w:rPr>
          <w:sz w:val="24"/>
          <w:szCs w:val="24"/>
        </w:rPr>
        <w:t xml:space="preserve">The literature from 2015 to 2026 offers a largely consistent perspective that retained earnings are a major internal financing source, but significant disagreements develop about when, why, and how organisations rely on them. A fundamental point of agreement is that retained earnings are especially relevant when faced with financial restrictions or information asymmetry. Studies such as Lewellen and Lewellen (2016) and Riaz </w:t>
      </w:r>
      <w:r w:rsidRPr="00E837F8">
        <w:rPr>
          <w:i/>
          <w:iCs/>
          <w:sz w:val="24"/>
          <w:szCs w:val="24"/>
        </w:rPr>
        <w:t>et al.</w:t>
      </w:r>
      <w:r w:rsidRPr="00E837F8">
        <w:rPr>
          <w:sz w:val="24"/>
          <w:szCs w:val="24"/>
        </w:rPr>
        <w:t xml:space="preserve"> (2016) demonstrate substantial investment-cash flow sensitivity, implying that internal funds drive investment when external finance is scarce. Guizani, and Ajmi (2021) support this by illustrating how contractionary monetary policy promotes reliance on internal funds. These findings are consistent with evidence from SMEs and </w:t>
      </w:r>
      <w:r w:rsidRPr="00E837F8">
        <w:rPr>
          <w:sz w:val="24"/>
          <w:szCs w:val="24"/>
        </w:rPr>
        <w:lastRenderedPageBreak/>
        <w:t>developing market enterprises, which rely heavily on retained earnings because of structural financing frictions.</w:t>
      </w:r>
    </w:p>
    <w:p w14:paraId="287BCF37" w14:textId="77777777" w:rsidR="00567EF5" w:rsidRPr="00E837F8" w:rsidRDefault="006578A3">
      <w:pPr>
        <w:spacing w:line="360" w:lineRule="auto"/>
        <w:jc w:val="both"/>
        <w:rPr>
          <w:sz w:val="24"/>
          <w:szCs w:val="24"/>
        </w:rPr>
      </w:pPr>
      <w:r w:rsidRPr="00E837F8">
        <w:rPr>
          <w:sz w:val="24"/>
          <w:szCs w:val="24"/>
        </w:rPr>
        <w:t xml:space="preserve">However, there is a substantial controversy about whether retained earnings continuously encourage productive investment. According to Romero </w:t>
      </w:r>
      <w:r w:rsidRPr="00E837F8">
        <w:rPr>
          <w:i/>
          <w:iCs/>
          <w:sz w:val="24"/>
          <w:szCs w:val="24"/>
        </w:rPr>
        <w:t>et al.</w:t>
      </w:r>
      <w:r w:rsidRPr="00E837F8">
        <w:rPr>
          <w:sz w:val="24"/>
          <w:szCs w:val="24"/>
        </w:rPr>
        <w:t xml:space="preserve"> (2026), SMEs reinvest retained earnings in innovation based on pecking order logic. However, Davis (2017) suggests that firms in advanced economies divert internal funds towards financial assets or shareholder payouts. This discrepancy indicates that the strategic use of retained revenues varies: in limited contexts, internal funds facilitate innovation, whereas in financially liberalized financial markets, they might contribute to financialization instead of capital development Alam, Uddin and Yazdifar (2019).</w:t>
      </w:r>
    </w:p>
    <w:p w14:paraId="287BCF38" w14:textId="77777777" w:rsidR="00567EF5" w:rsidRPr="00E837F8" w:rsidRDefault="006578A3">
      <w:pPr>
        <w:spacing w:line="360" w:lineRule="auto"/>
        <w:jc w:val="both"/>
        <w:rPr>
          <w:sz w:val="24"/>
          <w:szCs w:val="24"/>
        </w:rPr>
      </w:pPr>
      <w:r w:rsidRPr="00E837F8">
        <w:rPr>
          <w:sz w:val="24"/>
          <w:szCs w:val="24"/>
        </w:rPr>
        <w:t xml:space="preserve">Another point of discussion is the extent at which external financing can replace retained earnings. Several research studies corroborate the pecking order idea, which predicts a significant preference for internal funds. Bilicka (2020) demonstrates that when firms' retained earnings are low, they are unable to react to fluctuations in the cost of capital, keeping internal funds the primary driver of investment. Similarly, Ahmad </w:t>
      </w:r>
      <w:r w:rsidRPr="00E837F8">
        <w:rPr>
          <w:i/>
          <w:iCs/>
          <w:sz w:val="24"/>
          <w:szCs w:val="24"/>
        </w:rPr>
        <w:t>et al.</w:t>
      </w:r>
      <w:r w:rsidRPr="00E837F8">
        <w:rPr>
          <w:sz w:val="24"/>
          <w:szCs w:val="24"/>
        </w:rPr>
        <w:t xml:space="preserve"> (2023) and Martinez, Scherger and Guercio (2019) find that asymmetric information encourages enterprises, particularly SMEs, to keep earnings. In contrast, Alam, Uddin and Yazdifar (2019) demonstrate that improved financial systems minimize dependency on internal funds, allowing enterprises to employ external capital for R&amp;D. Thus, internal finances are required, but not necessarily adequate, for long-term strategic initiatives.</w:t>
      </w:r>
    </w:p>
    <w:p w14:paraId="287BCF39" w14:textId="77777777" w:rsidR="00567EF5" w:rsidRPr="00E837F8" w:rsidRDefault="006578A3">
      <w:pPr>
        <w:spacing w:line="360" w:lineRule="auto"/>
        <w:jc w:val="both"/>
        <w:rPr>
          <w:sz w:val="24"/>
          <w:szCs w:val="24"/>
        </w:rPr>
      </w:pPr>
      <w:r w:rsidRPr="00E837F8">
        <w:rPr>
          <w:sz w:val="24"/>
          <w:szCs w:val="24"/>
        </w:rPr>
        <w:t xml:space="preserve">Organisational issues contribute to further divergence. Strong governance fosters risk-taking and long-term investment (Dixon, Guariglia and Vijayakumaran, 2017), but inadequate governance promotes leverage and riskier financing behavior (Boateng </w:t>
      </w:r>
      <w:r w:rsidRPr="00E837F8">
        <w:rPr>
          <w:i/>
          <w:iCs/>
          <w:sz w:val="24"/>
          <w:szCs w:val="24"/>
        </w:rPr>
        <w:t>et al.</w:t>
      </w:r>
      <w:r w:rsidRPr="00E837F8">
        <w:rPr>
          <w:sz w:val="24"/>
          <w:szCs w:val="24"/>
        </w:rPr>
        <w:t xml:space="preserve">, 2017). Ownership structure also influences preferences: family enterprises prefer retained earnings to maintain control (Michiels and Molly, 2017), but managerial share ownership influences debt use in nonlinear ways (Sun, </w:t>
      </w:r>
      <w:r w:rsidRPr="00E837F8">
        <w:rPr>
          <w:i/>
          <w:iCs/>
          <w:sz w:val="24"/>
          <w:szCs w:val="24"/>
        </w:rPr>
        <w:t>et al.</w:t>
      </w:r>
      <w:r w:rsidRPr="00E837F8">
        <w:rPr>
          <w:sz w:val="24"/>
          <w:szCs w:val="24"/>
        </w:rPr>
        <w:t>, 2016). A fundamental issue occurs around managerial discretion: although some studies suggest that incentives match managers with shareholders (Casavecchia and Suh, 2017), others emphasize moral hazard hazards when monitoring is inadequate (Panda and Leepsa, 2017; Lin, 2021).</w:t>
      </w:r>
    </w:p>
    <w:p w14:paraId="287BCF3A" w14:textId="77777777" w:rsidR="00567EF5" w:rsidRPr="00E837F8" w:rsidRDefault="006578A3">
      <w:pPr>
        <w:spacing w:line="360" w:lineRule="auto"/>
        <w:jc w:val="both"/>
        <w:rPr>
          <w:sz w:val="24"/>
          <w:szCs w:val="24"/>
        </w:rPr>
      </w:pPr>
      <w:r w:rsidRPr="00E837F8">
        <w:rPr>
          <w:sz w:val="24"/>
          <w:szCs w:val="24"/>
        </w:rPr>
        <w:t xml:space="preserve">Overall, the literature demonstrates that retained earnings are more than just residual profits; they are a strategic, contentious financial resource whose role is determined by financial limits, strategic priorities, and governance effectiveness. According to the discussions, internal funds can either </w:t>
      </w:r>
      <w:r w:rsidRPr="00E837F8">
        <w:rPr>
          <w:sz w:val="24"/>
          <w:szCs w:val="24"/>
        </w:rPr>
        <w:lastRenderedPageBreak/>
        <w:t>promote long-term value creation or reinforce short-termism and financialization, depending on the institutional and organisational framework.</w:t>
      </w:r>
    </w:p>
    <w:p w14:paraId="287BCF3B" w14:textId="77777777" w:rsidR="00567EF5" w:rsidRPr="00E837F8" w:rsidRDefault="006578A3">
      <w:pPr>
        <w:pStyle w:val="Heading1"/>
        <w:rPr>
          <w:rFonts w:ascii="Times New Roman" w:eastAsia="Times New Roman" w:hAnsi="Times New Roman" w:cs="Times New Roman"/>
          <w:b/>
          <w:bCs/>
          <w:color w:val="000000"/>
          <w:sz w:val="24"/>
          <w:szCs w:val="24"/>
        </w:rPr>
      </w:pPr>
      <w:bookmarkStart w:id="26" w:name="_Toc225519603"/>
      <w:r w:rsidRPr="00E837F8">
        <w:rPr>
          <w:rFonts w:ascii="Times New Roman" w:eastAsia="Times New Roman" w:hAnsi="Times New Roman" w:cs="Times New Roman"/>
          <w:b/>
          <w:bCs/>
          <w:color w:val="000000"/>
          <w:sz w:val="24"/>
          <w:szCs w:val="24"/>
        </w:rPr>
        <w:t>5. Research Contribution</w:t>
      </w:r>
      <w:bookmarkEnd w:id="26"/>
    </w:p>
    <w:p w14:paraId="287BCF3C" w14:textId="77777777" w:rsidR="00567EF5" w:rsidRPr="00E837F8" w:rsidRDefault="006578A3">
      <w:pPr>
        <w:spacing w:line="360" w:lineRule="auto"/>
        <w:jc w:val="both"/>
        <w:rPr>
          <w:sz w:val="24"/>
          <w:szCs w:val="24"/>
        </w:rPr>
      </w:pPr>
      <w:r w:rsidRPr="00E837F8">
        <w:rPr>
          <w:sz w:val="24"/>
          <w:szCs w:val="24"/>
        </w:rPr>
        <w:t>This first review provides several significant academic contributions. First, it combines disparate research streams, financial constraints, strategic investment behavior, governance, and managerial incentives to provide a comprehensive understanding of how retained earnings influence capital budgeting decisions. Existing research often examines these aspects in isolation; by combining them, the review emphasizes the importance of multidimensional frameworks that capture the interplay between financial, strategic, and organisational causes. Second, the study identifies major literature issues, such as whether retained earnings boost productive investment or contribute to financialization, allowing for theory development in pecking order, agency, and behavioral finance perspectives. Third, it reveals hitherto unexplored topics, such as intra-firm distribution of internal funds, the importance of retained earnings in digital and sustainability transitions, and cross-country institutional variations, laying the groundwork for further empirical research.</w:t>
      </w:r>
    </w:p>
    <w:p w14:paraId="287BCF3D" w14:textId="77777777" w:rsidR="00567EF5" w:rsidRPr="00E837F8" w:rsidRDefault="006578A3">
      <w:pPr>
        <w:spacing w:line="360" w:lineRule="auto"/>
        <w:jc w:val="both"/>
        <w:rPr>
          <w:sz w:val="24"/>
          <w:szCs w:val="24"/>
        </w:rPr>
      </w:pPr>
      <w:r w:rsidRPr="00E837F8">
        <w:rPr>
          <w:sz w:val="24"/>
          <w:szCs w:val="24"/>
        </w:rPr>
        <w:t>The evaluation also includes significant managerial contributions. It explains how retained earnings serve as a strategic resource that improves financial flexibility, fosters innovation, and reduces external financing concerns. Managers can utilise these insights to improve capital planning processes, balance short-term liquidity with long-term investment, and develop governance measures to prevent internal funds from being misused. The findings also help decision makers prioritize internal finance for high-risk, high-return projects, especially in uncertain or fiscally limited circumstances.</w:t>
      </w:r>
    </w:p>
    <w:p w14:paraId="287BCF3E" w14:textId="77777777" w:rsidR="00567EF5" w:rsidRPr="00E837F8" w:rsidRDefault="006578A3">
      <w:pPr>
        <w:pStyle w:val="Heading1"/>
        <w:rPr>
          <w:rFonts w:ascii="Times New Roman" w:eastAsia="Times New Roman" w:hAnsi="Times New Roman" w:cs="Times New Roman"/>
          <w:b/>
          <w:bCs/>
          <w:color w:val="000000"/>
          <w:sz w:val="24"/>
          <w:szCs w:val="24"/>
        </w:rPr>
      </w:pPr>
      <w:bookmarkStart w:id="27" w:name="_Toc225519604"/>
      <w:r w:rsidRPr="00E837F8">
        <w:rPr>
          <w:rFonts w:ascii="Times New Roman" w:eastAsia="Times New Roman" w:hAnsi="Times New Roman" w:cs="Times New Roman"/>
          <w:b/>
          <w:bCs/>
          <w:color w:val="000000"/>
          <w:sz w:val="24"/>
          <w:szCs w:val="24"/>
        </w:rPr>
        <w:t>6. Identified Gaps in the Literature</w:t>
      </w:r>
      <w:bookmarkEnd w:id="27"/>
      <w:r w:rsidRPr="00E837F8">
        <w:rPr>
          <w:rFonts w:ascii="Times New Roman" w:eastAsia="Times New Roman" w:hAnsi="Times New Roman" w:cs="Times New Roman"/>
          <w:b/>
          <w:bCs/>
          <w:color w:val="000000"/>
          <w:sz w:val="24"/>
          <w:szCs w:val="24"/>
        </w:rPr>
        <w:t xml:space="preserve"> </w:t>
      </w:r>
    </w:p>
    <w:p w14:paraId="287BCF3F" w14:textId="77777777" w:rsidR="00567EF5" w:rsidRPr="00E837F8" w:rsidRDefault="006578A3">
      <w:pPr>
        <w:spacing w:line="360" w:lineRule="auto"/>
        <w:jc w:val="both"/>
        <w:rPr>
          <w:sz w:val="24"/>
          <w:szCs w:val="24"/>
        </w:rPr>
      </w:pPr>
      <w:r w:rsidRPr="00E837F8">
        <w:rPr>
          <w:sz w:val="24"/>
          <w:szCs w:val="24"/>
        </w:rPr>
        <w:t>This study includes integrated models that consider financial, strategic, and organisational factors, as well as empirical evidence on capital budgeting technique selection; trade-offs when allocating retained earnings to digital and sustainability projects; insights into internal capital markets within multi-unit firms; and strong causal links between governance and moral hazard.</w:t>
      </w:r>
    </w:p>
    <w:p w14:paraId="287BCF40" w14:textId="77777777" w:rsidR="00567EF5" w:rsidRPr="00E837F8" w:rsidRDefault="006578A3">
      <w:pPr>
        <w:pStyle w:val="Heading1"/>
        <w:rPr>
          <w:rFonts w:ascii="Times New Roman" w:eastAsia="Times New Roman" w:hAnsi="Times New Roman" w:cs="Times New Roman"/>
          <w:b/>
          <w:bCs/>
          <w:color w:val="000000"/>
          <w:sz w:val="24"/>
          <w:szCs w:val="24"/>
        </w:rPr>
      </w:pPr>
      <w:bookmarkStart w:id="28" w:name="_Toc225519605"/>
      <w:r w:rsidRPr="00E837F8">
        <w:rPr>
          <w:rFonts w:ascii="Times New Roman" w:eastAsia="Times New Roman" w:hAnsi="Times New Roman" w:cs="Times New Roman"/>
          <w:b/>
          <w:bCs/>
          <w:color w:val="000000"/>
          <w:sz w:val="24"/>
          <w:szCs w:val="24"/>
        </w:rPr>
        <w:t>7. Revised Research Questions</w:t>
      </w:r>
      <w:bookmarkEnd w:id="28"/>
    </w:p>
    <w:p w14:paraId="287BCF41" w14:textId="77777777" w:rsidR="00567EF5" w:rsidRPr="00E837F8" w:rsidRDefault="006578A3">
      <w:pPr>
        <w:spacing w:line="360" w:lineRule="auto"/>
        <w:jc w:val="both"/>
        <w:rPr>
          <w:sz w:val="24"/>
          <w:szCs w:val="24"/>
        </w:rPr>
      </w:pPr>
      <w:r w:rsidRPr="00E837F8">
        <w:rPr>
          <w:sz w:val="24"/>
          <w:szCs w:val="24"/>
        </w:rPr>
        <w:t>i. How do financial constraints, strategic priorities, and organisational governance affect organisations' dependence on retained earnings in capital budgeting decisions?</w:t>
      </w:r>
    </w:p>
    <w:p w14:paraId="287BCF42" w14:textId="77777777" w:rsidR="00567EF5" w:rsidRPr="00E837F8" w:rsidRDefault="006578A3">
      <w:pPr>
        <w:spacing w:line="360" w:lineRule="auto"/>
        <w:jc w:val="both"/>
        <w:rPr>
          <w:sz w:val="24"/>
          <w:szCs w:val="24"/>
        </w:rPr>
      </w:pPr>
      <w:r w:rsidRPr="00E837F8">
        <w:rPr>
          <w:sz w:val="24"/>
          <w:szCs w:val="24"/>
        </w:rPr>
        <w:lastRenderedPageBreak/>
        <w:t>ii. How do differing amounts of retained earnings affect organisations' capital planning strategies (e.g., NPV, IRR, payback period) across industries?</w:t>
      </w:r>
    </w:p>
    <w:p w14:paraId="287BCF43" w14:textId="77777777" w:rsidR="00567EF5" w:rsidRPr="00E837F8" w:rsidRDefault="006578A3">
      <w:pPr>
        <w:spacing w:line="360" w:lineRule="auto"/>
        <w:jc w:val="both"/>
        <w:rPr>
          <w:sz w:val="24"/>
          <w:szCs w:val="24"/>
        </w:rPr>
      </w:pPr>
      <w:r w:rsidRPr="00E837F8">
        <w:rPr>
          <w:sz w:val="24"/>
          <w:szCs w:val="24"/>
        </w:rPr>
        <w:t>iii. How should organisations prioritize retained earnings above digital transformation, sustainability efforts, and traditional capital investments when internal finances are limited?</w:t>
      </w:r>
    </w:p>
    <w:p w14:paraId="287BCF44" w14:textId="77777777" w:rsidR="00567EF5" w:rsidRPr="00E837F8" w:rsidRDefault="006578A3">
      <w:pPr>
        <w:spacing w:line="360" w:lineRule="auto"/>
        <w:jc w:val="both"/>
        <w:rPr>
          <w:sz w:val="24"/>
          <w:szCs w:val="24"/>
        </w:rPr>
      </w:pPr>
      <w:r w:rsidRPr="00E837F8">
        <w:rPr>
          <w:sz w:val="24"/>
          <w:szCs w:val="24"/>
        </w:rPr>
        <w:t>iv. How does governance quality impact the efficiency of retained earnings allocation in long-term investment decisions?</w:t>
      </w:r>
    </w:p>
    <w:p w14:paraId="287BCF45" w14:textId="77777777" w:rsidR="00567EF5" w:rsidRPr="00E837F8" w:rsidRDefault="006578A3">
      <w:pPr>
        <w:pStyle w:val="Heading1"/>
        <w:jc w:val="both"/>
        <w:rPr>
          <w:rFonts w:ascii="Times New Roman" w:eastAsia="Times New Roman" w:hAnsi="Times New Roman" w:cs="Times New Roman"/>
          <w:b/>
          <w:bCs/>
          <w:color w:val="000000"/>
          <w:sz w:val="24"/>
          <w:szCs w:val="24"/>
        </w:rPr>
      </w:pPr>
      <w:bookmarkStart w:id="29" w:name="_Toc225519606"/>
      <w:r w:rsidRPr="00E837F8">
        <w:rPr>
          <w:rFonts w:ascii="Times New Roman" w:eastAsia="Times New Roman" w:hAnsi="Times New Roman" w:cs="Times New Roman"/>
          <w:b/>
          <w:bCs/>
          <w:color w:val="000000"/>
          <w:sz w:val="24"/>
          <w:szCs w:val="24"/>
        </w:rPr>
        <w:t>8. Limitation of the study</w:t>
      </w:r>
      <w:bookmarkEnd w:id="29"/>
    </w:p>
    <w:p w14:paraId="287BCF46" w14:textId="77777777" w:rsidR="00567EF5" w:rsidRPr="00E837F8" w:rsidRDefault="006578A3">
      <w:pPr>
        <w:spacing w:line="360" w:lineRule="auto"/>
        <w:jc w:val="both"/>
        <w:rPr>
          <w:sz w:val="24"/>
          <w:szCs w:val="24"/>
        </w:rPr>
      </w:pPr>
      <w:r w:rsidRPr="00E837F8">
        <w:rPr>
          <w:sz w:val="24"/>
          <w:szCs w:val="24"/>
        </w:rPr>
        <w:t>The study has significant drawbacks. Its restricted focus on retained earnings does not cover the entire range of internal financing mechanisms. The analysis is based exclusively on secondary literature rather than firm-level empirical research, which limits insight into actual organisational practices. The 2015-2026 timeframe may limit generalizability to other economic periods, and the inclusion of large disruptions like the COVID-19 pandemic may have altered enterprises' financing behavior in ways that have not been completely captured in prior studies.</w:t>
      </w:r>
    </w:p>
    <w:p w14:paraId="287BCF47" w14:textId="77777777" w:rsidR="00567EF5" w:rsidRPr="00E837F8" w:rsidRDefault="006578A3">
      <w:pPr>
        <w:pStyle w:val="Heading1"/>
        <w:jc w:val="both"/>
        <w:rPr>
          <w:rFonts w:ascii="Times New Roman" w:eastAsia="Times New Roman" w:hAnsi="Times New Roman" w:cs="Times New Roman"/>
          <w:b/>
          <w:bCs/>
          <w:color w:val="000000"/>
          <w:sz w:val="24"/>
          <w:szCs w:val="24"/>
        </w:rPr>
      </w:pPr>
      <w:bookmarkStart w:id="30" w:name="_Toc225519607"/>
      <w:r w:rsidRPr="00E837F8">
        <w:rPr>
          <w:rFonts w:ascii="Times New Roman" w:eastAsia="Times New Roman" w:hAnsi="Times New Roman" w:cs="Times New Roman"/>
          <w:b/>
          <w:bCs/>
          <w:color w:val="000000"/>
          <w:sz w:val="24"/>
          <w:szCs w:val="24"/>
        </w:rPr>
        <w:t>9. Conclusion of the Literature Review</w:t>
      </w:r>
      <w:bookmarkEnd w:id="30"/>
    </w:p>
    <w:p w14:paraId="287BCF48" w14:textId="77777777" w:rsidR="00567EF5" w:rsidRPr="00E837F8" w:rsidRDefault="006578A3">
      <w:pPr>
        <w:spacing w:line="360" w:lineRule="auto"/>
        <w:jc w:val="both"/>
        <w:rPr>
          <w:sz w:val="24"/>
          <w:szCs w:val="24"/>
        </w:rPr>
      </w:pPr>
      <w:r w:rsidRPr="00E837F8">
        <w:rPr>
          <w:sz w:val="24"/>
          <w:szCs w:val="24"/>
        </w:rPr>
        <w:t xml:space="preserve">This research demonstrates that retained earnings play an important yet context-dependent role in enterprises' investment and capital planning decisions. Financial restrictions, strategic priorities, and organisational governance all influence how internal funds are accumulated and utilised, while the literature reveals continuous arguments regarding whether retained revenues promote long-term productive investment or play a role in financialisation. The work contributes to academic understanding by integrating disparate evidence and identifying previously unexplored mechanisms that link internal funding to innovation, risk-taking, and strategic allocation. </w:t>
      </w:r>
    </w:p>
    <w:p w14:paraId="287BCF49" w14:textId="77777777" w:rsidR="00567EF5" w:rsidRPr="00E837F8" w:rsidRDefault="006578A3">
      <w:pPr>
        <w:spacing w:line="360" w:lineRule="auto"/>
        <w:jc w:val="both"/>
        <w:rPr>
          <w:sz w:val="24"/>
          <w:szCs w:val="24"/>
        </w:rPr>
      </w:pPr>
      <w:r w:rsidRPr="00E837F8">
        <w:rPr>
          <w:sz w:val="24"/>
          <w:szCs w:val="24"/>
        </w:rPr>
        <w:t>Managerially, it emphasizes retained earnings as a flexible, low-cost resource that boosts resilience and funds high-risk ventures when external funding is scarce. To address current deficiencies, future research should look into multifactor interactions, intrafirm allocation mechanisms, and cross-country variances. Limitations include dependence on secondary research, a narrow focus on retained earnings, and the impact of the 2015-2026 period, particularly COVID-19, on observed organisational behavior.</w:t>
      </w:r>
    </w:p>
    <w:p w14:paraId="287BCF4A" w14:textId="77777777" w:rsidR="00567EF5" w:rsidRPr="00E837F8" w:rsidRDefault="00567EF5">
      <w:pPr>
        <w:spacing w:line="360" w:lineRule="auto"/>
        <w:jc w:val="both"/>
        <w:rPr>
          <w:sz w:val="24"/>
          <w:szCs w:val="24"/>
        </w:rPr>
      </w:pPr>
    </w:p>
    <w:p w14:paraId="287BCF4B" w14:textId="77777777" w:rsidR="00567EF5" w:rsidRPr="00E837F8" w:rsidRDefault="00567EF5">
      <w:pPr>
        <w:spacing w:line="360" w:lineRule="auto"/>
        <w:jc w:val="both"/>
        <w:rPr>
          <w:sz w:val="24"/>
          <w:szCs w:val="24"/>
        </w:rPr>
      </w:pPr>
    </w:p>
    <w:p w14:paraId="287BCF6A" w14:textId="77777777" w:rsidR="00567EF5" w:rsidRPr="00E837F8" w:rsidRDefault="006578A3">
      <w:pPr>
        <w:pStyle w:val="Heading1"/>
        <w:rPr>
          <w:rFonts w:ascii="Times New Roman" w:eastAsia="Times New Roman" w:hAnsi="Times New Roman" w:cs="Times New Roman"/>
          <w:b/>
          <w:bCs/>
          <w:color w:val="000000"/>
          <w:sz w:val="24"/>
          <w:szCs w:val="24"/>
        </w:rPr>
      </w:pPr>
      <w:bookmarkStart w:id="31" w:name="_Toc225519608"/>
      <w:r w:rsidRPr="00E837F8">
        <w:rPr>
          <w:rFonts w:ascii="Times New Roman" w:eastAsia="Times New Roman" w:hAnsi="Times New Roman" w:cs="Times New Roman"/>
          <w:b/>
          <w:bCs/>
          <w:color w:val="000000"/>
          <w:sz w:val="24"/>
          <w:szCs w:val="24"/>
        </w:rPr>
        <w:lastRenderedPageBreak/>
        <w:t>Reference</w:t>
      </w:r>
      <w:bookmarkEnd w:id="31"/>
    </w:p>
    <w:p w14:paraId="1B314488" w14:textId="77777777" w:rsidR="00D27ED2" w:rsidRPr="00E837F8" w:rsidRDefault="00D27ED2">
      <w:pPr>
        <w:spacing w:after="240" w:line="360" w:lineRule="auto"/>
        <w:jc w:val="both"/>
        <w:rPr>
          <w:sz w:val="24"/>
          <w:szCs w:val="24"/>
        </w:rPr>
      </w:pPr>
      <w:r w:rsidRPr="00E837F8">
        <w:rPr>
          <w:sz w:val="24"/>
          <w:szCs w:val="24"/>
        </w:rPr>
        <w:t>Abe, M., Troilo, M. and Batsaikhan, O. (2015) ‘Financing small and medium enterprises in Asia and the Pacific’, </w:t>
      </w:r>
      <w:r w:rsidRPr="00E837F8">
        <w:rPr>
          <w:i/>
          <w:iCs/>
          <w:sz w:val="24"/>
          <w:szCs w:val="24"/>
        </w:rPr>
        <w:t>Journal of entrepreneurship and public policy</w:t>
      </w:r>
      <w:r w:rsidRPr="00E837F8">
        <w:rPr>
          <w:sz w:val="24"/>
          <w:szCs w:val="24"/>
        </w:rPr>
        <w:t>, 4(1), pp. 2–32. Available at: https://doi.org/10.1108/JEPP-07-2012-0036</w:t>
      </w:r>
    </w:p>
    <w:p w14:paraId="4C1EE73B" w14:textId="77777777" w:rsidR="00D27ED2" w:rsidRPr="00E837F8" w:rsidRDefault="00D27ED2">
      <w:pPr>
        <w:spacing w:after="240" w:line="360" w:lineRule="auto"/>
        <w:jc w:val="both"/>
        <w:rPr>
          <w:sz w:val="24"/>
          <w:szCs w:val="24"/>
        </w:rPr>
      </w:pPr>
      <w:r w:rsidRPr="00E837F8">
        <w:rPr>
          <w:sz w:val="24"/>
          <w:szCs w:val="24"/>
        </w:rPr>
        <w:t>Adonia, S.A. (2021) ‘The influence of managerial characteristics on external financing preferences in smaller enterprises: The case of Malaysian micro-sized enterprises’, </w:t>
      </w:r>
      <w:r w:rsidRPr="00E837F8">
        <w:rPr>
          <w:i/>
          <w:iCs/>
          <w:sz w:val="24"/>
          <w:szCs w:val="24"/>
        </w:rPr>
        <w:t>Cogent business &amp; management</w:t>
      </w:r>
      <w:r w:rsidRPr="00E837F8">
        <w:rPr>
          <w:sz w:val="24"/>
          <w:szCs w:val="24"/>
        </w:rPr>
        <w:t>, 8(1), pp. 1–23. Available at: https://doi.org/10.1080/23311975.2021.1912524</w:t>
      </w:r>
    </w:p>
    <w:p w14:paraId="58999A66" w14:textId="77777777" w:rsidR="00D27ED2" w:rsidRPr="00E837F8" w:rsidRDefault="00D27ED2">
      <w:pPr>
        <w:spacing w:after="240" w:line="360" w:lineRule="auto"/>
        <w:jc w:val="both"/>
        <w:rPr>
          <w:sz w:val="24"/>
          <w:szCs w:val="24"/>
        </w:rPr>
      </w:pPr>
      <w:r w:rsidRPr="00E837F8">
        <w:rPr>
          <w:sz w:val="24"/>
          <w:szCs w:val="24"/>
        </w:rPr>
        <w:t>Agembe, A. J., Chesoli, J. W., &amp; Ngacho, C. (2024) ‘The Relationship between Retained Earnings and Financial Performance of Listed Non-Financial Firms: An Econometrics Examination’, </w:t>
      </w:r>
      <w:r w:rsidRPr="00E837F8">
        <w:rPr>
          <w:i/>
          <w:iCs/>
          <w:sz w:val="24"/>
          <w:szCs w:val="24"/>
        </w:rPr>
        <w:t>Journal of Finance and Accounting</w:t>
      </w:r>
      <w:r w:rsidRPr="00E837F8">
        <w:rPr>
          <w:sz w:val="24"/>
          <w:szCs w:val="24"/>
        </w:rPr>
        <w:t>, 8(7), pp. 64–75. Available at: https://doi.org/10.53819/81018102t4285</w:t>
      </w:r>
    </w:p>
    <w:p w14:paraId="17C51E56" w14:textId="77777777" w:rsidR="00D27ED2" w:rsidRPr="00E837F8" w:rsidRDefault="00D27ED2">
      <w:pPr>
        <w:spacing w:after="240" w:line="360" w:lineRule="auto"/>
        <w:jc w:val="both"/>
        <w:rPr>
          <w:sz w:val="24"/>
          <w:szCs w:val="24"/>
        </w:rPr>
      </w:pPr>
      <w:r w:rsidRPr="00E837F8">
        <w:rPr>
          <w:sz w:val="24"/>
          <w:szCs w:val="24"/>
        </w:rPr>
        <w:t>Ahmad, M.M., Hunjra, A.I., Islam, F. and Zureigat, Q (2023) ‘Does asymmetric information affect firm’s financing decisions?’, </w:t>
      </w:r>
      <w:r w:rsidRPr="00E837F8">
        <w:rPr>
          <w:i/>
          <w:iCs/>
          <w:sz w:val="24"/>
          <w:szCs w:val="24"/>
        </w:rPr>
        <w:t>International journal of emerging markets</w:t>
      </w:r>
      <w:r w:rsidRPr="00E837F8">
        <w:rPr>
          <w:sz w:val="24"/>
          <w:szCs w:val="24"/>
        </w:rPr>
        <w:t>, 18(9), pp. 2718–2734. Available at: https://doi.org/10.1108/IJOEM-01-2021-0086</w:t>
      </w:r>
    </w:p>
    <w:p w14:paraId="00299693" w14:textId="77777777" w:rsidR="00D27ED2" w:rsidRPr="00E837F8" w:rsidRDefault="00D27ED2">
      <w:pPr>
        <w:spacing w:after="240" w:line="360" w:lineRule="auto"/>
        <w:jc w:val="both"/>
        <w:rPr>
          <w:sz w:val="24"/>
          <w:szCs w:val="24"/>
        </w:rPr>
      </w:pPr>
      <w:r w:rsidRPr="00E837F8">
        <w:rPr>
          <w:sz w:val="24"/>
          <w:szCs w:val="24"/>
        </w:rPr>
        <w:t>Akhtar, T. (2025) ‘Cash holdings in MENA region: evidence from trade-off model, pecking order theory, and agency theory’, </w:t>
      </w:r>
      <w:r w:rsidRPr="00E837F8">
        <w:rPr>
          <w:i/>
          <w:iCs/>
          <w:sz w:val="24"/>
          <w:szCs w:val="24"/>
        </w:rPr>
        <w:t>Future business journal</w:t>
      </w:r>
      <w:r w:rsidRPr="00E837F8">
        <w:rPr>
          <w:sz w:val="24"/>
          <w:szCs w:val="24"/>
        </w:rPr>
        <w:t>, 11(1), pp. 1–18. Available at: https://doi.org/10.1186/s43093-025-00454-5</w:t>
      </w:r>
    </w:p>
    <w:p w14:paraId="568223E6" w14:textId="77777777" w:rsidR="00D27ED2" w:rsidRPr="00E837F8" w:rsidRDefault="00D27ED2">
      <w:pPr>
        <w:spacing w:after="240" w:line="360" w:lineRule="auto"/>
        <w:jc w:val="both"/>
        <w:rPr>
          <w:sz w:val="24"/>
          <w:szCs w:val="24"/>
        </w:rPr>
      </w:pPr>
      <w:r w:rsidRPr="00E837F8">
        <w:rPr>
          <w:sz w:val="24"/>
          <w:szCs w:val="24"/>
        </w:rPr>
        <w:t>Al Amosh, H., Khatib, S.F., Alkurdi, A. and Bazhair, A.H. (2024) ‘Capital structure decisions and environmental, social and governance performance: insights from Jordan’, </w:t>
      </w:r>
      <w:r w:rsidRPr="00E837F8">
        <w:rPr>
          <w:i/>
          <w:iCs/>
          <w:sz w:val="24"/>
          <w:szCs w:val="24"/>
        </w:rPr>
        <w:t>Journal of financial reporting &amp; accounting</w:t>
      </w:r>
      <w:r w:rsidRPr="00E837F8">
        <w:rPr>
          <w:sz w:val="24"/>
          <w:szCs w:val="24"/>
        </w:rPr>
        <w:t>22(4), pp. 972–989. Available at: https://doi.org/10.1108/JFRA-12-2021-0453</w:t>
      </w:r>
    </w:p>
    <w:p w14:paraId="59A8059F" w14:textId="77777777" w:rsidR="00D27ED2" w:rsidRPr="00E837F8" w:rsidRDefault="00D27ED2">
      <w:pPr>
        <w:spacing w:before="240" w:after="240" w:line="360" w:lineRule="auto"/>
        <w:jc w:val="both"/>
        <w:rPr>
          <w:sz w:val="24"/>
          <w:szCs w:val="24"/>
        </w:rPr>
      </w:pPr>
      <w:r w:rsidRPr="00E837F8">
        <w:rPr>
          <w:sz w:val="24"/>
          <w:szCs w:val="24"/>
        </w:rPr>
        <w:t>Alam, A., Uddin, M. and Yazdifar, H. (2019) ‘Financing behaviour of R&amp;D investment in the emerging markets: the role of alliance and financial system’, </w:t>
      </w:r>
      <w:r w:rsidRPr="00E837F8">
        <w:rPr>
          <w:i/>
          <w:iCs/>
          <w:sz w:val="24"/>
          <w:szCs w:val="24"/>
        </w:rPr>
        <w:t>R &amp; D management</w:t>
      </w:r>
      <w:r w:rsidRPr="00E837F8">
        <w:rPr>
          <w:sz w:val="24"/>
          <w:szCs w:val="24"/>
        </w:rPr>
        <w:t>, 49(1), pp. 21–32. Available at: https://doi.org/10.1111/radm.12303</w:t>
      </w:r>
    </w:p>
    <w:p w14:paraId="1DEC8F89" w14:textId="77777777" w:rsidR="00D27ED2" w:rsidRPr="00E837F8" w:rsidRDefault="00D27ED2">
      <w:pPr>
        <w:spacing w:after="240" w:line="360" w:lineRule="auto"/>
        <w:jc w:val="both"/>
        <w:rPr>
          <w:sz w:val="24"/>
          <w:szCs w:val="24"/>
        </w:rPr>
      </w:pPr>
      <w:r w:rsidRPr="00E837F8">
        <w:rPr>
          <w:sz w:val="24"/>
          <w:szCs w:val="24"/>
        </w:rPr>
        <w:t>Albanez, T. (2015) ‘Impact of the cost of capital on the financing decisions of Brazilian companies’, </w:t>
      </w:r>
      <w:r w:rsidRPr="00E837F8">
        <w:rPr>
          <w:i/>
          <w:iCs/>
          <w:sz w:val="24"/>
          <w:szCs w:val="24"/>
        </w:rPr>
        <w:t>International journal of managerial finance</w:t>
      </w:r>
      <w:r w:rsidRPr="00E837F8">
        <w:rPr>
          <w:sz w:val="24"/>
          <w:szCs w:val="24"/>
        </w:rPr>
        <w:t>, 11(3), pp. 285–307. Available at: https://doi.org/10.1108/IJMF-02-2014-0026</w:t>
      </w:r>
    </w:p>
    <w:p w14:paraId="174B4E64" w14:textId="77777777" w:rsidR="00D27ED2" w:rsidRPr="00E837F8" w:rsidRDefault="00D27ED2">
      <w:pPr>
        <w:spacing w:after="240" w:line="360" w:lineRule="auto"/>
        <w:jc w:val="both"/>
        <w:rPr>
          <w:sz w:val="24"/>
          <w:szCs w:val="24"/>
        </w:rPr>
      </w:pPr>
      <w:r w:rsidRPr="00E837F8">
        <w:rPr>
          <w:sz w:val="24"/>
          <w:szCs w:val="24"/>
        </w:rPr>
        <w:lastRenderedPageBreak/>
        <w:t>Alexis, N.B. (2023) ‘Understanding the Microfinance’s Capital Structure: Does It Alter Its Business Model?’, </w:t>
      </w:r>
      <w:r w:rsidRPr="00E837F8">
        <w:rPr>
          <w:i/>
          <w:iCs/>
          <w:sz w:val="24"/>
          <w:szCs w:val="24"/>
        </w:rPr>
        <w:t>FIIB business review</w:t>
      </w:r>
      <w:r w:rsidRPr="00E837F8">
        <w:rPr>
          <w:sz w:val="24"/>
          <w:szCs w:val="24"/>
        </w:rPr>
        <w:t>, 12(1), pp. 49–57. Available at: https://doi.org/10.1177/2319714520948990</w:t>
      </w:r>
    </w:p>
    <w:p w14:paraId="3F0B2114" w14:textId="77777777" w:rsidR="00D27ED2" w:rsidRPr="00E837F8" w:rsidRDefault="00D27ED2">
      <w:pPr>
        <w:spacing w:after="240" w:line="360" w:lineRule="auto"/>
        <w:jc w:val="both"/>
        <w:rPr>
          <w:sz w:val="24"/>
          <w:szCs w:val="24"/>
        </w:rPr>
      </w:pPr>
      <w:r w:rsidRPr="00E837F8">
        <w:rPr>
          <w:sz w:val="24"/>
          <w:szCs w:val="24"/>
        </w:rPr>
        <w:t>Alipour, M., Mohammadi, M.F.S. and Derakhshan, H. (2015) ‘Determinants of capital structure: an empirical study of firms in Iran’, </w:t>
      </w:r>
      <w:r w:rsidRPr="00E837F8">
        <w:rPr>
          <w:i/>
          <w:iCs/>
          <w:sz w:val="24"/>
          <w:szCs w:val="24"/>
        </w:rPr>
        <w:t>International journal of law and management</w:t>
      </w:r>
      <w:r w:rsidRPr="00E837F8">
        <w:rPr>
          <w:sz w:val="24"/>
          <w:szCs w:val="24"/>
        </w:rPr>
        <w:t>, 57(1), pp. 53–83. Available at: https://doi.org/10.1108/IJLMA-01-2013-0004</w:t>
      </w:r>
    </w:p>
    <w:p w14:paraId="2900D26F" w14:textId="77777777" w:rsidR="00D27ED2" w:rsidRPr="00E837F8" w:rsidRDefault="00D27ED2">
      <w:pPr>
        <w:spacing w:after="240" w:line="360" w:lineRule="auto"/>
        <w:jc w:val="both"/>
        <w:rPr>
          <w:sz w:val="24"/>
          <w:szCs w:val="24"/>
        </w:rPr>
      </w:pPr>
      <w:r w:rsidRPr="00E837F8">
        <w:rPr>
          <w:sz w:val="24"/>
          <w:szCs w:val="24"/>
        </w:rPr>
        <w:t>Al‐Thaqeb, S.A., Algharabali, B.G. and Alabdulghafour, K.T. (2022) ‘The pandemic and economic policy uncertainty’, </w:t>
      </w:r>
      <w:r w:rsidRPr="00E837F8">
        <w:rPr>
          <w:i/>
          <w:iCs/>
          <w:sz w:val="24"/>
          <w:szCs w:val="24"/>
        </w:rPr>
        <w:t>International journal of finance and economics</w:t>
      </w:r>
      <w:r w:rsidRPr="00E837F8">
        <w:rPr>
          <w:sz w:val="24"/>
          <w:szCs w:val="24"/>
        </w:rPr>
        <w:t>, 27(3), pp. 2784–2794. Available at: https://doi.org/10.1002/ijfe.2298</w:t>
      </w:r>
    </w:p>
    <w:p w14:paraId="1F95C1D2" w14:textId="77777777" w:rsidR="00D27ED2" w:rsidRPr="00E837F8" w:rsidRDefault="00D27ED2">
      <w:pPr>
        <w:spacing w:after="240" w:line="360" w:lineRule="auto"/>
        <w:jc w:val="both"/>
        <w:rPr>
          <w:sz w:val="24"/>
          <w:szCs w:val="24"/>
        </w:rPr>
      </w:pPr>
      <w:r w:rsidRPr="00E837F8">
        <w:rPr>
          <w:sz w:val="24"/>
          <w:szCs w:val="24"/>
        </w:rPr>
        <w:t>Appiah, M.K., Odei, S.A. and Kumi-Amoah, G. (2024) ‘Modelling the determinants of SME’s investment intention in the Ghanaian energy sector: the role of local content policy’, </w:t>
      </w:r>
      <w:r w:rsidRPr="00E837F8">
        <w:rPr>
          <w:i/>
          <w:iCs/>
          <w:sz w:val="24"/>
          <w:szCs w:val="24"/>
        </w:rPr>
        <w:t>International journal of energy sector management</w:t>
      </w:r>
      <w:r w:rsidRPr="00E837F8">
        <w:rPr>
          <w:sz w:val="24"/>
          <w:szCs w:val="24"/>
        </w:rPr>
        <w:t>, 18(1), pp. 94–118. Available at: https://doi.org/10.1108/IJESM-05-2022-000</w:t>
      </w:r>
    </w:p>
    <w:p w14:paraId="4F39526E" w14:textId="77777777" w:rsidR="00D27ED2" w:rsidRPr="00E837F8" w:rsidRDefault="00D27ED2">
      <w:pPr>
        <w:spacing w:after="240" w:line="360" w:lineRule="auto"/>
        <w:jc w:val="both"/>
        <w:rPr>
          <w:sz w:val="24"/>
          <w:szCs w:val="24"/>
        </w:rPr>
      </w:pPr>
      <w:r w:rsidRPr="00E837F8">
        <w:rPr>
          <w:sz w:val="24"/>
          <w:szCs w:val="24"/>
        </w:rPr>
        <w:t>Austin, A., Alataş, S. and Agbonifi, D. (2026) ‘Financing Eco‐Innovation in an Emerging Economy: The Role of Internal Resources, External Support and Government in Turkish SMEs’, </w:t>
      </w:r>
      <w:r w:rsidRPr="00E837F8">
        <w:rPr>
          <w:i/>
          <w:iCs/>
          <w:sz w:val="24"/>
          <w:szCs w:val="24"/>
        </w:rPr>
        <w:t>Sustainable development (Bradford, West Yorkshire, England)</w:t>
      </w:r>
      <w:r w:rsidRPr="00E837F8">
        <w:rPr>
          <w:sz w:val="24"/>
          <w:szCs w:val="24"/>
        </w:rPr>
        <w:t>, 34(1), pp. 213–226. Available at: https://doi.org/10.1002/sd.70260</w:t>
      </w:r>
    </w:p>
    <w:p w14:paraId="651C2831" w14:textId="77777777" w:rsidR="00D27ED2" w:rsidRPr="00E837F8" w:rsidRDefault="00D27ED2">
      <w:pPr>
        <w:spacing w:after="240" w:line="360" w:lineRule="auto"/>
        <w:jc w:val="both"/>
        <w:rPr>
          <w:sz w:val="24"/>
          <w:szCs w:val="24"/>
        </w:rPr>
      </w:pPr>
      <w:r w:rsidRPr="00E837F8">
        <w:rPr>
          <w:sz w:val="24"/>
          <w:szCs w:val="24"/>
        </w:rPr>
        <w:t>Baker, H.K., Jabbouri, I. and Dyaz, C. (2017) ‘Corporate finance practices in Morocco’, </w:t>
      </w:r>
      <w:r w:rsidRPr="00E837F8">
        <w:rPr>
          <w:i/>
          <w:iCs/>
          <w:sz w:val="24"/>
          <w:szCs w:val="24"/>
        </w:rPr>
        <w:t>Managerial finance</w:t>
      </w:r>
      <w:r w:rsidRPr="00E837F8">
        <w:rPr>
          <w:sz w:val="24"/>
          <w:szCs w:val="24"/>
        </w:rPr>
        <w:t>, 43(8), pp. 865–880. Available at: https://doi.org/10.1108/MF-12-2016-0359</w:t>
      </w:r>
    </w:p>
    <w:p w14:paraId="043EBEAA" w14:textId="77777777" w:rsidR="00D27ED2" w:rsidRPr="00E837F8" w:rsidRDefault="00D27ED2">
      <w:pPr>
        <w:spacing w:after="240" w:line="360" w:lineRule="auto"/>
        <w:jc w:val="both"/>
        <w:rPr>
          <w:sz w:val="24"/>
          <w:szCs w:val="24"/>
        </w:rPr>
      </w:pPr>
      <w:r w:rsidRPr="00E837F8">
        <w:rPr>
          <w:sz w:val="24"/>
          <w:szCs w:val="24"/>
        </w:rPr>
        <w:t>Bakhtiari, S., Breunig, R., Magnani, L. and Zhang, J. (2020) ‘Financial Constraints and Small and Medium Enterprises: A Review’, </w:t>
      </w:r>
      <w:r w:rsidRPr="00E837F8">
        <w:rPr>
          <w:i/>
          <w:iCs/>
          <w:sz w:val="24"/>
          <w:szCs w:val="24"/>
        </w:rPr>
        <w:t>The Economic record</w:t>
      </w:r>
      <w:r w:rsidRPr="00E837F8">
        <w:rPr>
          <w:sz w:val="24"/>
          <w:szCs w:val="24"/>
        </w:rPr>
        <w:t>, 96(315), pp. 506–523. Available at: https://doi.org/10.1111/1475-4932.12560</w:t>
      </w:r>
    </w:p>
    <w:p w14:paraId="76253195" w14:textId="77777777" w:rsidR="00D27ED2" w:rsidRPr="00E837F8" w:rsidRDefault="00D27ED2">
      <w:pPr>
        <w:spacing w:after="240" w:line="360" w:lineRule="auto"/>
        <w:jc w:val="both"/>
        <w:rPr>
          <w:sz w:val="24"/>
          <w:szCs w:val="24"/>
        </w:rPr>
      </w:pPr>
      <w:r w:rsidRPr="00E837F8">
        <w:rPr>
          <w:sz w:val="24"/>
          <w:szCs w:val="24"/>
        </w:rPr>
        <w:t>Ball, R., Gerakos, J., Linnainmaa, J.T. and Nikolaev, V. (2020) ‘Earnings, retained earnings, and book-to-market in the cross section of expected returns’, ,” </w:t>
      </w:r>
      <w:r w:rsidRPr="00E837F8">
        <w:rPr>
          <w:i/>
          <w:iCs/>
          <w:sz w:val="24"/>
          <w:szCs w:val="24"/>
        </w:rPr>
        <w:t>Journal of financial economics</w:t>
      </w:r>
      <w:r w:rsidRPr="00E837F8">
        <w:rPr>
          <w:sz w:val="24"/>
          <w:szCs w:val="24"/>
        </w:rPr>
        <w:t>, 135(1), pp. 231–254. Available at: https://doi.org/10.1016/j.jfineco.2019.05.013</w:t>
      </w:r>
    </w:p>
    <w:p w14:paraId="0BEC1951" w14:textId="77777777" w:rsidR="00D27ED2" w:rsidRPr="00E837F8" w:rsidRDefault="00D27ED2">
      <w:pPr>
        <w:spacing w:after="240" w:line="360" w:lineRule="auto"/>
        <w:jc w:val="both"/>
        <w:rPr>
          <w:sz w:val="24"/>
          <w:szCs w:val="24"/>
        </w:rPr>
      </w:pPr>
      <w:r w:rsidRPr="00E837F8">
        <w:rPr>
          <w:sz w:val="24"/>
          <w:szCs w:val="24"/>
        </w:rPr>
        <w:lastRenderedPageBreak/>
        <w:t>Bartocci, L., Grossi, G., Mauro, S.G. and Ebdon, C. (2023) ‘The journey of participatory budgeting: a systematic literature review and future research directions’, </w:t>
      </w:r>
      <w:r w:rsidRPr="00E837F8">
        <w:rPr>
          <w:i/>
          <w:iCs/>
          <w:sz w:val="24"/>
          <w:szCs w:val="24"/>
        </w:rPr>
        <w:t>International review of administrative sciences</w:t>
      </w:r>
      <w:r w:rsidRPr="00E837F8">
        <w:rPr>
          <w:sz w:val="24"/>
          <w:szCs w:val="24"/>
        </w:rPr>
        <w:t>, 89(3), pp. 757–774. Available at: https://doi.org/10.1177/00208523221078938</w:t>
      </w:r>
    </w:p>
    <w:p w14:paraId="7B93F963" w14:textId="77777777" w:rsidR="00D27ED2" w:rsidRPr="00E837F8" w:rsidRDefault="00D27ED2">
      <w:pPr>
        <w:spacing w:after="240" w:line="360" w:lineRule="auto"/>
        <w:jc w:val="both"/>
        <w:rPr>
          <w:sz w:val="24"/>
          <w:szCs w:val="24"/>
        </w:rPr>
      </w:pPr>
      <w:r w:rsidRPr="00E837F8">
        <w:rPr>
          <w:sz w:val="24"/>
          <w:szCs w:val="24"/>
        </w:rPr>
        <w:t>Bartolacci, F., Caputo, A. and Soverchia, M. (2020) ‘Sustainability and financial performance of small and medium sized enterprises: A bibliometric and systematic literature review’, </w:t>
      </w:r>
      <w:r w:rsidRPr="00E837F8">
        <w:rPr>
          <w:i/>
          <w:iCs/>
          <w:sz w:val="24"/>
          <w:szCs w:val="24"/>
        </w:rPr>
        <w:t>Business strategy and the environment</w:t>
      </w:r>
      <w:r w:rsidRPr="00E837F8">
        <w:rPr>
          <w:sz w:val="24"/>
          <w:szCs w:val="24"/>
        </w:rPr>
        <w:t>, 29(3), pp. 1297–1309. Available at: https://doi.org/10.1002/bse.2434</w:t>
      </w:r>
    </w:p>
    <w:p w14:paraId="76D3374F" w14:textId="77777777" w:rsidR="00D27ED2" w:rsidRPr="00E837F8" w:rsidRDefault="00D27ED2" w:rsidP="00B53CA5">
      <w:pPr>
        <w:spacing w:after="240" w:line="360" w:lineRule="auto"/>
        <w:jc w:val="both"/>
        <w:rPr>
          <w:sz w:val="24"/>
          <w:szCs w:val="24"/>
        </w:rPr>
      </w:pPr>
      <w:r w:rsidRPr="00E837F8">
        <w:rPr>
          <w:sz w:val="24"/>
          <w:szCs w:val="24"/>
        </w:rPr>
        <w:t>Bastalich, W. (2017) ‘Content and context in knowledge production: a critical review of doctoral supervision literature’, </w:t>
      </w:r>
      <w:r w:rsidRPr="00E837F8">
        <w:rPr>
          <w:i/>
          <w:iCs/>
          <w:sz w:val="24"/>
          <w:szCs w:val="24"/>
        </w:rPr>
        <w:t>Studies in higher education (Dorchester-on-Thames)</w:t>
      </w:r>
      <w:r w:rsidRPr="00E837F8">
        <w:rPr>
          <w:sz w:val="24"/>
          <w:szCs w:val="24"/>
        </w:rPr>
        <w:t>, 42(7), pp. 1145–1157. Available at: https://doi.org/10.1080/03075079.2015.1079702</w:t>
      </w:r>
    </w:p>
    <w:p w14:paraId="1FFDC4B7" w14:textId="77777777" w:rsidR="00D27ED2" w:rsidRPr="00E837F8" w:rsidRDefault="00D27ED2" w:rsidP="00B53CA5">
      <w:pPr>
        <w:spacing w:after="240" w:line="360" w:lineRule="auto"/>
        <w:jc w:val="both"/>
        <w:rPr>
          <w:sz w:val="24"/>
          <w:szCs w:val="24"/>
        </w:rPr>
      </w:pPr>
      <w:r w:rsidRPr="00E837F8">
        <w:rPr>
          <w:sz w:val="24"/>
          <w:szCs w:val="24"/>
        </w:rPr>
        <w:t>Baumeister, R.F. (2013). Writing a Literature Review. In: Prinstein, M. (eds) The Portable Mentor. Springer, New York, NY. Available at: https://doi.org/10.1007/978-1-4614-3994-3_8</w:t>
      </w:r>
    </w:p>
    <w:p w14:paraId="6570736D" w14:textId="77777777" w:rsidR="00D27ED2" w:rsidRPr="00E837F8" w:rsidRDefault="00D27ED2">
      <w:pPr>
        <w:spacing w:after="240" w:line="360" w:lineRule="auto"/>
        <w:jc w:val="both"/>
        <w:rPr>
          <w:sz w:val="24"/>
          <w:szCs w:val="24"/>
        </w:rPr>
      </w:pPr>
      <w:r w:rsidRPr="00E837F8">
        <w:rPr>
          <w:sz w:val="24"/>
          <w:szCs w:val="24"/>
        </w:rPr>
        <w:t>Beattie, V., Goodacre, A. and Thomson, S.J. (2006) ‘Corporate Financing Decisions: UK Survey Evidence’, </w:t>
      </w:r>
      <w:r w:rsidRPr="00E837F8">
        <w:rPr>
          <w:i/>
          <w:iCs/>
          <w:sz w:val="24"/>
          <w:szCs w:val="24"/>
        </w:rPr>
        <w:t>Journal of business finance &amp; accounting</w:t>
      </w:r>
      <w:r w:rsidRPr="00E837F8">
        <w:rPr>
          <w:sz w:val="24"/>
          <w:szCs w:val="24"/>
        </w:rPr>
        <w:t>, 33(9–10), pp. 1402–1434. Available at: https://doi.org/10.1111/j.1468-5957.2006.00640.x</w:t>
      </w:r>
    </w:p>
    <w:p w14:paraId="2608F95C" w14:textId="77777777" w:rsidR="00D27ED2" w:rsidRPr="00E837F8" w:rsidRDefault="00D27ED2">
      <w:pPr>
        <w:spacing w:before="240" w:after="240" w:line="360" w:lineRule="auto"/>
        <w:jc w:val="both"/>
        <w:rPr>
          <w:sz w:val="24"/>
          <w:szCs w:val="24"/>
        </w:rPr>
      </w:pPr>
      <w:r w:rsidRPr="00E837F8">
        <w:rPr>
          <w:sz w:val="24"/>
          <w:szCs w:val="24"/>
        </w:rPr>
        <w:t>Becker, B. (2015) ‘PUBLIC R&amp;D POLICIES AND PRIVATE R&amp;D INVESTMENT: A SURVEY OF THE EMPIRICAL EVIDENCE’, </w:t>
      </w:r>
      <w:r w:rsidRPr="00E837F8">
        <w:rPr>
          <w:i/>
          <w:iCs/>
          <w:sz w:val="24"/>
          <w:szCs w:val="24"/>
        </w:rPr>
        <w:t>Journal of economic surveys</w:t>
      </w:r>
      <w:r w:rsidRPr="00E837F8">
        <w:rPr>
          <w:sz w:val="24"/>
          <w:szCs w:val="24"/>
        </w:rPr>
        <w:t>, 29(5), pp. 917–942. Available at: https://doi.org/10.1111/joes.12074</w:t>
      </w:r>
    </w:p>
    <w:p w14:paraId="41531351" w14:textId="77777777" w:rsidR="00D27ED2" w:rsidRPr="00E837F8" w:rsidRDefault="00D27ED2">
      <w:pPr>
        <w:spacing w:before="240" w:after="240" w:line="360" w:lineRule="auto"/>
        <w:jc w:val="both"/>
        <w:rPr>
          <w:sz w:val="24"/>
          <w:szCs w:val="24"/>
        </w:rPr>
      </w:pPr>
      <w:r w:rsidRPr="00E837F8">
        <w:rPr>
          <w:sz w:val="24"/>
          <w:szCs w:val="24"/>
        </w:rPr>
        <w:t>Bilicka, K. (2020) ‘Are financing constraints binding for investment? Evidence from a natural experiment’, </w:t>
      </w:r>
      <w:r w:rsidRPr="00E837F8">
        <w:rPr>
          <w:i/>
          <w:iCs/>
          <w:sz w:val="24"/>
          <w:szCs w:val="24"/>
        </w:rPr>
        <w:t>Journal of economic behavior &amp; organization</w:t>
      </w:r>
      <w:r w:rsidRPr="00E837F8">
        <w:rPr>
          <w:sz w:val="24"/>
          <w:szCs w:val="24"/>
        </w:rPr>
        <w:t>, 177, pp. 618–640. Available at: https://doi.org/10.1016/j.jebo.2020.06.029</w:t>
      </w:r>
    </w:p>
    <w:p w14:paraId="2B18DC8C" w14:textId="77777777" w:rsidR="00D27ED2" w:rsidRPr="00E837F8" w:rsidRDefault="00D27ED2">
      <w:pPr>
        <w:spacing w:before="240" w:after="240" w:line="360" w:lineRule="auto"/>
        <w:jc w:val="both"/>
        <w:rPr>
          <w:sz w:val="24"/>
          <w:szCs w:val="24"/>
        </w:rPr>
      </w:pPr>
      <w:r w:rsidRPr="00E837F8">
        <w:rPr>
          <w:sz w:val="24"/>
          <w:szCs w:val="24"/>
        </w:rPr>
        <w:t>Boateng, A., Cai, H., Borgia, D., Gang Bi, X. and Ngwu, F.N. (2017) ‘The influence of internal corporate governance mechanisms on capital structure decisions of Chinese listed firms’, </w:t>
      </w:r>
      <w:r w:rsidRPr="00E837F8">
        <w:rPr>
          <w:i/>
          <w:iCs/>
          <w:sz w:val="24"/>
          <w:szCs w:val="24"/>
        </w:rPr>
        <w:t>Review of accounting &amp; finance</w:t>
      </w:r>
      <w:r w:rsidRPr="00E837F8">
        <w:rPr>
          <w:sz w:val="24"/>
          <w:szCs w:val="24"/>
        </w:rPr>
        <w:t>, 16(4), pp. 444–461. Available at: https://doi.org/10.1108/RAF-12-2015-0193</w:t>
      </w:r>
    </w:p>
    <w:p w14:paraId="73D1C3B1" w14:textId="77777777" w:rsidR="00D27ED2" w:rsidRPr="00E837F8" w:rsidRDefault="00D27ED2">
      <w:pPr>
        <w:spacing w:before="240" w:after="240" w:line="360" w:lineRule="auto"/>
        <w:jc w:val="both"/>
        <w:rPr>
          <w:sz w:val="24"/>
          <w:szCs w:val="24"/>
        </w:rPr>
      </w:pPr>
      <w:r w:rsidRPr="00E837F8">
        <w:rPr>
          <w:sz w:val="24"/>
          <w:szCs w:val="24"/>
        </w:rPr>
        <w:lastRenderedPageBreak/>
        <w:t>Boateng, P.Y., Ahamed, B.I., Soku, M.G., Addo, S.O. and Tetteh, L.A. (2022) ‘Influencing factors that determine capital structure decisions: A review from the past to present’, </w:t>
      </w:r>
      <w:r w:rsidRPr="00E837F8">
        <w:rPr>
          <w:i/>
          <w:iCs/>
          <w:sz w:val="24"/>
          <w:szCs w:val="24"/>
        </w:rPr>
        <w:t>Cogent business &amp; management</w:t>
      </w:r>
      <w:r w:rsidRPr="00E837F8">
        <w:rPr>
          <w:sz w:val="24"/>
          <w:szCs w:val="24"/>
        </w:rPr>
        <w:t>, 9(1), pp. 1–19. Available at: https://doi.org/10.1080/23311975.2022.2152647</w:t>
      </w:r>
    </w:p>
    <w:p w14:paraId="514D5F87" w14:textId="77777777" w:rsidR="00D27ED2" w:rsidRPr="00E837F8" w:rsidRDefault="00D27ED2" w:rsidP="00B53CA5">
      <w:pPr>
        <w:spacing w:after="240" w:line="360" w:lineRule="auto"/>
        <w:jc w:val="both"/>
        <w:rPr>
          <w:sz w:val="24"/>
          <w:szCs w:val="24"/>
        </w:rPr>
      </w:pPr>
      <w:r w:rsidRPr="00E837F8">
        <w:rPr>
          <w:sz w:val="24"/>
          <w:szCs w:val="24"/>
        </w:rPr>
        <w:t>Boote, D.N. and Beile, P. (2005) ‘Scholars before Researchers: On the Centrality of the Dissertation Literature Review in Research Preparation’, </w:t>
      </w:r>
      <w:r w:rsidRPr="00E837F8">
        <w:rPr>
          <w:i/>
          <w:iCs/>
          <w:sz w:val="24"/>
          <w:szCs w:val="24"/>
        </w:rPr>
        <w:t>Educational researcher</w:t>
      </w:r>
      <w:r w:rsidRPr="00E837F8">
        <w:rPr>
          <w:sz w:val="24"/>
          <w:szCs w:val="24"/>
        </w:rPr>
        <w:t>, 34(6), pp. 3–15. Available at: https://doi.org/10.3102/0013189X034006003</w:t>
      </w:r>
    </w:p>
    <w:p w14:paraId="20568C32" w14:textId="77777777" w:rsidR="00D27ED2" w:rsidRPr="00E837F8" w:rsidRDefault="00D27ED2">
      <w:pPr>
        <w:spacing w:after="240" w:line="360" w:lineRule="auto"/>
        <w:jc w:val="both"/>
        <w:rPr>
          <w:sz w:val="24"/>
          <w:szCs w:val="24"/>
        </w:rPr>
      </w:pPr>
      <w:r w:rsidRPr="00E837F8">
        <w:rPr>
          <w:sz w:val="24"/>
          <w:szCs w:val="24"/>
        </w:rPr>
        <w:t>Broby, D. (2022) ‘The use of predictive analytics in finance’, </w:t>
      </w:r>
      <w:r w:rsidRPr="00E837F8">
        <w:rPr>
          <w:i/>
          <w:iCs/>
          <w:sz w:val="24"/>
          <w:szCs w:val="24"/>
        </w:rPr>
        <w:t>The Journal of finance and data science</w:t>
      </w:r>
      <w:r w:rsidRPr="00E837F8">
        <w:rPr>
          <w:sz w:val="24"/>
          <w:szCs w:val="24"/>
        </w:rPr>
        <w:t>, 8, pp. 145–161. Available at: https://doi.org/10.1016/j.jfds.2022.05.003</w:t>
      </w:r>
    </w:p>
    <w:p w14:paraId="334D1EF3" w14:textId="77777777" w:rsidR="00D27ED2" w:rsidRPr="00E837F8" w:rsidRDefault="00D27ED2">
      <w:pPr>
        <w:spacing w:after="240" w:line="360" w:lineRule="auto"/>
        <w:jc w:val="both"/>
        <w:rPr>
          <w:sz w:val="24"/>
          <w:szCs w:val="24"/>
        </w:rPr>
      </w:pPr>
      <w:r w:rsidRPr="00E837F8">
        <w:rPr>
          <w:sz w:val="24"/>
          <w:szCs w:val="24"/>
        </w:rPr>
        <w:t>Busenbark, J.R., Wiseman, R.M., Arrfelt, M. and Woo, H.S. (2017) ‘A Review of the Internal Capital Allocation Literature: Piecing Together the Capital Allocation Puzzle’, </w:t>
      </w:r>
      <w:r w:rsidRPr="00E837F8">
        <w:rPr>
          <w:i/>
          <w:iCs/>
          <w:sz w:val="24"/>
          <w:szCs w:val="24"/>
        </w:rPr>
        <w:t>Journal of management</w:t>
      </w:r>
      <w:r w:rsidRPr="00E837F8">
        <w:rPr>
          <w:sz w:val="24"/>
          <w:szCs w:val="24"/>
        </w:rPr>
        <w:t>, 43(8), pp. 2430–2455. Available at: https://doi.org/10.1177/0149206316671584</w:t>
      </w:r>
    </w:p>
    <w:p w14:paraId="30A92060" w14:textId="77777777" w:rsidR="00D27ED2" w:rsidRPr="00E837F8" w:rsidRDefault="00D27ED2" w:rsidP="00B53CA5">
      <w:pPr>
        <w:spacing w:after="240" w:line="360" w:lineRule="auto"/>
        <w:jc w:val="both"/>
        <w:rPr>
          <w:sz w:val="24"/>
          <w:szCs w:val="24"/>
        </w:rPr>
      </w:pPr>
      <w:r w:rsidRPr="00E837F8">
        <w:rPr>
          <w:sz w:val="24"/>
          <w:szCs w:val="24"/>
        </w:rPr>
        <w:t>Butler, A., Hall, H. and Copnell, B. (2016) ‘A Guide to Writing a Qualitative Systematic Review Protocol to Enhance Evidence-Based Practice in Nursing and Health Care’, </w:t>
      </w:r>
      <w:r w:rsidRPr="00E837F8">
        <w:rPr>
          <w:i/>
          <w:iCs/>
          <w:sz w:val="24"/>
          <w:szCs w:val="24"/>
        </w:rPr>
        <w:t>Worldviews on evidence-based nursing</w:t>
      </w:r>
      <w:r w:rsidRPr="00E837F8">
        <w:rPr>
          <w:sz w:val="24"/>
          <w:szCs w:val="24"/>
        </w:rPr>
        <w:t>, 13(3), pp. 241–249. Available at: https://doi.org/10.1111/wvn.12134</w:t>
      </w:r>
    </w:p>
    <w:p w14:paraId="634BE361" w14:textId="77777777" w:rsidR="00D27ED2" w:rsidRPr="00E837F8" w:rsidRDefault="00D27ED2">
      <w:pPr>
        <w:spacing w:after="240" w:line="360" w:lineRule="auto"/>
        <w:jc w:val="both"/>
        <w:rPr>
          <w:sz w:val="24"/>
          <w:szCs w:val="24"/>
        </w:rPr>
      </w:pPr>
      <w:r w:rsidRPr="00E837F8">
        <w:rPr>
          <w:sz w:val="24"/>
          <w:szCs w:val="24"/>
        </w:rPr>
        <w:t>Byoun, S. and Xu, Z. (2016) ‘Product Market Competition and Financial Decisions During a Financial Crisis’, </w:t>
      </w:r>
      <w:r w:rsidRPr="00E837F8">
        <w:rPr>
          <w:i/>
          <w:iCs/>
          <w:sz w:val="24"/>
          <w:szCs w:val="24"/>
        </w:rPr>
        <w:t>Financial management</w:t>
      </w:r>
      <w:r w:rsidRPr="00E837F8">
        <w:rPr>
          <w:sz w:val="24"/>
          <w:szCs w:val="24"/>
        </w:rPr>
        <w:t>, 45(2), pp. 267–290. Available at: https://doi.org/10.1111/fima.12096</w:t>
      </w:r>
    </w:p>
    <w:p w14:paraId="715EFEA4" w14:textId="77777777" w:rsidR="00D27ED2" w:rsidRPr="00E837F8" w:rsidRDefault="00D27ED2">
      <w:pPr>
        <w:spacing w:before="240" w:after="240" w:line="360" w:lineRule="auto"/>
        <w:jc w:val="both"/>
        <w:rPr>
          <w:sz w:val="24"/>
          <w:szCs w:val="24"/>
        </w:rPr>
      </w:pPr>
      <w:r w:rsidRPr="00E837F8">
        <w:rPr>
          <w:sz w:val="24"/>
          <w:szCs w:val="24"/>
        </w:rPr>
        <w:t>Caglayan, M. and Machokoto, M. (2024) ‘The sensitivity of investment to internal and external funds: New emerging market evidence’, </w:t>
      </w:r>
      <w:r w:rsidRPr="00E837F8">
        <w:rPr>
          <w:i/>
          <w:iCs/>
          <w:sz w:val="24"/>
          <w:szCs w:val="24"/>
        </w:rPr>
        <w:t>Research in international business and finance</w:t>
      </w:r>
      <w:r w:rsidRPr="00E837F8">
        <w:rPr>
          <w:sz w:val="24"/>
          <w:szCs w:val="24"/>
        </w:rPr>
        <w:t>, 67, pp. 1–16. Available at: https://doi.org/10.1016/j.ribaf.2023.102099</w:t>
      </w:r>
    </w:p>
    <w:p w14:paraId="645BC3D3" w14:textId="77777777" w:rsidR="00D27ED2" w:rsidRPr="00E837F8" w:rsidRDefault="00D27ED2">
      <w:pPr>
        <w:spacing w:after="240" w:line="360" w:lineRule="auto"/>
        <w:jc w:val="both"/>
        <w:rPr>
          <w:sz w:val="24"/>
          <w:szCs w:val="24"/>
        </w:rPr>
      </w:pPr>
      <w:r w:rsidRPr="00E837F8">
        <w:rPr>
          <w:sz w:val="24"/>
          <w:szCs w:val="24"/>
        </w:rPr>
        <w:t>Caporale, G.M., Donati, C. and Spagnolo, N. (2023) ‘Small and medium sized European firms and energy saving measures: The role of financing’, </w:t>
      </w:r>
      <w:r w:rsidRPr="00E837F8">
        <w:rPr>
          <w:i/>
          <w:iCs/>
          <w:sz w:val="24"/>
          <w:szCs w:val="24"/>
        </w:rPr>
        <w:t>Energy policy</w:t>
      </w:r>
      <w:r w:rsidRPr="00E837F8">
        <w:rPr>
          <w:sz w:val="24"/>
          <w:szCs w:val="24"/>
        </w:rPr>
        <w:t>, 179, pp. 1–11. Available at: https://doi.org/10.1016/j.enpol.2023.113613</w:t>
      </w:r>
    </w:p>
    <w:p w14:paraId="2F74655F" w14:textId="77777777" w:rsidR="00D27ED2" w:rsidRPr="00E837F8" w:rsidRDefault="00D27ED2" w:rsidP="00B53CA5">
      <w:pPr>
        <w:spacing w:after="240" w:line="360" w:lineRule="auto"/>
        <w:jc w:val="both"/>
        <w:rPr>
          <w:sz w:val="24"/>
          <w:szCs w:val="24"/>
        </w:rPr>
      </w:pPr>
      <w:r w:rsidRPr="00E837F8">
        <w:rPr>
          <w:sz w:val="24"/>
          <w:szCs w:val="24"/>
        </w:rPr>
        <w:t>Cardoso, S., Santos, S., Diogo, S., Soares, D. and Carvalho, T</w:t>
      </w:r>
      <w:r w:rsidRPr="00E837F8">
        <w:rPr>
          <w:i/>
          <w:iCs/>
          <w:sz w:val="24"/>
          <w:szCs w:val="24"/>
        </w:rPr>
        <w:t>.,</w:t>
      </w:r>
      <w:r w:rsidRPr="00E837F8">
        <w:rPr>
          <w:sz w:val="24"/>
          <w:szCs w:val="24"/>
        </w:rPr>
        <w:t xml:space="preserve"> (2022) ‘The transformation of doctoral education: A systematic literature review’, </w:t>
      </w:r>
      <w:r w:rsidRPr="00E837F8">
        <w:rPr>
          <w:i/>
          <w:iCs/>
          <w:sz w:val="24"/>
          <w:szCs w:val="24"/>
        </w:rPr>
        <w:t>Higher education</w:t>
      </w:r>
      <w:r w:rsidRPr="00E837F8">
        <w:rPr>
          <w:sz w:val="24"/>
          <w:szCs w:val="24"/>
        </w:rPr>
        <w:t>, 84(4), pp. 885–908. Available at: https://doi.org/10.1007/s10734-021-00805-5</w:t>
      </w:r>
    </w:p>
    <w:p w14:paraId="1F61C0AF" w14:textId="77777777" w:rsidR="00D27ED2" w:rsidRPr="00E837F8" w:rsidRDefault="00D27ED2">
      <w:pPr>
        <w:spacing w:after="240" w:line="360" w:lineRule="auto"/>
        <w:jc w:val="both"/>
        <w:rPr>
          <w:sz w:val="24"/>
          <w:szCs w:val="24"/>
        </w:rPr>
      </w:pPr>
      <w:r w:rsidRPr="00E837F8">
        <w:rPr>
          <w:sz w:val="24"/>
          <w:szCs w:val="24"/>
        </w:rPr>
        <w:lastRenderedPageBreak/>
        <w:t>Casavecchia, L. and Suh, J.Y. (2017) ‘Managerial incentives for risk-taking and internal capital allocation’, </w:t>
      </w:r>
      <w:r w:rsidRPr="00E837F8">
        <w:rPr>
          <w:i/>
          <w:iCs/>
          <w:sz w:val="24"/>
          <w:szCs w:val="24"/>
        </w:rPr>
        <w:t>Australian journal of management</w:t>
      </w:r>
      <w:r w:rsidRPr="00E837F8">
        <w:rPr>
          <w:sz w:val="24"/>
          <w:szCs w:val="24"/>
        </w:rPr>
        <w:t>, 42(3), pp. 428–461. Available at: https://doi.org/10.1177/0312896216652181</w:t>
      </w:r>
    </w:p>
    <w:p w14:paraId="0429C4E2" w14:textId="77777777" w:rsidR="00D27ED2" w:rsidRPr="00E837F8" w:rsidRDefault="00D27ED2">
      <w:pPr>
        <w:spacing w:after="240" w:line="360" w:lineRule="auto"/>
        <w:jc w:val="both"/>
        <w:rPr>
          <w:sz w:val="24"/>
          <w:szCs w:val="24"/>
        </w:rPr>
      </w:pPr>
      <w:r w:rsidRPr="00E837F8">
        <w:rPr>
          <w:sz w:val="24"/>
          <w:szCs w:val="24"/>
        </w:rPr>
        <w:t>Chay, J.B., Park, S.H., Kim, S. and Suh, J. (2015) ‘Financing hierarchy: Evidence from quantile regression’, </w:t>
      </w:r>
      <w:r w:rsidRPr="00E837F8">
        <w:rPr>
          <w:i/>
          <w:iCs/>
          <w:sz w:val="24"/>
          <w:szCs w:val="24"/>
        </w:rPr>
        <w:t>Journal of corporate finance (Amsterdam, Netherlands</w:t>
      </w:r>
      <w:r w:rsidRPr="00E837F8">
        <w:rPr>
          <w:sz w:val="24"/>
          <w:szCs w:val="24"/>
        </w:rPr>
        <w:t>, 33, pp. 147–163. Available at: https://doi.org/10.1016/j.jcorpfin.2015.06.004</w:t>
      </w:r>
    </w:p>
    <w:p w14:paraId="5172B445" w14:textId="77777777" w:rsidR="00D27ED2" w:rsidRPr="00E837F8" w:rsidRDefault="00D27ED2">
      <w:pPr>
        <w:spacing w:after="240" w:line="360" w:lineRule="auto"/>
        <w:jc w:val="both"/>
        <w:rPr>
          <w:sz w:val="24"/>
          <w:szCs w:val="24"/>
        </w:rPr>
      </w:pPr>
      <w:r w:rsidRPr="00E837F8">
        <w:rPr>
          <w:sz w:val="24"/>
          <w:szCs w:val="24"/>
        </w:rPr>
        <w:t>Chen, Y., Kimura, Y. and Inoue, K. (2025) ‘How does managerial perception of uncertainty affect corporate investment during the COVID-19 pandemic: A text mining approach’, </w:t>
      </w:r>
      <w:r w:rsidRPr="00E837F8">
        <w:rPr>
          <w:i/>
          <w:iCs/>
          <w:sz w:val="24"/>
          <w:szCs w:val="24"/>
        </w:rPr>
        <w:t>Pacific-Basin finance journal</w:t>
      </w:r>
      <w:r w:rsidRPr="00E837F8">
        <w:rPr>
          <w:sz w:val="24"/>
          <w:szCs w:val="24"/>
        </w:rPr>
        <w:t>, 90, pp. 1–19. Available at: https://doi.org/10.1016/j.pacfin.2024.102655</w:t>
      </w:r>
    </w:p>
    <w:p w14:paraId="387A8E50" w14:textId="77777777" w:rsidR="00D27ED2" w:rsidRPr="00E837F8" w:rsidRDefault="00D27ED2" w:rsidP="00B53CA5">
      <w:pPr>
        <w:spacing w:after="240" w:line="360" w:lineRule="auto"/>
        <w:jc w:val="both"/>
        <w:rPr>
          <w:sz w:val="24"/>
          <w:szCs w:val="24"/>
        </w:rPr>
      </w:pPr>
      <w:r w:rsidRPr="00E837F8">
        <w:rPr>
          <w:sz w:val="24"/>
          <w:szCs w:val="24"/>
        </w:rPr>
        <w:t>Chigbu, U.E., Atiku, S.O. and Du Plessis, C.C. (2023) ‘The Science of Literature Reviews: Searching, Identifying, Selecting, and Synthesising’, </w:t>
      </w:r>
      <w:r w:rsidRPr="00E837F8">
        <w:rPr>
          <w:i/>
          <w:iCs/>
          <w:sz w:val="24"/>
          <w:szCs w:val="24"/>
        </w:rPr>
        <w:t>Publications (Basel)</w:t>
      </w:r>
      <w:r w:rsidRPr="00E837F8">
        <w:rPr>
          <w:sz w:val="24"/>
          <w:szCs w:val="24"/>
        </w:rPr>
        <w:t>, 11(1), pp. 1–16. Available at: https://doi.org/10.3390/publications11010002</w:t>
      </w:r>
    </w:p>
    <w:p w14:paraId="50B26555" w14:textId="77777777" w:rsidR="00D27ED2" w:rsidRPr="00E837F8" w:rsidRDefault="00D27ED2">
      <w:pPr>
        <w:spacing w:after="240" w:line="360" w:lineRule="auto"/>
        <w:jc w:val="both"/>
        <w:rPr>
          <w:sz w:val="24"/>
          <w:szCs w:val="24"/>
        </w:rPr>
      </w:pPr>
      <w:r w:rsidRPr="00E837F8">
        <w:rPr>
          <w:sz w:val="24"/>
          <w:szCs w:val="24"/>
        </w:rPr>
        <w:t>Chit, M.M. and Rizov, M. (2024) ‘SMEs’ diversification of financing sources: Strategy or desperation?’, </w:t>
      </w:r>
      <w:r w:rsidRPr="00E837F8">
        <w:rPr>
          <w:i/>
          <w:iCs/>
          <w:sz w:val="24"/>
          <w:szCs w:val="24"/>
        </w:rPr>
        <w:t>International journal of finance and economics</w:t>
      </w:r>
      <w:r w:rsidRPr="00E837F8">
        <w:rPr>
          <w:sz w:val="24"/>
          <w:szCs w:val="24"/>
        </w:rPr>
        <w:t>, 29(3), pp. 3123–3146. Available at: https://doi.org/10.1002/ijfe.2822</w:t>
      </w:r>
    </w:p>
    <w:p w14:paraId="66E658A6" w14:textId="77777777" w:rsidR="00D27ED2" w:rsidRPr="00E837F8" w:rsidRDefault="00D27ED2">
      <w:pPr>
        <w:spacing w:after="240" w:line="360" w:lineRule="auto"/>
        <w:jc w:val="both"/>
        <w:rPr>
          <w:sz w:val="24"/>
          <w:szCs w:val="24"/>
        </w:rPr>
      </w:pPr>
      <w:r w:rsidRPr="00E837F8">
        <w:rPr>
          <w:sz w:val="24"/>
          <w:szCs w:val="24"/>
        </w:rPr>
        <w:t>Christodoulou, D., Ho, S. and Prokhorov, A. (2022) ‘The evolution of financial constraints’, </w:t>
      </w:r>
      <w:r w:rsidRPr="00E837F8">
        <w:rPr>
          <w:i/>
          <w:iCs/>
          <w:sz w:val="24"/>
          <w:szCs w:val="24"/>
        </w:rPr>
        <w:t>European financial management : the journal of the European Financial Management Association</w:t>
      </w:r>
      <w:r w:rsidRPr="00E837F8">
        <w:rPr>
          <w:sz w:val="24"/>
          <w:szCs w:val="24"/>
        </w:rPr>
        <w:t>,28(1), pp. 233–259. Available at: https://doi.org/10.1111/eufm.12310</w:t>
      </w:r>
    </w:p>
    <w:p w14:paraId="2DE3D24A" w14:textId="77777777" w:rsidR="00D27ED2" w:rsidRPr="00E837F8" w:rsidRDefault="00D27ED2" w:rsidP="00B53CA5">
      <w:pPr>
        <w:spacing w:after="240" w:line="360" w:lineRule="auto"/>
        <w:jc w:val="both"/>
        <w:rPr>
          <w:sz w:val="24"/>
          <w:szCs w:val="24"/>
        </w:rPr>
      </w:pPr>
      <w:r w:rsidRPr="00E837F8">
        <w:rPr>
          <w:sz w:val="24"/>
          <w:szCs w:val="24"/>
        </w:rPr>
        <w:t>Clark, D. (2016) ‘Content Strategy: An Integrative Literature Review’, </w:t>
      </w:r>
      <w:r w:rsidRPr="00E837F8">
        <w:rPr>
          <w:i/>
          <w:iCs/>
          <w:sz w:val="24"/>
          <w:szCs w:val="24"/>
        </w:rPr>
        <w:t>IEEE transactions on professional communication</w:t>
      </w:r>
      <w:r w:rsidRPr="00E837F8">
        <w:rPr>
          <w:sz w:val="24"/>
          <w:szCs w:val="24"/>
        </w:rPr>
        <w:t>, 59(1), pp. 7–23. Available at: https://doi.org/10.1109/TPC.2016.2537080</w:t>
      </w:r>
    </w:p>
    <w:p w14:paraId="18072FA3" w14:textId="77777777" w:rsidR="00D27ED2" w:rsidRPr="00E837F8" w:rsidRDefault="00D27ED2">
      <w:pPr>
        <w:spacing w:after="240" w:line="360" w:lineRule="auto"/>
        <w:jc w:val="both"/>
        <w:rPr>
          <w:sz w:val="24"/>
          <w:szCs w:val="24"/>
        </w:rPr>
      </w:pPr>
      <w:r w:rsidRPr="00E837F8">
        <w:rPr>
          <w:sz w:val="24"/>
          <w:szCs w:val="24"/>
        </w:rPr>
        <w:t>Coelho, R., Jayantilal, S. and Ferreira, J.J. (2023) ‘The impact of social responsibility on corporate financial performance: A systematic literature review’, </w:t>
      </w:r>
      <w:r w:rsidRPr="00E837F8">
        <w:rPr>
          <w:i/>
          <w:iCs/>
          <w:sz w:val="24"/>
          <w:szCs w:val="24"/>
        </w:rPr>
        <w:t>Corporate social-responsibility and environmental management</w:t>
      </w:r>
      <w:r w:rsidRPr="00E837F8">
        <w:rPr>
          <w:sz w:val="24"/>
          <w:szCs w:val="24"/>
        </w:rPr>
        <w:t>, 30(4), pp. 1535–1560. Available at: https://doi.org/10.1002/csr.2446</w:t>
      </w:r>
    </w:p>
    <w:p w14:paraId="66BB3004" w14:textId="77777777" w:rsidR="00D27ED2" w:rsidRPr="00E837F8" w:rsidRDefault="00D27ED2">
      <w:pPr>
        <w:spacing w:after="240" w:line="360" w:lineRule="auto"/>
        <w:jc w:val="both"/>
        <w:rPr>
          <w:sz w:val="24"/>
          <w:szCs w:val="24"/>
        </w:rPr>
      </w:pPr>
      <w:r w:rsidRPr="00E837F8">
        <w:rPr>
          <w:sz w:val="24"/>
          <w:szCs w:val="24"/>
        </w:rPr>
        <w:t>Cohen, B.H. and Scatigna, M. (2016) ‘Banks and capital requirements: Channels of adjustment’, </w:t>
      </w:r>
      <w:r w:rsidRPr="00E837F8">
        <w:rPr>
          <w:i/>
          <w:iCs/>
          <w:sz w:val="24"/>
          <w:szCs w:val="24"/>
        </w:rPr>
        <w:t>Journal of banking &amp; finance</w:t>
      </w:r>
      <w:r w:rsidRPr="00E837F8">
        <w:rPr>
          <w:sz w:val="24"/>
          <w:szCs w:val="24"/>
        </w:rPr>
        <w:t>, 69, pp. S56–S69. Available at: https://doi.org/10.1016/j.jbankfin.2015.09.022</w:t>
      </w:r>
    </w:p>
    <w:p w14:paraId="362E054F" w14:textId="77777777" w:rsidR="00D27ED2" w:rsidRPr="00E837F8" w:rsidRDefault="00D27ED2">
      <w:pPr>
        <w:spacing w:after="240" w:line="360" w:lineRule="auto"/>
        <w:jc w:val="both"/>
        <w:rPr>
          <w:sz w:val="24"/>
          <w:szCs w:val="24"/>
        </w:rPr>
      </w:pPr>
      <w:r w:rsidRPr="00E837F8">
        <w:rPr>
          <w:sz w:val="24"/>
          <w:szCs w:val="24"/>
        </w:rPr>
        <w:lastRenderedPageBreak/>
        <w:t>Coleman, N., Correa, R., Feler, L. and Goldrosen, J. (2017) ‘Internal Liquidity Management and Local Credit Provision’, </w:t>
      </w:r>
      <w:r w:rsidRPr="00E837F8">
        <w:rPr>
          <w:i/>
          <w:iCs/>
          <w:sz w:val="24"/>
          <w:szCs w:val="24"/>
        </w:rPr>
        <w:t>International finance discussion papers</w:t>
      </w:r>
      <w:r w:rsidRPr="00E837F8">
        <w:rPr>
          <w:sz w:val="24"/>
          <w:szCs w:val="24"/>
        </w:rPr>
        <w:t>, 2017.0(1204), pp. 1–39. Available at: https://doi.org/10.17016/ifdp.2017.1204</w:t>
      </w:r>
    </w:p>
    <w:p w14:paraId="1E8E8B35" w14:textId="77777777" w:rsidR="00D27ED2" w:rsidRPr="00E837F8" w:rsidRDefault="00D27ED2">
      <w:pPr>
        <w:spacing w:after="240" w:line="360" w:lineRule="auto"/>
        <w:jc w:val="both"/>
        <w:rPr>
          <w:sz w:val="24"/>
          <w:szCs w:val="24"/>
        </w:rPr>
      </w:pPr>
      <w:r w:rsidRPr="00E837F8">
        <w:rPr>
          <w:sz w:val="24"/>
          <w:szCs w:val="24"/>
        </w:rPr>
        <w:t>Comino-Jurado, M., Sánchez-Andújar, S. and Parrado-Martínez, P. (2021) ‘Reassessing debt-financing decisions in family firms: Family involvement on the board of directors and generational stage’, </w:t>
      </w:r>
      <w:r w:rsidRPr="00E837F8">
        <w:rPr>
          <w:i/>
          <w:iCs/>
          <w:sz w:val="24"/>
          <w:szCs w:val="24"/>
        </w:rPr>
        <w:t>Journal of business research</w:t>
      </w:r>
      <w:r w:rsidRPr="00E837F8">
        <w:rPr>
          <w:sz w:val="24"/>
          <w:szCs w:val="24"/>
        </w:rPr>
        <w:t>, 135, pp. 426–435. Available at: https://doi.org/10.1016/j.jbusres.2021.06.060</w:t>
      </w:r>
    </w:p>
    <w:p w14:paraId="5D7F2C1F" w14:textId="77777777" w:rsidR="00D27ED2" w:rsidRPr="00E837F8" w:rsidRDefault="00D27ED2">
      <w:pPr>
        <w:spacing w:after="240" w:line="360" w:lineRule="auto"/>
        <w:jc w:val="both"/>
        <w:rPr>
          <w:sz w:val="24"/>
          <w:szCs w:val="24"/>
        </w:rPr>
      </w:pPr>
      <w:r w:rsidRPr="00E837F8">
        <w:rPr>
          <w:sz w:val="24"/>
          <w:szCs w:val="24"/>
        </w:rPr>
        <w:t>Cull, R., Li, W., Sun, B. and Xu, L.C. (2015) ‘Government connections and financial constraints: Evidence from a large representative sample of Chinese firms’, </w:t>
      </w:r>
      <w:r w:rsidRPr="00E837F8">
        <w:rPr>
          <w:i/>
          <w:iCs/>
          <w:sz w:val="24"/>
          <w:szCs w:val="24"/>
        </w:rPr>
        <w:t>Journal of corporate finance (Amsterdam, Netherlands)</w:t>
      </w:r>
      <w:r w:rsidRPr="00E837F8">
        <w:rPr>
          <w:sz w:val="24"/>
          <w:szCs w:val="24"/>
        </w:rPr>
        <w:t>, 32, pp. 271–294. Available at: https://doi.org/10.1016/j.jcorpfin.2014.10.012</w:t>
      </w:r>
    </w:p>
    <w:p w14:paraId="72CC801E" w14:textId="77777777" w:rsidR="00D27ED2" w:rsidRPr="00E837F8" w:rsidRDefault="00D27ED2">
      <w:pPr>
        <w:spacing w:after="240" w:line="360" w:lineRule="auto"/>
        <w:jc w:val="both"/>
        <w:rPr>
          <w:sz w:val="24"/>
          <w:szCs w:val="24"/>
        </w:rPr>
      </w:pPr>
      <w:r w:rsidRPr="00E837F8">
        <w:rPr>
          <w:sz w:val="24"/>
          <w:szCs w:val="24"/>
        </w:rPr>
        <w:t>Cunha, F.A.F. de S., Meira, E. and Orsato, R.J. (2021) ‘Sustainable finance and investment: Review and research agenda’, </w:t>
      </w:r>
      <w:r w:rsidRPr="00E837F8">
        <w:rPr>
          <w:i/>
          <w:iCs/>
          <w:sz w:val="24"/>
          <w:szCs w:val="24"/>
        </w:rPr>
        <w:t>Business strategy and the environment</w:t>
      </w:r>
      <w:r w:rsidRPr="00E837F8">
        <w:rPr>
          <w:sz w:val="24"/>
          <w:szCs w:val="24"/>
        </w:rPr>
        <w:t>, 30(8), pp. 3821–3838. Available at: https://doi.org/10.1002/bse.2842</w:t>
      </w:r>
    </w:p>
    <w:p w14:paraId="2A5BFD74" w14:textId="77777777" w:rsidR="00D27ED2" w:rsidRPr="00E837F8" w:rsidRDefault="00D27ED2">
      <w:pPr>
        <w:spacing w:after="240" w:line="360" w:lineRule="auto"/>
        <w:jc w:val="both"/>
        <w:rPr>
          <w:sz w:val="24"/>
          <w:szCs w:val="24"/>
        </w:rPr>
      </w:pPr>
      <w:r w:rsidRPr="00E837F8">
        <w:rPr>
          <w:sz w:val="24"/>
          <w:szCs w:val="24"/>
        </w:rPr>
        <w:t>Czarnitzki, D. and Hottenrott, H. (2017) ‘Inter-organizational collaboration and financing constraints for R&amp;D’, </w:t>
      </w:r>
      <w:r w:rsidRPr="00E837F8">
        <w:rPr>
          <w:i/>
          <w:iCs/>
          <w:sz w:val="24"/>
          <w:szCs w:val="24"/>
        </w:rPr>
        <w:t>Economics letters</w:t>
      </w:r>
      <w:r w:rsidRPr="00E837F8">
        <w:rPr>
          <w:sz w:val="24"/>
          <w:szCs w:val="24"/>
        </w:rPr>
        <w:t>, 161, pp. 15–18. Available at: https://doi.org/10.1016/j.econlet.2017.09.008</w:t>
      </w:r>
    </w:p>
    <w:p w14:paraId="26171D0A" w14:textId="77777777" w:rsidR="00D27ED2" w:rsidRPr="00E837F8" w:rsidRDefault="00D27ED2">
      <w:pPr>
        <w:spacing w:after="240" w:line="360" w:lineRule="auto"/>
        <w:jc w:val="both"/>
        <w:rPr>
          <w:sz w:val="24"/>
          <w:szCs w:val="24"/>
        </w:rPr>
      </w:pPr>
      <w:r w:rsidRPr="00E837F8">
        <w:rPr>
          <w:sz w:val="24"/>
          <w:szCs w:val="24"/>
        </w:rPr>
        <w:t>Davis, L.E. (2017) ‘FINANCIALIZATION AND INVESTMENT: A SURVEY OF THE EMPIRICAL LITERATURE’, </w:t>
      </w:r>
      <w:r w:rsidRPr="00E837F8">
        <w:rPr>
          <w:i/>
          <w:iCs/>
          <w:sz w:val="24"/>
          <w:szCs w:val="24"/>
        </w:rPr>
        <w:t>Journal of economic surveys</w:t>
      </w:r>
      <w:r w:rsidRPr="00E837F8">
        <w:rPr>
          <w:sz w:val="24"/>
          <w:szCs w:val="24"/>
        </w:rPr>
        <w:t>, 31(5), pp. 1332–1358. Available at: https://doi.org/10.1111/joes.12242</w:t>
      </w:r>
    </w:p>
    <w:p w14:paraId="5FC1D090" w14:textId="77777777" w:rsidR="00D27ED2" w:rsidRPr="00E837F8" w:rsidRDefault="00D27ED2" w:rsidP="00B53CA5">
      <w:pPr>
        <w:spacing w:after="240" w:line="360" w:lineRule="auto"/>
        <w:jc w:val="both"/>
        <w:rPr>
          <w:sz w:val="24"/>
          <w:szCs w:val="24"/>
        </w:rPr>
      </w:pPr>
      <w:r w:rsidRPr="00E837F8">
        <w:rPr>
          <w:sz w:val="24"/>
          <w:szCs w:val="24"/>
        </w:rPr>
        <w:t>Denney, A.S. and Tewksbury, R. (2013) ‘How to Write a Literature Review’, </w:t>
      </w:r>
      <w:r w:rsidRPr="00E837F8">
        <w:rPr>
          <w:i/>
          <w:iCs/>
          <w:sz w:val="24"/>
          <w:szCs w:val="24"/>
        </w:rPr>
        <w:t>Journal of criminal justice education</w:t>
      </w:r>
      <w:r w:rsidRPr="00E837F8">
        <w:rPr>
          <w:sz w:val="24"/>
          <w:szCs w:val="24"/>
        </w:rPr>
        <w:t>, 24(2), pp. 218–234. Available at: https://doi.org/10.1080/10511253.2012.730617</w:t>
      </w:r>
    </w:p>
    <w:p w14:paraId="296B0C8A" w14:textId="77777777" w:rsidR="00D27ED2" w:rsidRPr="00E837F8" w:rsidRDefault="00D27ED2" w:rsidP="00B53CA5">
      <w:pPr>
        <w:spacing w:after="240" w:line="360" w:lineRule="auto"/>
        <w:jc w:val="both"/>
        <w:rPr>
          <w:sz w:val="24"/>
          <w:szCs w:val="24"/>
        </w:rPr>
      </w:pPr>
      <w:r w:rsidRPr="00E837F8">
        <w:rPr>
          <w:sz w:val="24"/>
          <w:szCs w:val="24"/>
        </w:rPr>
        <w:t>Denyer, D., Tranfield, D. and van Aken, J.E. (2008) ‘Developing Design Propositions through Research Synthesis’, </w:t>
      </w:r>
      <w:r w:rsidRPr="00E837F8">
        <w:rPr>
          <w:i/>
          <w:iCs/>
          <w:sz w:val="24"/>
          <w:szCs w:val="24"/>
        </w:rPr>
        <w:t>Organization studies</w:t>
      </w:r>
      <w:r w:rsidRPr="00E837F8">
        <w:rPr>
          <w:sz w:val="24"/>
          <w:szCs w:val="24"/>
        </w:rPr>
        <w:t xml:space="preserve">, 29(3), pp. 393–413. Available at: https://doi.org/10.1177/0170840607088020 </w:t>
      </w:r>
    </w:p>
    <w:p w14:paraId="0ACCD703" w14:textId="77777777" w:rsidR="00D27ED2" w:rsidRPr="00E837F8" w:rsidRDefault="00D27ED2">
      <w:pPr>
        <w:spacing w:after="240" w:line="360" w:lineRule="auto"/>
        <w:jc w:val="both"/>
        <w:rPr>
          <w:sz w:val="24"/>
          <w:szCs w:val="24"/>
        </w:rPr>
      </w:pPr>
      <w:r w:rsidRPr="00E837F8">
        <w:rPr>
          <w:sz w:val="24"/>
          <w:szCs w:val="24"/>
        </w:rPr>
        <w:lastRenderedPageBreak/>
        <w:t>Dixon, R., Guariglia, A. and Vijayakumaran, R. (2017) ‘Managerial ownership, corporate governance and firms’ exporting decisions: evidence from Chinese listed companies’, </w:t>
      </w:r>
      <w:r w:rsidRPr="00E837F8">
        <w:rPr>
          <w:i/>
          <w:iCs/>
          <w:sz w:val="24"/>
          <w:szCs w:val="24"/>
        </w:rPr>
        <w:t>The European journal of finance</w:t>
      </w:r>
      <w:r w:rsidRPr="00E837F8">
        <w:rPr>
          <w:sz w:val="24"/>
          <w:szCs w:val="24"/>
        </w:rPr>
        <w:t>, 23(7–9), pp. 802–840. Available at: https://doi.org/10.1080/1351847X.2015.1025990</w:t>
      </w:r>
    </w:p>
    <w:p w14:paraId="6F614F80" w14:textId="77777777" w:rsidR="00D27ED2" w:rsidRPr="00E837F8" w:rsidRDefault="00D27ED2" w:rsidP="00B53CA5">
      <w:pPr>
        <w:spacing w:after="240" w:line="360" w:lineRule="auto"/>
        <w:jc w:val="both"/>
        <w:rPr>
          <w:sz w:val="24"/>
          <w:szCs w:val="24"/>
        </w:rPr>
      </w:pPr>
      <w:r w:rsidRPr="00E837F8">
        <w:rPr>
          <w:sz w:val="24"/>
          <w:szCs w:val="24"/>
        </w:rPr>
        <w:t>Dodgson, J.E. (2021) ‘Critical Analysis: The Often-Missing Step in Conducting Literature Review Research’, </w:t>
      </w:r>
      <w:r w:rsidRPr="00E837F8">
        <w:rPr>
          <w:i/>
          <w:iCs/>
          <w:sz w:val="24"/>
          <w:szCs w:val="24"/>
        </w:rPr>
        <w:t>Journal of human lactation</w:t>
      </w:r>
      <w:r w:rsidRPr="00E837F8">
        <w:rPr>
          <w:sz w:val="24"/>
          <w:szCs w:val="24"/>
        </w:rPr>
        <w:t>, 37(1), pp. 27–32. Available at: https://doi.org/10.1177/0890334420977815</w:t>
      </w:r>
    </w:p>
    <w:p w14:paraId="0333D14C" w14:textId="77777777" w:rsidR="00D27ED2" w:rsidRPr="00E837F8" w:rsidRDefault="00D27ED2">
      <w:pPr>
        <w:spacing w:before="240" w:after="240" w:line="360" w:lineRule="auto"/>
        <w:jc w:val="both"/>
        <w:rPr>
          <w:sz w:val="24"/>
          <w:szCs w:val="24"/>
        </w:rPr>
      </w:pPr>
      <w:r w:rsidRPr="00E837F8">
        <w:rPr>
          <w:sz w:val="24"/>
          <w:szCs w:val="24"/>
        </w:rPr>
        <w:t>Donaldson, G., 1961. </w:t>
      </w:r>
      <w:r w:rsidRPr="00E837F8">
        <w:rPr>
          <w:i/>
          <w:iCs/>
          <w:sz w:val="24"/>
          <w:szCs w:val="24"/>
        </w:rPr>
        <w:t>Corporate debt capacity: A study of corporate debt policy and the determination of corporate debt capacity</w:t>
      </w:r>
      <w:r w:rsidRPr="00E837F8">
        <w:rPr>
          <w:sz w:val="24"/>
          <w:szCs w:val="24"/>
        </w:rPr>
        <w:t>. Beard Books.</w:t>
      </w:r>
    </w:p>
    <w:p w14:paraId="75F10462" w14:textId="77777777" w:rsidR="00D27ED2" w:rsidRPr="00E837F8" w:rsidRDefault="00D27ED2">
      <w:pPr>
        <w:spacing w:after="240" w:line="360" w:lineRule="auto"/>
        <w:jc w:val="both"/>
        <w:rPr>
          <w:color w:val="333333"/>
          <w:sz w:val="24"/>
          <w:szCs w:val="24"/>
        </w:rPr>
      </w:pPr>
      <w:r w:rsidRPr="00E837F8">
        <w:rPr>
          <w:color w:val="333333"/>
          <w:sz w:val="24"/>
          <w:szCs w:val="24"/>
        </w:rPr>
        <w:t>Doruk, Ö.T. (2024) ‘The Link Between R&amp;D and Financing Constraints in Manufacturing Sectors for Two Emerging Markets’, </w:t>
      </w:r>
      <w:r w:rsidRPr="00E837F8">
        <w:rPr>
          <w:i/>
          <w:iCs/>
          <w:color w:val="333333"/>
          <w:sz w:val="24"/>
          <w:szCs w:val="24"/>
        </w:rPr>
        <w:t>Journal of the knowledge economy</w:t>
      </w:r>
      <w:r w:rsidRPr="00E837F8">
        <w:rPr>
          <w:color w:val="333333"/>
          <w:sz w:val="24"/>
          <w:szCs w:val="24"/>
        </w:rPr>
        <w:t>, 15(3), pp. 12596–12621. Available at: https://doi.org/10.1007/s13132-023-01563-8</w:t>
      </w:r>
    </w:p>
    <w:p w14:paraId="3A421126" w14:textId="77777777" w:rsidR="00D27ED2" w:rsidRPr="00E837F8" w:rsidRDefault="00D27ED2" w:rsidP="00B53CA5">
      <w:pPr>
        <w:spacing w:after="240" w:line="360" w:lineRule="auto"/>
        <w:jc w:val="both"/>
        <w:rPr>
          <w:sz w:val="24"/>
          <w:szCs w:val="24"/>
        </w:rPr>
      </w:pPr>
      <w:r w:rsidRPr="00E837F8">
        <w:rPr>
          <w:sz w:val="24"/>
          <w:szCs w:val="24"/>
        </w:rPr>
        <w:t>Dumay, J. and Cai, L. (2014) ‘A review and critique of content analysis as a methodology for inquiring into IC disclosure’, </w:t>
      </w:r>
      <w:r w:rsidRPr="00E837F8">
        <w:rPr>
          <w:i/>
          <w:iCs/>
          <w:sz w:val="24"/>
          <w:szCs w:val="24"/>
        </w:rPr>
        <w:t>Journal of intellectual capital</w:t>
      </w:r>
      <w:r w:rsidRPr="00E837F8">
        <w:rPr>
          <w:sz w:val="24"/>
          <w:szCs w:val="24"/>
        </w:rPr>
        <w:t>, 15(2), pp. 264–290. Available at: https://doi.org/10.1108/JIC-01-2014-0010</w:t>
      </w:r>
    </w:p>
    <w:p w14:paraId="1398BECA" w14:textId="77777777" w:rsidR="00D27ED2" w:rsidRPr="00E837F8" w:rsidRDefault="00D27ED2">
      <w:pPr>
        <w:spacing w:after="240" w:line="360" w:lineRule="auto"/>
        <w:jc w:val="both"/>
        <w:rPr>
          <w:color w:val="333333"/>
          <w:sz w:val="24"/>
          <w:szCs w:val="24"/>
        </w:rPr>
      </w:pPr>
      <w:r w:rsidRPr="00E837F8">
        <w:rPr>
          <w:color w:val="333333"/>
          <w:sz w:val="24"/>
          <w:szCs w:val="24"/>
        </w:rPr>
        <w:t>Eggers, F. (2020) ‘Masters of disasters? Challenges and opportunities for SMEs in times of crisis’, </w:t>
      </w:r>
      <w:r w:rsidRPr="00E837F8">
        <w:rPr>
          <w:i/>
          <w:iCs/>
          <w:color w:val="333333"/>
          <w:sz w:val="24"/>
          <w:szCs w:val="24"/>
        </w:rPr>
        <w:t>Journal of business research</w:t>
      </w:r>
      <w:r w:rsidRPr="00E837F8">
        <w:rPr>
          <w:color w:val="333333"/>
          <w:sz w:val="24"/>
          <w:szCs w:val="24"/>
        </w:rPr>
        <w:t>, 116, pp. 199–208. Available at: https://doi.org/10.1016/j.jbusres.2020.05.025</w:t>
      </w:r>
    </w:p>
    <w:p w14:paraId="65DC1902" w14:textId="77777777" w:rsidR="00D27ED2" w:rsidRPr="00E837F8" w:rsidRDefault="00D27ED2">
      <w:pPr>
        <w:spacing w:after="240" w:line="360" w:lineRule="auto"/>
        <w:jc w:val="both"/>
        <w:rPr>
          <w:color w:val="333333"/>
          <w:sz w:val="24"/>
          <w:szCs w:val="24"/>
        </w:rPr>
      </w:pPr>
      <w:r w:rsidRPr="00E837F8">
        <w:rPr>
          <w:sz w:val="24"/>
          <w:szCs w:val="24"/>
        </w:rPr>
        <w:t>Eisenhardt, K.M. (1989)</w:t>
      </w:r>
      <w:r w:rsidRPr="00E837F8">
        <w:rPr>
          <w:color w:val="333333"/>
          <w:sz w:val="24"/>
          <w:szCs w:val="24"/>
        </w:rPr>
        <w:t xml:space="preserve"> ‘</w:t>
      </w:r>
      <w:r w:rsidRPr="00E837F8">
        <w:rPr>
          <w:sz w:val="24"/>
          <w:szCs w:val="24"/>
        </w:rPr>
        <w:t>Agency Theory: An Assessment and Review</w:t>
      </w:r>
      <w:r w:rsidRPr="00E837F8">
        <w:rPr>
          <w:color w:val="333333"/>
          <w:sz w:val="24"/>
          <w:szCs w:val="24"/>
        </w:rPr>
        <w:t>’, </w:t>
      </w:r>
      <w:r w:rsidRPr="00E837F8">
        <w:rPr>
          <w:i/>
          <w:iCs/>
          <w:sz w:val="24"/>
          <w:szCs w:val="24"/>
        </w:rPr>
        <w:t>The Academy of Management review</w:t>
      </w:r>
      <w:r w:rsidRPr="00E837F8">
        <w:rPr>
          <w:color w:val="333333"/>
          <w:sz w:val="24"/>
          <w:szCs w:val="24"/>
        </w:rPr>
        <w:t xml:space="preserve">, </w:t>
      </w:r>
      <w:r w:rsidRPr="00E837F8">
        <w:rPr>
          <w:sz w:val="24"/>
          <w:szCs w:val="24"/>
        </w:rPr>
        <w:t>14(1), pp. 57–74. Available at: https://doi.org/10.2307/258191</w:t>
      </w:r>
    </w:p>
    <w:p w14:paraId="47B84275" w14:textId="77777777" w:rsidR="00D27ED2" w:rsidRPr="00E837F8" w:rsidRDefault="00D27ED2">
      <w:pPr>
        <w:spacing w:after="240" w:line="360" w:lineRule="auto"/>
        <w:jc w:val="both"/>
        <w:rPr>
          <w:color w:val="333333"/>
          <w:sz w:val="24"/>
          <w:szCs w:val="24"/>
        </w:rPr>
      </w:pPr>
      <w:r w:rsidRPr="00E837F8">
        <w:rPr>
          <w:color w:val="333333"/>
          <w:sz w:val="24"/>
          <w:szCs w:val="24"/>
        </w:rPr>
        <w:t>El-Ansary, O. and Ahmed, A.M. (2025) ‘Does overconfidence blur out the investment efficiency? The managerial overconfidence and internal financing effect on investment efficiency: evidence from MENA region’, </w:t>
      </w:r>
      <w:r w:rsidRPr="00E837F8">
        <w:rPr>
          <w:i/>
          <w:iCs/>
          <w:color w:val="333333"/>
          <w:sz w:val="24"/>
          <w:szCs w:val="24"/>
        </w:rPr>
        <w:t>International journal of emerging markets</w:t>
      </w:r>
      <w:r w:rsidRPr="00E837F8">
        <w:rPr>
          <w:color w:val="333333"/>
          <w:sz w:val="24"/>
          <w:szCs w:val="24"/>
        </w:rPr>
        <w:t>, 20(2), pp. 701–721. Available at: https://doi.org/10.1108/IJOEM-06-2021-0931</w:t>
      </w:r>
    </w:p>
    <w:p w14:paraId="02DA6F74" w14:textId="77777777" w:rsidR="00D27ED2" w:rsidRPr="00E837F8" w:rsidRDefault="00D27ED2">
      <w:pPr>
        <w:spacing w:after="240" w:line="360" w:lineRule="auto"/>
        <w:jc w:val="both"/>
        <w:rPr>
          <w:color w:val="333333"/>
          <w:sz w:val="24"/>
          <w:szCs w:val="24"/>
        </w:rPr>
      </w:pPr>
      <w:r w:rsidRPr="00E837F8">
        <w:rPr>
          <w:color w:val="333333"/>
          <w:sz w:val="24"/>
          <w:szCs w:val="24"/>
        </w:rPr>
        <w:t>Elmaasrawy, H.E., Tawfik, O.I. and Hussainey, K. (2023) ‘Effects of chairman ownership on financing decisions: empirical evidence from GCC’, </w:t>
      </w:r>
      <w:r w:rsidRPr="00E837F8">
        <w:rPr>
          <w:i/>
          <w:iCs/>
          <w:color w:val="333333"/>
          <w:sz w:val="24"/>
          <w:szCs w:val="24"/>
        </w:rPr>
        <w:t>The journal of risk finance</w:t>
      </w:r>
      <w:r w:rsidRPr="00E837F8">
        <w:rPr>
          <w:color w:val="333333"/>
          <w:sz w:val="24"/>
          <w:szCs w:val="24"/>
        </w:rPr>
        <w:t>, 24(5), pp. 631–656. Available at: https://doi.org/10.1108/JRF-01-2023-0017</w:t>
      </w:r>
    </w:p>
    <w:p w14:paraId="10F26CAA" w14:textId="77777777" w:rsidR="00D27ED2" w:rsidRPr="00E837F8" w:rsidRDefault="00D27ED2">
      <w:pPr>
        <w:spacing w:after="240" w:line="360" w:lineRule="auto"/>
        <w:jc w:val="both"/>
        <w:rPr>
          <w:sz w:val="24"/>
          <w:szCs w:val="24"/>
        </w:rPr>
      </w:pPr>
      <w:r w:rsidRPr="00E837F8">
        <w:rPr>
          <w:sz w:val="24"/>
          <w:szCs w:val="24"/>
        </w:rPr>
        <w:lastRenderedPageBreak/>
        <w:t>Ermasova, N. (2020)</w:t>
      </w:r>
      <w:r w:rsidRPr="00E837F8">
        <w:rPr>
          <w:color w:val="333333"/>
          <w:sz w:val="24"/>
          <w:szCs w:val="24"/>
        </w:rPr>
        <w:t xml:space="preserve"> ‘</w:t>
      </w:r>
      <w:r w:rsidRPr="00E837F8">
        <w:rPr>
          <w:sz w:val="24"/>
          <w:szCs w:val="24"/>
        </w:rPr>
        <w:t>35 Years of Public Capital Budgeting: A Review and Future Research Agenda</w:t>
      </w:r>
      <w:r w:rsidRPr="00E837F8">
        <w:rPr>
          <w:color w:val="333333"/>
          <w:sz w:val="24"/>
          <w:szCs w:val="24"/>
        </w:rPr>
        <w:t>’, </w:t>
      </w:r>
      <w:r w:rsidRPr="00E837F8">
        <w:rPr>
          <w:i/>
          <w:iCs/>
          <w:sz w:val="24"/>
          <w:szCs w:val="24"/>
        </w:rPr>
        <w:t>Public finance and management</w:t>
      </w:r>
      <w:r w:rsidRPr="00E837F8">
        <w:rPr>
          <w:color w:val="333333"/>
          <w:sz w:val="24"/>
          <w:szCs w:val="24"/>
        </w:rPr>
        <w:t xml:space="preserve">, </w:t>
      </w:r>
      <w:r w:rsidRPr="00E837F8">
        <w:rPr>
          <w:sz w:val="24"/>
          <w:szCs w:val="24"/>
        </w:rPr>
        <w:t>19(4), pp. 297–326. Available at: https://doi.org/10.1177/152397212001900403</w:t>
      </w:r>
    </w:p>
    <w:p w14:paraId="3F3F8017" w14:textId="77777777" w:rsidR="00D27ED2" w:rsidRPr="00E837F8" w:rsidRDefault="00D27ED2">
      <w:pPr>
        <w:spacing w:after="240" w:line="360" w:lineRule="auto"/>
        <w:jc w:val="both"/>
        <w:rPr>
          <w:color w:val="333333"/>
          <w:sz w:val="24"/>
          <w:szCs w:val="24"/>
        </w:rPr>
      </w:pPr>
      <w:r w:rsidRPr="00E837F8">
        <w:rPr>
          <w:color w:val="333333"/>
          <w:sz w:val="24"/>
          <w:szCs w:val="24"/>
        </w:rPr>
        <w:t>Fadil, N. and St-Pierre, J. (2021) ‘Growing SMEs and internal financing: the role of business practices’, </w:t>
      </w:r>
      <w:r w:rsidRPr="00E837F8">
        <w:rPr>
          <w:i/>
          <w:iCs/>
          <w:color w:val="333333"/>
          <w:sz w:val="24"/>
          <w:szCs w:val="24"/>
        </w:rPr>
        <w:t>Journal of small business and enterprise development</w:t>
      </w:r>
      <w:r w:rsidRPr="00E837F8">
        <w:rPr>
          <w:color w:val="333333"/>
          <w:sz w:val="24"/>
          <w:szCs w:val="24"/>
        </w:rPr>
        <w:t>, 28(7), pp. 973–994. Available at: https://doi.org/10.1108/JSBED-11-2019-0375</w:t>
      </w:r>
    </w:p>
    <w:p w14:paraId="0221C408" w14:textId="77777777" w:rsidR="00D27ED2" w:rsidRPr="00E837F8" w:rsidRDefault="00D27ED2">
      <w:pPr>
        <w:spacing w:after="240" w:line="360" w:lineRule="auto"/>
        <w:jc w:val="both"/>
        <w:rPr>
          <w:color w:val="333333"/>
          <w:sz w:val="24"/>
          <w:szCs w:val="24"/>
        </w:rPr>
      </w:pPr>
      <w:r w:rsidRPr="00E837F8">
        <w:rPr>
          <w:color w:val="333333"/>
          <w:sz w:val="24"/>
          <w:szCs w:val="24"/>
        </w:rPr>
        <w:t>Falcone, P.M. and Sica, E. (2019) ‘Assessing the Opportunities and Challenges of Green Finance in Italy: An Analysis of the Biomass Production Sector’, </w:t>
      </w:r>
      <w:r w:rsidRPr="00E837F8">
        <w:rPr>
          <w:i/>
          <w:iCs/>
          <w:color w:val="333333"/>
          <w:sz w:val="24"/>
          <w:szCs w:val="24"/>
        </w:rPr>
        <w:t>Sustainability</w:t>
      </w:r>
      <w:r w:rsidRPr="00E837F8">
        <w:rPr>
          <w:color w:val="333333"/>
          <w:sz w:val="24"/>
          <w:szCs w:val="24"/>
        </w:rPr>
        <w:t>, 11(2), p. 517. Available at: https://doi.org/10.3390/su11020517</w:t>
      </w:r>
    </w:p>
    <w:p w14:paraId="646A19EE" w14:textId="77777777" w:rsidR="00D27ED2" w:rsidRPr="00E837F8" w:rsidRDefault="00D27ED2" w:rsidP="00B53CA5">
      <w:pPr>
        <w:spacing w:after="240" w:line="360" w:lineRule="auto"/>
        <w:jc w:val="both"/>
        <w:rPr>
          <w:sz w:val="24"/>
          <w:szCs w:val="24"/>
        </w:rPr>
      </w:pPr>
      <w:r w:rsidRPr="00E837F8">
        <w:rPr>
          <w:sz w:val="24"/>
          <w:szCs w:val="24"/>
        </w:rPr>
        <w:t>Fernandez, K.V. (2019) ‘Critically reviewing literature: A tutorial for new researchers’, </w:t>
      </w:r>
      <w:r w:rsidRPr="00E837F8">
        <w:rPr>
          <w:i/>
          <w:iCs/>
          <w:sz w:val="24"/>
          <w:szCs w:val="24"/>
        </w:rPr>
        <w:t>Australasian marketing journal</w:t>
      </w:r>
      <w:r w:rsidRPr="00E837F8">
        <w:rPr>
          <w:sz w:val="24"/>
          <w:szCs w:val="24"/>
        </w:rPr>
        <w:t>, 27(3), pp. 187–196. Available at: https://doi.org/10.1016/j.ausmj.2019.05.001</w:t>
      </w:r>
    </w:p>
    <w:p w14:paraId="5571B40D" w14:textId="77777777" w:rsidR="00D27ED2" w:rsidRPr="00E837F8" w:rsidRDefault="00D27ED2">
      <w:pPr>
        <w:spacing w:after="240" w:line="360" w:lineRule="auto"/>
        <w:jc w:val="both"/>
        <w:rPr>
          <w:color w:val="333333"/>
          <w:sz w:val="24"/>
          <w:szCs w:val="24"/>
        </w:rPr>
      </w:pPr>
      <w:r w:rsidRPr="00E837F8">
        <w:rPr>
          <w:sz w:val="24"/>
          <w:szCs w:val="24"/>
        </w:rPr>
        <w:t>Fischer, A.M. </w:t>
      </w:r>
      <w:r w:rsidRPr="00E837F8">
        <w:rPr>
          <w:i/>
          <w:iCs/>
          <w:sz w:val="24"/>
          <w:szCs w:val="24"/>
        </w:rPr>
        <w:t>et al.</w:t>
      </w:r>
      <w:r w:rsidRPr="00E837F8">
        <w:rPr>
          <w:sz w:val="24"/>
          <w:szCs w:val="24"/>
        </w:rPr>
        <w:t> (2019)</w:t>
      </w:r>
      <w:r w:rsidRPr="00E837F8">
        <w:rPr>
          <w:color w:val="333333"/>
          <w:sz w:val="24"/>
          <w:szCs w:val="24"/>
        </w:rPr>
        <w:t xml:space="preserve"> ‘</w:t>
      </w:r>
      <w:r w:rsidRPr="00E837F8">
        <w:rPr>
          <w:sz w:val="24"/>
          <w:szCs w:val="24"/>
        </w:rPr>
        <w:t>Current account adjustment and retained earnings</w:t>
      </w:r>
      <w:r w:rsidRPr="00E837F8">
        <w:rPr>
          <w:color w:val="333333"/>
          <w:sz w:val="24"/>
          <w:szCs w:val="24"/>
        </w:rPr>
        <w:t>’, </w:t>
      </w:r>
      <w:r w:rsidRPr="00E837F8">
        <w:rPr>
          <w:sz w:val="24"/>
          <w:szCs w:val="24"/>
        </w:rPr>
        <w:t>,” </w:t>
      </w:r>
      <w:r w:rsidRPr="00E837F8">
        <w:rPr>
          <w:i/>
          <w:iCs/>
          <w:sz w:val="24"/>
          <w:szCs w:val="24"/>
        </w:rPr>
        <w:t>Journal of international money and finance</w:t>
      </w:r>
      <w:r w:rsidRPr="00E837F8">
        <w:rPr>
          <w:color w:val="333333"/>
          <w:sz w:val="24"/>
          <w:szCs w:val="24"/>
        </w:rPr>
        <w:t xml:space="preserve">, </w:t>
      </w:r>
      <w:r w:rsidRPr="00E837F8">
        <w:rPr>
          <w:sz w:val="24"/>
          <w:szCs w:val="24"/>
        </w:rPr>
        <w:t>94, pp. 246–259. Available at: https://doi.org/10.1016/j.jimonfin.2019.02.002</w:t>
      </w:r>
    </w:p>
    <w:p w14:paraId="0615397B" w14:textId="77777777" w:rsidR="00D27ED2" w:rsidRPr="00E837F8" w:rsidRDefault="00D27ED2">
      <w:pPr>
        <w:spacing w:before="240" w:after="240" w:line="360" w:lineRule="auto"/>
        <w:jc w:val="both"/>
        <w:rPr>
          <w:sz w:val="24"/>
          <w:szCs w:val="24"/>
        </w:rPr>
      </w:pPr>
      <w:r w:rsidRPr="00E837F8">
        <w:rPr>
          <w:sz w:val="24"/>
          <w:szCs w:val="24"/>
        </w:rPr>
        <w:t>Frank, M.Z. and Goyal, V.K. (2008) ‘Trade-off and pecking order theories of debt’, </w:t>
      </w:r>
      <w:r w:rsidRPr="00E837F8">
        <w:rPr>
          <w:i/>
          <w:iCs/>
          <w:sz w:val="24"/>
          <w:szCs w:val="24"/>
        </w:rPr>
        <w:t>Handbook of empirical corporate finance</w:t>
      </w:r>
      <w:r w:rsidRPr="00E837F8">
        <w:rPr>
          <w:sz w:val="24"/>
          <w:szCs w:val="24"/>
        </w:rPr>
        <w:t xml:space="preserve">, pp.135-202. Available at </w:t>
      </w:r>
      <w:hyperlink r:id="rId12">
        <w:r w:rsidRPr="00E837F8">
          <w:rPr>
            <w:color w:val="0563C1"/>
            <w:sz w:val="24"/>
            <w:szCs w:val="24"/>
            <w:u w:val="single"/>
          </w:rPr>
          <w:t>http://dx.doi.org/10.2139/ssrn.670543</w:t>
        </w:r>
      </w:hyperlink>
    </w:p>
    <w:p w14:paraId="774AE697" w14:textId="77777777" w:rsidR="00D27ED2" w:rsidRPr="00E837F8" w:rsidRDefault="00D27ED2">
      <w:pPr>
        <w:spacing w:after="240" w:line="360" w:lineRule="auto"/>
        <w:jc w:val="both"/>
        <w:rPr>
          <w:color w:val="333333"/>
          <w:sz w:val="24"/>
          <w:szCs w:val="24"/>
        </w:rPr>
      </w:pPr>
      <w:r w:rsidRPr="00E837F8">
        <w:rPr>
          <w:color w:val="333333"/>
          <w:sz w:val="24"/>
          <w:szCs w:val="24"/>
        </w:rPr>
        <w:t>Gao, T. and Ma, X. (2025) ‘Directors’ and officers’ liability insurance and corporate R&amp;D capitalisation: evidence from China’, </w:t>
      </w:r>
      <w:r w:rsidRPr="00E837F8">
        <w:rPr>
          <w:i/>
          <w:iCs/>
          <w:color w:val="333333"/>
          <w:sz w:val="24"/>
          <w:szCs w:val="24"/>
        </w:rPr>
        <w:t>Geneva papers on risk and insurance. Issues and practice</w:t>
      </w:r>
      <w:r w:rsidRPr="00E837F8">
        <w:rPr>
          <w:color w:val="333333"/>
          <w:sz w:val="24"/>
          <w:szCs w:val="24"/>
        </w:rPr>
        <w:t>, 50(4), pp. 792–824. Available at: https://doi.org/10.1057/s41288-025-00353-4</w:t>
      </w:r>
    </w:p>
    <w:p w14:paraId="0F7D36EE" w14:textId="77777777" w:rsidR="00D27ED2" w:rsidRPr="00E837F8" w:rsidRDefault="00D27ED2">
      <w:pPr>
        <w:spacing w:after="240" w:line="360" w:lineRule="auto"/>
        <w:jc w:val="both"/>
        <w:rPr>
          <w:color w:val="333333"/>
          <w:sz w:val="24"/>
          <w:szCs w:val="24"/>
        </w:rPr>
      </w:pPr>
      <w:r w:rsidRPr="00E837F8">
        <w:rPr>
          <w:color w:val="333333"/>
          <w:sz w:val="24"/>
          <w:szCs w:val="24"/>
        </w:rPr>
        <w:t>Gao, X., Jia, Y. and Li, S. (2020) ‘Does Mandatory Disclosure of Internal Control Weaknesses Affect Corporate Financing Decisions?’, </w:t>
      </w:r>
      <w:r w:rsidRPr="00E837F8">
        <w:rPr>
          <w:i/>
          <w:iCs/>
          <w:color w:val="333333"/>
          <w:sz w:val="24"/>
          <w:szCs w:val="24"/>
        </w:rPr>
        <w:t>Journal of accounting, auditing &amp; finance</w:t>
      </w:r>
      <w:r w:rsidRPr="00E837F8">
        <w:rPr>
          <w:color w:val="333333"/>
          <w:sz w:val="24"/>
          <w:szCs w:val="24"/>
        </w:rPr>
        <w:t>, 35(3), pp. 581–606. Available at: https://doi.org/10.1177/0148558X18772244</w:t>
      </w:r>
    </w:p>
    <w:p w14:paraId="51B0F68B" w14:textId="77777777" w:rsidR="00D27ED2" w:rsidRPr="00E837F8" w:rsidRDefault="00D27ED2">
      <w:pPr>
        <w:spacing w:before="240" w:after="240" w:line="360" w:lineRule="auto"/>
        <w:jc w:val="both"/>
        <w:rPr>
          <w:sz w:val="24"/>
          <w:szCs w:val="24"/>
        </w:rPr>
      </w:pPr>
      <w:r w:rsidRPr="00E837F8">
        <w:rPr>
          <w:sz w:val="24"/>
          <w:szCs w:val="24"/>
        </w:rPr>
        <w:t>Garrison, R. H., Noreen, E. W., &amp; Brewer, P. C. (2021). Managerial accounting. McGraw-Hill.</w:t>
      </w:r>
    </w:p>
    <w:p w14:paraId="0CEF012D" w14:textId="77777777" w:rsidR="00D27ED2" w:rsidRPr="00E837F8" w:rsidRDefault="00D27ED2" w:rsidP="00B53CA5">
      <w:pPr>
        <w:spacing w:after="240" w:line="360" w:lineRule="auto"/>
        <w:jc w:val="both"/>
        <w:rPr>
          <w:sz w:val="24"/>
          <w:szCs w:val="24"/>
        </w:rPr>
      </w:pPr>
      <w:r w:rsidRPr="00E837F8">
        <w:rPr>
          <w:sz w:val="24"/>
          <w:szCs w:val="24"/>
        </w:rPr>
        <w:lastRenderedPageBreak/>
        <w:t>Gates, S. (2002) ‘Review of Methodology of Quantitative Reviews Using Meta-Analysis in Ecology’, </w:t>
      </w:r>
      <w:r w:rsidRPr="00E837F8">
        <w:rPr>
          <w:i/>
          <w:iCs/>
          <w:sz w:val="24"/>
          <w:szCs w:val="24"/>
        </w:rPr>
        <w:t>The Journal of animal ecology</w:t>
      </w:r>
      <w:r w:rsidRPr="00E837F8">
        <w:rPr>
          <w:sz w:val="24"/>
          <w:szCs w:val="24"/>
        </w:rPr>
        <w:t>, 71(4), pp. 547–557. Available at: https://doi.org/10.1046/j.1365-2656.2002.00634.x.</w:t>
      </w:r>
    </w:p>
    <w:p w14:paraId="480CC42F" w14:textId="77777777" w:rsidR="00D27ED2" w:rsidRPr="00E837F8" w:rsidRDefault="00D27ED2">
      <w:pPr>
        <w:spacing w:before="240" w:after="240" w:line="360" w:lineRule="auto"/>
        <w:jc w:val="both"/>
        <w:rPr>
          <w:sz w:val="24"/>
          <w:szCs w:val="24"/>
        </w:rPr>
      </w:pPr>
      <w:r w:rsidRPr="00E837F8">
        <w:rPr>
          <w:sz w:val="24"/>
          <w:szCs w:val="24"/>
        </w:rPr>
        <w:t>Ghose, B. and Kabra, K.C. (2019) ‘Capital Structure Dynamics and Financing Imbalance: Evidence from an Emerging Economy’, </w:t>
      </w:r>
      <w:r w:rsidRPr="00E837F8">
        <w:rPr>
          <w:i/>
          <w:iCs/>
          <w:sz w:val="24"/>
          <w:szCs w:val="24"/>
        </w:rPr>
        <w:t>Emerging economy studies</w:t>
      </w:r>
      <w:r w:rsidRPr="00E837F8">
        <w:rPr>
          <w:sz w:val="24"/>
          <w:szCs w:val="24"/>
        </w:rPr>
        <w:t>, 5(2), pp. 103–124. Available at: https://doi.org/10.1177/2394901519870766</w:t>
      </w:r>
    </w:p>
    <w:p w14:paraId="2CCF18B1" w14:textId="77777777" w:rsidR="00D27ED2" w:rsidRPr="00E837F8" w:rsidRDefault="00D27ED2" w:rsidP="00B53CA5">
      <w:pPr>
        <w:spacing w:after="240" w:line="360" w:lineRule="auto"/>
        <w:jc w:val="both"/>
        <w:rPr>
          <w:sz w:val="24"/>
          <w:szCs w:val="24"/>
        </w:rPr>
      </w:pPr>
      <w:r w:rsidRPr="00E837F8">
        <w:rPr>
          <w:sz w:val="24"/>
          <w:szCs w:val="24"/>
        </w:rPr>
        <w:t>Grant, M.J. and Booth, A. (2009) ‘A typology of reviews: an analysis of 14 review types and associated methodologies’, </w:t>
      </w:r>
      <w:r w:rsidRPr="00E837F8">
        <w:rPr>
          <w:i/>
          <w:iCs/>
          <w:sz w:val="24"/>
          <w:szCs w:val="24"/>
        </w:rPr>
        <w:t>Health information and libraries journal</w:t>
      </w:r>
      <w:r w:rsidRPr="00E837F8">
        <w:rPr>
          <w:sz w:val="24"/>
          <w:szCs w:val="24"/>
        </w:rPr>
        <w:t>, 26(2), pp. 91–108. Available https://doi.org/10.1111/j.1471-1842.2009.00848.x.</w:t>
      </w:r>
    </w:p>
    <w:p w14:paraId="1FF2FB12" w14:textId="77777777" w:rsidR="00D27ED2" w:rsidRPr="00E837F8" w:rsidRDefault="00D27ED2">
      <w:pPr>
        <w:spacing w:before="240" w:after="240" w:line="360" w:lineRule="auto"/>
        <w:jc w:val="both"/>
        <w:rPr>
          <w:sz w:val="24"/>
          <w:szCs w:val="24"/>
        </w:rPr>
      </w:pPr>
      <w:r w:rsidRPr="00E837F8">
        <w:rPr>
          <w:sz w:val="24"/>
          <w:szCs w:val="24"/>
        </w:rPr>
        <w:t>Guizani M, Ajmi AN (2021) ‘Financial conditions, financial constraints and investment-cash flow sensitivity: evidence from Saudi Arabia’, </w:t>
      </w:r>
      <w:r w:rsidRPr="00E837F8">
        <w:rPr>
          <w:i/>
          <w:iCs/>
          <w:sz w:val="24"/>
          <w:szCs w:val="24"/>
        </w:rPr>
        <w:t>Journal of Economic and Administrative Sciences</w:t>
      </w:r>
      <w:r w:rsidRPr="00E837F8">
        <w:rPr>
          <w:sz w:val="24"/>
          <w:szCs w:val="24"/>
        </w:rPr>
        <w:t xml:space="preserve">, 37(4), pp. 763–784. Available at: </w:t>
      </w:r>
      <w:hyperlink r:id="rId13">
        <w:r w:rsidRPr="00E837F8">
          <w:rPr>
            <w:color w:val="0563C1"/>
            <w:sz w:val="24"/>
            <w:szCs w:val="24"/>
            <w:u w:val="single"/>
          </w:rPr>
          <w:t>https://doi.org/10.1108/JEAS-12-2019-0132</w:t>
        </w:r>
      </w:hyperlink>
    </w:p>
    <w:p w14:paraId="4796A0EE" w14:textId="77777777" w:rsidR="00D27ED2" w:rsidRPr="00E837F8" w:rsidRDefault="00D27ED2">
      <w:pPr>
        <w:spacing w:after="240" w:line="360" w:lineRule="auto"/>
        <w:jc w:val="both"/>
        <w:rPr>
          <w:color w:val="333333"/>
          <w:sz w:val="24"/>
          <w:szCs w:val="24"/>
        </w:rPr>
      </w:pPr>
      <w:r w:rsidRPr="00E837F8">
        <w:rPr>
          <w:color w:val="333333"/>
          <w:sz w:val="24"/>
          <w:szCs w:val="24"/>
        </w:rPr>
        <w:t>Guizani, M. (2020) ‘Testing the pecking order theory of capital structure: The case of Islamic financing modes’, </w:t>
      </w:r>
      <w:r w:rsidRPr="00E837F8">
        <w:rPr>
          <w:i/>
          <w:iCs/>
          <w:color w:val="333333"/>
          <w:sz w:val="24"/>
          <w:szCs w:val="24"/>
        </w:rPr>
        <w:t> Future business journal</w:t>
      </w:r>
      <w:r w:rsidRPr="00E837F8">
        <w:rPr>
          <w:color w:val="333333"/>
          <w:sz w:val="24"/>
          <w:szCs w:val="24"/>
        </w:rPr>
        <w:t>, 6(1), pp. 1–12. Available at: https://doi.org/10.1186/s43093-020-00042-9</w:t>
      </w:r>
    </w:p>
    <w:p w14:paraId="78A8978F" w14:textId="77777777" w:rsidR="00D27ED2" w:rsidRPr="00E837F8" w:rsidRDefault="00D27ED2">
      <w:pPr>
        <w:spacing w:after="240" w:line="360" w:lineRule="auto"/>
        <w:jc w:val="both"/>
        <w:rPr>
          <w:color w:val="333333"/>
          <w:sz w:val="24"/>
          <w:szCs w:val="24"/>
        </w:rPr>
      </w:pPr>
      <w:r w:rsidRPr="00E837F8">
        <w:rPr>
          <w:color w:val="333333"/>
          <w:sz w:val="24"/>
          <w:szCs w:val="24"/>
        </w:rPr>
        <w:t>Gyimah, K.N., Akande, J.O. and Muzindutsi, P.-F. (2022) ‘Lending methodologies and SMEs access to finance in Ghana; the mediating role of credit reference information’, </w:t>
      </w:r>
      <w:r w:rsidRPr="00E837F8">
        <w:rPr>
          <w:i/>
          <w:iCs/>
          <w:color w:val="333333"/>
          <w:sz w:val="24"/>
          <w:szCs w:val="24"/>
        </w:rPr>
        <w:t>Cogent business &amp; management</w:t>
      </w:r>
      <w:r w:rsidRPr="00E837F8">
        <w:rPr>
          <w:color w:val="333333"/>
          <w:sz w:val="24"/>
          <w:szCs w:val="24"/>
        </w:rPr>
        <w:t>, 9(1), pp. 1–22. Available at: https://doi.org/10.1080/23311975.2022.2143075</w:t>
      </w:r>
    </w:p>
    <w:p w14:paraId="76CB45A0" w14:textId="77777777" w:rsidR="00D27ED2" w:rsidRPr="00E837F8" w:rsidRDefault="00D27ED2">
      <w:pPr>
        <w:spacing w:after="240" w:line="360" w:lineRule="auto"/>
        <w:jc w:val="both"/>
        <w:rPr>
          <w:color w:val="333333"/>
          <w:sz w:val="24"/>
          <w:szCs w:val="24"/>
        </w:rPr>
      </w:pPr>
      <w:r w:rsidRPr="00E837F8">
        <w:rPr>
          <w:color w:val="333333"/>
          <w:sz w:val="24"/>
          <w:szCs w:val="24"/>
        </w:rPr>
        <w:t>Han, D. and Zhang, P. (2016) ‘Monetary policy, financing constraints and investment efficiency: Evidence from listed private companies of China’,Nankai business review international, 7(1), pp. 80–98. Available at: https://doi.org/10.1108/NBRI-11-2015-0027</w:t>
      </w:r>
    </w:p>
    <w:p w14:paraId="6F3B14EA" w14:textId="77777777" w:rsidR="00D27ED2" w:rsidRPr="00E837F8" w:rsidRDefault="00D27ED2" w:rsidP="00B53CA5">
      <w:pPr>
        <w:spacing w:after="240" w:line="360" w:lineRule="auto"/>
        <w:jc w:val="both"/>
        <w:rPr>
          <w:sz w:val="24"/>
          <w:szCs w:val="24"/>
        </w:rPr>
      </w:pPr>
      <w:r w:rsidRPr="00E837F8">
        <w:rPr>
          <w:sz w:val="24"/>
          <w:szCs w:val="24"/>
        </w:rPr>
        <w:t>Hart, C. (2018) </w:t>
      </w:r>
      <w:r w:rsidRPr="00E837F8">
        <w:rPr>
          <w:i/>
          <w:iCs/>
          <w:sz w:val="24"/>
          <w:szCs w:val="24"/>
        </w:rPr>
        <w:t>Doing a literature review : releasing the research imagination</w:t>
      </w:r>
      <w:r w:rsidRPr="00E837F8">
        <w:rPr>
          <w:sz w:val="24"/>
          <w:szCs w:val="24"/>
        </w:rPr>
        <w:t>. 2nd edition. London: SAGE.</w:t>
      </w:r>
    </w:p>
    <w:p w14:paraId="489E56B5" w14:textId="77777777" w:rsidR="00D27ED2" w:rsidRPr="00E837F8" w:rsidRDefault="00D27ED2">
      <w:pPr>
        <w:spacing w:before="240" w:after="240" w:line="360" w:lineRule="auto"/>
        <w:jc w:val="both"/>
        <w:rPr>
          <w:sz w:val="24"/>
          <w:szCs w:val="24"/>
        </w:rPr>
      </w:pPr>
      <w:r w:rsidRPr="00E837F8">
        <w:rPr>
          <w:sz w:val="24"/>
          <w:szCs w:val="24"/>
        </w:rPr>
        <w:t xml:space="preserve">He, Y., Chen, C. and Hu, Y. (2019) </w:t>
      </w:r>
      <w:r w:rsidRPr="00E837F8">
        <w:rPr>
          <w:color w:val="333333"/>
          <w:sz w:val="24"/>
          <w:szCs w:val="24"/>
        </w:rPr>
        <w:t>‘</w:t>
      </w:r>
      <w:r w:rsidRPr="00E837F8">
        <w:rPr>
          <w:sz w:val="24"/>
          <w:szCs w:val="24"/>
        </w:rPr>
        <w:t>Managerial overconfidence, internal financing, and investment efficiency: Evidence from China</w:t>
      </w:r>
      <w:r w:rsidRPr="00E837F8">
        <w:rPr>
          <w:color w:val="333333"/>
          <w:sz w:val="24"/>
          <w:szCs w:val="24"/>
        </w:rPr>
        <w:t>’</w:t>
      </w:r>
      <w:r w:rsidRPr="00E837F8">
        <w:rPr>
          <w:sz w:val="24"/>
          <w:szCs w:val="24"/>
        </w:rPr>
        <w:t>, </w:t>
      </w:r>
      <w:r w:rsidRPr="00E837F8">
        <w:rPr>
          <w:i/>
          <w:iCs/>
          <w:sz w:val="24"/>
          <w:szCs w:val="24"/>
        </w:rPr>
        <w:t>Research in international business and finance</w:t>
      </w:r>
      <w:r w:rsidRPr="00E837F8">
        <w:rPr>
          <w:sz w:val="24"/>
          <w:szCs w:val="24"/>
        </w:rPr>
        <w:t>, 47, pp. 501–510. Available at: https://doi.org/10.1016/j.ribaf.2018.09.010</w:t>
      </w:r>
    </w:p>
    <w:p w14:paraId="7D7147C6" w14:textId="77777777" w:rsidR="00D27ED2" w:rsidRPr="00E837F8" w:rsidRDefault="00D27ED2">
      <w:pPr>
        <w:spacing w:before="240" w:after="240" w:line="360" w:lineRule="auto"/>
        <w:jc w:val="both"/>
        <w:rPr>
          <w:sz w:val="24"/>
          <w:szCs w:val="24"/>
        </w:rPr>
      </w:pPr>
      <w:r w:rsidRPr="00E837F8">
        <w:rPr>
          <w:sz w:val="24"/>
          <w:szCs w:val="24"/>
        </w:rPr>
        <w:lastRenderedPageBreak/>
        <w:t xml:space="preserve">Hirshleifer, D. (1993) </w:t>
      </w:r>
      <w:r w:rsidRPr="00E837F8">
        <w:rPr>
          <w:color w:val="333333"/>
          <w:sz w:val="24"/>
          <w:szCs w:val="24"/>
        </w:rPr>
        <w:t>‘</w:t>
      </w:r>
      <w:r w:rsidRPr="00E837F8">
        <w:rPr>
          <w:sz w:val="24"/>
          <w:szCs w:val="24"/>
        </w:rPr>
        <w:t>Managerial Reputation and Corporate Investment Decisions</w:t>
      </w:r>
      <w:r w:rsidRPr="00E837F8">
        <w:rPr>
          <w:color w:val="333333"/>
          <w:sz w:val="24"/>
          <w:szCs w:val="24"/>
        </w:rPr>
        <w:t>’</w:t>
      </w:r>
      <w:r w:rsidRPr="00E837F8">
        <w:rPr>
          <w:sz w:val="24"/>
          <w:szCs w:val="24"/>
        </w:rPr>
        <w:t>, </w:t>
      </w:r>
      <w:r w:rsidRPr="00E837F8">
        <w:rPr>
          <w:i/>
          <w:iCs/>
          <w:sz w:val="24"/>
          <w:szCs w:val="24"/>
        </w:rPr>
        <w:t>Financial management</w:t>
      </w:r>
      <w:r w:rsidRPr="00E837F8">
        <w:rPr>
          <w:sz w:val="24"/>
          <w:szCs w:val="24"/>
        </w:rPr>
        <w:t>, 22(2), pp. 145–160. Available at: https://doi.org/10.2307/3665866</w:t>
      </w:r>
    </w:p>
    <w:p w14:paraId="7DDB77F4" w14:textId="77777777" w:rsidR="00D27ED2" w:rsidRPr="00E837F8" w:rsidRDefault="00D27ED2">
      <w:pPr>
        <w:spacing w:after="240" w:line="360" w:lineRule="auto"/>
        <w:jc w:val="both"/>
        <w:rPr>
          <w:color w:val="333333"/>
          <w:sz w:val="24"/>
          <w:szCs w:val="24"/>
        </w:rPr>
      </w:pPr>
      <w:r w:rsidRPr="00E837F8">
        <w:rPr>
          <w:color w:val="333333"/>
          <w:sz w:val="24"/>
          <w:szCs w:val="24"/>
        </w:rPr>
        <w:t>Hong, C. and Ren, T. (2025) ‘Financial Constraints and Firm Innovation Decision: The Roles of Corporate Governance and Risk Diversification’, </w:t>
      </w:r>
      <w:r w:rsidRPr="00E837F8">
        <w:rPr>
          <w:i/>
          <w:iCs/>
          <w:color w:val="333333"/>
          <w:sz w:val="24"/>
          <w:szCs w:val="24"/>
        </w:rPr>
        <w:t>Emerging markets finance &amp; trade</w:t>
      </w:r>
      <w:r w:rsidRPr="00E837F8">
        <w:rPr>
          <w:color w:val="333333"/>
          <w:sz w:val="24"/>
          <w:szCs w:val="24"/>
        </w:rPr>
        <w:t>, 61(5), pp. 1428–1445. Available at: https://doi.org/10.1080/1540496X.2024.2420605</w:t>
      </w:r>
    </w:p>
    <w:p w14:paraId="6795C3C0" w14:textId="77777777" w:rsidR="00D27ED2" w:rsidRPr="00E837F8" w:rsidRDefault="00D27ED2">
      <w:pPr>
        <w:spacing w:before="240" w:after="240" w:line="360" w:lineRule="auto"/>
        <w:jc w:val="both"/>
        <w:rPr>
          <w:sz w:val="24"/>
          <w:szCs w:val="24"/>
        </w:rPr>
      </w:pPr>
      <w:r w:rsidRPr="00E837F8">
        <w:rPr>
          <w:sz w:val="24"/>
          <w:szCs w:val="24"/>
        </w:rPr>
        <w:t xml:space="preserve">Hoskisson, R.E., Chirico, F., Zyung, J. and Gambeta, E. (2017) </w:t>
      </w:r>
      <w:r w:rsidRPr="00E837F8">
        <w:rPr>
          <w:color w:val="333333"/>
          <w:sz w:val="24"/>
          <w:szCs w:val="24"/>
        </w:rPr>
        <w:t>‘</w:t>
      </w:r>
      <w:r w:rsidRPr="00E837F8">
        <w:rPr>
          <w:sz w:val="24"/>
          <w:szCs w:val="24"/>
        </w:rPr>
        <w:t>Managerial Risk Taking: A Multitheoretical Review and Future Research Agenda</w:t>
      </w:r>
      <w:r w:rsidRPr="00E837F8">
        <w:rPr>
          <w:color w:val="333333"/>
          <w:sz w:val="24"/>
          <w:szCs w:val="24"/>
        </w:rPr>
        <w:t>’</w:t>
      </w:r>
      <w:r w:rsidRPr="00E837F8">
        <w:rPr>
          <w:sz w:val="24"/>
          <w:szCs w:val="24"/>
        </w:rPr>
        <w:t>, </w:t>
      </w:r>
      <w:r w:rsidRPr="00E837F8">
        <w:rPr>
          <w:i/>
          <w:iCs/>
          <w:sz w:val="24"/>
          <w:szCs w:val="24"/>
        </w:rPr>
        <w:t>Journal of management</w:t>
      </w:r>
      <w:r w:rsidRPr="00E837F8">
        <w:rPr>
          <w:sz w:val="24"/>
          <w:szCs w:val="24"/>
        </w:rPr>
        <w:t>, 43(1), pp. 137–169. Available at: https://doi.org/10.1177/0149206316671583</w:t>
      </w:r>
    </w:p>
    <w:p w14:paraId="77837D2E" w14:textId="77777777" w:rsidR="00D27ED2" w:rsidRPr="00E837F8" w:rsidRDefault="00D27ED2">
      <w:pPr>
        <w:spacing w:before="240" w:after="240" w:line="360" w:lineRule="auto"/>
        <w:jc w:val="both"/>
        <w:rPr>
          <w:sz w:val="24"/>
          <w:szCs w:val="24"/>
        </w:rPr>
      </w:pPr>
      <w:r w:rsidRPr="00E837F8">
        <w:rPr>
          <w:sz w:val="24"/>
          <w:szCs w:val="24"/>
        </w:rPr>
        <w:t xml:space="preserve">ILYAS, M., JEHANGIR, D.M. and AHMAD, D.A. (2021) </w:t>
      </w:r>
      <w:r w:rsidRPr="00E837F8">
        <w:rPr>
          <w:color w:val="333333"/>
          <w:sz w:val="24"/>
          <w:szCs w:val="24"/>
        </w:rPr>
        <w:t>‘</w:t>
      </w:r>
      <w:r w:rsidRPr="00E837F8">
        <w:rPr>
          <w:sz w:val="24"/>
          <w:szCs w:val="24"/>
        </w:rPr>
        <w:t>EARNINGS VOLATILITY AND CAPITAL STRUCTURE: EMPIRICAL EVIDENCE OF NON-FINANCIAL FIRMS OF PAKISTAN</w:t>
      </w:r>
      <w:r w:rsidRPr="00E837F8">
        <w:rPr>
          <w:color w:val="333333"/>
          <w:sz w:val="24"/>
          <w:szCs w:val="24"/>
        </w:rPr>
        <w:t>’</w:t>
      </w:r>
      <w:r w:rsidRPr="00E837F8">
        <w:rPr>
          <w:sz w:val="24"/>
          <w:szCs w:val="24"/>
        </w:rPr>
        <w:t>, </w:t>
      </w:r>
      <w:r w:rsidRPr="00E837F8">
        <w:rPr>
          <w:i/>
          <w:iCs/>
          <w:sz w:val="24"/>
          <w:szCs w:val="24"/>
        </w:rPr>
        <w:t>Journal of business &amp; tourism (Mardān, Pakistan)</w:t>
      </w:r>
      <w:r w:rsidRPr="00E837F8">
        <w:rPr>
          <w:sz w:val="24"/>
          <w:szCs w:val="24"/>
        </w:rPr>
        <w:t>, 2(1), pp. 33–37. Available at: https://doi.org/10.34260/jbt.v2i1.26</w:t>
      </w:r>
    </w:p>
    <w:p w14:paraId="0A664526" w14:textId="77777777" w:rsidR="00D27ED2" w:rsidRPr="00E837F8" w:rsidRDefault="00D27ED2">
      <w:pPr>
        <w:spacing w:after="240" w:line="360" w:lineRule="auto"/>
        <w:jc w:val="both"/>
        <w:rPr>
          <w:color w:val="333333"/>
          <w:sz w:val="24"/>
          <w:szCs w:val="24"/>
        </w:rPr>
      </w:pPr>
      <w:r w:rsidRPr="00E837F8">
        <w:rPr>
          <w:color w:val="333333"/>
          <w:sz w:val="24"/>
          <w:szCs w:val="24"/>
        </w:rPr>
        <w:t>Jaisinghani, D. and Kanjilal, K. (2017) ‘Non-linear dynamics of size, capital structure and profitability: Empirical evidence from Indian manufacturing sector’, </w:t>
      </w:r>
      <w:r w:rsidRPr="00E837F8">
        <w:rPr>
          <w:i/>
          <w:iCs/>
          <w:color w:val="333333"/>
          <w:sz w:val="24"/>
          <w:szCs w:val="24"/>
        </w:rPr>
        <w:t>Asia Pacific management review</w:t>
      </w:r>
      <w:r w:rsidRPr="00E837F8">
        <w:rPr>
          <w:color w:val="333333"/>
          <w:sz w:val="24"/>
          <w:szCs w:val="24"/>
        </w:rPr>
        <w:t>, 22(3), pp. 159–165. Available at: https://doi.org/10.1016/j.apmrv.2016.12.003</w:t>
      </w:r>
    </w:p>
    <w:p w14:paraId="10778AF7" w14:textId="77777777" w:rsidR="00D27ED2" w:rsidRPr="00E837F8" w:rsidRDefault="00D27ED2">
      <w:pPr>
        <w:spacing w:after="240" w:line="360" w:lineRule="auto"/>
        <w:jc w:val="both"/>
        <w:rPr>
          <w:color w:val="333333"/>
          <w:sz w:val="24"/>
          <w:szCs w:val="24"/>
        </w:rPr>
      </w:pPr>
      <w:r w:rsidRPr="00E837F8">
        <w:rPr>
          <w:color w:val="333333"/>
          <w:sz w:val="24"/>
          <w:szCs w:val="24"/>
        </w:rPr>
        <w:t>Jansen, K., Michiels, A., Voordeckers, W. and Steijvers, T. (2023) ‘Financing decisions in private family firms: a family firm pecking order: Financing decisions in private family firms: a family firm pecking order’, </w:t>
      </w:r>
      <w:r w:rsidRPr="00E837F8">
        <w:rPr>
          <w:i/>
          <w:iCs/>
          <w:color w:val="333333"/>
          <w:sz w:val="24"/>
          <w:szCs w:val="24"/>
        </w:rPr>
        <w:t>Small business economics</w:t>
      </w:r>
      <w:r w:rsidRPr="00E837F8">
        <w:rPr>
          <w:color w:val="333333"/>
          <w:sz w:val="24"/>
          <w:szCs w:val="24"/>
        </w:rPr>
        <w:t>, 61(2), pp. 495–515. Available at: https://doi.org/10.1007/s11187-022-00711-9</w:t>
      </w:r>
    </w:p>
    <w:p w14:paraId="551AD622" w14:textId="77777777" w:rsidR="00D27ED2" w:rsidRPr="00E837F8" w:rsidRDefault="00D27ED2" w:rsidP="00B53CA5">
      <w:pPr>
        <w:spacing w:after="240" w:line="360" w:lineRule="auto"/>
        <w:jc w:val="both"/>
        <w:rPr>
          <w:sz w:val="24"/>
          <w:szCs w:val="24"/>
        </w:rPr>
      </w:pPr>
      <w:r w:rsidRPr="00E837F8">
        <w:rPr>
          <w:sz w:val="24"/>
          <w:szCs w:val="24"/>
        </w:rPr>
        <w:t>Jesson, J.K. and Lacey, F.M. (2006) ‘How to do (or not to do) a critical literature review’, </w:t>
      </w:r>
      <w:r w:rsidRPr="00E837F8">
        <w:rPr>
          <w:i/>
          <w:iCs/>
          <w:sz w:val="24"/>
          <w:szCs w:val="24"/>
        </w:rPr>
        <w:t>Pharmacy education</w:t>
      </w:r>
      <w:r w:rsidRPr="00E837F8">
        <w:rPr>
          <w:sz w:val="24"/>
          <w:szCs w:val="24"/>
        </w:rPr>
        <w:t>, 6(2), pp. 139–148. Available at: https://doi.org/10.1080/15602210600616218</w:t>
      </w:r>
    </w:p>
    <w:p w14:paraId="0195BD3B" w14:textId="77777777" w:rsidR="00D27ED2" w:rsidRPr="00E837F8" w:rsidRDefault="00D27ED2">
      <w:pPr>
        <w:spacing w:before="240" w:after="240" w:line="360" w:lineRule="auto"/>
        <w:jc w:val="both"/>
        <w:rPr>
          <w:sz w:val="24"/>
          <w:szCs w:val="24"/>
        </w:rPr>
      </w:pPr>
      <w:r w:rsidRPr="00E837F8">
        <w:rPr>
          <w:sz w:val="24"/>
          <w:szCs w:val="24"/>
        </w:rPr>
        <w:t xml:space="preserve">Joshipura, M., Mathur, S. and Kedia, N. (2024) </w:t>
      </w:r>
      <w:r w:rsidRPr="00E837F8">
        <w:rPr>
          <w:color w:val="333333"/>
          <w:sz w:val="24"/>
          <w:szCs w:val="24"/>
        </w:rPr>
        <w:t>‘</w:t>
      </w:r>
      <w:r w:rsidRPr="00E837F8">
        <w:rPr>
          <w:sz w:val="24"/>
          <w:szCs w:val="24"/>
        </w:rPr>
        <w:t>Sustainable investing and financing for sustainable development: A hybrid review</w:t>
      </w:r>
      <w:r w:rsidRPr="00E837F8">
        <w:rPr>
          <w:color w:val="333333"/>
          <w:sz w:val="24"/>
          <w:szCs w:val="24"/>
        </w:rPr>
        <w:t>’</w:t>
      </w:r>
      <w:r w:rsidRPr="00E837F8">
        <w:rPr>
          <w:sz w:val="24"/>
          <w:szCs w:val="24"/>
        </w:rPr>
        <w:t>, </w:t>
      </w:r>
      <w:r w:rsidRPr="00E837F8">
        <w:rPr>
          <w:i/>
          <w:iCs/>
          <w:sz w:val="24"/>
          <w:szCs w:val="24"/>
        </w:rPr>
        <w:t>Sustainable development (Bradford, West Yorkshire, England)</w:t>
      </w:r>
      <w:r w:rsidRPr="00E837F8">
        <w:rPr>
          <w:sz w:val="24"/>
          <w:szCs w:val="24"/>
        </w:rPr>
        <w:t>, 32(5), pp. 4469–4485. Available at: https://doi.org/10.1002/sd.2912</w:t>
      </w:r>
    </w:p>
    <w:p w14:paraId="688942F8"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Kabbach-de-Castro, L.R., Kirch, G. and Matta, R. (2022) ‘Do internal capital markets in business groups mitigate firms’ financial constraints?’, </w:t>
      </w:r>
      <w:r w:rsidRPr="00E837F8">
        <w:rPr>
          <w:i/>
          <w:iCs/>
          <w:color w:val="333333"/>
          <w:sz w:val="24"/>
          <w:szCs w:val="24"/>
        </w:rPr>
        <w:t>Journal of banking &amp; finance</w:t>
      </w:r>
      <w:r w:rsidRPr="00E837F8">
        <w:rPr>
          <w:color w:val="333333"/>
          <w:sz w:val="24"/>
          <w:szCs w:val="24"/>
        </w:rPr>
        <w:t>, 143, pp. 1–15. Available at: https://doi.org/10.1016/j.jbankfin.2022.106573</w:t>
      </w:r>
    </w:p>
    <w:p w14:paraId="74DB0952" w14:textId="77777777" w:rsidR="00D27ED2" w:rsidRPr="00E837F8" w:rsidRDefault="00D27ED2" w:rsidP="00B53CA5">
      <w:pPr>
        <w:spacing w:after="240" w:line="360" w:lineRule="auto"/>
        <w:jc w:val="both"/>
        <w:rPr>
          <w:sz w:val="24"/>
          <w:szCs w:val="24"/>
        </w:rPr>
      </w:pPr>
      <w:r w:rsidRPr="00E837F8">
        <w:rPr>
          <w:sz w:val="24"/>
          <w:szCs w:val="24"/>
        </w:rPr>
        <w:t>Kahlke, R., Lee, M. and Eva, K.W. (2023) ‘Critical reviews in health professions education research’, </w:t>
      </w:r>
      <w:r w:rsidRPr="00E837F8">
        <w:rPr>
          <w:i/>
          <w:iCs/>
          <w:sz w:val="24"/>
          <w:szCs w:val="24"/>
        </w:rPr>
        <w:t>Journal of Graduate Medical Education</w:t>
      </w:r>
      <w:r w:rsidRPr="00E837F8">
        <w:rPr>
          <w:sz w:val="24"/>
          <w:szCs w:val="24"/>
        </w:rPr>
        <w:t>, 15(2), pp. 180–185. Available at: https://doi.org/10.4300/JGME-D-23-00154.1</w:t>
      </w:r>
    </w:p>
    <w:p w14:paraId="1201834E" w14:textId="77777777" w:rsidR="00D27ED2" w:rsidRPr="00E837F8" w:rsidRDefault="00D27ED2">
      <w:pPr>
        <w:spacing w:after="240" w:line="360" w:lineRule="auto"/>
        <w:jc w:val="both"/>
        <w:rPr>
          <w:color w:val="333333"/>
          <w:sz w:val="24"/>
          <w:szCs w:val="24"/>
        </w:rPr>
      </w:pPr>
      <w:r w:rsidRPr="00E837F8">
        <w:rPr>
          <w:color w:val="333333"/>
          <w:sz w:val="24"/>
          <w:szCs w:val="24"/>
        </w:rPr>
        <w:t>Kalash, I. (2023) ‘How do firms manage liquidity during currency crisis? The case of Turkey’, </w:t>
      </w:r>
      <w:r w:rsidRPr="00E837F8">
        <w:rPr>
          <w:i/>
          <w:iCs/>
          <w:color w:val="333333"/>
          <w:sz w:val="24"/>
          <w:szCs w:val="24"/>
        </w:rPr>
        <w:t>Macroeconomics and finance in emerging market economies</w:t>
      </w:r>
      <w:r w:rsidRPr="00E837F8">
        <w:rPr>
          <w:color w:val="333333"/>
          <w:sz w:val="24"/>
          <w:szCs w:val="24"/>
        </w:rPr>
        <w:t>, 16(2), pp. 247–263. Available at: https://doi.org/10.1080/17520843.2021.1983703</w:t>
      </w:r>
    </w:p>
    <w:p w14:paraId="5F170C32" w14:textId="77777777" w:rsidR="00D27ED2" w:rsidRPr="00E837F8" w:rsidRDefault="00D27ED2" w:rsidP="00B53CA5">
      <w:pPr>
        <w:spacing w:after="240" w:line="360" w:lineRule="auto"/>
        <w:jc w:val="both"/>
        <w:rPr>
          <w:sz w:val="24"/>
          <w:szCs w:val="24"/>
        </w:rPr>
      </w:pPr>
      <w:r w:rsidRPr="00E837F8">
        <w:rPr>
          <w:sz w:val="24"/>
          <w:szCs w:val="24"/>
        </w:rPr>
        <w:t>Katrak, P., Bialocerkowski, A.E., Massy-Westropp, N., Kumar, V.S. and Grimmer, K.A. (2004) ‘A systematic review of the content of critical appraisal tools’, </w:t>
      </w:r>
      <w:r w:rsidRPr="00E837F8">
        <w:rPr>
          <w:i/>
          <w:iCs/>
          <w:sz w:val="24"/>
          <w:szCs w:val="24"/>
        </w:rPr>
        <w:t>BMC medical research methodology</w:t>
      </w:r>
      <w:r w:rsidRPr="00E837F8">
        <w:rPr>
          <w:sz w:val="24"/>
          <w:szCs w:val="24"/>
        </w:rPr>
        <w:t>, 4(1). pp. 1–11. Available at: https://doi.org/10.1186/1471-2288-4-22.</w:t>
      </w:r>
    </w:p>
    <w:p w14:paraId="123BB13C" w14:textId="77777777" w:rsidR="00D27ED2" w:rsidRPr="00E837F8" w:rsidRDefault="00D27ED2">
      <w:pPr>
        <w:spacing w:after="240" w:line="360" w:lineRule="auto"/>
        <w:jc w:val="both"/>
        <w:rPr>
          <w:color w:val="333333"/>
          <w:sz w:val="24"/>
          <w:szCs w:val="24"/>
        </w:rPr>
      </w:pPr>
      <w:r w:rsidRPr="00E837F8">
        <w:rPr>
          <w:color w:val="333333"/>
          <w:sz w:val="24"/>
          <w:szCs w:val="24"/>
        </w:rPr>
        <w:t>Kent Baker, H., Kumar, S. and Rao, P. (2020) ‘Financing preferences and practices of Indian SMEs’, </w:t>
      </w:r>
      <w:r w:rsidRPr="00E837F8">
        <w:rPr>
          <w:i/>
          <w:iCs/>
          <w:color w:val="333333"/>
          <w:sz w:val="24"/>
          <w:szCs w:val="24"/>
        </w:rPr>
        <w:t>Global finance journal</w:t>
      </w:r>
      <w:r w:rsidRPr="00E837F8">
        <w:rPr>
          <w:color w:val="333333"/>
          <w:sz w:val="24"/>
          <w:szCs w:val="24"/>
        </w:rPr>
        <w:t>, 43, pp. 1–16. Available at: https://doi.org/10.1016/j.gfj.2017.10.003</w:t>
      </w:r>
    </w:p>
    <w:p w14:paraId="170B00D3" w14:textId="77777777" w:rsidR="00D27ED2" w:rsidRPr="00E837F8" w:rsidRDefault="00D27ED2">
      <w:pPr>
        <w:spacing w:after="240" w:line="360" w:lineRule="auto"/>
        <w:jc w:val="both"/>
        <w:rPr>
          <w:color w:val="333333"/>
          <w:sz w:val="24"/>
          <w:szCs w:val="24"/>
        </w:rPr>
      </w:pPr>
      <w:r w:rsidRPr="00E837F8">
        <w:rPr>
          <w:color w:val="333333"/>
          <w:sz w:val="24"/>
          <w:szCs w:val="24"/>
        </w:rPr>
        <w:t>Khalfan, T. and Sturluson, J.Þ. (2018) ‘Corporate finance approaches of Icelandic private firms after the financial crisis’, </w:t>
      </w:r>
      <w:r w:rsidRPr="00E837F8">
        <w:rPr>
          <w:i/>
          <w:iCs/>
          <w:color w:val="333333"/>
          <w:sz w:val="24"/>
          <w:szCs w:val="24"/>
        </w:rPr>
        <w:t>Managerial finance</w:t>
      </w:r>
      <w:r w:rsidRPr="00E837F8">
        <w:rPr>
          <w:color w:val="333333"/>
          <w:sz w:val="24"/>
          <w:szCs w:val="24"/>
        </w:rPr>
        <w:t>, 44(11), pp. 1274–1291. Available at: https://doi.org/10.1108/MF-05-2017-0167</w:t>
      </w:r>
    </w:p>
    <w:p w14:paraId="1C2B50B5" w14:textId="77777777" w:rsidR="00D27ED2" w:rsidRPr="00E837F8" w:rsidRDefault="00D27ED2">
      <w:pPr>
        <w:spacing w:after="240" w:line="360" w:lineRule="auto"/>
        <w:jc w:val="both"/>
        <w:rPr>
          <w:color w:val="333333"/>
          <w:sz w:val="24"/>
          <w:szCs w:val="24"/>
        </w:rPr>
      </w:pPr>
      <w:r w:rsidRPr="00E837F8">
        <w:rPr>
          <w:color w:val="333333"/>
          <w:sz w:val="24"/>
          <w:szCs w:val="24"/>
        </w:rPr>
        <w:t>Khan, M.A., Qin, X., Jebran, K. and Ullah, I. (2020) ‘Uncertainty and R&amp;D investment: Does product market competition matter?’, </w:t>
      </w:r>
      <w:r w:rsidRPr="00E837F8">
        <w:rPr>
          <w:i/>
          <w:iCs/>
          <w:color w:val="333333"/>
          <w:sz w:val="24"/>
          <w:szCs w:val="24"/>
        </w:rPr>
        <w:t>Research in international business and finance</w:t>
      </w:r>
      <w:r w:rsidRPr="00E837F8">
        <w:rPr>
          <w:color w:val="333333"/>
          <w:sz w:val="24"/>
          <w:szCs w:val="24"/>
        </w:rPr>
        <w:t>, 52, pp. 1–13. Available at: https://doi.org/10.1016/j.ribaf.2019.101167</w:t>
      </w:r>
    </w:p>
    <w:p w14:paraId="44C3F01E" w14:textId="77777777" w:rsidR="00D27ED2" w:rsidRPr="00E837F8" w:rsidRDefault="00D27ED2">
      <w:pPr>
        <w:spacing w:after="240" w:line="360" w:lineRule="auto"/>
        <w:jc w:val="both"/>
        <w:rPr>
          <w:color w:val="333333"/>
          <w:sz w:val="24"/>
          <w:szCs w:val="24"/>
        </w:rPr>
      </w:pPr>
      <w:r w:rsidRPr="00E837F8">
        <w:rPr>
          <w:color w:val="333333"/>
          <w:sz w:val="24"/>
          <w:szCs w:val="24"/>
        </w:rPr>
        <w:t>Kounouwewa, J. and Azon, A.T. (2025) ‘Pecking Order Theory and Financing Decisions: Evidence from African Small and Medium-Sized Enterprises’, </w:t>
      </w:r>
      <w:r w:rsidRPr="00E837F8">
        <w:rPr>
          <w:i/>
          <w:iCs/>
          <w:color w:val="333333"/>
          <w:sz w:val="24"/>
          <w:szCs w:val="24"/>
        </w:rPr>
        <w:t>International journal of economics and financial issues</w:t>
      </w:r>
      <w:r w:rsidRPr="00E837F8">
        <w:rPr>
          <w:color w:val="333333"/>
          <w:sz w:val="24"/>
          <w:szCs w:val="24"/>
        </w:rPr>
        <w:t>, 15(6), pp. 677–685. Available at: https://doi.org/10.32479/ijefi.21477</w:t>
      </w:r>
    </w:p>
    <w:p w14:paraId="2BDF89DD" w14:textId="77777777" w:rsidR="00D27ED2" w:rsidRPr="00E837F8" w:rsidRDefault="00D27ED2">
      <w:pPr>
        <w:spacing w:after="240" w:line="360" w:lineRule="auto"/>
        <w:jc w:val="both"/>
        <w:rPr>
          <w:color w:val="333333"/>
          <w:sz w:val="24"/>
          <w:szCs w:val="24"/>
        </w:rPr>
      </w:pPr>
      <w:r w:rsidRPr="00E837F8">
        <w:rPr>
          <w:color w:val="333333"/>
          <w:sz w:val="24"/>
          <w:szCs w:val="24"/>
        </w:rPr>
        <w:t>Koussis, N., Martzoukos, S.H. and Trigeorgis, L. (2017) ‘Corporate liquidity and dividend policy under uncertainty’, </w:t>
      </w:r>
      <w:r w:rsidRPr="00E837F8">
        <w:rPr>
          <w:i/>
          <w:iCs/>
          <w:color w:val="333333"/>
          <w:sz w:val="24"/>
          <w:szCs w:val="24"/>
        </w:rPr>
        <w:t>Journal of banking &amp; finance</w:t>
      </w:r>
      <w:r w:rsidRPr="00E837F8">
        <w:rPr>
          <w:color w:val="333333"/>
          <w:sz w:val="24"/>
          <w:szCs w:val="24"/>
        </w:rPr>
        <w:t>, 81, pp. 221–235. Available at: https://doi.org/10.1016/j.jbankfin.2017.01.021</w:t>
      </w:r>
    </w:p>
    <w:p w14:paraId="39B8AA65"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Kwak, G. (2021) ‘Financing Decision of High-tech SMEs in Korea: A Revisitation to Pecking Order Theory’, </w:t>
      </w:r>
      <w:r w:rsidRPr="00E837F8">
        <w:rPr>
          <w:i/>
          <w:iCs/>
          <w:color w:val="333333"/>
          <w:sz w:val="24"/>
          <w:szCs w:val="24"/>
        </w:rPr>
        <w:t>Applied economics letters</w:t>
      </w:r>
      <w:r w:rsidRPr="00E837F8">
        <w:rPr>
          <w:color w:val="333333"/>
          <w:sz w:val="24"/>
          <w:szCs w:val="24"/>
        </w:rPr>
        <w:t>, 28(16), pp. 1400–1406. Available at: https://doi.org/10.1080/13504851.2020.1820437</w:t>
      </w:r>
    </w:p>
    <w:p w14:paraId="7C6DA6A0" w14:textId="77777777" w:rsidR="00D27ED2" w:rsidRPr="00E837F8" w:rsidRDefault="00D27ED2">
      <w:pPr>
        <w:spacing w:after="240" w:line="360" w:lineRule="auto"/>
        <w:jc w:val="both"/>
        <w:rPr>
          <w:color w:val="333333"/>
          <w:sz w:val="24"/>
          <w:szCs w:val="24"/>
        </w:rPr>
      </w:pPr>
      <w:r w:rsidRPr="00E837F8">
        <w:rPr>
          <w:color w:val="333333"/>
          <w:sz w:val="24"/>
          <w:szCs w:val="24"/>
        </w:rPr>
        <w:t>Lai, L. and Tam, H. (2017) ‘Corporate governance, ownership structure and managing earnings to meet critical thresholds among Chinese listed firms’, </w:t>
      </w:r>
      <w:r w:rsidRPr="00E837F8">
        <w:rPr>
          <w:i/>
          <w:iCs/>
          <w:color w:val="333333"/>
          <w:sz w:val="24"/>
          <w:szCs w:val="24"/>
        </w:rPr>
        <w:t>Review of quantitative finance and accounting</w:t>
      </w:r>
      <w:r w:rsidRPr="00E837F8">
        <w:rPr>
          <w:color w:val="333333"/>
          <w:sz w:val="24"/>
          <w:szCs w:val="24"/>
        </w:rPr>
        <w:t>, 48(3), pp. 789–818. Available at: https://doi.org/10.1007/s11156-016-0568-y</w:t>
      </w:r>
    </w:p>
    <w:p w14:paraId="159E4256" w14:textId="77777777" w:rsidR="00D27ED2" w:rsidRPr="00E837F8" w:rsidRDefault="00D27ED2" w:rsidP="00B53CA5">
      <w:pPr>
        <w:spacing w:after="240" w:line="360" w:lineRule="auto"/>
        <w:jc w:val="both"/>
        <w:rPr>
          <w:sz w:val="24"/>
          <w:szCs w:val="24"/>
        </w:rPr>
      </w:pPr>
      <w:r w:rsidRPr="00E837F8">
        <w:rPr>
          <w:sz w:val="24"/>
          <w:szCs w:val="24"/>
        </w:rPr>
        <w:t>Leite, D.F.B., Padilha, M.A.S. and Cecatti, J.G. (2019) ‘Approaching literature review for academic purposes: The Literature Review Checklist’, </w:t>
      </w:r>
      <w:r w:rsidRPr="00E837F8">
        <w:rPr>
          <w:i/>
          <w:iCs/>
          <w:sz w:val="24"/>
          <w:szCs w:val="24"/>
        </w:rPr>
        <w:t>Clinics (São Paulo, Brazil)</w:t>
      </w:r>
      <w:r w:rsidRPr="00E837F8">
        <w:rPr>
          <w:sz w:val="24"/>
          <w:szCs w:val="24"/>
        </w:rPr>
        <w:t>, 74, pp. 1–8. Available at: https://doi.org/10.6061/clinics/2019/e1403</w:t>
      </w:r>
    </w:p>
    <w:p w14:paraId="73639A9B" w14:textId="77777777" w:rsidR="00D27ED2" w:rsidRPr="00E837F8" w:rsidRDefault="00D27ED2">
      <w:pPr>
        <w:spacing w:after="240" w:line="360" w:lineRule="auto"/>
        <w:jc w:val="both"/>
        <w:rPr>
          <w:color w:val="333333"/>
          <w:sz w:val="24"/>
          <w:szCs w:val="24"/>
        </w:rPr>
      </w:pPr>
      <w:r w:rsidRPr="00E837F8">
        <w:rPr>
          <w:color w:val="333333"/>
          <w:sz w:val="24"/>
          <w:szCs w:val="24"/>
        </w:rPr>
        <w:t>Leng, T., Liu, Y., Xiao, Y. and Hou, C. (2023) ‘Does firm financialization affect optimal real investment decisions? Evidence from China’, </w:t>
      </w:r>
      <w:r w:rsidRPr="00E837F8">
        <w:rPr>
          <w:i/>
          <w:iCs/>
          <w:color w:val="333333"/>
          <w:sz w:val="24"/>
          <w:szCs w:val="24"/>
        </w:rPr>
        <w:t>Pacific-Basin finance journal</w:t>
      </w:r>
      <w:r w:rsidRPr="00E837F8">
        <w:rPr>
          <w:color w:val="333333"/>
          <w:sz w:val="24"/>
          <w:szCs w:val="24"/>
        </w:rPr>
        <w:t>, 79, pp. 1–19. Available at: https://doi.org/10.1016/j.pacfin.2023.101970</w:t>
      </w:r>
    </w:p>
    <w:p w14:paraId="4F2F2372" w14:textId="77777777" w:rsidR="00D27ED2" w:rsidRPr="00E837F8" w:rsidRDefault="00D27ED2">
      <w:pPr>
        <w:spacing w:after="240" w:line="360" w:lineRule="auto"/>
        <w:jc w:val="both"/>
        <w:rPr>
          <w:color w:val="333333"/>
          <w:sz w:val="24"/>
          <w:szCs w:val="24"/>
        </w:rPr>
      </w:pPr>
      <w:r w:rsidRPr="00E837F8">
        <w:rPr>
          <w:color w:val="333333"/>
          <w:sz w:val="24"/>
          <w:szCs w:val="24"/>
        </w:rPr>
        <w:t>Lewellen, J. and Lewellen, K. (2016) ‘Investment and Cash Flow: New Evidence’, </w:t>
      </w:r>
      <w:r w:rsidRPr="00E837F8">
        <w:rPr>
          <w:i/>
          <w:iCs/>
          <w:color w:val="333333"/>
          <w:sz w:val="24"/>
          <w:szCs w:val="24"/>
        </w:rPr>
        <w:t>Journal of financial and quantitative analysis</w:t>
      </w:r>
      <w:r w:rsidRPr="00E837F8">
        <w:rPr>
          <w:color w:val="333333"/>
          <w:sz w:val="24"/>
          <w:szCs w:val="24"/>
        </w:rPr>
        <w:t>, 51(4), pp. 1135–1164. Available at: https://doi.org/10.1017/S002210901600065X</w:t>
      </w:r>
    </w:p>
    <w:p w14:paraId="5E6F9F0F" w14:textId="77777777" w:rsidR="00D27ED2" w:rsidRPr="00E837F8" w:rsidRDefault="00D27ED2">
      <w:pPr>
        <w:spacing w:after="240" w:line="360" w:lineRule="auto"/>
        <w:jc w:val="both"/>
        <w:rPr>
          <w:color w:val="333333"/>
          <w:sz w:val="24"/>
          <w:szCs w:val="24"/>
        </w:rPr>
      </w:pPr>
      <w:r w:rsidRPr="00E837F8">
        <w:rPr>
          <w:color w:val="333333"/>
          <w:sz w:val="24"/>
          <w:szCs w:val="24"/>
        </w:rPr>
        <w:t>Li, S. and Wang, B. (2019) ‘Evolutionary game simulation of corporate investing and financing behavior from a risk perspective’, </w:t>
      </w:r>
      <w:r w:rsidRPr="00E837F8">
        <w:rPr>
          <w:i/>
          <w:iCs/>
          <w:color w:val="333333"/>
          <w:sz w:val="24"/>
          <w:szCs w:val="24"/>
        </w:rPr>
        <w:t>Cluster computing</w:t>
      </w:r>
      <w:r w:rsidRPr="00E837F8">
        <w:rPr>
          <w:color w:val="333333"/>
          <w:sz w:val="24"/>
          <w:szCs w:val="24"/>
        </w:rPr>
        <w:t>, 22(Suppl 3), pp. 5955–5964. Available at: https://doi.org/10.1007/s10586-018-1734-x</w:t>
      </w:r>
    </w:p>
    <w:p w14:paraId="7B35E9B2" w14:textId="77777777" w:rsidR="00D27ED2" w:rsidRPr="00E837F8" w:rsidRDefault="00D27ED2">
      <w:pPr>
        <w:spacing w:after="240" w:line="360" w:lineRule="auto"/>
        <w:jc w:val="both"/>
        <w:rPr>
          <w:color w:val="333333"/>
          <w:sz w:val="24"/>
          <w:szCs w:val="24"/>
        </w:rPr>
      </w:pPr>
      <w:r w:rsidRPr="00E837F8">
        <w:rPr>
          <w:color w:val="333333"/>
          <w:sz w:val="24"/>
          <w:szCs w:val="24"/>
        </w:rPr>
        <w:t>Liang, H., Huang, W., Zhao, W. and Zhou, J. (2025) ‘Internal retention, shareholding structure, and equity financing capacity of innovative small and medium-sized enterprises’, </w:t>
      </w:r>
      <w:r w:rsidRPr="00E837F8">
        <w:rPr>
          <w:i/>
          <w:iCs/>
          <w:color w:val="333333"/>
          <w:sz w:val="24"/>
          <w:szCs w:val="24"/>
        </w:rPr>
        <w:t>Finance research letters</w:t>
      </w:r>
      <w:r w:rsidRPr="00E837F8">
        <w:rPr>
          <w:color w:val="333333"/>
          <w:sz w:val="24"/>
          <w:szCs w:val="24"/>
        </w:rPr>
        <w:t>, 77, pp. 1–10. Available at: https://doi.org/10.1016/j.frl.2025.107006</w:t>
      </w:r>
    </w:p>
    <w:p w14:paraId="5E535D67" w14:textId="77777777" w:rsidR="00D27ED2" w:rsidRPr="00E837F8" w:rsidRDefault="00D27ED2" w:rsidP="00B53CA5">
      <w:pPr>
        <w:spacing w:after="240" w:line="360" w:lineRule="auto"/>
        <w:jc w:val="both"/>
        <w:rPr>
          <w:sz w:val="24"/>
          <w:szCs w:val="24"/>
        </w:rPr>
      </w:pPr>
      <w:r w:rsidRPr="00E837F8">
        <w:rPr>
          <w:sz w:val="24"/>
          <w:szCs w:val="24"/>
        </w:rPr>
        <w:t>Linnenluecke, M.K., Marrone, M. and Singh, A.K. (2020) ‘Conducting systematic literature reviews and bibliometric analyses’, </w:t>
      </w:r>
      <w:r w:rsidRPr="00E837F8">
        <w:rPr>
          <w:i/>
          <w:iCs/>
          <w:sz w:val="24"/>
          <w:szCs w:val="24"/>
        </w:rPr>
        <w:t>Australian journal of management</w:t>
      </w:r>
      <w:r w:rsidRPr="00E837F8">
        <w:rPr>
          <w:sz w:val="24"/>
          <w:szCs w:val="24"/>
        </w:rPr>
        <w:t>, 45(2), pp. 175–194. Available at: https://doi.org/10.1177/0312896219877678</w:t>
      </w:r>
    </w:p>
    <w:p w14:paraId="3F332F7B" w14:textId="77777777" w:rsidR="00D27ED2" w:rsidRPr="00E837F8" w:rsidRDefault="00D27ED2">
      <w:pPr>
        <w:spacing w:after="240" w:line="360" w:lineRule="auto"/>
        <w:jc w:val="both"/>
        <w:rPr>
          <w:color w:val="333333"/>
          <w:sz w:val="24"/>
          <w:szCs w:val="24"/>
        </w:rPr>
      </w:pPr>
      <w:r w:rsidRPr="00E837F8">
        <w:rPr>
          <w:color w:val="333333"/>
          <w:sz w:val="24"/>
          <w:szCs w:val="24"/>
        </w:rPr>
        <w:t xml:space="preserve">Liu, B., Wang, J., Tong, X., Zhou, Z. and Qiu, Z. (2024) ‘Institutional investor shareholding and the quality of corporate innovation: Moderating effects based on internal and external </w:t>
      </w:r>
      <w:r w:rsidRPr="00E837F8">
        <w:rPr>
          <w:color w:val="333333"/>
          <w:sz w:val="24"/>
          <w:szCs w:val="24"/>
        </w:rPr>
        <w:lastRenderedPageBreak/>
        <w:t>environment’, </w:t>
      </w:r>
      <w:r w:rsidRPr="00E837F8">
        <w:rPr>
          <w:i/>
          <w:iCs/>
          <w:color w:val="333333"/>
          <w:sz w:val="24"/>
          <w:szCs w:val="24"/>
        </w:rPr>
        <w:t>Managerial and decision economics</w:t>
      </w:r>
      <w:r w:rsidRPr="00E837F8">
        <w:rPr>
          <w:color w:val="333333"/>
          <w:sz w:val="24"/>
          <w:szCs w:val="24"/>
        </w:rPr>
        <w:t>, 45(1), pp. 326–338. Available at: https://doi.org/10.1002/mde.4007</w:t>
      </w:r>
    </w:p>
    <w:p w14:paraId="29B14D37" w14:textId="77777777" w:rsidR="00D27ED2" w:rsidRPr="00E837F8" w:rsidRDefault="00D27ED2">
      <w:pPr>
        <w:spacing w:after="240" w:line="360" w:lineRule="auto"/>
        <w:jc w:val="both"/>
        <w:rPr>
          <w:color w:val="333333"/>
          <w:sz w:val="24"/>
          <w:szCs w:val="24"/>
        </w:rPr>
      </w:pPr>
      <w:r w:rsidRPr="00E837F8">
        <w:rPr>
          <w:color w:val="333333"/>
          <w:sz w:val="24"/>
          <w:szCs w:val="24"/>
        </w:rPr>
        <w:t>Liu, Z., Hu, K. and Hussain, A. (2023) ‘R&amp;D disclosure and corporate innovation: Mediating role of financing structure’, </w:t>
      </w:r>
      <w:r w:rsidRPr="00E837F8">
        <w:rPr>
          <w:i/>
          <w:iCs/>
          <w:color w:val="333333"/>
          <w:sz w:val="24"/>
          <w:szCs w:val="24"/>
        </w:rPr>
        <w:t>Finance research letters</w:t>
      </w:r>
      <w:r w:rsidRPr="00E837F8">
        <w:rPr>
          <w:color w:val="333333"/>
          <w:sz w:val="24"/>
          <w:szCs w:val="24"/>
        </w:rPr>
        <w:t>, 56, pp. 1–9. Available at: https://doi.org/10.1016/j.frl.2023.104106</w:t>
      </w:r>
    </w:p>
    <w:p w14:paraId="11EBEE0E" w14:textId="77777777" w:rsidR="00D27ED2" w:rsidRPr="00E837F8" w:rsidRDefault="00D27ED2">
      <w:pPr>
        <w:spacing w:before="240" w:after="240" w:line="360" w:lineRule="auto"/>
        <w:jc w:val="both"/>
        <w:rPr>
          <w:sz w:val="24"/>
          <w:szCs w:val="24"/>
        </w:rPr>
      </w:pPr>
      <w:r w:rsidRPr="00E837F8">
        <w:rPr>
          <w:sz w:val="24"/>
          <w:szCs w:val="24"/>
        </w:rPr>
        <w:t xml:space="preserve">Love, J.H. and Roper, S. (2015) </w:t>
      </w:r>
      <w:r w:rsidRPr="00E837F8">
        <w:rPr>
          <w:color w:val="333333"/>
          <w:sz w:val="24"/>
          <w:szCs w:val="24"/>
        </w:rPr>
        <w:t>‘</w:t>
      </w:r>
      <w:r w:rsidRPr="00E837F8">
        <w:rPr>
          <w:sz w:val="24"/>
          <w:szCs w:val="24"/>
        </w:rPr>
        <w:t>SME innovation, exporting and growth: A review of existing evidence</w:t>
      </w:r>
      <w:r w:rsidRPr="00E837F8">
        <w:rPr>
          <w:color w:val="333333"/>
          <w:sz w:val="24"/>
          <w:szCs w:val="24"/>
        </w:rPr>
        <w:t>’</w:t>
      </w:r>
      <w:r w:rsidRPr="00E837F8">
        <w:rPr>
          <w:sz w:val="24"/>
          <w:szCs w:val="24"/>
        </w:rPr>
        <w:t>, </w:t>
      </w:r>
      <w:r w:rsidRPr="00E837F8">
        <w:rPr>
          <w:i/>
          <w:iCs/>
          <w:sz w:val="24"/>
          <w:szCs w:val="24"/>
        </w:rPr>
        <w:t>International small business journal</w:t>
      </w:r>
      <w:r w:rsidRPr="00E837F8">
        <w:rPr>
          <w:sz w:val="24"/>
          <w:szCs w:val="24"/>
        </w:rPr>
        <w:t>, 33(1), pp. 28–48. Available at: https://doi.org/10.1177/0266242614550190</w:t>
      </w:r>
    </w:p>
    <w:p w14:paraId="231855F8" w14:textId="77777777" w:rsidR="00D27ED2" w:rsidRPr="00E837F8" w:rsidRDefault="00D27ED2" w:rsidP="00B53CA5">
      <w:pPr>
        <w:spacing w:after="240" w:line="360" w:lineRule="auto"/>
        <w:jc w:val="both"/>
        <w:rPr>
          <w:sz w:val="24"/>
          <w:szCs w:val="24"/>
        </w:rPr>
      </w:pPr>
      <w:r w:rsidRPr="00E837F8">
        <w:rPr>
          <w:sz w:val="24"/>
          <w:szCs w:val="24"/>
        </w:rPr>
        <w:t>Machi, L.A. and McEvoy, B.T. (2025) </w:t>
      </w:r>
      <w:r w:rsidRPr="00E837F8">
        <w:rPr>
          <w:i/>
          <w:iCs/>
          <w:sz w:val="24"/>
          <w:szCs w:val="24"/>
        </w:rPr>
        <w:t>The literature review : six steps to success</w:t>
      </w:r>
      <w:r w:rsidRPr="00E837F8">
        <w:rPr>
          <w:sz w:val="24"/>
          <w:szCs w:val="24"/>
        </w:rPr>
        <w:t>. Fifth edition. Thousand Oaks: Corwin.</w:t>
      </w:r>
    </w:p>
    <w:p w14:paraId="77A6DE7C" w14:textId="77777777" w:rsidR="00D27ED2" w:rsidRPr="00E837F8" w:rsidRDefault="00D27ED2">
      <w:pPr>
        <w:spacing w:after="240" w:line="360" w:lineRule="auto"/>
        <w:jc w:val="both"/>
        <w:rPr>
          <w:color w:val="333333"/>
          <w:sz w:val="24"/>
          <w:szCs w:val="24"/>
        </w:rPr>
      </w:pPr>
      <w:r w:rsidRPr="00E837F8">
        <w:rPr>
          <w:color w:val="333333"/>
          <w:sz w:val="24"/>
          <w:szCs w:val="24"/>
        </w:rPr>
        <w:t>Magni, C.A. and Marchioni, A. (2020) ‘Average rates of return, working capital, and NPV-consistency in project appraisal: A sensitivity analysis approach’, </w:t>
      </w:r>
      <w:r w:rsidRPr="00E837F8">
        <w:rPr>
          <w:i/>
          <w:iCs/>
          <w:color w:val="333333"/>
          <w:sz w:val="24"/>
          <w:szCs w:val="24"/>
        </w:rPr>
        <w:t>International journal of production economics</w:t>
      </w:r>
      <w:r w:rsidRPr="00E837F8">
        <w:rPr>
          <w:color w:val="333333"/>
          <w:sz w:val="24"/>
          <w:szCs w:val="24"/>
        </w:rPr>
        <w:t>, 229, pp. 1–15. Available at: https://doi.org/10.1016/j.ijpe.2020.107769</w:t>
      </w:r>
    </w:p>
    <w:p w14:paraId="57B2419E" w14:textId="77777777" w:rsidR="00D27ED2" w:rsidRPr="00E837F8" w:rsidRDefault="00D27ED2">
      <w:pPr>
        <w:spacing w:after="240" w:line="360" w:lineRule="auto"/>
        <w:jc w:val="both"/>
        <w:rPr>
          <w:color w:val="333333"/>
          <w:sz w:val="24"/>
          <w:szCs w:val="24"/>
        </w:rPr>
      </w:pPr>
      <w:r w:rsidRPr="00E837F8">
        <w:rPr>
          <w:color w:val="333333"/>
          <w:sz w:val="24"/>
          <w:szCs w:val="24"/>
        </w:rPr>
        <w:t>Mand, H.S., Atri, M., Gill, A. and Amiraslany, A. (2018) ‘The impact of bank financing and internal financing sources on women’s motivation for e-entrepreneurship’, </w:t>
      </w:r>
      <w:r w:rsidRPr="00E837F8">
        <w:rPr>
          <w:i/>
          <w:iCs/>
          <w:color w:val="333333"/>
          <w:sz w:val="24"/>
          <w:szCs w:val="24"/>
        </w:rPr>
        <w:t>International journal of gender and entrepreneurship</w:t>
      </w:r>
      <w:r w:rsidRPr="00E837F8">
        <w:rPr>
          <w:color w:val="333333"/>
          <w:sz w:val="24"/>
          <w:szCs w:val="24"/>
        </w:rPr>
        <w:t>, 10(2), pp. 102–115. Available at: https://doi.org/10.1108/IJGE-07-2017-0041</w:t>
      </w:r>
    </w:p>
    <w:p w14:paraId="6C8C2CED" w14:textId="77777777" w:rsidR="00D27ED2" w:rsidRPr="00E837F8" w:rsidRDefault="00D27ED2">
      <w:pPr>
        <w:spacing w:after="240" w:line="360" w:lineRule="auto"/>
        <w:jc w:val="both"/>
        <w:rPr>
          <w:color w:val="333333"/>
          <w:sz w:val="24"/>
          <w:szCs w:val="24"/>
        </w:rPr>
      </w:pPr>
      <w:r w:rsidRPr="00E837F8">
        <w:rPr>
          <w:color w:val="333333"/>
          <w:sz w:val="24"/>
          <w:szCs w:val="24"/>
        </w:rPr>
        <w:t>Martinez, L.B., Scherger, V. and Guercio, M.B. (2019) ‘SMEs capital structure: trade-off or pecking order theory: a systematic review’, </w:t>
      </w:r>
      <w:r w:rsidRPr="00E837F8">
        <w:rPr>
          <w:i/>
          <w:iCs/>
          <w:color w:val="333333"/>
          <w:sz w:val="24"/>
          <w:szCs w:val="24"/>
        </w:rPr>
        <w:t>Journal of small business and enterprise development</w:t>
      </w:r>
      <w:r w:rsidRPr="00E837F8">
        <w:rPr>
          <w:color w:val="333333"/>
          <w:sz w:val="24"/>
          <w:szCs w:val="24"/>
        </w:rPr>
        <w:t>, 26(1), pp. 105–132. Available at: https://doi.org/10.1108/JSBED-12-2017-0387</w:t>
      </w:r>
    </w:p>
    <w:p w14:paraId="58A47AD4" w14:textId="77777777" w:rsidR="00D27ED2" w:rsidRPr="00E837F8" w:rsidRDefault="00D27ED2">
      <w:pPr>
        <w:spacing w:after="240" w:line="360" w:lineRule="auto"/>
        <w:jc w:val="both"/>
        <w:rPr>
          <w:color w:val="333333"/>
          <w:sz w:val="24"/>
          <w:szCs w:val="24"/>
        </w:rPr>
      </w:pPr>
      <w:r w:rsidRPr="00E837F8">
        <w:rPr>
          <w:color w:val="333333"/>
          <w:sz w:val="24"/>
          <w:szCs w:val="24"/>
        </w:rPr>
        <w:t>Martinez-Cillero, M., Lawless, M. and O’Toole, C. (2023) ‘Analysing SME investment, financing constraints and its determinants. A stochastic frontier approach’, </w:t>
      </w:r>
      <w:r w:rsidRPr="00E837F8">
        <w:rPr>
          <w:i/>
          <w:iCs/>
          <w:color w:val="333333"/>
          <w:sz w:val="24"/>
          <w:szCs w:val="24"/>
        </w:rPr>
        <w:t>International review of economics &amp; finance</w:t>
      </w:r>
      <w:r w:rsidRPr="00E837F8">
        <w:rPr>
          <w:color w:val="333333"/>
          <w:sz w:val="24"/>
          <w:szCs w:val="24"/>
        </w:rPr>
        <w:t>, 85, pp. 578–588. Available at: https://doi.org/10.1016/j.iref.2023.01.029</w:t>
      </w:r>
    </w:p>
    <w:p w14:paraId="3909053C" w14:textId="77777777" w:rsidR="00D27ED2" w:rsidRPr="00E837F8" w:rsidRDefault="00D27ED2">
      <w:pPr>
        <w:spacing w:before="240" w:after="240" w:line="360" w:lineRule="auto"/>
        <w:jc w:val="both"/>
        <w:rPr>
          <w:sz w:val="24"/>
          <w:szCs w:val="24"/>
        </w:rPr>
      </w:pPr>
      <w:r w:rsidRPr="00E837F8">
        <w:rPr>
          <w:sz w:val="24"/>
          <w:szCs w:val="24"/>
        </w:rPr>
        <w:t xml:space="preserve">Martínez-Noya, A. and Narula, R. (2018) </w:t>
      </w:r>
      <w:r w:rsidRPr="00E837F8">
        <w:rPr>
          <w:color w:val="333333"/>
          <w:sz w:val="24"/>
          <w:szCs w:val="24"/>
        </w:rPr>
        <w:t>‘</w:t>
      </w:r>
      <w:r w:rsidRPr="00E837F8">
        <w:rPr>
          <w:sz w:val="24"/>
          <w:szCs w:val="24"/>
        </w:rPr>
        <w:t>What more can we learn from R&amp;D alliances? A review and research agenda</w:t>
      </w:r>
      <w:r w:rsidRPr="00E837F8">
        <w:rPr>
          <w:color w:val="333333"/>
          <w:sz w:val="24"/>
          <w:szCs w:val="24"/>
        </w:rPr>
        <w:t>’</w:t>
      </w:r>
      <w:r w:rsidRPr="00E837F8">
        <w:rPr>
          <w:sz w:val="24"/>
          <w:szCs w:val="24"/>
        </w:rPr>
        <w:t>, </w:t>
      </w:r>
      <w:r w:rsidRPr="00E837F8">
        <w:rPr>
          <w:i/>
          <w:iCs/>
          <w:sz w:val="24"/>
          <w:szCs w:val="24"/>
        </w:rPr>
        <w:t>BRQ Business Research Quarterly</w:t>
      </w:r>
      <w:r w:rsidRPr="00E837F8">
        <w:rPr>
          <w:sz w:val="24"/>
          <w:szCs w:val="24"/>
        </w:rPr>
        <w:t>, 21(3), pp. 195–212. Available at: https://doi.org/10.1016/j.brq.2018.04.001</w:t>
      </w:r>
    </w:p>
    <w:p w14:paraId="2A1AB00E" w14:textId="77777777" w:rsidR="00D27ED2" w:rsidRPr="00E837F8" w:rsidRDefault="00D27ED2" w:rsidP="00B53CA5">
      <w:pPr>
        <w:spacing w:after="240" w:line="360" w:lineRule="auto"/>
        <w:jc w:val="both"/>
        <w:rPr>
          <w:sz w:val="24"/>
          <w:szCs w:val="24"/>
        </w:rPr>
      </w:pPr>
      <w:r w:rsidRPr="00E837F8">
        <w:rPr>
          <w:sz w:val="24"/>
          <w:szCs w:val="24"/>
        </w:rPr>
        <w:lastRenderedPageBreak/>
        <w:t>Maxwell, J.A. (2006) ‘Literature Reviews of, and for, Educational Research: A Commentary on Boote and Beile’s ‘Scholars before Researchers’, </w:t>
      </w:r>
      <w:r w:rsidRPr="00E837F8">
        <w:rPr>
          <w:i/>
          <w:iCs/>
          <w:sz w:val="24"/>
          <w:szCs w:val="24"/>
        </w:rPr>
        <w:t>Educational researcher</w:t>
      </w:r>
      <w:r w:rsidRPr="00E837F8">
        <w:rPr>
          <w:sz w:val="24"/>
          <w:szCs w:val="24"/>
        </w:rPr>
        <w:t>, 35(9), pp. 28–31. Available at: https://doi.org/10.3102/0013189X035009028</w:t>
      </w:r>
    </w:p>
    <w:p w14:paraId="5CE0DA15" w14:textId="77777777" w:rsidR="00D27ED2" w:rsidRPr="00E837F8" w:rsidRDefault="00D27ED2" w:rsidP="00B53CA5">
      <w:pPr>
        <w:spacing w:after="240" w:line="360" w:lineRule="auto"/>
        <w:jc w:val="both"/>
        <w:rPr>
          <w:sz w:val="24"/>
          <w:szCs w:val="24"/>
        </w:rPr>
      </w:pPr>
      <w:r w:rsidRPr="00E837F8">
        <w:rPr>
          <w:sz w:val="24"/>
          <w:szCs w:val="24"/>
        </w:rPr>
        <w:t>Mengist, W., Soromessa, T. and Legese, G. (2020) ‘Method for conducting systematic literature review and meta-analysis for environmental science research’, </w:t>
      </w:r>
      <w:r w:rsidRPr="00E837F8">
        <w:rPr>
          <w:i/>
          <w:iCs/>
          <w:sz w:val="24"/>
          <w:szCs w:val="24"/>
        </w:rPr>
        <w:t>MethodsX</w:t>
      </w:r>
      <w:r w:rsidRPr="00E837F8">
        <w:rPr>
          <w:sz w:val="24"/>
          <w:szCs w:val="24"/>
        </w:rPr>
        <w:t>, 100777, pp. 1–11. Available at: https://doi.org/10.1016/j.mex.2019.100777</w:t>
      </w:r>
    </w:p>
    <w:p w14:paraId="391B3F08" w14:textId="77777777" w:rsidR="00D27ED2" w:rsidRPr="00E837F8" w:rsidRDefault="00D27ED2">
      <w:pPr>
        <w:spacing w:after="240" w:line="360" w:lineRule="auto"/>
        <w:jc w:val="both"/>
        <w:rPr>
          <w:color w:val="333333"/>
          <w:sz w:val="24"/>
          <w:szCs w:val="24"/>
        </w:rPr>
      </w:pPr>
      <w:r w:rsidRPr="00E837F8">
        <w:rPr>
          <w:color w:val="333333"/>
          <w:sz w:val="24"/>
          <w:szCs w:val="24"/>
        </w:rPr>
        <w:t>Messaadia, M., Mispah Said Omar, M. and Ben Abdelaziz, F. (2025) ‘Modeling Firm Growth Dynamics: The Role of Financing Strategies, Financial Management, and Managerial Skills through Multiagent Simulation’, </w:t>
      </w:r>
      <w:r w:rsidRPr="00E837F8">
        <w:rPr>
          <w:i/>
          <w:iCs/>
          <w:color w:val="333333"/>
          <w:sz w:val="24"/>
          <w:szCs w:val="24"/>
        </w:rPr>
        <w:t>Annals of data science</w:t>
      </w:r>
      <w:r w:rsidRPr="00E837F8">
        <w:rPr>
          <w:color w:val="333333"/>
          <w:sz w:val="24"/>
          <w:szCs w:val="24"/>
        </w:rPr>
        <w:t>, 12(6), pp. 1825–1849. Available at: https://doi.org/10.1007/s40745-025-00641-9</w:t>
      </w:r>
    </w:p>
    <w:p w14:paraId="654DE2DB" w14:textId="77777777" w:rsidR="00D27ED2" w:rsidRPr="00E837F8" w:rsidRDefault="00D27ED2">
      <w:pPr>
        <w:spacing w:after="240" w:line="360" w:lineRule="auto"/>
        <w:jc w:val="both"/>
        <w:rPr>
          <w:color w:val="333333"/>
          <w:sz w:val="24"/>
          <w:szCs w:val="24"/>
        </w:rPr>
      </w:pPr>
      <w:r w:rsidRPr="00E837F8">
        <w:rPr>
          <w:color w:val="333333"/>
          <w:sz w:val="24"/>
          <w:szCs w:val="24"/>
        </w:rPr>
        <w:t>Michiels, A. and Molly, V. (2017) ‘Financing Decisions in Family Businesses: A Review and Suggestions for Developing the Field’,Family business review,  30(4), pp. 369–399. Available at: https://doi.org/10.1177/0894486517736958</w:t>
      </w:r>
    </w:p>
    <w:p w14:paraId="7804DA4D" w14:textId="77777777" w:rsidR="00D27ED2" w:rsidRPr="00E837F8" w:rsidRDefault="00D27ED2" w:rsidP="00B53CA5">
      <w:pPr>
        <w:spacing w:after="240" w:line="360" w:lineRule="auto"/>
        <w:jc w:val="both"/>
        <w:rPr>
          <w:sz w:val="24"/>
          <w:szCs w:val="24"/>
        </w:rPr>
      </w:pPr>
      <w:r w:rsidRPr="00E837F8">
        <w:rPr>
          <w:sz w:val="24"/>
          <w:szCs w:val="24"/>
        </w:rPr>
        <w:t>Miles, M.B., Huberman, A.M. and Saldana, J., 2014. </w:t>
      </w:r>
      <w:r w:rsidRPr="00E837F8">
        <w:rPr>
          <w:i/>
          <w:iCs/>
          <w:sz w:val="24"/>
          <w:szCs w:val="24"/>
        </w:rPr>
        <w:t>Qualitative data analysis</w:t>
      </w:r>
      <w:r w:rsidRPr="00E837F8">
        <w:rPr>
          <w:sz w:val="24"/>
          <w:szCs w:val="24"/>
        </w:rPr>
        <w:t>. sage.</w:t>
      </w:r>
    </w:p>
    <w:p w14:paraId="6D37A7A4" w14:textId="77777777" w:rsidR="00D27ED2" w:rsidRPr="00E837F8" w:rsidRDefault="00D27ED2" w:rsidP="00B53CA5">
      <w:pPr>
        <w:spacing w:after="240" w:line="360" w:lineRule="auto"/>
        <w:jc w:val="both"/>
        <w:rPr>
          <w:sz w:val="24"/>
          <w:szCs w:val="24"/>
        </w:rPr>
      </w:pPr>
      <w:r w:rsidRPr="00E837F8">
        <w:rPr>
          <w:sz w:val="24"/>
          <w:szCs w:val="24"/>
        </w:rPr>
        <w:t>Moher, D., Shamseer, L., Clarke, M., Ghersi, D., Liberati, A., Petticrew, M., Shekelle, P. and Stewart, L.A. (2015) ‘Preferred reporting items for systematic review and meta-analysis protocols (PRISMA-P) 2015 statement’, </w:t>
      </w:r>
      <w:r w:rsidRPr="00E837F8">
        <w:rPr>
          <w:i/>
          <w:iCs/>
          <w:sz w:val="24"/>
          <w:szCs w:val="24"/>
        </w:rPr>
        <w:t>Systematic reviews</w:t>
      </w:r>
      <w:r w:rsidRPr="00E837F8">
        <w:rPr>
          <w:sz w:val="24"/>
          <w:szCs w:val="24"/>
        </w:rPr>
        <w:t>, 4(1), pp. 1–9. Available at: https://doi.org/10.1186/2046-4053-4-1</w:t>
      </w:r>
    </w:p>
    <w:p w14:paraId="0B273F89" w14:textId="77777777" w:rsidR="00D27ED2" w:rsidRPr="00E837F8" w:rsidRDefault="00D27ED2">
      <w:pPr>
        <w:spacing w:after="240" w:line="360" w:lineRule="auto"/>
        <w:jc w:val="both"/>
        <w:rPr>
          <w:color w:val="333333"/>
          <w:sz w:val="24"/>
          <w:szCs w:val="24"/>
        </w:rPr>
      </w:pPr>
      <w:r w:rsidRPr="00E837F8">
        <w:rPr>
          <w:color w:val="333333"/>
          <w:sz w:val="24"/>
          <w:szCs w:val="24"/>
        </w:rPr>
        <w:t>Molina-García, A., Diéguez-Soto, J., Galache-Laza, M.T. and Campos-Valenzuela, M. (2023) ‘Financial literacy in SMEs: a bibliometric analysis and a systematic literature review of an emerging research field’, </w:t>
      </w:r>
      <w:r w:rsidRPr="00E837F8">
        <w:rPr>
          <w:i/>
          <w:iCs/>
          <w:color w:val="333333"/>
          <w:sz w:val="24"/>
          <w:szCs w:val="24"/>
        </w:rPr>
        <w:t>Review of managerial science</w:t>
      </w:r>
      <w:r w:rsidRPr="00E837F8">
        <w:rPr>
          <w:color w:val="333333"/>
          <w:sz w:val="24"/>
          <w:szCs w:val="24"/>
        </w:rPr>
        <w:t>, 17(3), pp. 787–826. Available at: https://doi.org/10.1007/s11846-022-00556-2</w:t>
      </w:r>
    </w:p>
    <w:p w14:paraId="7BBD0F1B" w14:textId="77777777" w:rsidR="00D27ED2" w:rsidRPr="00E837F8" w:rsidRDefault="00D27ED2">
      <w:pPr>
        <w:spacing w:after="240" w:line="360" w:lineRule="auto"/>
        <w:jc w:val="both"/>
        <w:rPr>
          <w:color w:val="333333"/>
          <w:sz w:val="24"/>
          <w:szCs w:val="24"/>
        </w:rPr>
      </w:pPr>
      <w:r w:rsidRPr="00E837F8">
        <w:rPr>
          <w:color w:val="333333"/>
          <w:sz w:val="24"/>
          <w:szCs w:val="24"/>
        </w:rPr>
        <w:t>Monda, L.L., Mbaduet, J.F. and Djoutsa Wamba, L. (2025) ‘Financial situation of SMEs and access to supplier credit in the context of the COVID-19 crisis in Cameroon’, </w:t>
      </w:r>
      <w:r w:rsidRPr="00E837F8">
        <w:rPr>
          <w:i/>
          <w:iCs/>
          <w:color w:val="333333"/>
          <w:sz w:val="24"/>
          <w:szCs w:val="24"/>
        </w:rPr>
        <w:t>Journal of general management</w:t>
      </w:r>
      <w:r w:rsidRPr="00E837F8">
        <w:rPr>
          <w:color w:val="333333"/>
          <w:sz w:val="24"/>
          <w:szCs w:val="24"/>
        </w:rPr>
        <w:t>, 0(0), pp. 1–12. Available at: https://doi.org/10.1177/03063070251366596</w:t>
      </w:r>
    </w:p>
    <w:p w14:paraId="1EF982AF"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Mukherjee, T., Al Rahahleh, N. and Lane, W. (2016 ‘The Capital Budgeting Process of Healthcare Organizations: A Review of Surveys’, </w:t>
      </w:r>
      <w:r w:rsidRPr="00E837F8">
        <w:rPr>
          <w:i/>
          <w:iCs/>
          <w:color w:val="333333"/>
          <w:sz w:val="24"/>
          <w:szCs w:val="24"/>
        </w:rPr>
        <w:t>Journal of healthcare management</w:t>
      </w:r>
      <w:r w:rsidRPr="00E837F8">
        <w:rPr>
          <w:color w:val="333333"/>
          <w:sz w:val="24"/>
          <w:szCs w:val="24"/>
        </w:rPr>
        <w:t>, 61(1), pp. 58–76. Available at: https://doi.org/10.1097/00115514-201601000-00011</w:t>
      </w:r>
    </w:p>
    <w:p w14:paraId="6517416C" w14:textId="77777777" w:rsidR="00D27ED2" w:rsidRPr="00E837F8" w:rsidRDefault="00D27ED2">
      <w:pPr>
        <w:spacing w:before="240" w:after="240" w:line="360" w:lineRule="auto"/>
        <w:jc w:val="both"/>
        <w:rPr>
          <w:sz w:val="24"/>
          <w:szCs w:val="24"/>
        </w:rPr>
      </w:pPr>
      <w:r w:rsidRPr="00E837F8">
        <w:rPr>
          <w:sz w:val="24"/>
          <w:szCs w:val="24"/>
        </w:rPr>
        <w:t xml:space="preserve">Naranjo, P., Saavedra, D. and Verdi, R.S. (2022) </w:t>
      </w:r>
      <w:r w:rsidRPr="00E837F8">
        <w:rPr>
          <w:color w:val="333333"/>
          <w:sz w:val="24"/>
          <w:szCs w:val="24"/>
        </w:rPr>
        <w:t>‘</w:t>
      </w:r>
      <w:r w:rsidRPr="00E837F8">
        <w:rPr>
          <w:sz w:val="24"/>
          <w:szCs w:val="24"/>
        </w:rPr>
        <w:t>The Pecking Order and Financing Decisions: Evidence From Changes to Financial-Reporting Regulation</w:t>
      </w:r>
      <w:r w:rsidRPr="00E837F8">
        <w:rPr>
          <w:color w:val="333333"/>
          <w:sz w:val="24"/>
          <w:szCs w:val="24"/>
        </w:rPr>
        <w:t>’</w:t>
      </w:r>
      <w:r w:rsidRPr="00E837F8">
        <w:rPr>
          <w:sz w:val="24"/>
          <w:szCs w:val="24"/>
        </w:rPr>
        <w:t>, </w:t>
      </w:r>
      <w:r w:rsidRPr="00E837F8">
        <w:rPr>
          <w:i/>
          <w:iCs/>
          <w:sz w:val="24"/>
          <w:szCs w:val="24"/>
        </w:rPr>
        <w:t>Journal of accounting, auditing &amp; finance</w:t>
      </w:r>
      <w:r w:rsidRPr="00E837F8">
        <w:rPr>
          <w:sz w:val="24"/>
          <w:szCs w:val="24"/>
        </w:rPr>
        <w:t>, 37(4), pp. 727–750. Available at: https://doi.org/10.1177/0148558X20945066</w:t>
      </w:r>
    </w:p>
    <w:p w14:paraId="4835C1DF" w14:textId="77777777" w:rsidR="00D27ED2" w:rsidRPr="00E837F8" w:rsidRDefault="00D27ED2">
      <w:pPr>
        <w:spacing w:before="240" w:after="240" w:line="360" w:lineRule="auto"/>
        <w:jc w:val="both"/>
        <w:rPr>
          <w:sz w:val="24"/>
          <w:szCs w:val="24"/>
        </w:rPr>
      </w:pPr>
      <w:r w:rsidRPr="00E837F8">
        <w:rPr>
          <w:sz w:val="24"/>
          <w:szCs w:val="24"/>
        </w:rPr>
        <w:t xml:space="preserve">Noailly, J. and Smeets, R. (2022) </w:t>
      </w:r>
      <w:r w:rsidRPr="00E837F8">
        <w:rPr>
          <w:color w:val="333333"/>
          <w:sz w:val="24"/>
          <w:szCs w:val="24"/>
        </w:rPr>
        <w:t>‘</w:t>
      </w:r>
      <w:r w:rsidRPr="00E837F8">
        <w:rPr>
          <w:sz w:val="24"/>
          <w:szCs w:val="24"/>
        </w:rPr>
        <w:t>Financing Energy Innovation: Internal Finance and the Direction of Technical Change</w:t>
      </w:r>
      <w:r w:rsidRPr="00E837F8">
        <w:rPr>
          <w:color w:val="333333"/>
          <w:sz w:val="24"/>
          <w:szCs w:val="24"/>
        </w:rPr>
        <w:t>’</w:t>
      </w:r>
      <w:r w:rsidRPr="00E837F8">
        <w:rPr>
          <w:sz w:val="24"/>
          <w:szCs w:val="24"/>
        </w:rPr>
        <w:t>, </w:t>
      </w:r>
      <w:r w:rsidRPr="00E837F8">
        <w:rPr>
          <w:i/>
          <w:iCs/>
          <w:sz w:val="24"/>
          <w:szCs w:val="24"/>
        </w:rPr>
        <w:t>Environmental &amp; resource economics</w:t>
      </w:r>
      <w:r w:rsidRPr="00E837F8">
        <w:rPr>
          <w:sz w:val="24"/>
          <w:szCs w:val="24"/>
        </w:rPr>
        <w:t>, 83(1), pp. 145–169. Available at: https://doi.org/10.1007/s10640-021-00602-9</w:t>
      </w:r>
    </w:p>
    <w:p w14:paraId="515B6898" w14:textId="77777777" w:rsidR="00D27ED2" w:rsidRPr="00E837F8" w:rsidRDefault="00D27ED2">
      <w:pPr>
        <w:spacing w:after="240" w:line="360" w:lineRule="auto"/>
        <w:jc w:val="both"/>
        <w:rPr>
          <w:color w:val="333333"/>
          <w:sz w:val="24"/>
          <w:szCs w:val="24"/>
        </w:rPr>
      </w:pPr>
      <w:r w:rsidRPr="00E837F8">
        <w:rPr>
          <w:color w:val="333333"/>
          <w:sz w:val="24"/>
          <w:szCs w:val="24"/>
        </w:rPr>
        <w:t>Nylund, P.A., Arimany-Serrat, N., Ferras-Hernandez, X., Viardot, E., Boateng, H. and Brem, A. (2020) ‘Internal and external financing of innovation: Sectoral differences in a longitudinal study of European firms’, </w:t>
      </w:r>
      <w:r w:rsidRPr="00E837F8">
        <w:rPr>
          <w:i/>
          <w:iCs/>
          <w:color w:val="333333"/>
          <w:sz w:val="24"/>
          <w:szCs w:val="24"/>
        </w:rPr>
        <w:t>European journal of innovation management</w:t>
      </w:r>
      <w:r w:rsidRPr="00E837F8">
        <w:rPr>
          <w:color w:val="333333"/>
          <w:sz w:val="24"/>
          <w:szCs w:val="24"/>
        </w:rPr>
        <w:t>, 23(2), pp. 200–213. Available at: https://doi.org/10.1108/EJIM-09-2018-0207</w:t>
      </w:r>
    </w:p>
    <w:p w14:paraId="3AC86E3A" w14:textId="77777777" w:rsidR="00D27ED2" w:rsidRPr="00E837F8" w:rsidRDefault="00D27ED2">
      <w:pPr>
        <w:spacing w:before="240" w:after="240" w:line="360" w:lineRule="auto"/>
        <w:jc w:val="both"/>
        <w:rPr>
          <w:sz w:val="24"/>
          <w:szCs w:val="24"/>
        </w:rPr>
      </w:pPr>
      <w:r w:rsidRPr="00E837F8">
        <w:rPr>
          <w:sz w:val="24"/>
          <w:szCs w:val="24"/>
        </w:rPr>
        <w:t xml:space="preserve">O’Brien, J.P. (2003) </w:t>
      </w:r>
      <w:r w:rsidRPr="00E837F8">
        <w:rPr>
          <w:color w:val="333333"/>
          <w:sz w:val="24"/>
          <w:szCs w:val="24"/>
        </w:rPr>
        <w:t>‘</w:t>
      </w:r>
      <w:r w:rsidRPr="00E837F8">
        <w:rPr>
          <w:sz w:val="24"/>
          <w:szCs w:val="24"/>
        </w:rPr>
        <w:t>The capital structure implications of pursuing a strategy of innovation</w:t>
      </w:r>
      <w:r w:rsidRPr="00E837F8">
        <w:rPr>
          <w:color w:val="333333"/>
          <w:sz w:val="24"/>
          <w:szCs w:val="24"/>
        </w:rPr>
        <w:t>’</w:t>
      </w:r>
      <w:r w:rsidRPr="00E837F8">
        <w:rPr>
          <w:sz w:val="24"/>
          <w:szCs w:val="24"/>
        </w:rPr>
        <w:t>, </w:t>
      </w:r>
      <w:r w:rsidRPr="00E837F8">
        <w:rPr>
          <w:i/>
          <w:iCs/>
          <w:sz w:val="24"/>
          <w:szCs w:val="24"/>
        </w:rPr>
        <w:t>Strategic management journal</w:t>
      </w:r>
      <w:r w:rsidRPr="00E837F8">
        <w:rPr>
          <w:sz w:val="24"/>
          <w:szCs w:val="24"/>
        </w:rPr>
        <w:t>, 24(5), pp. 415–431. Available at: https://doi.org/10.1002/smj.308</w:t>
      </w:r>
    </w:p>
    <w:p w14:paraId="36398D33" w14:textId="77777777" w:rsidR="00D27ED2" w:rsidRPr="00E837F8" w:rsidRDefault="00D27ED2">
      <w:pPr>
        <w:spacing w:before="240" w:after="240" w:line="360" w:lineRule="auto"/>
        <w:jc w:val="both"/>
        <w:rPr>
          <w:sz w:val="24"/>
          <w:szCs w:val="24"/>
        </w:rPr>
      </w:pPr>
      <w:r w:rsidRPr="00E837F8">
        <w:rPr>
          <w:sz w:val="24"/>
          <w:szCs w:val="24"/>
        </w:rPr>
        <w:t xml:space="preserve">Panda, B. and Leepsa, N.M. (2017) </w:t>
      </w:r>
      <w:r w:rsidRPr="00E837F8">
        <w:rPr>
          <w:color w:val="333333"/>
          <w:sz w:val="24"/>
          <w:szCs w:val="24"/>
        </w:rPr>
        <w:t>‘</w:t>
      </w:r>
      <w:r w:rsidRPr="00E837F8">
        <w:rPr>
          <w:sz w:val="24"/>
          <w:szCs w:val="24"/>
        </w:rPr>
        <w:t>Agency theory: Review of Theory and Evidence on Problems and Perspectives</w:t>
      </w:r>
      <w:r w:rsidRPr="00E837F8">
        <w:rPr>
          <w:color w:val="333333"/>
          <w:sz w:val="24"/>
          <w:szCs w:val="24"/>
        </w:rPr>
        <w:t>’</w:t>
      </w:r>
      <w:r w:rsidRPr="00E837F8">
        <w:rPr>
          <w:sz w:val="24"/>
          <w:szCs w:val="24"/>
        </w:rPr>
        <w:t>, </w:t>
      </w:r>
      <w:r w:rsidRPr="00E837F8">
        <w:rPr>
          <w:i/>
          <w:iCs/>
          <w:sz w:val="24"/>
          <w:szCs w:val="24"/>
        </w:rPr>
        <w:t>Indian journal of corporate governance</w:t>
      </w:r>
      <w:r w:rsidRPr="00E837F8">
        <w:rPr>
          <w:sz w:val="24"/>
          <w:szCs w:val="24"/>
        </w:rPr>
        <w:t>, 10(1), pp. 74–95. Available at: https://doi.org/10.1177/0974686217701467</w:t>
      </w:r>
    </w:p>
    <w:p w14:paraId="58EAA71B" w14:textId="77777777" w:rsidR="00D27ED2" w:rsidRPr="00E837F8" w:rsidRDefault="00D27ED2" w:rsidP="00B53CA5">
      <w:pPr>
        <w:spacing w:after="240" w:line="360" w:lineRule="auto"/>
        <w:jc w:val="both"/>
        <w:rPr>
          <w:sz w:val="24"/>
          <w:szCs w:val="24"/>
        </w:rPr>
      </w:pPr>
      <w:r w:rsidRPr="00E837F8">
        <w:rPr>
          <w:sz w:val="24"/>
          <w:szCs w:val="24"/>
        </w:rPr>
        <w:t>Paul, J. and Criado, A.R. (2020) ‘The art of writing literature review: What do we know and what do we need to know?’, </w:t>
      </w:r>
      <w:r w:rsidRPr="00E837F8">
        <w:rPr>
          <w:i/>
          <w:iCs/>
          <w:sz w:val="24"/>
          <w:szCs w:val="24"/>
        </w:rPr>
        <w:t>International business review</w:t>
      </w:r>
      <w:r w:rsidRPr="00E837F8">
        <w:rPr>
          <w:sz w:val="24"/>
          <w:szCs w:val="24"/>
        </w:rPr>
        <w:t>, 29(4), pp. 1–7. Available at: https://doi.org/10.1016/j.ibusrev.2020.101717</w:t>
      </w:r>
    </w:p>
    <w:p w14:paraId="3D199EE2" w14:textId="77777777" w:rsidR="00D27ED2" w:rsidRPr="00E837F8" w:rsidRDefault="00D27ED2">
      <w:pPr>
        <w:spacing w:after="240" w:line="360" w:lineRule="auto"/>
        <w:jc w:val="both"/>
        <w:rPr>
          <w:color w:val="333333"/>
          <w:sz w:val="24"/>
          <w:szCs w:val="24"/>
        </w:rPr>
      </w:pPr>
      <w:r w:rsidRPr="00E837F8">
        <w:rPr>
          <w:color w:val="333333"/>
          <w:sz w:val="24"/>
          <w:szCs w:val="24"/>
        </w:rPr>
        <w:t>Peng, S., Shu, Z. and Zhang, W. (2022) ‘Does service trade liberalization relieve manufacturing enterprises’ financial constraints? Evidence from China’, </w:t>
      </w:r>
      <w:r w:rsidRPr="00E837F8">
        <w:rPr>
          <w:i/>
          <w:iCs/>
          <w:color w:val="333333"/>
          <w:sz w:val="24"/>
          <w:szCs w:val="24"/>
        </w:rPr>
        <w:t>Economic modelling</w:t>
      </w:r>
      <w:r w:rsidRPr="00E837F8">
        <w:rPr>
          <w:color w:val="333333"/>
          <w:sz w:val="24"/>
          <w:szCs w:val="24"/>
        </w:rPr>
        <w:t>, 106, pp. 1–11. Available at: https://doi.org/10.1016/j.econmod.2021.105710</w:t>
      </w:r>
    </w:p>
    <w:p w14:paraId="1AF12968" w14:textId="77777777" w:rsidR="00D27ED2" w:rsidRPr="00E837F8" w:rsidRDefault="00D27ED2">
      <w:pPr>
        <w:spacing w:after="240" w:line="360" w:lineRule="auto"/>
        <w:jc w:val="both"/>
        <w:rPr>
          <w:color w:val="333333"/>
          <w:sz w:val="24"/>
          <w:szCs w:val="24"/>
        </w:rPr>
      </w:pPr>
      <w:r w:rsidRPr="00E837F8">
        <w:rPr>
          <w:color w:val="333333"/>
          <w:sz w:val="24"/>
          <w:szCs w:val="24"/>
        </w:rPr>
        <w:t xml:space="preserve">Perez-Alaniz, M., Lenihan, H., Doran, J. and Hewitt-Dundas, N. (2023) ‘Financial resources for research and innovation in small and larger firms: Is it a case of the more you have, the more you </w:t>
      </w:r>
      <w:r w:rsidRPr="00E837F8">
        <w:rPr>
          <w:color w:val="333333"/>
          <w:sz w:val="24"/>
          <w:szCs w:val="24"/>
        </w:rPr>
        <w:lastRenderedPageBreak/>
        <w:t>do?’, </w:t>
      </w:r>
      <w:r w:rsidRPr="00E837F8">
        <w:rPr>
          <w:i/>
          <w:iCs/>
          <w:color w:val="333333"/>
          <w:sz w:val="24"/>
          <w:szCs w:val="24"/>
        </w:rPr>
        <w:t>Industry and innovation</w:t>
      </w:r>
      <w:r w:rsidRPr="00E837F8">
        <w:rPr>
          <w:color w:val="333333"/>
          <w:sz w:val="24"/>
          <w:szCs w:val="24"/>
        </w:rPr>
        <w:t>, 30(2), pp. 189–232. Available at: https://doi.org/10.1080/13662716.2022.2036597</w:t>
      </w:r>
    </w:p>
    <w:p w14:paraId="30CE4470" w14:textId="77777777" w:rsidR="00D27ED2" w:rsidRPr="00E837F8" w:rsidRDefault="00D27ED2">
      <w:pPr>
        <w:spacing w:before="240" w:after="240" w:line="360" w:lineRule="auto"/>
        <w:jc w:val="both"/>
        <w:rPr>
          <w:sz w:val="24"/>
          <w:szCs w:val="24"/>
        </w:rPr>
      </w:pPr>
      <w:r w:rsidRPr="00E837F8">
        <w:rPr>
          <w:sz w:val="24"/>
          <w:szCs w:val="24"/>
        </w:rPr>
        <w:t>Peterson, P.P. and Fabozzi, F.J., 2002. </w:t>
      </w:r>
      <w:r w:rsidRPr="00E837F8">
        <w:rPr>
          <w:i/>
          <w:iCs/>
          <w:sz w:val="24"/>
          <w:szCs w:val="24"/>
        </w:rPr>
        <w:t>Capital budgeting: theory and practice</w:t>
      </w:r>
      <w:r w:rsidRPr="00E837F8">
        <w:rPr>
          <w:sz w:val="24"/>
          <w:szCs w:val="24"/>
        </w:rPr>
        <w:t>. John Wiley &amp; Sons.</w:t>
      </w:r>
    </w:p>
    <w:p w14:paraId="7424455D" w14:textId="77777777" w:rsidR="00D27ED2" w:rsidRPr="00E837F8" w:rsidRDefault="00D27ED2">
      <w:pPr>
        <w:spacing w:after="240" w:line="360" w:lineRule="auto"/>
        <w:jc w:val="both"/>
        <w:rPr>
          <w:color w:val="333333"/>
          <w:sz w:val="24"/>
          <w:szCs w:val="24"/>
        </w:rPr>
      </w:pPr>
      <w:r w:rsidRPr="00E837F8">
        <w:rPr>
          <w:color w:val="333333"/>
          <w:sz w:val="24"/>
          <w:szCs w:val="24"/>
        </w:rPr>
        <w:t>Purani, K. and Jeesha, K. (2020) ‘Capital Budgeting: Maledia Broadcasting Ltd’, </w:t>
      </w:r>
      <w:r w:rsidRPr="00E837F8">
        <w:rPr>
          <w:i/>
          <w:iCs/>
          <w:color w:val="333333"/>
          <w:sz w:val="24"/>
          <w:szCs w:val="24"/>
        </w:rPr>
        <w:t>Asian journal of management cases</w:t>
      </w:r>
      <w:r w:rsidRPr="00E837F8">
        <w:rPr>
          <w:color w:val="333333"/>
          <w:sz w:val="24"/>
          <w:szCs w:val="24"/>
        </w:rPr>
        <w:t>, 17(2), pp. 241–256. Available at: https://doi.org/10.1177/0972820120922641</w:t>
      </w:r>
    </w:p>
    <w:p w14:paraId="2E860855" w14:textId="77777777" w:rsidR="00D27ED2" w:rsidRPr="00E837F8" w:rsidRDefault="00D27ED2">
      <w:pPr>
        <w:spacing w:after="240" w:line="360" w:lineRule="auto"/>
        <w:jc w:val="both"/>
        <w:rPr>
          <w:color w:val="333333"/>
          <w:sz w:val="24"/>
          <w:szCs w:val="24"/>
        </w:rPr>
      </w:pPr>
      <w:r w:rsidRPr="00E837F8">
        <w:rPr>
          <w:color w:val="333333"/>
          <w:sz w:val="24"/>
          <w:szCs w:val="24"/>
        </w:rPr>
        <w:t>Purnamasari, P. (2024) ‘Capital budgeting techniques and financial performance: a comparison between SMEs and large listed firms’, </w:t>
      </w:r>
      <w:r w:rsidRPr="00E837F8">
        <w:rPr>
          <w:i/>
          <w:iCs/>
          <w:color w:val="333333"/>
          <w:sz w:val="24"/>
          <w:szCs w:val="24"/>
        </w:rPr>
        <w:t>Cogent economics &amp; finance</w:t>
      </w:r>
      <w:r w:rsidRPr="00E837F8">
        <w:rPr>
          <w:color w:val="333333"/>
          <w:sz w:val="24"/>
          <w:szCs w:val="24"/>
        </w:rPr>
        <w:t>, 12(1), pp. 1–18. Available at: https://doi.org/10.1080/23322039.2024.2404707</w:t>
      </w:r>
    </w:p>
    <w:p w14:paraId="66FA6EFB" w14:textId="77777777" w:rsidR="00D27ED2" w:rsidRPr="00E837F8" w:rsidRDefault="00D27ED2">
      <w:pPr>
        <w:spacing w:after="240" w:line="360" w:lineRule="auto"/>
        <w:jc w:val="both"/>
        <w:rPr>
          <w:color w:val="333333"/>
          <w:sz w:val="24"/>
          <w:szCs w:val="24"/>
        </w:rPr>
      </w:pPr>
      <w:r w:rsidRPr="00E837F8">
        <w:rPr>
          <w:color w:val="333333"/>
          <w:sz w:val="24"/>
          <w:szCs w:val="24"/>
        </w:rPr>
        <w:t>Restrepo, N. and Uribe, J.M. (2023) ‘Cash flow investment, external funding and the energy transition: Evidence from large US energy firms’,Energy policy, 181, pp. 1–16. Available at: https://doi.org/10.1016/j.enpol.2023.113720</w:t>
      </w:r>
    </w:p>
    <w:p w14:paraId="308085AD" w14:textId="77777777" w:rsidR="00D27ED2" w:rsidRPr="00E837F8" w:rsidRDefault="00D27ED2">
      <w:pPr>
        <w:spacing w:before="240" w:after="240" w:line="360" w:lineRule="auto"/>
        <w:jc w:val="both"/>
        <w:rPr>
          <w:sz w:val="24"/>
          <w:szCs w:val="24"/>
        </w:rPr>
      </w:pPr>
      <w:r w:rsidRPr="00E837F8">
        <w:rPr>
          <w:sz w:val="24"/>
          <w:szCs w:val="24"/>
        </w:rPr>
        <w:t xml:space="preserve">Riaz, Y., Shahab, Y., Bibi, R. and Zeb, S. (2016) </w:t>
      </w:r>
      <w:r w:rsidRPr="00E837F8">
        <w:rPr>
          <w:color w:val="333333"/>
          <w:sz w:val="24"/>
          <w:szCs w:val="24"/>
        </w:rPr>
        <w:t>‘</w:t>
      </w:r>
      <w:r w:rsidRPr="00E837F8">
        <w:rPr>
          <w:sz w:val="24"/>
          <w:szCs w:val="24"/>
        </w:rPr>
        <w:t>Investment-cash flow sensitivity and financial constraints: evidence from Pakistan</w:t>
      </w:r>
      <w:r w:rsidRPr="00E837F8">
        <w:rPr>
          <w:color w:val="333333"/>
          <w:sz w:val="24"/>
          <w:szCs w:val="24"/>
        </w:rPr>
        <w:t>’</w:t>
      </w:r>
      <w:r w:rsidRPr="00E837F8">
        <w:rPr>
          <w:sz w:val="24"/>
          <w:szCs w:val="24"/>
        </w:rPr>
        <w:t>, </w:t>
      </w:r>
      <w:r w:rsidRPr="00E837F8">
        <w:rPr>
          <w:i/>
          <w:iCs/>
          <w:sz w:val="24"/>
          <w:szCs w:val="24"/>
        </w:rPr>
        <w:t>South Asian Journal of Global Business Research</w:t>
      </w:r>
      <w:r w:rsidRPr="00E837F8">
        <w:rPr>
          <w:sz w:val="24"/>
          <w:szCs w:val="24"/>
        </w:rPr>
        <w:t>, 5(3), pp. 403–423. Available at: https://doi.org/10.1108/SAJGBR-08-2015-0054</w:t>
      </w:r>
    </w:p>
    <w:p w14:paraId="4D95064E" w14:textId="77777777" w:rsidR="00D27ED2" w:rsidRPr="00E837F8" w:rsidRDefault="00D27ED2" w:rsidP="00B53CA5">
      <w:pPr>
        <w:spacing w:after="240" w:line="360" w:lineRule="auto"/>
        <w:jc w:val="both"/>
        <w:rPr>
          <w:sz w:val="24"/>
          <w:szCs w:val="24"/>
        </w:rPr>
      </w:pPr>
      <w:r w:rsidRPr="00E837F8">
        <w:rPr>
          <w:sz w:val="24"/>
          <w:szCs w:val="24"/>
        </w:rPr>
        <w:t>Robinson, K.A., Saldanha, I.J. and Mckoy, N.A. (2011) ‘Development of a framework to identify research gaps from systematic reviews’, </w:t>
      </w:r>
      <w:r w:rsidRPr="00E837F8">
        <w:rPr>
          <w:i/>
          <w:iCs/>
          <w:sz w:val="24"/>
          <w:szCs w:val="24"/>
        </w:rPr>
        <w:t>Journal of clinical epidemiology</w:t>
      </w:r>
      <w:r w:rsidRPr="00E837F8">
        <w:rPr>
          <w:sz w:val="24"/>
          <w:szCs w:val="24"/>
        </w:rPr>
        <w:t>, 64(12), pp. 1325–1330. Available at: https://doi.org/10.1016/j.jclinepi.2011.06.009</w:t>
      </w:r>
    </w:p>
    <w:p w14:paraId="691FAA9C" w14:textId="77777777" w:rsidR="00D27ED2" w:rsidRPr="00E837F8" w:rsidRDefault="00D27ED2" w:rsidP="00B53CA5">
      <w:pPr>
        <w:spacing w:after="240" w:line="360" w:lineRule="auto"/>
        <w:jc w:val="both"/>
        <w:rPr>
          <w:sz w:val="24"/>
          <w:szCs w:val="24"/>
        </w:rPr>
      </w:pPr>
      <w:r w:rsidRPr="00E837F8">
        <w:rPr>
          <w:sz w:val="24"/>
          <w:szCs w:val="24"/>
        </w:rPr>
        <w:t>Rocco, T.S. and Plakhotnik, M.S. (2009) ‘Literature Reviews, Conceptual Frameworks, and Theoretical Frameworks: Terms, Functions, and Distinctions’, </w:t>
      </w:r>
      <w:r w:rsidRPr="00E837F8">
        <w:rPr>
          <w:i/>
          <w:iCs/>
          <w:sz w:val="24"/>
          <w:szCs w:val="24"/>
        </w:rPr>
        <w:t>Human resource development review</w:t>
      </w:r>
      <w:r w:rsidRPr="00E837F8">
        <w:rPr>
          <w:sz w:val="24"/>
          <w:szCs w:val="24"/>
        </w:rPr>
        <w:t>, 8(1), pp. 120–130. Available at: https://doi.org/10.1177/1534484309332617</w:t>
      </w:r>
    </w:p>
    <w:p w14:paraId="7EE11F6D" w14:textId="77777777" w:rsidR="00D27ED2" w:rsidRPr="00E837F8" w:rsidRDefault="00D27ED2">
      <w:pPr>
        <w:spacing w:after="240" w:line="360" w:lineRule="auto"/>
        <w:jc w:val="both"/>
        <w:rPr>
          <w:color w:val="333333"/>
          <w:sz w:val="24"/>
          <w:szCs w:val="24"/>
        </w:rPr>
      </w:pPr>
      <w:r w:rsidRPr="00E837F8">
        <w:rPr>
          <w:color w:val="333333"/>
          <w:sz w:val="24"/>
          <w:szCs w:val="24"/>
        </w:rPr>
        <w:t>Romero Alvarez YP, Salas-Navarro K, Martínez LB, Zamora-Musa R (2026) ‘Financing innovation in SMEs: a systematic review of financing channels’, </w:t>
      </w:r>
      <w:r w:rsidRPr="00E837F8">
        <w:rPr>
          <w:i/>
          <w:iCs/>
          <w:color w:val="333333"/>
          <w:sz w:val="24"/>
          <w:szCs w:val="24"/>
        </w:rPr>
        <w:t>International Journal of Innovation Science</w:t>
      </w:r>
      <w:r w:rsidRPr="00E837F8">
        <w:rPr>
          <w:color w:val="333333"/>
          <w:sz w:val="24"/>
          <w:szCs w:val="24"/>
        </w:rPr>
        <w:t>, 18(2), pp. 524–563. Available at: https://doi.org/10.1108/IJIS-06-2024-0151</w:t>
      </w:r>
    </w:p>
    <w:p w14:paraId="1D7F8300"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Roper, S. and Turner, J. (2020) ‘R&amp;D and innovation after COVID-19: What can we expect? A review of prior research and data trends after the great financial crisis’, </w:t>
      </w:r>
      <w:r w:rsidRPr="00E837F8">
        <w:rPr>
          <w:i/>
          <w:iCs/>
          <w:color w:val="333333"/>
          <w:sz w:val="24"/>
          <w:szCs w:val="24"/>
        </w:rPr>
        <w:t>International small business journal</w:t>
      </w:r>
      <w:r w:rsidRPr="00E837F8">
        <w:rPr>
          <w:color w:val="333333"/>
          <w:sz w:val="24"/>
          <w:szCs w:val="24"/>
        </w:rPr>
        <w:t>, 38(6), pp. 504–514. Available at: https://doi.org/10.1177/0266242620947946</w:t>
      </w:r>
    </w:p>
    <w:p w14:paraId="3FD147C7" w14:textId="77777777" w:rsidR="00D27ED2" w:rsidRPr="00E837F8" w:rsidRDefault="00D27ED2">
      <w:pPr>
        <w:spacing w:before="240" w:after="240" w:line="360" w:lineRule="auto"/>
        <w:jc w:val="both"/>
        <w:rPr>
          <w:sz w:val="24"/>
          <w:szCs w:val="24"/>
        </w:rPr>
      </w:pPr>
      <w:r w:rsidRPr="00E837F8">
        <w:rPr>
          <w:sz w:val="24"/>
          <w:szCs w:val="24"/>
        </w:rPr>
        <w:t xml:space="preserve">Sandahl, G. and Sjögren, S. (2003) </w:t>
      </w:r>
      <w:r w:rsidRPr="00E837F8">
        <w:rPr>
          <w:color w:val="333333"/>
          <w:sz w:val="24"/>
          <w:szCs w:val="24"/>
        </w:rPr>
        <w:t>‘</w:t>
      </w:r>
      <w:r w:rsidRPr="00E837F8">
        <w:rPr>
          <w:sz w:val="24"/>
          <w:szCs w:val="24"/>
        </w:rPr>
        <w:t>Capital budgeting methods among Sweden’s largest groups of companies. The state of the art and a comparison with earlier studies</w:t>
      </w:r>
      <w:r w:rsidRPr="00E837F8">
        <w:rPr>
          <w:color w:val="333333"/>
          <w:sz w:val="24"/>
          <w:szCs w:val="24"/>
        </w:rPr>
        <w:t>’</w:t>
      </w:r>
      <w:r w:rsidRPr="00E837F8">
        <w:rPr>
          <w:sz w:val="24"/>
          <w:szCs w:val="24"/>
        </w:rPr>
        <w:t>, </w:t>
      </w:r>
      <w:r w:rsidRPr="00E837F8">
        <w:rPr>
          <w:i/>
          <w:iCs/>
          <w:sz w:val="24"/>
          <w:szCs w:val="24"/>
        </w:rPr>
        <w:t>International journal of production economics</w:t>
      </w:r>
      <w:r w:rsidRPr="00E837F8">
        <w:rPr>
          <w:sz w:val="24"/>
          <w:szCs w:val="24"/>
        </w:rPr>
        <w:t>, 84(1), pp. 51–69. Available at: https://doi.org/10.1016/S0925-5273(02)00379-1</w:t>
      </w:r>
    </w:p>
    <w:p w14:paraId="5ABB80A6" w14:textId="77777777" w:rsidR="00D27ED2" w:rsidRPr="00E837F8" w:rsidRDefault="00D27ED2" w:rsidP="00B53CA5">
      <w:pPr>
        <w:spacing w:after="240" w:line="360" w:lineRule="auto"/>
        <w:jc w:val="both"/>
        <w:rPr>
          <w:sz w:val="24"/>
          <w:szCs w:val="24"/>
        </w:rPr>
      </w:pPr>
      <w:r w:rsidRPr="00E837F8">
        <w:rPr>
          <w:sz w:val="24"/>
          <w:szCs w:val="24"/>
        </w:rPr>
        <w:t>Sarkis-Onofre, R., Catalá-López, F., Aromataris, E. and Lockwood, C (2021) ‘How to properly use the PRISMA Statement’, </w:t>
      </w:r>
      <w:r w:rsidRPr="00E837F8">
        <w:rPr>
          <w:i/>
          <w:iCs/>
          <w:sz w:val="24"/>
          <w:szCs w:val="24"/>
        </w:rPr>
        <w:t>Systematic reviews</w:t>
      </w:r>
      <w:r w:rsidRPr="00E837F8">
        <w:rPr>
          <w:sz w:val="24"/>
          <w:szCs w:val="24"/>
        </w:rPr>
        <w:t xml:space="preserve">, 10(1), pp. 1–3. Available at: https://doi.org/10.1186/s13643-021-01671-z </w:t>
      </w:r>
    </w:p>
    <w:p w14:paraId="66433499" w14:textId="77777777" w:rsidR="00D27ED2" w:rsidRPr="00E837F8" w:rsidRDefault="00D27ED2" w:rsidP="00B53CA5">
      <w:pPr>
        <w:spacing w:after="240" w:line="360" w:lineRule="auto"/>
        <w:jc w:val="both"/>
        <w:rPr>
          <w:sz w:val="24"/>
          <w:szCs w:val="24"/>
        </w:rPr>
      </w:pPr>
      <w:r w:rsidRPr="00E837F8">
        <w:rPr>
          <w:sz w:val="24"/>
          <w:szCs w:val="24"/>
        </w:rPr>
        <w:t>Sauer, P.C. and Seuring, S. (2023) ‘How to conduct systematic literature reviews in management research: a guide in 6 steps and 14 decisions’, </w:t>
      </w:r>
      <w:r w:rsidRPr="00E837F8">
        <w:rPr>
          <w:i/>
          <w:iCs/>
          <w:sz w:val="24"/>
          <w:szCs w:val="24"/>
        </w:rPr>
        <w:t>Review of managerial science</w:t>
      </w:r>
      <w:r w:rsidRPr="00E837F8">
        <w:rPr>
          <w:sz w:val="24"/>
          <w:szCs w:val="24"/>
        </w:rPr>
        <w:t>, 17(5), pp. 1899–1933. Available at: https://doi.org/10.1007/s11846-023-00668-3</w:t>
      </w:r>
    </w:p>
    <w:p w14:paraId="3B45B8AF" w14:textId="77777777" w:rsidR="00D27ED2" w:rsidRPr="00E837F8" w:rsidRDefault="00D27ED2" w:rsidP="00B53CA5">
      <w:pPr>
        <w:spacing w:after="240" w:line="360" w:lineRule="auto"/>
        <w:jc w:val="both"/>
        <w:rPr>
          <w:sz w:val="24"/>
          <w:szCs w:val="24"/>
        </w:rPr>
      </w:pPr>
      <w:r w:rsidRPr="00E837F8">
        <w:rPr>
          <w:sz w:val="24"/>
          <w:szCs w:val="24"/>
        </w:rPr>
        <w:t>Saunders, M.N.K. and Rojon, C. (2011) ‘On the attributes of a critical literature review’, </w:t>
      </w:r>
      <w:r w:rsidRPr="00E837F8">
        <w:rPr>
          <w:i/>
          <w:iCs/>
          <w:sz w:val="24"/>
          <w:szCs w:val="24"/>
        </w:rPr>
        <w:t>Coaching : an international journal of theory, research &amp; practice</w:t>
      </w:r>
      <w:r w:rsidRPr="00E837F8">
        <w:rPr>
          <w:sz w:val="24"/>
          <w:szCs w:val="24"/>
        </w:rPr>
        <w:t>, 42(2), pp. 156–162. Available at: https://doi.org/10.1080/17521882.2011.596485</w:t>
      </w:r>
    </w:p>
    <w:p w14:paraId="7CCAE903" w14:textId="77777777" w:rsidR="00D27ED2" w:rsidRPr="00E837F8" w:rsidRDefault="00D27ED2">
      <w:pPr>
        <w:spacing w:before="240" w:after="240" w:line="360" w:lineRule="auto"/>
        <w:jc w:val="both"/>
        <w:rPr>
          <w:sz w:val="24"/>
          <w:szCs w:val="24"/>
        </w:rPr>
      </w:pPr>
      <w:r w:rsidRPr="00E837F8">
        <w:rPr>
          <w:sz w:val="24"/>
          <w:szCs w:val="24"/>
        </w:rPr>
        <w:t xml:space="preserve">Schall, L.D., Sundem, G.L. and Geijsbeek, W.R. (1978) </w:t>
      </w:r>
      <w:r w:rsidRPr="00E837F8">
        <w:rPr>
          <w:color w:val="333333"/>
          <w:sz w:val="24"/>
          <w:szCs w:val="24"/>
        </w:rPr>
        <w:t>‘</w:t>
      </w:r>
      <w:r w:rsidRPr="00E837F8">
        <w:rPr>
          <w:sz w:val="24"/>
          <w:szCs w:val="24"/>
        </w:rPr>
        <w:t>SURVEY AND ANALYSIS OF CAPITAL BUDGETING METHODS</w:t>
      </w:r>
      <w:r w:rsidRPr="00E837F8">
        <w:rPr>
          <w:color w:val="333333"/>
          <w:sz w:val="24"/>
          <w:szCs w:val="24"/>
        </w:rPr>
        <w:t>’</w:t>
      </w:r>
      <w:r w:rsidRPr="00E837F8">
        <w:rPr>
          <w:sz w:val="24"/>
          <w:szCs w:val="24"/>
        </w:rPr>
        <w:t>, </w:t>
      </w:r>
      <w:r w:rsidRPr="00E837F8">
        <w:rPr>
          <w:i/>
          <w:iCs/>
          <w:sz w:val="24"/>
          <w:szCs w:val="24"/>
        </w:rPr>
        <w:t>The Journal of finance (New York)</w:t>
      </w:r>
      <w:r w:rsidRPr="00E837F8">
        <w:rPr>
          <w:sz w:val="24"/>
          <w:szCs w:val="24"/>
        </w:rPr>
        <w:t>, 33(1), pp. 281–287. Available at: https://doi.org/10.1111/j.1540-6261.1978.tb03404.x</w:t>
      </w:r>
    </w:p>
    <w:p w14:paraId="0F5A1752" w14:textId="77777777" w:rsidR="00D27ED2" w:rsidRPr="00E837F8" w:rsidRDefault="00D27ED2">
      <w:pPr>
        <w:spacing w:before="240" w:after="240" w:line="360" w:lineRule="auto"/>
        <w:jc w:val="both"/>
        <w:rPr>
          <w:sz w:val="24"/>
          <w:szCs w:val="24"/>
        </w:rPr>
      </w:pPr>
      <w:r w:rsidRPr="00E837F8">
        <w:rPr>
          <w:sz w:val="24"/>
          <w:szCs w:val="24"/>
        </w:rPr>
        <w:t xml:space="preserve">Schätzlein, L., Schlütter, D. and Hahn, R. (2023) </w:t>
      </w:r>
      <w:r w:rsidRPr="00E837F8">
        <w:rPr>
          <w:color w:val="333333"/>
          <w:sz w:val="24"/>
          <w:szCs w:val="24"/>
        </w:rPr>
        <w:t>‘</w:t>
      </w:r>
      <w:r w:rsidRPr="00E837F8">
        <w:rPr>
          <w:sz w:val="24"/>
          <w:szCs w:val="24"/>
        </w:rPr>
        <w:t>Managing the external financing constraints of social enterprises: A systematic review of a diversified research landscape</w:t>
      </w:r>
      <w:r w:rsidRPr="00E837F8">
        <w:rPr>
          <w:color w:val="333333"/>
          <w:sz w:val="24"/>
          <w:szCs w:val="24"/>
        </w:rPr>
        <w:t>’</w:t>
      </w:r>
      <w:r w:rsidRPr="00E837F8">
        <w:rPr>
          <w:sz w:val="24"/>
          <w:szCs w:val="24"/>
        </w:rPr>
        <w:t>, </w:t>
      </w:r>
      <w:r w:rsidRPr="00E837F8">
        <w:rPr>
          <w:i/>
          <w:iCs/>
          <w:sz w:val="24"/>
          <w:szCs w:val="24"/>
        </w:rPr>
        <w:t>International journal of management reviews : IJMR</w:t>
      </w:r>
      <w:r w:rsidRPr="00E837F8">
        <w:rPr>
          <w:sz w:val="24"/>
          <w:szCs w:val="24"/>
        </w:rPr>
        <w:t>, 25(1), pp. 176–199. Available at: https://doi.org/10.1111/ijmr.12310</w:t>
      </w:r>
    </w:p>
    <w:p w14:paraId="0E3D68C1" w14:textId="77777777" w:rsidR="00D27ED2" w:rsidRPr="00E837F8" w:rsidRDefault="00D27ED2">
      <w:pPr>
        <w:spacing w:after="240" w:line="360" w:lineRule="auto"/>
        <w:jc w:val="both"/>
        <w:rPr>
          <w:color w:val="333333"/>
          <w:sz w:val="24"/>
          <w:szCs w:val="24"/>
        </w:rPr>
      </w:pPr>
      <w:r w:rsidRPr="00E837F8">
        <w:rPr>
          <w:color w:val="333333"/>
          <w:sz w:val="24"/>
          <w:szCs w:val="24"/>
        </w:rPr>
        <w:t>Schneider, A. (2018) ‘Studies on the impact of accounting information and assurance on commercial lending judgments’, </w:t>
      </w:r>
      <w:r w:rsidRPr="00E837F8">
        <w:rPr>
          <w:i/>
          <w:iCs/>
          <w:color w:val="333333"/>
          <w:sz w:val="24"/>
          <w:szCs w:val="24"/>
        </w:rPr>
        <w:t>Journal of accounting literature</w:t>
      </w:r>
      <w:r w:rsidRPr="00E837F8">
        <w:rPr>
          <w:color w:val="333333"/>
          <w:sz w:val="24"/>
          <w:szCs w:val="24"/>
        </w:rPr>
        <w:t>, 41(1), pp. 63–74. Available at: https://doi.org/10.1016/j.acclit.2018.03.005</w:t>
      </w:r>
    </w:p>
    <w:p w14:paraId="64E85DEC" w14:textId="77777777" w:rsidR="00D27ED2" w:rsidRPr="00E837F8" w:rsidRDefault="00D27ED2">
      <w:pPr>
        <w:spacing w:before="240" w:after="240" w:line="360" w:lineRule="auto"/>
        <w:jc w:val="both"/>
        <w:rPr>
          <w:sz w:val="24"/>
          <w:szCs w:val="24"/>
        </w:rPr>
      </w:pPr>
      <w:r w:rsidRPr="00E837F8">
        <w:rPr>
          <w:sz w:val="24"/>
          <w:szCs w:val="24"/>
        </w:rPr>
        <w:lastRenderedPageBreak/>
        <w:t xml:space="preserve">Sethi, S.P. and Taksar, M.I. (2002) </w:t>
      </w:r>
      <w:r w:rsidRPr="00E837F8">
        <w:rPr>
          <w:color w:val="333333"/>
          <w:sz w:val="24"/>
          <w:szCs w:val="24"/>
        </w:rPr>
        <w:t>‘</w:t>
      </w:r>
      <w:r w:rsidRPr="00E837F8">
        <w:rPr>
          <w:sz w:val="24"/>
          <w:szCs w:val="24"/>
        </w:rPr>
        <w:t>Optimal Financing of a Corporation Subject To Random Returns</w:t>
      </w:r>
      <w:r w:rsidRPr="00E837F8">
        <w:rPr>
          <w:color w:val="333333"/>
          <w:sz w:val="24"/>
          <w:szCs w:val="24"/>
        </w:rPr>
        <w:t>’</w:t>
      </w:r>
      <w:r w:rsidRPr="00E837F8">
        <w:rPr>
          <w:sz w:val="24"/>
          <w:szCs w:val="24"/>
        </w:rPr>
        <w:t>, </w:t>
      </w:r>
      <w:r w:rsidRPr="00E837F8">
        <w:rPr>
          <w:i/>
          <w:iCs/>
          <w:sz w:val="24"/>
          <w:szCs w:val="24"/>
        </w:rPr>
        <w:t>Mathematical finance</w:t>
      </w:r>
      <w:r w:rsidRPr="00E837F8">
        <w:rPr>
          <w:sz w:val="24"/>
          <w:szCs w:val="24"/>
        </w:rPr>
        <w:t>, 12(2), pp. 155–172. Available at: https://doi.org/10.1111/1467-9965.t01-2-02002</w:t>
      </w:r>
    </w:p>
    <w:p w14:paraId="41680E36" w14:textId="77777777" w:rsidR="00D27ED2" w:rsidRPr="00E837F8" w:rsidRDefault="00D27ED2" w:rsidP="00B53CA5">
      <w:pPr>
        <w:spacing w:after="240" w:line="360" w:lineRule="auto"/>
        <w:jc w:val="both"/>
        <w:rPr>
          <w:sz w:val="24"/>
          <w:szCs w:val="24"/>
        </w:rPr>
      </w:pPr>
      <w:r w:rsidRPr="00E837F8">
        <w:rPr>
          <w:sz w:val="24"/>
          <w:szCs w:val="24"/>
        </w:rPr>
        <w:t>Seuring, S., Yawar, S.A., Land, A., Khalid, R.U. and Sauer, P.C. (2021) ‘The application of theory in literature reviews – illustrated with examples from supply chain management’, </w:t>
      </w:r>
      <w:r w:rsidRPr="00E837F8">
        <w:rPr>
          <w:i/>
          <w:iCs/>
          <w:sz w:val="24"/>
          <w:szCs w:val="24"/>
        </w:rPr>
        <w:t>International journal of operations &amp; production management</w:t>
      </w:r>
      <w:r w:rsidRPr="00E837F8">
        <w:rPr>
          <w:sz w:val="24"/>
          <w:szCs w:val="24"/>
        </w:rPr>
        <w:t>, 41(1), pp. 1–20. Available at: https://doi.org/10.1108/IJOPM-04-2020-0247</w:t>
      </w:r>
    </w:p>
    <w:p w14:paraId="4FF60189" w14:textId="77777777" w:rsidR="00D27ED2" w:rsidRPr="00E837F8" w:rsidRDefault="00D27ED2">
      <w:pPr>
        <w:spacing w:after="240" w:line="360" w:lineRule="auto"/>
        <w:jc w:val="both"/>
        <w:rPr>
          <w:color w:val="333333"/>
          <w:sz w:val="24"/>
          <w:szCs w:val="24"/>
        </w:rPr>
      </w:pPr>
      <w:r w:rsidRPr="00E837F8">
        <w:rPr>
          <w:color w:val="333333"/>
          <w:sz w:val="24"/>
          <w:szCs w:val="24"/>
        </w:rPr>
        <w:t>Shattock, M. (2017) ‘University governance in flux: The impact of external and internal pressures on the distribution of authority within British universities. A synoptic view’, </w:t>
      </w:r>
      <w:r w:rsidRPr="00E837F8">
        <w:rPr>
          <w:i/>
          <w:iCs/>
          <w:color w:val="333333"/>
          <w:sz w:val="24"/>
          <w:szCs w:val="24"/>
        </w:rPr>
        <w:t>Higher education quarterly</w:t>
      </w:r>
      <w:r w:rsidRPr="00E837F8">
        <w:rPr>
          <w:color w:val="333333"/>
          <w:sz w:val="24"/>
          <w:szCs w:val="24"/>
        </w:rPr>
        <w:t>, 71(4), pp. 384–395. Available at: https://doi.org/10.1111/hequ.12132</w:t>
      </w:r>
    </w:p>
    <w:p w14:paraId="2BA5CF65" w14:textId="77777777" w:rsidR="00D27ED2" w:rsidRPr="00E837F8" w:rsidRDefault="00D27ED2">
      <w:pPr>
        <w:spacing w:after="240" w:line="360" w:lineRule="auto"/>
        <w:jc w:val="both"/>
        <w:rPr>
          <w:color w:val="333333"/>
          <w:sz w:val="24"/>
          <w:szCs w:val="24"/>
        </w:rPr>
      </w:pPr>
      <w:r w:rsidRPr="00E837F8">
        <w:rPr>
          <w:color w:val="333333"/>
          <w:sz w:val="24"/>
          <w:szCs w:val="24"/>
        </w:rPr>
        <w:t>Shen, Y. (2021) ‘CEO characteristics: a review of influential publications and a research agenda’, </w:t>
      </w:r>
      <w:r w:rsidRPr="00E837F8">
        <w:rPr>
          <w:i/>
          <w:iCs/>
          <w:color w:val="333333"/>
          <w:sz w:val="24"/>
          <w:szCs w:val="24"/>
        </w:rPr>
        <w:t>Accounting and finance (Parkville)</w:t>
      </w:r>
      <w:r w:rsidRPr="00E837F8">
        <w:rPr>
          <w:color w:val="333333"/>
          <w:sz w:val="24"/>
          <w:szCs w:val="24"/>
        </w:rPr>
        <w:t>, 61(1), pp. 361–385. Available at: https://doi.org/10.1111/acfi.12571</w:t>
      </w:r>
    </w:p>
    <w:p w14:paraId="13121B61" w14:textId="77777777" w:rsidR="00D27ED2" w:rsidRPr="00E837F8" w:rsidRDefault="00D27ED2" w:rsidP="00B53CA5">
      <w:pPr>
        <w:spacing w:after="240" w:line="360" w:lineRule="auto"/>
        <w:jc w:val="both"/>
        <w:rPr>
          <w:sz w:val="24"/>
          <w:szCs w:val="24"/>
        </w:rPr>
      </w:pPr>
      <w:r w:rsidRPr="00E837F8">
        <w:rPr>
          <w:sz w:val="24"/>
          <w:szCs w:val="24"/>
        </w:rPr>
        <w:t>Shepherd, D.A. and Suddaby, R. (2017) ‘Theory Building: A Review and Integration’, </w:t>
      </w:r>
      <w:r w:rsidRPr="00E837F8">
        <w:rPr>
          <w:i/>
          <w:iCs/>
          <w:sz w:val="24"/>
          <w:szCs w:val="24"/>
        </w:rPr>
        <w:t>Journal of management</w:t>
      </w:r>
      <w:r w:rsidRPr="00E837F8">
        <w:rPr>
          <w:sz w:val="24"/>
          <w:szCs w:val="24"/>
        </w:rPr>
        <w:t>, 43(1), pp. 59–86. Available at: https://doi.org/10.1177/0149206316647102</w:t>
      </w:r>
    </w:p>
    <w:p w14:paraId="38B108DE" w14:textId="77777777" w:rsidR="00D27ED2" w:rsidRPr="00E837F8" w:rsidRDefault="00D27ED2">
      <w:pPr>
        <w:spacing w:before="240" w:after="240" w:line="360" w:lineRule="auto"/>
        <w:jc w:val="both"/>
        <w:rPr>
          <w:sz w:val="24"/>
          <w:szCs w:val="24"/>
        </w:rPr>
      </w:pPr>
      <w:r w:rsidRPr="00E837F8">
        <w:rPr>
          <w:sz w:val="24"/>
          <w:szCs w:val="24"/>
        </w:rPr>
        <w:t xml:space="preserve">Shleifer, A. and Vishny, R.W. (1997) </w:t>
      </w:r>
      <w:r w:rsidRPr="00E837F8">
        <w:rPr>
          <w:color w:val="333333"/>
          <w:sz w:val="24"/>
          <w:szCs w:val="24"/>
        </w:rPr>
        <w:t>‘</w:t>
      </w:r>
      <w:r w:rsidRPr="00E837F8">
        <w:rPr>
          <w:sz w:val="24"/>
          <w:szCs w:val="24"/>
        </w:rPr>
        <w:t>A Survey of Corporate Governance</w:t>
      </w:r>
      <w:r w:rsidRPr="00E837F8">
        <w:rPr>
          <w:color w:val="333333"/>
          <w:sz w:val="24"/>
          <w:szCs w:val="24"/>
        </w:rPr>
        <w:t>’</w:t>
      </w:r>
      <w:r w:rsidRPr="00E837F8">
        <w:rPr>
          <w:sz w:val="24"/>
          <w:szCs w:val="24"/>
        </w:rPr>
        <w:t>, </w:t>
      </w:r>
      <w:r w:rsidRPr="00E837F8">
        <w:rPr>
          <w:i/>
          <w:iCs/>
          <w:sz w:val="24"/>
          <w:szCs w:val="24"/>
        </w:rPr>
        <w:t>The Journal of finance (New York)</w:t>
      </w:r>
      <w:r w:rsidRPr="00E837F8">
        <w:rPr>
          <w:sz w:val="24"/>
          <w:szCs w:val="24"/>
        </w:rPr>
        <w:t>, 52(2), pp. 737–783. Available at: https://doi.org/10.1111/j.1540-6261.1997.tb04820.x</w:t>
      </w:r>
    </w:p>
    <w:p w14:paraId="7AAE0210" w14:textId="77777777" w:rsidR="00D27ED2" w:rsidRPr="00E837F8" w:rsidRDefault="00D27ED2">
      <w:pPr>
        <w:spacing w:before="240" w:after="240" w:line="360" w:lineRule="auto"/>
        <w:jc w:val="both"/>
        <w:rPr>
          <w:sz w:val="24"/>
          <w:szCs w:val="24"/>
        </w:rPr>
      </w:pPr>
      <w:r w:rsidRPr="00E837F8">
        <w:rPr>
          <w:sz w:val="24"/>
          <w:szCs w:val="24"/>
        </w:rPr>
        <w:t xml:space="preserve">Silaghi, F. and Sarkar, S. (2021) </w:t>
      </w:r>
      <w:r w:rsidRPr="00E837F8">
        <w:rPr>
          <w:color w:val="333333"/>
          <w:sz w:val="24"/>
          <w:szCs w:val="24"/>
        </w:rPr>
        <w:t>‘</w:t>
      </w:r>
      <w:r w:rsidRPr="00E837F8">
        <w:rPr>
          <w:sz w:val="24"/>
          <w:szCs w:val="24"/>
        </w:rPr>
        <w:t>Agency problems in public-private partnerships investment projects</w:t>
      </w:r>
      <w:r w:rsidRPr="00E837F8">
        <w:rPr>
          <w:color w:val="333333"/>
          <w:sz w:val="24"/>
          <w:szCs w:val="24"/>
        </w:rPr>
        <w:t>’</w:t>
      </w:r>
      <w:r w:rsidRPr="00E837F8">
        <w:rPr>
          <w:sz w:val="24"/>
          <w:szCs w:val="24"/>
        </w:rPr>
        <w:t>, </w:t>
      </w:r>
      <w:r w:rsidRPr="00E837F8">
        <w:rPr>
          <w:i/>
          <w:iCs/>
          <w:sz w:val="24"/>
          <w:szCs w:val="24"/>
        </w:rPr>
        <w:t>European journal of operational research</w:t>
      </w:r>
      <w:r w:rsidRPr="00E837F8">
        <w:rPr>
          <w:sz w:val="24"/>
          <w:szCs w:val="24"/>
        </w:rPr>
        <w:t>, 290(3), pp. 1174–1191. Available at: https://doi.org/10.1016/j.ejor.2020.08.050</w:t>
      </w:r>
    </w:p>
    <w:p w14:paraId="009222B7" w14:textId="77777777" w:rsidR="00D27ED2" w:rsidRPr="00E837F8" w:rsidRDefault="00D27ED2">
      <w:pPr>
        <w:spacing w:after="240" w:line="360" w:lineRule="auto"/>
        <w:jc w:val="both"/>
        <w:rPr>
          <w:color w:val="333333"/>
          <w:sz w:val="24"/>
          <w:szCs w:val="24"/>
        </w:rPr>
      </w:pPr>
      <w:r w:rsidRPr="00E837F8">
        <w:rPr>
          <w:color w:val="333333"/>
          <w:sz w:val="24"/>
          <w:szCs w:val="24"/>
        </w:rPr>
        <w:t>Singh, K., Pillai, D. and Rastogi, S. (2025) ‘Pecking Order Theory of Capital Structure: Empirical Evidence for Listed SMEs in India’, </w:t>
      </w:r>
      <w:r w:rsidRPr="00E837F8">
        <w:rPr>
          <w:i/>
          <w:iCs/>
          <w:color w:val="333333"/>
          <w:sz w:val="24"/>
          <w:szCs w:val="24"/>
        </w:rPr>
        <w:t>Vision (New Delhi, India)</w:t>
      </w:r>
      <w:r w:rsidRPr="00E837F8">
        <w:rPr>
          <w:color w:val="333333"/>
          <w:sz w:val="24"/>
          <w:szCs w:val="24"/>
        </w:rPr>
        <w:t>, 29(1), pp. 35–47. Available at: https://doi.org/10.1177/09722629211057208</w:t>
      </w:r>
    </w:p>
    <w:p w14:paraId="014A868C" w14:textId="77777777" w:rsidR="00D27ED2" w:rsidRPr="00E837F8" w:rsidRDefault="00D27ED2">
      <w:pPr>
        <w:spacing w:before="240" w:after="240" w:line="360" w:lineRule="auto"/>
        <w:jc w:val="both"/>
        <w:rPr>
          <w:sz w:val="24"/>
          <w:szCs w:val="24"/>
        </w:rPr>
      </w:pPr>
      <w:r w:rsidRPr="00E837F8">
        <w:rPr>
          <w:sz w:val="24"/>
          <w:szCs w:val="24"/>
        </w:rPr>
        <w:t xml:space="preserve">Siziba, S. and Hall, J.H. (2021) </w:t>
      </w:r>
      <w:r w:rsidRPr="00E837F8">
        <w:rPr>
          <w:color w:val="333333"/>
          <w:sz w:val="24"/>
          <w:szCs w:val="24"/>
        </w:rPr>
        <w:t>‘</w:t>
      </w:r>
      <w:r w:rsidRPr="00E837F8">
        <w:rPr>
          <w:sz w:val="24"/>
          <w:szCs w:val="24"/>
        </w:rPr>
        <w:t>The evolution of the application of capital budgeting techniques in enterprises</w:t>
      </w:r>
      <w:r w:rsidRPr="00E837F8">
        <w:rPr>
          <w:color w:val="333333"/>
          <w:sz w:val="24"/>
          <w:szCs w:val="24"/>
        </w:rPr>
        <w:t>’</w:t>
      </w:r>
      <w:r w:rsidRPr="00E837F8">
        <w:rPr>
          <w:sz w:val="24"/>
          <w:szCs w:val="24"/>
        </w:rPr>
        <w:t>, </w:t>
      </w:r>
      <w:r w:rsidRPr="00E837F8">
        <w:rPr>
          <w:i/>
          <w:iCs/>
          <w:sz w:val="24"/>
          <w:szCs w:val="24"/>
        </w:rPr>
        <w:t>Global finance journal</w:t>
      </w:r>
      <w:r w:rsidRPr="00E837F8">
        <w:rPr>
          <w:sz w:val="24"/>
          <w:szCs w:val="24"/>
        </w:rPr>
        <w:t>, 47. Available at: https://doi.org/10.1016/j.gfj.2019.100504</w:t>
      </w:r>
    </w:p>
    <w:p w14:paraId="231867F4" w14:textId="77777777" w:rsidR="00D27ED2" w:rsidRPr="00E837F8" w:rsidRDefault="00D27ED2" w:rsidP="00B53CA5">
      <w:pPr>
        <w:spacing w:after="240" w:line="360" w:lineRule="auto"/>
        <w:jc w:val="both"/>
        <w:rPr>
          <w:sz w:val="24"/>
          <w:szCs w:val="24"/>
        </w:rPr>
      </w:pPr>
      <w:r w:rsidRPr="00E837F8">
        <w:rPr>
          <w:sz w:val="24"/>
          <w:szCs w:val="24"/>
        </w:rPr>
        <w:lastRenderedPageBreak/>
        <w:t>Snyder, H. (2019) ‘Literature review as a research methodology: An overview and guidelines’, </w:t>
      </w:r>
      <w:r w:rsidRPr="00E837F8">
        <w:rPr>
          <w:i/>
          <w:iCs/>
          <w:sz w:val="24"/>
          <w:szCs w:val="24"/>
        </w:rPr>
        <w:t>Journal of business research</w:t>
      </w:r>
      <w:r w:rsidRPr="00E837F8">
        <w:rPr>
          <w:sz w:val="24"/>
          <w:szCs w:val="24"/>
        </w:rPr>
        <w:t>, 104, pp. 333–339. Available at: https://doi.org/10.1016/j.jbusres.2019.07.039</w:t>
      </w:r>
    </w:p>
    <w:p w14:paraId="7A58B85D" w14:textId="77777777" w:rsidR="00D27ED2" w:rsidRPr="00E837F8" w:rsidRDefault="00D27ED2">
      <w:pPr>
        <w:spacing w:after="240" w:line="360" w:lineRule="auto"/>
        <w:jc w:val="both"/>
        <w:rPr>
          <w:color w:val="333333"/>
          <w:sz w:val="24"/>
          <w:szCs w:val="24"/>
        </w:rPr>
      </w:pPr>
      <w:r w:rsidRPr="00E837F8">
        <w:rPr>
          <w:color w:val="333333"/>
          <w:sz w:val="24"/>
          <w:szCs w:val="24"/>
        </w:rPr>
        <w:t>Stewart C. Myers, Nicholas S. Majluf (1984) ‘Corporate financing and investment decisions when firms have information that investors do not haveh’, </w:t>
      </w:r>
      <w:r w:rsidRPr="00E837F8">
        <w:rPr>
          <w:i/>
          <w:iCs/>
          <w:color w:val="333333"/>
          <w:sz w:val="24"/>
          <w:szCs w:val="24"/>
        </w:rPr>
        <w:t>Journal of Financial Economics</w:t>
      </w:r>
      <w:r w:rsidRPr="00E837F8">
        <w:rPr>
          <w:color w:val="333333"/>
          <w:sz w:val="24"/>
          <w:szCs w:val="24"/>
        </w:rPr>
        <w:t>, 13(2), pp. 187–221. Available at: https://doi.org/10.1016/0304-405X(84)90023-0</w:t>
      </w:r>
    </w:p>
    <w:p w14:paraId="38A5CC99" w14:textId="77777777" w:rsidR="00D27ED2" w:rsidRPr="00E837F8" w:rsidRDefault="00D27ED2">
      <w:pPr>
        <w:spacing w:after="240" w:line="360" w:lineRule="auto"/>
        <w:jc w:val="both"/>
        <w:rPr>
          <w:color w:val="333333"/>
          <w:sz w:val="24"/>
          <w:szCs w:val="24"/>
        </w:rPr>
      </w:pPr>
      <w:r w:rsidRPr="00E837F8">
        <w:rPr>
          <w:color w:val="333333"/>
          <w:sz w:val="24"/>
          <w:szCs w:val="24"/>
        </w:rPr>
        <w:t>Sturm, M. and Nüesch, S. (2019) ‘Strong shareholder rights, internal capital allocation efficiency, and the moderating role of market competition and external financing needs’, </w:t>
      </w:r>
      <w:r w:rsidRPr="00E837F8">
        <w:rPr>
          <w:i/>
          <w:iCs/>
          <w:color w:val="333333"/>
          <w:sz w:val="24"/>
          <w:szCs w:val="24"/>
        </w:rPr>
        <w:t>Review of managerial science</w:t>
      </w:r>
      <w:r w:rsidRPr="00E837F8">
        <w:rPr>
          <w:color w:val="333333"/>
          <w:sz w:val="24"/>
          <w:szCs w:val="24"/>
        </w:rPr>
        <w:t>, 13(1), pp. 93–111. Available at: https://doi.org/10.1007/s11846-017-0244-1</w:t>
      </w:r>
    </w:p>
    <w:p w14:paraId="4BA6CEBE" w14:textId="77777777" w:rsidR="00D27ED2" w:rsidRPr="00E837F8" w:rsidRDefault="00D27ED2">
      <w:pPr>
        <w:spacing w:after="240" w:line="360" w:lineRule="auto"/>
        <w:jc w:val="both"/>
        <w:rPr>
          <w:color w:val="333333"/>
          <w:sz w:val="24"/>
          <w:szCs w:val="24"/>
        </w:rPr>
      </w:pPr>
      <w:r w:rsidRPr="00E837F8">
        <w:rPr>
          <w:color w:val="333333"/>
          <w:sz w:val="24"/>
          <w:szCs w:val="24"/>
        </w:rPr>
        <w:t>Sulistianingsih, H. and Santi, F. (2023)  ‘Does SME’s financing decisions follow pecking order pattern? The role of financial literacy, risk preference, and home bias in SME financing decisions’, </w:t>
      </w:r>
      <w:r w:rsidRPr="00E837F8">
        <w:rPr>
          <w:i/>
          <w:iCs/>
          <w:color w:val="333333"/>
          <w:sz w:val="24"/>
          <w:szCs w:val="24"/>
        </w:rPr>
        <w:t>Cogent business &amp; management</w:t>
      </w:r>
      <w:r w:rsidRPr="00E837F8">
        <w:rPr>
          <w:color w:val="333333"/>
          <w:sz w:val="24"/>
          <w:szCs w:val="24"/>
        </w:rPr>
        <w:t>, 10(1), pp. 1–17. Available at: https://doi.org/10.1080/23311975.2023.2174477</w:t>
      </w:r>
    </w:p>
    <w:p w14:paraId="59561B99" w14:textId="77777777" w:rsidR="00D27ED2" w:rsidRPr="00E837F8" w:rsidRDefault="00D27ED2">
      <w:pPr>
        <w:spacing w:before="240" w:after="240" w:line="360" w:lineRule="auto"/>
        <w:jc w:val="both"/>
        <w:rPr>
          <w:sz w:val="24"/>
          <w:szCs w:val="24"/>
        </w:rPr>
      </w:pPr>
      <w:r w:rsidRPr="00E837F8">
        <w:rPr>
          <w:sz w:val="24"/>
          <w:szCs w:val="24"/>
        </w:rPr>
        <w:t xml:space="preserve">Sun, J., Ding, L., Guo, J.M. and Li, Y. (2016) </w:t>
      </w:r>
      <w:r w:rsidRPr="00E837F8">
        <w:rPr>
          <w:color w:val="333333"/>
          <w:sz w:val="24"/>
          <w:szCs w:val="24"/>
        </w:rPr>
        <w:t>‘</w:t>
      </w:r>
      <w:r w:rsidRPr="00E837F8">
        <w:rPr>
          <w:sz w:val="24"/>
          <w:szCs w:val="24"/>
        </w:rPr>
        <w:t>Ownership, capital structure and financing decision: Evidence from the UK</w:t>
      </w:r>
      <w:r w:rsidRPr="00E837F8">
        <w:rPr>
          <w:color w:val="333333"/>
          <w:sz w:val="24"/>
          <w:szCs w:val="24"/>
        </w:rPr>
        <w:t>’</w:t>
      </w:r>
      <w:r w:rsidRPr="00E837F8">
        <w:rPr>
          <w:sz w:val="24"/>
          <w:szCs w:val="24"/>
        </w:rPr>
        <w:t>, </w:t>
      </w:r>
      <w:r w:rsidRPr="00E837F8">
        <w:rPr>
          <w:i/>
          <w:iCs/>
          <w:sz w:val="24"/>
          <w:szCs w:val="24"/>
        </w:rPr>
        <w:t>The British accounting review</w:t>
      </w:r>
      <w:r w:rsidRPr="00E837F8">
        <w:rPr>
          <w:sz w:val="24"/>
          <w:szCs w:val="24"/>
        </w:rPr>
        <w:t>, 48(4), pp. 448–463. Available at: https://doi.org/10.1016/j.bar.2015.04.001</w:t>
      </w:r>
    </w:p>
    <w:p w14:paraId="576DAED9" w14:textId="77777777" w:rsidR="00D27ED2" w:rsidRPr="00E837F8" w:rsidRDefault="00D27ED2">
      <w:pPr>
        <w:spacing w:after="240" w:line="360" w:lineRule="auto"/>
        <w:jc w:val="both"/>
        <w:rPr>
          <w:color w:val="333333"/>
          <w:sz w:val="24"/>
          <w:szCs w:val="24"/>
        </w:rPr>
      </w:pPr>
      <w:r w:rsidRPr="00E837F8">
        <w:rPr>
          <w:color w:val="333333"/>
          <w:sz w:val="24"/>
          <w:szCs w:val="24"/>
        </w:rPr>
        <w:t>Sureka, R., Kumar, S., Colombage, S. and Abedin, M.Z. (2022) ‘Five decades of research on capital budgeting – A systematic review and future research agenda’, </w:t>
      </w:r>
      <w:r w:rsidRPr="00E837F8">
        <w:rPr>
          <w:i/>
          <w:iCs/>
          <w:color w:val="333333"/>
          <w:sz w:val="24"/>
          <w:szCs w:val="24"/>
        </w:rPr>
        <w:t>Research in international business and finance</w:t>
      </w:r>
      <w:r w:rsidRPr="00E837F8">
        <w:rPr>
          <w:color w:val="333333"/>
          <w:sz w:val="24"/>
          <w:szCs w:val="24"/>
        </w:rPr>
        <w:t>, 60, pp. 1–20. Available at: https://doi.org/10.1016/j.ribaf.2021.101609</w:t>
      </w:r>
    </w:p>
    <w:p w14:paraId="25D994BF" w14:textId="77777777" w:rsidR="00D27ED2" w:rsidRPr="00E837F8" w:rsidRDefault="00D27ED2">
      <w:pPr>
        <w:spacing w:after="240" w:line="360" w:lineRule="auto"/>
        <w:jc w:val="both"/>
        <w:rPr>
          <w:color w:val="333333"/>
          <w:sz w:val="24"/>
          <w:szCs w:val="24"/>
        </w:rPr>
      </w:pPr>
      <w:r w:rsidRPr="00E837F8">
        <w:rPr>
          <w:color w:val="333333"/>
          <w:sz w:val="24"/>
          <w:szCs w:val="24"/>
        </w:rPr>
        <w:t>Sureka, R., Kumar, S., Mukherjee, D. and Theodoraki, C. (2023) ‘What restricts SMEs from adopting sophisticated capital budgeting practices?’, </w:t>
      </w:r>
      <w:r w:rsidRPr="00E837F8">
        <w:rPr>
          <w:i/>
          <w:iCs/>
          <w:color w:val="333333"/>
          <w:sz w:val="24"/>
          <w:szCs w:val="24"/>
        </w:rPr>
        <w:t>Small business economics</w:t>
      </w:r>
      <w:r w:rsidRPr="00E837F8">
        <w:rPr>
          <w:color w:val="333333"/>
          <w:sz w:val="24"/>
          <w:szCs w:val="24"/>
        </w:rPr>
        <w:t>, 60(1), pp. 265–290. Available at: https://doi.org/10.1007/s11187-022-00648-z</w:t>
      </w:r>
    </w:p>
    <w:p w14:paraId="272C3C07" w14:textId="77777777" w:rsidR="00D27ED2" w:rsidRPr="00E837F8" w:rsidRDefault="00D27ED2">
      <w:pPr>
        <w:spacing w:after="240" w:line="360" w:lineRule="auto"/>
        <w:jc w:val="both"/>
        <w:rPr>
          <w:color w:val="333333"/>
          <w:sz w:val="24"/>
          <w:szCs w:val="24"/>
        </w:rPr>
      </w:pPr>
      <w:r w:rsidRPr="00E837F8">
        <w:rPr>
          <w:color w:val="333333"/>
          <w:sz w:val="24"/>
          <w:szCs w:val="24"/>
        </w:rPr>
        <w:t>Swaminathan, V., Gupta, S., Keller, K.L. and Lehmann, D. (2022) ‘Brand actions and financial consequences: a review of key findings and directions for future research’, </w:t>
      </w:r>
      <w:r w:rsidRPr="00E837F8">
        <w:rPr>
          <w:i/>
          <w:iCs/>
          <w:color w:val="333333"/>
          <w:sz w:val="24"/>
          <w:szCs w:val="24"/>
        </w:rPr>
        <w:t>Journal of the Academy of Marketing Science</w:t>
      </w:r>
      <w:r w:rsidRPr="00E837F8">
        <w:rPr>
          <w:color w:val="333333"/>
          <w:sz w:val="24"/>
          <w:szCs w:val="24"/>
        </w:rPr>
        <w:t>, 50(4), pp. 639–664. Available at: https://doi.org/10.1007/s11747-022-00866-7</w:t>
      </w:r>
    </w:p>
    <w:p w14:paraId="6707ADCF"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Tanin, T.I., Sarker, A., Hammoudeh, S. and Batten, J.A. (2024) ‘The determinants of corporate cost of debt during a financial crisis’, </w:t>
      </w:r>
      <w:r w:rsidRPr="00E837F8">
        <w:rPr>
          <w:i/>
          <w:iCs/>
          <w:color w:val="333333"/>
          <w:sz w:val="24"/>
          <w:szCs w:val="24"/>
        </w:rPr>
        <w:t>The British accounting review</w:t>
      </w:r>
      <w:r w:rsidRPr="00E837F8">
        <w:rPr>
          <w:color w:val="333333"/>
          <w:sz w:val="24"/>
          <w:szCs w:val="24"/>
        </w:rPr>
        <w:t>, 56(6), pp. 1–12. Available at: https://doi.org/10.1016/j.bar.2024.101390</w:t>
      </w:r>
    </w:p>
    <w:p w14:paraId="2CA3D32A" w14:textId="77777777" w:rsidR="00D27ED2" w:rsidRPr="00E837F8" w:rsidRDefault="00D27ED2">
      <w:pPr>
        <w:spacing w:after="240" w:line="360" w:lineRule="auto"/>
        <w:jc w:val="both"/>
        <w:rPr>
          <w:color w:val="333333"/>
          <w:sz w:val="24"/>
          <w:szCs w:val="24"/>
        </w:rPr>
      </w:pPr>
      <w:r w:rsidRPr="00E837F8">
        <w:rPr>
          <w:color w:val="333333"/>
          <w:sz w:val="24"/>
          <w:szCs w:val="24"/>
        </w:rPr>
        <w:t>Tawfik, O.I. and Elmaasrawy, H.E. (2024) ‘Effect of Shariah compliance on financing decisions: empirical evidence from GCC’, </w:t>
      </w:r>
      <w:r w:rsidRPr="00E837F8">
        <w:rPr>
          <w:i/>
          <w:iCs/>
          <w:color w:val="333333"/>
          <w:sz w:val="24"/>
          <w:szCs w:val="24"/>
        </w:rPr>
        <w:t>Journal of Islamic accounting and business research</w:t>
      </w:r>
      <w:r w:rsidRPr="00E837F8">
        <w:rPr>
          <w:color w:val="333333"/>
          <w:sz w:val="24"/>
          <w:szCs w:val="24"/>
        </w:rPr>
        <w:t>, 15(1), pp. 196–223. Available at: https://doi.org/10.1108/JIABR-07-2022-0165</w:t>
      </w:r>
    </w:p>
    <w:p w14:paraId="23E8BA7E" w14:textId="77777777" w:rsidR="00D27ED2" w:rsidRPr="00E837F8" w:rsidRDefault="00D27ED2">
      <w:pPr>
        <w:spacing w:after="240" w:line="360" w:lineRule="auto"/>
        <w:jc w:val="both"/>
        <w:rPr>
          <w:color w:val="333333"/>
          <w:sz w:val="24"/>
          <w:szCs w:val="24"/>
        </w:rPr>
      </w:pPr>
      <w:r w:rsidRPr="00E837F8">
        <w:rPr>
          <w:color w:val="333333"/>
          <w:sz w:val="24"/>
          <w:szCs w:val="24"/>
        </w:rPr>
        <w:t>Tawfik, O.I., Elmaasrawy, H.E. and Albitar, K. (2024) ‘Political connections, financing decisions and cash holdings: empirical evidence from Gulf Cooperation Council’, </w:t>
      </w:r>
      <w:r w:rsidRPr="00E837F8">
        <w:rPr>
          <w:i/>
          <w:iCs/>
          <w:color w:val="333333"/>
          <w:sz w:val="24"/>
          <w:szCs w:val="24"/>
        </w:rPr>
        <w:t>Journal of financial reporting &amp; accounting</w:t>
      </w:r>
      <w:r w:rsidRPr="00E837F8">
        <w:rPr>
          <w:color w:val="333333"/>
          <w:sz w:val="24"/>
          <w:szCs w:val="24"/>
        </w:rPr>
        <w:t>, 22(4), pp. 942–971. Available at: https://doi.org/10.1108/JFRA-10-2021-0382</w:t>
      </w:r>
    </w:p>
    <w:p w14:paraId="32472B26" w14:textId="77777777" w:rsidR="00D27ED2" w:rsidRPr="00E837F8" w:rsidRDefault="00D27ED2">
      <w:pPr>
        <w:spacing w:after="240" w:line="360" w:lineRule="auto"/>
        <w:jc w:val="both"/>
        <w:rPr>
          <w:color w:val="333333"/>
          <w:sz w:val="24"/>
          <w:szCs w:val="24"/>
        </w:rPr>
      </w:pPr>
      <w:r w:rsidRPr="00E837F8">
        <w:rPr>
          <w:color w:val="333333"/>
          <w:sz w:val="24"/>
          <w:szCs w:val="24"/>
        </w:rPr>
        <w:t>Tayachi, T., Hunjra, A.I., Jones, K., Mehmood, R. and Al-Faryan, M.A.S. (2023) ‘How does ownership structure affect the financing and dividend decisions of firm?’, </w:t>
      </w:r>
      <w:r w:rsidRPr="00E837F8">
        <w:rPr>
          <w:i/>
          <w:iCs/>
          <w:color w:val="333333"/>
          <w:sz w:val="24"/>
          <w:szCs w:val="24"/>
        </w:rPr>
        <w:t>Journal of financial reporting &amp; accounting</w:t>
      </w:r>
      <w:r w:rsidRPr="00E837F8">
        <w:rPr>
          <w:color w:val="333333"/>
          <w:sz w:val="24"/>
          <w:szCs w:val="24"/>
        </w:rPr>
        <w:t>, 21(3), pp. 729–746. Available at: https://doi.org/10.1108/JFRA-09-2021-0291</w:t>
      </w:r>
    </w:p>
    <w:p w14:paraId="6F4F0D32" w14:textId="77777777" w:rsidR="00D27ED2" w:rsidRPr="00E837F8" w:rsidRDefault="00D27ED2">
      <w:pPr>
        <w:spacing w:before="240" w:after="240" w:line="360" w:lineRule="auto"/>
        <w:jc w:val="both"/>
        <w:rPr>
          <w:sz w:val="24"/>
          <w:szCs w:val="24"/>
        </w:rPr>
      </w:pPr>
      <w:r w:rsidRPr="00E837F8">
        <w:rPr>
          <w:sz w:val="24"/>
          <w:szCs w:val="24"/>
        </w:rPr>
        <w:t>Teece, D. and Pisano, G., 1994. The dynamic capabilities of firms: an introduction. </w:t>
      </w:r>
      <w:r w:rsidRPr="00E837F8">
        <w:rPr>
          <w:i/>
          <w:iCs/>
          <w:sz w:val="24"/>
          <w:szCs w:val="24"/>
        </w:rPr>
        <w:t>Industrial and corporate change</w:t>
      </w:r>
      <w:r w:rsidRPr="00E837F8">
        <w:rPr>
          <w:sz w:val="24"/>
          <w:szCs w:val="24"/>
        </w:rPr>
        <w:t>, </w:t>
      </w:r>
      <w:r w:rsidRPr="00E837F8">
        <w:rPr>
          <w:i/>
          <w:iCs/>
          <w:sz w:val="24"/>
          <w:szCs w:val="24"/>
        </w:rPr>
        <w:t>3</w:t>
      </w:r>
      <w:r w:rsidRPr="00E837F8">
        <w:rPr>
          <w:sz w:val="24"/>
          <w:szCs w:val="24"/>
        </w:rPr>
        <w:t xml:space="preserve">(3), pp.537-556. </w:t>
      </w:r>
      <w:hyperlink r:id="rId14">
        <w:r w:rsidRPr="00E837F8">
          <w:rPr>
            <w:color w:val="0563C1"/>
            <w:sz w:val="24"/>
            <w:szCs w:val="24"/>
            <w:u w:val="single"/>
          </w:rPr>
          <w:t>https://doi.org/10.1093/icc/3.3.537-a</w:t>
        </w:r>
      </w:hyperlink>
    </w:p>
    <w:p w14:paraId="46BA2070" w14:textId="77777777" w:rsidR="00D27ED2" w:rsidRPr="00E837F8" w:rsidRDefault="00D27ED2">
      <w:pPr>
        <w:spacing w:before="240" w:after="240" w:line="360" w:lineRule="auto"/>
        <w:jc w:val="both"/>
        <w:rPr>
          <w:sz w:val="24"/>
          <w:szCs w:val="24"/>
        </w:rPr>
      </w:pPr>
      <w:r w:rsidRPr="00E837F8">
        <w:rPr>
          <w:sz w:val="24"/>
          <w:szCs w:val="24"/>
        </w:rPr>
        <w:t xml:space="preserve">Teece, D.J. (2007) </w:t>
      </w:r>
      <w:r w:rsidRPr="00E837F8">
        <w:rPr>
          <w:color w:val="333333"/>
          <w:sz w:val="24"/>
          <w:szCs w:val="24"/>
        </w:rPr>
        <w:t>‘</w:t>
      </w:r>
      <w:r w:rsidRPr="00E837F8">
        <w:rPr>
          <w:sz w:val="24"/>
          <w:szCs w:val="24"/>
        </w:rPr>
        <w:t>Explicating dynamic capabilities: the nature and microfoundations of (sustainable) enterprise performance</w:t>
      </w:r>
      <w:r w:rsidRPr="00E837F8">
        <w:rPr>
          <w:color w:val="333333"/>
          <w:sz w:val="24"/>
          <w:szCs w:val="24"/>
        </w:rPr>
        <w:t>’</w:t>
      </w:r>
      <w:r w:rsidRPr="00E837F8">
        <w:rPr>
          <w:sz w:val="24"/>
          <w:szCs w:val="24"/>
        </w:rPr>
        <w:t>, </w:t>
      </w:r>
      <w:r w:rsidRPr="00E837F8">
        <w:rPr>
          <w:i/>
          <w:iCs/>
          <w:sz w:val="24"/>
          <w:szCs w:val="24"/>
        </w:rPr>
        <w:t>Strategic management journal</w:t>
      </w:r>
      <w:r w:rsidRPr="00E837F8">
        <w:rPr>
          <w:sz w:val="24"/>
          <w:szCs w:val="24"/>
        </w:rPr>
        <w:t>, 28(13), pp. 1319–1350. Available at: https://doi.org/10.1002/smj.640</w:t>
      </w:r>
    </w:p>
    <w:p w14:paraId="6D7B4A77" w14:textId="77777777" w:rsidR="00D27ED2" w:rsidRPr="00E837F8" w:rsidRDefault="00D27ED2" w:rsidP="00B53CA5">
      <w:pPr>
        <w:spacing w:after="240" w:line="360" w:lineRule="auto"/>
        <w:jc w:val="both"/>
        <w:rPr>
          <w:sz w:val="24"/>
          <w:szCs w:val="24"/>
        </w:rPr>
      </w:pPr>
      <w:r w:rsidRPr="00E837F8">
        <w:rPr>
          <w:sz w:val="24"/>
          <w:szCs w:val="24"/>
        </w:rPr>
        <w:t>The University of North Carolina at Chapel Hill (2026) Literature Reviews. Available at: https://writingcenter.unc.edu/tips-and-tools/literature-reviews/ (Accessed: 16 March 2026).</w:t>
      </w:r>
    </w:p>
    <w:p w14:paraId="2DE4B902" w14:textId="77777777" w:rsidR="00D27ED2" w:rsidRPr="00E837F8" w:rsidRDefault="00D27ED2">
      <w:pPr>
        <w:spacing w:after="240" w:line="360" w:lineRule="auto"/>
        <w:jc w:val="both"/>
        <w:rPr>
          <w:color w:val="333333"/>
          <w:sz w:val="24"/>
          <w:szCs w:val="24"/>
        </w:rPr>
      </w:pPr>
      <w:r w:rsidRPr="00E837F8">
        <w:rPr>
          <w:color w:val="333333"/>
          <w:sz w:val="24"/>
          <w:szCs w:val="24"/>
        </w:rPr>
        <w:t>Tipu, S.A.A. (2022) ‘Organizational change for environmental, social, and financial sustainability: A systematic literature review’, </w:t>
      </w:r>
      <w:r w:rsidRPr="00E837F8">
        <w:rPr>
          <w:i/>
          <w:iCs/>
          <w:color w:val="333333"/>
          <w:sz w:val="24"/>
          <w:szCs w:val="24"/>
        </w:rPr>
        <w:t>Review of managerial science</w:t>
      </w:r>
      <w:r w:rsidRPr="00E837F8">
        <w:rPr>
          <w:color w:val="333333"/>
          <w:sz w:val="24"/>
          <w:szCs w:val="24"/>
        </w:rPr>
        <w:t>, 16(6), pp. 1697–1742. Available at: https://doi.org/10.1007/s11846-021-00494-5</w:t>
      </w:r>
    </w:p>
    <w:p w14:paraId="3A9A4C48" w14:textId="77777777" w:rsidR="00D27ED2" w:rsidRPr="00E837F8" w:rsidRDefault="00D27ED2">
      <w:pPr>
        <w:spacing w:before="240" w:after="240" w:line="360" w:lineRule="auto"/>
        <w:jc w:val="both"/>
        <w:rPr>
          <w:sz w:val="24"/>
          <w:szCs w:val="24"/>
        </w:rPr>
      </w:pPr>
      <w:r w:rsidRPr="00E837F8">
        <w:rPr>
          <w:sz w:val="24"/>
          <w:szCs w:val="24"/>
        </w:rPr>
        <w:t xml:space="preserve">Tirelli, M. and Spinesi, L. (2021) </w:t>
      </w:r>
      <w:r w:rsidRPr="00E837F8">
        <w:rPr>
          <w:color w:val="333333"/>
          <w:sz w:val="24"/>
          <w:szCs w:val="24"/>
        </w:rPr>
        <w:t>‘</w:t>
      </w:r>
      <w:r w:rsidRPr="00E837F8">
        <w:rPr>
          <w:sz w:val="24"/>
          <w:szCs w:val="24"/>
        </w:rPr>
        <w:t>R&amp;D financing and growth</w:t>
      </w:r>
      <w:r w:rsidRPr="00E837F8">
        <w:rPr>
          <w:color w:val="333333"/>
          <w:sz w:val="24"/>
          <w:szCs w:val="24"/>
        </w:rPr>
        <w:t>’</w:t>
      </w:r>
      <w:r w:rsidRPr="00E837F8">
        <w:rPr>
          <w:sz w:val="24"/>
          <w:szCs w:val="24"/>
        </w:rPr>
        <w:t>, </w:t>
      </w:r>
      <w:r w:rsidRPr="00E837F8">
        <w:rPr>
          <w:i/>
          <w:iCs/>
          <w:sz w:val="24"/>
          <w:szCs w:val="24"/>
        </w:rPr>
        <w:t>Economics of innovation and new technology</w:t>
      </w:r>
      <w:r w:rsidRPr="00E837F8">
        <w:rPr>
          <w:sz w:val="24"/>
          <w:szCs w:val="24"/>
        </w:rPr>
        <w:t>, 30(1), pp. 24–47. Available at: https://doi.org/10.1080/10438599.2019.1666505</w:t>
      </w:r>
    </w:p>
    <w:p w14:paraId="4C6D35BB"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Trinh, H.T., Kakinaka, M., Kim, D. and Jung, T.Y. (2017) ‘Capital Structure and Investment Financing of Small and Medium-Sized Enterprises in Vietnam’, </w:t>
      </w:r>
      <w:r w:rsidRPr="00E837F8">
        <w:rPr>
          <w:i/>
          <w:iCs/>
          <w:color w:val="333333"/>
          <w:sz w:val="24"/>
          <w:szCs w:val="24"/>
        </w:rPr>
        <w:t>Global economic review</w:t>
      </w:r>
      <w:r w:rsidRPr="00E837F8">
        <w:rPr>
          <w:color w:val="333333"/>
          <w:sz w:val="24"/>
          <w:szCs w:val="24"/>
        </w:rPr>
        <w:t>, 46(3), pp. 325–349. Available at: https://doi.org/10.1080/1226508X.2017.1340184</w:t>
      </w:r>
    </w:p>
    <w:p w14:paraId="14B31D07" w14:textId="77777777" w:rsidR="00D27ED2" w:rsidRPr="00E837F8" w:rsidRDefault="00D27ED2">
      <w:pPr>
        <w:spacing w:after="240" w:line="360" w:lineRule="auto"/>
        <w:jc w:val="both"/>
        <w:rPr>
          <w:color w:val="333333"/>
          <w:sz w:val="24"/>
          <w:szCs w:val="24"/>
        </w:rPr>
      </w:pPr>
      <w:r w:rsidRPr="00E837F8">
        <w:rPr>
          <w:color w:val="333333"/>
          <w:sz w:val="24"/>
          <w:szCs w:val="24"/>
        </w:rPr>
        <w:t>Tut, D. (2024) ‘External financing, corporate governance and the value of cash holdings’, </w:t>
      </w:r>
      <w:r w:rsidRPr="00E837F8">
        <w:rPr>
          <w:i/>
          <w:iCs/>
          <w:color w:val="333333"/>
          <w:sz w:val="24"/>
          <w:szCs w:val="24"/>
        </w:rPr>
        <w:t>International review of economics &amp; finance</w:t>
      </w:r>
      <w:r w:rsidRPr="00E837F8">
        <w:rPr>
          <w:color w:val="333333"/>
          <w:sz w:val="24"/>
          <w:szCs w:val="24"/>
        </w:rPr>
        <w:t>, 91, pp. 156–179. Available at: https://doi.org/10.1016/j.iref.2024.01.008</w:t>
      </w:r>
    </w:p>
    <w:p w14:paraId="366D6412" w14:textId="77777777" w:rsidR="00D27ED2" w:rsidRPr="00E837F8" w:rsidRDefault="00D27ED2">
      <w:pPr>
        <w:spacing w:after="240" w:line="360" w:lineRule="auto"/>
        <w:jc w:val="both"/>
        <w:rPr>
          <w:color w:val="333333"/>
          <w:sz w:val="24"/>
          <w:szCs w:val="24"/>
        </w:rPr>
      </w:pPr>
      <w:r w:rsidRPr="00E837F8">
        <w:rPr>
          <w:color w:val="333333"/>
          <w:sz w:val="24"/>
          <w:szCs w:val="24"/>
        </w:rPr>
        <w:t>Twum, A.K., ZhongMing, T., Agyemang, A.O., Ayamba, E.C. and Chibsah, R. (2021) ‘The impact of internal and external factors of credit risk on businesses: An empirical study of Chinese commercial banks’, </w:t>
      </w:r>
      <w:r w:rsidRPr="00E837F8">
        <w:rPr>
          <w:i/>
          <w:iCs/>
          <w:color w:val="333333"/>
          <w:sz w:val="24"/>
          <w:szCs w:val="24"/>
        </w:rPr>
        <w:t>The Journal of corporate accounting &amp; finance</w:t>
      </w:r>
      <w:r w:rsidRPr="00E837F8">
        <w:rPr>
          <w:color w:val="333333"/>
          <w:sz w:val="24"/>
          <w:szCs w:val="24"/>
        </w:rPr>
        <w:t>, 32(1), pp. 115–128. Available at: https://doi.org/10.1002/jcaf.22482</w:t>
      </w:r>
    </w:p>
    <w:p w14:paraId="1DA4C7CE" w14:textId="77777777" w:rsidR="00D27ED2" w:rsidRPr="00E837F8" w:rsidRDefault="00D27ED2">
      <w:pPr>
        <w:spacing w:after="240" w:line="360" w:lineRule="auto"/>
        <w:jc w:val="both"/>
        <w:rPr>
          <w:color w:val="333333"/>
          <w:sz w:val="24"/>
          <w:szCs w:val="24"/>
        </w:rPr>
      </w:pPr>
      <w:r w:rsidRPr="00E837F8">
        <w:rPr>
          <w:color w:val="333333"/>
          <w:sz w:val="24"/>
          <w:szCs w:val="24"/>
        </w:rPr>
        <w:t>Uhde, D.A., Klarner, P. and Tuschke, A. (2017) ‘Board monitoring of the chief financial officer: A review and research agenda’, </w:t>
      </w:r>
      <w:r w:rsidRPr="00E837F8">
        <w:rPr>
          <w:i/>
          <w:iCs/>
          <w:color w:val="333333"/>
          <w:sz w:val="24"/>
          <w:szCs w:val="24"/>
        </w:rPr>
        <w:t>Corporate governance : an international review</w:t>
      </w:r>
      <w:r w:rsidRPr="00E837F8">
        <w:rPr>
          <w:color w:val="333333"/>
          <w:sz w:val="24"/>
          <w:szCs w:val="24"/>
        </w:rPr>
        <w:t>, 25(2), pp. 116–133. Available at: https://doi.org/10.1111/corg.12188</w:t>
      </w:r>
    </w:p>
    <w:p w14:paraId="5591E554" w14:textId="77777777" w:rsidR="00D27ED2" w:rsidRPr="00E837F8" w:rsidRDefault="00D27ED2">
      <w:pPr>
        <w:spacing w:after="240" w:line="360" w:lineRule="auto"/>
        <w:jc w:val="both"/>
        <w:rPr>
          <w:color w:val="333333"/>
          <w:sz w:val="24"/>
          <w:szCs w:val="24"/>
        </w:rPr>
      </w:pPr>
      <w:r w:rsidRPr="00E837F8">
        <w:rPr>
          <w:color w:val="333333"/>
          <w:sz w:val="24"/>
          <w:szCs w:val="24"/>
        </w:rPr>
        <w:t>VHuikku, J., Karjalainen, J. and Seppälä, T. (2018) ‘The dynamism of pre-decision controls in the appraisal of strategic investments’, </w:t>
      </w:r>
      <w:r w:rsidRPr="00E837F8">
        <w:rPr>
          <w:i/>
          <w:iCs/>
          <w:color w:val="333333"/>
          <w:sz w:val="24"/>
          <w:szCs w:val="24"/>
        </w:rPr>
        <w:t>The British accounting review</w:t>
      </w:r>
      <w:r w:rsidRPr="00E837F8">
        <w:rPr>
          <w:color w:val="333333"/>
          <w:sz w:val="24"/>
          <w:szCs w:val="24"/>
        </w:rPr>
        <w:t>, 50(5), pp. 516–538. Available at: https://doi.org/10.1016/j.bar.2018.04.002</w:t>
      </w:r>
    </w:p>
    <w:p w14:paraId="5917A9E5" w14:textId="77777777" w:rsidR="00D27ED2" w:rsidRPr="00E837F8" w:rsidRDefault="00D27ED2">
      <w:pPr>
        <w:spacing w:before="240" w:after="240" w:line="360" w:lineRule="auto"/>
        <w:jc w:val="both"/>
        <w:rPr>
          <w:sz w:val="24"/>
          <w:szCs w:val="24"/>
        </w:rPr>
      </w:pPr>
      <w:r w:rsidRPr="00E837F8">
        <w:rPr>
          <w:sz w:val="24"/>
          <w:szCs w:val="24"/>
        </w:rPr>
        <w:t xml:space="preserve">Watson, R. and Wilson, N. (2002) </w:t>
      </w:r>
      <w:r w:rsidRPr="00E837F8">
        <w:rPr>
          <w:color w:val="333333"/>
          <w:sz w:val="24"/>
          <w:szCs w:val="24"/>
        </w:rPr>
        <w:t>‘</w:t>
      </w:r>
      <w:r w:rsidRPr="00E837F8">
        <w:rPr>
          <w:sz w:val="24"/>
          <w:szCs w:val="24"/>
        </w:rPr>
        <w:t>Small and Medium Size Enterprise Financing: A Note on Some of the Empirical Implications of a Pecking Order</w:t>
      </w:r>
      <w:r w:rsidRPr="00E837F8">
        <w:rPr>
          <w:color w:val="333333"/>
          <w:sz w:val="24"/>
          <w:szCs w:val="24"/>
        </w:rPr>
        <w:t>’</w:t>
      </w:r>
      <w:r w:rsidRPr="00E837F8">
        <w:rPr>
          <w:sz w:val="24"/>
          <w:szCs w:val="24"/>
        </w:rPr>
        <w:t>, </w:t>
      </w:r>
      <w:r w:rsidRPr="00E837F8">
        <w:rPr>
          <w:i/>
          <w:iCs/>
          <w:sz w:val="24"/>
          <w:szCs w:val="24"/>
        </w:rPr>
        <w:t>Journal of business finance &amp; accounting</w:t>
      </w:r>
      <w:r w:rsidRPr="00E837F8">
        <w:rPr>
          <w:sz w:val="24"/>
          <w:szCs w:val="24"/>
        </w:rPr>
        <w:t>, 29(3–4), pp. 557–578. Available at: https://doi.org/10.1111/1468-5957.00443</w:t>
      </w:r>
    </w:p>
    <w:p w14:paraId="7BDDA2FC" w14:textId="77777777" w:rsidR="00D27ED2" w:rsidRPr="00E837F8" w:rsidRDefault="00D27ED2" w:rsidP="00B53CA5">
      <w:pPr>
        <w:spacing w:after="240" w:line="360" w:lineRule="auto"/>
        <w:jc w:val="both"/>
        <w:rPr>
          <w:sz w:val="24"/>
          <w:szCs w:val="24"/>
        </w:rPr>
      </w:pPr>
      <w:r w:rsidRPr="00E837F8">
        <w:rPr>
          <w:sz w:val="24"/>
          <w:szCs w:val="24"/>
        </w:rPr>
        <w:t>Webster, J. and Watson, R.T. (2002) ‘Analyzing the past to prepare for the future: Writing a literature review’, </w:t>
      </w:r>
      <w:r w:rsidRPr="00E837F8">
        <w:rPr>
          <w:i/>
          <w:iCs/>
          <w:sz w:val="24"/>
          <w:szCs w:val="24"/>
        </w:rPr>
        <w:t>MIS quarterly</w:t>
      </w:r>
      <w:r w:rsidRPr="00E837F8">
        <w:rPr>
          <w:sz w:val="24"/>
          <w:szCs w:val="24"/>
        </w:rPr>
        <w:t>, 26(2), pp. 13–23. Available at: https://doi.org/10.2307/4132319</w:t>
      </w:r>
    </w:p>
    <w:p w14:paraId="00C293DD" w14:textId="77777777" w:rsidR="00D27ED2" w:rsidRPr="00E837F8" w:rsidRDefault="00D27ED2" w:rsidP="00B53CA5">
      <w:pPr>
        <w:spacing w:after="240" w:line="360" w:lineRule="auto"/>
        <w:jc w:val="both"/>
        <w:rPr>
          <w:sz w:val="24"/>
          <w:szCs w:val="24"/>
        </w:rPr>
      </w:pPr>
      <w:r w:rsidRPr="00E837F8">
        <w:rPr>
          <w:sz w:val="24"/>
          <w:szCs w:val="24"/>
        </w:rPr>
        <w:t>Wee, B.V. and Banister, D. (2016) ‘How to Write a Literature Review Paper?’, </w:t>
      </w:r>
      <w:r w:rsidRPr="00E837F8">
        <w:rPr>
          <w:i/>
          <w:iCs/>
          <w:sz w:val="24"/>
          <w:szCs w:val="24"/>
        </w:rPr>
        <w:t>Transport reviews</w:t>
      </w:r>
      <w:r w:rsidRPr="00E837F8">
        <w:rPr>
          <w:sz w:val="24"/>
          <w:szCs w:val="24"/>
        </w:rPr>
        <w:t>, 36(2), pp. 278–288. Available at: https://doi.org/10.1080/01441647.2015.1065456</w:t>
      </w:r>
    </w:p>
    <w:p w14:paraId="43AF3191" w14:textId="77777777" w:rsidR="00D27ED2" w:rsidRPr="00E837F8" w:rsidRDefault="00D27ED2" w:rsidP="00B53CA5">
      <w:pPr>
        <w:spacing w:after="240" w:line="360" w:lineRule="auto"/>
        <w:jc w:val="both"/>
        <w:rPr>
          <w:sz w:val="24"/>
          <w:szCs w:val="24"/>
        </w:rPr>
      </w:pPr>
      <w:r w:rsidRPr="00E837F8">
        <w:rPr>
          <w:sz w:val="24"/>
          <w:szCs w:val="24"/>
        </w:rPr>
        <w:t>Welch, S., Lahr, E. and Webb, J. (2022). Researching and conceptualizing an effective literature review. </w:t>
      </w:r>
      <w:r w:rsidRPr="00E837F8">
        <w:rPr>
          <w:i/>
          <w:iCs/>
          <w:sz w:val="24"/>
          <w:szCs w:val="24"/>
        </w:rPr>
        <w:t>Methodological innovations in research and academic writing</w:t>
      </w:r>
      <w:r w:rsidRPr="00E837F8">
        <w:rPr>
          <w:sz w:val="24"/>
          <w:szCs w:val="24"/>
        </w:rPr>
        <w:t>, pp.222-239.</w:t>
      </w:r>
    </w:p>
    <w:p w14:paraId="330D6EEE" w14:textId="77777777" w:rsidR="00D27ED2" w:rsidRPr="00E837F8" w:rsidRDefault="00D27ED2" w:rsidP="00B53CA5">
      <w:pPr>
        <w:spacing w:after="240" w:line="360" w:lineRule="auto"/>
        <w:jc w:val="both"/>
        <w:rPr>
          <w:sz w:val="24"/>
          <w:szCs w:val="24"/>
        </w:rPr>
      </w:pPr>
      <w:r w:rsidRPr="00E837F8">
        <w:rPr>
          <w:sz w:val="24"/>
          <w:szCs w:val="24"/>
        </w:rPr>
        <w:lastRenderedPageBreak/>
        <w:t>Williams Jr, R.I., Clark, L.A., Clark, W.R. and Raffo, D.M</w:t>
      </w:r>
      <w:r w:rsidRPr="00E837F8">
        <w:rPr>
          <w:i/>
          <w:iCs/>
          <w:sz w:val="24"/>
          <w:szCs w:val="24"/>
        </w:rPr>
        <w:t>.</w:t>
      </w:r>
      <w:r w:rsidRPr="00E837F8">
        <w:rPr>
          <w:sz w:val="24"/>
          <w:szCs w:val="24"/>
        </w:rPr>
        <w:t> (2021) ‘Re-examining systematic literature review in management research: Additional benefits and execution protocols’, </w:t>
      </w:r>
      <w:r w:rsidRPr="00E837F8">
        <w:rPr>
          <w:i/>
          <w:iCs/>
          <w:sz w:val="24"/>
          <w:szCs w:val="24"/>
        </w:rPr>
        <w:t>European management journal</w:t>
      </w:r>
      <w:r w:rsidRPr="00E837F8">
        <w:rPr>
          <w:sz w:val="24"/>
          <w:szCs w:val="24"/>
        </w:rPr>
        <w:t>. Oxford: Elsevier Ltd, pp. 521–533. Available at: https://doi.org/10.1016/j.emj.2020.09.007.</w:t>
      </w:r>
    </w:p>
    <w:p w14:paraId="25656AF1" w14:textId="77777777" w:rsidR="00D27ED2" w:rsidRPr="00E837F8" w:rsidRDefault="00D27ED2" w:rsidP="00B53CA5">
      <w:pPr>
        <w:spacing w:after="240" w:line="360" w:lineRule="auto"/>
        <w:jc w:val="both"/>
        <w:rPr>
          <w:sz w:val="24"/>
          <w:szCs w:val="24"/>
        </w:rPr>
      </w:pPr>
      <w:r w:rsidRPr="00E837F8">
        <w:rPr>
          <w:sz w:val="24"/>
          <w:szCs w:val="24"/>
        </w:rPr>
        <w:t>Wisker, G. (2015) ‘Developing doctoral authors: engaging with theoretical perspectives through the literature review’, </w:t>
      </w:r>
      <w:r w:rsidRPr="00E837F8">
        <w:rPr>
          <w:i/>
          <w:iCs/>
          <w:sz w:val="24"/>
          <w:szCs w:val="24"/>
        </w:rPr>
        <w:t>Innovations in education and teaching international</w:t>
      </w:r>
      <w:r w:rsidRPr="00E837F8">
        <w:rPr>
          <w:sz w:val="24"/>
          <w:szCs w:val="24"/>
        </w:rPr>
        <w:t>, 52(1), pp. 64–74. Available at: https://doi.org/10.1080/14703297.2014.981841</w:t>
      </w:r>
    </w:p>
    <w:p w14:paraId="3EC46828" w14:textId="77777777" w:rsidR="00D27ED2" w:rsidRPr="00E837F8" w:rsidRDefault="00D27ED2" w:rsidP="00B53CA5">
      <w:pPr>
        <w:spacing w:after="240" w:line="360" w:lineRule="auto"/>
        <w:jc w:val="both"/>
        <w:rPr>
          <w:sz w:val="24"/>
          <w:szCs w:val="24"/>
        </w:rPr>
      </w:pPr>
      <w:r w:rsidRPr="00E837F8">
        <w:rPr>
          <w:sz w:val="24"/>
          <w:szCs w:val="24"/>
        </w:rPr>
        <w:t>Wolgemuth, J.R., Hicks, T. and Agosto, V. (2017) ‘Unpacking Assumptions in Research Synthesis: A Critical Construct Synthesis Approach’, </w:t>
      </w:r>
      <w:r w:rsidRPr="00E837F8">
        <w:rPr>
          <w:i/>
          <w:iCs/>
          <w:sz w:val="24"/>
          <w:szCs w:val="24"/>
        </w:rPr>
        <w:t>Educational researcher</w:t>
      </w:r>
      <w:r w:rsidRPr="00E837F8">
        <w:rPr>
          <w:sz w:val="24"/>
          <w:szCs w:val="24"/>
        </w:rPr>
        <w:t>, 46(3), pp. 131–139. Available at: https://doi.org/10.3102/0013189X17703946</w:t>
      </w:r>
    </w:p>
    <w:p w14:paraId="0FDCA0C0" w14:textId="77777777" w:rsidR="00D27ED2" w:rsidRPr="00E837F8" w:rsidRDefault="00D27ED2">
      <w:pPr>
        <w:spacing w:after="240" w:line="360" w:lineRule="auto"/>
        <w:jc w:val="both"/>
        <w:rPr>
          <w:color w:val="333333"/>
          <w:sz w:val="24"/>
          <w:szCs w:val="24"/>
        </w:rPr>
      </w:pPr>
      <w:r w:rsidRPr="00E837F8">
        <w:rPr>
          <w:color w:val="333333"/>
          <w:sz w:val="24"/>
          <w:szCs w:val="24"/>
        </w:rPr>
        <w:t>Xie, S. and Bashir, M.F. (2024) ‘Institutional differences, state ownership and financing decisions: Evidence from Chinese cross‐border mergers and acquisitions’, </w:t>
      </w:r>
      <w:r w:rsidRPr="00E837F8">
        <w:rPr>
          <w:i/>
          <w:iCs/>
          <w:color w:val="333333"/>
          <w:sz w:val="24"/>
          <w:szCs w:val="24"/>
        </w:rPr>
        <w:t> International finance (Oxford, England)</w:t>
      </w:r>
      <w:r w:rsidRPr="00E837F8">
        <w:rPr>
          <w:color w:val="333333"/>
          <w:sz w:val="24"/>
          <w:szCs w:val="24"/>
        </w:rPr>
        <w:t>, 27(3), pp. 309–338. Available at: https://doi.org/10.1111/infi.12455</w:t>
      </w:r>
    </w:p>
    <w:p w14:paraId="1E0F8D8A" w14:textId="77777777" w:rsidR="00D27ED2" w:rsidRPr="00E837F8" w:rsidRDefault="00D27ED2">
      <w:pPr>
        <w:spacing w:after="240" w:line="360" w:lineRule="auto"/>
        <w:jc w:val="both"/>
        <w:rPr>
          <w:color w:val="333333"/>
          <w:sz w:val="24"/>
          <w:szCs w:val="24"/>
        </w:rPr>
      </w:pPr>
      <w:r w:rsidRPr="00E837F8">
        <w:rPr>
          <w:color w:val="333333"/>
          <w:sz w:val="24"/>
          <w:szCs w:val="24"/>
        </w:rPr>
        <w:t>Yakubu, I.N. and Oumarou, S. (2023) ‘Boardroom dynamics: The power of board composition and gender diversity in shaping capital structure’, </w:t>
      </w:r>
      <w:r w:rsidRPr="00E837F8">
        <w:rPr>
          <w:i/>
          <w:iCs/>
          <w:color w:val="333333"/>
          <w:sz w:val="24"/>
          <w:szCs w:val="24"/>
        </w:rPr>
        <w:t>Cogent business &amp; management</w:t>
      </w:r>
      <w:r w:rsidRPr="00E837F8">
        <w:rPr>
          <w:color w:val="333333"/>
          <w:sz w:val="24"/>
          <w:szCs w:val="24"/>
        </w:rPr>
        <w:t>, 10(2), pp. 1–19. Available at: https://doi.org/10.1080/23311975.2023.2236836</w:t>
      </w:r>
    </w:p>
    <w:p w14:paraId="55B5ABEA" w14:textId="77777777" w:rsidR="00D27ED2" w:rsidRPr="00E837F8" w:rsidRDefault="00D27ED2">
      <w:pPr>
        <w:spacing w:after="240" w:line="360" w:lineRule="auto"/>
        <w:jc w:val="both"/>
        <w:rPr>
          <w:color w:val="333333"/>
          <w:sz w:val="24"/>
          <w:szCs w:val="24"/>
        </w:rPr>
      </w:pPr>
      <w:r w:rsidRPr="00E837F8">
        <w:rPr>
          <w:color w:val="333333"/>
          <w:sz w:val="24"/>
          <w:szCs w:val="24"/>
        </w:rPr>
        <w:t>Zhang, H., Wu, J., Mei, Y. and Hong, X. (2024) ‘Exploring the relationship between digital transformation and green innovation: The mediating role of financing modes’, </w:t>
      </w:r>
      <w:r w:rsidRPr="00E837F8">
        <w:rPr>
          <w:i/>
          <w:iCs/>
          <w:color w:val="333333"/>
          <w:sz w:val="24"/>
          <w:szCs w:val="24"/>
        </w:rPr>
        <w:t>Journal of environmental management</w:t>
      </w:r>
      <w:r w:rsidRPr="00E837F8">
        <w:rPr>
          <w:color w:val="333333"/>
          <w:sz w:val="24"/>
          <w:szCs w:val="24"/>
        </w:rPr>
        <w:t>, 356, pp. 1–18. Available at: https://doi.org/10.1016/j.jenvman.2024.120558</w:t>
      </w:r>
    </w:p>
    <w:p w14:paraId="35912678" w14:textId="77777777" w:rsidR="00D27ED2" w:rsidRPr="00E837F8" w:rsidRDefault="00D27ED2">
      <w:pPr>
        <w:spacing w:after="240" w:line="360" w:lineRule="auto"/>
        <w:jc w:val="both"/>
        <w:rPr>
          <w:color w:val="333333"/>
          <w:sz w:val="24"/>
          <w:szCs w:val="24"/>
        </w:rPr>
      </w:pPr>
      <w:r w:rsidRPr="00E837F8">
        <w:rPr>
          <w:color w:val="333333"/>
          <w:sz w:val="24"/>
          <w:szCs w:val="24"/>
        </w:rPr>
        <w:t>Zhang, Y. (2025) ‘Incentive Contract, Equity Pooling, and Optimal Securitization Design’, </w:t>
      </w:r>
      <w:r w:rsidRPr="00E837F8">
        <w:rPr>
          <w:i/>
          <w:iCs/>
          <w:color w:val="333333"/>
          <w:sz w:val="24"/>
          <w:szCs w:val="24"/>
        </w:rPr>
        <w:t>Managerial and decision economics</w:t>
      </w:r>
      <w:r w:rsidRPr="00E837F8">
        <w:rPr>
          <w:color w:val="333333"/>
          <w:sz w:val="24"/>
          <w:szCs w:val="24"/>
        </w:rPr>
        <w:t>, 46(3), pp. 1558–1570. Available at: https://doi.org/10.1002/mde.4455</w:t>
      </w:r>
    </w:p>
    <w:p w14:paraId="1C7DAA1B" w14:textId="77777777" w:rsidR="00D27ED2" w:rsidRPr="00E837F8" w:rsidRDefault="00D27ED2">
      <w:pPr>
        <w:spacing w:before="240" w:after="240" w:line="360" w:lineRule="auto"/>
        <w:jc w:val="both"/>
        <w:rPr>
          <w:sz w:val="24"/>
          <w:szCs w:val="24"/>
        </w:rPr>
      </w:pPr>
      <w:r w:rsidRPr="00E837F8">
        <w:rPr>
          <w:sz w:val="24"/>
          <w:szCs w:val="24"/>
        </w:rPr>
        <w:t xml:space="preserve">Zhao, M. and Zhang, B. (2023) </w:t>
      </w:r>
      <w:r w:rsidRPr="00E837F8">
        <w:rPr>
          <w:color w:val="333333"/>
          <w:sz w:val="24"/>
          <w:szCs w:val="24"/>
        </w:rPr>
        <w:t>‘</w:t>
      </w:r>
      <w:r w:rsidRPr="00E837F8">
        <w:rPr>
          <w:sz w:val="24"/>
          <w:szCs w:val="24"/>
        </w:rPr>
        <w:t>Credit corruption, financial constraint and corporate innovation: Evidence on China</w:t>
      </w:r>
      <w:r w:rsidRPr="00E837F8">
        <w:rPr>
          <w:color w:val="333333"/>
          <w:sz w:val="24"/>
          <w:szCs w:val="24"/>
        </w:rPr>
        <w:t>’</w:t>
      </w:r>
      <w:r w:rsidRPr="00E837F8">
        <w:rPr>
          <w:sz w:val="24"/>
          <w:szCs w:val="24"/>
        </w:rPr>
        <w:t>, </w:t>
      </w:r>
      <w:r w:rsidRPr="00E837F8">
        <w:rPr>
          <w:i/>
          <w:iCs/>
          <w:sz w:val="24"/>
          <w:szCs w:val="24"/>
        </w:rPr>
        <w:t>Finance research letters</w:t>
      </w:r>
      <w:r w:rsidRPr="00E837F8">
        <w:rPr>
          <w:sz w:val="24"/>
          <w:szCs w:val="24"/>
        </w:rPr>
        <w:t>, 53. Available at: https://doi.org/10.1016/j.frl.2023.103658</w:t>
      </w:r>
    </w:p>
    <w:p w14:paraId="1BF37F7D"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Zhao, Z., Wang, L., Wu, J. and Yang, R. (2023) ‘The threshold effect of financing channels on the R&amp;D investment: evidence from the manufacturing companies in China’, </w:t>
      </w:r>
      <w:r w:rsidRPr="00E837F8">
        <w:rPr>
          <w:i/>
          <w:iCs/>
          <w:color w:val="333333"/>
          <w:sz w:val="24"/>
          <w:szCs w:val="24"/>
        </w:rPr>
        <w:t>Technology analysis &amp; strategic management</w:t>
      </w:r>
      <w:r w:rsidRPr="00E837F8">
        <w:rPr>
          <w:color w:val="333333"/>
          <w:sz w:val="24"/>
          <w:szCs w:val="24"/>
        </w:rPr>
        <w:t>, 35(8), pp. 1024–1037. Available at: https://doi.org/10.1080/09537325.2021.199130</w:t>
      </w:r>
    </w:p>
    <w:p w14:paraId="676EA24B" w14:textId="77777777" w:rsidR="00D27ED2" w:rsidRPr="00E837F8" w:rsidRDefault="00D27ED2">
      <w:pPr>
        <w:spacing w:after="240" w:line="360" w:lineRule="auto"/>
        <w:jc w:val="both"/>
        <w:rPr>
          <w:color w:val="333333"/>
          <w:sz w:val="24"/>
          <w:szCs w:val="24"/>
        </w:rPr>
      </w:pPr>
      <w:r w:rsidRPr="00E837F8">
        <w:rPr>
          <w:color w:val="333333"/>
          <w:sz w:val="24"/>
          <w:szCs w:val="24"/>
        </w:rPr>
        <w:t>Zhou, M., Li, K. and Chen, Z. (2021) ‘Corporate governance quality and financial leverage: Evidence from China’, </w:t>
      </w:r>
      <w:r w:rsidRPr="00E837F8">
        <w:rPr>
          <w:i/>
          <w:iCs/>
          <w:color w:val="333333"/>
          <w:sz w:val="24"/>
          <w:szCs w:val="24"/>
        </w:rPr>
        <w:t>Nature</w:t>
      </w:r>
      <w:r w:rsidRPr="00E837F8">
        <w:rPr>
          <w:color w:val="333333"/>
          <w:sz w:val="24"/>
          <w:szCs w:val="24"/>
        </w:rPr>
        <w:t>, 73, pp. 1–13. Available at: https://doi.org/10.1016/j.irfa.2020.101652</w:t>
      </w:r>
    </w:p>
    <w:p w14:paraId="1A5506D1" w14:textId="77777777" w:rsidR="00D27ED2" w:rsidRPr="00E837F8" w:rsidRDefault="00D27ED2">
      <w:pPr>
        <w:spacing w:after="240" w:line="360" w:lineRule="auto"/>
        <w:jc w:val="both"/>
        <w:rPr>
          <w:color w:val="333333"/>
          <w:sz w:val="24"/>
          <w:szCs w:val="24"/>
        </w:rPr>
      </w:pPr>
      <w:r w:rsidRPr="00E837F8">
        <w:rPr>
          <w:color w:val="333333"/>
          <w:sz w:val="24"/>
          <w:szCs w:val="24"/>
        </w:rPr>
        <w:t>Zou, Z., Teng, X., Liu, X. and Wang, M. (2024) ‘Commercial Credit, Financial Constraints, and Firm’s R&amp;D Investment: Evidence from China’, </w:t>
      </w:r>
      <w:r w:rsidRPr="00E837F8">
        <w:rPr>
          <w:i/>
          <w:iCs/>
          <w:color w:val="333333"/>
          <w:sz w:val="24"/>
          <w:szCs w:val="24"/>
        </w:rPr>
        <w:t>Journal of the knowledge economy</w:t>
      </w:r>
      <w:r w:rsidRPr="00E837F8">
        <w:rPr>
          <w:color w:val="333333"/>
          <w:sz w:val="24"/>
          <w:szCs w:val="24"/>
        </w:rPr>
        <w:t>, 15(2), pp. 7257–7279. Available at: https://doi.org/10.1007/s13132-023-01416-4</w:t>
      </w:r>
    </w:p>
    <w:p w14:paraId="4AF34529" w14:textId="77777777" w:rsidR="00D27ED2" w:rsidRDefault="00D27ED2">
      <w:pPr>
        <w:spacing w:after="240" w:line="360" w:lineRule="auto"/>
        <w:jc w:val="both"/>
        <w:rPr>
          <w:color w:val="333333"/>
          <w:sz w:val="24"/>
          <w:szCs w:val="24"/>
        </w:rPr>
      </w:pPr>
      <w:r w:rsidRPr="00E837F8">
        <w:rPr>
          <w:color w:val="333333"/>
          <w:sz w:val="24"/>
          <w:szCs w:val="24"/>
        </w:rPr>
        <w:t>Zubair, S., Kabir, R. and Huang, X. (2020) ‘Does the financial crisis change the effect of financing on investment? Evidence from private SMEs’, </w:t>
      </w:r>
      <w:r w:rsidRPr="00E837F8">
        <w:rPr>
          <w:i/>
          <w:iCs/>
          <w:color w:val="333333"/>
          <w:sz w:val="24"/>
          <w:szCs w:val="24"/>
        </w:rPr>
        <w:t>Journal of business research</w:t>
      </w:r>
      <w:r w:rsidRPr="00E837F8">
        <w:rPr>
          <w:color w:val="333333"/>
          <w:sz w:val="24"/>
          <w:szCs w:val="24"/>
        </w:rPr>
        <w:t>, 110, pp. 456–463. Available at: https://doi.org/10.1016/j.jbusres.2020.01.063</w:t>
      </w:r>
    </w:p>
    <w:sectPr w:rsidR="00D27ED2">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03C53" w14:textId="77777777" w:rsidR="00E35F81" w:rsidRDefault="00E35F81">
      <w:r>
        <w:separator/>
      </w:r>
    </w:p>
  </w:endnote>
  <w:endnote w:type="continuationSeparator" w:id="0">
    <w:p w14:paraId="348FF0C9" w14:textId="77777777" w:rsidR="00E35F81" w:rsidRDefault="00E35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C3A0B6EC-4CBA-413F-AC93-C406AA8047EA}"/>
    <w:embedBold r:id="rId2" w:fontKey="{8AAB8E63-F7CB-410E-AFFC-CDCA1E52C963}"/>
    <w:embedItalic r:id="rId3" w:fontKey="{27C5BD8A-3137-4615-BF3E-0F4A12C723EA}"/>
  </w:font>
  <w:font w:name="Calibri Light">
    <w:panose1 w:val="020F0302020204030204"/>
    <w:charset w:val="00"/>
    <w:family w:val="swiss"/>
    <w:pitch w:val="variable"/>
    <w:sig w:usb0="E4002EFF" w:usb1="C200247B" w:usb2="00000009" w:usb3="00000000" w:csb0="000001FF" w:csb1="00000000"/>
    <w:embedRegular r:id="rId4" w:fontKey="{FD950EB3-01F1-49D1-9863-885F86CF7982}"/>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250326"/>
      <w:docPartObj>
        <w:docPartGallery w:val="Page Numbers (Bottom of Page)"/>
        <w:docPartUnique/>
      </w:docPartObj>
    </w:sdtPr>
    <w:sdtEndPr>
      <w:rPr>
        <w:noProof/>
      </w:rPr>
    </w:sdtEndPr>
    <w:sdtContent>
      <w:p w14:paraId="59BCE2FA" w14:textId="130C5B70" w:rsidR="00490B64" w:rsidRDefault="00490B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7BD037" w14:textId="77777777" w:rsidR="00567EF5" w:rsidRDefault="00567EF5">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BD038" w14:textId="4B0F8FB7" w:rsidR="00567EF5" w:rsidRDefault="006578A3">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C34288">
      <w:rPr>
        <w:noProof/>
        <w:color w:val="000000"/>
      </w:rPr>
      <w:t>1</w:t>
    </w:r>
    <w:r>
      <w:rPr>
        <w:color w:val="000000"/>
      </w:rPr>
      <w:fldChar w:fldCharType="end"/>
    </w:r>
  </w:p>
  <w:p w14:paraId="287BD039" w14:textId="77777777" w:rsidR="00567EF5" w:rsidRDefault="00567EF5">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F9CFF" w14:textId="77777777" w:rsidR="00E35F81" w:rsidRDefault="00E35F81">
      <w:r>
        <w:separator/>
      </w:r>
    </w:p>
  </w:footnote>
  <w:footnote w:type="continuationSeparator" w:id="0">
    <w:p w14:paraId="51CC7786" w14:textId="77777777" w:rsidR="00E35F81" w:rsidRDefault="00E35F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E6EF2"/>
    <w:multiLevelType w:val="hybridMultilevel"/>
    <w:tmpl w:val="24927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8031FC"/>
    <w:multiLevelType w:val="hybridMultilevel"/>
    <w:tmpl w:val="BC8E1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0B4D1E"/>
    <w:multiLevelType w:val="hybridMultilevel"/>
    <w:tmpl w:val="8AD8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7626A"/>
    <w:multiLevelType w:val="hybridMultilevel"/>
    <w:tmpl w:val="A7BC7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0571699">
    <w:abstractNumId w:val="0"/>
  </w:num>
  <w:num w:numId="2" w16cid:durableId="663582026">
    <w:abstractNumId w:val="3"/>
  </w:num>
  <w:num w:numId="3" w16cid:durableId="1080713377">
    <w:abstractNumId w:val="1"/>
  </w:num>
  <w:num w:numId="4" w16cid:durableId="1183277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EF5"/>
    <w:rsid w:val="00003F97"/>
    <w:rsid w:val="00116984"/>
    <w:rsid w:val="00156B83"/>
    <w:rsid w:val="002811F7"/>
    <w:rsid w:val="00294CA4"/>
    <w:rsid w:val="002A6051"/>
    <w:rsid w:val="00397D9D"/>
    <w:rsid w:val="00410BE7"/>
    <w:rsid w:val="004475E5"/>
    <w:rsid w:val="00490B64"/>
    <w:rsid w:val="004959B9"/>
    <w:rsid w:val="00545728"/>
    <w:rsid w:val="00567EF5"/>
    <w:rsid w:val="00605DAD"/>
    <w:rsid w:val="0064567A"/>
    <w:rsid w:val="006578A3"/>
    <w:rsid w:val="00697CEC"/>
    <w:rsid w:val="006D0A1C"/>
    <w:rsid w:val="006D7D34"/>
    <w:rsid w:val="00741209"/>
    <w:rsid w:val="007B2679"/>
    <w:rsid w:val="0080502F"/>
    <w:rsid w:val="008453C8"/>
    <w:rsid w:val="008B7DD8"/>
    <w:rsid w:val="00991604"/>
    <w:rsid w:val="009E2BE0"/>
    <w:rsid w:val="009E376C"/>
    <w:rsid w:val="00A01ACA"/>
    <w:rsid w:val="00A937A4"/>
    <w:rsid w:val="00B37CE2"/>
    <w:rsid w:val="00B53CA5"/>
    <w:rsid w:val="00BF2833"/>
    <w:rsid w:val="00C12137"/>
    <w:rsid w:val="00C34288"/>
    <w:rsid w:val="00CA6026"/>
    <w:rsid w:val="00CB77DC"/>
    <w:rsid w:val="00D27ED2"/>
    <w:rsid w:val="00D30F63"/>
    <w:rsid w:val="00D74FE1"/>
    <w:rsid w:val="00D90BB0"/>
    <w:rsid w:val="00DD5D36"/>
    <w:rsid w:val="00DF0DEF"/>
    <w:rsid w:val="00E266F1"/>
    <w:rsid w:val="00E35F81"/>
    <w:rsid w:val="00E837F8"/>
    <w:rsid w:val="00F21EA7"/>
    <w:rsid w:val="00F64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BCC39"/>
  <w15:docId w15:val="{6134D583-4A75-4CB2-82DD-54EC4A688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line="278" w:lineRule="auto"/>
      <w:outlineLvl w:val="0"/>
    </w:pPr>
    <w:rPr>
      <w:rFonts w:ascii="Calibri" w:eastAsia="Calibri" w:hAnsi="Calibri" w:cs="Calibri"/>
      <w:color w:val="2F5496"/>
      <w:sz w:val="40"/>
      <w:szCs w:val="40"/>
    </w:rPr>
  </w:style>
  <w:style w:type="paragraph" w:styleId="Heading2">
    <w:name w:val="heading 2"/>
    <w:basedOn w:val="Normal"/>
    <w:next w:val="Normal"/>
    <w:link w:val="Heading2Char"/>
    <w:uiPriority w:val="9"/>
    <w:unhideWhenUsed/>
    <w:qFormat/>
    <w:pPr>
      <w:keepNext/>
      <w:keepLines/>
      <w:spacing w:before="160" w:after="80" w:line="278" w:lineRule="auto"/>
      <w:outlineLvl w:val="1"/>
    </w:pPr>
    <w:rPr>
      <w:rFonts w:ascii="Calibri" w:eastAsia="Calibri" w:hAnsi="Calibri" w:cs="Calibri"/>
      <w:color w:val="2F5496"/>
      <w:sz w:val="32"/>
      <w:szCs w:val="32"/>
    </w:rPr>
  </w:style>
  <w:style w:type="paragraph" w:styleId="Heading3">
    <w:name w:val="heading 3"/>
    <w:basedOn w:val="Normal"/>
    <w:next w:val="Normal"/>
    <w:link w:val="Heading3Char"/>
    <w:uiPriority w:val="9"/>
    <w:unhideWhenUsed/>
    <w:qFormat/>
    <w:pPr>
      <w:keepNext/>
      <w:keepLines/>
      <w:spacing w:before="160" w:after="80" w:line="278" w:lineRule="auto"/>
      <w:outlineLvl w:val="2"/>
    </w:pPr>
    <w:rPr>
      <w:rFonts w:ascii="Calibri" w:eastAsia="Calibri" w:hAnsi="Calibri" w:cs="Calibri"/>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line="278" w:lineRule="auto"/>
      <w:outlineLvl w:val="3"/>
    </w:pPr>
    <w:rPr>
      <w:rFonts w:ascii="Calibri" w:eastAsia="Calibri" w:hAnsi="Calibri" w:cs="Calibri"/>
      <w:i/>
      <w:iCs/>
      <w:color w:val="2F5496"/>
      <w:sz w:val="24"/>
      <w:szCs w:val="24"/>
    </w:rPr>
  </w:style>
  <w:style w:type="paragraph" w:styleId="Heading5">
    <w:name w:val="heading 5"/>
    <w:basedOn w:val="Normal"/>
    <w:next w:val="Normal"/>
    <w:link w:val="Heading5Char"/>
    <w:uiPriority w:val="9"/>
    <w:semiHidden/>
    <w:unhideWhenUsed/>
    <w:qFormat/>
    <w:pPr>
      <w:keepNext/>
      <w:keepLines/>
      <w:spacing w:before="80" w:after="40" w:line="278" w:lineRule="auto"/>
      <w:outlineLvl w:val="4"/>
    </w:pPr>
    <w:rPr>
      <w:rFonts w:ascii="Calibri" w:eastAsia="Calibri" w:hAnsi="Calibri" w:cs="Calibri"/>
      <w:color w:val="2F5496"/>
      <w:sz w:val="24"/>
      <w:szCs w:val="24"/>
    </w:rPr>
  </w:style>
  <w:style w:type="paragraph" w:styleId="Heading6">
    <w:name w:val="heading 6"/>
    <w:basedOn w:val="Normal"/>
    <w:next w:val="Normal"/>
    <w:link w:val="Heading6Char"/>
    <w:uiPriority w:val="9"/>
    <w:semiHidden/>
    <w:unhideWhenUsed/>
    <w:qFormat/>
    <w:pPr>
      <w:keepNext/>
      <w:keepLines/>
      <w:spacing w:before="40" w:line="278" w:lineRule="auto"/>
      <w:outlineLvl w:val="5"/>
    </w:pPr>
    <w:rPr>
      <w:rFonts w:ascii="Calibri" w:eastAsia="Calibri" w:hAnsi="Calibri" w:cs="Calibri"/>
      <w:i/>
      <w:iCs/>
      <w:color w:val="595959"/>
      <w:sz w:val="24"/>
      <w:szCs w:val="24"/>
    </w:rPr>
  </w:style>
  <w:style w:type="paragraph" w:styleId="Heading7">
    <w:name w:val="heading 7"/>
    <w:basedOn w:val="Normal"/>
    <w:next w:val="Normal"/>
    <w:link w:val="Heading7Char"/>
    <w:uiPriority w:val="9"/>
    <w:semiHidden/>
    <w:unhideWhenUsed/>
    <w:qFormat/>
    <w:rsid w:val="004F5754"/>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rPr>
  </w:style>
  <w:style w:type="paragraph" w:styleId="Heading8">
    <w:name w:val="heading 8"/>
    <w:basedOn w:val="Normal"/>
    <w:next w:val="Normal"/>
    <w:link w:val="Heading8Char"/>
    <w:uiPriority w:val="9"/>
    <w:semiHidden/>
    <w:unhideWhenUsed/>
    <w:qFormat/>
    <w:rsid w:val="004F5754"/>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rPr>
  </w:style>
  <w:style w:type="paragraph" w:styleId="Heading9">
    <w:name w:val="heading 9"/>
    <w:basedOn w:val="Normal"/>
    <w:next w:val="Normal"/>
    <w:link w:val="Heading9Char"/>
    <w:uiPriority w:val="9"/>
    <w:semiHidden/>
    <w:unhideWhenUsed/>
    <w:qFormat/>
    <w:rsid w:val="004F5754"/>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Calibri" w:eastAsia="Calibri" w:hAnsi="Calibri" w:cs="Calibri"/>
      <w:sz w:val="56"/>
      <w:szCs w:val="56"/>
    </w:rPr>
  </w:style>
  <w:style w:type="character" w:customStyle="1" w:styleId="Heading1Char">
    <w:name w:val="Heading 1 Char"/>
    <w:basedOn w:val="DefaultParagraphFont"/>
    <w:link w:val="Heading1"/>
    <w:uiPriority w:val="9"/>
    <w:rsid w:val="004F57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7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57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7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7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54"/>
    <w:rPr>
      <w:rFonts w:eastAsiaTheme="majorEastAsia" w:cstheme="majorBidi"/>
      <w:color w:val="272727" w:themeColor="text1" w:themeTint="D8"/>
    </w:rPr>
  </w:style>
  <w:style w:type="character" w:customStyle="1" w:styleId="TitleChar">
    <w:name w:val="Title Char"/>
    <w:basedOn w:val="DefaultParagraphFont"/>
    <w:link w:val="Title"/>
    <w:uiPriority w:val="10"/>
    <w:rsid w:val="004F5754"/>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4F5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54"/>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rPr>
  </w:style>
  <w:style w:type="character" w:customStyle="1" w:styleId="QuoteChar">
    <w:name w:val="Quote Char"/>
    <w:basedOn w:val="DefaultParagraphFont"/>
    <w:link w:val="Quote"/>
    <w:uiPriority w:val="29"/>
    <w:rsid w:val="004F5754"/>
    <w:rPr>
      <w:i/>
      <w:iCs/>
      <w:color w:val="404040" w:themeColor="text1" w:themeTint="BF"/>
    </w:rPr>
  </w:style>
  <w:style w:type="paragraph" w:styleId="ListParagraph">
    <w:name w:val="List Paragraph"/>
    <w:basedOn w:val="Normal"/>
    <w:uiPriority w:val="34"/>
    <w:qFormat/>
    <w:rsid w:val="004F5754"/>
    <w:pPr>
      <w:spacing w:after="160" w:line="278" w:lineRule="auto"/>
      <w:ind w:left="720"/>
      <w:contextualSpacing/>
    </w:pPr>
    <w:rPr>
      <w:rFonts w:asciiTheme="minorHAnsi" w:eastAsiaTheme="minorHAnsi" w:hAnsiTheme="minorHAnsi" w:cstheme="minorBidi"/>
      <w:kern w:val="2"/>
      <w:sz w:val="24"/>
      <w:szCs w:val="24"/>
      <w:lang w:val="en-US"/>
    </w:rPr>
  </w:style>
  <w:style w:type="character" w:styleId="IntenseEmphasis">
    <w:name w:val="Intense Emphasis"/>
    <w:basedOn w:val="DefaultParagraphFont"/>
    <w:uiPriority w:val="21"/>
    <w:qFormat/>
    <w:rsid w:val="004F5754"/>
    <w:rPr>
      <w:i/>
      <w:iCs/>
      <w:color w:val="2F5496" w:themeColor="accent1" w:themeShade="BF"/>
    </w:rPr>
  </w:style>
  <w:style w:type="paragraph" w:styleId="IntenseQuote">
    <w:name w:val="Intense Quote"/>
    <w:basedOn w:val="Normal"/>
    <w:next w:val="Normal"/>
    <w:link w:val="IntenseQuoteChar"/>
    <w:uiPriority w:val="30"/>
    <w:qFormat/>
    <w:rsid w:val="004F5754"/>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 w:val="24"/>
      <w:szCs w:val="24"/>
      <w:lang w:val="en-US"/>
    </w:rPr>
  </w:style>
  <w:style w:type="character" w:customStyle="1" w:styleId="IntenseQuoteChar">
    <w:name w:val="Intense Quote Char"/>
    <w:basedOn w:val="DefaultParagraphFont"/>
    <w:link w:val="IntenseQuote"/>
    <w:uiPriority w:val="30"/>
    <w:rsid w:val="004F5754"/>
    <w:rPr>
      <w:i/>
      <w:iCs/>
      <w:color w:val="2F5496" w:themeColor="accent1" w:themeShade="BF"/>
    </w:rPr>
  </w:style>
  <w:style w:type="character" w:styleId="IntenseReference">
    <w:name w:val="Intense Reference"/>
    <w:basedOn w:val="DefaultParagraphFont"/>
    <w:uiPriority w:val="32"/>
    <w:qFormat/>
    <w:rsid w:val="004F5754"/>
    <w:rPr>
      <w:b/>
      <w:bCs/>
      <w:smallCaps/>
      <w:color w:val="2F5496" w:themeColor="accent1" w:themeShade="BF"/>
      <w:spacing w:val="5"/>
    </w:rPr>
  </w:style>
  <w:style w:type="character" w:styleId="Hyperlink">
    <w:name w:val="Hyperlink"/>
    <w:basedOn w:val="DefaultParagraphFont"/>
    <w:uiPriority w:val="99"/>
    <w:unhideWhenUsed/>
    <w:rsid w:val="00DA4994"/>
    <w:rPr>
      <w:color w:val="0563C1" w:themeColor="hyperlink"/>
      <w:u w:val="single"/>
    </w:rPr>
  </w:style>
  <w:style w:type="character" w:styleId="UnresolvedMention">
    <w:name w:val="Unresolved Mention"/>
    <w:basedOn w:val="DefaultParagraphFont"/>
    <w:uiPriority w:val="99"/>
    <w:semiHidden/>
    <w:unhideWhenUsed/>
    <w:rsid w:val="00DA4994"/>
    <w:rPr>
      <w:color w:val="605E5C"/>
      <w:shd w:val="clear" w:color="auto" w:fill="E1DFDD"/>
    </w:rPr>
  </w:style>
  <w:style w:type="table" w:styleId="TableGrid">
    <w:name w:val="Table Grid"/>
    <w:basedOn w:val="TableNormal"/>
    <w:uiPriority w:val="39"/>
    <w:rsid w:val="00BA7A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1DE0"/>
    <w:pPr>
      <w:spacing w:before="240" w:after="0" w:line="259" w:lineRule="auto"/>
      <w:outlineLvl w:val="9"/>
    </w:pPr>
    <w:rPr>
      <w:sz w:val="32"/>
      <w:szCs w:val="32"/>
    </w:rPr>
  </w:style>
  <w:style w:type="paragraph" w:styleId="TOC1">
    <w:name w:val="toc 1"/>
    <w:basedOn w:val="Normal"/>
    <w:next w:val="Normal"/>
    <w:autoRedefine/>
    <w:uiPriority w:val="39"/>
    <w:unhideWhenUsed/>
    <w:rsid w:val="001D1DE0"/>
    <w:pPr>
      <w:spacing w:after="100"/>
    </w:pPr>
  </w:style>
  <w:style w:type="paragraph" w:styleId="TOC2">
    <w:name w:val="toc 2"/>
    <w:basedOn w:val="Normal"/>
    <w:next w:val="Normal"/>
    <w:autoRedefine/>
    <w:uiPriority w:val="39"/>
    <w:unhideWhenUsed/>
    <w:rsid w:val="001D1DE0"/>
    <w:pPr>
      <w:spacing w:after="100"/>
      <w:ind w:left="200"/>
    </w:pPr>
  </w:style>
  <w:style w:type="paragraph" w:styleId="TOC3">
    <w:name w:val="toc 3"/>
    <w:basedOn w:val="Normal"/>
    <w:next w:val="Normal"/>
    <w:autoRedefine/>
    <w:uiPriority w:val="39"/>
    <w:unhideWhenUsed/>
    <w:rsid w:val="0032752B"/>
    <w:pPr>
      <w:spacing w:after="100"/>
      <w:ind w:left="400"/>
    </w:pPr>
  </w:style>
  <w:style w:type="paragraph" w:styleId="Header">
    <w:name w:val="header"/>
    <w:basedOn w:val="Normal"/>
    <w:link w:val="HeaderChar"/>
    <w:uiPriority w:val="99"/>
    <w:unhideWhenUsed/>
    <w:rsid w:val="00B41514"/>
    <w:pPr>
      <w:tabs>
        <w:tab w:val="center" w:pos="4680"/>
        <w:tab w:val="right" w:pos="9360"/>
      </w:tabs>
    </w:pPr>
  </w:style>
  <w:style w:type="character" w:customStyle="1" w:styleId="HeaderChar">
    <w:name w:val="Header Char"/>
    <w:basedOn w:val="DefaultParagraphFont"/>
    <w:link w:val="Header"/>
    <w:uiPriority w:val="99"/>
    <w:rsid w:val="00B41514"/>
    <w:rPr>
      <w:rFonts w:ascii="Times New Roman" w:eastAsia="Times New Roman" w:hAnsi="Times New Roman" w:cs="Times New Roman"/>
      <w:kern w:val="0"/>
      <w:sz w:val="20"/>
      <w:szCs w:val="20"/>
      <w:lang w:val="en-GB" w:eastAsia="en-GB"/>
    </w:rPr>
  </w:style>
  <w:style w:type="paragraph" w:styleId="Footer">
    <w:name w:val="footer"/>
    <w:basedOn w:val="Normal"/>
    <w:link w:val="FooterChar"/>
    <w:uiPriority w:val="99"/>
    <w:unhideWhenUsed/>
    <w:rsid w:val="00B41514"/>
    <w:pPr>
      <w:tabs>
        <w:tab w:val="center" w:pos="4680"/>
        <w:tab w:val="right" w:pos="9360"/>
      </w:tabs>
    </w:pPr>
  </w:style>
  <w:style w:type="character" w:customStyle="1" w:styleId="FooterChar">
    <w:name w:val="Footer Char"/>
    <w:basedOn w:val="DefaultParagraphFont"/>
    <w:link w:val="Footer"/>
    <w:uiPriority w:val="99"/>
    <w:rsid w:val="00B41514"/>
    <w:rPr>
      <w:rFonts w:ascii="Times New Roman" w:eastAsia="Times New Roman" w:hAnsi="Times New Roman" w:cs="Times New Roman"/>
      <w:kern w:val="0"/>
      <w:sz w:val="20"/>
      <w:szCs w:val="20"/>
      <w:lang w:val="en-GB" w:eastAsia="en-GB"/>
    </w:rPr>
  </w:style>
  <w:style w:type="paragraph" w:styleId="Caption">
    <w:name w:val="caption"/>
    <w:basedOn w:val="Normal"/>
    <w:next w:val="Normal"/>
    <w:uiPriority w:val="35"/>
    <w:unhideWhenUsed/>
    <w:qFormat/>
    <w:rsid w:val="00380734"/>
    <w:pPr>
      <w:spacing w:after="200"/>
    </w:pPr>
    <w:rPr>
      <w:rFonts w:asciiTheme="minorHAnsi" w:eastAsiaTheme="minorHAnsi" w:hAnsiTheme="minorHAnsi" w:cstheme="minorBidi"/>
      <w:i/>
      <w:iCs/>
      <w:color w:val="44546A" w:themeColor="text2"/>
      <w:kern w:val="2"/>
      <w:sz w:val="18"/>
      <w:szCs w:val="18"/>
    </w:rPr>
  </w:style>
  <w:style w:type="paragraph" w:styleId="Subtitle">
    <w:name w:val="Subtitle"/>
    <w:basedOn w:val="Normal"/>
    <w:next w:val="Normal"/>
    <w:link w:val="SubtitleChar"/>
    <w:uiPriority w:val="11"/>
    <w:qFormat/>
    <w:pPr>
      <w:spacing w:after="160" w:line="278" w:lineRule="auto"/>
    </w:pPr>
    <w:rPr>
      <w:rFonts w:ascii="Calibri" w:eastAsia="Calibri" w:hAnsi="Calibri" w:cs="Calibri"/>
      <w:color w:val="595959"/>
      <w:sz w:val="28"/>
      <w:szCs w:val="28"/>
    </w:rPr>
  </w:style>
  <w:style w:type="table" w:customStyle="1" w:styleId="a">
    <w:basedOn w:val="TableNormal"/>
    <w:tblPr>
      <w:tblStyleRowBandSize w:val="1"/>
      <w:tblStyleColBandSize w:val="1"/>
      <w:tblCellMar>
        <w:left w:w="115" w:type="dxa"/>
        <w:right w:w="115" w:type="dxa"/>
      </w:tblCellMar>
    </w:tblPr>
  </w:style>
  <w:style w:type="paragraph" w:styleId="TableofFigures">
    <w:name w:val="table of figures"/>
    <w:basedOn w:val="Normal"/>
    <w:next w:val="Normal"/>
    <w:uiPriority w:val="99"/>
    <w:unhideWhenUsed/>
    <w:rsid w:val="00A01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EAS-12-2019-013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x.doi.org/10.2139/ssrn.67054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icc/3.3.537-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av0nxmLQ5x4LfrGO5NcCKWo90A==">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66</Pages>
  <Words>20959</Words>
  <Characters>119470</Characters>
  <Application>Microsoft Office Word</Application>
  <DocSecurity>0</DocSecurity>
  <Lines>995</Lines>
  <Paragraphs>280</Paragraphs>
  <ScaleCrop>false</ScaleCrop>
  <Company/>
  <LinksUpToDate>false</LinksUpToDate>
  <CharactersWithSpaces>140149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50</cp:revision>
  <dcterms:created xsi:type="dcterms:W3CDTF">2026-03-26T00:51:00Z</dcterms:created>
  <dcterms:modified xsi:type="dcterms:W3CDTF">2026-03-27T10:33:00Z</dcterms:modified>
</cp:coreProperties>
</file>