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0553" w:rsidRPr="00876921" w:rsidRDefault="00EB0553" w:rsidP="00EB055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342750FF" wp14:editId="635B13E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rsidR="00EB0553" w:rsidRPr="00876921" w:rsidRDefault="00EB0553" w:rsidP="00EB055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B0553" w:rsidRPr="00876921" w:rsidTr="009F66B8">
        <w:tc>
          <w:tcPr>
            <w:tcW w:w="9922" w:type="dxa"/>
            <w:shd w:val="clear" w:color="auto" w:fill="C0C0C0"/>
          </w:tcPr>
          <w:p w:rsidR="00EB0553" w:rsidRPr="00876921" w:rsidRDefault="00EB0553" w:rsidP="009F66B8">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rsidR="00EB0553" w:rsidRPr="00876921" w:rsidRDefault="00EB0553" w:rsidP="00EB055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8"/>
        <w:gridCol w:w="3303"/>
        <w:gridCol w:w="2275"/>
        <w:gridCol w:w="2275"/>
      </w:tblGrid>
      <w:tr w:rsidR="00EB0553" w:rsidRPr="00876921" w:rsidTr="009F66B8">
        <w:tc>
          <w:tcPr>
            <w:tcW w:w="2093"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rsidR="00EB0553" w:rsidRPr="00876921" w:rsidRDefault="00EB0553" w:rsidP="009F66B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David GRIFFITHS</w:t>
            </w:r>
          </w:p>
        </w:tc>
        <w:tc>
          <w:tcPr>
            <w:tcW w:w="2268" w:type="dxa"/>
            <w:shd w:val="clear" w:color="auto" w:fill="D9D9D9" w:themeFill="background1" w:themeFillShade="D9"/>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rsidR="00EB0553" w:rsidRPr="00876921" w:rsidRDefault="00EB0553" w:rsidP="009F66B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1815837</w:t>
            </w:r>
          </w:p>
        </w:tc>
      </w:tr>
      <w:tr w:rsidR="00EB0553" w:rsidRPr="00876921" w:rsidTr="009F66B8">
        <w:tc>
          <w:tcPr>
            <w:tcW w:w="2093"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rsidR="00EB0553" w:rsidRPr="00876921" w:rsidRDefault="00EB0553" w:rsidP="00EB0553">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Police Constable Degree Apprenticeship</w:t>
            </w:r>
          </w:p>
        </w:tc>
      </w:tr>
      <w:tr w:rsidR="00EB0553" w:rsidRPr="00876921" w:rsidTr="009F66B8">
        <w:tc>
          <w:tcPr>
            <w:tcW w:w="2093"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EB0553" w:rsidRPr="00876921" w:rsidTr="009F66B8">
        <w:tc>
          <w:tcPr>
            <w:tcW w:w="2093"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rsidR="00EB0553" w:rsidRPr="00876921" w:rsidRDefault="00EB0553" w:rsidP="009F66B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rsidR="00EB0553" w:rsidRPr="00876921" w:rsidRDefault="00EB0553" w:rsidP="009F66B8">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EB0553" w:rsidRPr="00876921" w:rsidTr="009F66B8">
        <w:tc>
          <w:tcPr>
            <w:tcW w:w="2093"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p>
        </w:tc>
        <w:tc>
          <w:tcPr>
            <w:tcW w:w="3293" w:type="dxa"/>
          </w:tcPr>
          <w:p w:rsidR="00EB0553" w:rsidRPr="00876921" w:rsidRDefault="00EB0553" w:rsidP="009F66B8">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rsidR="00EB0553" w:rsidRPr="00876921" w:rsidRDefault="00EB0553" w:rsidP="009F66B8">
            <w:pPr>
              <w:spacing w:before="120" w:after="120" w:line="240" w:lineRule="auto"/>
              <w:jc w:val="both"/>
              <w:rPr>
                <w:rFonts w:ascii="Arial" w:eastAsia="Times New Roman" w:hAnsi="Arial" w:cs="Arial"/>
                <w:b/>
                <w:lang w:eastAsia="en-GB"/>
              </w:rPr>
            </w:pPr>
          </w:p>
        </w:tc>
      </w:tr>
      <w:tr w:rsidR="00EB0553" w:rsidRPr="00876921" w:rsidTr="009F66B8">
        <w:tc>
          <w:tcPr>
            <w:tcW w:w="2093"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rsidR="00EB0553" w:rsidRPr="00876921" w:rsidRDefault="00EB0553" w:rsidP="009F66B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rsidR="00EB0553" w:rsidRPr="00876921" w:rsidRDefault="00EB0553" w:rsidP="009F66B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EB0553" w:rsidRPr="00876921" w:rsidTr="009F66B8">
        <w:tc>
          <w:tcPr>
            <w:tcW w:w="2093"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24</w:t>
            </w:r>
            <w:r w:rsidRPr="007162C5">
              <w:rPr>
                <w:rFonts w:ascii="Arial" w:eastAsia="Times New Roman" w:hAnsi="Arial" w:cs="Arial"/>
                <w:b/>
                <w:vertAlign w:val="superscript"/>
                <w:lang w:eastAsia="en-GB"/>
              </w:rPr>
              <w:t>th</w:t>
            </w:r>
            <w:r>
              <w:rPr>
                <w:rFonts w:ascii="Arial" w:eastAsia="Times New Roman" w:hAnsi="Arial" w:cs="Arial"/>
                <w:b/>
                <w:lang w:eastAsia="en-GB"/>
              </w:rPr>
              <w:t xml:space="preserve"> August 2020</w:t>
            </w:r>
          </w:p>
        </w:tc>
        <w:tc>
          <w:tcPr>
            <w:tcW w:w="2268" w:type="dxa"/>
            <w:shd w:val="clear" w:color="auto" w:fill="auto"/>
          </w:tcPr>
          <w:p w:rsidR="00EB0553" w:rsidRPr="00876921" w:rsidRDefault="00EB0553" w:rsidP="009F66B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rsidR="00EB0553" w:rsidRPr="00876921" w:rsidRDefault="00EB0553" w:rsidP="009F66B8">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p>
        </w:tc>
      </w:tr>
    </w:tbl>
    <w:p w:rsidR="00955EA8" w:rsidRDefault="00535787"/>
    <w:p w:rsidR="00EB0553" w:rsidRDefault="00EB0553"/>
    <w:p w:rsidR="00EB0553" w:rsidRPr="0038761B" w:rsidRDefault="00EB0553" w:rsidP="00EB0553">
      <w:pPr>
        <w:spacing w:line="480" w:lineRule="auto"/>
        <w:rPr>
          <w:rFonts w:eastAsia="Times New Roman" w:cstheme="minorHAnsi"/>
          <w:b/>
          <w:u w:val="single"/>
          <w:lang w:eastAsia="en-GB"/>
        </w:rPr>
      </w:pPr>
      <w:r w:rsidRPr="0038761B">
        <w:rPr>
          <w:rFonts w:eastAsia="Times New Roman" w:cstheme="minorHAnsi"/>
          <w:b/>
          <w:u w:val="single"/>
          <w:lang w:eastAsia="en-GB"/>
        </w:rPr>
        <w:t>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EB0553" w:rsidRPr="0038761B" w:rsidRDefault="00EB0553" w:rsidP="00EB0553">
      <w:pPr>
        <w:spacing w:line="480" w:lineRule="auto"/>
        <w:rPr>
          <w:rFonts w:eastAsia="Times New Roman" w:cstheme="minorHAnsi"/>
          <w:b/>
          <w:u w:val="single"/>
          <w:lang w:eastAsia="en-GB"/>
        </w:rPr>
      </w:pPr>
    </w:p>
    <w:p w:rsidR="00EB0553" w:rsidRPr="0038761B" w:rsidRDefault="00EB0553" w:rsidP="00EB0553">
      <w:pPr>
        <w:spacing w:line="480" w:lineRule="auto"/>
        <w:rPr>
          <w:rFonts w:cstheme="minorHAnsi"/>
        </w:rPr>
      </w:pPr>
      <w:r w:rsidRPr="0038761B">
        <w:rPr>
          <w:rFonts w:eastAsia="Times New Roman" w:cstheme="minorHAnsi"/>
          <w:lang w:eastAsia="en-GB"/>
        </w:rPr>
        <w:t xml:space="preserve">Serious and organised crime is defined as </w:t>
      </w:r>
      <w:r w:rsidRPr="0038761B">
        <w:rPr>
          <w:rFonts w:cstheme="minorHAnsi"/>
        </w:rPr>
        <w:t>planned and co-ordinated criminal behaviour and conduct by people working together on a continuing basis (CPS, 2017). A current example of this style of crime is a County Lines operation that see’s organised crime groups traffic illegal drugs, usually from major cities, into suburban areas. They often employ tactics such as exploiting children and vulnerable adults to traffic and store the drugs and money (NCA, 2018)</w:t>
      </w:r>
    </w:p>
    <w:p w:rsidR="00EB0553" w:rsidRPr="0038761B" w:rsidRDefault="00EB0553" w:rsidP="00EB0553">
      <w:pPr>
        <w:spacing w:line="480" w:lineRule="auto"/>
        <w:rPr>
          <w:rFonts w:cstheme="minorHAnsi"/>
        </w:rPr>
      </w:pPr>
      <w:r w:rsidRPr="0038761B">
        <w:rPr>
          <w:rFonts w:cstheme="minorHAnsi"/>
        </w:rPr>
        <w:lastRenderedPageBreak/>
        <w:t>Multi-Agency Public Protection Arrangements (MAPPA) are designed to protect the public from serious harm by sexual or violent and dangerous offenders (College of Policing, 2020)</w:t>
      </w:r>
    </w:p>
    <w:p w:rsidR="00EB0553" w:rsidRPr="0038761B" w:rsidRDefault="00EB0553" w:rsidP="00EB0553">
      <w:pPr>
        <w:spacing w:line="480" w:lineRule="auto"/>
        <w:rPr>
          <w:rFonts w:cstheme="minorHAnsi"/>
        </w:rPr>
      </w:pPr>
      <w:r w:rsidRPr="0038761B">
        <w:rPr>
          <w:rFonts w:cstheme="minorHAnsi"/>
        </w:rPr>
        <w:t xml:space="preserve">MAPPA is collaboration between numerous agencies such as Police, Prison Service, and Probation Services, and can include inputs from health, children’s services and youth offending teams. It allows for information to be shared amongst agencies and ensures sexual and violent and dangerous persons are managed once they are integrated back into society, following a sentencing by a Court. </w:t>
      </w:r>
    </w:p>
    <w:p w:rsidR="00EB0553" w:rsidRPr="0038761B" w:rsidRDefault="00EB0553" w:rsidP="00EB0553">
      <w:pPr>
        <w:spacing w:line="480" w:lineRule="auto"/>
        <w:rPr>
          <w:rFonts w:cstheme="minorHAnsi"/>
        </w:rPr>
      </w:pPr>
      <w:r w:rsidRPr="0038761B">
        <w:rPr>
          <w:rFonts w:cstheme="minorHAnsi"/>
        </w:rPr>
        <w:t xml:space="preserve">Despite being part of MAPPA the Prison Service also take part in the management of offenders of serious and organised crime as part of the Serious and Organised Crime Strategy (2018) whereby offenders are placed on a lifetime offender management portfolio that will manage prolific offenders before, during and after custody (Serious and Organised Crime Strategy, 2018). </w:t>
      </w:r>
    </w:p>
    <w:p w:rsidR="00EB0553" w:rsidRPr="0038761B" w:rsidRDefault="00EB0553" w:rsidP="00EB0553">
      <w:pPr>
        <w:tabs>
          <w:tab w:val="left" w:pos="6168"/>
        </w:tabs>
        <w:spacing w:line="480" w:lineRule="auto"/>
        <w:rPr>
          <w:rFonts w:cstheme="minorHAnsi"/>
        </w:rPr>
      </w:pPr>
      <w:r w:rsidRPr="0038761B">
        <w:rPr>
          <w:rFonts w:cstheme="minorHAnsi"/>
        </w:rPr>
        <w:t xml:space="preserve">MAPPA can have a positive impact. As acknowledged by </w:t>
      </w:r>
      <w:proofErr w:type="spellStart"/>
      <w:r w:rsidRPr="0038761B">
        <w:rPr>
          <w:rFonts w:cstheme="minorHAnsi"/>
        </w:rPr>
        <w:t>McSweeney</w:t>
      </w:r>
      <w:proofErr w:type="spellEnd"/>
      <w:r w:rsidRPr="0038761B">
        <w:rPr>
          <w:rFonts w:cstheme="minorHAnsi"/>
        </w:rPr>
        <w:t xml:space="preserve"> and Hough (2006) offenders have multiple needs. These needs include housing, financial support, employment as well as potentially mental health needs. What MAPPA allows for is the sharing of information between agencies, this would allow for offenders to be managed correctly and effectively. It also allows for offenders to be correctly assessed and risk identified. By involving external agencies such as housing, and employment it allows offenders to be monitored on regular occasions by attending meetings at job centres and by regular visits by housing officers as well the scheduled meetings with probation and officers from within the Police.</w:t>
      </w:r>
    </w:p>
    <w:p w:rsidR="00EB0553" w:rsidRPr="0038761B" w:rsidRDefault="00EB0553" w:rsidP="00EB0553">
      <w:pPr>
        <w:tabs>
          <w:tab w:val="left" w:pos="6168"/>
        </w:tabs>
        <w:spacing w:line="480" w:lineRule="auto"/>
        <w:rPr>
          <w:rFonts w:cstheme="minorHAnsi"/>
        </w:rPr>
      </w:pPr>
      <w:r w:rsidRPr="0038761B">
        <w:rPr>
          <w:rFonts w:cstheme="minorHAnsi"/>
        </w:rPr>
        <w:t xml:space="preserve">There is also a suggestion that MAPPA does have a positive impact on the rehabilitation of offenders. An analysis conducted in 2015 by the Ministry of Justice states that there is a reduction of reoffending of MAPPA subjects. It also suggests that those offenders who are deemed high risk receive a more intensive input from multi agencies. Although, it is also noted in the analysis that it is not conclusive due to the change in offender eligibility prior to the report being concluded (Ministry of Justice, 2015).  </w:t>
      </w:r>
    </w:p>
    <w:p w:rsidR="00EB0553" w:rsidRPr="0038761B" w:rsidRDefault="00EB0553" w:rsidP="00EB0553">
      <w:pPr>
        <w:tabs>
          <w:tab w:val="left" w:pos="6168"/>
        </w:tabs>
        <w:spacing w:line="480" w:lineRule="auto"/>
        <w:rPr>
          <w:rFonts w:cstheme="minorHAnsi"/>
        </w:rPr>
      </w:pPr>
      <w:r w:rsidRPr="0038761B">
        <w:rPr>
          <w:rFonts w:cstheme="minorHAnsi"/>
        </w:rPr>
        <w:lastRenderedPageBreak/>
        <w:t>There have been some negatives to MAPPA as well as positives. Although MAPPA is a multi-agency approach to managing offenders, there is a requirement for an agency to take on a role of responsible authority or ‘lead agency’ as per MAPPA guidelines (2012). Prior to this there were failings identified in An Inspection of Multi-Agency Public Protection Arrangements which was conducted in (HMI Probation &amp; HMI Constabulary, 2011)</w:t>
      </w:r>
      <w:proofErr w:type="gramStart"/>
      <w:r w:rsidRPr="0038761B">
        <w:rPr>
          <w:rFonts w:cstheme="minorHAnsi"/>
        </w:rPr>
        <w:t>.</w:t>
      </w:r>
      <w:proofErr w:type="gramEnd"/>
      <w:r w:rsidRPr="0038761B">
        <w:rPr>
          <w:rFonts w:cstheme="minorHAnsi"/>
        </w:rPr>
        <w:t xml:space="preserve"> One of these failings identified that one agency taking a lead was underdeveloped and impacted the way cases were managed, leading to each individual agency acting alone and in isolation. This suggests that although MAPPA is meant to be a multi-agency, these agencies were not working together in 2011 and this could have led to a poor service and support to offenders but also a mismanagement of offenders in the community. It should be noted that in a follow up inspection in 2015 the concept of a lead agency was better understood. (HMI Probation &amp; HMI Constabulary, 2015).</w:t>
      </w:r>
    </w:p>
    <w:p w:rsidR="00EB0553" w:rsidRPr="0038761B" w:rsidRDefault="00EB0553" w:rsidP="00EB0553">
      <w:pPr>
        <w:tabs>
          <w:tab w:val="left" w:pos="6168"/>
        </w:tabs>
        <w:spacing w:line="480" w:lineRule="auto"/>
        <w:rPr>
          <w:rFonts w:cstheme="minorHAnsi"/>
        </w:rPr>
      </w:pPr>
      <w:r w:rsidRPr="0038761B">
        <w:rPr>
          <w:rFonts w:cstheme="minorHAnsi"/>
        </w:rPr>
        <w:t xml:space="preserve">The media also have an effect on the way public protection incidents are managed. Media reports on sex offenders and high profile cases involving children tend to draw increased levels of media attention. The case of ‘Baby P’ in 2007, for example, saw national media coverage, and due to spin off stories such as the failing of services, remained in the headlines for a number of months. The case remained relevant and identified that public protection needed a more productive partnership between agencies. </w:t>
      </w:r>
    </w:p>
    <w:p w:rsidR="00EB0553" w:rsidRPr="0038761B" w:rsidRDefault="00EB0553" w:rsidP="00EB0553">
      <w:pPr>
        <w:tabs>
          <w:tab w:val="left" w:pos="6168"/>
        </w:tabs>
        <w:spacing w:line="480" w:lineRule="auto"/>
        <w:rPr>
          <w:rFonts w:cstheme="minorHAnsi"/>
        </w:rPr>
      </w:pPr>
      <w:r w:rsidRPr="0038761B">
        <w:rPr>
          <w:rFonts w:cstheme="minorHAnsi"/>
        </w:rPr>
        <w:t xml:space="preserve">What is not clear is whether the media coverage of the case caused change in policy or legislation when it comes to public protection.  Many media outlets are seen by central Government as a way of communicating with the masses, but what remains unclear is if the media outlets are using their reporting as a way of influencing policy and procedure.  </w:t>
      </w:r>
    </w:p>
    <w:p w:rsidR="00EB0553" w:rsidRPr="0038761B" w:rsidRDefault="00EB0553" w:rsidP="00EB0553">
      <w:pPr>
        <w:tabs>
          <w:tab w:val="left" w:pos="6168"/>
        </w:tabs>
        <w:spacing w:line="480" w:lineRule="auto"/>
        <w:rPr>
          <w:rFonts w:cstheme="minorHAnsi"/>
        </w:rPr>
      </w:pPr>
      <w:r w:rsidRPr="0038761B">
        <w:rPr>
          <w:rFonts w:cstheme="minorHAnsi"/>
        </w:rPr>
        <w:t>The media can also have a negative impact on public protection cases. Following a series of child abuse media reports in the 19</w:t>
      </w:r>
      <w:r w:rsidR="00535787">
        <w:rPr>
          <w:rFonts w:cstheme="minorHAnsi"/>
        </w:rPr>
        <w:t xml:space="preserve">70’s, 1980’s and 1990’s, </w:t>
      </w:r>
      <w:proofErr w:type="spellStart"/>
      <w:r w:rsidRPr="0038761B">
        <w:rPr>
          <w:rFonts w:cstheme="minorHAnsi"/>
        </w:rPr>
        <w:t>Ayre</w:t>
      </w:r>
      <w:proofErr w:type="spellEnd"/>
      <w:r w:rsidR="00535787">
        <w:rPr>
          <w:rFonts w:cstheme="minorHAnsi"/>
        </w:rPr>
        <w:t xml:space="preserve"> (2001)</w:t>
      </w:r>
      <w:r w:rsidRPr="0038761B">
        <w:rPr>
          <w:rFonts w:cstheme="minorHAnsi"/>
        </w:rPr>
        <w:t xml:space="preserve"> wrote that following these stories there was ‘aggressive public pillorying in the media of those agencies deemed responsible’.  Following the Baby P case identifying numerous failings of agencies and public services. Garrett </w:t>
      </w:r>
      <w:r w:rsidRPr="0038761B">
        <w:rPr>
          <w:rFonts w:cstheme="minorHAnsi"/>
        </w:rPr>
        <w:lastRenderedPageBreak/>
        <w:t xml:space="preserve">(2009) states that ‘those working within the public service were targeted by the media’. Although perhaps the most targeted was the director of Social Services for Haringey Council who was sacked in 2008 and was also required to install a panic room in her house following threats. However the potential positive to this negative is the fact that the case has remained in the public eye highlighting ineffective practices and partnership working between Council, health boards and Police. </w:t>
      </w:r>
    </w:p>
    <w:p w:rsidR="00EB0553" w:rsidRPr="0038761B" w:rsidRDefault="00EB0553" w:rsidP="00EB0553">
      <w:pPr>
        <w:tabs>
          <w:tab w:val="left" w:pos="6168"/>
        </w:tabs>
        <w:spacing w:line="480" w:lineRule="auto"/>
        <w:rPr>
          <w:rFonts w:cstheme="minorHAnsi"/>
        </w:rPr>
      </w:pPr>
      <w:r w:rsidRPr="0038761B">
        <w:rPr>
          <w:rFonts w:cstheme="minorHAnsi"/>
        </w:rPr>
        <w:t>In conclusion, in its infancy MAPPA was not working as effectively as it was designed to do. However, as we can see through the thematic reports there have been improvements. What we can also see is that the way the media report on public protection is important to how the public view the effectiveness of MAPPA. The media is able to capture audiences and put emphasis in to certain cases. As already mentioned there his heightened media interests in offences where children are the victims compared to cases where adults are perceived to be the victims.</w:t>
      </w:r>
    </w:p>
    <w:p w:rsidR="00EB0553" w:rsidRDefault="00535787" w:rsidP="00EB0553">
      <w:pPr>
        <w:tabs>
          <w:tab w:val="left" w:pos="6168"/>
        </w:tabs>
        <w:rPr>
          <w:rFonts w:ascii="Arial" w:hAnsi="Arial" w:cs="Arial"/>
        </w:rPr>
      </w:pPr>
      <w:r>
        <w:rPr>
          <w:rFonts w:ascii="Arial" w:hAnsi="Arial" w:cs="Arial"/>
        </w:rPr>
        <w:t>954</w:t>
      </w:r>
      <w:r w:rsidR="00EB0553">
        <w:rPr>
          <w:rFonts w:ascii="Arial" w:hAnsi="Arial" w:cs="Arial"/>
        </w:rPr>
        <w:t xml:space="preserve"> </w:t>
      </w: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Default="00EB0553" w:rsidP="00EB0553">
      <w:pPr>
        <w:tabs>
          <w:tab w:val="left" w:pos="6168"/>
        </w:tabs>
        <w:rPr>
          <w:rFonts w:ascii="Arial" w:hAnsi="Arial" w:cs="Arial"/>
        </w:rPr>
      </w:pPr>
    </w:p>
    <w:p w:rsidR="00EB0553" w:rsidRPr="005E5223" w:rsidRDefault="00EB0553" w:rsidP="00EB0553">
      <w:pPr>
        <w:overflowPunct w:val="0"/>
        <w:autoSpaceDE w:val="0"/>
        <w:autoSpaceDN w:val="0"/>
        <w:adjustRightInd w:val="0"/>
        <w:spacing w:before="240" w:after="0" w:line="240" w:lineRule="auto"/>
        <w:ind w:left="426"/>
        <w:jc w:val="both"/>
        <w:textAlignment w:val="baseline"/>
        <w:rPr>
          <w:rFonts w:eastAsia="Times New Roman" w:cstheme="minorHAnsi"/>
          <w:b/>
          <w:u w:val="single"/>
          <w:lang w:eastAsia="en-GB"/>
        </w:rPr>
      </w:pPr>
      <w:r w:rsidRPr="005E5223">
        <w:rPr>
          <w:rFonts w:eastAsia="Times New Roman" w:cstheme="minorHAnsi"/>
          <w:b/>
          <w:u w:val="single"/>
          <w:lang w:eastAsia="en-GB"/>
        </w:rPr>
        <w:lastRenderedPageBreak/>
        <w:t>Title 2: Analyse the role of professional standards and independent bodies such as the IOPC or HMICFRS in holding the police accountable to the public and the impact of malpractice and corruption on policing using examples to support your argument.</w:t>
      </w:r>
    </w:p>
    <w:p w:rsidR="00EB0553" w:rsidRPr="005E5223" w:rsidRDefault="00EB0553" w:rsidP="00EB0553">
      <w:pPr>
        <w:overflowPunct w:val="0"/>
        <w:autoSpaceDE w:val="0"/>
        <w:autoSpaceDN w:val="0"/>
        <w:adjustRightInd w:val="0"/>
        <w:spacing w:before="240" w:after="0" w:line="240" w:lineRule="auto"/>
        <w:jc w:val="both"/>
        <w:textAlignment w:val="baseline"/>
        <w:rPr>
          <w:rFonts w:eastAsia="Times New Roman" w:cstheme="minorHAnsi"/>
          <w:lang w:eastAsia="en-GB"/>
        </w:rPr>
      </w:pP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cstheme="minorHAnsi"/>
        </w:rPr>
        <w:t>The principle of policing by consent relies on the trust and confidence that the public has in the police service and the wider law enforcement community (College of Policing, 2015)</w:t>
      </w:r>
      <w:r w:rsidRPr="005E5223">
        <w:rPr>
          <w:rFonts w:eastAsia="Times New Roman" w:cstheme="minorHAnsi"/>
          <w:lang w:eastAsia="en-GB"/>
        </w:rPr>
        <w:t xml:space="preserve">, bodies such as professional standards departments, the IOPC and HMICFRS play an important role in maintaining the trust and confidence of the public by holding the Police accountable for their actions.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When we look at Professional Standards Departments they are responsible for complaints made against officers within the service they serve and dealing with misconduct matters that arise. PSDs link in heavily with independent bodies such as the IOPC. The IOPC are independent of any Police service and the government and receive complaints from members of the public who are dissatisfied with the service they have received from the Police but also receive referrals directly from Police services. These referrals tend to be for the most serious offences or misconducts or in instances where a person has died following contact with the Police.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The HMICFRS are a government body whose aim is to ‘Promote improvements in policing to make everyone safer’ (HMICFRS 2018). They do this by carrying out inspections on each service and providing reports that are accessible to members of the public and other organisations.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All three organisations are integral in ensuring the 10 standards of professional behaviour are upheld by individual officers and services as whole. Failure to uphold these standards or hold officers and services accountable for their actions leads to a breakdown of trust between the Police and the public, and a potential rise in crime and disorder as seen during the London riots after the shooting of Mark Duggan in 2011 and most recently during the Black Lives Matter protests 2020, despite the antagonist for the latter being from the United States of America. It is important to note during the 2011 riots the IOPC, which was known as the Independent Police </w:t>
      </w:r>
      <w:r w:rsidRPr="005E5223">
        <w:rPr>
          <w:rFonts w:eastAsia="Times New Roman" w:cstheme="minorHAnsi"/>
          <w:lang w:eastAsia="en-GB"/>
        </w:rPr>
        <w:lastRenderedPageBreak/>
        <w:t>Complaints Commission at the time, conducted a full investigation and found that the killing was lawful and there was no evidence of criminality, however this has been challenged on numerous occasions and is still a focal point in the argument of corruption within UK Police services.</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Locally in South Wales there have been high profile cases including the case of the ‘Cardiff 3’ where 3 males were wrongfully jailed for the murder of Lynette White in 1988. The following investigation into officers from South Wales Police was one of the biggest investigations into Police corruption.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The investigation into the potential corruption was handled by the IPCC, who at the time assigned officers from South Wales Police to investigate the corruption. All officers investigated were cleared in 2011 after the trial collapsed due to missing evidence, which was located a year later.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The collapse of this trial led to a mistrust of police officers and investigating bodies such as the IPCC and led to the latter being reformed into the IOPC, an organisation that was independent of the Police and has the power to launch its own investigations into Police corruption.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A 2012 report from the IOPC, found that focus groups asked members of the public ‘who should investigate matters of Police corruption’, members stated ‘cases should be managed by organisations separate to the Police…they would be better able to provide a fairer investigation. There was a belief that forces would have a temptation to protect its own officers’ (IPCC, 2012). By reforming the IPCC into the IOPC I believe it would have increased public confidence in investigations into matters of mal practice and corruption, however there was no follow up conducted.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The HMICFRS conduct both random and planned inspections of all Police forces in the United Kingdom. They submit recommendations, however they are not regulators and as such have no powers to enforce the recommendations are implemented, however the Police and Crime </w:t>
      </w:r>
      <w:r w:rsidRPr="005E5223">
        <w:rPr>
          <w:rFonts w:eastAsia="Times New Roman" w:cstheme="minorHAnsi"/>
          <w:lang w:eastAsia="en-GB"/>
        </w:rPr>
        <w:lastRenderedPageBreak/>
        <w:t xml:space="preserve">Commissioner does have to comment on each HIMCFRS report and how it plans to respond to the recommendations.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In 2018 the HMICFRS commissioned a report into public perceptions of the police. This report found that ‘65% of people asked stated their local police force treated people fairly and with respect’ (HMICFRS 2019). Reading this statistic I believe there is an argument that most officers do adhere to the 10 standards of professional behaviour, but not only that, it shows that organisations such as the HMICFRS hold Police officers accountable by asking members of the public these questions, and publishing its findings online as well as sharing with UK Police forces.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By the HMICFRS conducting ‘secret shopper’ style exercises and carrying out consumer polls such a that in 2018 it ensures that the forces are unable to influence the results and although inspections may show that forces are doing well or need little improvement, this allows the public to give their views and opinions and allow inspectors to see first-hand how forces portray themselves and conduct themselves in line with the standards of professional behaviour. </w:t>
      </w:r>
    </w:p>
    <w:p w:rsidR="00EB0553" w:rsidRPr="005E522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Organisations such as IOPC and HMICFRS give members of the public a voice, they give members of the public a platform to which they can voice concerns and have knowledge that investigations will be conducted independently and impartially, giving the public confidence that any misconduct within the Police force is identified, investigated and dealt with, before making changes and recommendations to forces in response to investigations. </w:t>
      </w:r>
    </w:p>
    <w:p w:rsidR="00EB0553"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r w:rsidRPr="005E5223">
        <w:rPr>
          <w:rFonts w:eastAsia="Times New Roman" w:cstheme="minorHAnsi"/>
          <w:lang w:eastAsia="en-GB"/>
        </w:rPr>
        <w:t xml:space="preserve">In Conclusion, PSDs, the IOPC and HMICFRS are integral in holding police forces and officers to account for their actions, malpractices and corruptions. However as mentioned above there are times when they have perhaps not lived up to the expectations of the public which has in turn led to reforms and further investigatory powers being made available to independent bodies. Malpractice and corruption still has a significant impact on the way we Police today and the way </w:t>
      </w:r>
      <w:r w:rsidRPr="005E5223">
        <w:rPr>
          <w:rFonts w:eastAsia="Times New Roman" w:cstheme="minorHAnsi"/>
          <w:lang w:eastAsia="en-GB"/>
        </w:rPr>
        <w:lastRenderedPageBreak/>
        <w:t xml:space="preserve">Police forces operate on a worldwide scale, however as long as police officers act in line with the 10 standards of professional behaviour public confidence will be upheld. </w:t>
      </w: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r>
        <w:rPr>
          <w:rFonts w:ascii="Arial" w:eastAsia="Times New Roman" w:hAnsi="Arial" w:cs="Arial"/>
          <w:lang w:eastAsia="en-GB"/>
        </w:rPr>
        <w:t>995</w:t>
      </w: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Default="00EB0553" w:rsidP="00EB0553">
      <w:pPr>
        <w:overflowPunct w:val="0"/>
        <w:autoSpaceDE w:val="0"/>
        <w:autoSpaceDN w:val="0"/>
        <w:adjustRightInd w:val="0"/>
        <w:spacing w:before="240" w:after="0" w:line="480" w:lineRule="auto"/>
        <w:ind w:left="425"/>
        <w:jc w:val="both"/>
        <w:textAlignment w:val="baseline"/>
        <w:rPr>
          <w:rFonts w:ascii="Arial" w:eastAsia="Times New Roman" w:hAnsi="Arial" w:cs="Arial"/>
          <w:lang w:eastAsia="en-GB"/>
        </w:rPr>
      </w:pPr>
    </w:p>
    <w:p w:rsidR="00EB0553" w:rsidRPr="00471C1C" w:rsidRDefault="00EB0553" w:rsidP="00EB0553">
      <w:pPr>
        <w:overflowPunct w:val="0"/>
        <w:autoSpaceDE w:val="0"/>
        <w:autoSpaceDN w:val="0"/>
        <w:adjustRightInd w:val="0"/>
        <w:spacing w:before="240" w:after="0" w:line="240" w:lineRule="auto"/>
        <w:textAlignment w:val="baseline"/>
        <w:rPr>
          <w:rFonts w:eastAsia="Times New Roman" w:cstheme="minorHAnsi"/>
          <w:b/>
          <w:u w:val="single"/>
          <w:lang w:eastAsia="en-GB"/>
        </w:rPr>
      </w:pPr>
      <w:r w:rsidRPr="00471C1C">
        <w:rPr>
          <w:rFonts w:eastAsia="Times New Roman" w:cstheme="minorHAnsi"/>
          <w:b/>
          <w:u w:val="single"/>
          <w:lang w:eastAsia="en-GB"/>
        </w:rPr>
        <w:lastRenderedPageBreak/>
        <w:t>Title 3: Analyse the developing issues of youth gangs, and why people are drawn into becoming part of a gang culture.</w:t>
      </w:r>
    </w:p>
    <w:p w:rsidR="00EB0553" w:rsidRPr="00471C1C" w:rsidRDefault="00EB0553" w:rsidP="00EB0553">
      <w:pPr>
        <w:spacing w:line="480" w:lineRule="auto"/>
        <w:rPr>
          <w:rFonts w:cstheme="minorHAnsi"/>
          <w:b/>
          <w:u w:val="single"/>
        </w:rPr>
      </w:pPr>
      <w:r w:rsidRPr="00471C1C">
        <w:rPr>
          <w:rFonts w:eastAsia="Times New Roman" w:cstheme="minorHAnsi"/>
          <w:b/>
          <w:u w:val="single"/>
          <w:lang w:eastAsia="en-GB"/>
        </w:rPr>
        <w:t xml:space="preserve">Consider how gangs target vulnerable people, people at risk of harm and the </w:t>
      </w:r>
      <w:r>
        <w:rPr>
          <w:rFonts w:eastAsia="Times New Roman" w:cstheme="minorHAnsi"/>
          <w:b/>
          <w:u w:val="single"/>
          <w:lang w:eastAsia="en-GB"/>
        </w:rPr>
        <w:t xml:space="preserve">theories of </w:t>
      </w:r>
      <w:r w:rsidRPr="00471C1C">
        <w:rPr>
          <w:rFonts w:eastAsia="Times New Roman" w:cstheme="minorHAnsi"/>
          <w:b/>
          <w:u w:val="single"/>
          <w:lang w:eastAsia="en-GB"/>
        </w:rPr>
        <w:t>victimology</w:t>
      </w:r>
    </w:p>
    <w:p w:rsidR="00EB0553" w:rsidRDefault="00EB0553" w:rsidP="00EB0553">
      <w:pPr>
        <w:spacing w:line="480" w:lineRule="auto"/>
      </w:pPr>
    </w:p>
    <w:p w:rsidR="00EB0553" w:rsidRPr="00471C1C" w:rsidRDefault="00EB0553" w:rsidP="00EB0553">
      <w:pPr>
        <w:spacing w:line="480" w:lineRule="auto"/>
      </w:pPr>
      <w:r w:rsidRPr="00471C1C">
        <w:t xml:space="preserve">Gang culture in the United Kingdom is a growing trend and more so with the developing County Lines style operations that are taking place across the country. Youths are being drawn into gangs for a number of reasons, be it out of fear, wanting to fit in or as a lifestyle choice. The creation of a new national response unit by the Government goes to show how much of an issue gangs and youth involvement in gangs is. </w:t>
      </w:r>
    </w:p>
    <w:p w:rsidR="00EB0553" w:rsidRPr="00471C1C" w:rsidRDefault="00EB0553" w:rsidP="00EB0553">
      <w:pPr>
        <w:spacing w:line="480" w:lineRule="auto"/>
        <w:ind w:firstLine="720"/>
        <w:rPr>
          <w:rFonts w:cstheme="minorHAnsi"/>
          <w:lang w:val="en"/>
        </w:rPr>
      </w:pPr>
      <w:r w:rsidRPr="00471C1C">
        <w:t>It is difficult to find a definitive definition for the word ‘gang’. Thrasher (1963) defines a gang as ‘</w:t>
      </w:r>
      <w:r w:rsidRPr="00471C1C">
        <w:rPr>
          <w:rFonts w:cstheme="minorHAnsi"/>
          <w:lang w:val="en"/>
        </w:rPr>
        <w:t xml:space="preserve">an interstitial group initially formed spontaneously and eventually integrated through conflict.’ The only problem with this definition is it fails to mention the criminal aspect of a gang, and as the definition is from 1963 the word could now have a whole new meaning, especially when we delve into the world of organized criminality. </w:t>
      </w:r>
    </w:p>
    <w:p w:rsidR="00EB0553" w:rsidRPr="00471C1C" w:rsidRDefault="00EB0553" w:rsidP="00EB0553">
      <w:pPr>
        <w:spacing w:line="480" w:lineRule="auto"/>
        <w:ind w:firstLine="720"/>
        <w:rPr>
          <w:rFonts w:cstheme="minorHAnsi"/>
          <w:lang w:val="en"/>
        </w:rPr>
      </w:pPr>
      <w:r w:rsidRPr="00471C1C">
        <w:rPr>
          <w:rFonts w:cstheme="minorHAnsi"/>
          <w:lang w:val="en"/>
        </w:rPr>
        <w:t>As of 2</w:t>
      </w:r>
      <w:r w:rsidRPr="00471C1C">
        <w:rPr>
          <w:rFonts w:cstheme="minorHAnsi"/>
          <w:vertAlign w:val="superscript"/>
          <w:lang w:val="en"/>
        </w:rPr>
        <w:t>nd</w:t>
      </w:r>
      <w:r w:rsidRPr="00471C1C">
        <w:rPr>
          <w:rFonts w:cstheme="minorHAnsi"/>
          <w:lang w:val="en"/>
        </w:rPr>
        <w:t xml:space="preserve"> July 2020 the Metropolitan Police’s Gang Violence Matrix had over 2000 identified gang members listed, of this 2000 over 300 were aged 18 and under (Metropolitan</w:t>
      </w:r>
      <w:r>
        <w:rPr>
          <w:rFonts w:cstheme="minorHAnsi"/>
          <w:lang w:val="en"/>
        </w:rPr>
        <w:t xml:space="preserve"> Police, 2020).</w:t>
      </w:r>
      <w:r w:rsidRPr="00471C1C">
        <w:rPr>
          <w:rFonts w:cstheme="minorHAnsi"/>
          <w:lang w:val="en"/>
        </w:rPr>
        <w:t xml:space="preserve"> There can be a number of reasons why youths are drawn into gangs and the gang culture, whether it’s for protection, out of fear, or wanting to fit in, members have their own reasons for wanting to be part of a gang. Through studies Howell and </w:t>
      </w:r>
      <w:proofErr w:type="spellStart"/>
      <w:r w:rsidRPr="00471C1C">
        <w:rPr>
          <w:rFonts w:cstheme="minorHAnsi"/>
          <w:lang w:val="en"/>
        </w:rPr>
        <w:t>Egley</w:t>
      </w:r>
      <w:proofErr w:type="spellEnd"/>
      <w:r w:rsidRPr="00471C1C">
        <w:rPr>
          <w:rFonts w:cstheme="minorHAnsi"/>
          <w:lang w:val="en"/>
        </w:rPr>
        <w:t xml:space="preserve"> (2005) identified over 40 risk factors as to why youths join gangs. Risk factors included Adverse Childhood Experiences or ADCEs. Health Scotland (2020) defines ACEs as ‘stressful events occurring during childhood’. These stressful events include parents separating, parents being incarcerated, being a victim of abuse or neglect, or living in a home where there is drug or alcohol misuse. Although not directly called adverse childhood experiences within the report, the 2019 report ‘Keeping Kids Safe – Improving Safeguarding </w:t>
      </w:r>
      <w:r w:rsidRPr="00471C1C">
        <w:rPr>
          <w:rFonts w:cstheme="minorHAnsi"/>
          <w:lang w:val="en"/>
        </w:rPr>
        <w:lastRenderedPageBreak/>
        <w:t>Responses to Gang Violence and Criminal Exploitation’ does suggest that young people are more likely to be recruited if there are problems at home such as neglect or domestic violence.</w:t>
      </w:r>
    </w:p>
    <w:p w:rsidR="00EB0553" w:rsidRPr="00471C1C" w:rsidRDefault="00EB0553" w:rsidP="00EB0553">
      <w:pPr>
        <w:spacing w:line="480" w:lineRule="auto"/>
        <w:ind w:firstLine="720"/>
        <w:rPr>
          <w:rFonts w:cstheme="minorHAnsi"/>
          <w:lang w:val="en"/>
        </w:rPr>
      </w:pPr>
      <w:r w:rsidRPr="00471C1C">
        <w:rPr>
          <w:rFonts w:cstheme="minorHAnsi"/>
          <w:lang w:val="en"/>
        </w:rPr>
        <w:t xml:space="preserve">Another potential reason behind youth gang involvement is socio-economic class and background. A 2016 National Crime Agency report regarding gangs and violence suggested that ‘most commonly children from poor backgrounds engaged in offending behavior’.  Fagan (2007) theorizes that youths from backgrounds of poverty are drawn into the gang lifestyle due to the large amounts of money that drug dealing gangs earn, thus allowing them to purchase things that may not have been available to them had they not joined the gang.   </w:t>
      </w:r>
    </w:p>
    <w:p w:rsidR="00EB0553" w:rsidRPr="00471C1C" w:rsidRDefault="00EB0553" w:rsidP="00EB0553">
      <w:pPr>
        <w:spacing w:line="480" w:lineRule="auto"/>
        <w:ind w:firstLine="720"/>
        <w:rPr>
          <w:rFonts w:cstheme="minorHAnsi"/>
          <w:lang w:val="en"/>
        </w:rPr>
      </w:pPr>
      <w:r w:rsidRPr="00471C1C">
        <w:rPr>
          <w:rFonts w:cstheme="minorHAnsi"/>
          <w:lang w:val="en"/>
        </w:rPr>
        <w:t xml:space="preserve">Children in general are classed as vulnerable by virtue of their age, however young people and children with ACE’s are considered to be more vulnerable due to their circumstances. Gangs will prey on these vulnerabilities and could potentially lead to the exploitation of these people. County lines for example it is common for the dealers to recruit the vulnerable young people to act as the drug runner between the major cities (National Crime Agency, 2020). As well as targeting vulnerable young members of society to act as part of the gang, another common tactic used within the gang culture is term known as ‘cuckooing’. Cuckooing is when gangs target vulnerable members of society who live in home, usually alone, and then move in with the intention of dealing drugs from the property and expanding their drug line (NCA, 2020). The people the gangs tend to target are vulnerable for number of reasons, due to addiction, and therefore the gangs exploit the person’s needs for drugs for example. </w:t>
      </w:r>
    </w:p>
    <w:p w:rsidR="00EB0553" w:rsidRPr="00471C1C" w:rsidRDefault="00EB0553" w:rsidP="00EB0553">
      <w:pPr>
        <w:spacing w:line="480" w:lineRule="auto"/>
        <w:ind w:firstLine="720"/>
        <w:rPr>
          <w:rFonts w:cstheme="minorHAnsi"/>
        </w:rPr>
      </w:pPr>
      <w:r w:rsidRPr="00471C1C">
        <w:rPr>
          <w:rFonts w:cstheme="minorHAnsi"/>
          <w:lang w:val="en"/>
        </w:rPr>
        <w:t xml:space="preserve">It can be argued that gang members can be seen </w:t>
      </w:r>
      <w:r w:rsidR="00535787">
        <w:rPr>
          <w:rFonts w:cstheme="minorHAnsi"/>
          <w:lang w:val="en"/>
        </w:rPr>
        <w:t>as victims themselves.</w:t>
      </w:r>
      <w:r w:rsidRPr="00471C1C">
        <w:rPr>
          <w:rFonts w:cstheme="minorHAnsi"/>
          <w:lang w:val="en"/>
        </w:rPr>
        <w:t xml:space="preserve"> </w:t>
      </w:r>
      <w:proofErr w:type="spellStart"/>
      <w:r w:rsidRPr="00471C1C">
        <w:rPr>
          <w:rFonts w:cstheme="minorHAnsi"/>
        </w:rPr>
        <w:t>Hindelang</w:t>
      </w:r>
      <w:proofErr w:type="spellEnd"/>
      <w:r w:rsidRPr="00471C1C">
        <w:rPr>
          <w:rFonts w:cstheme="minorHAnsi"/>
        </w:rPr>
        <w:t xml:space="preserve">, </w:t>
      </w:r>
      <w:proofErr w:type="spellStart"/>
      <w:r w:rsidRPr="00471C1C">
        <w:rPr>
          <w:rFonts w:cstheme="minorHAnsi"/>
        </w:rPr>
        <w:t>Gottfredson</w:t>
      </w:r>
      <w:proofErr w:type="spellEnd"/>
      <w:r w:rsidRPr="00471C1C">
        <w:rPr>
          <w:rFonts w:cstheme="minorHAnsi"/>
        </w:rPr>
        <w:t xml:space="preserve">, and </w:t>
      </w:r>
      <w:proofErr w:type="spellStart"/>
      <w:r w:rsidRPr="00471C1C">
        <w:rPr>
          <w:rFonts w:cstheme="minorHAnsi"/>
        </w:rPr>
        <w:t>Garofalo</w:t>
      </w:r>
      <w:proofErr w:type="spellEnd"/>
      <w:r w:rsidRPr="00471C1C">
        <w:rPr>
          <w:rFonts w:cstheme="minorHAnsi"/>
        </w:rPr>
        <w:t xml:space="preserve"> </w:t>
      </w:r>
      <w:r w:rsidR="00535787">
        <w:rPr>
          <w:rFonts w:cstheme="minorHAnsi"/>
        </w:rPr>
        <w:t xml:space="preserve">(1978) </w:t>
      </w:r>
      <w:r w:rsidRPr="00471C1C">
        <w:rPr>
          <w:rFonts w:cstheme="minorHAnsi"/>
        </w:rPr>
        <w:t xml:space="preserve">theorized that victims often led a lifestyle that exposed a greater risk to them becoming victims of crime. A common theme amongst gangs is to have territory and should rival gangs encroach on that territory there are often violent repercussion. In most cases it would be expected that the young members of the gang would conduct a violent act against the rival gang as retribution. Pursuing a life of violence as part of a gang will greatly increase the exposure the </w:t>
      </w:r>
      <w:r w:rsidRPr="00471C1C">
        <w:rPr>
          <w:rFonts w:cstheme="minorHAnsi"/>
        </w:rPr>
        <w:lastRenderedPageBreak/>
        <w:t xml:space="preserve">violence in many ways. Another theory of victimology is Jensen and Brownfield (1986) whose studies show that having violent associations increase the chances that violence is a routine activity. Gangs are known to act in violent ways, and routinely carry weapons. Being around a violent environment on a regular basis becomes the routine. </w:t>
      </w:r>
      <w:proofErr w:type="spellStart"/>
      <w:r w:rsidRPr="00471C1C">
        <w:rPr>
          <w:rFonts w:cstheme="minorHAnsi"/>
        </w:rPr>
        <w:t>Felson</w:t>
      </w:r>
      <w:proofErr w:type="spellEnd"/>
      <w:r w:rsidRPr="00471C1C">
        <w:rPr>
          <w:rFonts w:cstheme="minorHAnsi"/>
        </w:rPr>
        <w:t xml:space="preserve"> (1986) said ‘people can make choices, but they cannot chose the choices available to them’. This can relate to youth gang membership because often the younger members of a gang are seen as the lower ranks, working for the high ranking gang leaders. The leaders will give orders for the younger members to carry out violent acts, commit other illegal activities such as drug trafficking or be exploited for a sexual purpose. When part of the gang often the fear of violence being used upon you or peer pressure to commit an act is enough to stop you leaving the gang or saying no.  </w:t>
      </w:r>
    </w:p>
    <w:p w:rsidR="00EB0553" w:rsidRPr="00471C1C" w:rsidRDefault="00EB0553" w:rsidP="00EB0553">
      <w:pPr>
        <w:spacing w:line="480" w:lineRule="auto"/>
        <w:ind w:firstLine="720"/>
        <w:rPr>
          <w:rFonts w:cstheme="minorHAnsi"/>
        </w:rPr>
      </w:pPr>
      <w:r w:rsidRPr="00471C1C">
        <w:rPr>
          <w:rFonts w:cstheme="minorHAnsi"/>
        </w:rPr>
        <w:t xml:space="preserve">Although there is a growing trend in youth gangs, youth gang involvement and gang culture there is no definitive definition for a gang or definitive national number for youth gang members. It is easy to see youth gang members as violent perpetrators of crime, but when we look deeper into their involvement it’s easier to say how they can actually the victims to gangs and the crimes that are commonly associated with gangs. It is possible for youths to be deterred from gangs and gangs related crime. Early intervention schemes can help youths avoid the gang lifestyle and County Lines style crime operations. </w:t>
      </w:r>
    </w:p>
    <w:p w:rsidR="00EB0553" w:rsidRDefault="00535787" w:rsidP="00EB0553">
      <w:pPr>
        <w:spacing w:line="480" w:lineRule="auto"/>
        <w:rPr>
          <w:rFonts w:cstheme="minorHAnsi"/>
          <w:sz w:val="20"/>
          <w:szCs w:val="20"/>
        </w:rPr>
      </w:pPr>
      <w:r>
        <w:rPr>
          <w:rFonts w:cstheme="minorHAnsi"/>
          <w:sz w:val="20"/>
          <w:szCs w:val="20"/>
        </w:rPr>
        <w:t>943</w:t>
      </w:r>
      <w:bookmarkStart w:id="0" w:name="_GoBack"/>
      <w:bookmarkEnd w:id="0"/>
    </w:p>
    <w:p w:rsidR="00EB0553" w:rsidRDefault="00EB0553" w:rsidP="00EB0553">
      <w:pPr>
        <w:spacing w:line="480" w:lineRule="auto"/>
        <w:rPr>
          <w:rFonts w:cstheme="minorHAnsi"/>
          <w:sz w:val="20"/>
          <w:szCs w:val="20"/>
        </w:rPr>
      </w:pPr>
    </w:p>
    <w:p w:rsidR="00EB0553" w:rsidRDefault="00EB0553" w:rsidP="00EB0553">
      <w:pPr>
        <w:spacing w:line="480" w:lineRule="auto"/>
        <w:rPr>
          <w:rFonts w:cstheme="minorHAnsi"/>
          <w:sz w:val="20"/>
          <w:szCs w:val="20"/>
        </w:rPr>
      </w:pPr>
    </w:p>
    <w:p w:rsidR="00EB0553" w:rsidRDefault="00EB0553" w:rsidP="00EB0553">
      <w:pPr>
        <w:spacing w:line="480" w:lineRule="auto"/>
        <w:rPr>
          <w:rFonts w:cstheme="minorHAnsi"/>
          <w:sz w:val="20"/>
          <w:szCs w:val="20"/>
        </w:rPr>
      </w:pPr>
    </w:p>
    <w:p w:rsidR="00EB0553" w:rsidRDefault="00EB0553" w:rsidP="00EB0553">
      <w:pPr>
        <w:spacing w:line="480" w:lineRule="auto"/>
        <w:rPr>
          <w:rFonts w:cstheme="minorHAnsi"/>
          <w:sz w:val="20"/>
          <w:szCs w:val="20"/>
        </w:rPr>
      </w:pPr>
    </w:p>
    <w:p w:rsidR="00EB0553" w:rsidRDefault="00EB0553" w:rsidP="00EB0553">
      <w:pPr>
        <w:spacing w:line="480" w:lineRule="auto"/>
        <w:rPr>
          <w:rFonts w:cstheme="minorHAnsi"/>
          <w:sz w:val="20"/>
          <w:szCs w:val="20"/>
        </w:rPr>
      </w:pPr>
    </w:p>
    <w:p w:rsidR="00EB0553" w:rsidRDefault="00EB0553" w:rsidP="00EB0553">
      <w:pPr>
        <w:spacing w:line="480" w:lineRule="auto"/>
        <w:rPr>
          <w:rFonts w:cstheme="minorHAnsi"/>
          <w:sz w:val="20"/>
          <w:szCs w:val="20"/>
        </w:rPr>
      </w:pPr>
    </w:p>
    <w:p w:rsidR="00EB0553" w:rsidRPr="001A2B38" w:rsidRDefault="00EB0553" w:rsidP="00EB0553">
      <w:pPr>
        <w:overflowPunct w:val="0"/>
        <w:autoSpaceDE w:val="0"/>
        <w:autoSpaceDN w:val="0"/>
        <w:adjustRightInd w:val="0"/>
        <w:spacing w:before="240" w:after="0" w:line="240" w:lineRule="auto"/>
        <w:ind w:left="360"/>
        <w:textAlignment w:val="baseline"/>
        <w:rPr>
          <w:rFonts w:eastAsia="Times New Roman" w:cstheme="minorHAnsi"/>
          <w:b/>
          <w:u w:val="single"/>
          <w:lang w:eastAsia="en-GB"/>
        </w:rPr>
      </w:pPr>
      <w:r w:rsidRPr="001A2B38">
        <w:rPr>
          <w:rFonts w:eastAsia="Times New Roman" w:cstheme="minorHAnsi"/>
          <w:b/>
          <w:u w:val="single"/>
          <w:lang w:eastAsia="en-GB"/>
        </w:rPr>
        <w:lastRenderedPageBreak/>
        <w:t>Title 4: Critically evaluate the impact upon policing of differing values, ethics and norms within diverse communities and the importance of effective communication when working within these communities.</w:t>
      </w:r>
    </w:p>
    <w:p w:rsidR="00EB0553" w:rsidRDefault="00EB0553" w:rsidP="00EB0553">
      <w:pPr>
        <w:spacing w:line="480" w:lineRule="auto"/>
      </w:pPr>
    </w:p>
    <w:p w:rsidR="00EB0553" w:rsidRDefault="00EB0553" w:rsidP="00EB0553">
      <w:pPr>
        <w:spacing w:line="480" w:lineRule="auto"/>
      </w:pPr>
      <w:r>
        <w:t xml:space="preserve">The United Kingdom has a very diverse background and with it brings impacts and challenges the Police face when trying to police these diverse communities. The communities are diverse for a number of reasons such as age, religion, ethnicity, socio-economical background. The way the Police communicate and deal with incidents involving members with one of the characteristics of diversity might not necessarily work or be as effective when dealing with another, it is important for all members of the community to be able to trust the Police. </w:t>
      </w:r>
    </w:p>
    <w:p w:rsidR="00EB0553" w:rsidRDefault="00EB0553" w:rsidP="00EB0553">
      <w:pPr>
        <w:spacing w:line="480" w:lineRule="auto"/>
      </w:pPr>
      <w:r>
        <w:tab/>
        <w:t xml:space="preserve">Trust and legitimacy are vital for the maintenance of the Police function (Tyler, 2011) although Tyler’s statement is based mainly on US studies, globally trust between the police and communities is vital. Without that link communities may not contact Police when help is needed and sources of information and intelligence will be diminished. Within the diverse communities are members of society who’s interaction with Police may not have been positive, this encounter may have been in a different country where by Policing is corrupt, and lawless in itself. </w:t>
      </w:r>
    </w:p>
    <w:p w:rsidR="00EB0553" w:rsidRDefault="00EB0553" w:rsidP="00EB0553">
      <w:pPr>
        <w:spacing w:line="480" w:lineRule="auto"/>
      </w:pPr>
      <w:r>
        <w:tab/>
        <w:t xml:space="preserve">Police services have had to find new ways of reaching members of society who they have not been able to reach in the past. Instead of waiting for the public to come to them the Police have had to change their methods and go to out to the community instead, holding street briefings, going door to door and conducting regular foot patrols (College of Policing, 2020). By conducting this style of engagement it does not isolate the members of the community who are unable to attend the formal meetings such as PACT, it makes the Police open and accessible to everyone. </w:t>
      </w:r>
    </w:p>
    <w:p w:rsidR="00EB0553" w:rsidRDefault="00EB0553" w:rsidP="00EB0553">
      <w:pPr>
        <w:spacing w:line="480" w:lineRule="auto"/>
      </w:pPr>
      <w:r>
        <w:tab/>
        <w:t xml:space="preserve">Effective communication is important between the community and Police. As mentioned, the public is a source of information and intelligence, however if the communication is not effective then the information will either be lost or misinterpreted. There are number of different communication models that can be used to reach all members of the community, when policing </w:t>
      </w:r>
      <w:r>
        <w:lastRenderedPageBreak/>
        <w:t xml:space="preserve">diverse communities </w:t>
      </w:r>
      <w:proofErr w:type="spellStart"/>
      <w:r>
        <w:t>Barnlund</w:t>
      </w:r>
      <w:r w:rsidR="008708DC">
        <w:t>’</w:t>
      </w:r>
      <w:r>
        <w:t>s</w:t>
      </w:r>
      <w:proofErr w:type="spellEnd"/>
      <w:r>
        <w:t xml:space="preserve"> (1962) transactional model of communication is probably the most appropriate to use. </w:t>
      </w:r>
      <w:proofErr w:type="spellStart"/>
      <w:r>
        <w:t>Barnlund’s</w:t>
      </w:r>
      <w:proofErr w:type="spellEnd"/>
      <w:r>
        <w:t xml:space="preserve"> model says that communication is the simultaneous transmission of the message from the sender but also feedback from the receiver. This feedback can be verbal or non-verbal such as visual cues. The sender, such as the Police, need to be able to pick up on these visual clues to ensure that the receiver is understanding the message. Working within diverse communities of people whose first language is not English makes those visual clues to vital.  </w:t>
      </w:r>
    </w:p>
    <w:p w:rsidR="00EB0553" w:rsidRDefault="00EB0553" w:rsidP="00EB0553">
      <w:pPr>
        <w:spacing w:line="480" w:lineRule="auto"/>
      </w:pPr>
      <w:r>
        <w:tab/>
        <w:t xml:space="preserve">The code of ethics set out by the College of Policing should be at the heart of every decision officer’s make, as per the National Decision Making Model (College of Policing, Code of Ethics, 2014). However when policing the diverse communities it’s important to consider cultural and social norms, in line with the law, just because something is culturally normal does not mean that it adheres to the UK law and legislation, female genital mutilation for example. Although a widely practiced cultural norm in parts of Africa, the Middle East and Asia FGM is illegal in the UK. In instances like this cultural norms and diversity cannot be considered and the law must take precedence. </w:t>
      </w:r>
    </w:p>
    <w:p w:rsidR="00EB0553" w:rsidRDefault="00EB0553" w:rsidP="00EB0553">
      <w:pPr>
        <w:spacing w:line="480" w:lineRule="auto"/>
      </w:pPr>
      <w:r>
        <w:tab/>
        <w:t xml:space="preserve">It can be argued that to police a diverse community that Police forces should have a diverse workforce. A Police Workforce Study conducted by the UK government in 2019 shows ‘at the end of March 2019, 93.1% of Police officers in England and Wales were from the white ethnic group’ (Home Office, 2019).  In February 2019, the then Chair of the National Police Chiefs Council and former Chief Constable Sara Thornton said about recruitment of underrepresented minorities ‘I think there’s an argument we could select on merit, put people into a pool and then appoint on representation’ (Guardian, 2019). It would appear that what Thornton is saying here is that police forces could recruit form the wider public, however when vacancies arise appointments should be made dependant on the underrepresented workforce. The thought process behind this is that communities would feel represented, and that the institutional racism within police forces, that was mentioned within the Macpherson Report would become eradicated by new officers reflecting a diverse workforce and diverse community. </w:t>
      </w:r>
    </w:p>
    <w:p w:rsidR="00EB0553" w:rsidRDefault="00EB0553" w:rsidP="00EB0553">
      <w:pPr>
        <w:spacing w:line="480" w:lineRule="auto"/>
        <w:rPr>
          <w:color w:val="121212"/>
          <w:lang w:val="en"/>
        </w:rPr>
      </w:pPr>
      <w:r>
        <w:lastRenderedPageBreak/>
        <w:tab/>
        <w:t>The counter argument to that statement by Thornton could be that race, religion, gender and other diverse characteristics should not come into decision making, and should not impact the Police force or the community it serves. The best candidate, who will serve the community and abide by the standards of professional behaviour and code of ethics should be appointed. In 2014 Louise Maynard-</w:t>
      </w:r>
      <w:proofErr w:type="spellStart"/>
      <w:r>
        <w:t>Atem</w:t>
      </w:r>
      <w:proofErr w:type="spellEnd"/>
      <w:r>
        <w:t xml:space="preserve"> in regards to positive discrimination and recruitment said it ‘</w:t>
      </w:r>
      <w:r>
        <w:rPr>
          <w:color w:val="121212"/>
          <w:lang w:val="en"/>
        </w:rPr>
        <w:t>serves not only to lessen the sense of achievement for those on the right side of the coin, but also to foster resentment for those who aren't part of the chosen minority’ (The Guardian, 2014). Maynard-</w:t>
      </w:r>
      <w:proofErr w:type="spellStart"/>
      <w:r>
        <w:rPr>
          <w:color w:val="121212"/>
          <w:lang w:val="en"/>
        </w:rPr>
        <w:t>Atem</w:t>
      </w:r>
      <w:proofErr w:type="spellEnd"/>
      <w:r>
        <w:rPr>
          <w:color w:val="121212"/>
          <w:lang w:val="en"/>
        </w:rPr>
        <w:t xml:space="preserve"> is appearing to say that should a person be recruited purely on the basis that they improve diversity statistics, not only does it suggest that the candidates who aren’t part of a minority community will become disillusioned with organizations, and also cause resentment between them and the minority community. It also suggests that the best person for the job was not recruited.</w:t>
      </w:r>
    </w:p>
    <w:p w:rsidR="00EB0553" w:rsidRDefault="00EB0553" w:rsidP="00EB0553">
      <w:pPr>
        <w:spacing w:line="480" w:lineRule="auto"/>
        <w:rPr>
          <w:color w:val="121212"/>
          <w:lang w:val="en"/>
        </w:rPr>
      </w:pPr>
      <w:r>
        <w:rPr>
          <w:color w:val="121212"/>
          <w:lang w:val="en"/>
        </w:rPr>
        <w:tab/>
        <w:t>In conclusion, policing diverse communities not only has an impact on operational policing, evidence gathering and intelligence gathering but it also has an impact on the business side of policing. There is a need for diverse communities to be represented in the Police force, but the code of ethics are in place to ensure that all members of the community are treated fairly and with impartiality. Providing officers can communicate effectively with members of a diverse community trust and legitimacy can be maintained. Identifying key individuals within the community will further assist in building that trust.</w:t>
      </w:r>
    </w:p>
    <w:p w:rsidR="00EB0553" w:rsidRDefault="00EB0553" w:rsidP="00EB0553">
      <w:pPr>
        <w:spacing w:line="480" w:lineRule="auto"/>
        <w:rPr>
          <w:color w:val="121212"/>
          <w:lang w:val="en"/>
        </w:rPr>
      </w:pPr>
      <w:r>
        <w:rPr>
          <w:color w:val="121212"/>
          <w:lang w:val="en"/>
        </w:rPr>
        <w:t>974</w:t>
      </w:r>
    </w:p>
    <w:p w:rsidR="00806E81" w:rsidRDefault="00806E81" w:rsidP="00EB0553">
      <w:pPr>
        <w:spacing w:line="480" w:lineRule="auto"/>
        <w:rPr>
          <w:color w:val="121212"/>
          <w:lang w:val="en"/>
        </w:rPr>
      </w:pPr>
    </w:p>
    <w:p w:rsidR="00806E81" w:rsidRDefault="00806E81" w:rsidP="00EB0553">
      <w:pPr>
        <w:spacing w:line="480" w:lineRule="auto"/>
        <w:rPr>
          <w:color w:val="121212"/>
          <w:lang w:val="en"/>
        </w:rPr>
      </w:pPr>
    </w:p>
    <w:p w:rsidR="00806E81" w:rsidRDefault="00806E81" w:rsidP="00EB0553">
      <w:pPr>
        <w:spacing w:line="480" w:lineRule="auto"/>
        <w:rPr>
          <w:color w:val="121212"/>
          <w:lang w:val="en"/>
        </w:rPr>
      </w:pPr>
    </w:p>
    <w:p w:rsidR="00806E81" w:rsidRDefault="00806E81" w:rsidP="00EB0553">
      <w:pPr>
        <w:spacing w:line="480" w:lineRule="auto"/>
        <w:rPr>
          <w:color w:val="121212"/>
          <w:lang w:val="en"/>
        </w:rPr>
      </w:pPr>
    </w:p>
    <w:p w:rsidR="00806E81" w:rsidRDefault="00806E81" w:rsidP="00EB0553">
      <w:pPr>
        <w:spacing w:line="480" w:lineRule="auto"/>
        <w:rPr>
          <w:color w:val="121212"/>
          <w:lang w:val="en"/>
        </w:rPr>
      </w:pPr>
    </w:p>
    <w:p w:rsidR="00806E81" w:rsidRDefault="00806E81" w:rsidP="00EB0553">
      <w:pPr>
        <w:spacing w:line="480" w:lineRule="auto"/>
        <w:rPr>
          <w:b/>
          <w:color w:val="121212"/>
          <w:u w:val="single"/>
          <w:lang w:val="en"/>
        </w:rPr>
      </w:pPr>
      <w:r w:rsidRPr="00AA38D7">
        <w:rPr>
          <w:b/>
          <w:color w:val="121212"/>
          <w:u w:val="single"/>
          <w:lang w:val="en"/>
        </w:rPr>
        <w:lastRenderedPageBreak/>
        <w:t xml:space="preserve">REFERENCES </w:t>
      </w:r>
    </w:p>
    <w:p w:rsidR="00AA38D7" w:rsidRPr="000174C7" w:rsidRDefault="00AA38D7" w:rsidP="00AA38D7">
      <w:pPr>
        <w:autoSpaceDE w:val="0"/>
        <w:autoSpaceDN w:val="0"/>
        <w:adjustRightInd w:val="0"/>
        <w:spacing w:before="100" w:after="100" w:line="240" w:lineRule="auto"/>
        <w:rPr>
          <w:rFonts w:cstheme="minorHAnsi"/>
          <w:lang w:val="en"/>
        </w:rPr>
      </w:pPr>
      <w:proofErr w:type="spellStart"/>
      <w:r w:rsidRPr="000174C7">
        <w:rPr>
          <w:rFonts w:cstheme="minorHAnsi"/>
          <w:lang w:val="en"/>
        </w:rPr>
        <w:t>Ayre</w:t>
      </w:r>
      <w:proofErr w:type="spellEnd"/>
      <w:r w:rsidRPr="000174C7">
        <w:rPr>
          <w:rFonts w:cstheme="minorHAnsi"/>
          <w:lang w:val="en"/>
        </w:rPr>
        <w:t xml:space="preserve">, Patrick. (2001) "Child Protection and the Media: Lessons from the Last Three Decades." </w:t>
      </w:r>
      <w:r w:rsidRPr="000174C7">
        <w:rPr>
          <w:rFonts w:cstheme="minorHAnsi"/>
          <w:i/>
          <w:iCs/>
          <w:lang w:val="en"/>
        </w:rPr>
        <w:t>British Journal of Social Work</w:t>
      </w:r>
      <w:r w:rsidRPr="000174C7">
        <w:rPr>
          <w:rFonts w:cstheme="minorHAnsi"/>
          <w:lang w:val="en"/>
        </w:rPr>
        <w:t xml:space="preserve"> 31.6: p888</w:t>
      </w:r>
    </w:p>
    <w:p w:rsidR="00AA38D7" w:rsidRPr="000174C7" w:rsidRDefault="00AA38D7" w:rsidP="00AA38D7">
      <w:pPr>
        <w:pStyle w:val="c-reading-companionreference-citation"/>
        <w:pBdr>
          <w:top w:val="single" w:sz="6" w:space="6" w:color="D5D5D5"/>
        </w:pBdr>
        <w:rPr>
          <w:rFonts w:asciiTheme="minorHAnsi" w:hAnsiTheme="minorHAnsi" w:cstheme="minorHAnsi"/>
          <w:sz w:val="22"/>
          <w:szCs w:val="22"/>
          <w:lang w:val="en"/>
        </w:rPr>
      </w:pPr>
      <w:proofErr w:type="spellStart"/>
      <w:r w:rsidRPr="000174C7">
        <w:rPr>
          <w:rFonts w:asciiTheme="minorHAnsi" w:hAnsiTheme="minorHAnsi" w:cstheme="minorHAnsi"/>
          <w:sz w:val="22"/>
          <w:szCs w:val="22"/>
          <w:lang w:val="en"/>
        </w:rPr>
        <w:t>Barnlund</w:t>
      </w:r>
      <w:proofErr w:type="spellEnd"/>
      <w:r w:rsidRPr="000174C7">
        <w:rPr>
          <w:rFonts w:asciiTheme="minorHAnsi" w:hAnsiTheme="minorHAnsi" w:cstheme="minorHAnsi"/>
          <w:sz w:val="22"/>
          <w:szCs w:val="22"/>
          <w:lang w:val="en"/>
        </w:rPr>
        <w:t xml:space="preserve">, D. C. (1962). Toward a meaning-centered philosophy of communication, </w:t>
      </w:r>
      <w:r w:rsidRPr="000174C7">
        <w:rPr>
          <w:rStyle w:val="Emphasis"/>
          <w:rFonts w:asciiTheme="minorHAnsi" w:hAnsiTheme="minorHAnsi" w:cstheme="minorHAnsi"/>
          <w:sz w:val="22"/>
          <w:szCs w:val="22"/>
          <w:lang w:val="en"/>
        </w:rPr>
        <w:t>Journal of Communication,</w:t>
      </w:r>
      <w:r w:rsidRPr="000174C7">
        <w:rPr>
          <w:rFonts w:asciiTheme="minorHAnsi" w:hAnsiTheme="minorHAnsi" w:cstheme="minorHAnsi"/>
          <w:sz w:val="22"/>
          <w:szCs w:val="22"/>
          <w:lang w:val="en"/>
        </w:rPr>
        <w:t xml:space="preserve"> 12(4)</w:t>
      </w:r>
    </w:p>
    <w:p w:rsidR="00AA38D7" w:rsidRPr="000174C7" w:rsidRDefault="00AA38D7" w:rsidP="00AA38D7">
      <w:pPr>
        <w:autoSpaceDE w:val="0"/>
        <w:autoSpaceDN w:val="0"/>
        <w:adjustRightInd w:val="0"/>
        <w:spacing w:before="100" w:after="100" w:line="240" w:lineRule="auto"/>
        <w:rPr>
          <w:rFonts w:cstheme="minorHAnsi"/>
          <w:lang w:val="en"/>
        </w:rPr>
      </w:pPr>
      <w:proofErr w:type="spellStart"/>
      <w:r w:rsidRPr="000174C7">
        <w:rPr>
          <w:rFonts w:cstheme="minorHAnsi"/>
          <w:lang w:val="en"/>
        </w:rPr>
        <w:t>Childrens</w:t>
      </w:r>
      <w:proofErr w:type="spellEnd"/>
      <w:r w:rsidRPr="000174C7">
        <w:rPr>
          <w:rFonts w:cstheme="minorHAnsi"/>
          <w:lang w:val="en"/>
        </w:rPr>
        <w:t xml:space="preserve"> Commissioner. 2019. Keeping Kids Safe. [ONLINE] Available at: </w:t>
      </w:r>
      <w:hyperlink r:id="rId6" w:history="1">
        <w:r w:rsidRPr="000174C7">
          <w:rPr>
            <w:rStyle w:val="Hyperlink"/>
            <w:rFonts w:cstheme="minorHAnsi"/>
            <w:color w:val="auto"/>
            <w:lang w:val="en"/>
          </w:rPr>
          <w:t>https://www.childrenscommissioner.gov.uk/wp-content/uploads/2019/02/CCO-Gangs.pdf</w:t>
        </w:r>
      </w:hyperlink>
      <w:r w:rsidRPr="000174C7">
        <w:rPr>
          <w:rFonts w:cstheme="minorHAnsi"/>
          <w:lang w:val="en"/>
        </w:rPr>
        <w:t>. [Accessed 15 July 2020].</w:t>
      </w:r>
    </w:p>
    <w:p w:rsidR="00AA38D7" w:rsidRPr="000174C7" w:rsidRDefault="00AA38D7" w:rsidP="00AA38D7">
      <w:pPr>
        <w:pStyle w:val="c-reading-companionreference-citation"/>
        <w:pBdr>
          <w:top w:val="single" w:sz="6" w:space="6" w:color="D5D5D5"/>
        </w:pBdr>
        <w:rPr>
          <w:rFonts w:asciiTheme="minorHAnsi" w:hAnsiTheme="minorHAnsi" w:cstheme="minorHAnsi"/>
          <w:sz w:val="22"/>
          <w:szCs w:val="22"/>
          <w:lang w:val="en"/>
        </w:rPr>
      </w:pPr>
      <w:r w:rsidRPr="000174C7">
        <w:rPr>
          <w:rFonts w:asciiTheme="minorHAnsi" w:hAnsiTheme="minorHAnsi" w:cstheme="minorHAnsi"/>
          <w:sz w:val="22"/>
          <w:szCs w:val="22"/>
          <w:lang w:val="en"/>
        </w:rPr>
        <w:t xml:space="preserve">College of Policing. 2014. Code of Ethics. [ONLINE] Available at: </w:t>
      </w:r>
      <w:hyperlink r:id="rId7" w:history="1">
        <w:r w:rsidRPr="000174C7">
          <w:rPr>
            <w:rStyle w:val="Hyperlink"/>
            <w:rFonts w:asciiTheme="minorHAnsi" w:hAnsiTheme="minorHAnsi" w:cstheme="minorHAnsi"/>
            <w:color w:val="auto"/>
            <w:sz w:val="22"/>
            <w:szCs w:val="22"/>
            <w:lang w:val="en"/>
          </w:rPr>
          <w:t>https://www.college.police.uk/What-we-do/Ethics/Documents/Code_of_Ethics.pdf</w:t>
        </w:r>
      </w:hyperlink>
      <w:r w:rsidRPr="000174C7">
        <w:rPr>
          <w:rFonts w:asciiTheme="minorHAnsi" w:hAnsiTheme="minorHAnsi" w:cstheme="minorHAnsi"/>
          <w:sz w:val="22"/>
          <w:szCs w:val="22"/>
          <w:lang w:val="en"/>
        </w:rPr>
        <w:t>. [Accessed 5 August 2020].</w:t>
      </w:r>
    </w:p>
    <w:p w:rsidR="00AA38D7" w:rsidRPr="000174C7" w:rsidRDefault="00AA38D7" w:rsidP="00AA38D7">
      <w:pPr>
        <w:autoSpaceDE w:val="0"/>
        <w:autoSpaceDN w:val="0"/>
        <w:adjustRightInd w:val="0"/>
        <w:spacing w:before="100" w:after="100" w:line="240" w:lineRule="auto"/>
        <w:rPr>
          <w:rFonts w:cstheme="minorHAnsi"/>
        </w:rPr>
      </w:pPr>
      <w:r w:rsidRPr="000174C7">
        <w:rPr>
          <w:rFonts w:cstheme="minorHAnsi"/>
          <w:lang w:val="en"/>
        </w:rPr>
        <w:t xml:space="preserve">College of Policing. 2015. Professional Standards. [ONLINE] Available at: </w:t>
      </w:r>
      <w:hyperlink r:id="rId8" w:history="1">
        <w:r w:rsidRPr="000174C7">
          <w:rPr>
            <w:rStyle w:val="Hyperlink"/>
            <w:rFonts w:cstheme="minorHAnsi"/>
            <w:color w:val="auto"/>
            <w:lang w:val="en"/>
          </w:rPr>
          <w:t>https://www.app.college.police.uk/app-content/professional-standards/</w:t>
        </w:r>
      </w:hyperlink>
      <w:r w:rsidRPr="000174C7">
        <w:rPr>
          <w:rFonts w:cstheme="minorHAnsi"/>
          <w:lang w:val="en"/>
        </w:rPr>
        <w:t>. [Accessed 15 June 2020].</w:t>
      </w:r>
    </w:p>
    <w:p w:rsidR="00AA38D7" w:rsidRDefault="00AA38D7" w:rsidP="00AA38D7">
      <w:pPr>
        <w:autoSpaceDE w:val="0"/>
        <w:autoSpaceDN w:val="0"/>
        <w:adjustRightInd w:val="0"/>
        <w:spacing w:before="100" w:after="100" w:line="240" w:lineRule="auto"/>
        <w:ind w:right="360"/>
        <w:rPr>
          <w:rFonts w:cstheme="minorHAnsi"/>
        </w:rPr>
      </w:pPr>
    </w:p>
    <w:p w:rsidR="00AA38D7" w:rsidRPr="000174C7" w:rsidRDefault="00AA38D7" w:rsidP="00AA38D7">
      <w:pPr>
        <w:autoSpaceDE w:val="0"/>
        <w:autoSpaceDN w:val="0"/>
        <w:adjustRightInd w:val="0"/>
        <w:spacing w:before="100" w:after="100" w:line="240" w:lineRule="auto"/>
        <w:ind w:right="360"/>
        <w:rPr>
          <w:rFonts w:cstheme="minorHAnsi"/>
        </w:rPr>
      </w:pPr>
      <w:r w:rsidRPr="000174C7">
        <w:rPr>
          <w:rFonts w:cstheme="minorHAnsi"/>
        </w:rPr>
        <w:t xml:space="preserve">College of Policing. 2020. Multi Agency Public Protection Arrangements. [ONLINE] Available at: </w:t>
      </w:r>
      <w:hyperlink r:id="rId9" w:history="1">
        <w:r w:rsidRPr="000174C7">
          <w:rPr>
            <w:rFonts w:cstheme="minorHAnsi"/>
            <w:u w:val="single"/>
          </w:rPr>
          <w:t>https://www.app.college.police.uk/app-content/major-investigation-and-public-protection/managing-sexual-offenders-and-violent-offenders/mappa/</w:t>
        </w:r>
      </w:hyperlink>
      <w:r w:rsidRPr="000174C7">
        <w:rPr>
          <w:rFonts w:cstheme="minorHAnsi"/>
        </w:rPr>
        <w:t xml:space="preserve">. [Accessed 6 July 2020]. </w:t>
      </w:r>
    </w:p>
    <w:p w:rsidR="00AA38D7" w:rsidRDefault="00AA38D7" w:rsidP="00AA38D7">
      <w:pPr>
        <w:autoSpaceDE w:val="0"/>
        <w:autoSpaceDN w:val="0"/>
        <w:adjustRightInd w:val="0"/>
        <w:spacing w:before="100" w:after="100" w:line="240" w:lineRule="auto"/>
        <w:rPr>
          <w:rFonts w:cstheme="minorHAnsi"/>
          <w:lang w:val="en"/>
        </w:rPr>
      </w:pPr>
    </w:p>
    <w:p w:rsidR="00AA38D7" w:rsidRPr="000174C7" w:rsidRDefault="00AA38D7" w:rsidP="00AA38D7">
      <w:pPr>
        <w:pStyle w:val="c-reading-companionreference-citation"/>
        <w:pBdr>
          <w:top w:val="single" w:sz="6" w:space="6" w:color="D5D5D5"/>
        </w:pBdr>
        <w:rPr>
          <w:rFonts w:asciiTheme="minorHAnsi" w:hAnsiTheme="minorHAnsi" w:cstheme="minorHAnsi"/>
          <w:sz w:val="22"/>
          <w:szCs w:val="22"/>
          <w:lang w:val="en"/>
        </w:rPr>
      </w:pPr>
      <w:r w:rsidRPr="000174C7">
        <w:rPr>
          <w:rFonts w:asciiTheme="minorHAnsi" w:hAnsiTheme="minorHAnsi" w:cstheme="minorHAnsi"/>
          <w:sz w:val="22"/>
          <w:szCs w:val="22"/>
          <w:lang w:val="en"/>
        </w:rPr>
        <w:t xml:space="preserve">College of Policing. 2020. Engaging Communities. [ONLINE] Available at: </w:t>
      </w:r>
      <w:hyperlink r:id="rId10" w:history="1">
        <w:r w:rsidRPr="000174C7">
          <w:rPr>
            <w:rStyle w:val="Hyperlink"/>
            <w:rFonts w:asciiTheme="minorHAnsi" w:hAnsiTheme="minorHAnsi" w:cstheme="minorHAnsi"/>
            <w:color w:val="auto"/>
            <w:sz w:val="22"/>
            <w:szCs w:val="22"/>
            <w:lang w:val="en"/>
          </w:rPr>
          <w:t>https://www.college.police.uk/What-we-do/Standards/Guidelines/Neighbourhood-Policing/Pages/engaging-communities.aspx</w:t>
        </w:r>
      </w:hyperlink>
      <w:r w:rsidRPr="000174C7">
        <w:rPr>
          <w:rFonts w:asciiTheme="minorHAnsi" w:hAnsiTheme="minorHAnsi" w:cstheme="minorHAnsi"/>
          <w:sz w:val="22"/>
          <w:szCs w:val="22"/>
          <w:lang w:val="en"/>
        </w:rPr>
        <w:t>. [Accessed 5 August 2020].</w:t>
      </w:r>
    </w:p>
    <w:p w:rsidR="00AA38D7" w:rsidRPr="000174C7" w:rsidRDefault="00AA38D7" w:rsidP="00AA38D7">
      <w:pPr>
        <w:pStyle w:val="Blockquote"/>
        <w:ind w:left="0"/>
        <w:rPr>
          <w:rFonts w:asciiTheme="minorHAnsi" w:hAnsiTheme="minorHAnsi" w:cstheme="minorHAnsi"/>
          <w:sz w:val="22"/>
          <w:szCs w:val="22"/>
        </w:rPr>
      </w:pPr>
      <w:r w:rsidRPr="000174C7">
        <w:rPr>
          <w:rFonts w:asciiTheme="minorHAnsi" w:hAnsiTheme="minorHAnsi" w:cstheme="minorHAnsi"/>
          <w:sz w:val="22"/>
          <w:szCs w:val="22"/>
        </w:rPr>
        <w:t xml:space="preserve">Crown Prosecution Service. 2017. Organised Crime - Strategy. [ONLINE] Available at: </w:t>
      </w:r>
      <w:hyperlink r:id="rId11" w:history="1">
        <w:r w:rsidRPr="000174C7">
          <w:rPr>
            <w:rStyle w:val="Hyperlink"/>
            <w:rFonts w:asciiTheme="minorHAnsi" w:hAnsiTheme="minorHAnsi" w:cstheme="minorHAnsi"/>
            <w:color w:val="auto"/>
            <w:sz w:val="22"/>
            <w:szCs w:val="22"/>
          </w:rPr>
          <w:t>https://www.cps.gov.uk/organised-crime-strategy</w:t>
        </w:r>
      </w:hyperlink>
      <w:r w:rsidRPr="000174C7">
        <w:rPr>
          <w:rFonts w:asciiTheme="minorHAnsi" w:hAnsiTheme="minorHAnsi" w:cstheme="minorHAnsi"/>
          <w:sz w:val="22"/>
          <w:szCs w:val="22"/>
        </w:rPr>
        <w:t xml:space="preserve">. [Accessed 6 May 2020]. </w:t>
      </w:r>
    </w:p>
    <w:p w:rsidR="00AA38D7" w:rsidRDefault="00AA38D7" w:rsidP="00AA38D7">
      <w:pPr>
        <w:autoSpaceDE w:val="0"/>
        <w:autoSpaceDN w:val="0"/>
        <w:adjustRightInd w:val="0"/>
        <w:spacing w:before="100" w:after="100" w:line="240" w:lineRule="auto"/>
        <w:rPr>
          <w:rStyle w:val="selectable"/>
          <w:rFonts w:cstheme="minorHAnsi"/>
          <w:lang w:val="en"/>
        </w:rPr>
      </w:pPr>
    </w:p>
    <w:p w:rsidR="00AA38D7" w:rsidRPr="000174C7" w:rsidRDefault="00AA38D7" w:rsidP="00AA38D7">
      <w:pPr>
        <w:autoSpaceDE w:val="0"/>
        <w:autoSpaceDN w:val="0"/>
        <w:adjustRightInd w:val="0"/>
        <w:spacing w:before="100" w:after="100" w:line="240" w:lineRule="auto"/>
        <w:rPr>
          <w:rStyle w:val="selectable"/>
          <w:rFonts w:cstheme="minorHAnsi"/>
          <w:lang w:val="en"/>
        </w:rPr>
      </w:pPr>
      <w:r w:rsidRPr="000174C7">
        <w:rPr>
          <w:rStyle w:val="selectable"/>
          <w:rFonts w:cstheme="minorHAnsi"/>
          <w:lang w:val="en"/>
        </w:rPr>
        <w:t xml:space="preserve">Dodd, V., 2019. </w:t>
      </w:r>
      <w:r w:rsidRPr="000174C7">
        <w:rPr>
          <w:rStyle w:val="selectable"/>
          <w:rFonts w:cstheme="minorHAnsi"/>
          <w:i/>
          <w:iCs/>
          <w:lang w:val="en"/>
        </w:rPr>
        <w:t xml:space="preserve">Police Leader Calls </w:t>
      </w:r>
      <w:proofErr w:type="gramStart"/>
      <w:r w:rsidRPr="000174C7">
        <w:rPr>
          <w:rStyle w:val="selectable"/>
          <w:rFonts w:cstheme="minorHAnsi"/>
          <w:i/>
          <w:iCs/>
          <w:lang w:val="en"/>
        </w:rPr>
        <w:t>For</w:t>
      </w:r>
      <w:proofErr w:type="gramEnd"/>
      <w:r w:rsidRPr="000174C7">
        <w:rPr>
          <w:rStyle w:val="selectable"/>
          <w:rFonts w:cstheme="minorHAnsi"/>
          <w:i/>
          <w:iCs/>
          <w:lang w:val="en"/>
        </w:rPr>
        <w:t xml:space="preserve"> Laws To Allow Positive Race Discrimination</w:t>
      </w:r>
      <w:r w:rsidRPr="000174C7">
        <w:rPr>
          <w:rStyle w:val="selectable"/>
          <w:rFonts w:cstheme="minorHAnsi"/>
          <w:lang w:val="en"/>
        </w:rPr>
        <w:t>. [</w:t>
      </w:r>
      <w:proofErr w:type="gramStart"/>
      <w:r w:rsidRPr="000174C7">
        <w:rPr>
          <w:rStyle w:val="selectable"/>
          <w:rFonts w:cstheme="minorHAnsi"/>
          <w:lang w:val="en"/>
        </w:rPr>
        <w:t>online</w:t>
      </w:r>
      <w:proofErr w:type="gramEnd"/>
      <w:r w:rsidRPr="000174C7">
        <w:rPr>
          <w:rStyle w:val="selectable"/>
          <w:rFonts w:cstheme="minorHAnsi"/>
          <w:lang w:val="en"/>
        </w:rPr>
        <w:t>] the Guardian. Available at: https://www.theguardian.com/uk-news/2019/feb/22/police-leader-calls-for-laws-to-allow-positive-race-discrimination [Accessed 11 August 2020].</w:t>
      </w:r>
    </w:p>
    <w:p w:rsidR="00AA38D7" w:rsidRPr="000174C7" w:rsidRDefault="00AA38D7" w:rsidP="00AA38D7">
      <w:pPr>
        <w:pStyle w:val="c-reading-companionreference-citation"/>
        <w:pBdr>
          <w:top w:val="single" w:sz="6" w:space="18" w:color="D5D5D5"/>
        </w:pBdr>
        <w:rPr>
          <w:rFonts w:asciiTheme="minorHAnsi" w:hAnsiTheme="minorHAnsi" w:cstheme="minorHAnsi"/>
          <w:sz w:val="22"/>
          <w:szCs w:val="22"/>
          <w:lang w:val="en"/>
        </w:rPr>
      </w:pPr>
      <w:proofErr w:type="spellStart"/>
      <w:r w:rsidRPr="000174C7">
        <w:rPr>
          <w:rFonts w:asciiTheme="minorHAnsi" w:hAnsiTheme="minorHAnsi" w:cstheme="minorHAnsi"/>
          <w:sz w:val="22"/>
          <w:szCs w:val="22"/>
          <w:lang w:val="en"/>
        </w:rPr>
        <w:t>Felson</w:t>
      </w:r>
      <w:proofErr w:type="spellEnd"/>
      <w:r w:rsidRPr="000174C7">
        <w:rPr>
          <w:rFonts w:asciiTheme="minorHAnsi" w:hAnsiTheme="minorHAnsi" w:cstheme="minorHAnsi"/>
          <w:sz w:val="22"/>
          <w:szCs w:val="22"/>
          <w:lang w:val="en"/>
        </w:rPr>
        <w:t xml:space="preserve">, M. (1986). Linking criminal choices, routine activities, informal control, and criminal outcomes. In D. B. Cornish &amp; R. V. Clarke (Eds.), </w:t>
      </w:r>
      <w:proofErr w:type="gramStart"/>
      <w:r w:rsidRPr="000174C7">
        <w:rPr>
          <w:rFonts w:asciiTheme="minorHAnsi" w:hAnsiTheme="minorHAnsi" w:cstheme="minorHAnsi"/>
          <w:i/>
          <w:iCs/>
          <w:sz w:val="22"/>
          <w:szCs w:val="22"/>
          <w:lang w:val="en"/>
        </w:rPr>
        <w:t>The</w:t>
      </w:r>
      <w:proofErr w:type="gramEnd"/>
      <w:r w:rsidRPr="000174C7">
        <w:rPr>
          <w:rFonts w:asciiTheme="minorHAnsi" w:hAnsiTheme="minorHAnsi" w:cstheme="minorHAnsi"/>
          <w:i/>
          <w:iCs/>
          <w:sz w:val="22"/>
          <w:szCs w:val="22"/>
          <w:lang w:val="en"/>
        </w:rPr>
        <w:t xml:space="preserve"> reasoning criminal: rational choice perspectives on offending</w:t>
      </w:r>
      <w:r w:rsidRPr="000174C7">
        <w:rPr>
          <w:rFonts w:asciiTheme="minorHAnsi" w:hAnsiTheme="minorHAnsi" w:cstheme="minorHAnsi"/>
          <w:sz w:val="22"/>
          <w:szCs w:val="22"/>
          <w:lang w:val="en"/>
        </w:rPr>
        <w:t xml:space="preserve"> (p 119).</w:t>
      </w:r>
    </w:p>
    <w:p w:rsidR="00AA38D7" w:rsidRPr="000174C7" w:rsidRDefault="00AA38D7" w:rsidP="00AA38D7">
      <w:pPr>
        <w:autoSpaceDE w:val="0"/>
        <w:autoSpaceDN w:val="0"/>
        <w:adjustRightInd w:val="0"/>
        <w:spacing w:before="100" w:after="100" w:line="240" w:lineRule="auto"/>
        <w:rPr>
          <w:rFonts w:cstheme="minorHAnsi"/>
          <w:lang w:val="en"/>
        </w:rPr>
      </w:pPr>
      <w:r w:rsidRPr="000174C7">
        <w:rPr>
          <w:rFonts w:cstheme="minorHAnsi"/>
        </w:rPr>
        <w:t xml:space="preserve">Garrett, P. M. (2009). The case of `Baby P’: Opening up spaces for debate on the `transformation’ of Children’s Services? </w:t>
      </w:r>
      <w:r w:rsidRPr="000174C7">
        <w:rPr>
          <w:rFonts w:cstheme="minorHAnsi"/>
          <w:i/>
          <w:iCs/>
        </w:rPr>
        <w:t>Critical Social Policy</w:t>
      </w:r>
      <w:r w:rsidRPr="000174C7">
        <w:rPr>
          <w:rFonts w:cstheme="minorHAnsi"/>
        </w:rPr>
        <w:t xml:space="preserve">, </w:t>
      </w:r>
      <w:r w:rsidRPr="000174C7">
        <w:rPr>
          <w:rFonts w:cstheme="minorHAnsi"/>
          <w:i/>
          <w:iCs/>
        </w:rPr>
        <w:t>29</w:t>
      </w:r>
      <w:r w:rsidRPr="000174C7">
        <w:rPr>
          <w:rFonts w:cstheme="minorHAnsi"/>
        </w:rPr>
        <w:t>(3), 533</w:t>
      </w:r>
    </w:p>
    <w:p w:rsidR="00AA38D7" w:rsidRDefault="00AA38D7" w:rsidP="00AA38D7">
      <w:pPr>
        <w:rPr>
          <w:rFonts w:cstheme="minorHAnsi"/>
          <w:lang w:val="en"/>
        </w:rPr>
      </w:pPr>
    </w:p>
    <w:p w:rsidR="00AA38D7" w:rsidRDefault="00AA38D7" w:rsidP="00AA38D7">
      <w:pPr>
        <w:rPr>
          <w:rFonts w:cstheme="minorHAnsi"/>
          <w:lang w:val="en"/>
        </w:rPr>
      </w:pPr>
      <w:r w:rsidRPr="000174C7">
        <w:rPr>
          <w:rFonts w:cstheme="minorHAnsi"/>
          <w:lang w:val="en"/>
        </w:rPr>
        <w:t xml:space="preserve">gov.uk. 2015. Reoffending Analysis of MAPPA Eligible Offenders. [ONLINE] Available at: </w:t>
      </w:r>
      <w:hyperlink r:id="rId12" w:history="1">
        <w:r w:rsidRPr="000174C7">
          <w:rPr>
            <w:rStyle w:val="Hyperlink"/>
            <w:rFonts w:cstheme="minorHAnsi"/>
            <w:color w:val="auto"/>
            <w:lang w:val="en"/>
          </w:rPr>
          <w:t>https://assets.publishing.service.gov.uk/government/uploads/system/uploads/attachment_data/file/407139/reoffending-analysis-of-mappa-eligible-offenders.pdf</w:t>
        </w:r>
      </w:hyperlink>
      <w:r w:rsidRPr="000174C7">
        <w:rPr>
          <w:rFonts w:cstheme="minorHAnsi"/>
          <w:lang w:val="en"/>
        </w:rPr>
        <w:t xml:space="preserve">. [Accessed 7 July 2020]. </w:t>
      </w:r>
    </w:p>
    <w:p w:rsidR="00AA38D7" w:rsidRPr="004A1225" w:rsidRDefault="00AA38D7" w:rsidP="00AA38D7">
      <w:pPr>
        <w:rPr>
          <w:rFonts w:cstheme="minorHAnsi"/>
          <w:lang w:val="en"/>
        </w:rPr>
      </w:pPr>
      <w:r w:rsidRPr="000174C7">
        <w:rPr>
          <w:rFonts w:cstheme="minorHAnsi"/>
        </w:rPr>
        <w:lastRenderedPageBreak/>
        <w:t xml:space="preserve">gov.uk. 2018. Serious and Organised Crime Strategy 2018. [ONLINE] Available at: </w:t>
      </w:r>
      <w:hyperlink r:id="rId13" w:history="1">
        <w:r w:rsidRPr="000174C7">
          <w:rPr>
            <w:rFonts w:cstheme="minorHAnsi"/>
            <w:u w:val="single"/>
          </w:rPr>
          <w:t>https://assets.publishing.service.gov.uk/government/uploads/system/uploads/attachment_data/file/752850/SOC-2018-web.pdf</w:t>
        </w:r>
      </w:hyperlink>
      <w:r w:rsidRPr="000174C7">
        <w:rPr>
          <w:rFonts w:cstheme="minorHAnsi"/>
        </w:rPr>
        <w:t xml:space="preserve">. [Accessed 7 July 2020]. </w:t>
      </w:r>
    </w:p>
    <w:p w:rsidR="00AA38D7" w:rsidRDefault="00AA38D7" w:rsidP="00AA38D7">
      <w:pPr>
        <w:autoSpaceDE w:val="0"/>
        <w:autoSpaceDN w:val="0"/>
        <w:adjustRightInd w:val="0"/>
        <w:spacing w:before="100" w:after="100" w:line="240" w:lineRule="auto"/>
        <w:rPr>
          <w:rFonts w:cstheme="minorHAnsi"/>
          <w:lang w:val="en"/>
        </w:rPr>
      </w:pPr>
    </w:p>
    <w:p w:rsidR="00AA38D7" w:rsidRPr="000174C7" w:rsidRDefault="00AA38D7" w:rsidP="00AA38D7">
      <w:pPr>
        <w:autoSpaceDE w:val="0"/>
        <w:autoSpaceDN w:val="0"/>
        <w:adjustRightInd w:val="0"/>
        <w:spacing w:before="100" w:after="100" w:line="240" w:lineRule="auto"/>
        <w:rPr>
          <w:rFonts w:cstheme="minorHAnsi"/>
          <w:lang w:val="en"/>
        </w:rPr>
      </w:pPr>
      <w:r w:rsidRPr="000174C7">
        <w:rPr>
          <w:rFonts w:cstheme="minorHAnsi"/>
          <w:lang w:val="en"/>
        </w:rPr>
        <w:t xml:space="preserve">Gov.uk. 2019. Police Workforce, England and Wales, 31 March 2019. [ONLINE] Available at: </w:t>
      </w:r>
      <w:hyperlink r:id="rId14" w:history="1">
        <w:r w:rsidRPr="000174C7">
          <w:rPr>
            <w:rStyle w:val="Hyperlink"/>
            <w:rFonts w:cstheme="minorHAnsi"/>
            <w:color w:val="auto"/>
            <w:lang w:val="en"/>
          </w:rPr>
          <w:t>https://assets.publishing.service.gov.uk/government/uploads/system/uploads/attachment_data/file/831726/police-workforce-mar19-hosb1119.pdf</w:t>
        </w:r>
      </w:hyperlink>
      <w:r w:rsidRPr="000174C7">
        <w:rPr>
          <w:rFonts w:cstheme="minorHAnsi"/>
          <w:lang w:val="en"/>
        </w:rPr>
        <w:t>. [Accessed 11 August 2020].</w:t>
      </w:r>
    </w:p>
    <w:p w:rsidR="00AA38D7" w:rsidRDefault="00AA38D7" w:rsidP="00AA38D7">
      <w:pPr>
        <w:autoSpaceDE w:val="0"/>
        <w:autoSpaceDN w:val="0"/>
        <w:adjustRightInd w:val="0"/>
        <w:spacing w:after="0" w:line="240" w:lineRule="auto"/>
        <w:rPr>
          <w:rFonts w:cstheme="minorHAnsi"/>
        </w:rPr>
      </w:pPr>
    </w:p>
    <w:p w:rsidR="00AA38D7" w:rsidRPr="000174C7" w:rsidRDefault="00AA38D7" w:rsidP="00AA38D7">
      <w:pPr>
        <w:autoSpaceDE w:val="0"/>
        <w:autoSpaceDN w:val="0"/>
        <w:adjustRightInd w:val="0"/>
        <w:spacing w:after="0" w:line="240" w:lineRule="auto"/>
        <w:rPr>
          <w:rFonts w:cstheme="minorHAnsi"/>
          <w:i/>
          <w:iCs/>
        </w:rPr>
      </w:pPr>
      <w:proofErr w:type="spellStart"/>
      <w:r w:rsidRPr="000174C7">
        <w:rPr>
          <w:rFonts w:cstheme="minorHAnsi"/>
        </w:rPr>
        <w:t>Hindelang</w:t>
      </w:r>
      <w:proofErr w:type="spellEnd"/>
      <w:r w:rsidRPr="000174C7">
        <w:rPr>
          <w:rFonts w:cstheme="minorHAnsi"/>
        </w:rPr>
        <w:t xml:space="preserve">, Michael J., Michael R. </w:t>
      </w:r>
      <w:proofErr w:type="spellStart"/>
      <w:r w:rsidRPr="000174C7">
        <w:rPr>
          <w:rFonts w:cstheme="minorHAnsi"/>
        </w:rPr>
        <w:t>Gottfredson</w:t>
      </w:r>
      <w:proofErr w:type="spellEnd"/>
      <w:r w:rsidRPr="000174C7">
        <w:rPr>
          <w:rFonts w:cstheme="minorHAnsi"/>
        </w:rPr>
        <w:t xml:space="preserve">, and James </w:t>
      </w:r>
      <w:proofErr w:type="spellStart"/>
      <w:r w:rsidRPr="000174C7">
        <w:rPr>
          <w:rFonts w:cstheme="minorHAnsi"/>
        </w:rPr>
        <w:t>Garofalo</w:t>
      </w:r>
      <w:proofErr w:type="spellEnd"/>
      <w:r w:rsidRPr="000174C7">
        <w:rPr>
          <w:rFonts w:cstheme="minorHAnsi"/>
        </w:rPr>
        <w:t xml:space="preserve">. 1978. </w:t>
      </w:r>
      <w:r w:rsidRPr="000174C7">
        <w:rPr>
          <w:rFonts w:cstheme="minorHAnsi"/>
          <w:i/>
          <w:iCs/>
        </w:rPr>
        <w:t>Victims of Personal</w:t>
      </w:r>
    </w:p>
    <w:p w:rsidR="00AA38D7" w:rsidRPr="000174C7" w:rsidRDefault="00AA38D7" w:rsidP="00AA38D7">
      <w:pPr>
        <w:autoSpaceDE w:val="0"/>
        <w:autoSpaceDN w:val="0"/>
        <w:adjustRightInd w:val="0"/>
        <w:spacing w:after="0" w:line="240" w:lineRule="auto"/>
        <w:rPr>
          <w:rFonts w:cstheme="minorHAnsi"/>
        </w:rPr>
      </w:pPr>
      <w:r w:rsidRPr="000174C7">
        <w:rPr>
          <w:rFonts w:cstheme="minorHAnsi"/>
          <w:i/>
          <w:iCs/>
        </w:rPr>
        <w:t>Crime: An Empirical Foundation for a Theory of Personal Victimization</w:t>
      </w:r>
      <w:r w:rsidRPr="000174C7">
        <w:rPr>
          <w:rFonts w:cstheme="minorHAnsi"/>
        </w:rPr>
        <w:t>. Cambridge, MA:</w:t>
      </w:r>
    </w:p>
    <w:p w:rsidR="00AA38D7" w:rsidRPr="000174C7" w:rsidRDefault="00AA38D7" w:rsidP="00AA38D7">
      <w:pPr>
        <w:autoSpaceDE w:val="0"/>
        <w:autoSpaceDN w:val="0"/>
        <w:adjustRightInd w:val="0"/>
        <w:spacing w:before="100" w:after="100" w:line="240" w:lineRule="auto"/>
        <w:rPr>
          <w:rFonts w:cstheme="minorHAnsi"/>
        </w:rPr>
      </w:pPr>
      <w:r w:rsidRPr="000174C7">
        <w:rPr>
          <w:rFonts w:cstheme="minorHAnsi"/>
        </w:rPr>
        <w:t>Ballinger.</w:t>
      </w:r>
    </w:p>
    <w:p w:rsidR="00AA38D7" w:rsidRDefault="00AA38D7" w:rsidP="00AA38D7">
      <w:pPr>
        <w:autoSpaceDE w:val="0"/>
        <w:autoSpaceDN w:val="0"/>
        <w:adjustRightInd w:val="0"/>
        <w:spacing w:before="100" w:after="100" w:line="240" w:lineRule="auto"/>
        <w:rPr>
          <w:rFonts w:cstheme="minorHAnsi"/>
          <w:lang w:val="en"/>
        </w:rPr>
      </w:pPr>
    </w:p>
    <w:p w:rsidR="00AA38D7" w:rsidRPr="000174C7" w:rsidRDefault="00AA38D7" w:rsidP="00AA38D7">
      <w:pPr>
        <w:autoSpaceDE w:val="0"/>
        <w:autoSpaceDN w:val="0"/>
        <w:adjustRightInd w:val="0"/>
        <w:spacing w:before="100" w:after="100" w:line="240" w:lineRule="auto"/>
        <w:rPr>
          <w:rFonts w:cstheme="minorHAnsi"/>
          <w:lang w:val="en"/>
        </w:rPr>
      </w:pPr>
      <w:r w:rsidRPr="000174C7">
        <w:rPr>
          <w:rFonts w:cstheme="minorHAnsi"/>
          <w:lang w:val="en"/>
        </w:rPr>
        <w:t xml:space="preserve">HMICFRS. 2018. What we do. [ONLINE] Available at: </w:t>
      </w:r>
      <w:hyperlink r:id="rId15" w:history="1">
        <w:r w:rsidRPr="000174C7">
          <w:rPr>
            <w:rStyle w:val="Hyperlink"/>
            <w:rFonts w:cstheme="minorHAnsi"/>
            <w:color w:val="auto"/>
            <w:lang w:val="en"/>
          </w:rPr>
          <w:t>https://www.justiceinspectorates.gov.uk/hmicfrs/about-us/what-we-do/</w:t>
        </w:r>
      </w:hyperlink>
      <w:r w:rsidRPr="000174C7">
        <w:rPr>
          <w:rFonts w:cstheme="minorHAnsi"/>
          <w:lang w:val="en"/>
        </w:rPr>
        <w:t>. [Accessed 15 June 2020].</w:t>
      </w:r>
    </w:p>
    <w:p w:rsidR="00AA38D7" w:rsidRPr="000174C7" w:rsidRDefault="00AA38D7" w:rsidP="00AA38D7">
      <w:pPr>
        <w:rPr>
          <w:rFonts w:cstheme="minorHAnsi"/>
        </w:rPr>
      </w:pPr>
    </w:p>
    <w:p w:rsidR="00AA38D7" w:rsidRPr="000174C7" w:rsidRDefault="00AA38D7" w:rsidP="00AA38D7">
      <w:pPr>
        <w:autoSpaceDE w:val="0"/>
        <w:autoSpaceDN w:val="0"/>
        <w:adjustRightInd w:val="0"/>
        <w:spacing w:before="100" w:after="100" w:line="240" w:lineRule="auto"/>
        <w:rPr>
          <w:rFonts w:cstheme="minorHAnsi"/>
        </w:rPr>
      </w:pPr>
      <w:r w:rsidRPr="000174C7">
        <w:rPr>
          <w:rFonts w:cstheme="minorHAnsi"/>
        </w:rPr>
        <w:t>HMICFRS. 2019. Survey Summary 2018. [ONLINE] Available at: https://www.justiceinspectorates.gov.uk/hmicfrs/police-forces/data/public-perceptions-of-policing-surveys/survey-summary-2018/. [Accessed 15 June 2020].</w:t>
      </w:r>
    </w:p>
    <w:p w:rsidR="00AA38D7" w:rsidRDefault="00AA38D7" w:rsidP="00AA38D7">
      <w:pPr>
        <w:autoSpaceDE w:val="0"/>
        <w:autoSpaceDN w:val="0"/>
        <w:adjustRightInd w:val="0"/>
        <w:spacing w:before="100" w:after="100" w:line="240" w:lineRule="auto"/>
        <w:rPr>
          <w:rFonts w:cstheme="minorHAnsi"/>
          <w:lang w:val="en"/>
        </w:rPr>
      </w:pPr>
    </w:p>
    <w:p w:rsidR="00AA38D7" w:rsidRPr="000174C7" w:rsidRDefault="00AA38D7" w:rsidP="00AA38D7">
      <w:pPr>
        <w:autoSpaceDE w:val="0"/>
        <w:autoSpaceDN w:val="0"/>
        <w:adjustRightInd w:val="0"/>
        <w:spacing w:before="100" w:after="100" w:line="240" w:lineRule="auto"/>
        <w:rPr>
          <w:rFonts w:cstheme="minorHAnsi"/>
          <w:i/>
        </w:rPr>
      </w:pPr>
      <w:r w:rsidRPr="000174C7">
        <w:rPr>
          <w:rFonts w:cstheme="minorHAnsi"/>
        </w:rPr>
        <w:t xml:space="preserve">HMI Probation &amp; HMI Constabulary, 2011, </w:t>
      </w:r>
      <w:r w:rsidRPr="000174C7">
        <w:rPr>
          <w:rFonts w:cstheme="minorHAnsi"/>
          <w:i/>
        </w:rPr>
        <w:t>Thematic Inspection Report – Putting the Pieces Together</w:t>
      </w:r>
    </w:p>
    <w:p w:rsidR="00AA38D7" w:rsidRDefault="00AA38D7" w:rsidP="00AA38D7">
      <w:pPr>
        <w:autoSpaceDE w:val="0"/>
        <w:autoSpaceDN w:val="0"/>
        <w:adjustRightInd w:val="0"/>
        <w:spacing w:before="100" w:after="100" w:line="240" w:lineRule="auto"/>
        <w:rPr>
          <w:rFonts w:cstheme="minorHAnsi"/>
          <w:lang w:val="en"/>
        </w:rPr>
      </w:pPr>
    </w:p>
    <w:p w:rsidR="00AA38D7" w:rsidRDefault="00AA38D7" w:rsidP="00AA38D7">
      <w:pPr>
        <w:autoSpaceDE w:val="0"/>
        <w:autoSpaceDN w:val="0"/>
        <w:adjustRightInd w:val="0"/>
        <w:spacing w:before="100" w:after="100" w:line="240" w:lineRule="auto"/>
        <w:rPr>
          <w:rFonts w:cstheme="minorHAnsi"/>
          <w:i/>
        </w:rPr>
      </w:pPr>
      <w:r w:rsidRPr="000174C7">
        <w:rPr>
          <w:rFonts w:cstheme="minorHAnsi"/>
        </w:rPr>
        <w:t xml:space="preserve">HMI Probation &amp; HMI Constabulary, 2015, </w:t>
      </w:r>
      <w:proofErr w:type="gramStart"/>
      <w:r w:rsidRPr="000174C7">
        <w:rPr>
          <w:rFonts w:cstheme="minorHAnsi"/>
          <w:i/>
        </w:rPr>
        <w:t>A</w:t>
      </w:r>
      <w:proofErr w:type="gramEnd"/>
      <w:r w:rsidRPr="000174C7">
        <w:rPr>
          <w:rFonts w:cstheme="minorHAnsi"/>
          <w:i/>
        </w:rPr>
        <w:t xml:space="preserve"> Follow Up Inspection of Multi-Agency Public Protection Arrangements</w:t>
      </w:r>
    </w:p>
    <w:p w:rsidR="00AA38D7" w:rsidRDefault="00AA38D7" w:rsidP="00AA38D7">
      <w:pPr>
        <w:autoSpaceDE w:val="0"/>
        <w:autoSpaceDN w:val="0"/>
        <w:adjustRightInd w:val="0"/>
        <w:spacing w:before="100" w:after="100" w:line="240" w:lineRule="auto"/>
        <w:rPr>
          <w:rStyle w:val="balloon1"/>
          <w:rFonts w:cstheme="minorHAnsi"/>
          <w:color w:val="auto"/>
          <w:sz w:val="22"/>
          <w:szCs w:val="22"/>
          <w:lang w:val="en"/>
        </w:rPr>
      </w:pPr>
    </w:p>
    <w:p w:rsidR="00AA38D7" w:rsidRDefault="00AA38D7" w:rsidP="00AA38D7">
      <w:r>
        <w:t xml:space="preserve">Howell, J.C., </w:t>
      </w:r>
      <w:proofErr w:type="spellStart"/>
      <w:r>
        <w:t>Egley</w:t>
      </w:r>
      <w:proofErr w:type="spellEnd"/>
      <w:r>
        <w:t>, A. (2005). Moving risk factors into developmental theories of gang membership. Youth Violence and Juvenile Justice, 3, 334-354</w:t>
      </w:r>
    </w:p>
    <w:p w:rsidR="00AA38D7" w:rsidRPr="000174C7" w:rsidRDefault="00AA38D7" w:rsidP="00AA38D7">
      <w:pPr>
        <w:autoSpaceDE w:val="0"/>
        <w:autoSpaceDN w:val="0"/>
        <w:adjustRightInd w:val="0"/>
        <w:spacing w:before="100" w:after="100" w:line="240" w:lineRule="auto"/>
        <w:rPr>
          <w:rFonts w:cstheme="minorHAnsi"/>
          <w:i/>
        </w:rPr>
      </w:pPr>
    </w:p>
    <w:p w:rsidR="00AA38D7" w:rsidRPr="000174C7" w:rsidRDefault="00AA38D7" w:rsidP="00AA38D7">
      <w:pPr>
        <w:autoSpaceDE w:val="0"/>
        <w:autoSpaceDN w:val="0"/>
        <w:adjustRightInd w:val="0"/>
        <w:spacing w:before="100" w:after="100" w:line="240" w:lineRule="auto"/>
        <w:rPr>
          <w:rFonts w:cstheme="minorHAnsi"/>
        </w:rPr>
      </w:pPr>
      <w:r w:rsidRPr="000174C7">
        <w:rPr>
          <w:rFonts w:cstheme="minorHAnsi"/>
        </w:rPr>
        <w:t xml:space="preserve">IPCC, 2012. Corruption In The Police Service In England And Wales: Second Report – A Report Based </w:t>
      </w:r>
      <w:proofErr w:type="gramStart"/>
      <w:r w:rsidRPr="000174C7">
        <w:rPr>
          <w:rFonts w:cstheme="minorHAnsi"/>
        </w:rPr>
        <w:t>On The</w:t>
      </w:r>
      <w:proofErr w:type="gramEnd"/>
      <w:r w:rsidRPr="000174C7">
        <w:rPr>
          <w:rFonts w:cstheme="minorHAnsi"/>
        </w:rPr>
        <w:t xml:space="preserve"> IPCC’S Experience From 2008 To 2011. [</w:t>
      </w:r>
      <w:proofErr w:type="gramStart"/>
      <w:r w:rsidRPr="000174C7">
        <w:rPr>
          <w:rFonts w:cstheme="minorHAnsi"/>
        </w:rPr>
        <w:t>online</w:t>
      </w:r>
      <w:proofErr w:type="gramEnd"/>
      <w:r w:rsidRPr="000174C7">
        <w:rPr>
          <w:rFonts w:cstheme="minorHAnsi"/>
        </w:rPr>
        <w:t>] Available at: https://webarchive.nationalarchives.gov.uk/20170914112819/http://www.ipcc.gov.uk/page/public-views-police-corruption [Accessed 15 June 2020].</w:t>
      </w:r>
    </w:p>
    <w:p w:rsidR="00AA38D7" w:rsidRDefault="00AA38D7" w:rsidP="00AA38D7">
      <w:pPr>
        <w:autoSpaceDE w:val="0"/>
        <w:autoSpaceDN w:val="0"/>
        <w:adjustRightInd w:val="0"/>
        <w:spacing w:before="100" w:after="100" w:line="240" w:lineRule="auto"/>
        <w:rPr>
          <w:rFonts w:cstheme="minorHAnsi"/>
        </w:rPr>
      </w:pPr>
    </w:p>
    <w:p w:rsidR="00AA38D7" w:rsidRPr="000174C7" w:rsidRDefault="00AA38D7" w:rsidP="00AA38D7">
      <w:pPr>
        <w:autoSpaceDE w:val="0"/>
        <w:autoSpaceDN w:val="0"/>
        <w:adjustRightInd w:val="0"/>
        <w:spacing w:before="100" w:after="100" w:line="240" w:lineRule="auto"/>
        <w:rPr>
          <w:rFonts w:cstheme="minorHAnsi"/>
          <w:lang w:val="en"/>
        </w:rPr>
      </w:pPr>
      <w:r w:rsidRPr="000174C7">
        <w:rPr>
          <w:rFonts w:cstheme="minorHAnsi"/>
          <w:lang w:val="en"/>
        </w:rPr>
        <w:t xml:space="preserve">Jensen, Gary F &amp; Brownfield, David, 1986. Gender, Lifestyles, and Victimization: Beyond Routine Activity. </w:t>
      </w:r>
      <w:r w:rsidRPr="000174C7">
        <w:rPr>
          <w:rFonts w:cstheme="minorHAnsi"/>
          <w:i/>
          <w:iCs/>
          <w:lang w:val="en"/>
        </w:rPr>
        <w:t>Violence and victims</w:t>
      </w:r>
      <w:r w:rsidRPr="000174C7">
        <w:rPr>
          <w:rFonts w:cstheme="minorHAnsi"/>
          <w:lang w:val="en"/>
        </w:rPr>
        <w:t>, 1(2)</w:t>
      </w:r>
    </w:p>
    <w:p w:rsidR="00AA38D7" w:rsidRDefault="00AA38D7" w:rsidP="00AA38D7">
      <w:pPr>
        <w:autoSpaceDE w:val="0"/>
        <w:autoSpaceDN w:val="0"/>
        <w:adjustRightInd w:val="0"/>
        <w:spacing w:before="100" w:after="100" w:line="240" w:lineRule="auto"/>
        <w:rPr>
          <w:rFonts w:cstheme="minorHAnsi"/>
        </w:rPr>
      </w:pPr>
    </w:p>
    <w:p w:rsidR="00AA38D7" w:rsidRDefault="00AA38D7" w:rsidP="00AA38D7">
      <w:pPr>
        <w:autoSpaceDE w:val="0"/>
        <w:autoSpaceDN w:val="0"/>
        <w:adjustRightInd w:val="0"/>
        <w:spacing w:before="100" w:after="100" w:line="240" w:lineRule="auto"/>
        <w:rPr>
          <w:rStyle w:val="selectable"/>
          <w:rFonts w:cstheme="minorHAnsi"/>
          <w:lang w:val="en"/>
        </w:rPr>
      </w:pPr>
      <w:r w:rsidRPr="000174C7">
        <w:rPr>
          <w:rStyle w:val="selectable"/>
          <w:rFonts w:cstheme="minorHAnsi"/>
          <w:lang w:val="en"/>
        </w:rPr>
        <w:t xml:space="preserve">MacPherson, W., 1999. </w:t>
      </w:r>
      <w:r w:rsidRPr="000174C7">
        <w:rPr>
          <w:rStyle w:val="selectable"/>
          <w:rFonts w:cstheme="minorHAnsi"/>
          <w:i/>
          <w:iCs/>
          <w:lang w:val="en"/>
        </w:rPr>
        <w:t>The Stephen Lawrence Inquiry</w:t>
      </w:r>
      <w:r w:rsidRPr="000174C7">
        <w:rPr>
          <w:rStyle w:val="selectable"/>
          <w:rFonts w:cstheme="minorHAnsi"/>
          <w:lang w:val="en"/>
        </w:rPr>
        <w:t>. Report of an Inquiry. [</w:t>
      </w:r>
      <w:proofErr w:type="gramStart"/>
      <w:r w:rsidRPr="000174C7">
        <w:rPr>
          <w:rStyle w:val="selectable"/>
          <w:rFonts w:cstheme="minorHAnsi"/>
          <w:lang w:val="en"/>
        </w:rPr>
        <w:t>online</w:t>
      </w:r>
      <w:proofErr w:type="gramEnd"/>
      <w:r w:rsidRPr="000174C7">
        <w:rPr>
          <w:rStyle w:val="selectable"/>
          <w:rFonts w:cstheme="minorHAnsi"/>
          <w:lang w:val="en"/>
        </w:rPr>
        <w:t>] Gov.uk. Available at: https://www.gov.uk/government/publications/the-stephen-lawrence-inquiry [Accessed 11 August 2020]</w:t>
      </w:r>
    </w:p>
    <w:p w:rsidR="00AA38D7" w:rsidRDefault="00AA38D7" w:rsidP="00AA38D7">
      <w:pPr>
        <w:autoSpaceDE w:val="0"/>
        <w:autoSpaceDN w:val="0"/>
        <w:adjustRightInd w:val="0"/>
        <w:spacing w:before="100" w:after="100" w:line="240" w:lineRule="auto"/>
        <w:rPr>
          <w:rStyle w:val="selectable"/>
          <w:rFonts w:cstheme="minorHAnsi"/>
          <w:lang w:val="en"/>
        </w:rPr>
      </w:pPr>
    </w:p>
    <w:p w:rsidR="00AA38D7" w:rsidRDefault="00AA38D7" w:rsidP="00AA38D7">
      <w:pPr>
        <w:autoSpaceDE w:val="0"/>
        <w:autoSpaceDN w:val="0"/>
        <w:adjustRightInd w:val="0"/>
        <w:spacing w:before="100" w:after="100" w:line="240" w:lineRule="auto"/>
        <w:rPr>
          <w:rFonts w:cstheme="minorHAnsi"/>
          <w:lang w:val="en"/>
        </w:rPr>
      </w:pPr>
    </w:p>
    <w:p w:rsidR="00AA38D7" w:rsidRDefault="00AA38D7" w:rsidP="00AA38D7">
      <w:pPr>
        <w:autoSpaceDE w:val="0"/>
        <w:autoSpaceDN w:val="0"/>
        <w:adjustRightInd w:val="0"/>
        <w:spacing w:before="100" w:after="100" w:line="240" w:lineRule="auto"/>
        <w:rPr>
          <w:rFonts w:cstheme="minorHAnsi"/>
          <w:lang w:val="en"/>
        </w:rPr>
      </w:pPr>
    </w:p>
    <w:p w:rsidR="00AA38D7" w:rsidRPr="000174C7" w:rsidRDefault="00AA38D7" w:rsidP="00AA38D7">
      <w:pPr>
        <w:autoSpaceDE w:val="0"/>
        <w:autoSpaceDN w:val="0"/>
        <w:adjustRightInd w:val="0"/>
        <w:spacing w:before="100" w:after="100" w:line="240" w:lineRule="auto"/>
        <w:rPr>
          <w:rStyle w:val="selectable"/>
          <w:rFonts w:cstheme="minorHAnsi"/>
          <w:lang w:val="en"/>
        </w:rPr>
      </w:pPr>
      <w:r w:rsidRPr="000174C7">
        <w:rPr>
          <w:rFonts w:cstheme="minorHAnsi"/>
          <w:lang w:val="en"/>
        </w:rPr>
        <w:lastRenderedPageBreak/>
        <w:t>Maynard-</w:t>
      </w:r>
      <w:proofErr w:type="spellStart"/>
      <w:r w:rsidRPr="000174C7">
        <w:rPr>
          <w:rFonts w:cstheme="minorHAnsi"/>
          <w:lang w:val="en"/>
        </w:rPr>
        <w:t>Atem</w:t>
      </w:r>
      <w:proofErr w:type="spellEnd"/>
      <w:r w:rsidRPr="000174C7">
        <w:rPr>
          <w:rFonts w:cstheme="minorHAnsi"/>
          <w:lang w:val="en"/>
        </w:rPr>
        <w:t>, L., 2014. Positive disc</w:t>
      </w:r>
      <w:r w:rsidR="008708DC">
        <w:rPr>
          <w:rFonts w:cstheme="minorHAnsi"/>
          <w:lang w:val="en"/>
        </w:rPr>
        <w:t>rimination: Am I only here beca</w:t>
      </w:r>
      <w:r w:rsidRPr="000174C7">
        <w:rPr>
          <w:rFonts w:cstheme="minorHAnsi"/>
          <w:lang w:val="en"/>
        </w:rPr>
        <w:t>u</w:t>
      </w:r>
      <w:r w:rsidR="008708DC">
        <w:rPr>
          <w:rFonts w:cstheme="minorHAnsi"/>
          <w:lang w:val="en"/>
        </w:rPr>
        <w:t>s</w:t>
      </w:r>
      <w:r w:rsidRPr="000174C7">
        <w:rPr>
          <w:rFonts w:cstheme="minorHAnsi"/>
          <w:lang w:val="en"/>
        </w:rPr>
        <w:t xml:space="preserve">e I'm black and working class. </w:t>
      </w:r>
      <w:r w:rsidRPr="000174C7">
        <w:rPr>
          <w:rStyle w:val="Emphasis"/>
          <w:rFonts w:cstheme="minorHAnsi"/>
          <w:lang w:val="en"/>
        </w:rPr>
        <w:t>The Guardian</w:t>
      </w:r>
      <w:r w:rsidRPr="000174C7">
        <w:rPr>
          <w:rFonts w:cstheme="minorHAnsi"/>
          <w:lang w:val="en"/>
        </w:rPr>
        <w:t xml:space="preserve">, 29 May 2014. [ONLINE] Available at: </w:t>
      </w:r>
      <w:hyperlink r:id="rId16" w:history="1">
        <w:r w:rsidRPr="000174C7">
          <w:rPr>
            <w:rStyle w:val="Hyperlink"/>
            <w:rFonts w:cstheme="minorHAnsi"/>
            <w:color w:val="auto"/>
            <w:lang w:val="en"/>
          </w:rPr>
          <w:t>https://www.theguardian.com/public-leaders-network/2014/may/29/positive-discrimination-civil-service-black-working-class</w:t>
        </w:r>
      </w:hyperlink>
      <w:r w:rsidRPr="000174C7">
        <w:rPr>
          <w:rFonts w:cstheme="minorHAnsi"/>
          <w:lang w:val="en"/>
        </w:rPr>
        <w:t xml:space="preserve"> [accessed 11 August 2020]</w:t>
      </w:r>
    </w:p>
    <w:p w:rsidR="00AA38D7" w:rsidRPr="000174C7" w:rsidRDefault="00AA38D7" w:rsidP="00AA38D7">
      <w:pPr>
        <w:autoSpaceDE w:val="0"/>
        <w:autoSpaceDN w:val="0"/>
        <w:adjustRightInd w:val="0"/>
        <w:spacing w:before="100" w:after="100" w:line="240" w:lineRule="auto"/>
        <w:rPr>
          <w:rStyle w:val="selectable"/>
          <w:rFonts w:cstheme="minorHAnsi"/>
          <w:lang w:val="en"/>
        </w:rPr>
      </w:pPr>
    </w:p>
    <w:p w:rsidR="00AA38D7" w:rsidRPr="000174C7" w:rsidRDefault="00AA38D7" w:rsidP="00AA38D7">
      <w:pPr>
        <w:autoSpaceDE w:val="0"/>
        <w:autoSpaceDN w:val="0"/>
        <w:adjustRightInd w:val="0"/>
        <w:spacing w:before="100" w:after="100" w:line="240" w:lineRule="auto"/>
        <w:rPr>
          <w:rFonts w:cstheme="minorHAnsi"/>
        </w:rPr>
      </w:pPr>
      <w:proofErr w:type="spellStart"/>
      <w:r w:rsidRPr="000174C7">
        <w:rPr>
          <w:rFonts w:cstheme="minorHAnsi"/>
          <w:lang w:val="en"/>
        </w:rPr>
        <w:t>McSweeney</w:t>
      </w:r>
      <w:proofErr w:type="spellEnd"/>
      <w:r w:rsidRPr="000174C7">
        <w:rPr>
          <w:rFonts w:cstheme="minorHAnsi"/>
          <w:lang w:val="en"/>
        </w:rPr>
        <w:t xml:space="preserve">, Tim, and Mike Hough. (2006) "Supporting Offenders with Multiple Needs." </w:t>
      </w:r>
      <w:r w:rsidRPr="000174C7">
        <w:rPr>
          <w:rFonts w:cstheme="minorHAnsi"/>
          <w:i/>
          <w:iCs/>
          <w:lang w:val="en"/>
        </w:rPr>
        <w:t xml:space="preserve">Criminology &amp; Criminal </w:t>
      </w:r>
      <w:proofErr w:type="gramStart"/>
      <w:r w:rsidRPr="000174C7">
        <w:rPr>
          <w:rFonts w:cstheme="minorHAnsi"/>
          <w:i/>
          <w:iCs/>
          <w:lang w:val="en"/>
        </w:rPr>
        <w:t>Justice :</w:t>
      </w:r>
      <w:proofErr w:type="gramEnd"/>
      <w:r w:rsidRPr="000174C7">
        <w:rPr>
          <w:rFonts w:cstheme="minorHAnsi"/>
          <w:i/>
          <w:iCs/>
          <w:lang w:val="en"/>
        </w:rPr>
        <w:t xml:space="preserve"> CCJ</w:t>
      </w:r>
      <w:r w:rsidRPr="000174C7">
        <w:rPr>
          <w:rFonts w:cstheme="minorHAnsi"/>
          <w:lang w:val="en"/>
        </w:rPr>
        <w:t xml:space="preserve"> 6.1: 107-25. Web.</w:t>
      </w:r>
    </w:p>
    <w:p w:rsidR="00AA38D7" w:rsidRDefault="00AA38D7" w:rsidP="00AA38D7">
      <w:pPr>
        <w:autoSpaceDE w:val="0"/>
        <w:autoSpaceDN w:val="0"/>
        <w:adjustRightInd w:val="0"/>
        <w:spacing w:before="100" w:after="100" w:line="240" w:lineRule="auto"/>
        <w:rPr>
          <w:rFonts w:cstheme="minorHAnsi"/>
          <w:lang w:val="en"/>
        </w:rPr>
      </w:pPr>
    </w:p>
    <w:p w:rsidR="00AA38D7" w:rsidRPr="000174C7" w:rsidRDefault="00AA38D7" w:rsidP="00AA38D7">
      <w:pPr>
        <w:autoSpaceDE w:val="0"/>
        <w:autoSpaceDN w:val="0"/>
        <w:adjustRightInd w:val="0"/>
        <w:spacing w:before="100" w:after="100" w:line="240" w:lineRule="auto"/>
        <w:rPr>
          <w:rFonts w:cstheme="minorHAnsi"/>
          <w:lang w:val="en"/>
        </w:rPr>
      </w:pPr>
      <w:r w:rsidRPr="000174C7">
        <w:rPr>
          <w:rFonts w:cstheme="minorHAnsi"/>
          <w:lang w:val="en"/>
        </w:rPr>
        <w:t xml:space="preserve">met.police.uk. 2020. MPS Gang Violence Matrix Quarterly Figures. [ONLINE] Available at: </w:t>
      </w:r>
      <w:hyperlink r:id="rId17" w:history="1">
        <w:r w:rsidRPr="000174C7">
          <w:rPr>
            <w:rStyle w:val="Hyperlink"/>
            <w:rFonts w:cstheme="minorHAnsi"/>
            <w:color w:val="auto"/>
            <w:lang w:val="en"/>
          </w:rPr>
          <w:t>https://www.met.police.uk/SysSiteAssets/media/downloads/force-content/met/about-us/gangs-violence-matrix/mps-gang-violence-matrix-quarterly-figures---30th-june-2020-end-q1.pdf</w:t>
        </w:r>
      </w:hyperlink>
      <w:r w:rsidRPr="000174C7">
        <w:rPr>
          <w:rFonts w:cstheme="minorHAnsi"/>
          <w:lang w:val="en"/>
        </w:rPr>
        <w:t>. [Accessed 31 July 2020].</w:t>
      </w:r>
    </w:p>
    <w:p w:rsidR="00AA38D7" w:rsidRDefault="00AA38D7" w:rsidP="00AA38D7">
      <w:pPr>
        <w:autoSpaceDE w:val="0"/>
        <w:autoSpaceDN w:val="0"/>
        <w:adjustRightInd w:val="0"/>
        <w:spacing w:before="100" w:after="100" w:line="240" w:lineRule="auto"/>
        <w:rPr>
          <w:rFonts w:cstheme="minorHAnsi"/>
          <w:lang w:val="en"/>
        </w:rPr>
      </w:pPr>
    </w:p>
    <w:p w:rsidR="00AA38D7" w:rsidRPr="000174C7" w:rsidRDefault="00AA38D7" w:rsidP="00AA38D7">
      <w:pPr>
        <w:autoSpaceDE w:val="0"/>
        <w:autoSpaceDN w:val="0"/>
        <w:adjustRightInd w:val="0"/>
        <w:spacing w:before="100" w:after="100" w:line="240" w:lineRule="auto"/>
        <w:rPr>
          <w:rFonts w:cstheme="minorHAnsi"/>
          <w:lang w:val="en"/>
        </w:rPr>
      </w:pPr>
      <w:r w:rsidRPr="000174C7">
        <w:rPr>
          <w:rFonts w:cstheme="minorHAnsi"/>
          <w:lang w:val="en"/>
        </w:rPr>
        <w:t xml:space="preserve">National Crime Agency. 2016. County Lines Gang Violence, exploitation and Drug Supply 2016. [ONLINE] Available at: </w:t>
      </w:r>
      <w:hyperlink r:id="rId18" w:history="1">
        <w:r w:rsidRPr="000174C7">
          <w:rPr>
            <w:rStyle w:val="Hyperlink"/>
            <w:rFonts w:cstheme="minorHAnsi"/>
            <w:color w:val="auto"/>
            <w:lang w:val="en"/>
          </w:rPr>
          <w:t>https://www.nationalcrimeagency.gov.uk/who-we-are/publications/15-county-lines-gang-violence-exploitation-and-drug-supply-2016/file</w:t>
        </w:r>
      </w:hyperlink>
      <w:r w:rsidRPr="000174C7">
        <w:rPr>
          <w:rFonts w:cstheme="minorHAnsi"/>
          <w:lang w:val="en"/>
        </w:rPr>
        <w:t>. [Accessed 21 July 2020].</w:t>
      </w:r>
    </w:p>
    <w:p w:rsidR="00AA38D7" w:rsidRDefault="00AA38D7" w:rsidP="00AA38D7">
      <w:pPr>
        <w:autoSpaceDE w:val="0"/>
        <w:autoSpaceDN w:val="0"/>
        <w:adjustRightInd w:val="0"/>
        <w:spacing w:before="100" w:after="100" w:line="240" w:lineRule="auto"/>
        <w:rPr>
          <w:rFonts w:cstheme="minorHAnsi"/>
        </w:rPr>
      </w:pPr>
    </w:p>
    <w:p w:rsidR="00AA38D7" w:rsidRPr="000174C7" w:rsidRDefault="00AA38D7" w:rsidP="00AA38D7">
      <w:pPr>
        <w:autoSpaceDE w:val="0"/>
        <w:autoSpaceDN w:val="0"/>
        <w:adjustRightInd w:val="0"/>
        <w:spacing w:before="100" w:after="100" w:line="240" w:lineRule="auto"/>
        <w:rPr>
          <w:rFonts w:cstheme="minorHAnsi"/>
        </w:rPr>
      </w:pPr>
      <w:r w:rsidRPr="000174C7">
        <w:rPr>
          <w:rFonts w:cstheme="minorHAnsi"/>
        </w:rPr>
        <w:t xml:space="preserve">National Crime Agency. 2018. County Lines. [ONLINE] Available at: </w:t>
      </w:r>
      <w:hyperlink r:id="rId19" w:history="1">
        <w:r w:rsidRPr="000174C7">
          <w:rPr>
            <w:rFonts w:cstheme="minorHAnsi"/>
            <w:u w:val="single"/>
          </w:rPr>
          <w:t>https://www.nationalcrimeagency.gov.uk/what-we-do/crime-threats/drug-trafficking/county-lines</w:t>
        </w:r>
      </w:hyperlink>
      <w:r w:rsidRPr="000174C7">
        <w:rPr>
          <w:rFonts w:cstheme="minorHAnsi"/>
        </w:rPr>
        <w:t xml:space="preserve">. [Accessed 6 May 2020]. </w:t>
      </w:r>
    </w:p>
    <w:p w:rsidR="00AA38D7" w:rsidRDefault="00AA38D7" w:rsidP="00AA38D7">
      <w:pPr>
        <w:autoSpaceDE w:val="0"/>
        <w:autoSpaceDN w:val="0"/>
        <w:adjustRightInd w:val="0"/>
        <w:spacing w:before="100" w:after="100" w:line="240" w:lineRule="auto"/>
        <w:rPr>
          <w:rFonts w:cstheme="minorHAnsi"/>
        </w:rPr>
      </w:pPr>
    </w:p>
    <w:p w:rsidR="00AA38D7" w:rsidRPr="000174C7" w:rsidRDefault="00AA38D7" w:rsidP="00AA38D7">
      <w:pPr>
        <w:autoSpaceDE w:val="0"/>
        <w:autoSpaceDN w:val="0"/>
        <w:adjustRightInd w:val="0"/>
        <w:spacing w:before="100" w:after="100" w:line="240" w:lineRule="auto"/>
        <w:rPr>
          <w:rFonts w:cstheme="minorHAnsi"/>
        </w:rPr>
      </w:pPr>
      <w:r w:rsidRPr="000174C7">
        <w:rPr>
          <w:rFonts w:cstheme="minorHAnsi"/>
        </w:rPr>
        <w:t xml:space="preserve">National MAPPA Team, 2012. </w:t>
      </w:r>
      <w:r w:rsidRPr="000174C7">
        <w:rPr>
          <w:rFonts w:cstheme="minorHAnsi"/>
          <w:i/>
          <w:iCs/>
        </w:rPr>
        <w:t>MAPPA Guidance 2012</w:t>
      </w:r>
      <w:r w:rsidRPr="000174C7">
        <w:rPr>
          <w:rFonts w:cstheme="minorHAnsi"/>
        </w:rPr>
        <w:t xml:space="preserve">. 4.5. National Offender Management Service, Offender Management and Public Protection Group. </w:t>
      </w:r>
    </w:p>
    <w:p w:rsidR="00AA38D7" w:rsidRDefault="00AA38D7" w:rsidP="00AA38D7">
      <w:pPr>
        <w:autoSpaceDE w:val="0"/>
        <w:autoSpaceDN w:val="0"/>
        <w:adjustRightInd w:val="0"/>
        <w:spacing w:before="100" w:after="100" w:line="240" w:lineRule="auto"/>
        <w:rPr>
          <w:rFonts w:cstheme="minorHAnsi"/>
          <w:lang w:val="en"/>
        </w:rPr>
      </w:pPr>
    </w:p>
    <w:p w:rsidR="00AA38D7" w:rsidRPr="000174C7" w:rsidRDefault="00AA38D7" w:rsidP="00AA38D7">
      <w:pPr>
        <w:autoSpaceDE w:val="0"/>
        <w:autoSpaceDN w:val="0"/>
        <w:adjustRightInd w:val="0"/>
        <w:spacing w:before="100" w:after="100" w:line="240" w:lineRule="auto"/>
        <w:rPr>
          <w:rStyle w:val="nlmpublisher-name"/>
          <w:rFonts w:cstheme="minorHAnsi"/>
        </w:rPr>
      </w:pPr>
      <w:r w:rsidRPr="000174C7">
        <w:rPr>
          <w:rFonts w:cstheme="minorHAnsi"/>
        </w:rPr>
        <w:t>Thrasher, F. (</w:t>
      </w:r>
      <w:r w:rsidRPr="000174C7">
        <w:rPr>
          <w:rStyle w:val="nlmyear"/>
          <w:rFonts w:cstheme="minorHAnsi"/>
        </w:rPr>
        <w:t>1963</w:t>
      </w:r>
      <w:r w:rsidRPr="000174C7">
        <w:rPr>
          <w:rFonts w:cstheme="minorHAnsi"/>
        </w:rPr>
        <w:t xml:space="preserve">). The gang: A study of 1,316 gangs in Chicago (edited with a new introduction by J. </w:t>
      </w:r>
      <w:proofErr w:type="gramStart"/>
      <w:r w:rsidRPr="000174C7">
        <w:rPr>
          <w:rFonts w:cstheme="minorHAnsi"/>
        </w:rPr>
        <w:t>Short )</w:t>
      </w:r>
      <w:proofErr w:type="gramEnd"/>
      <w:r w:rsidRPr="000174C7">
        <w:rPr>
          <w:rFonts w:cstheme="minorHAnsi"/>
        </w:rPr>
        <w:t xml:space="preserve">. </w:t>
      </w:r>
      <w:r w:rsidRPr="000174C7">
        <w:rPr>
          <w:rStyle w:val="nlmpublisher-loc"/>
          <w:rFonts w:cstheme="minorHAnsi"/>
        </w:rPr>
        <w:t>Chicago</w:t>
      </w:r>
      <w:r w:rsidRPr="000174C7">
        <w:rPr>
          <w:rFonts w:cstheme="minorHAnsi"/>
        </w:rPr>
        <w:t xml:space="preserve">: </w:t>
      </w:r>
      <w:r w:rsidRPr="000174C7">
        <w:rPr>
          <w:rStyle w:val="nlmpublisher-name"/>
          <w:rFonts w:cstheme="minorHAnsi"/>
        </w:rPr>
        <w:t>University of Chicago Press</w:t>
      </w:r>
    </w:p>
    <w:p w:rsidR="00AA38D7" w:rsidRPr="000174C7" w:rsidRDefault="00AA38D7" w:rsidP="00AA38D7">
      <w:pPr>
        <w:autoSpaceDE w:val="0"/>
        <w:autoSpaceDN w:val="0"/>
        <w:adjustRightInd w:val="0"/>
        <w:spacing w:before="100" w:after="100" w:line="240" w:lineRule="auto"/>
        <w:ind w:right="360"/>
        <w:rPr>
          <w:rFonts w:cstheme="minorHAnsi"/>
        </w:rPr>
      </w:pPr>
    </w:p>
    <w:p w:rsidR="00AA38D7" w:rsidRPr="00AC0E3B" w:rsidRDefault="00AA38D7" w:rsidP="00AA38D7">
      <w:pPr>
        <w:pStyle w:val="c-reading-companionreference-citation"/>
        <w:pBdr>
          <w:top w:val="single" w:sz="6" w:space="6" w:color="D5D5D5"/>
        </w:pBdr>
        <w:rPr>
          <w:rFonts w:asciiTheme="minorHAnsi" w:hAnsiTheme="minorHAnsi" w:cstheme="minorHAnsi"/>
          <w:sz w:val="22"/>
          <w:szCs w:val="22"/>
          <w:lang w:val="en"/>
        </w:rPr>
      </w:pPr>
      <w:r w:rsidRPr="000174C7">
        <w:rPr>
          <w:rFonts w:asciiTheme="minorHAnsi" w:hAnsiTheme="minorHAnsi" w:cstheme="minorHAnsi"/>
          <w:sz w:val="22"/>
          <w:szCs w:val="22"/>
          <w:lang w:val="en"/>
        </w:rPr>
        <w:t xml:space="preserve">Tyler, T.R., 2011. Trust and legitimacy: Policing in the USA and Europe. </w:t>
      </w:r>
      <w:r w:rsidRPr="000174C7">
        <w:rPr>
          <w:rFonts w:asciiTheme="minorHAnsi" w:hAnsiTheme="minorHAnsi" w:cstheme="minorHAnsi"/>
          <w:i/>
          <w:iCs/>
          <w:sz w:val="22"/>
          <w:szCs w:val="22"/>
          <w:lang w:val="en"/>
        </w:rPr>
        <w:t>European Journal of Criminology</w:t>
      </w:r>
      <w:r w:rsidRPr="000174C7">
        <w:rPr>
          <w:rFonts w:asciiTheme="minorHAnsi" w:hAnsiTheme="minorHAnsi" w:cstheme="minorHAnsi"/>
          <w:sz w:val="22"/>
          <w:szCs w:val="22"/>
          <w:lang w:val="en"/>
        </w:rPr>
        <w:t>, 8(4).</w:t>
      </w:r>
    </w:p>
    <w:p w:rsidR="00AA38D7" w:rsidRPr="00AA38D7" w:rsidRDefault="00AA38D7" w:rsidP="00EB0553">
      <w:pPr>
        <w:spacing w:line="480" w:lineRule="auto"/>
        <w:rPr>
          <w:b/>
          <w:color w:val="121212"/>
          <w:u w:val="single"/>
          <w:lang w:val="en"/>
        </w:rPr>
      </w:pPr>
    </w:p>
    <w:p w:rsidR="00AA38D7" w:rsidRDefault="00AA38D7" w:rsidP="00EB0553">
      <w:pPr>
        <w:spacing w:line="480" w:lineRule="auto"/>
      </w:pPr>
    </w:p>
    <w:p w:rsidR="00EB0553" w:rsidRDefault="00EB0553" w:rsidP="00EB0553">
      <w:pPr>
        <w:spacing w:line="480" w:lineRule="auto"/>
        <w:rPr>
          <w:rFonts w:cstheme="minorHAnsi"/>
          <w:sz w:val="20"/>
          <w:szCs w:val="20"/>
        </w:rPr>
      </w:pPr>
    </w:p>
    <w:p w:rsidR="00EB0553" w:rsidRPr="00C4758D" w:rsidRDefault="00EB0553" w:rsidP="00EB0553">
      <w:pPr>
        <w:overflowPunct w:val="0"/>
        <w:autoSpaceDE w:val="0"/>
        <w:autoSpaceDN w:val="0"/>
        <w:adjustRightInd w:val="0"/>
        <w:spacing w:before="240" w:after="0" w:line="480" w:lineRule="auto"/>
        <w:ind w:left="425"/>
        <w:jc w:val="both"/>
        <w:textAlignment w:val="baseline"/>
        <w:rPr>
          <w:rFonts w:eastAsia="Times New Roman" w:cstheme="minorHAnsi"/>
          <w:lang w:eastAsia="en-GB"/>
        </w:rPr>
      </w:pPr>
    </w:p>
    <w:p w:rsidR="00EB0553" w:rsidRDefault="00EB0553" w:rsidP="00EB0553">
      <w:pPr>
        <w:tabs>
          <w:tab w:val="left" w:pos="6168"/>
        </w:tabs>
        <w:rPr>
          <w:rFonts w:ascii="Arial" w:hAnsi="Arial" w:cs="Arial"/>
        </w:rPr>
      </w:pPr>
    </w:p>
    <w:p w:rsidR="00EB0553" w:rsidRDefault="00EB0553"/>
    <w:sectPr w:rsidR="00EB05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0553"/>
    <w:rsid w:val="00535787"/>
    <w:rsid w:val="00806E81"/>
    <w:rsid w:val="008708DC"/>
    <w:rsid w:val="00944508"/>
    <w:rsid w:val="009B6973"/>
    <w:rsid w:val="00AA38D7"/>
    <w:rsid w:val="00EB0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234AD"/>
  <w15:chartTrackingRefBased/>
  <w15:docId w15:val="{D6FC3627-6E25-4949-873E-17DF9F409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05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uiPriority w:val="99"/>
    <w:rsid w:val="00AA38D7"/>
    <w:pPr>
      <w:autoSpaceDE w:val="0"/>
      <w:autoSpaceDN w:val="0"/>
      <w:adjustRightInd w:val="0"/>
      <w:spacing w:before="100" w:after="100" w:line="240" w:lineRule="auto"/>
      <w:ind w:left="360" w:right="360"/>
    </w:pPr>
    <w:rPr>
      <w:rFonts w:ascii="Times New Roman" w:hAnsi="Times New Roman" w:cs="Times New Roman"/>
      <w:sz w:val="24"/>
      <w:szCs w:val="24"/>
    </w:rPr>
  </w:style>
  <w:style w:type="character" w:styleId="Hyperlink">
    <w:name w:val="Hyperlink"/>
    <w:basedOn w:val="DefaultParagraphFont"/>
    <w:uiPriority w:val="99"/>
    <w:rsid w:val="00AA38D7"/>
    <w:rPr>
      <w:color w:val="0000FF"/>
      <w:u w:val="single"/>
    </w:rPr>
  </w:style>
  <w:style w:type="character" w:customStyle="1" w:styleId="nlmyear">
    <w:name w:val="nlm_year"/>
    <w:basedOn w:val="DefaultParagraphFont"/>
    <w:rsid w:val="00AA38D7"/>
  </w:style>
  <w:style w:type="character" w:customStyle="1" w:styleId="nlmpublisher-loc">
    <w:name w:val="nlm_publisher-loc"/>
    <w:basedOn w:val="DefaultParagraphFont"/>
    <w:rsid w:val="00AA38D7"/>
  </w:style>
  <w:style w:type="character" w:customStyle="1" w:styleId="nlmpublisher-name">
    <w:name w:val="nlm_publisher-name"/>
    <w:basedOn w:val="DefaultParagraphFont"/>
    <w:rsid w:val="00AA38D7"/>
  </w:style>
  <w:style w:type="character" w:customStyle="1" w:styleId="balloon1">
    <w:name w:val="balloon1"/>
    <w:basedOn w:val="DefaultParagraphFont"/>
    <w:rsid w:val="00AA38D7"/>
    <w:rPr>
      <w:strike w:val="0"/>
      <w:dstrike w:val="0"/>
      <w:color w:val="444444"/>
      <w:sz w:val="18"/>
      <w:szCs w:val="18"/>
      <w:u w:val="none"/>
      <w:effect w:val="none"/>
      <w:bdr w:val="single" w:sz="12" w:space="6" w:color="AC2226" w:frame="1"/>
      <w:shd w:val="clear" w:color="auto" w:fill="F7F7F7"/>
    </w:rPr>
  </w:style>
  <w:style w:type="paragraph" w:customStyle="1" w:styleId="c-reading-companionreference-citation">
    <w:name w:val="c-reading-companion__reference-citation"/>
    <w:basedOn w:val="Normal"/>
    <w:rsid w:val="00AA38D7"/>
    <w:pPr>
      <w:spacing w:after="360" w:line="240" w:lineRule="auto"/>
    </w:pPr>
    <w:rPr>
      <w:rFonts w:ascii="Georgia" w:eastAsia="Times New Roman" w:hAnsi="Georgia" w:cs="Times New Roman"/>
      <w:sz w:val="24"/>
      <w:szCs w:val="24"/>
      <w:lang w:eastAsia="en-GB"/>
    </w:rPr>
  </w:style>
  <w:style w:type="character" w:styleId="Emphasis">
    <w:name w:val="Emphasis"/>
    <w:basedOn w:val="DefaultParagraphFont"/>
    <w:uiPriority w:val="20"/>
    <w:qFormat/>
    <w:rsid w:val="00AA38D7"/>
    <w:rPr>
      <w:i/>
      <w:iCs/>
    </w:rPr>
  </w:style>
  <w:style w:type="character" w:customStyle="1" w:styleId="selectable">
    <w:name w:val="selectable"/>
    <w:basedOn w:val="DefaultParagraphFont"/>
    <w:rsid w:val="00AA3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professional-standards/" TargetMode="External"/><Relationship Id="rId13" Type="http://schemas.openxmlformats.org/officeDocument/2006/relationships/hyperlink" Target="https://assets.publishing.service.gov.uk/government/uploads/system/uploads/attachment_data/file/752850/SOC-2018-web.pdf" TargetMode="External"/><Relationship Id="rId18" Type="http://schemas.openxmlformats.org/officeDocument/2006/relationships/hyperlink" Target="https://www.nationalcrimeagency.gov.uk/who-we-are/publications/15-county-lines-gang-violence-exploitation-and-drug-supply-2016/fil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ollege.police.uk/What-we-do/Ethics/Documents/Code_of_Ethics.pdf" TargetMode="External"/><Relationship Id="rId12" Type="http://schemas.openxmlformats.org/officeDocument/2006/relationships/hyperlink" Target="https://assets.publishing.service.gov.uk/government/uploads/system/uploads/attachment_data/file/407139/reoffending-analysis-of-mappa-eligible-offenders.pdf" TargetMode="External"/><Relationship Id="rId17" Type="http://schemas.openxmlformats.org/officeDocument/2006/relationships/hyperlink" Target="https://www.met.police.uk/SysSiteAssets/media/downloads/force-content/met/about-us/gangs-violence-matrix/mps-gang-violence-matrix-quarterly-figures---30th-june-2020-end-q1.pdf" TargetMode="External"/><Relationship Id="rId2" Type="http://schemas.openxmlformats.org/officeDocument/2006/relationships/settings" Target="settings.xml"/><Relationship Id="rId16" Type="http://schemas.openxmlformats.org/officeDocument/2006/relationships/hyperlink" Target="https://www.theguardian.com/public-leaders-network/2014/may/29/positive-discrimination-civil-service-black-working-clas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hildrenscommissioner.gov.uk/wp-content/uploads/2019/02/CCO-Gangs.pdf" TargetMode="External"/><Relationship Id="rId11" Type="http://schemas.openxmlformats.org/officeDocument/2006/relationships/hyperlink" Target="https://www.cps.gov.uk/organised-crime-strategy" TargetMode="External"/><Relationship Id="rId5" Type="http://schemas.openxmlformats.org/officeDocument/2006/relationships/image" Target="cid:image001.png@01D0EA4A.2BD679A0" TargetMode="External"/><Relationship Id="rId15" Type="http://schemas.openxmlformats.org/officeDocument/2006/relationships/hyperlink" Target="https://www.justiceinspectorates.gov.uk/hmicfrs/about-us/what-we-do/" TargetMode="External"/><Relationship Id="rId10" Type="http://schemas.openxmlformats.org/officeDocument/2006/relationships/hyperlink" Target="https://www.college.police.uk/What-we-do/Standards/Guidelines/Neighbourhood-Policing/Pages/engaging-communities.aspx" TargetMode="External"/><Relationship Id="rId19" Type="http://schemas.openxmlformats.org/officeDocument/2006/relationships/hyperlink" Target="https://www.nationalcrimeagency.gov.uk/what-we-do/crime-threats/drug-trafficking/county-lines" TargetMode="External"/><Relationship Id="rId4" Type="http://schemas.openxmlformats.org/officeDocument/2006/relationships/image" Target="media/image1.png"/><Relationship Id="rId9" Type="http://schemas.openxmlformats.org/officeDocument/2006/relationships/hyperlink" Target="https://www.app.college.police.uk/app-content/major-investigation-and-public-protection/managing-sexual-offenders-and-violent-offenders/mappa/" TargetMode="External"/><Relationship Id="rId14" Type="http://schemas.openxmlformats.org/officeDocument/2006/relationships/hyperlink" Target="https://assets.publishing.service.gov.uk/government/uploads/system/uploads/attachment_data/file/831726/police-workforce-mar19-hosb11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17</Pages>
  <Words>4954</Words>
  <Characters>28244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Griffiths,David swp6465</dc:creator>
  <cp:keywords/>
  <dc:description/>
  <cp:lastModifiedBy>Griffiths,David swp6465</cp:lastModifiedBy>
  <cp:revision>4</cp:revision>
  <dcterms:created xsi:type="dcterms:W3CDTF">2020-08-23T22:08:00Z</dcterms:created>
  <dcterms:modified xsi:type="dcterms:W3CDTF">2020-08-23T22:56:00Z</dcterms:modified>
</cp:coreProperties>
</file>