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B6614" w:rsidRDefault="00EB6614">
      <w:pPr>
        <w:spacing w:before="0" w:after="0" w:line="240" w:lineRule="auto"/>
        <w:rPr>
          <w:rFonts w:ascii="Times New Roman" w:eastAsia="Times New Roman" w:hAnsi="Times New Roman" w:cs="Times New Roman"/>
          <w:color w:val="000000"/>
          <w:sz w:val="24"/>
          <w:szCs w:val="24"/>
        </w:rPr>
      </w:pPr>
    </w:p>
    <w:p w14:paraId="00000002" w14:textId="77777777" w:rsidR="00EB6614" w:rsidRDefault="004B3CAF">
      <w:pPr>
        <w:pBdr>
          <w:top w:val="nil"/>
          <w:left w:val="nil"/>
          <w:bottom w:val="nil"/>
          <w:right w:val="nil"/>
          <w:between w:val="nil"/>
        </w:pBdr>
        <w:spacing w:before="2400" w:after="400"/>
        <w:jc w:val="center"/>
      </w:pPr>
      <w:r>
        <w:rPr>
          <w:noProof/>
        </w:rPr>
        <w:drawing>
          <wp:inline distT="0" distB="0" distL="0" distR="0" wp14:anchorId="46D5AE8F" wp14:editId="0E96891B">
            <wp:extent cx="5758059" cy="3230245"/>
            <wp:effectExtent l="0" t="0" r="0" b="0"/>
            <wp:docPr id="10" name="image1.jpg" descr="Tips For Creating Virtual Learning Experiences - eLearning Industry"/>
            <wp:cNvGraphicFramePr/>
            <a:graphic xmlns:a="http://schemas.openxmlformats.org/drawingml/2006/main">
              <a:graphicData uri="http://schemas.openxmlformats.org/drawingml/2006/picture">
                <pic:pic xmlns:pic="http://schemas.openxmlformats.org/drawingml/2006/picture">
                  <pic:nvPicPr>
                    <pic:cNvPr id="0" name="image1.jpg" descr="Tips For Creating Virtual Learning Experiences - eLearning Industry"/>
                    <pic:cNvPicPr preferRelativeResize="0"/>
                  </pic:nvPicPr>
                  <pic:blipFill>
                    <a:blip r:embed="rId8"/>
                    <a:srcRect/>
                    <a:stretch>
                      <a:fillRect/>
                    </a:stretch>
                  </pic:blipFill>
                  <pic:spPr>
                    <a:xfrm>
                      <a:off x="0" y="0"/>
                      <a:ext cx="5758059" cy="3230245"/>
                    </a:xfrm>
                    <a:prstGeom prst="rect">
                      <a:avLst/>
                    </a:prstGeom>
                    <a:ln/>
                  </pic:spPr>
                </pic:pic>
              </a:graphicData>
            </a:graphic>
          </wp:inline>
        </w:drawing>
      </w:r>
    </w:p>
    <w:p w14:paraId="00000003" w14:textId="77777777" w:rsidR="00EB6614" w:rsidRDefault="004B3CAF">
      <w:pPr>
        <w:pStyle w:val="Title"/>
        <w:rPr>
          <w:rFonts w:ascii="Arial" w:eastAsia="Arial" w:hAnsi="Arial" w:cs="Arial"/>
          <w:b/>
          <w:color w:val="000000"/>
          <w:sz w:val="40"/>
          <w:szCs w:val="40"/>
        </w:rPr>
      </w:pPr>
      <w:r>
        <w:rPr>
          <w:rFonts w:ascii="Arial" w:eastAsia="Arial" w:hAnsi="Arial" w:cs="Arial"/>
          <w:b/>
          <w:color w:val="000000"/>
          <w:sz w:val="40"/>
          <w:szCs w:val="40"/>
        </w:rPr>
        <w:t>Virtual Learning Environment</w:t>
      </w:r>
    </w:p>
    <w:p w14:paraId="00000004" w14:textId="1280B873" w:rsidR="00EB6614" w:rsidRDefault="004B3CAF">
      <w:pPr>
        <w:pStyle w:val="Subtitle"/>
        <w:rPr>
          <w:rFonts w:ascii="Arial" w:eastAsia="Arial" w:hAnsi="Arial" w:cs="Arial"/>
          <w:b/>
          <w:color w:val="000000"/>
          <w:sz w:val="40"/>
          <w:szCs w:val="40"/>
        </w:rPr>
      </w:pPr>
      <w:r>
        <w:rPr>
          <w:rFonts w:ascii="Arial" w:eastAsia="Arial" w:hAnsi="Arial" w:cs="Arial"/>
          <w:b/>
          <w:color w:val="000000"/>
          <w:sz w:val="40"/>
          <w:szCs w:val="40"/>
        </w:rPr>
        <w:t>Digital skills and research Methods</w:t>
      </w:r>
    </w:p>
    <w:p w14:paraId="076967B9" w14:textId="77777777" w:rsidR="008664AD" w:rsidRPr="00B63775" w:rsidRDefault="008664AD">
      <w:pPr>
        <w:pBdr>
          <w:top w:val="nil"/>
          <w:left w:val="nil"/>
          <w:bottom w:val="nil"/>
          <w:right w:val="nil"/>
          <w:between w:val="nil"/>
        </w:pBdr>
        <w:spacing w:before="360" w:after="0"/>
        <w:jc w:val="center"/>
        <w:rPr>
          <w:rFonts w:ascii="Arial" w:hAnsi="Arial" w:cs="Arial"/>
        </w:rPr>
      </w:pPr>
      <w:r w:rsidRPr="00B63775">
        <w:rPr>
          <w:rFonts w:ascii="Arial" w:hAnsi="Arial" w:cs="Arial"/>
        </w:rPr>
        <w:t>Jennifer Ajiboye | 2022550 | Betty Burke</w:t>
      </w:r>
    </w:p>
    <w:p w14:paraId="00000005" w14:textId="6C620512" w:rsidR="00EB6614" w:rsidRPr="00B63775" w:rsidRDefault="004B3CAF">
      <w:pPr>
        <w:pBdr>
          <w:top w:val="nil"/>
          <w:left w:val="nil"/>
          <w:bottom w:val="nil"/>
          <w:right w:val="nil"/>
          <w:between w:val="nil"/>
        </w:pBdr>
        <w:spacing w:before="360" w:after="0"/>
        <w:jc w:val="center"/>
        <w:rPr>
          <w:rFonts w:ascii="Arial" w:hAnsi="Arial" w:cs="Arial"/>
        </w:rPr>
      </w:pPr>
      <w:r w:rsidRPr="00B63775">
        <w:rPr>
          <w:rFonts w:ascii="Arial" w:hAnsi="Arial" w:cs="Arial"/>
        </w:rPr>
        <w:br w:type="page"/>
      </w:r>
    </w:p>
    <w:p w14:paraId="00000006" w14:textId="77777777" w:rsidR="00EB6614" w:rsidRDefault="00EB6614">
      <w:pPr>
        <w:keepNext/>
        <w:keepLines/>
        <w:pBdr>
          <w:top w:val="nil"/>
          <w:left w:val="nil"/>
          <w:bottom w:val="nil"/>
          <w:right w:val="nil"/>
          <w:between w:val="nil"/>
        </w:pBdr>
        <w:spacing w:before="0" w:after="60"/>
        <w:rPr>
          <w:rFonts w:ascii="Arial" w:eastAsia="Arial" w:hAnsi="Arial" w:cs="Arial"/>
          <w:b/>
          <w:color w:val="000000"/>
          <w:sz w:val="28"/>
          <w:szCs w:val="28"/>
        </w:rPr>
      </w:pPr>
    </w:p>
    <w:p w14:paraId="00000007" w14:textId="77777777" w:rsidR="00EB6614" w:rsidRDefault="00EB6614">
      <w:pPr>
        <w:keepNext/>
        <w:keepLines/>
        <w:pBdr>
          <w:top w:val="nil"/>
          <w:left w:val="nil"/>
          <w:bottom w:val="nil"/>
          <w:right w:val="nil"/>
          <w:between w:val="nil"/>
        </w:pBdr>
        <w:spacing w:before="0" w:after="60"/>
        <w:rPr>
          <w:rFonts w:ascii="Arial" w:eastAsia="Arial" w:hAnsi="Arial" w:cs="Arial"/>
          <w:b/>
          <w:color w:val="000000"/>
          <w:sz w:val="28"/>
          <w:szCs w:val="28"/>
        </w:rPr>
      </w:pPr>
    </w:p>
    <w:p w14:paraId="00000008" w14:textId="77777777" w:rsidR="00EB6614" w:rsidRDefault="004B3CAF">
      <w:pPr>
        <w:keepNext/>
        <w:keepLines/>
        <w:pBdr>
          <w:top w:val="nil"/>
          <w:left w:val="nil"/>
          <w:bottom w:val="nil"/>
          <w:right w:val="nil"/>
          <w:between w:val="nil"/>
        </w:pBdr>
        <w:spacing w:before="0" w:after="60"/>
        <w:rPr>
          <w:rFonts w:ascii="Arial" w:eastAsia="Arial" w:hAnsi="Arial" w:cs="Arial"/>
          <w:b/>
          <w:color w:val="000000"/>
          <w:sz w:val="28"/>
          <w:szCs w:val="28"/>
        </w:rPr>
      </w:pPr>
      <w:r>
        <w:rPr>
          <w:rFonts w:ascii="Arial" w:eastAsia="Arial" w:hAnsi="Arial" w:cs="Arial"/>
          <w:b/>
          <w:color w:val="000000"/>
          <w:sz w:val="28"/>
          <w:szCs w:val="28"/>
        </w:rPr>
        <w:t>Table of Contents</w:t>
      </w:r>
    </w:p>
    <w:sdt>
      <w:sdtPr>
        <w:rPr>
          <w:rFonts w:ascii="Arial" w:hAnsi="Arial" w:cs="Arial"/>
        </w:rPr>
        <w:id w:val="-1406524001"/>
        <w:docPartObj>
          <w:docPartGallery w:val="Table of Contents"/>
          <w:docPartUnique/>
        </w:docPartObj>
      </w:sdtPr>
      <w:sdtContent>
        <w:p w14:paraId="00000009" w14:textId="77777777" w:rsidR="00EB6614" w:rsidRDefault="004B3CAF">
          <w:pPr>
            <w:pBdr>
              <w:top w:val="nil"/>
              <w:left w:val="nil"/>
              <w:bottom w:val="nil"/>
              <w:right w:val="nil"/>
              <w:between w:val="nil"/>
            </w:pBdr>
            <w:tabs>
              <w:tab w:val="right" w:pos="8630"/>
            </w:tabs>
            <w:spacing w:after="0"/>
            <w:rPr>
              <w:rFonts w:ascii="Arial" w:eastAsia="Arial" w:hAnsi="Arial" w:cs="Arial"/>
              <w:b/>
              <w:color w:val="000000"/>
              <w:sz w:val="28"/>
              <w:szCs w:val="28"/>
            </w:rPr>
          </w:pPr>
          <w:r w:rsidRPr="00B63775">
            <w:rPr>
              <w:rFonts w:ascii="Arial" w:hAnsi="Arial" w:cs="Arial"/>
            </w:rPr>
            <w:fldChar w:fldCharType="begin"/>
          </w:r>
          <w:r w:rsidRPr="00B63775">
            <w:rPr>
              <w:rFonts w:ascii="Arial" w:hAnsi="Arial" w:cs="Arial"/>
            </w:rPr>
            <w:instrText xml:space="preserve"> TOC \h \u \z </w:instrText>
          </w:r>
          <w:r w:rsidRPr="00B63775">
            <w:rPr>
              <w:rFonts w:ascii="Arial" w:hAnsi="Arial" w:cs="Arial"/>
            </w:rPr>
            <w:fldChar w:fldCharType="separate"/>
          </w:r>
          <w:hyperlink w:anchor="_heading=h.gjdgxs">
            <w:r>
              <w:rPr>
                <w:rFonts w:ascii="Arial" w:eastAsia="Arial" w:hAnsi="Arial" w:cs="Arial"/>
                <w:b/>
                <w:color w:val="000000"/>
                <w:sz w:val="28"/>
                <w:szCs w:val="28"/>
              </w:rPr>
              <w:t>What is a Virtual Learning Environment?</w:t>
            </w:r>
            <w:r>
              <w:rPr>
                <w:rFonts w:ascii="Arial" w:eastAsia="Arial" w:hAnsi="Arial" w:cs="Arial"/>
                <w:b/>
                <w:color w:val="000000"/>
                <w:sz w:val="28"/>
                <w:szCs w:val="28"/>
              </w:rPr>
              <w:tab/>
              <w:t>1</w:t>
            </w:r>
          </w:hyperlink>
        </w:p>
        <w:p w14:paraId="0000000A" w14:textId="77777777" w:rsidR="00EB6614" w:rsidRDefault="00D5223E">
          <w:pPr>
            <w:pBdr>
              <w:top w:val="nil"/>
              <w:left w:val="nil"/>
              <w:bottom w:val="nil"/>
              <w:right w:val="nil"/>
              <w:between w:val="nil"/>
            </w:pBdr>
            <w:tabs>
              <w:tab w:val="right" w:pos="8630"/>
            </w:tabs>
            <w:spacing w:after="0"/>
            <w:rPr>
              <w:rFonts w:ascii="Arial" w:eastAsia="Arial" w:hAnsi="Arial" w:cs="Arial"/>
              <w:b/>
              <w:color w:val="000000"/>
              <w:sz w:val="28"/>
              <w:szCs w:val="28"/>
            </w:rPr>
          </w:pPr>
          <w:hyperlink w:anchor="_heading=h.30j0zll">
            <w:r w:rsidR="004B3CAF">
              <w:rPr>
                <w:rFonts w:ascii="Arial" w:eastAsia="Arial" w:hAnsi="Arial" w:cs="Arial"/>
                <w:b/>
                <w:color w:val="000000"/>
                <w:sz w:val="28"/>
                <w:szCs w:val="28"/>
              </w:rPr>
              <w:t>References</w:t>
            </w:r>
            <w:r w:rsidR="004B3CAF">
              <w:rPr>
                <w:rFonts w:ascii="Arial" w:eastAsia="Arial" w:hAnsi="Arial" w:cs="Arial"/>
                <w:b/>
                <w:color w:val="000000"/>
                <w:sz w:val="28"/>
                <w:szCs w:val="28"/>
              </w:rPr>
              <w:tab/>
              <w:t>4</w:t>
            </w:r>
          </w:hyperlink>
        </w:p>
        <w:p w14:paraId="0000000B" w14:textId="77777777" w:rsidR="00EB6614" w:rsidRDefault="004B3CAF">
          <w:pPr>
            <w:rPr>
              <w:rFonts w:ascii="Arial" w:eastAsia="Arial" w:hAnsi="Arial" w:cs="Arial"/>
              <w:b/>
              <w:color w:val="000000"/>
              <w:sz w:val="28"/>
              <w:szCs w:val="28"/>
            </w:rPr>
          </w:pPr>
          <w:r w:rsidRPr="00B63775">
            <w:rPr>
              <w:rFonts w:ascii="Arial" w:hAnsi="Arial" w:cs="Arial"/>
            </w:rPr>
            <w:fldChar w:fldCharType="end"/>
          </w:r>
        </w:p>
      </w:sdtContent>
    </w:sdt>
    <w:p w14:paraId="0000000C" w14:textId="77777777" w:rsidR="00EB6614" w:rsidRDefault="00EB6614">
      <w:pPr>
        <w:pStyle w:val="Heading1"/>
        <w:rPr>
          <w:rFonts w:ascii="Arial" w:eastAsia="Arial" w:hAnsi="Arial" w:cs="Arial"/>
          <w:b/>
          <w:i/>
          <w:color w:val="000000"/>
          <w:sz w:val="28"/>
          <w:szCs w:val="28"/>
          <w:u w:val="single"/>
        </w:rPr>
      </w:pPr>
    </w:p>
    <w:p w14:paraId="0000000D" w14:textId="77777777" w:rsidR="00EB6614" w:rsidRPr="00B63775" w:rsidRDefault="00EB6614">
      <w:pPr>
        <w:rPr>
          <w:rFonts w:ascii="Arial" w:hAnsi="Arial" w:cs="Arial"/>
        </w:rPr>
      </w:pPr>
    </w:p>
    <w:p w14:paraId="0000000E" w14:textId="77777777" w:rsidR="00EB6614" w:rsidRDefault="004B3CAF">
      <w:pPr>
        <w:pStyle w:val="Heading1"/>
        <w:rPr>
          <w:rFonts w:ascii="Arial" w:eastAsia="Arial" w:hAnsi="Arial" w:cs="Arial"/>
          <w:b/>
          <w:color w:val="000000"/>
          <w:sz w:val="26"/>
          <w:szCs w:val="26"/>
          <w:u w:val="single"/>
        </w:rPr>
      </w:pPr>
      <w:bookmarkStart w:id="0" w:name="_heading=h.gjdgxs" w:colFirst="0" w:colLast="0"/>
      <w:bookmarkEnd w:id="0"/>
      <w:r>
        <w:rPr>
          <w:rFonts w:ascii="Arial" w:eastAsia="Arial" w:hAnsi="Arial" w:cs="Arial"/>
          <w:b/>
          <w:color w:val="000000"/>
          <w:sz w:val="26"/>
          <w:szCs w:val="26"/>
          <w:u w:val="single"/>
        </w:rPr>
        <w:t>What is a Virtual Learning Environment?</w:t>
      </w:r>
    </w:p>
    <w:p w14:paraId="0000000F" w14:textId="77777777" w:rsidR="00EB6614" w:rsidRDefault="00EB6614">
      <w:pPr>
        <w:rPr>
          <w:rFonts w:ascii="Arial" w:eastAsia="Arial" w:hAnsi="Arial" w:cs="Arial"/>
          <w:b/>
          <w:sz w:val="26"/>
          <w:szCs w:val="26"/>
        </w:rPr>
      </w:pPr>
    </w:p>
    <w:p w14:paraId="00000010" w14:textId="77777777" w:rsidR="00EB6614" w:rsidRDefault="004B3CAF">
      <w:pPr>
        <w:spacing w:line="360" w:lineRule="auto"/>
        <w:rPr>
          <w:rFonts w:ascii="Arial" w:eastAsia="Arial" w:hAnsi="Arial" w:cs="Arial"/>
          <w:color w:val="000000"/>
        </w:rPr>
      </w:pPr>
      <w:r>
        <w:rPr>
          <w:rFonts w:ascii="Arial" w:eastAsia="Arial" w:hAnsi="Arial" w:cs="Arial"/>
          <w:color w:val="000000"/>
        </w:rPr>
        <w:t>According to Oxford University Press, 'Virtual Learning Environment', also known as (VLE), is a scheme used to distribute pupils' learning materials through the internet. These systems incorporate student tracking, collaboration and communication tools. The VLE can both be accessed on and off-campus (Evans, 2008).</w:t>
      </w:r>
    </w:p>
    <w:p w14:paraId="00000011" w14:textId="77777777" w:rsidR="00EB6614" w:rsidRDefault="004B3CAF">
      <w:pPr>
        <w:spacing w:line="360" w:lineRule="auto"/>
        <w:rPr>
          <w:rFonts w:ascii="Arial" w:eastAsia="Arial" w:hAnsi="Arial" w:cs="Arial"/>
          <w:color w:val="000000"/>
        </w:rPr>
      </w:pPr>
      <w:r>
        <w:rPr>
          <w:rFonts w:ascii="Arial" w:eastAsia="Arial" w:hAnsi="Arial" w:cs="Arial"/>
          <w:color w:val="000000"/>
        </w:rPr>
        <w:t>This signifies that they can assist pupils in learning outside the lecture hall 24 hours a day, every day. This accredits establishments to educate conventional full-time pupils and individuals who cannot visit the campus consistently due to location or time limitations, such as studying abroad or workers studying part-time.</w:t>
      </w:r>
    </w:p>
    <w:p w14:paraId="00000012" w14:textId="048C7C5F" w:rsidR="00EB6614" w:rsidRDefault="004B3CAF">
      <w:pPr>
        <w:spacing w:line="360" w:lineRule="auto"/>
        <w:rPr>
          <w:rFonts w:ascii="Arial" w:eastAsia="Arial" w:hAnsi="Arial" w:cs="Arial"/>
          <w:color w:val="000000"/>
        </w:rPr>
      </w:pPr>
      <w:r>
        <w:rPr>
          <w:rFonts w:ascii="Arial" w:eastAsia="Arial" w:hAnsi="Arial" w:cs="Arial"/>
          <w:color w:val="000000"/>
        </w:rPr>
        <w:t xml:space="preserve">Covid-19 has resulted in many schools across the world shut, and as we know, that has affected us all heavily. Studying from home is undoubtedly tricky and awfully different from a face-to-face learning environment. This is for the reason that you are essentially schooling yourself from </w:t>
      </w:r>
      <w:r w:rsidR="008664AD">
        <w:rPr>
          <w:rFonts w:ascii="Arial" w:eastAsia="Arial" w:hAnsi="Arial" w:cs="Arial"/>
          <w:color w:val="000000"/>
        </w:rPr>
        <w:t>home. Prohibited</w:t>
      </w:r>
      <w:r>
        <w:rPr>
          <w:rFonts w:ascii="Arial" w:eastAsia="Arial" w:hAnsi="Arial" w:cs="Arial"/>
          <w:color w:val="000000"/>
        </w:rPr>
        <w:t xml:space="preserve"> the sale of face-to-face instruction, students must rely on Virtual Learning Environments (VLEs). Blackboard, Canvas, and Moodle are just a few examples of Virtual Learning Environments (VLEs). </w:t>
      </w:r>
    </w:p>
    <w:p w14:paraId="00000013" w14:textId="77777777" w:rsidR="00EB6614" w:rsidRDefault="004B3CAF">
      <w:pPr>
        <w:spacing w:line="360" w:lineRule="auto"/>
        <w:rPr>
          <w:rFonts w:ascii="Arial" w:eastAsia="Arial" w:hAnsi="Arial" w:cs="Arial"/>
          <w:color w:val="000000"/>
        </w:rPr>
      </w:pPr>
      <w:r>
        <w:rPr>
          <w:rFonts w:ascii="Arial" w:eastAsia="Arial" w:hAnsi="Arial" w:cs="Arial"/>
          <w:color w:val="000000"/>
        </w:rPr>
        <w:t>These are a few of the most well-known Virtual Learning Environments; there are many more, but we'll be concentrating on 'Moodle.' Learners can, for example, fetch and access resources on their own; different paths can be taken through them, and they can be used in different ways in material displays.</w:t>
      </w:r>
    </w:p>
    <w:p w14:paraId="00000014" w14:textId="77777777" w:rsidR="00EB6614" w:rsidRDefault="004B3CAF">
      <w:pPr>
        <w:spacing w:line="360" w:lineRule="auto"/>
        <w:rPr>
          <w:rFonts w:ascii="Arial" w:eastAsia="Arial" w:hAnsi="Arial" w:cs="Arial"/>
          <w:color w:val="000000"/>
        </w:rPr>
      </w:pPr>
      <w:r>
        <w:rPr>
          <w:rFonts w:ascii="Arial" w:eastAsia="Arial" w:hAnsi="Arial" w:cs="Arial"/>
          <w:color w:val="000000"/>
        </w:rPr>
        <w:t xml:space="preserve"> Though we can see that the VLE concept is considerably different and larger than the CAI in that it adds new aspects to acquiring knowledge, we can also see that the VLE concept is much different and broader than the CAI in that it adds new aspects to individual learning. VLEs foster electronic contact and conversation, as well as the development of new infrastructure for a widely available network (Wilson 1996). VLEs, in a broader sense, help an individual advance not only in the workplace, but also by allowing him or her to connect with and share experiences with a larger learner-learner and instructor community.</w:t>
      </w:r>
    </w:p>
    <w:p w14:paraId="00000015" w14:textId="77777777" w:rsidR="00EB6614" w:rsidRDefault="004B3CAF">
      <w:pPr>
        <w:spacing w:line="360" w:lineRule="auto"/>
        <w:rPr>
          <w:rFonts w:ascii="Arial" w:eastAsia="Arial" w:hAnsi="Arial" w:cs="Arial"/>
          <w:color w:val="000000"/>
        </w:rPr>
      </w:pPr>
      <w:r>
        <w:rPr>
          <w:rFonts w:ascii="Arial" w:eastAsia="Arial" w:hAnsi="Arial" w:cs="Arial"/>
          <w:color w:val="000000"/>
        </w:rPr>
        <w:t xml:space="preserve">One technique to improve teaching and learning is to use a virtual learning environment (VLE). In the old days, the teacher would constantly bring the students to the overview course content. As a result, some pupils are given fewer opportunities to obtain knowledge on their own. Students may now access what they need to study on their own, which will improve on additional responsibilities as they will be able to obtain information about the course description without having to rely on the teacher.The ability to publish within the commercial VLE encourages faculty to use it to make lecture slides and other teaching materials more accessible. However, </w:t>
      </w:r>
      <w:proofErr w:type="spellStart"/>
      <w:r>
        <w:rPr>
          <w:rFonts w:ascii="Arial" w:eastAsia="Arial" w:hAnsi="Arial" w:cs="Arial"/>
          <w:color w:val="000000"/>
        </w:rPr>
        <w:t>Steinbronn</w:t>
      </w:r>
      <w:proofErr w:type="spellEnd"/>
      <w:r>
        <w:rPr>
          <w:rFonts w:ascii="Arial" w:eastAsia="Arial" w:hAnsi="Arial" w:cs="Arial"/>
          <w:color w:val="000000"/>
        </w:rPr>
        <w:t xml:space="preserve"> and </w:t>
      </w:r>
      <w:proofErr w:type="spellStart"/>
      <w:r>
        <w:rPr>
          <w:rFonts w:ascii="Arial" w:eastAsia="Arial" w:hAnsi="Arial" w:cs="Arial"/>
          <w:color w:val="000000"/>
        </w:rPr>
        <w:t>Merideth</w:t>
      </w:r>
      <w:proofErr w:type="spellEnd"/>
      <w:r>
        <w:rPr>
          <w:rFonts w:ascii="Arial" w:eastAsia="Arial" w:hAnsi="Arial" w:cs="Arial"/>
          <w:color w:val="000000"/>
        </w:rPr>
        <w:t xml:space="preserve"> (2003) point out that while copying and pasting lecturer notes into a Web page may imitate the information, it does not replicate the interactive connection and participation that can be facilitated in a live lecture through nonverbal emotion and body language. Additionally, an over-reliance on content-driven models results in the same "boring" material presented in lectures becoming boring Websites (Cronje 2001).While many academics emphasis on learning in connection to the usage of VLEs, Selwyn (2000) contends that researchers must consider the social, cultural, political, and economic aspects of educational computers, as well as the soft and hard concerns. Alexander (2006) elaborates on this idea, suggesting that today's varied student body necessitates consideration of cultural aspects.</w:t>
      </w:r>
    </w:p>
    <w:p w14:paraId="00000016" w14:textId="77777777" w:rsidR="00EB6614" w:rsidRDefault="00EB6614">
      <w:pPr>
        <w:spacing w:line="360" w:lineRule="auto"/>
        <w:rPr>
          <w:rFonts w:ascii="Arial" w:eastAsia="Arial" w:hAnsi="Arial" w:cs="Arial"/>
          <w:color w:val="000000"/>
        </w:rPr>
      </w:pPr>
    </w:p>
    <w:p w14:paraId="00000017" w14:textId="77777777" w:rsidR="00EB6614" w:rsidRDefault="00EB6614">
      <w:pPr>
        <w:spacing w:line="360" w:lineRule="auto"/>
        <w:rPr>
          <w:rFonts w:ascii="Arial" w:eastAsia="Arial" w:hAnsi="Arial" w:cs="Arial"/>
          <w:color w:val="000000"/>
        </w:rPr>
      </w:pPr>
    </w:p>
    <w:p w14:paraId="00000018" w14:textId="77777777" w:rsidR="00EB6614" w:rsidRDefault="00EB6614">
      <w:pPr>
        <w:spacing w:line="360" w:lineRule="auto"/>
        <w:rPr>
          <w:rFonts w:ascii="Arial" w:eastAsia="Arial" w:hAnsi="Arial" w:cs="Arial"/>
          <w:color w:val="000000"/>
        </w:rPr>
      </w:pPr>
    </w:p>
    <w:p w14:paraId="00000019" w14:textId="77777777" w:rsidR="00EB6614" w:rsidRDefault="004B3CAF">
      <w:pPr>
        <w:rPr>
          <w:rFonts w:ascii="Arial" w:eastAsia="Arial" w:hAnsi="Arial" w:cs="Arial"/>
          <w:b/>
          <w:color w:val="000000"/>
          <w:sz w:val="26"/>
          <w:szCs w:val="26"/>
          <w:u w:val="single"/>
        </w:rPr>
      </w:pPr>
      <w:r>
        <w:rPr>
          <w:rFonts w:ascii="Arial" w:eastAsia="Arial" w:hAnsi="Arial" w:cs="Arial"/>
          <w:b/>
          <w:color w:val="000000"/>
          <w:sz w:val="26"/>
          <w:szCs w:val="26"/>
          <w:u w:val="single"/>
        </w:rPr>
        <w:t>Moodle</w:t>
      </w:r>
    </w:p>
    <w:p w14:paraId="0000001A" w14:textId="77777777" w:rsidR="00EB6614" w:rsidRDefault="004B3CAF">
      <w:pPr>
        <w:spacing w:line="360" w:lineRule="auto"/>
        <w:rPr>
          <w:rFonts w:ascii="Arial" w:eastAsia="Arial" w:hAnsi="Arial" w:cs="Arial"/>
          <w:color w:val="000000"/>
        </w:rPr>
      </w:pPr>
      <w:r>
        <w:rPr>
          <w:rFonts w:ascii="Arial" w:eastAsia="Arial" w:hAnsi="Arial" w:cs="Arial"/>
          <w:color w:val="000000"/>
        </w:rPr>
        <w:t xml:space="preserve">Moodle is a free online learning platform for students, professors, lecturers, and executives. Moodle was designed by Martin </w:t>
      </w:r>
      <w:proofErr w:type="spellStart"/>
      <w:r>
        <w:rPr>
          <w:rFonts w:ascii="Arial" w:eastAsia="Arial" w:hAnsi="Arial" w:cs="Arial"/>
          <w:color w:val="000000"/>
        </w:rPr>
        <w:t>Dougiamas</w:t>
      </w:r>
      <w:proofErr w:type="spellEnd"/>
      <w:r>
        <w:rPr>
          <w:rFonts w:ascii="Arial" w:eastAsia="Arial" w:hAnsi="Arial" w:cs="Arial"/>
          <w:color w:val="000000"/>
        </w:rPr>
        <w:t>, a 52-year-old (now) Australian guy. Moodle was created in 2002 to aid, guide, and educate students, lecturers, professors, and management.Moodle is a popular, adaptable Virtual Learning Environment that is meant to supplement face-to-face teaching with a variety of versatile software resources and a location to publish program resources. It's a popular tool for establishing online dynamic teaching sites and assisting teaching processes all around the world (Evans, 2008).</w:t>
      </w:r>
    </w:p>
    <w:p w14:paraId="0000001B" w14:textId="77777777" w:rsidR="00EB6614" w:rsidRDefault="004B3CAF">
      <w:pPr>
        <w:spacing w:line="360" w:lineRule="auto"/>
        <w:rPr>
          <w:rFonts w:ascii="Arial" w:eastAsia="Arial" w:hAnsi="Arial" w:cs="Arial"/>
          <w:color w:val="000000"/>
        </w:rPr>
      </w:pPr>
      <w:r>
        <w:rPr>
          <w:rFonts w:ascii="Arial" w:eastAsia="Arial" w:hAnsi="Arial" w:cs="Arial"/>
          <w:color w:val="000000"/>
        </w:rPr>
        <w:t>In Addition, Moodle has a number of benefits and drawbacks that we should all be aware of; let's start with the benefits of Moodle. One of the several benefits is that Moodle is open-source; being an open-source project, Moodle can be viewed by anybody who has the appropriate access code.</w:t>
      </w:r>
    </w:p>
    <w:p w14:paraId="0000001C" w14:textId="77777777" w:rsidR="00EB6614" w:rsidRDefault="004B3CAF">
      <w:pPr>
        <w:spacing w:line="360" w:lineRule="auto"/>
        <w:rPr>
          <w:rFonts w:ascii="Arial" w:eastAsia="Arial" w:hAnsi="Arial" w:cs="Arial"/>
          <w:color w:val="000000"/>
        </w:rPr>
      </w:pPr>
      <w:r>
        <w:rPr>
          <w:rFonts w:ascii="Arial" w:eastAsia="Arial" w:hAnsi="Arial" w:cs="Arial"/>
          <w:color w:val="000000"/>
        </w:rPr>
        <w:t>Furthermore, a second advantage would be how easily accessible the platform is. It can be used on various devices, e.g., tablet, mobile and desktop, which is quite beneficial as nowadays people are consistently on the go and the platform is still able to cater to whatever size and device you use, quite exceptional. Moodle is able to uphold ‘pre-tests’ and ‘post-tests’ as a fragment of the learning interaction.Moodle is compatible with Unix, Linux, FreeBSD, Windows, OS X, NetWare, and any other system that supports PHP and a database, includes web hosting platforms.</w:t>
      </w:r>
    </w:p>
    <w:p w14:paraId="0000001D" w14:textId="77777777" w:rsidR="00EB6614" w:rsidRDefault="00EB6614">
      <w:pPr>
        <w:spacing w:line="360" w:lineRule="auto"/>
        <w:rPr>
          <w:rFonts w:ascii="Arial" w:eastAsia="Arial" w:hAnsi="Arial" w:cs="Arial"/>
          <w:color w:val="000000"/>
        </w:rPr>
      </w:pPr>
    </w:p>
    <w:p w14:paraId="0000001E" w14:textId="77777777" w:rsidR="00EB6614" w:rsidRDefault="004B3CAF">
      <w:pPr>
        <w:spacing w:line="360" w:lineRule="auto"/>
        <w:rPr>
          <w:rFonts w:ascii="Arial" w:eastAsia="Arial" w:hAnsi="Arial" w:cs="Arial"/>
          <w:color w:val="000000"/>
        </w:rPr>
      </w:pPr>
      <w:r>
        <w:rPr>
          <w:rFonts w:ascii="Arial" w:eastAsia="Arial" w:hAnsi="Arial" w:cs="Arial"/>
          <w:color w:val="000000"/>
        </w:rPr>
        <w:t>Moodle also provides import options for importing assessments or complete courses from Blackboard or WebCT, among other platforms. Moodle did not export Facebook courses as of February 2010, presumably owing to changes in PHP code updates. it also contains a few adaptive testing and evaluation tools, such as automated and manual marking, which allows students to track their progress and discover what they are strong at, what they are satisfied with, and what they need to improve on.</w:t>
      </w:r>
    </w:p>
    <w:p w14:paraId="0000001F" w14:textId="77777777" w:rsidR="00EB6614" w:rsidRDefault="004B3CAF">
      <w:pPr>
        <w:spacing w:line="360" w:lineRule="auto"/>
        <w:rPr>
          <w:rFonts w:ascii="Arial" w:eastAsia="Arial" w:hAnsi="Arial" w:cs="Arial"/>
          <w:color w:val="000000"/>
        </w:rPr>
      </w:pPr>
      <w:r>
        <w:rPr>
          <w:rFonts w:ascii="Arial" w:eastAsia="Arial" w:hAnsi="Arial" w:cs="Arial"/>
          <w:color w:val="000000"/>
        </w:rPr>
        <w:t>Notwithstanding Moodle's many benefits, now let start talking about its drawbacks, or the need for changes, because nothing is flawless. Perhaps one of Moodle's biggest flaws is that the platform isn't quite ready to manage massive assignments.</w:t>
      </w:r>
    </w:p>
    <w:p w14:paraId="00000020" w14:textId="77777777" w:rsidR="00EB6614" w:rsidRDefault="004B3CAF">
      <w:pPr>
        <w:spacing w:line="360" w:lineRule="auto"/>
        <w:rPr>
          <w:rFonts w:ascii="Arial" w:eastAsia="Arial" w:hAnsi="Arial" w:cs="Arial"/>
          <w:color w:val="000000"/>
        </w:rPr>
      </w:pPr>
      <w:r>
        <w:rPr>
          <w:rFonts w:ascii="Arial" w:eastAsia="Arial" w:hAnsi="Arial" w:cs="Arial"/>
          <w:color w:val="000000"/>
        </w:rPr>
        <w:t>This may only be of benefit to colleges or universities of moderate sizes, with larger schools it may be a lot more difficult to conduct a good class as the performance may deteriorate. Another need of improvement for Moodle’s learning platform would be the fact the website tends to shut down from time-to-time restricting opportunity for students to access their learning materials or take tests online (Clark, 2016).</w:t>
      </w:r>
    </w:p>
    <w:p w14:paraId="00000021" w14:textId="77777777" w:rsidR="00EB6614" w:rsidRDefault="004B3CAF">
      <w:pPr>
        <w:spacing w:line="360" w:lineRule="auto"/>
        <w:rPr>
          <w:rFonts w:ascii="Arial" w:eastAsia="Arial" w:hAnsi="Arial" w:cs="Arial"/>
          <w:color w:val="000000"/>
        </w:rPr>
      </w:pPr>
      <w:r>
        <w:rPr>
          <w:rFonts w:ascii="Arial" w:eastAsia="Arial" w:hAnsi="Arial" w:cs="Arial"/>
          <w:color w:val="000000"/>
        </w:rPr>
        <w:t xml:space="preserve">It usually necessitates additional crew to oversee and maintain the features, which include, for example, test phases, bug patches, server upkeep, stockpiling, and security. These are some of the most common drawbacks of using Moodle, which many people have expressed their dissatisfaction with or have made comments about. the platform can be inconsistent and irritating, this limits how much students can learn from it. Another downside is that even little changes in your activities would necessitate the involvement of an IT team.focuses on a better overview of the course New dashboard blocks are really useful. </w:t>
      </w:r>
      <w:proofErr w:type="spellStart"/>
      <w:r>
        <w:rPr>
          <w:rFonts w:ascii="Arial" w:eastAsia="Arial" w:hAnsi="Arial" w:cs="Arial"/>
          <w:color w:val="000000"/>
        </w:rPr>
        <w:t>Nextcloud</w:t>
      </w:r>
      <w:proofErr w:type="spellEnd"/>
      <w:r>
        <w:rPr>
          <w:rFonts w:ascii="Arial" w:eastAsia="Arial" w:hAnsi="Arial" w:cs="Arial"/>
          <w:color w:val="000000"/>
        </w:rPr>
        <w:t xml:space="preserve"> integration, new messaging interface Your profile's privacy links should be more obvious. Hide in the users' block on the internet. Send a message to your groups. Please include more information about your badges. Keep a record of your assignment feedback. Improvements to the quiz, Find duplicate objects quickly. Hide the dates when a page was last edited. Enhancements to privacy, Controlling message access, integrating </w:t>
      </w:r>
      <w:proofErr w:type="spellStart"/>
      <w:r>
        <w:rPr>
          <w:rFonts w:ascii="Arial" w:eastAsia="Arial" w:hAnsi="Arial" w:cs="Arial"/>
          <w:color w:val="000000"/>
        </w:rPr>
        <w:t>Nextcloud</w:t>
      </w:r>
      <w:proofErr w:type="spellEnd"/>
      <w:r>
        <w:rPr>
          <w:rFonts w:ascii="Arial" w:eastAsia="Arial" w:hAnsi="Arial" w:cs="Arial"/>
          <w:color w:val="000000"/>
        </w:rPr>
        <w:t>, and more Freezing the context, Rupees are accepted through PayPal. Control the recording of audio and video.</w:t>
      </w:r>
    </w:p>
    <w:p w14:paraId="00000022" w14:textId="77777777" w:rsidR="00EB6614" w:rsidRDefault="004B3CAF">
      <w:pPr>
        <w:spacing w:line="360" w:lineRule="auto"/>
        <w:rPr>
          <w:rFonts w:ascii="Arial" w:eastAsia="Arial" w:hAnsi="Arial" w:cs="Arial"/>
          <w:color w:val="212529"/>
          <w:highlight w:val="white"/>
        </w:rPr>
      </w:pPr>
      <w:r>
        <w:rPr>
          <w:rFonts w:ascii="Arial" w:eastAsia="Arial" w:hAnsi="Arial" w:cs="Arial"/>
          <w:color w:val="000000"/>
        </w:rPr>
        <w:t>As well as the points mentioned previously, I have conducted my own investigation by means of a survey to query other students in my university (University of Wales Trinity Saint David) about their personal experience using Moodle</w:t>
      </w:r>
      <w:r>
        <w:rPr>
          <w:rFonts w:ascii="Arial" w:eastAsia="Arial" w:hAnsi="Arial" w:cs="Arial"/>
          <w:color w:val="212529"/>
          <w:highlight w:val="white"/>
        </w:rPr>
        <w:t>. Many students have a diverse opinion on how they view and use Moodle.In addition to the previously mentioned issues, I conducted my own inquiry by conducting a poll to inquire about other students' personal experiences with Moodle at my university (University of Wales Trinity Saint David). Many students have different perspectives on Moodle and how they use it. Instant messaging (chat), wikis, and weblogs are examples of social media since they allow users to create and participate in online communities, as well as administer them on a larger scale (</w:t>
      </w:r>
      <w:proofErr w:type="spellStart"/>
      <w:r>
        <w:rPr>
          <w:rFonts w:ascii="Arial" w:eastAsia="Arial" w:hAnsi="Arial" w:cs="Arial"/>
          <w:color w:val="212529"/>
          <w:highlight w:val="white"/>
        </w:rPr>
        <w:t>Schaffert</w:t>
      </w:r>
      <w:proofErr w:type="spellEnd"/>
      <w:r>
        <w:rPr>
          <w:rFonts w:ascii="Arial" w:eastAsia="Arial" w:hAnsi="Arial" w:cs="Arial"/>
          <w:color w:val="212529"/>
          <w:highlight w:val="white"/>
        </w:rPr>
        <w:t xml:space="preserve">, 2006). Unlike traditional media, publishing and exercising material is less expensive and more flexible. Social media, more specifically, tries to engage with a larger audience by building and promoting user groups and communities.The relationship dimension is concerned with interpersonal interactions in a given setting, personal growth with possibilities for individuals to grow within that context, and system management and change with the degree to which the environment is clean, </w:t>
      </w:r>
      <w:proofErr w:type="spellStart"/>
      <w:r>
        <w:rPr>
          <w:rFonts w:ascii="Arial" w:eastAsia="Arial" w:hAnsi="Arial" w:cs="Arial"/>
          <w:color w:val="212529"/>
          <w:highlight w:val="white"/>
        </w:rPr>
        <w:t>organised</w:t>
      </w:r>
      <w:proofErr w:type="spellEnd"/>
      <w:r>
        <w:rPr>
          <w:rFonts w:ascii="Arial" w:eastAsia="Arial" w:hAnsi="Arial" w:cs="Arial"/>
          <w:color w:val="212529"/>
          <w:highlight w:val="white"/>
        </w:rPr>
        <w:t>, and open to change (Barker, 2019).</w:t>
      </w:r>
    </w:p>
    <w:p w14:paraId="00000023" w14:textId="77777777" w:rsidR="00EB6614" w:rsidRDefault="004B3CAF">
      <w:pPr>
        <w:spacing w:line="360" w:lineRule="auto"/>
        <w:rPr>
          <w:rFonts w:ascii="Arial" w:eastAsia="Arial" w:hAnsi="Arial" w:cs="Arial"/>
          <w:color w:val="000000"/>
        </w:rPr>
      </w:pPr>
      <w:r>
        <w:rPr>
          <w:rFonts w:ascii="Arial" w:eastAsia="Arial" w:hAnsi="Arial" w:cs="Arial"/>
          <w:color w:val="000000"/>
        </w:rPr>
        <w:t xml:space="preserve">I’ve chosen to use quantitative research to conduct my findings as it gives a better way of understanding and it simplifies things for both the students answering the questions or students conducting the survey.Decommissioned (yes/no) subjects are used in quantitative research to allow people surveyed to reply to inquiries fast. This research method can be represented by a bar chart or a bar graph, which I believe would make the facts simpler to absorb, interpret, and explain.Moodle is a popular, adaptable Virtual Learning Environment that is meant to supplement face-to-face teaching with a variety of versatile software resources and a location to publish program resources. It's a popular tool for establishing online dynamic teaching sites and assisting teaching processes all around the world.If you use Moodle as your identity provider, you can use an SSO solution to keep the session between platforms and prevent direct database calls. SAML is one of the most used SSO protocols, and it may be integrated into Moodle via a third-party plugin that operates a SAML server. Google Apps will connect to the Moodle SAML endpoint and use the credentials saved in Moodle. Keep in mind that both sides must have the same username and email address.The relationship dimension is concerned with interpersonal interactions in a given setting, personal growth with possibilities for individuals to grow within that context, and system management and change with the degree to which the environment is clean, </w:t>
      </w:r>
      <w:proofErr w:type="spellStart"/>
      <w:r>
        <w:rPr>
          <w:rFonts w:ascii="Arial" w:eastAsia="Arial" w:hAnsi="Arial" w:cs="Arial"/>
          <w:color w:val="000000"/>
        </w:rPr>
        <w:t>organised</w:t>
      </w:r>
      <w:proofErr w:type="spellEnd"/>
      <w:r>
        <w:rPr>
          <w:rFonts w:ascii="Arial" w:eastAsia="Arial" w:hAnsi="Arial" w:cs="Arial"/>
          <w:color w:val="000000"/>
        </w:rPr>
        <w:t>, and open to change.Considering the foregoing, it is clear that no research has examined persistence in foreign language acquisition as a predictor of continuing enrollment (i.e., retention) or an affective outcome in the literature to date. Furthermore, there is a need for research into the elements that may influence students' perseverance in EFL learning, and in this regard, environmental or classroom aspects, in addition to student personal traits, are worthy of investigation.While many academics emphasis on learning in connection to the usage of VLEs, Selwyn (2000) contends that researchers must consider the social, cultural, political, and economic aspects of educational computers, as well as the soft and hard concerns. Alexander (2006) elaborates on this idea, suggesting that today's varied student body necessitates consideration of cultural aspects (Allen, 2006).</w:t>
      </w:r>
    </w:p>
    <w:p w14:paraId="00000024" w14:textId="77777777" w:rsidR="00EB6614" w:rsidRDefault="004B3CAF">
      <w:pPr>
        <w:spacing w:line="360" w:lineRule="auto"/>
        <w:rPr>
          <w:rFonts w:ascii="Arial" w:eastAsia="Arial" w:hAnsi="Arial" w:cs="Arial"/>
          <w:color w:val="000000"/>
        </w:rPr>
      </w:pPr>
      <w:r>
        <w:rPr>
          <w:rFonts w:ascii="Arial" w:eastAsia="Arial" w:hAnsi="Arial" w:cs="Arial"/>
          <w:color w:val="000000"/>
        </w:rPr>
        <w:t>.</w:t>
      </w:r>
    </w:p>
    <w:p w14:paraId="00000025" w14:textId="77777777" w:rsidR="00EB6614" w:rsidRDefault="00EB6614">
      <w:pPr>
        <w:rPr>
          <w:rFonts w:ascii="Arial" w:eastAsia="Arial" w:hAnsi="Arial" w:cs="Arial"/>
          <w:b/>
          <w:color w:val="000000"/>
        </w:rPr>
      </w:pPr>
    </w:p>
    <w:p w14:paraId="00000026" w14:textId="77777777" w:rsidR="00EB6614" w:rsidRDefault="00EB6614">
      <w:pPr>
        <w:rPr>
          <w:rFonts w:ascii="Arial" w:eastAsia="Arial" w:hAnsi="Arial" w:cs="Arial"/>
          <w:b/>
          <w:color w:val="000000"/>
        </w:rPr>
      </w:pPr>
    </w:p>
    <w:p w14:paraId="00000027" w14:textId="77777777" w:rsidR="00EB6614" w:rsidRDefault="00EB6614">
      <w:pPr>
        <w:rPr>
          <w:rFonts w:ascii="Arial" w:eastAsia="Arial" w:hAnsi="Arial" w:cs="Arial"/>
          <w:b/>
          <w:color w:val="000000"/>
        </w:rPr>
      </w:pPr>
    </w:p>
    <w:p w14:paraId="00000028" w14:textId="77777777" w:rsidR="00EB6614" w:rsidRDefault="00EB6614">
      <w:pPr>
        <w:rPr>
          <w:rFonts w:ascii="Arial" w:eastAsia="Arial" w:hAnsi="Arial" w:cs="Arial"/>
          <w:b/>
          <w:color w:val="000000"/>
        </w:rPr>
      </w:pPr>
    </w:p>
    <w:p w14:paraId="00000029" w14:textId="77777777" w:rsidR="00EB6614" w:rsidRDefault="00EB6614">
      <w:pPr>
        <w:rPr>
          <w:rFonts w:ascii="Arial" w:eastAsia="Arial" w:hAnsi="Arial" w:cs="Arial"/>
          <w:b/>
          <w:color w:val="000000"/>
        </w:rPr>
      </w:pPr>
    </w:p>
    <w:p w14:paraId="0000002A" w14:textId="77777777" w:rsidR="00EB6614" w:rsidRDefault="00EB6614">
      <w:pPr>
        <w:rPr>
          <w:rFonts w:ascii="Arial" w:eastAsia="Arial" w:hAnsi="Arial" w:cs="Arial"/>
          <w:b/>
          <w:color w:val="000000"/>
        </w:rPr>
      </w:pPr>
    </w:p>
    <w:p w14:paraId="0000002B" w14:textId="77777777" w:rsidR="00EB6614" w:rsidRDefault="00EB6614">
      <w:pPr>
        <w:rPr>
          <w:rFonts w:ascii="Arial" w:eastAsia="Arial" w:hAnsi="Arial" w:cs="Arial"/>
          <w:b/>
          <w:color w:val="000000"/>
        </w:rPr>
      </w:pPr>
    </w:p>
    <w:p w14:paraId="0000002C" w14:textId="77777777" w:rsidR="00EB6614" w:rsidRDefault="00EB6614">
      <w:pPr>
        <w:rPr>
          <w:rFonts w:ascii="Arial" w:eastAsia="Arial" w:hAnsi="Arial" w:cs="Arial"/>
          <w:b/>
          <w:color w:val="000000"/>
        </w:rPr>
      </w:pPr>
    </w:p>
    <w:p w14:paraId="0000002D" w14:textId="77777777" w:rsidR="00EB6614" w:rsidRDefault="00EB6614">
      <w:pPr>
        <w:rPr>
          <w:rFonts w:ascii="Arial" w:eastAsia="Arial" w:hAnsi="Arial" w:cs="Arial"/>
          <w:b/>
          <w:color w:val="000000"/>
        </w:rPr>
      </w:pPr>
    </w:p>
    <w:p w14:paraId="0000002E" w14:textId="77777777" w:rsidR="00EB6614" w:rsidRDefault="00EB6614">
      <w:pPr>
        <w:rPr>
          <w:rFonts w:ascii="Arial" w:eastAsia="Arial" w:hAnsi="Arial" w:cs="Arial"/>
          <w:b/>
          <w:color w:val="000000"/>
        </w:rPr>
      </w:pPr>
    </w:p>
    <w:p w14:paraId="0000002F" w14:textId="77777777" w:rsidR="00EB6614" w:rsidRDefault="00EB6614">
      <w:pPr>
        <w:rPr>
          <w:rFonts w:ascii="Arial" w:eastAsia="Arial" w:hAnsi="Arial" w:cs="Arial"/>
          <w:b/>
          <w:color w:val="000000"/>
        </w:rPr>
      </w:pPr>
    </w:p>
    <w:p w14:paraId="00000030" w14:textId="77777777" w:rsidR="00EB6614" w:rsidRDefault="00EB6614">
      <w:pPr>
        <w:rPr>
          <w:rFonts w:ascii="Arial" w:eastAsia="Arial" w:hAnsi="Arial" w:cs="Arial"/>
          <w:b/>
          <w:color w:val="000000"/>
        </w:rPr>
      </w:pPr>
    </w:p>
    <w:p w14:paraId="00000031" w14:textId="77777777" w:rsidR="00EB6614" w:rsidRDefault="004B3CAF">
      <w:pPr>
        <w:rPr>
          <w:rFonts w:ascii="Arial" w:eastAsia="Arial" w:hAnsi="Arial" w:cs="Arial"/>
          <w:b/>
          <w:color w:val="000000"/>
        </w:rPr>
      </w:pPr>
      <w:r>
        <w:rPr>
          <w:rFonts w:ascii="Arial" w:eastAsia="Arial" w:hAnsi="Arial" w:cs="Arial"/>
          <w:b/>
          <w:color w:val="000000"/>
        </w:rPr>
        <w:t>These are the questions I’ve asked.</w:t>
      </w:r>
    </w:p>
    <w:p w14:paraId="00000032" w14:textId="77777777" w:rsidR="00EB6614" w:rsidRPr="00B63775" w:rsidRDefault="004B3CAF">
      <w:pPr>
        <w:numPr>
          <w:ilvl w:val="0"/>
          <w:numId w:val="2"/>
        </w:numPr>
        <w:pBdr>
          <w:top w:val="nil"/>
          <w:left w:val="nil"/>
          <w:bottom w:val="nil"/>
          <w:right w:val="nil"/>
          <w:between w:val="nil"/>
        </w:pBdr>
        <w:spacing w:after="0" w:line="360" w:lineRule="auto"/>
        <w:rPr>
          <w:rFonts w:ascii="Arial" w:hAnsi="Arial" w:cs="Arial"/>
          <w:color w:val="000000"/>
        </w:rPr>
      </w:pPr>
      <w:r>
        <w:rPr>
          <w:rFonts w:ascii="Arial" w:eastAsia="Arial" w:hAnsi="Arial" w:cs="Arial"/>
          <w:color w:val="000000"/>
        </w:rPr>
        <w:t>Do you enjoy using Moodle?</w:t>
      </w:r>
    </w:p>
    <w:p w14:paraId="00000033" w14:textId="77777777" w:rsidR="00EB6614" w:rsidRDefault="004B3CAF">
      <w:pPr>
        <w:numPr>
          <w:ilvl w:val="0"/>
          <w:numId w:val="2"/>
        </w:num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Do you think Moodle is easily accessible?</w:t>
      </w:r>
    </w:p>
    <w:p w14:paraId="00000034" w14:textId="77777777" w:rsidR="00EB6614" w:rsidRDefault="004B3CAF">
      <w:pPr>
        <w:numPr>
          <w:ilvl w:val="0"/>
          <w:numId w:val="2"/>
        </w:num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Have you used any other learning platforms besides Moodle?</w:t>
      </w:r>
    </w:p>
    <w:p w14:paraId="00000035" w14:textId="77777777" w:rsidR="00EB6614" w:rsidRDefault="004B3CAF">
      <w:pPr>
        <w:numPr>
          <w:ilvl w:val="0"/>
          <w:numId w:val="2"/>
        </w:num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Do you think Moodle has improved your learning? (If ‘Yes’ explain how so)</w:t>
      </w:r>
    </w:p>
    <w:p w14:paraId="00000036" w14:textId="77777777" w:rsidR="00EB6614" w:rsidRDefault="004B3CAF">
      <w:pPr>
        <w:numPr>
          <w:ilvl w:val="0"/>
          <w:numId w:val="2"/>
        </w:num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How many days a week do you use Moodle?</w:t>
      </w:r>
    </w:p>
    <w:p w14:paraId="00000037" w14:textId="77777777" w:rsidR="00EB6614" w:rsidRDefault="004B3CAF">
      <w:pPr>
        <w:numPr>
          <w:ilvl w:val="0"/>
          <w:numId w:val="2"/>
        </w:numPr>
        <w:pBdr>
          <w:top w:val="nil"/>
          <w:left w:val="nil"/>
          <w:bottom w:val="nil"/>
          <w:right w:val="nil"/>
          <w:between w:val="nil"/>
        </w:pBdr>
        <w:spacing w:before="0" w:line="360" w:lineRule="auto"/>
        <w:rPr>
          <w:rFonts w:ascii="Arial" w:eastAsia="Arial" w:hAnsi="Arial" w:cs="Arial"/>
          <w:color w:val="000000"/>
        </w:rPr>
      </w:pPr>
      <w:r>
        <w:rPr>
          <w:rFonts w:ascii="Arial" w:eastAsia="Arial" w:hAnsi="Arial" w:cs="Arial"/>
          <w:color w:val="000000"/>
        </w:rPr>
        <w:t>What could the university do to make using Moodle student-friendly?</w:t>
      </w:r>
    </w:p>
    <w:p w14:paraId="00000038" w14:textId="77777777" w:rsidR="00EB6614" w:rsidRDefault="004B3CAF">
      <w:pPr>
        <w:rPr>
          <w:rFonts w:ascii="Arial" w:eastAsia="Arial" w:hAnsi="Arial" w:cs="Arial"/>
          <w:color w:val="000000"/>
        </w:rPr>
      </w:pPr>
      <w:r>
        <w:rPr>
          <w:rFonts w:ascii="Arial" w:eastAsia="Arial" w:hAnsi="Arial" w:cs="Arial"/>
          <w:color w:val="000000"/>
        </w:rPr>
        <w:t>These are the results from the students.</w:t>
      </w:r>
    </w:p>
    <w:p w14:paraId="00000039" w14:textId="77777777" w:rsidR="00EB6614" w:rsidRDefault="00EB6614">
      <w:pPr>
        <w:rPr>
          <w:rFonts w:ascii="Arial" w:eastAsia="Arial" w:hAnsi="Arial" w:cs="Arial"/>
          <w:color w:val="000000"/>
        </w:rPr>
      </w:pPr>
    </w:p>
    <w:p w14:paraId="0000003A" w14:textId="77777777" w:rsidR="00EB6614" w:rsidRPr="00B63775" w:rsidRDefault="004B3CAF">
      <w:pPr>
        <w:rPr>
          <w:rFonts w:ascii="Arial" w:hAnsi="Arial" w:cs="Arial"/>
        </w:rPr>
      </w:pPr>
      <w:r w:rsidRPr="00B63775">
        <w:rPr>
          <w:rFonts w:ascii="Arial" w:hAnsi="Arial" w:cs="Arial"/>
        </w:rPr>
        <w:br w:type="page"/>
      </w:r>
      <w:r w:rsidRPr="00B63775">
        <w:rPr>
          <w:rFonts w:ascii="Arial" w:hAnsi="Arial" w:cs="Arial"/>
        </w:rPr>
        <w:drawing>
          <wp:inline distT="0" distB="0" distL="0" distR="0" wp14:anchorId="40168C87" wp14:editId="3C19E7F7">
            <wp:extent cx="4028146" cy="3393248"/>
            <wp:effectExtent l="0" t="0" r="0" b="0"/>
            <wp:docPr id="12" name="image3.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Graphical user interface&#10;&#10;Description automatically generated"/>
                    <pic:cNvPicPr preferRelativeResize="0"/>
                  </pic:nvPicPr>
                  <pic:blipFill>
                    <a:blip r:embed="rId9"/>
                    <a:srcRect l="23549" t="26420" r="23123" b="1703"/>
                    <a:stretch>
                      <a:fillRect/>
                    </a:stretch>
                  </pic:blipFill>
                  <pic:spPr>
                    <a:xfrm>
                      <a:off x="0" y="0"/>
                      <a:ext cx="4028146" cy="3393248"/>
                    </a:xfrm>
                    <a:prstGeom prst="rect">
                      <a:avLst/>
                    </a:prstGeom>
                    <a:ln/>
                  </pic:spPr>
                </pic:pic>
              </a:graphicData>
            </a:graphic>
          </wp:inline>
        </w:drawing>
      </w:r>
    </w:p>
    <w:p w14:paraId="0000003B" w14:textId="77777777" w:rsidR="00EB6614" w:rsidRDefault="004B3CAF">
      <w:pPr>
        <w:rPr>
          <w:rFonts w:ascii="Arial" w:eastAsia="Arial" w:hAnsi="Arial" w:cs="Arial"/>
        </w:rPr>
      </w:pPr>
      <w:r>
        <w:rPr>
          <w:rFonts w:ascii="Arial" w:eastAsia="Arial" w:hAnsi="Arial" w:cs="Arial"/>
          <w:noProof/>
        </w:rPr>
        <w:drawing>
          <wp:inline distT="0" distB="0" distL="0" distR="0" wp14:anchorId="48E4CF2A" wp14:editId="0CEC4F55">
            <wp:extent cx="4018467" cy="2693660"/>
            <wp:effectExtent l="0" t="0" r="0" b="0"/>
            <wp:docPr id="11" name="image2.png"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Graphical user interface, text, application&#10;&#10;Description automatically generated"/>
                    <pic:cNvPicPr preferRelativeResize="0"/>
                  </pic:nvPicPr>
                  <pic:blipFill>
                    <a:blip r:embed="rId10"/>
                    <a:srcRect l="22991" t="34814" r="23136" b="7407"/>
                    <a:stretch>
                      <a:fillRect/>
                    </a:stretch>
                  </pic:blipFill>
                  <pic:spPr>
                    <a:xfrm>
                      <a:off x="0" y="0"/>
                      <a:ext cx="4018467" cy="2693660"/>
                    </a:xfrm>
                    <a:prstGeom prst="rect">
                      <a:avLst/>
                    </a:prstGeom>
                    <a:ln/>
                  </pic:spPr>
                </pic:pic>
              </a:graphicData>
            </a:graphic>
          </wp:inline>
        </w:drawing>
      </w:r>
    </w:p>
    <w:p w14:paraId="0000003C" w14:textId="77777777" w:rsidR="00EB6614" w:rsidRDefault="00EB6614">
      <w:pPr>
        <w:rPr>
          <w:rFonts w:ascii="Arial" w:eastAsia="Arial" w:hAnsi="Arial" w:cs="Arial"/>
        </w:rPr>
      </w:pPr>
    </w:p>
    <w:p w14:paraId="0000003D" w14:textId="77777777" w:rsidR="00EB6614" w:rsidRDefault="004B3CAF">
      <w:pPr>
        <w:rPr>
          <w:rFonts w:ascii="Arial" w:eastAsia="Arial" w:hAnsi="Arial" w:cs="Arial"/>
        </w:rPr>
      </w:pPr>
      <w:r>
        <w:rPr>
          <w:rFonts w:ascii="Arial" w:eastAsia="Arial" w:hAnsi="Arial" w:cs="Arial"/>
          <w:noProof/>
        </w:rPr>
        <w:drawing>
          <wp:inline distT="0" distB="0" distL="0" distR="0" wp14:anchorId="60AC37E2" wp14:editId="49E8C84B">
            <wp:extent cx="3870732" cy="1646847"/>
            <wp:effectExtent l="0" t="0" r="0" b="0"/>
            <wp:docPr id="14" name="image5.png" descr="Graphical user interface, application, Team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Graphical user interface, application, Teams&#10;&#10;Description automatically generated"/>
                    <pic:cNvPicPr preferRelativeResize="0"/>
                  </pic:nvPicPr>
                  <pic:blipFill>
                    <a:blip r:embed="rId11"/>
                    <a:srcRect l="23150" t="57039" r="23137" b="6395"/>
                    <a:stretch>
                      <a:fillRect/>
                    </a:stretch>
                  </pic:blipFill>
                  <pic:spPr>
                    <a:xfrm>
                      <a:off x="0" y="0"/>
                      <a:ext cx="3870732" cy="1646847"/>
                    </a:xfrm>
                    <a:prstGeom prst="rect">
                      <a:avLst/>
                    </a:prstGeom>
                    <a:ln/>
                  </pic:spPr>
                </pic:pic>
              </a:graphicData>
            </a:graphic>
          </wp:inline>
        </w:drawing>
      </w:r>
    </w:p>
    <w:p w14:paraId="0000003E" w14:textId="77777777" w:rsidR="00EB6614" w:rsidRDefault="00EB6614">
      <w:pPr>
        <w:rPr>
          <w:rFonts w:ascii="Arial" w:eastAsia="Arial" w:hAnsi="Arial" w:cs="Arial"/>
        </w:rPr>
      </w:pPr>
    </w:p>
    <w:p w14:paraId="0000003F" w14:textId="77777777" w:rsidR="00EB6614" w:rsidRDefault="004B3CAF">
      <w:pPr>
        <w:rPr>
          <w:rFonts w:ascii="Arial" w:eastAsia="Arial" w:hAnsi="Arial" w:cs="Arial"/>
        </w:rPr>
      </w:pPr>
      <w:r>
        <w:rPr>
          <w:rFonts w:ascii="Arial" w:eastAsia="Arial" w:hAnsi="Arial" w:cs="Arial"/>
          <w:noProof/>
        </w:rPr>
        <w:drawing>
          <wp:inline distT="0" distB="0" distL="0" distR="0" wp14:anchorId="0258D45E" wp14:editId="24D7DBF0">
            <wp:extent cx="4816356" cy="3169754"/>
            <wp:effectExtent l="0" t="0" r="0" b="0"/>
            <wp:docPr id="13" name="image4.png"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Graphical user interface, text, application&#10;&#10;Description automatically generated"/>
                    <pic:cNvPicPr preferRelativeResize="0"/>
                  </pic:nvPicPr>
                  <pic:blipFill>
                    <a:blip r:embed="rId12"/>
                    <a:srcRect l="22994" t="34579" r="22833" b="8378"/>
                    <a:stretch>
                      <a:fillRect/>
                    </a:stretch>
                  </pic:blipFill>
                  <pic:spPr>
                    <a:xfrm>
                      <a:off x="0" y="0"/>
                      <a:ext cx="4816356" cy="3169754"/>
                    </a:xfrm>
                    <a:prstGeom prst="rect">
                      <a:avLst/>
                    </a:prstGeom>
                    <a:ln/>
                  </pic:spPr>
                </pic:pic>
              </a:graphicData>
            </a:graphic>
          </wp:inline>
        </w:drawing>
      </w:r>
    </w:p>
    <w:p w14:paraId="00000040" w14:textId="77777777" w:rsidR="00EB6614" w:rsidRDefault="00EB6614">
      <w:pPr>
        <w:spacing w:line="360" w:lineRule="auto"/>
        <w:rPr>
          <w:rFonts w:ascii="Arial" w:eastAsia="Arial" w:hAnsi="Arial" w:cs="Arial"/>
        </w:rPr>
      </w:pPr>
    </w:p>
    <w:p w14:paraId="00000041" w14:textId="77777777" w:rsidR="00EB6614" w:rsidRPr="00B63775" w:rsidRDefault="004B3CAF">
      <w:pPr>
        <w:spacing w:line="360" w:lineRule="auto"/>
        <w:rPr>
          <w:rFonts w:ascii="Arial" w:hAnsi="Arial" w:cs="Arial"/>
        </w:rPr>
      </w:pPr>
      <w:r>
        <w:rPr>
          <w:rFonts w:ascii="Arial" w:eastAsia="Arial" w:hAnsi="Arial" w:cs="Arial"/>
          <w:color w:val="000000"/>
        </w:rPr>
        <w:t xml:space="preserve">Within this Quantitative survey which included the recorded data from 11 respondents that helps to </w:t>
      </w:r>
      <w:proofErr w:type="spellStart"/>
      <w:r>
        <w:rPr>
          <w:rFonts w:ascii="Arial" w:eastAsia="Arial" w:hAnsi="Arial" w:cs="Arial"/>
          <w:color w:val="000000"/>
        </w:rPr>
        <w:t>Analyse</w:t>
      </w:r>
      <w:proofErr w:type="spellEnd"/>
      <w:r>
        <w:rPr>
          <w:rFonts w:ascii="Arial" w:eastAsia="Arial" w:hAnsi="Arial" w:cs="Arial"/>
          <w:color w:val="000000"/>
        </w:rPr>
        <w:t xml:space="preserve"> how useful Moodle is for students. The aforementioned data states that 100% of students enjoyed using Moodle and found it very accessibilities This was because Respondent number one states that Moodle makes teaching from home and is more flexible for work. Contrastingly respondent number 4 states that Moodle is highly beneficial due to its readily accessible resources that can be accessed through the website and how the resources on the</w:t>
      </w:r>
      <w:r w:rsidRPr="00B63775">
        <w:rPr>
          <w:rFonts w:ascii="Arial" w:hAnsi="Arial" w:cs="Arial"/>
          <w:color w:val="000000"/>
        </w:rPr>
        <w:t xml:space="preserve"> </w:t>
      </w:r>
      <w:r w:rsidRPr="00B63775">
        <w:rPr>
          <w:rFonts w:ascii="Arial" w:hAnsi="Arial" w:cs="Arial"/>
        </w:rPr>
        <w:t xml:space="preserve">website </w:t>
      </w:r>
    </w:p>
    <w:p w14:paraId="00000042" w14:textId="77777777" w:rsidR="00EB6614" w:rsidRDefault="00EB6614">
      <w:pPr>
        <w:rPr>
          <w:rFonts w:ascii="Arial" w:eastAsia="Arial" w:hAnsi="Arial" w:cs="Arial"/>
        </w:rPr>
      </w:pPr>
    </w:p>
    <w:p w14:paraId="00000043" w14:textId="77777777" w:rsidR="00EB6614" w:rsidRDefault="00EB6614">
      <w:pPr>
        <w:rPr>
          <w:rFonts w:ascii="Arial" w:eastAsia="Arial" w:hAnsi="Arial" w:cs="Arial"/>
          <w:b/>
          <w:u w:val="single"/>
        </w:rPr>
      </w:pPr>
    </w:p>
    <w:p w14:paraId="00000044" w14:textId="77777777" w:rsidR="00EB6614" w:rsidRDefault="00EB6614">
      <w:pPr>
        <w:rPr>
          <w:rFonts w:ascii="Arial" w:eastAsia="Arial" w:hAnsi="Arial" w:cs="Arial"/>
          <w:b/>
          <w:u w:val="single"/>
        </w:rPr>
      </w:pPr>
    </w:p>
    <w:p w14:paraId="00000045" w14:textId="77777777" w:rsidR="00EB6614" w:rsidRDefault="00EB6614">
      <w:pPr>
        <w:rPr>
          <w:rFonts w:ascii="Arial" w:eastAsia="Arial" w:hAnsi="Arial" w:cs="Arial"/>
          <w:color w:val="000000"/>
        </w:rPr>
      </w:pPr>
    </w:p>
    <w:p w14:paraId="00000046" w14:textId="77777777" w:rsidR="00EB6614" w:rsidRDefault="004B3CAF">
      <w:pPr>
        <w:ind w:left="360"/>
        <w:rPr>
          <w:rFonts w:ascii="Arial" w:eastAsia="Arial" w:hAnsi="Arial" w:cs="Arial"/>
          <w:color w:val="000000"/>
          <w:sz w:val="24"/>
          <w:szCs w:val="24"/>
          <w:highlight w:val="white"/>
        </w:rPr>
      </w:pPr>
      <w:r>
        <w:rPr>
          <w:rFonts w:ascii="Arial" w:eastAsia="Arial" w:hAnsi="Arial" w:cs="Arial"/>
          <w:b/>
          <w:color w:val="000000"/>
          <w:sz w:val="28"/>
          <w:szCs w:val="28"/>
        </w:rPr>
        <w:t>References</w:t>
      </w:r>
    </w:p>
    <w:p w14:paraId="00000047" w14:textId="77777777" w:rsidR="00EB6614" w:rsidRDefault="004B3CAF">
      <w:pPr>
        <w:numPr>
          <w:ilvl w:val="0"/>
          <w:numId w:val="1"/>
        </w:numPr>
        <w:pBdr>
          <w:top w:val="nil"/>
          <w:left w:val="nil"/>
          <w:bottom w:val="nil"/>
          <w:right w:val="nil"/>
          <w:between w:val="nil"/>
        </w:pBdr>
        <w:spacing w:after="0"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Allen, W., 2006. Overview and Evolution of the ADDIE Training System. </w:t>
      </w:r>
      <w:r>
        <w:rPr>
          <w:rFonts w:ascii="Arial" w:eastAsia="Arial" w:hAnsi="Arial" w:cs="Arial"/>
          <w:i/>
          <w:color w:val="000000"/>
          <w:sz w:val="24"/>
          <w:szCs w:val="24"/>
          <w:highlight w:val="white"/>
        </w:rPr>
        <w:t>Advances in Developing Human Resources</w:t>
      </w:r>
      <w:r>
        <w:rPr>
          <w:rFonts w:ascii="Arial" w:eastAsia="Arial" w:hAnsi="Arial" w:cs="Arial"/>
          <w:color w:val="000000"/>
          <w:sz w:val="24"/>
          <w:szCs w:val="24"/>
          <w:highlight w:val="white"/>
        </w:rPr>
        <w:t>, 8(4), PP.430-441</w:t>
      </w:r>
    </w:p>
    <w:p w14:paraId="00000048" w14:textId="77777777" w:rsidR="00EB6614" w:rsidRDefault="00D5223E">
      <w:pPr>
        <w:numPr>
          <w:ilvl w:val="0"/>
          <w:numId w:val="1"/>
        </w:numPr>
        <w:pBdr>
          <w:top w:val="nil"/>
          <w:left w:val="nil"/>
          <w:bottom w:val="nil"/>
          <w:right w:val="nil"/>
          <w:between w:val="nil"/>
        </w:pBdr>
        <w:spacing w:line="360" w:lineRule="auto"/>
        <w:rPr>
          <w:rFonts w:ascii="Arial" w:eastAsia="Arial" w:hAnsi="Arial" w:cs="Arial"/>
          <w:color w:val="000000"/>
          <w:sz w:val="24"/>
          <w:szCs w:val="24"/>
        </w:rPr>
      </w:pPr>
      <w:hyperlink r:id="rId13" w:anchor="top">
        <w:r w:rsidR="004B3CAF">
          <w:rPr>
            <w:rFonts w:ascii="Arial" w:eastAsia="Arial" w:hAnsi="Arial" w:cs="Arial"/>
            <w:color w:val="000000"/>
            <w:sz w:val="24"/>
            <w:szCs w:val="24"/>
          </w:rPr>
          <w:t>https://global.oup.com/uk/orc/learnvle/#top</w:t>
        </w:r>
      </w:hyperlink>
      <w:r w:rsidR="004B3CAF">
        <w:rPr>
          <w:rFonts w:ascii="Arial" w:eastAsia="Arial" w:hAnsi="Arial" w:cs="Arial"/>
          <w:color w:val="000000"/>
          <w:sz w:val="24"/>
          <w:szCs w:val="24"/>
        </w:rPr>
        <w:t xml:space="preserve"> – Oxford University Press, 2016, online resource </w:t>
      </w:r>
      <w:proofErr w:type="spellStart"/>
      <w:r w:rsidR="004B3CAF">
        <w:rPr>
          <w:rFonts w:ascii="Arial" w:eastAsia="Arial" w:hAnsi="Arial" w:cs="Arial"/>
          <w:color w:val="000000"/>
          <w:sz w:val="24"/>
          <w:szCs w:val="24"/>
        </w:rPr>
        <w:t>centres</w:t>
      </w:r>
      <w:proofErr w:type="spellEnd"/>
      <w:r w:rsidR="004B3CAF">
        <w:rPr>
          <w:rFonts w:ascii="Arial" w:eastAsia="Arial" w:hAnsi="Arial" w:cs="Arial"/>
          <w:color w:val="000000"/>
          <w:sz w:val="24"/>
          <w:szCs w:val="24"/>
        </w:rPr>
        <w:t>. [Accessed 2 September 2021]</w:t>
      </w:r>
    </w:p>
    <w:p w14:paraId="00000049" w14:textId="77777777" w:rsidR="00EB6614" w:rsidRDefault="004B3CAF">
      <w:pPr>
        <w:numPr>
          <w:ilvl w:val="0"/>
          <w:numId w:val="1"/>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BARKER, T., 2019. Community based virtual learning: A WebCT physics course. Proceedings of the First Annual WebCT Conference on Learning Technologies, University of British Columbia, Vancouver, Canada, 17–18 June. </w:t>
      </w:r>
      <w:hyperlink r:id="rId14">
        <w:r>
          <w:rPr>
            <w:rFonts w:ascii="Arial" w:eastAsia="Arial" w:hAnsi="Arial" w:cs="Arial"/>
            <w:color w:val="000000"/>
            <w:sz w:val="24"/>
            <w:szCs w:val="24"/>
          </w:rPr>
          <w:t>http://cbl.leeds.ac.uk/~tim/webctcon/CBVL.htm</w:t>
        </w:r>
      </w:hyperlink>
      <w:r>
        <w:rPr>
          <w:rFonts w:ascii="Arial" w:eastAsia="Arial" w:hAnsi="Arial" w:cs="Arial"/>
          <w:color w:val="000000"/>
          <w:sz w:val="24"/>
          <w:szCs w:val="24"/>
        </w:rPr>
        <w:t xml:space="preserve"> [Accessed 2 September 2021]</w:t>
      </w:r>
    </w:p>
    <w:p w14:paraId="0000004A" w14:textId="77777777" w:rsidR="00EB6614" w:rsidRDefault="004B3CAF">
      <w:pPr>
        <w:numPr>
          <w:ilvl w:val="0"/>
          <w:numId w:val="1"/>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highlight w:val="white"/>
        </w:rPr>
        <w:t xml:space="preserve">Capterra, 2018. </w:t>
      </w:r>
      <w:r>
        <w:rPr>
          <w:rFonts w:ascii="Arial" w:eastAsia="Arial" w:hAnsi="Arial" w:cs="Arial"/>
          <w:i/>
          <w:color w:val="000000"/>
          <w:sz w:val="24"/>
          <w:szCs w:val="24"/>
          <w:highlight w:val="white"/>
        </w:rPr>
        <w:t>Best LMS Software | 2019 Reviews of the Most Popular Systems Top 20 Most User-Friendly</w:t>
      </w:r>
      <w:r>
        <w:rPr>
          <w:rFonts w:ascii="Arial" w:eastAsia="Arial" w:hAnsi="Arial" w:cs="Arial"/>
          <w:color w:val="000000"/>
          <w:sz w:val="24"/>
          <w:szCs w:val="24"/>
          <w:highlight w:val="white"/>
        </w:rPr>
        <w:t>. [online] Capterra.com. Available at: &lt;https://www.capterra.com/learning-management-system-software/#user-friendly&gt; [Accessed 2 September 2021]</w:t>
      </w:r>
    </w:p>
    <w:p w14:paraId="0000004B" w14:textId="77777777" w:rsidR="00EB6614" w:rsidRDefault="00D5223E">
      <w:pPr>
        <w:numPr>
          <w:ilvl w:val="0"/>
          <w:numId w:val="1"/>
        </w:numPr>
        <w:pBdr>
          <w:top w:val="nil"/>
          <w:left w:val="nil"/>
          <w:bottom w:val="nil"/>
          <w:right w:val="nil"/>
          <w:between w:val="nil"/>
        </w:pBdr>
        <w:spacing w:line="360" w:lineRule="auto"/>
        <w:rPr>
          <w:rFonts w:ascii="Arial" w:eastAsia="Arial" w:hAnsi="Arial" w:cs="Arial"/>
          <w:color w:val="000000"/>
          <w:sz w:val="24"/>
          <w:szCs w:val="24"/>
        </w:rPr>
      </w:pPr>
      <w:hyperlink r:id="rId15">
        <w:r w:rsidR="004B3CAF">
          <w:rPr>
            <w:rFonts w:ascii="Arial" w:eastAsia="Arial" w:hAnsi="Arial" w:cs="Arial"/>
            <w:color w:val="000000"/>
            <w:sz w:val="24"/>
            <w:szCs w:val="24"/>
          </w:rPr>
          <w:t>Cathy Li</w:t>
        </w:r>
      </w:hyperlink>
      <w:r w:rsidR="004B3CAF">
        <w:rPr>
          <w:rFonts w:ascii="Arial" w:eastAsia="Arial" w:hAnsi="Arial" w:cs="Arial"/>
          <w:color w:val="000000"/>
          <w:sz w:val="24"/>
          <w:szCs w:val="24"/>
        </w:rPr>
        <w:t xml:space="preserve">, </w:t>
      </w:r>
      <w:hyperlink r:id="rId16">
        <w:r w:rsidR="004B3CAF">
          <w:rPr>
            <w:rFonts w:ascii="Arial" w:eastAsia="Arial" w:hAnsi="Arial" w:cs="Arial"/>
            <w:color w:val="000000"/>
            <w:sz w:val="24"/>
            <w:szCs w:val="24"/>
          </w:rPr>
          <w:t>Farah Lalani</w:t>
        </w:r>
      </w:hyperlink>
      <w:r w:rsidR="004B3CAF">
        <w:rPr>
          <w:rFonts w:ascii="Arial" w:eastAsia="Arial" w:hAnsi="Arial" w:cs="Arial"/>
          <w:color w:val="000000"/>
          <w:sz w:val="24"/>
          <w:szCs w:val="24"/>
        </w:rPr>
        <w:t xml:space="preserve"> 2020, how COVID-19 has changed the way to educate children [Accessed 2 September 2021]</w:t>
      </w:r>
    </w:p>
    <w:p w14:paraId="0000004C" w14:textId="77777777" w:rsidR="00EB6614" w:rsidRDefault="004B3CAF">
      <w:pPr>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B63775">
        <w:rPr>
          <w:rFonts w:ascii="Arial" w:eastAsia="Open Sans" w:hAnsi="Arial" w:cs="Arial"/>
          <w:color w:val="666666"/>
          <w:sz w:val="20"/>
          <w:szCs w:val="20"/>
          <w:highlight w:val="white"/>
        </w:rPr>
        <w:t xml:space="preserve"> </w:t>
      </w:r>
      <w:r>
        <w:rPr>
          <w:rFonts w:ascii="Arial" w:eastAsia="Arial" w:hAnsi="Arial" w:cs="Arial"/>
          <w:color w:val="000000"/>
          <w:sz w:val="24"/>
          <w:szCs w:val="24"/>
          <w:highlight w:val="white"/>
        </w:rPr>
        <w:t xml:space="preserve">Clark, R. and Mayer, R., 2016. </w:t>
      </w:r>
      <w:r>
        <w:rPr>
          <w:rFonts w:ascii="Arial" w:eastAsia="Arial" w:hAnsi="Arial" w:cs="Arial"/>
          <w:i/>
          <w:color w:val="000000"/>
          <w:sz w:val="24"/>
          <w:szCs w:val="24"/>
          <w:highlight w:val="white"/>
        </w:rPr>
        <w:t>E-learning and the science of instruction</w:t>
      </w:r>
      <w:r>
        <w:rPr>
          <w:rFonts w:ascii="Arial" w:eastAsia="Arial" w:hAnsi="Arial" w:cs="Arial"/>
          <w:color w:val="000000"/>
          <w:sz w:val="24"/>
          <w:szCs w:val="24"/>
          <w:highlight w:val="white"/>
        </w:rPr>
        <w:t>. 1st ed. Hoboken: Wiley, PP.317 - 335.</w:t>
      </w:r>
    </w:p>
    <w:p w14:paraId="0000004D" w14:textId="77777777" w:rsidR="00EB6614" w:rsidRDefault="004B3CAF">
      <w:pPr>
        <w:numPr>
          <w:ilvl w:val="0"/>
          <w:numId w:val="1"/>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highlight w:val="white"/>
        </w:rPr>
        <w:t xml:space="preserve">Evans, C., 2008. The effectiveness of m-learning in the form of podcast revision lectures in higher education. </w:t>
      </w:r>
      <w:r>
        <w:rPr>
          <w:rFonts w:ascii="Arial" w:eastAsia="Arial" w:hAnsi="Arial" w:cs="Arial"/>
          <w:i/>
          <w:color w:val="000000"/>
          <w:sz w:val="24"/>
          <w:szCs w:val="24"/>
          <w:highlight w:val="white"/>
        </w:rPr>
        <w:t>Computers &amp; Education</w:t>
      </w:r>
      <w:r>
        <w:rPr>
          <w:rFonts w:ascii="Arial" w:eastAsia="Arial" w:hAnsi="Arial" w:cs="Arial"/>
          <w:color w:val="000000"/>
          <w:sz w:val="24"/>
          <w:szCs w:val="24"/>
          <w:highlight w:val="white"/>
        </w:rPr>
        <w:t>, 50(2), PP.491-498.</w:t>
      </w:r>
    </w:p>
    <w:p w14:paraId="0000004E" w14:textId="77777777" w:rsidR="00EB6614" w:rsidRDefault="004B3CAF">
      <w:pPr>
        <w:numPr>
          <w:ilvl w:val="0"/>
          <w:numId w:val="1"/>
        </w:numPr>
        <w:pBdr>
          <w:top w:val="nil"/>
          <w:left w:val="nil"/>
          <w:bottom w:val="nil"/>
          <w:right w:val="nil"/>
          <w:between w:val="nil"/>
        </w:pBdr>
        <w:spacing w:before="0" w:after="0" w:line="360" w:lineRule="auto"/>
        <w:rPr>
          <w:rFonts w:ascii="Arial" w:eastAsia="Arial" w:hAnsi="Arial" w:cs="Arial"/>
          <w:color w:val="000000"/>
          <w:sz w:val="24"/>
          <w:szCs w:val="24"/>
        </w:rPr>
      </w:pPr>
      <w:r>
        <w:rPr>
          <w:rFonts w:ascii="Arial" w:eastAsia="Arial" w:hAnsi="Arial" w:cs="Arial"/>
          <w:color w:val="000000"/>
          <w:sz w:val="24"/>
          <w:szCs w:val="24"/>
        </w:rPr>
        <w:t xml:space="preserve">Frequently Asked Questions | Selkirk College. </w:t>
      </w:r>
      <w:hyperlink r:id="rId17">
        <w:r>
          <w:rPr>
            <w:rFonts w:ascii="Arial" w:eastAsia="Arial" w:hAnsi="Arial" w:cs="Arial"/>
            <w:color w:val="000000"/>
            <w:sz w:val="24"/>
            <w:szCs w:val="24"/>
          </w:rPr>
          <w:t>https://selkirk.ca/SPECTRUM/frequently-asked-questions</w:t>
        </w:r>
      </w:hyperlink>
      <w:r>
        <w:rPr>
          <w:rFonts w:ascii="Arial" w:eastAsia="Arial" w:hAnsi="Arial" w:cs="Arial"/>
          <w:color w:val="000000"/>
          <w:sz w:val="24"/>
          <w:szCs w:val="24"/>
        </w:rPr>
        <w:t xml:space="preserve"> [Accessed 2 September 2021]</w:t>
      </w:r>
    </w:p>
    <w:p w14:paraId="0000004F" w14:textId="77777777" w:rsidR="00EB6614" w:rsidRDefault="004B3CAF">
      <w:pPr>
        <w:numPr>
          <w:ilvl w:val="0"/>
          <w:numId w:val="1"/>
        </w:num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highlight w:val="white"/>
        </w:rPr>
        <w:t xml:space="preserve"> Lin, L. and Atkinson, R., 2011. Using animations and visual cueing to support learning of scientific concepts and processes. </w:t>
      </w:r>
      <w:r>
        <w:rPr>
          <w:rFonts w:ascii="Arial" w:eastAsia="Arial" w:hAnsi="Arial" w:cs="Arial"/>
          <w:i/>
          <w:color w:val="000000"/>
          <w:highlight w:val="white"/>
        </w:rPr>
        <w:t>Computers &amp; Education</w:t>
      </w:r>
      <w:r>
        <w:rPr>
          <w:rFonts w:ascii="Arial" w:eastAsia="Arial" w:hAnsi="Arial" w:cs="Arial"/>
          <w:color w:val="000000"/>
          <w:highlight w:val="white"/>
        </w:rPr>
        <w:t>, 56(3), PP.650-658.</w:t>
      </w:r>
    </w:p>
    <w:p w14:paraId="00000050" w14:textId="77777777" w:rsidR="00EB6614" w:rsidRDefault="004B3CAF">
      <w:pPr>
        <w:numPr>
          <w:ilvl w:val="0"/>
          <w:numId w:val="1"/>
        </w:numPr>
        <w:pBdr>
          <w:top w:val="nil"/>
          <w:left w:val="nil"/>
          <w:bottom w:val="nil"/>
          <w:right w:val="nil"/>
          <w:between w:val="nil"/>
        </w:pBdr>
        <w:spacing w:before="0" w:after="0"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Kirkwood, A. and Price, L., 2013. Technology-enhanced learning and teaching in higher education: what is ‘enhanced’ and how do we know? A critical literature review. </w:t>
      </w:r>
      <w:r>
        <w:rPr>
          <w:rFonts w:ascii="Arial" w:eastAsia="Arial" w:hAnsi="Arial" w:cs="Arial"/>
          <w:i/>
          <w:color w:val="000000"/>
          <w:sz w:val="24"/>
          <w:szCs w:val="24"/>
          <w:highlight w:val="white"/>
        </w:rPr>
        <w:t>Learning, Media and Technology</w:t>
      </w:r>
      <w:r>
        <w:rPr>
          <w:rFonts w:ascii="Arial" w:eastAsia="Arial" w:hAnsi="Arial" w:cs="Arial"/>
          <w:color w:val="000000"/>
          <w:sz w:val="24"/>
          <w:szCs w:val="24"/>
          <w:highlight w:val="white"/>
        </w:rPr>
        <w:t>, 39(1), PP.6-36</w:t>
      </w:r>
    </w:p>
    <w:p w14:paraId="00000051" w14:textId="77777777" w:rsidR="00EB6614" w:rsidRDefault="004B3CAF">
      <w:pPr>
        <w:numPr>
          <w:ilvl w:val="0"/>
          <w:numId w:val="1"/>
        </w:numPr>
        <w:pBdr>
          <w:top w:val="nil"/>
          <w:left w:val="nil"/>
          <w:bottom w:val="nil"/>
          <w:right w:val="nil"/>
          <w:between w:val="nil"/>
        </w:pBdr>
        <w:spacing w:before="0" w:after="0"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Methodology, R., 2019. Survey Method - Research-Methodology. [online] Research-Methodology. Available at: &lt;https://research-methodology.net/research-methods/survey-method/#_ftn1&gt; [Accessed 2 September 2021]</w:t>
      </w:r>
    </w:p>
    <w:p w14:paraId="00000052" w14:textId="77777777" w:rsidR="00EB6614" w:rsidRDefault="004B3CAF">
      <w:pPr>
        <w:numPr>
          <w:ilvl w:val="0"/>
          <w:numId w:val="1"/>
        </w:numPr>
        <w:pBdr>
          <w:top w:val="nil"/>
          <w:left w:val="nil"/>
          <w:bottom w:val="nil"/>
          <w:right w:val="nil"/>
          <w:between w:val="nil"/>
        </w:pBdr>
        <w:spacing w:before="0" w:after="0"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Santos, J., </w:t>
      </w:r>
      <w:proofErr w:type="spellStart"/>
      <w:r>
        <w:rPr>
          <w:rFonts w:ascii="Arial" w:eastAsia="Arial" w:hAnsi="Arial" w:cs="Arial"/>
          <w:color w:val="000000"/>
          <w:sz w:val="24"/>
          <w:szCs w:val="24"/>
          <w:highlight w:val="white"/>
        </w:rPr>
        <w:t>Charleer</w:t>
      </w:r>
      <w:proofErr w:type="spellEnd"/>
      <w:r>
        <w:rPr>
          <w:rFonts w:ascii="Arial" w:eastAsia="Arial" w:hAnsi="Arial" w:cs="Arial"/>
          <w:color w:val="000000"/>
          <w:sz w:val="24"/>
          <w:szCs w:val="24"/>
          <w:highlight w:val="white"/>
        </w:rPr>
        <w:t xml:space="preserve">, S., Parra, G., </w:t>
      </w:r>
      <w:proofErr w:type="spellStart"/>
      <w:r>
        <w:rPr>
          <w:rFonts w:ascii="Arial" w:eastAsia="Arial" w:hAnsi="Arial" w:cs="Arial"/>
          <w:color w:val="000000"/>
          <w:sz w:val="24"/>
          <w:szCs w:val="24"/>
          <w:highlight w:val="white"/>
        </w:rPr>
        <w:t>Klerkx</w:t>
      </w:r>
      <w:proofErr w:type="spellEnd"/>
      <w:r>
        <w:rPr>
          <w:rFonts w:ascii="Arial" w:eastAsia="Arial" w:hAnsi="Arial" w:cs="Arial"/>
          <w:color w:val="000000"/>
          <w:sz w:val="24"/>
          <w:szCs w:val="24"/>
          <w:highlight w:val="white"/>
        </w:rPr>
        <w:t xml:space="preserve">, J., Duval, E. and </w:t>
      </w:r>
      <w:proofErr w:type="spellStart"/>
      <w:r>
        <w:rPr>
          <w:rFonts w:ascii="Arial" w:eastAsia="Arial" w:hAnsi="Arial" w:cs="Arial"/>
          <w:color w:val="000000"/>
          <w:sz w:val="24"/>
          <w:szCs w:val="24"/>
          <w:highlight w:val="white"/>
        </w:rPr>
        <w:t>Verbert</w:t>
      </w:r>
      <w:proofErr w:type="spellEnd"/>
      <w:r>
        <w:rPr>
          <w:rFonts w:ascii="Arial" w:eastAsia="Arial" w:hAnsi="Arial" w:cs="Arial"/>
          <w:color w:val="000000"/>
          <w:sz w:val="24"/>
          <w:szCs w:val="24"/>
          <w:highlight w:val="white"/>
        </w:rPr>
        <w:t xml:space="preserve">, K., 2013. Evaluating the Use of Open Badges in an Open Learning Environment. </w:t>
      </w:r>
      <w:r>
        <w:rPr>
          <w:rFonts w:ascii="Arial" w:eastAsia="Arial" w:hAnsi="Arial" w:cs="Arial"/>
          <w:i/>
          <w:color w:val="000000"/>
          <w:sz w:val="24"/>
          <w:szCs w:val="24"/>
          <w:highlight w:val="white"/>
        </w:rPr>
        <w:t>Scaling up Learning for Sustained Impact</w:t>
      </w:r>
      <w:r>
        <w:rPr>
          <w:rFonts w:ascii="Arial" w:eastAsia="Arial" w:hAnsi="Arial" w:cs="Arial"/>
          <w:color w:val="000000"/>
          <w:sz w:val="24"/>
          <w:szCs w:val="24"/>
          <w:highlight w:val="white"/>
        </w:rPr>
        <w:t>, PP.314-327.</w:t>
      </w:r>
    </w:p>
    <w:sectPr w:rsidR="00EB6614">
      <w:footerReference w:type="default" r:id="rId18"/>
      <w:pgSz w:w="12240" w:h="15840"/>
      <w:pgMar w:top="1440" w:right="1800" w:bottom="1440" w:left="180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47377" w14:textId="77777777" w:rsidR="00832F9C" w:rsidRDefault="004B3CAF">
      <w:pPr>
        <w:spacing w:before="0" w:after="0" w:line="240" w:lineRule="auto"/>
      </w:pPr>
      <w:r>
        <w:separator/>
      </w:r>
    </w:p>
  </w:endnote>
  <w:endnote w:type="continuationSeparator" w:id="0">
    <w:p w14:paraId="1884BF63" w14:textId="77777777" w:rsidR="00832F9C" w:rsidRDefault="004B3CAF">
      <w:pPr>
        <w:spacing w:before="0" w:after="0" w:line="240" w:lineRule="auto"/>
      </w:pPr>
      <w:r>
        <w:continuationSeparator/>
      </w:r>
    </w:p>
  </w:endnote>
  <w:endnote w:type="continuationNotice" w:id="1">
    <w:p w14:paraId="063A5B1F" w14:textId="77777777" w:rsidR="00D5223E" w:rsidRDefault="00D5223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3" w14:textId="0448CBFC" w:rsidR="00EB6614" w:rsidRDefault="004B3CAF">
    <w:pPr>
      <w:pBdr>
        <w:top w:val="nil"/>
        <w:left w:val="nil"/>
        <w:bottom w:val="nil"/>
        <w:right w:val="nil"/>
        <w:between w:val="nil"/>
      </w:pBdr>
      <w:spacing w:before="0" w:after="0" w:line="240" w:lineRule="auto"/>
      <w:jc w:val="right"/>
    </w:pPr>
    <w:r>
      <w:t xml:space="preserve">PAGE </w:t>
    </w:r>
    <w:r>
      <w:fldChar w:fldCharType="begin"/>
    </w:r>
    <w:r>
      <w:instrText>PAGE</w:instrText>
    </w:r>
    <w:r>
      <w:fldChar w:fldCharType="separate"/>
    </w:r>
    <w:r w:rsidR="008664AD">
      <w:rPr>
        <w:noProof/>
      </w:rPr>
      <w:t>1</w:t>
    </w:r>
    <w:r>
      <w:fldChar w:fldCharType="end"/>
    </w:r>
  </w:p>
  <w:p w14:paraId="00000054" w14:textId="77777777" w:rsidR="00EB6614" w:rsidRDefault="00EB6614">
    <w:pPr>
      <w:widowControl w:val="0"/>
      <w:pBdr>
        <w:top w:val="nil"/>
        <w:left w:val="nil"/>
        <w:bottom w:val="nil"/>
        <w:right w:val="nil"/>
        <w:between w:val="nil"/>
      </w:pBdr>
      <w:spacing w:before="0" w:after="0" w:line="276"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DF40A" w14:textId="77777777" w:rsidR="00832F9C" w:rsidRDefault="004B3CAF">
      <w:pPr>
        <w:spacing w:before="0" w:after="0" w:line="240" w:lineRule="auto"/>
      </w:pPr>
      <w:r>
        <w:separator/>
      </w:r>
    </w:p>
  </w:footnote>
  <w:footnote w:type="continuationSeparator" w:id="0">
    <w:p w14:paraId="73F98790" w14:textId="77777777" w:rsidR="00832F9C" w:rsidRDefault="004B3CAF">
      <w:pPr>
        <w:spacing w:before="0" w:after="0" w:line="240" w:lineRule="auto"/>
      </w:pPr>
      <w:r>
        <w:continuationSeparator/>
      </w:r>
    </w:p>
  </w:footnote>
  <w:footnote w:type="continuationNotice" w:id="1">
    <w:p w14:paraId="73E2554A" w14:textId="77777777" w:rsidR="00D5223E" w:rsidRDefault="00D5223E">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C1F41"/>
    <w:multiLevelType w:val="multilevel"/>
    <w:tmpl w:val="677CA0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D136987"/>
    <w:multiLevelType w:val="multilevel"/>
    <w:tmpl w:val="732E1CE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3324B26"/>
    <w:multiLevelType w:val="multilevel"/>
    <w:tmpl w:val="6C36F6D6"/>
    <w:lvl w:ilvl="0">
      <w:start w:val="1"/>
      <w:numFmt w:val="decimal"/>
      <w:pStyle w:val="ListBullet"/>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1"/>
  </w:num>
  <w:num w:numId="3">
    <w:abstractNumId w:val="2"/>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614"/>
    <w:rsid w:val="004B3CAF"/>
    <w:rsid w:val="007843F9"/>
    <w:rsid w:val="0083296E"/>
    <w:rsid w:val="00832F9C"/>
    <w:rsid w:val="008664AD"/>
    <w:rsid w:val="00B02C2F"/>
    <w:rsid w:val="00B63775"/>
    <w:rsid w:val="00BB3FC5"/>
    <w:rsid w:val="00D5223E"/>
    <w:rsid w:val="00EB6614"/>
    <w:rsid w:val="00FB0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652EB1"/>
  <w15:docId w15:val="{46595704-1FBC-4F5E-9A3C-1DF6E043F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onstantia" w:eastAsia="Constantia" w:hAnsi="Constantia" w:cs="Constantia"/>
        <w:color w:val="4D322D"/>
        <w:sz w:val="22"/>
        <w:szCs w:val="22"/>
        <w:lang w:val="en-US" w:eastAsia="en-GB"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9"/>
    <w:semiHidden/>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9"/>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link w:val="Heading5Char"/>
    <w:uiPriority w:val="9"/>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9"/>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3"/>
      </w:numPr>
    </w:pPr>
  </w:style>
  <w:style w:type="paragraph" w:styleId="ListNumber">
    <w:name w:val="List Number"/>
    <w:basedOn w:val="Normal"/>
    <w:uiPriority w:val="5"/>
    <w:unhideWhenUsed/>
    <w:qFormat/>
    <w:pPr>
      <w:tabs>
        <w:tab w:val="num" w:pos="720"/>
      </w:tabs>
      <w:ind w:left="720" w:hanging="720"/>
      <w:contextualSpacing/>
    </w:p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next w:val="Normal"/>
    <w:link w:val="SubtitleChar"/>
    <w:uiPriority w:val="11"/>
    <w:qFormat/>
    <w:pPr>
      <w:spacing w:before="300" w:after="40"/>
      <w:jc w:val="center"/>
    </w:pPr>
    <w:rPr>
      <w:small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before="0" w:after="0"/>
      <w:ind w:left="440"/>
    </w:pPr>
    <w:rPr>
      <w:sz w:val="20"/>
      <w:szCs w:val="20"/>
    </w:rPr>
  </w:style>
  <w:style w:type="paragraph" w:styleId="TOC1">
    <w:name w:val="toc 1"/>
    <w:basedOn w:val="Normal"/>
    <w:next w:val="Normal"/>
    <w:autoRedefine/>
    <w:uiPriority w:val="39"/>
    <w:unhideWhenUsed/>
    <w:pPr>
      <w:spacing w:after="0"/>
    </w:pPr>
    <w:rPr>
      <w:b/>
      <w:bCs/>
      <w:i/>
      <w:iCs/>
      <w:sz w:val="24"/>
      <w:szCs w:val="24"/>
    </w:rPr>
  </w:style>
  <w:style w:type="paragraph" w:styleId="TOC2">
    <w:name w:val="toc 2"/>
    <w:basedOn w:val="Normal"/>
    <w:next w:val="Normal"/>
    <w:autoRedefine/>
    <w:uiPriority w:val="39"/>
    <w:semiHidden/>
    <w:unhideWhenUsed/>
    <w:pPr>
      <w:spacing w:after="0"/>
      <w:ind w:left="220"/>
    </w:pPr>
    <w:rPr>
      <w:b/>
      <w:bCs/>
    </w:r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E3372A"/>
    <w:rPr>
      <w:color w:val="993E21" w:themeColor="hyperlink"/>
      <w:u w:val="single"/>
    </w:rPr>
  </w:style>
  <w:style w:type="character" w:styleId="UnresolvedMention">
    <w:name w:val="Unresolved Mention"/>
    <w:basedOn w:val="DefaultParagraphFont"/>
    <w:uiPriority w:val="99"/>
    <w:semiHidden/>
    <w:unhideWhenUsed/>
    <w:rsid w:val="00E3372A"/>
    <w:rPr>
      <w:color w:val="605E5C"/>
      <w:shd w:val="clear" w:color="auto" w:fill="E1DFDD"/>
    </w:rPr>
  </w:style>
  <w:style w:type="character" w:styleId="FollowedHyperlink">
    <w:name w:val="FollowedHyperlink"/>
    <w:basedOn w:val="DefaultParagraphFont"/>
    <w:uiPriority w:val="99"/>
    <w:semiHidden/>
    <w:unhideWhenUsed/>
    <w:rsid w:val="00C45EB2"/>
    <w:rPr>
      <w:color w:val="956400" w:themeColor="followedHyperlink"/>
      <w:u w:val="single"/>
    </w:rPr>
  </w:style>
  <w:style w:type="paragraph" w:styleId="ListParagraph">
    <w:name w:val="List Paragraph"/>
    <w:basedOn w:val="Normal"/>
    <w:uiPriority w:val="34"/>
    <w:qFormat/>
    <w:rsid w:val="00C45EB2"/>
    <w:pPr>
      <w:ind w:left="720"/>
      <w:contextualSpacing/>
    </w:pPr>
  </w:style>
  <w:style w:type="paragraph" w:styleId="NormalWeb">
    <w:name w:val="Normal (Web)"/>
    <w:basedOn w:val="Normal"/>
    <w:uiPriority w:val="99"/>
    <w:unhideWhenUsed/>
    <w:rsid w:val="00F050FF"/>
    <w:pPr>
      <w:spacing w:before="100" w:beforeAutospacing="1" w:after="100" w:afterAutospacing="1" w:line="240" w:lineRule="auto"/>
    </w:pPr>
    <w:rPr>
      <w:rFonts w:ascii="Times New Roman" w:eastAsia="Times New Roman" w:hAnsi="Times New Roman" w:cs="Times New Roman"/>
      <w:color w:val="auto"/>
      <w:sz w:val="24"/>
      <w:szCs w:val="24"/>
      <w:lang w:val="en-GB"/>
    </w:rPr>
  </w:style>
  <w:style w:type="paragraph" w:styleId="TOC4">
    <w:name w:val="toc 4"/>
    <w:basedOn w:val="Normal"/>
    <w:next w:val="Normal"/>
    <w:autoRedefine/>
    <w:uiPriority w:val="39"/>
    <w:semiHidden/>
    <w:unhideWhenUsed/>
    <w:rsid w:val="007D430D"/>
    <w:pPr>
      <w:spacing w:before="0" w:after="0"/>
      <w:ind w:left="660"/>
    </w:pPr>
    <w:rPr>
      <w:sz w:val="20"/>
      <w:szCs w:val="20"/>
    </w:rPr>
  </w:style>
  <w:style w:type="paragraph" w:styleId="TOC5">
    <w:name w:val="toc 5"/>
    <w:basedOn w:val="Normal"/>
    <w:next w:val="Normal"/>
    <w:autoRedefine/>
    <w:uiPriority w:val="39"/>
    <w:semiHidden/>
    <w:unhideWhenUsed/>
    <w:rsid w:val="007D430D"/>
    <w:pPr>
      <w:spacing w:before="0" w:after="0"/>
      <w:ind w:left="880"/>
    </w:pPr>
    <w:rPr>
      <w:sz w:val="20"/>
      <w:szCs w:val="20"/>
    </w:rPr>
  </w:style>
  <w:style w:type="paragraph" w:styleId="TOC6">
    <w:name w:val="toc 6"/>
    <w:basedOn w:val="Normal"/>
    <w:next w:val="Normal"/>
    <w:autoRedefine/>
    <w:uiPriority w:val="39"/>
    <w:semiHidden/>
    <w:unhideWhenUsed/>
    <w:rsid w:val="007D430D"/>
    <w:pPr>
      <w:spacing w:before="0" w:after="0"/>
      <w:ind w:left="1100"/>
    </w:pPr>
    <w:rPr>
      <w:sz w:val="20"/>
      <w:szCs w:val="20"/>
    </w:rPr>
  </w:style>
  <w:style w:type="paragraph" w:styleId="TOC7">
    <w:name w:val="toc 7"/>
    <w:basedOn w:val="Normal"/>
    <w:next w:val="Normal"/>
    <w:autoRedefine/>
    <w:uiPriority w:val="39"/>
    <w:semiHidden/>
    <w:unhideWhenUsed/>
    <w:rsid w:val="007D430D"/>
    <w:pPr>
      <w:spacing w:before="0" w:after="0"/>
      <w:ind w:left="1320"/>
    </w:pPr>
    <w:rPr>
      <w:sz w:val="20"/>
      <w:szCs w:val="20"/>
    </w:rPr>
  </w:style>
  <w:style w:type="paragraph" w:styleId="TOC8">
    <w:name w:val="toc 8"/>
    <w:basedOn w:val="Normal"/>
    <w:next w:val="Normal"/>
    <w:autoRedefine/>
    <w:uiPriority w:val="39"/>
    <w:semiHidden/>
    <w:unhideWhenUsed/>
    <w:rsid w:val="007D430D"/>
    <w:pPr>
      <w:spacing w:before="0" w:after="0"/>
      <w:ind w:left="1540"/>
    </w:pPr>
    <w:rPr>
      <w:sz w:val="20"/>
      <w:szCs w:val="20"/>
    </w:rPr>
  </w:style>
  <w:style w:type="paragraph" w:styleId="TOC9">
    <w:name w:val="toc 9"/>
    <w:basedOn w:val="Normal"/>
    <w:next w:val="Normal"/>
    <w:autoRedefine/>
    <w:uiPriority w:val="39"/>
    <w:semiHidden/>
    <w:unhideWhenUsed/>
    <w:rsid w:val="007D430D"/>
    <w:pPr>
      <w:spacing w:before="0"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global.oup.com/uk/orc/learnvl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elkirk.ca/SPECTRUM/frequently-asked-questions" TargetMode="External"/><Relationship Id="rId2" Type="http://schemas.openxmlformats.org/officeDocument/2006/relationships/numbering" Target="numbering.xml"/><Relationship Id="rId16" Type="http://schemas.openxmlformats.org/officeDocument/2006/relationships/hyperlink" Target="https://www.weforum.org/agenda/authors/farah-lalani"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weforum.org/agenda/authors/cathy-li"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cbl.leeds.ac.uk/~tim/webctcon/CBVL.htm"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R91I2NXfS4qQsGKEI6yFCx6PXHw==">AMUW2mWiCtpFTg+TyrqwZGNUbEmn/uBxRj/CMuHWSrb2IXccuvLqIClIhZ5X3qnS+JnC0nXzXu1LHwxDxLb508oiHvmtgw5TGW3Eu2PV4LXfeb0tVE6Uy1rCgvLUpCZJfGrDgGdNbCbV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2216</Words>
  <Characters>12633</Characters>
  <Application>Microsoft Office Word</Application>
  <DocSecurity>4</DocSecurity>
  <Lines>105</Lines>
  <Paragraphs>29</Paragraphs>
  <ScaleCrop>false</ScaleCrop>
  <Company/>
  <LinksUpToDate>false</LinksUpToDate>
  <CharactersWithSpaces>14820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cp:lastModifiedBy>Jennifer Nofisat Ajiboye (2022550)</cp:lastModifiedBy>
  <cp:revision>3</cp:revision>
  <dcterms:created xsi:type="dcterms:W3CDTF">2021-09-03T01:23:00Z</dcterms:created>
  <dcterms:modified xsi:type="dcterms:W3CDTF">2021-09-08T20:28:00Z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documentId_1224</vt:lpwstr>
  </property>
  <property fmtid="{D5CDD505-2E9C-101B-9397-08002B2CF9AE}" pid="3" name="grammarly_documentContext">
    <vt:lpwstr>{"goals":[],"domain":"general","emotions":[],"dialect":"british"}</vt:lpwstr>
  </property>
</Properties>
</file>