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horzAnchor="margin" w:tblpXSpec="center" w:tblpY="351"/>
        <w:tblW w:w="10627" w:type="dxa"/>
        <w:tblInd w:w="0" w:type="dxa"/>
        <w:tblLook w:val="04A0" w:firstRow="1" w:lastRow="0" w:firstColumn="1" w:lastColumn="0" w:noHBand="0" w:noVBand="1"/>
      </w:tblPr>
      <w:tblGrid>
        <w:gridCol w:w="3114"/>
        <w:gridCol w:w="2313"/>
        <w:gridCol w:w="5200"/>
      </w:tblGrid>
      <w:tr w:rsidR="008E4841" w14:paraId="7008A129" w14:textId="77777777" w:rsidTr="00160F6B">
        <w:tc>
          <w:tcPr>
            <w:tcW w:w="3114" w:type="dxa"/>
            <w:tcBorders>
              <w:top w:val="single" w:sz="4" w:space="0" w:color="auto"/>
              <w:left w:val="single" w:sz="4" w:space="0" w:color="auto"/>
              <w:bottom w:val="single" w:sz="4" w:space="0" w:color="auto"/>
              <w:right w:val="single" w:sz="4" w:space="0" w:color="auto"/>
            </w:tcBorders>
            <w:hideMark/>
          </w:tcPr>
          <w:p w14:paraId="3639298A" w14:textId="77777777" w:rsidR="008E4841" w:rsidRDefault="008E4841" w:rsidP="00160F6B">
            <w:pPr>
              <w:pStyle w:val="AssignBody"/>
              <w:rPr>
                <w:b/>
                <w:bCs/>
                <w:sz w:val="20"/>
                <w:szCs w:val="20"/>
              </w:rPr>
            </w:pPr>
            <w:proofErr w:type="spellStart"/>
            <w:r>
              <w:rPr>
                <w:b/>
                <w:bCs/>
                <w:sz w:val="20"/>
                <w:szCs w:val="20"/>
              </w:rPr>
              <w:t>Targedau</w:t>
            </w:r>
            <w:proofErr w:type="spellEnd"/>
            <w:r>
              <w:rPr>
                <w:b/>
                <w:bCs/>
                <w:sz w:val="20"/>
                <w:szCs w:val="20"/>
              </w:rPr>
              <w:t xml:space="preserve"> </w:t>
            </w:r>
          </w:p>
        </w:tc>
        <w:tc>
          <w:tcPr>
            <w:tcW w:w="2313" w:type="dxa"/>
            <w:tcBorders>
              <w:top w:val="single" w:sz="4" w:space="0" w:color="auto"/>
              <w:left w:val="single" w:sz="4" w:space="0" w:color="auto"/>
              <w:bottom w:val="single" w:sz="4" w:space="0" w:color="auto"/>
              <w:right w:val="single" w:sz="4" w:space="0" w:color="auto"/>
            </w:tcBorders>
            <w:hideMark/>
          </w:tcPr>
          <w:p w14:paraId="49FB5A04" w14:textId="77777777" w:rsidR="008E4841" w:rsidRDefault="008E4841" w:rsidP="00160F6B">
            <w:pPr>
              <w:pStyle w:val="AssignBody"/>
              <w:rPr>
                <w:b/>
                <w:bCs/>
                <w:sz w:val="20"/>
                <w:szCs w:val="20"/>
              </w:rPr>
            </w:pPr>
            <w:r>
              <w:rPr>
                <w:b/>
                <w:bCs/>
                <w:sz w:val="20"/>
                <w:szCs w:val="20"/>
              </w:rPr>
              <w:t xml:space="preserve">Sut </w:t>
            </w:r>
            <w:proofErr w:type="spellStart"/>
            <w:r>
              <w:rPr>
                <w:b/>
                <w:bCs/>
                <w:sz w:val="20"/>
                <w:szCs w:val="20"/>
              </w:rPr>
              <w:t>rydych</w:t>
            </w:r>
            <w:proofErr w:type="spellEnd"/>
            <w:r>
              <w:rPr>
                <w:b/>
                <w:bCs/>
                <w:sz w:val="20"/>
                <w:szCs w:val="20"/>
              </w:rPr>
              <w:t xml:space="preserve"> </w:t>
            </w:r>
            <w:proofErr w:type="spellStart"/>
            <w:r>
              <w:rPr>
                <w:b/>
                <w:bCs/>
                <w:sz w:val="20"/>
                <w:szCs w:val="20"/>
              </w:rPr>
              <w:t>wedi</w:t>
            </w:r>
            <w:proofErr w:type="spellEnd"/>
            <w:r>
              <w:rPr>
                <w:b/>
                <w:bCs/>
                <w:sz w:val="20"/>
                <w:szCs w:val="20"/>
              </w:rPr>
              <w:t xml:space="preserve"> </w:t>
            </w:r>
            <w:proofErr w:type="spellStart"/>
            <w:r>
              <w:rPr>
                <w:b/>
                <w:bCs/>
                <w:sz w:val="20"/>
                <w:szCs w:val="20"/>
              </w:rPr>
              <w:t>gweithio</w:t>
            </w:r>
            <w:proofErr w:type="spellEnd"/>
            <w:r>
              <w:rPr>
                <w:b/>
                <w:bCs/>
                <w:sz w:val="20"/>
                <w:szCs w:val="20"/>
              </w:rPr>
              <w:t xml:space="preserve"> </w:t>
            </w:r>
            <w:proofErr w:type="spellStart"/>
            <w:r>
              <w:rPr>
                <w:b/>
                <w:bCs/>
                <w:sz w:val="20"/>
                <w:szCs w:val="20"/>
              </w:rPr>
              <w:t>ar</w:t>
            </w:r>
            <w:proofErr w:type="spellEnd"/>
            <w:r>
              <w:rPr>
                <w:b/>
                <w:bCs/>
                <w:sz w:val="20"/>
                <w:szCs w:val="20"/>
              </w:rPr>
              <w:t xml:space="preserve"> </w:t>
            </w:r>
            <w:proofErr w:type="spellStart"/>
            <w:r>
              <w:rPr>
                <w:b/>
                <w:bCs/>
                <w:sz w:val="20"/>
                <w:szCs w:val="20"/>
              </w:rPr>
              <w:t>hwn</w:t>
            </w:r>
            <w:proofErr w:type="spellEnd"/>
            <w:r>
              <w:rPr>
                <w:b/>
                <w:bCs/>
                <w:sz w:val="20"/>
                <w:szCs w:val="20"/>
              </w:rPr>
              <w:t xml:space="preserve"> </w:t>
            </w:r>
          </w:p>
          <w:p w14:paraId="4AB91ED9" w14:textId="77777777" w:rsidR="008E4841" w:rsidRDefault="008E4841" w:rsidP="00160F6B">
            <w:pPr>
              <w:pStyle w:val="AssignBody"/>
              <w:rPr>
                <w:b/>
                <w:bCs/>
                <w:sz w:val="20"/>
                <w:szCs w:val="20"/>
              </w:rPr>
            </w:pPr>
          </w:p>
        </w:tc>
        <w:tc>
          <w:tcPr>
            <w:tcW w:w="5200" w:type="dxa"/>
            <w:tcBorders>
              <w:top w:val="single" w:sz="4" w:space="0" w:color="auto"/>
              <w:left w:val="single" w:sz="4" w:space="0" w:color="auto"/>
              <w:bottom w:val="single" w:sz="4" w:space="0" w:color="auto"/>
              <w:right w:val="single" w:sz="4" w:space="0" w:color="auto"/>
            </w:tcBorders>
            <w:hideMark/>
          </w:tcPr>
          <w:p w14:paraId="3AE14B0A" w14:textId="77777777" w:rsidR="008E4841" w:rsidRDefault="008E4841" w:rsidP="00160F6B">
            <w:pPr>
              <w:pStyle w:val="AssignBody"/>
              <w:rPr>
                <w:b/>
                <w:bCs/>
                <w:sz w:val="20"/>
                <w:szCs w:val="20"/>
              </w:rPr>
            </w:pPr>
            <w:proofErr w:type="spellStart"/>
            <w:r>
              <w:rPr>
                <w:b/>
                <w:bCs/>
                <w:sz w:val="20"/>
                <w:szCs w:val="20"/>
              </w:rPr>
              <w:t>Ceir</w:t>
            </w:r>
            <w:proofErr w:type="spellEnd"/>
            <w:r>
              <w:rPr>
                <w:b/>
                <w:bCs/>
                <w:sz w:val="20"/>
                <w:szCs w:val="20"/>
              </w:rPr>
              <w:t xml:space="preserve"> </w:t>
            </w:r>
            <w:proofErr w:type="spellStart"/>
            <w:r>
              <w:rPr>
                <w:b/>
                <w:bCs/>
                <w:sz w:val="20"/>
                <w:szCs w:val="20"/>
              </w:rPr>
              <w:t>enghraifft</w:t>
            </w:r>
            <w:proofErr w:type="spellEnd"/>
            <w:r>
              <w:rPr>
                <w:b/>
                <w:bCs/>
                <w:sz w:val="20"/>
                <w:szCs w:val="20"/>
              </w:rPr>
              <w:t xml:space="preserve"> </w:t>
            </w:r>
            <w:proofErr w:type="spellStart"/>
            <w:r>
              <w:rPr>
                <w:b/>
                <w:bCs/>
                <w:sz w:val="20"/>
                <w:szCs w:val="20"/>
              </w:rPr>
              <w:t>ar</w:t>
            </w:r>
            <w:proofErr w:type="spellEnd"/>
            <w:r>
              <w:rPr>
                <w:b/>
                <w:bCs/>
                <w:sz w:val="20"/>
                <w:szCs w:val="20"/>
              </w:rPr>
              <w:t xml:space="preserve"> </w:t>
            </w:r>
          </w:p>
        </w:tc>
      </w:tr>
      <w:tr w:rsidR="008E4841" w:rsidRPr="007B2775" w14:paraId="0DBFE312" w14:textId="77777777" w:rsidTr="00160F6B">
        <w:tc>
          <w:tcPr>
            <w:tcW w:w="3114" w:type="dxa"/>
            <w:tcBorders>
              <w:top w:val="single" w:sz="4" w:space="0" w:color="auto"/>
              <w:left w:val="single" w:sz="4" w:space="0" w:color="auto"/>
              <w:bottom w:val="single" w:sz="4" w:space="0" w:color="auto"/>
              <w:right w:val="single" w:sz="4" w:space="0" w:color="auto"/>
            </w:tcBorders>
            <w:hideMark/>
          </w:tcPr>
          <w:p w14:paraId="161B9CA1" w14:textId="77777777" w:rsidR="008E4841" w:rsidRPr="0087342A" w:rsidRDefault="008E4841" w:rsidP="00160F6B">
            <w:pPr>
              <w:pStyle w:val="AssignBody"/>
              <w:spacing w:line="240" w:lineRule="auto"/>
              <w:rPr>
                <w:sz w:val="20"/>
                <w:szCs w:val="20"/>
              </w:rPr>
            </w:pPr>
            <w:proofErr w:type="spellStart"/>
            <w:r>
              <w:rPr>
                <w:rFonts w:ascii="Roboto" w:hAnsi="Roboto"/>
                <w:color w:val="283041"/>
                <w:sz w:val="21"/>
                <w:szCs w:val="21"/>
                <w:shd w:val="clear" w:color="auto" w:fill="FFFFFF"/>
              </w:rPr>
              <w:t>Defnyddio</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mwy</w:t>
            </w:r>
            <w:proofErr w:type="spellEnd"/>
            <w:r>
              <w:rPr>
                <w:rFonts w:ascii="Roboto" w:hAnsi="Roboto"/>
                <w:color w:val="283041"/>
                <w:sz w:val="21"/>
                <w:szCs w:val="21"/>
                <w:shd w:val="clear" w:color="auto" w:fill="FFFFFF"/>
              </w:rPr>
              <w:t xml:space="preserve"> o </w:t>
            </w:r>
            <w:proofErr w:type="spellStart"/>
            <w:proofErr w:type="gramStart"/>
            <w:r>
              <w:rPr>
                <w:rFonts w:ascii="Roboto" w:hAnsi="Roboto"/>
                <w:color w:val="283041"/>
                <w:sz w:val="21"/>
                <w:szCs w:val="21"/>
                <w:shd w:val="clear" w:color="auto" w:fill="FFFFFF"/>
              </w:rPr>
              <w:t>ffynonellau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academaidd</w:t>
            </w:r>
            <w:proofErr w:type="spellEnd"/>
            <w:proofErr w:type="gram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yn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cynnwys</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adroddiadau</w:t>
            </w:r>
            <w:proofErr w:type="spellEnd"/>
            <w:r>
              <w:rPr>
                <w:rFonts w:ascii="Roboto" w:hAnsi="Roboto"/>
                <w:color w:val="283041"/>
                <w:sz w:val="21"/>
                <w:szCs w:val="21"/>
                <w:shd w:val="clear" w:color="auto" w:fill="FFFFFF"/>
              </w:rPr>
              <w:t xml:space="preserve"> Estyn ac </w:t>
            </w:r>
            <w:proofErr w:type="spellStart"/>
            <w:r>
              <w:rPr>
                <w:rFonts w:ascii="Roboto" w:hAnsi="Roboto"/>
                <w:color w:val="283041"/>
                <w:sz w:val="21"/>
                <w:szCs w:val="21"/>
                <w:shd w:val="clear" w:color="auto" w:fill="FFFFFF"/>
              </w:rPr>
              <w:t>erthyglau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ymchwil</w:t>
            </w:r>
            <w:proofErr w:type="spellEnd"/>
            <w:r>
              <w:rPr>
                <w:rFonts w:ascii="Roboto" w:hAnsi="Roboto"/>
                <w:color w:val="283041"/>
                <w:sz w:val="21"/>
                <w:szCs w:val="21"/>
                <w:shd w:val="clear" w:color="auto" w:fill="FFFFFF"/>
              </w:rPr>
              <w:t xml:space="preserve">, a </w:t>
            </w:r>
            <w:proofErr w:type="spellStart"/>
            <w:r>
              <w:rPr>
                <w:rFonts w:ascii="Roboto" w:hAnsi="Roboto"/>
                <w:color w:val="283041"/>
                <w:sz w:val="21"/>
                <w:szCs w:val="21"/>
                <w:shd w:val="clear" w:color="auto" w:fill="FFFFFF"/>
              </w:rPr>
              <w:t>manteisio'n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llawn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ar</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restr</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ddarllen</w:t>
            </w:r>
            <w:proofErr w:type="spellEnd"/>
            <w:r>
              <w:rPr>
                <w:rFonts w:ascii="Roboto" w:hAnsi="Roboto"/>
                <w:color w:val="283041"/>
                <w:sz w:val="21"/>
                <w:szCs w:val="21"/>
                <w:shd w:val="clear" w:color="auto" w:fill="FFFFFF"/>
              </w:rPr>
              <w:t xml:space="preserve"> y </w:t>
            </w:r>
            <w:proofErr w:type="spellStart"/>
            <w:r>
              <w:rPr>
                <w:rFonts w:ascii="Roboto" w:hAnsi="Roboto"/>
                <w:color w:val="283041"/>
                <w:sz w:val="21"/>
                <w:szCs w:val="21"/>
                <w:shd w:val="clear" w:color="auto" w:fill="FFFFFF"/>
              </w:rPr>
              <w:t>modiwl</w:t>
            </w:r>
            <w:proofErr w:type="spellEnd"/>
            <w:r>
              <w:rPr>
                <w:rFonts w:ascii="Roboto" w:hAnsi="Roboto"/>
                <w:color w:val="283041"/>
                <w:sz w:val="21"/>
                <w:szCs w:val="21"/>
                <w:shd w:val="clear" w:color="auto" w:fill="FFFFFF"/>
              </w:rPr>
              <w:t>. </w:t>
            </w:r>
          </w:p>
        </w:tc>
        <w:tc>
          <w:tcPr>
            <w:tcW w:w="2313" w:type="dxa"/>
            <w:tcBorders>
              <w:top w:val="single" w:sz="4" w:space="0" w:color="auto"/>
              <w:left w:val="single" w:sz="4" w:space="0" w:color="auto"/>
              <w:bottom w:val="single" w:sz="4" w:space="0" w:color="auto"/>
              <w:right w:val="single" w:sz="4" w:space="0" w:color="auto"/>
            </w:tcBorders>
          </w:tcPr>
          <w:p w14:paraId="3C549458" w14:textId="77777777" w:rsidR="008E4841" w:rsidRPr="00EF0507" w:rsidRDefault="008E4841" w:rsidP="00160F6B">
            <w:pPr>
              <w:pStyle w:val="AssignBody"/>
              <w:spacing w:line="240" w:lineRule="auto"/>
              <w:rPr>
                <w:sz w:val="20"/>
                <w:szCs w:val="20"/>
              </w:rPr>
            </w:pPr>
            <w:proofErr w:type="spellStart"/>
            <w:r>
              <w:rPr>
                <w:sz w:val="20"/>
                <w:szCs w:val="20"/>
              </w:rPr>
              <w:t>Darllen</w:t>
            </w:r>
            <w:proofErr w:type="spellEnd"/>
            <w:r>
              <w:rPr>
                <w:sz w:val="20"/>
                <w:szCs w:val="20"/>
              </w:rPr>
              <w:t xml:space="preserve"> </w:t>
            </w:r>
            <w:proofErr w:type="spellStart"/>
            <w:r>
              <w:rPr>
                <w:sz w:val="20"/>
                <w:szCs w:val="20"/>
              </w:rPr>
              <w:t>ehangach</w:t>
            </w:r>
            <w:proofErr w:type="spellEnd"/>
          </w:p>
        </w:tc>
        <w:tc>
          <w:tcPr>
            <w:tcW w:w="5200" w:type="dxa"/>
            <w:tcBorders>
              <w:top w:val="single" w:sz="4" w:space="0" w:color="auto"/>
              <w:left w:val="single" w:sz="4" w:space="0" w:color="auto"/>
              <w:bottom w:val="single" w:sz="4" w:space="0" w:color="auto"/>
              <w:right w:val="single" w:sz="4" w:space="0" w:color="auto"/>
            </w:tcBorders>
          </w:tcPr>
          <w:p w14:paraId="13CBD53B" w14:textId="4B15337C" w:rsidR="008E4841" w:rsidRPr="007B2775" w:rsidRDefault="00D92F2D" w:rsidP="00160F6B">
            <w:pPr>
              <w:pStyle w:val="AssignBody"/>
              <w:rPr>
                <w:sz w:val="20"/>
                <w:szCs w:val="20"/>
              </w:rPr>
            </w:pPr>
            <w:proofErr w:type="spellStart"/>
            <w:r>
              <w:rPr>
                <w:sz w:val="20"/>
                <w:szCs w:val="20"/>
              </w:rPr>
              <w:t>Aseiniad</w:t>
            </w:r>
            <w:proofErr w:type="spellEnd"/>
            <w:r>
              <w:rPr>
                <w:sz w:val="20"/>
                <w:szCs w:val="20"/>
              </w:rPr>
              <w:t xml:space="preserve"> </w:t>
            </w:r>
            <w:proofErr w:type="spellStart"/>
            <w:r>
              <w:rPr>
                <w:sz w:val="20"/>
                <w:szCs w:val="20"/>
              </w:rPr>
              <w:t>cyfan</w:t>
            </w:r>
            <w:proofErr w:type="spellEnd"/>
          </w:p>
        </w:tc>
      </w:tr>
      <w:tr w:rsidR="008E4841" w:rsidRPr="00403A4B" w14:paraId="4D6B6161" w14:textId="77777777" w:rsidTr="00160F6B">
        <w:trPr>
          <w:trHeight w:val="1069"/>
        </w:trPr>
        <w:tc>
          <w:tcPr>
            <w:tcW w:w="3114" w:type="dxa"/>
            <w:tcBorders>
              <w:top w:val="single" w:sz="4" w:space="0" w:color="auto"/>
              <w:left w:val="single" w:sz="4" w:space="0" w:color="auto"/>
              <w:bottom w:val="single" w:sz="4" w:space="0" w:color="auto"/>
              <w:right w:val="single" w:sz="4" w:space="0" w:color="auto"/>
            </w:tcBorders>
            <w:hideMark/>
          </w:tcPr>
          <w:p w14:paraId="1576EA94" w14:textId="77777777" w:rsidR="008E4841" w:rsidRPr="00180DBA" w:rsidRDefault="008E4841" w:rsidP="00160F6B">
            <w:pPr>
              <w:pStyle w:val="AssignBody"/>
              <w:spacing w:line="240" w:lineRule="auto"/>
              <w:rPr>
                <w:sz w:val="20"/>
                <w:szCs w:val="20"/>
              </w:rPr>
            </w:pPr>
            <w:proofErr w:type="spellStart"/>
            <w:r>
              <w:rPr>
                <w:rFonts w:ascii="Roboto" w:hAnsi="Roboto"/>
                <w:color w:val="283041"/>
                <w:sz w:val="21"/>
                <w:szCs w:val="21"/>
                <w:shd w:val="clear" w:color="auto" w:fill="FFFFFF"/>
              </w:rPr>
              <w:t>Prawf</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ddarllen</w:t>
            </w:r>
            <w:proofErr w:type="spellEnd"/>
            <w:r>
              <w:rPr>
                <w:rFonts w:ascii="Roboto" w:hAnsi="Roboto"/>
                <w:color w:val="283041"/>
                <w:sz w:val="21"/>
                <w:szCs w:val="21"/>
                <w:shd w:val="clear" w:color="auto" w:fill="FFFFFF"/>
              </w:rPr>
              <w:t xml:space="preserve"> y </w:t>
            </w:r>
            <w:proofErr w:type="spellStart"/>
            <w:r>
              <w:rPr>
                <w:rFonts w:ascii="Roboto" w:hAnsi="Roboto"/>
                <w:color w:val="283041"/>
                <w:sz w:val="21"/>
                <w:szCs w:val="21"/>
                <w:shd w:val="clear" w:color="auto" w:fill="FFFFFF"/>
              </w:rPr>
              <w:t>gwaith</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cyn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ei</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gyflwyno</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e.e.</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atalnodi</w:t>
            </w:r>
            <w:proofErr w:type="spellEnd"/>
            <w:r>
              <w:rPr>
                <w:rFonts w:ascii="Roboto" w:hAnsi="Roboto"/>
                <w:color w:val="283041"/>
                <w:sz w:val="21"/>
                <w:szCs w:val="21"/>
                <w:shd w:val="clear" w:color="auto" w:fill="FFFFFF"/>
              </w:rPr>
              <w:t xml:space="preserve">) ac </w:t>
            </w:r>
            <w:proofErr w:type="spellStart"/>
            <w:r>
              <w:rPr>
                <w:rFonts w:ascii="Roboto" w:hAnsi="Roboto"/>
                <w:color w:val="283041"/>
                <w:sz w:val="21"/>
                <w:szCs w:val="21"/>
                <w:shd w:val="clear" w:color="auto" w:fill="FFFFFF"/>
              </w:rPr>
              <w:t>adolygu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cynnwys</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sesiynau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gloywi</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iaith</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e.e.</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defnydd</w:t>
            </w:r>
            <w:proofErr w:type="spellEnd"/>
            <w:r>
              <w:rPr>
                <w:rFonts w:ascii="Roboto" w:hAnsi="Roboto"/>
                <w:color w:val="283041"/>
                <w:sz w:val="21"/>
                <w:szCs w:val="21"/>
                <w:shd w:val="clear" w:color="auto" w:fill="FFFFFF"/>
              </w:rPr>
              <w:t xml:space="preserve"> o </w:t>
            </w:r>
            <w:proofErr w:type="spellStart"/>
            <w:r>
              <w:rPr>
                <w:rFonts w:ascii="Roboto" w:hAnsi="Roboto"/>
                <w:color w:val="283041"/>
                <w:sz w:val="21"/>
                <w:szCs w:val="21"/>
                <w:shd w:val="clear" w:color="auto" w:fill="FFFFFF"/>
              </w:rPr>
              <w:t>ferfau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cryno</w:t>
            </w:r>
            <w:proofErr w:type="spellEnd"/>
            <w:r>
              <w:rPr>
                <w:rFonts w:ascii="Roboto" w:hAnsi="Roboto"/>
                <w:color w:val="283041"/>
                <w:sz w:val="21"/>
                <w:szCs w:val="21"/>
                <w:shd w:val="clear" w:color="auto" w:fill="FFFFFF"/>
              </w:rPr>
              <w:t>).</w:t>
            </w:r>
          </w:p>
        </w:tc>
        <w:tc>
          <w:tcPr>
            <w:tcW w:w="2313" w:type="dxa"/>
            <w:tcBorders>
              <w:top w:val="single" w:sz="4" w:space="0" w:color="auto"/>
              <w:left w:val="single" w:sz="4" w:space="0" w:color="auto"/>
              <w:bottom w:val="single" w:sz="4" w:space="0" w:color="auto"/>
              <w:right w:val="single" w:sz="4" w:space="0" w:color="auto"/>
            </w:tcBorders>
          </w:tcPr>
          <w:p w14:paraId="0E11FCB8" w14:textId="77777777" w:rsidR="008E4841" w:rsidRPr="00263B45" w:rsidRDefault="008E4841" w:rsidP="00160F6B">
            <w:pPr>
              <w:pStyle w:val="AssignBody"/>
              <w:spacing w:line="240" w:lineRule="auto"/>
              <w:rPr>
                <w:sz w:val="20"/>
                <w:szCs w:val="20"/>
              </w:rPr>
            </w:pPr>
            <w:proofErr w:type="spellStart"/>
            <w:r>
              <w:rPr>
                <w:sz w:val="20"/>
                <w:szCs w:val="20"/>
              </w:rPr>
              <w:t>Prawfddarllen</w:t>
            </w:r>
            <w:proofErr w:type="spellEnd"/>
            <w:r>
              <w:rPr>
                <w:sz w:val="20"/>
                <w:szCs w:val="20"/>
              </w:rPr>
              <w:t xml:space="preserve"> </w:t>
            </w:r>
            <w:proofErr w:type="spellStart"/>
            <w:r>
              <w:rPr>
                <w:sz w:val="20"/>
                <w:szCs w:val="20"/>
              </w:rPr>
              <w:t>fy</w:t>
            </w:r>
            <w:proofErr w:type="spellEnd"/>
            <w:r>
              <w:rPr>
                <w:sz w:val="20"/>
                <w:szCs w:val="20"/>
              </w:rPr>
              <w:t xml:space="preserve"> </w:t>
            </w:r>
            <w:proofErr w:type="spellStart"/>
            <w:r>
              <w:rPr>
                <w:sz w:val="20"/>
                <w:szCs w:val="20"/>
              </w:rPr>
              <w:t>ngwaith</w:t>
            </w:r>
            <w:proofErr w:type="spellEnd"/>
            <w:r>
              <w:rPr>
                <w:sz w:val="20"/>
                <w:szCs w:val="20"/>
              </w:rPr>
              <w:t xml:space="preserve"> a </w:t>
            </w:r>
            <w:proofErr w:type="spellStart"/>
            <w:r>
              <w:rPr>
                <w:sz w:val="20"/>
                <w:szCs w:val="20"/>
              </w:rPr>
              <w:t>defnyddio</w:t>
            </w:r>
            <w:proofErr w:type="spellEnd"/>
            <w:r>
              <w:rPr>
                <w:sz w:val="20"/>
                <w:szCs w:val="20"/>
              </w:rPr>
              <w:t xml:space="preserve"> </w:t>
            </w:r>
            <w:proofErr w:type="spellStart"/>
            <w:r>
              <w:rPr>
                <w:sz w:val="20"/>
                <w:szCs w:val="20"/>
              </w:rPr>
              <w:t>cysill</w:t>
            </w:r>
            <w:proofErr w:type="spellEnd"/>
            <w:r>
              <w:rPr>
                <w:sz w:val="20"/>
                <w:szCs w:val="20"/>
              </w:rPr>
              <w:t xml:space="preserve"> </w:t>
            </w:r>
            <w:proofErr w:type="spellStart"/>
            <w:r>
              <w:rPr>
                <w:sz w:val="20"/>
                <w:szCs w:val="20"/>
              </w:rPr>
              <w:t>i</w:t>
            </w:r>
            <w:proofErr w:type="spellEnd"/>
            <w:r>
              <w:rPr>
                <w:sz w:val="20"/>
                <w:szCs w:val="20"/>
              </w:rPr>
              <w:t xml:space="preserve"> </w:t>
            </w:r>
            <w:proofErr w:type="spellStart"/>
            <w:r>
              <w:rPr>
                <w:sz w:val="20"/>
                <w:szCs w:val="20"/>
              </w:rPr>
              <w:t>wirio</w:t>
            </w:r>
            <w:proofErr w:type="spellEnd"/>
          </w:p>
        </w:tc>
        <w:tc>
          <w:tcPr>
            <w:tcW w:w="5200" w:type="dxa"/>
            <w:tcBorders>
              <w:top w:val="single" w:sz="4" w:space="0" w:color="auto"/>
              <w:left w:val="single" w:sz="4" w:space="0" w:color="auto"/>
              <w:bottom w:val="single" w:sz="4" w:space="0" w:color="auto"/>
              <w:right w:val="single" w:sz="4" w:space="0" w:color="auto"/>
            </w:tcBorders>
          </w:tcPr>
          <w:p w14:paraId="6318E739" w14:textId="327590C5" w:rsidR="008E4841" w:rsidRPr="00403A4B" w:rsidRDefault="00D92F2D" w:rsidP="00160F6B">
            <w:pPr>
              <w:pStyle w:val="AssignBody"/>
              <w:spacing w:line="240" w:lineRule="auto"/>
              <w:rPr>
                <w:sz w:val="20"/>
                <w:szCs w:val="20"/>
              </w:rPr>
            </w:pPr>
            <w:proofErr w:type="spellStart"/>
            <w:r>
              <w:rPr>
                <w:sz w:val="20"/>
                <w:szCs w:val="20"/>
              </w:rPr>
              <w:t>Aseiniad</w:t>
            </w:r>
            <w:proofErr w:type="spellEnd"/>
            <w:r>
              <w:rPr>
                <w:sz w:val="20"/>
                <w:szCs w:val="20"/>
              </w:rPr>
              <w:t xml:space="preserve"> </w:t>
            </w:r>
            <w:proofErr w:type="spellStart"/>
            <w:r>
              <w:rPr>
                <w:sz w:val="20"/>
                <w:szCs w:val="20"/>
              </w:rPr>
              <w:t>cyfan</w:t>
            </w:r>
            <w:proofErr w:type="spellEnd"/>
          </w:p>
        </w:tc>
      </w:tr>
      <w:tr w:rsidR="008E4841" w:rsidRPr="000515CF" w14:paraId="02F9CDF8" w14:textId="77777777" w:rsidTr="00160F6B">
        <w:tc>
          <w:tcPr>
            <w:tcW w:w="3114" w:type="dxa"/>
            <w:tcBorders>
              <w:top w:val="single" w:sz="4" w:space="0" w:color="auto"/>
              <w:left w:val="single" w:sz="4" w:space="0" w:color="auto"/>
              <w:bottom w:val="single" w:sz="4" w:space="0" w:color="auto"/>
              <w:right w:val="single" w:sz="4" w:space="0" w:color="auto"/>
            </w:tcBorders>
            <w:hideMark/>
          </w:tcPr>
          <w:p w14:paraId="2B83A0C1" w14:textId="77777777" w:rsidR="008E4841" w:rsidRPr="00EF0507" w:rsidRDefault="008E4841" w:rsidP="00160F6B">
            <w:pPr>
              <w:pStyle w:val="AssignBody"/>
              <w:spacing w:line="240" w:lineRule="auto"/>
              <w:rPr>
                <w:sz w:val="20"/>
                <w:szCs w:val="20"/>
              </w:rPr>
            </w:pPr>
            <w:proofErr w:type="spellStart"/>
            <w:r>
              <w:rPr>
                <w:rFonts w:ascii="Roboto" w:hAnsi="Roboto"/>
                <w:color w:val="283041"/>
                <w:sz w:val="21"/>
                <w:szCs w:val="21"/>
                <w:shd w:val="clear" w:color="auto" w:fill="FFFFFF"/>
              </w:rPr>
              <w:t>Parhau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i</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ddatblygu'r</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elfen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gritigol</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wrth</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drafod</w:t>
            </w:r>
            <w:proofErr w:type="spellEnd"/>
            <w:r>
              <w:rPr>
                <w:rFonts w:ascii="Roboto" w:hAnsi="Roboto"/>
                <w:color w:val="283041"/>
                <w:sz w:val="21"/>
                <w:szCs w:val="21"/>
                <w:shd w:val="clear" w:color="auto" w:fill="FFFFFF"/>
              </w:rPr>
              <w:t xml:space="preserve"> y </w:t>
            </w:r>
            <w:proofErr w:type="spellStart"/>
            <w:r>
              <w:rPr>
                <w:rFonts w:ascii="Roboto" w:hAnsi="Roboto"/>
                <w:color w:val="283041"/>
                <w:sz w:val="21"/>
                <w:szCs w:val="21"/>
                <w:shd w:val="clear" w:color="auto" w:fill="FFFFFF"/>
              </w:rPr>
              <w:t>llenyddiaeth</w:t>
            </w:r>
            <w:proofErr w:type="spellEnd"/>
            <w:r>
              <w:rPr>
                <w:rFonts w:ascii="Roboto" w:hAnsi="Roboto"/>
                <w:color w:val="283041"/>
                <w:sz w:val="21"/>
                <w:szCs w:val="21"/>
                <w:shd w:val="clear" w:color="auto" w:fill="FFFFFF"/>
              </w:rPr>
              <w:t xml:space="preserve"> - </w:t>
            </w:r>
            <w:proofErr w:type="spellStart"/>
            <w:r>
              <w:rPr>
                <w:rFonts w:ascii="Roboto" w:hAnsi="Roboto"/>
                <w:color w:val="283041"/>
                <w:sz w:val="21"/>
                <w:szCs w:val="21"/>
                <w:shd w:val="clear" w:color="auto" w:fill="FFFFFF"/>
              </w:rPr>
              <w:t>byddai</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darllen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mwy</w:t>
            </w:r>
            <w:proofErr w:type="spellEnd"/>
            <w:r>
              <w:rPr>
                <w:rFonts w:ascii="Roboto" w:hAnsi="Roboto"/>
                <w:color w:val="283041"/>
                <w:sz w:val="21"/>
                <w:szCs w:val="21"/>
                <w:shd w:val="clear" w:color="auto" w:fill="FFFFFF"/>
              </w:rPr>
              <w:t xml:space="preserve"> o </w:t>
            </w:r>
            <w:proofErr w:type="spellStart"/>
            <w:r>
              <w:rPr>
                <w:rFonts w:ascii="Roboto" w:hAnsi="Roboto"/>
                <w:color w:val="283041"/>
                <w:sz w:val="21"/>
                <w:szCs w:val="21"/>
                <w:shd w:val="clear" w:color="auto" w:fill="FFFFFF"/>
              </w:rPr>
              <w:t>erthyglau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yn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dy</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helpu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gyda</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hyn</w:t>
            </w:r>
            <w:proofErr w:type="spellEnd"/>
            <w:r>
              <w:rPr>
                <w:rFonts w:ascii="Roboto" w:hAnsi="Roboto"/>
                <w:color w:val="283041"/>
                <w:sz w:val="21"/>
                <w:szCs w:val="21"/>
                <w:shd w:val="clear" w:color="auto" w:fill="FFFFFF"/>
              </w:rPr>
              <w:t>.</w:t>
            </w:r>
          </w:p>
        </w:tc>
        <w:tc>
          <w:tcPr>
            <w:tcW w:w="2313" w:type="dxa"/>
            <w:tcBorders>
              <w:top w:val="single" w:sz="4" w:space="0" w:color="auto"/>
              <w:left w:val="single" w:sz="4" w:space="0" w:color="auto"/>
              <w:bottom w:val="single" w:sz="4" w:space="0" w:color="auto"/>
              <w:right w:val="single" w:sz="4" w:space="0" w:color="auto"/>
            </w:tcBorders>
          </w:tcPr>
          <w:p w14:paraId="73BACFC5" w14:textId="77777777" w:rsidR="008E4841" w:rsidRPr="007554F1" w:rsidRDefault="008E4841" w:rsidP="00160F6B">
            <w:pPr>
              <w:pStyle w:val="AssignBody"/>
              <w:spacing w:line="240" w:lineRule="auto"/>
              <w:rPr>
                <w:sz w:val="20"/>
                <w:szCs w:val="20"/>
              </w:rPr>
            </w:pPr>
            <w:proofErr w:type="spellStart"/>
            <w:r>
              <w:rPr>
                <w:sz w:val="20"/>
                <w:szCs w:val="20"/>
              </w:rPr>
              <w:t>Darllen</w:t>
            </w:r>
            <w:proofErr w:type="spellEnd"/>
            <w:r>
              <w:rPr>
                <w:sz w:val="20"/>
                <w:szCs w:val="20"/>
              </w:rPr>
              <w:t xml:space="preserve"> am </w:t>
            </w:r>
            <w:proofErr w:type="spellStart"/>
            <w:r>
              <w:rPr>
                <w:sz w:val="20"/>
                <w:szCs w:val="20"/>
              </w:rPr>
              <w:t>safbwyntiau</w:t>
            </w:r>
            <w:proofErr w:type="spellEnd"/>
            <w:r>
              <w:rPr>
                <w:sz w:val="20"/>
                <w:szCs w:val="20"/>
              </w:rPr>
              <w:t xml:space="preserve"> </w:t>
            </w:r>
            <w:proofErr w:type="spellStart"/>
            <w:r>
              <w:rPr>
                <w:sz w:val="20"/>
                <w:szCs w:val="20"/>
              </w:rPr>
              <w:t>gwahanol</w:t>
            </w:r>
            <w:proofErr w:type="spellEnd"/>
          </w:p>
        </w:tc>
        <w:tc>
          <w:tcPr>
            <w:tcW w:w="5200" w:type="dxa"/>
            <w:tcBorders>
              <w:top w:val="single" w:sz="4" w:space="0" w:color="auto"/>
              <w:left w:val="single" w:sz="4" w:space="0" w:color="auto"/>
              <w:bottom w:val="single" w:sz="4" w:space="0" w:color="auto"/>
              <w:right w:val="single" w:sz="4" w:space="0" w:color="auto"/>
            </w:tcBorders>
          </w:tcPr>
          <w:p w14:paraId="60C1B997" w14:textId="755D0054" w:rsidR="008E4841" w:rsidRPr="000515CF" w:rsidRDefault="00E86DEE" w:rsidP="00D92F2D">
            <w:pPr>
              <w:pStyle w:val="AssignBody"/>
              <w:tabs>
                <w:tab w:val="left" w:pos="1226"/>
              </w:tabs>
              <w:spacing w:line="240" w:lineRule="auto"/>
              <w:rPr>
                <w:sz w:val="20"/>
                <w:szCs w:val="20"/>
              </w:rPr>
            </w:pPr>
            <w:r>
              <w:rPr>
                <w:sz w:val="20"/>
                <w:szCs w:val="20"/>
              </w:rPr>
              <w:t xml:space="preserve">Rhan B </w:t>
            </w:r>
            <w:proofErr w:type="spellStart"/>
            <w:r>
              <w:rPr>
                <w:sz w:val="20"/>
                <w:szCs w:val="20"/>
              </w:rPr>
              <w:t>yr</w:t>
            </w:r>
            <w:proofErr w:type="spellEnd"/>
            <w:r>
              <w:rPr>
                <w:sz w:val="20"/>
                <w:szCs w:val="20"/>
              </w:rPr>
              <w:t xml:space="preserve"> </w:t>
            </w:r>
            <w:proofErr w:type="spellStart"/>
            <w:r>
              <w:rPr>
                <w:sz w:val="20"/>
                <w:szCs w:val="20"/>
              </w:rPr>
              <w:t>aseiniad</w:t>
            </w:r>
            <w:proofErr w:type="spellEnd"/>
            <w:r>
              <w:rPr>
                <w:sz w:val="20"/>
                <w:szCs w:val="20"/>
              </w:rPr>
              <w:t xml:space="preserve"> </w:t>
            </w:r>
          </w:p>
        </w:tc>
      </w:tr>
    </w:tbl>
    <w:p w14:paraId="0FF146E3" w14:textId="77777777" w:rsidR="008E4841" w:rsidRDefault="008E4841"/>
    <w:p w14:paraId="0A8E3E48" w14:textId="77777777" w:rsidR="00B26844" w:rsidRDefault="00B26844"/>
    <w:p w14:paraId="7DDB7917" w14:textId="503B4702" w:rsidR="00B26844" w:rsidRPr="00BD7A3A" w:rsidRDefault="00BD7A3A" w:rsidP="00BD7A3A">
      <w:pPr>
        <w:jc w:val="center"/>
        <w:rPr>
          <w:b/>
          <w:bCs/>
          <w:sz w:val="32"/>
          <w:szCs w:val="32"/>
        </w:rPr>
      </w:pPr>
      <w:r w:rsidRPr="00BD7A3A">
        <w:rPr>
          <w:b/>
          <w:bCs/>
          <w:sz w:val="32"/>
          <w:szCs w:val="32"/>
        </w:rPr>
        <w:t>Sut mae ysgol yn datblygu un agwedd ar ei Chynllun Datblygu Ysgol: adroddiad sy’n adfyfyrio’n feirniadol ar y camau gweithredu, yr effaith a’r sylfaen dystiolaeth</w:t>
      </w:r>
    </w:p>
    <w:p w14:paraId="4355D8D4" w14:textId="77777777" w:rsidR="00FD57BE" w:rsidRDefault="00FD57BE"/>
    <w:p w14:paraId="719EA45F" w14:textId="0DF7FE17" w:rsidR="00633D2B" w:rsidRDefault="00E70A6F" w:rsidP="00BD7A3A">
      <w:pPr>
        <w:spacing w:line="360" w:lineRule="auto"/>
      </w:pPr>
      <w:r w:rsidRPr="00E70A6F">
        <w:t xml:space="preserve">Yn yr aseiniad hwn byddaf yn edrych ar un pwynt gweithredu sydd wedi ei seilio ar gynllun gwella  ysgol (CGY) fy ysgol PAP, fyddai’n cyfeirio at yr ysgol fel ‘Ysgol A’ gan edrych yn feirniadol ar sut mae’r ysgol yn gweithio ar y targed gan edrych ar y camau maen nhw’n ei gymryd i weithio ar y targed, sut maen nhw wedi penderfynu ar y targed, a sut maen nhw’n asesu datblygiad y targed. Mae Ysgol Ac yn ysgol Gymraeg, wledig, 3-18, yn Ne Orllewin Cymru. Mae tua 50% o’r disgyblion yn dod o gartrefi Cymraeg ac mae tua 8% yn gymwys am brydau ysgol am ddim (estyn, 2018). Mae gweledigaeth yr ysgol yn canolbwyntio ar garedigrwydd, cyfrifoldeb a Chymreictod ac mae’r pethau hyn yn ganolog wrth ddatblygu’r cynllun gwella ysgol </w:t>
      </w:r>
      <w:r w:rsidRPr="00A476AD">
        <w:rPr>
          <w:highlight w:val="black"/>
        </w:rPr>
        <w:t>(ysgol bro Preseli</w:t>
      </w:r>
      <w:r w:rsidRPr="00E70A6F">
        <w:t xml:space="preserve">, 2022). </w:t>
      </w:r>
      <w:r w:rsidR="00864A62" w:rsidRPr="00864A62">
        <w:t>Mae’r CGY wedi ei rannu i bedwar blaenoriaeth, a’r flaenoriaeth byddaf yn edrych arno yw Datblygu amgylchedd dysgu sy’n parhau i gefnogi lles ein disgyblion a staff. Maen nhw’n bwriadu gwneud hyn trwy gynyddu profiadau dysgu byw a datblygu’r ddarpariaeth a’r amgylchedd dysgu ar gyfer disgyblion bregus trwy ddatblygu perthnasoedd cadarnhaol, amrywiaeth a chydraddoldeb, datblygu darpariaeth ELSA.</w:t>
      </w:r>
    </w:p>
    <w:p w14:paraId="5712F984" w14:textId="3A4A3FAB" w:rsidR="00B15C40" w:rsidRDefault="00D37E6C" w:rsidP="00BD7A3A">
      <w:pPr>
        <w:spacing w:line="360" w:lineRule="auto"/>
      </w:pPr>
      <w:r w:rsidRPr="00D37E6C">
        <w:t xml:space="preserve">Bwriad CGY yw gwella ysgol a darparu cynllun ar gyfer creu newid effeithiol, ac mae’r ddogfen fel adnoddi i holl staff yr ysgol i gael gweld beth sydd angen iddynt wneud i helpu datblygu’r ysgol (Bennet et al, 2000). Mae llywodraeth Cymru yn dweud mai ‘Diben cyffredinol gwella </w:t>
      </w:r>
      <w:r w:rsidRPr="00D37E6C">
        <w:lastRenderedPageBreak/>
        <w:t xml:space="preserve">ysgolion yw helpu ysgolion i roi'r profiadau a'r deilliannau dysgu gorau posibl i ddysgwyr’ (llywodraeth Cymru, 2020). Felly, dylai dysgwyr yr ysgol fod yn ganolbwynt i’r CGY gan fod yr ysgol yn anelu i ddarparu’r addysg a chyfleoedd gorau i’r dysgwyr. Nodir y canllawiau gwella ysgolion hefyd fod angen i ran fwyaf o’r ffocws mewn CGY fod ar wella ysgol wedi ei arwain gan hunanwerthuso, cynllunio gwelliannau, a chymorth effeithiol (llywodraeth Cymru, 2020). Mae llywodraeth Cymru yn gweld gwella ysgolion yn allweddol er mwyn dod a’r cwricwlwm newydd yn fyw (OECD, 2018). </w:t>
      </w:r>
      <w:r w:rsidR="00653502" w:rsidRPr="00653502">
        <w:t xml:space="preserve">Mae hyn oherwydd wrth gynllunio’r cwricwlwm, roedd y llywodraeth yn anelu at ddarparu addysg a oedd yn paratoi ein plant at y dyfodol, ac er mwyn gwneud hynna, mae angen darparu’r addysg gorau phosib (Llywodraeth Cymru, 2020). Mae CGA yn cael ei greu gan edrych ar wahanol ffactorau a darnau o dystiolaeth megis data, fel canlyniadau profion a holiaduron, ac adroddiadau estyn (Llywodraeth Cymru, 2012). Ar ôl derbyn adroddiad estyn, fydd ysgolion yn edrych ar yr awgrymiadau a thargedau sy’n cael eu gwneud iddynt ac yn cydweithio i greu strategaeth er mwyn cyrraedd y targed er mwyn gwella eu hysgol (estyn, 2024). Felly mae hyn yn allweddol i greu’r CGY. Mae Ysgol Ac yn defnyddio offerynnau hunan werthuso fel canlyniadau cofion, holiaduron i staff a rhieni, gwaith y plant a'u hymweliad estyn mwyaf diweddar. </w:t>
      </w:r>
      <w:r w:rsidR="00A336A8" w:rsidRPr="00A336A8">
        <w:t xml:space="preserve">Mae holiaduron yn effeithiol er mwyn darganfod barn gwahanol bobl o fewn gwahanol rolau er mwyn datblygu syniad o beth sy’n gweithio a beth sydd angen gweithio arno, maen nhw hefyd yn ffordd effeithiol o ddarganfod patrwm a chasglu gwybodaeth am amrywiaeth o agweddau gwahanol (Briggs et al, 2012). Dylai ysgolion sicrhau fod y CGY ar gael i holl staff yr ysgol er mwyn i bawb gallu chwarae eu rhan yn cyflawni’r nodau (McNamara, 2002) (Llywodraeth Cymru, 2020). Mae hyn yn dangos fod holl staff yr ysgol yn rhan o’r CGY a dylai pob aelod o staff fod yn ymwybodol a chyfarwydd gyda blaenoriaethau’r ysgol. Ar CGY Ysgol A, mae’n nodi pwy sy’n gyfrifol am beth, mae hyn yn enwedig yn bwysig i Ysgol Ac oherwydd mae’n ysgol 3 i 18, felly nid yw pob pwynt gweithredu yn berthnasol i bob aelod o staff. Er enghraifft, mae targed penodol wedi ei nodi ar gyfer graddau TGAU. </w:t>
      </w:r>
      <w:r w:rsidR="00B461E7" w:rsidRPr="00B461E7">
        <w:t>Nodir Llywodraeth Cymru (2020) yn eu canllaw cynllun gwella ysgolion, y dylai holl gymuned yr ysgol cael eu cynnwys yn y CGY a’r broses o greu’r CGY, hynny yw dysgwyr, ymarferwyr, staff cymorth, llywodraethwyr, rhieni a gofalwyr.</w:t>
      </w:r>
    </w:p>
    <w:p w14:paraId="7AAB04CF" w14:textId="6B421E10" w:rsidR="001F0030" w:rsidRDefault="00C65E62" w:rsidP="00BD7A3A">
      <w:pPr>
        <w:spacing w:line="360" w:lineRule="auto"/>
      </w:pPr>
      <w:r w:rsidRPr="00C65E62">
        <w:t xml:space="preserve">Rydw i wedi dewis y flaenoriaeth ‘Datblygu amgylchedd dysgu sy’n parhau i gefnogi lles ein disgyblion a staff’ i’w edrych arno yn yr aseiniad hwn. Mae lles disgyblion yn ganolog i’w addysg, ac mae estyn wedi nodi fod plant iach yn hapusach ac felly yn gallu canolbwyntio’n well yn yr ysgol (estyn, 2019). Mae iechyd a lles yn un o feysydd dysgu’r cwricwlwm i gymru felly mae’r ysgol yn cydnabod fod lles yn rhan allweddol o’r cwricwlwm ac felly addysg plant yr ysgol. Mae yna ffocws mawr ar gefnogi lles dysgwyr bregus a dysgwyr ag ADY o fewn yr ysgol. Maen nhw’n </w:t>
      </w:r>
      <w:r w:rsidRPr="00C65E62">
        <w:lastRenderedPageBreak/>
        <w:t>bwriadu gwneud hyn trwy hyfforddi staff yn briodol a buddsoddi mewn adnoddau a chyrsiau megis ELSA.</w:t>
      </w:r>
      <w:r>
        <w:t xml:space="preserve"> </w:t>
      </w:r>
      <w:r w:rsidR="005C0B98" w:rsidRPr="005C0B98">
        <w:t xml:space="preserve">Mae yna hefyd ffocws ar les staff yn ogystal â lles y dysgwyr, ac maen nhw’n bwriadu gwneud hyn drwy ddarparu adnoddau a hyfforddiant addas i’r staff. Mae hyn yn nodwedd bwysig oherwydd mae lles staff yr ysgol yn cael effaith ar les dysgwyr oherwydd mae lles yn cael effaith ar allu pobl i greu perthnasoedd cadarnhaol. Os nad oes gan unigolyn lles meddyliol da, maen nhw yn debygol o weld hi’n anodd cadw perthnasoedd da gyda phobl oherwydd mae ganddynt dueddiad o gael meddylfryd negyddol (Kansky &amp; Diener, 2007) ac mae lles gwael yn arwain at ddiffyg hyder ac yn gwneud i athrawon feddwl bod nhw methu helpu eu dysgwyr (Harding et al, 2019). Mae hyn yn bwysig oherwydd mae creu perthynas da rhwng athrawon a dysgwyr yn hanfodol er mwyn i’r dysgwyr llwyddo a chael agwedd gadarnhaol tuag at ddysgu ac mae yna gysylltiad rhwng perthynas da rhwng athro a disgybl a llwyddiant dysgwyr (Harding et al, 2019).  </w:t>
      </w:r>
      <w:r w:rsidR="006276CE" w:rsidRPr="006276CE">
        <w:t>Felly, mae sicrhau fod lles staff yr ysgol yn dda yn bwysig er mwyn datblygu eu hyder a’u lles meddyliol er mwyn iddynt allu darparu cefnogaeth ac addysg o safon i’w dysgwyr. Mae ffocws ar les corfforol y dysgwyr hefyd gan ganolbwyntio ar fwyta’n iach ac annog dysgwyr i wneud ymarfer corff. Mae iechyd corfforol yn cael effaith ar iechyd meddwl dysgwyr a’u gallu i ganolbwyntio (Gubbels et al, 2018). Felly, mae annog dysgwyr i edrych ar ôl eu hiechyd corfforol yn hanfodol er mwyn cefnogi eu llwyddiant yn yr ysgol.</w:t>
      </w:r>
    </w:p>
    <w:p w14:paraId="5AB14D1D" w14:textId="13C40469" w:rsidR="00790B2E" w:rsidRDefault="00790B2E" w:rsidP="00BD7A3A">
      <w:pPr>
        <w:spacing w:line="360" w:lineRule="auto"/>
      </w:pPr>
    </w:p>
    <w:p w14:paraId="659FF2FE" w14:textId="69CBF5BF" w:rsidR="00790B2E" w:rsidRDefault="005158C1" w:rsidP="00BD7A3A">
      <w:pPr>
        <w:spacing w:line="360" w:lineRule="auto"/>
      </w:pPr>
      <w:r w:rsidRPr="005158C1">
        <w:t xml:space="preserve">Nodir Llywodraeth Cymru (2020) y dylai pob ysgol ddatblygu dulliau hunanwerthuso eu hunain yn seiliedig ar dystiolaeth a beth sy’n addas iddyn nhw .Mae Ysgol Ac yn cynnal wythnos hunan werthuso yn wythnosol gan ddefnyddio gwaith plant fel tystiolaeth. Er enghraifft, fe fydd gwaith y plant wedi gwella os mae lle'r dysgwyr yn gwella. Mae estyn yn cydnabod fod lles plant yn effeithio ar eu haddysg oherwydd os nad yw plentyn yn hapus yn yr ysgol, fydden nhw ddim yn gallu ymdrechu gymaint â gwneud cynnydd, maen nhw wedi nodi patrwm lle'r oedd gwaith y plant yn gwella ar ôl iddynt dderbyn cymorth am eu lles (estyn, 2022). Fe fydd yr ysgol yn edrych am batrymau fel hyn wrth hunan werthuso er mwyn darganfod os mae cymorth lles yn cael effaith ar waith y disgyblion. Fe fydd yr ysgol hefyd yn cynnal teithiau dysgu gan y pennaeth a llywodraethwyr er mwyn gwerthuso sut mae newidiadau yn cael eu gwneud, er enghraifft sut mae lles yn cael ei hybu mewn gwersi, trwy leihau pwysau i ateb a chreu gwersi diddorol. </w:t>
      </w:r>
      <w:r w:rsidR="008003EF" w:rsidRPr="008003EF">
        <w:t>Mae arsylwi fel dull o werthuso yn ddefnyddiol er mwyn cael syniad a mewnbwn uniongyrchol, cyflawn a gwerthfawr o beth sy’n mynd ymlaen yn y dosbarth, felly gall teithiau dysgu fod yn ddefnyddiol (Carr, et al). Ond mae angen bod yn ofalus wrth wneud hyn er mwyn osgoi rhoi pwysau ar yr athrawon a sicrhau fod yr arsylwad yn cael ei wneud mewn modd adeiladol a gefnogol, nid mewn ffordd sy’n gwneud i’r athro deimlo fel eu bod yn cael eu barnu (Todd, 2017).</w:t>
      </w:r>
    </w:p>
    <w:p w14:paraId="0F8AB8EA" w14:textId="57FC523E" w:rsidR="00076362" w:rsidRDefault="007E78A4" w:rsidP="00BD7A3A">
      <w:pPr>
        <w:spacing w:line="360" w:lineRule="auto"/>
      </w:pPr>
      <w:r w:rsidRPr="007E78A4">
        <w:lastRenderedPageBreak/>
        <w:t xml:space="preserve">Fe fydd yr ysgol yn cynnwys rhanddeiliaid er mwyn cyrraedd eu targed o fewn y flaenoriaeth. Er enghraifft un o’r pethau maen nhw’n nodi yw cydweithio gyda chymuned ehangach Ysgol A er mwyn rhannu gwybodaeth bwysig ynghylch lles disgyblion. Er mwyn gwneud hyn fydd angen i’r ysgol gynnal perthynas cryf gyda’r gymdeithas ehangach gan gynnwys rhieni. Mae cyfathrebu yn llwyddiannus gyda rhieni yn allweddol er mwyn darganfod problemau a stortio nhw yn gynnar, os nad oes perthynas cryf rhwng yr ysgol a’r cartref, mae iechyd meddwl y plentyn yn debygol o ddioddef oherwydd dydyn nhw ddim yn derbyn yr holl gymorth a chefnogaeth maen nhw angen (Bornstein, 2002). Gall rhanddeiliaid eraill gynnwys aelodau o’r gymuned sydd yn dod i fewn i helpu gyda prosiect cymunedol yr ysgol. Mae Ysgol A yn gweithioar greu gardd gymunedol er mwyn hybu lles y dysgwyr, a mae cymorth gan y gymuned yn allweddol ar gyfer llwyddiant y prosiect. </w:t>
      </w:r>
      <w:r w:rsidR="004D6F7E" w:rsidRPr="004D6F7E">
        <w:t>Mae barn rhieni hefyd yn bwysig wrth ddatblygu’r CGA oherwydd maen nhw’n gweld sut mae’r ysgol yn effeithio eu plant adra, ac yn aml maen nhw’n gweld pethau dydi’r ysgol ddim. Mae rhieni yn adnodd pwerus wrth ddatblygu ysgol a gosod disgwyliadau ar gyfer addysg eu plant (Comer &amp; Haynes, 1991). Mae hyn wedi seilio ar systemau ecolegol Bronfenbrenner sy’n nodi fod y system feicro yw’r ffactorau sylfaenol sy’n effeithio datblygiad plant, ac yna mae’r system feso sef pan mae mwy nag un agwedd o’r system feicro yn cyfuno, er enghraifft rhieni ac ysgol (Bronfenbrenner, 1994). Mae perthynas positif rhwng rhain yn effeithio yn gadarnhaol ar ddatblygiad y plentyn ond mae perthynas negyddol yn effeithio yn negyddol gan achosi problemau fel salwch ac iechyd meddwl gwael, ac arwain at ymddygiadau annymunol a peryglus fel trosedd a chamddefnydd o gyffuriau (Bronfenbrenner &amp; Morris, 2007). Mae hyn yn dangos pa mor bwysig yw sicrhau bod perthynas cefnogol yn cael ei gynnal rhwng yr ysgol a rhieni.</w:t>
      </w:r>
    </w:p>
    <w:p w14:paraId="1366F409" w14:textId="77777777" w:rsidR="005F2A4D" w:rsidRDefault="005F2A4D" w:rsidP="00BD7A3A">
      <w:pPr>
        <w:spacing w:line="360" w:lineRule="auto"/>
      </w:pPr>
      <w:r w:rsidRPr="005F2A4D">
        <w:t xml:space="preserve">Mae’r ysgol yn cynllunio’n strategol gan osod camau gweithredu a meini prawf i gyd-fynd. Mae hyn yn creu canllaw clir i staff yr ysgol ar beth i wneud i gyrraedd eu targedau. Bwriad y meini prawf llwyddiant yw gosod disgwyliadau a chanllaw ar sut i lwyddo, yn debyg i sut mae addysgwyr yn gosod meini prawf i’r dysgwyr ac yn deall ei fod yn anodd llwyddo os nad yw’r unigolyn sy’n ceisio llwyddo yn gwybod sut i lwyddo (Westerveld, 2003). Mae gosod meini prawf a chamau gweithredu yn rhoi sail i’r hunan werthusiad a gweld os mae’r systemau sydd ar waith wedi gweithio. Mae llywodraeth Cymru (2020) yn nodi ei fod yn bwysig bod ysgolion yn cydnabod eu cryfderau yn ogystal â’u meysydd i wella, ac yn defnyddio hynna yn fanteisiol er mwyn parhau i ddatblygu. </w:t>
      </w:r>
    </w:p>
    <w:p w14:paraId="5F0B208E" w14:textId="7D312407" w:rsidR="002C6DB7" w:rsidRDefault="003273EE" w:rsidP="00BD7A3A">
      <w:pPr>
        <w:spacing w:line="360" w:lineRule="auto"/>
      </w:pPr>
      <w:r w:rsidRPr="003273EE">
        <w:t xml:space="preserve">Mae’r ysgol wedi creu gardd er mwyn gweithio gyda’r gymuned ac mae hyn wedi cryfhau cysylltiadau rhwng yr ysgol a’r gymuned gan fod aelodau o’r gymuned yn dod i’r ysgol er mwyn helpu gyda’r ardd. Mae hyn wedi gwella lles y disgyblion oherwydd mae’r staff yn sylwi bod </w:t>
      </w:r>
      <w:r w:rsidRPr="003273EE">
        <w:lastRenderedPageBreak/>
        <w:t>llawer o’r plant yn hapusach i fynd allan oherwydd maen nhw’n edrych ymlaen at arddio. Gwelwyd hefyd fod y dysgwyr yn hapus iawn tra bod nhw allan yn yr ardd ac mae fel rhyddhad i ffwrdd o bethau sy’n eu poeni. Mae cysylltiadau fel hyn gyda’r gymuned a rhieni yn dda i les y dysgwyr oherwydd pan mae yna berthynas da rhwng y rhieni a’r ysgol, mae’n haws i drafod problemau a rhwystrau, ac felly mae problemau ynglŷn â lles yn cael eu sortio (Carrie et al, 2012). Mae estyn yn nodi fod hyn yn effeithiol hefyd drwy ddweud fod yna gysylltiad rhwng bodlonrwydd plant i weithio ac i gymryd rhan mewn gwersi, a’r berthynas sydd gyda’r ysgol hefo’u rhieni (estyn, 2022).</w:t>
      </w:r>
    </w:p>
    <w:p w14:paraId="62904F55" w14:textId="3F648BC0" w:rsidR="00EC4903" w:rsidRDefault="002A4988" w:rsidP="00BD7A3A">
      <w:pPr>
        <w:spacing w:line="360" w:lineRule="auto"/>
      </w:pPr>
      <w:r w:rsidRPr="002A4988">
        <w:t xml:space="preserve">Fe wnaeth yr ysgol gynnal teithiau dysgu i arsylwi gwersi athrawon a gweld sut roedden nhw’n hybu lles drwy greu amgylchedd dysgu cadarnhaol. Roedd yr athrawon yn ymwybodol fod y teithiau yma’n digwydd ac roedden nhw wedi cynllunio gwersi yn fwriadol er mwyn dangos hyn. Fe wnaeth yr arsylwyr aros yn y dosbarth am tua deg munud a chymryd nodiadau am beth oedd yn digwydd yn y wers. Fel y nodwyd yn gynharach, mae arsylwadau yn fuddiol er mwyn cael mewnbwn da i sut mae’r athrawon yn dysgu (Carr, et al), ond mae’n bwysig fod arsylwadau yn cael eu gwneud mewn ffordd effeithiol. Nodir Karlsen (2018) ei fod yn effeithiol os mae’r arsylwr yn siarad gyda’r plant yn hytrach na gwneud nodiadau yn unig, a fyddai hyn yn ffordd effeithiol o ddod i adnabod gwir effaith mae’r addysg ac amgylchedd y dosbarth yn cael arnynt. Credaf fysa hyn yn rhywbeth a allai wedi cael ei neud yn wahanol yn y broses hunanwerthuso er mwyn darganfod barn y plentyn a sicrhau fod llais y plentyn yn cael ei glywed. </w:t>
      </w:r>
      <w:r w:rsidR="009F6852" w:rsidRPr="009F6852">
        <w:t>Er hyn, fel y nodais yn yr adolygiad llenyddiaeth, mae’n bwysig fod arsylwadau yn cael eu gwneud mewn modd adeiladol a cefnogol (Todd, 2017), nid yn unig er mwyn cael y canlyniad gorau allan o’r arsylwad, ond er mwyn sicrhau bod yr athrawon ddim yn teimlo’n bryderus a odan am yr arsylwad, a fyddai yn ei thro'r effeithio ar eu lles nhw ac ansawdd y wers (Harding et al). Credaf fod hyn yn rhywbeth a gafodd ei wneud yn llwyddianus yn Ysgol Ac oherwydd roedd yr athrawon yn optimistaidd iawn am y daith dysgu ac nid oedd yna orbryder i’w weld cwmpas y pwnc.</w:t>
      </w:r>
    </w:p>
    <w:p w14:paraId="664682C4" w14:textId="5F794CCE" w:rsidR="004A14CA" w:rsidRDefault="006D5077" w:rsidP="00BD7A3A">
      <w:pPr>
        <w:spacing w:line="360" w:lineRule="auto"/>
      </w:pPr>
      <w:r w:rsidRPr="006D5077">
        <w:t>Wrth wneud yr aseiniad yma rydw i wedi dysgu llawer am CGY a sut mae’n effeithio pob aelod o gymuned yr ysgol. Mae wedi dylanwadu ar fy ymarfer rpoffesiynol oherwydd mae gennyf gwell dealltwriaeth o sut mae CGY yn cael ei greu a beth yw’r broses a’r rhesymwaith tu nol iddo. Credaf y byddaf yn fwy hyderus yn ymwneud a CGY pan fyddaf mewn swydd. Rydw i hefyd hefo gwell dealltwriaeth o sut mae lles dysgwyr yn dylanwadu ar eu dysgu a sut mae hybu lles mewn amrywiaeth o ffyrdd gwahanol. Fe fydd hyn yn dylanwadu arnaf yn y dyfodol wrth feddwl am les dysgwyr a staff ysgolion.</w:t>
      </w:r>
    </w:p>
    <w:p w14:paraId="218C5BA1" w14:textId="77777777" w:rsidR="00BD7A3A" w:rsidRDefault="00BD7A3A" w:rsidP="004A14CA"/>
    <w:p w14:paraId="027D1872" w14:textId="1C895DDD" w:rsidR="00BD7A3A" w:rsidRDefault="00BD7A3A">
      <w:r>
        <w:lastRenderedPageBreak/>
        <w:t>Rhestr Gyfeirnodi:</w:t>
      </w:r>
    </w:p>
    <w:p w14:paraId="141F74C1" w14:textId="77777777" w:rsidR="00BD7A3A" w:rsidRDefault="00BD7A3A" w:rsidP="004A14CA">
      <w:r>
        <w:t xml:space="preserve">Bennet, et al (2000), </w:t>
      </w:r>
      <w:r w:rsidRPr="00B15C40">
        <w:t>The     Reality of   SchoolDevelopment Planning in   theEffective Primary School:technicist or   guiding plan?</w:t>
      </w:r>
      <w:r>
        <w:t>, ar gael yn:</w:t>
      </w:r>
      <w:r w:rsidRPr="00B15C40">
        <w:t xml:space="preserve"> </w:t>
      </w:r>
      <w:hyperlink r:id="rId4" w:history="1">
        <w:r>
          <w:rPr>
            <w:rStyle w:val="Hyperlink"/>
          </w:rPr>
          <w:t>The Reality of School Development Planning in the Effective Primary School: technicist or guiding plan? (tandfonline.com)</w:t>
        </w:r>
      </w:hyperlink>
      <w:r>
        <w:t xml:space="preserve"> (cyrchwyd: 04/05/24)</w:t>
      </w:r>
    </w:p>
    <w:p w14:paraId="15CED175" w14:textId="77777777" w:rsidR="00BD7A3A" w:rsidRDefault="00BD7A3A">
      <w:r>
        <w:t xml:space="preserve">Borntein (2002), </w:t>
      </w:r>
      <w:r w:rsidRPr="001D0DED">
        <w:t>Handbook of Parenting Volume 5 Practical Issues in Parentin</w:t>
      </w:r>
      <w:r>
        <w:t xml:space="preserve">, ar gael yn: </w:t>
      </w:r>
      <w:hyperlink r:id="rId5" w:anchor="page=444" w:history="1">
        <w:r w:rsidRPr="00B5286E">
          <w:rPr>
            <w:rStyle w:val="Hyperlink"/>
          </w:rPr>
          <w:t>Everyday-stresses-and-parenting.pdf (researchgate.net)</w:t>
        </w:r>
      </w:hyperlink>
      <w:r>
        <w:t xml:space="preserve"> (cyrchwyd: 04/05/24)</w:t>
      </w:r>
    </w:p>
    <w:p w14:paraId="3A46289B" w14:textId="77777777" w:rsidR="00BD7A3A" w:rsidRDefault="00BD7A3A">
      <w:r>
        <w:t xml:space="preserve">Briggs et al (2012), </w:t>
      </w:r>
      <w:r w:rsidRPr="00622C62">
        <w:t>Research Methods in Educational Leadership and Management</w:t>
      </w:r>
      <w:r>
        <w:t xml:space="preserve">, ar gael yn: </w:t>
      </w:r>
      <w:r w:rsidRPr="00DA5371">
        <w:t>ww.torrossa.com/en/resources/an/4912490#page=281</w:t>
      </w:r>
      <w:r>
        <w:t xml:space="preserve"> (cyrchwyd: 04/05/24)</w:t>
      </w:r>
    </w:p>
    <w:p w14:paraId="30909781" w14:textId="77777777" w:rsidR="00BD7A3A" w:rsidRDefault="00BD7A3A" w:rsidP="004B1002">
      <w:pPr>
        <w:tabs>
          <w:tab w:val="left" w:pos="7838"/>
        </w:tabs>
      </w:pPr>
      <w:r>
        <w:t xml:space="preserve">Bronfenbrenner &amp; Morris (2007), </w:t>
      </w:r>
      <w:r w:rsidRPr="00442D58">
        <w:t>The Bioecological Model of Human Development</w:t>
      </w:r>
      <w:r>
        <w:t xml:space="preserve">, ar gael yn: </w:t>
      </w:r>
      <w:r>
        <w:fldChar w:fldCharType="begin"/>
      </w:r>
      <w:r>
        <w:instrText>HYPERLINK "https://www.childhelp.org/wp-content/uploads/2015/07/Bronfenbrenner-U.-and-P.-Morris-2006-The-Bioecological-Model-of-Human-Development.pdf"</w:instrText>
      </w:r>
      <w:r>
        <w:fldChar w:fldCharType="separate"/>
      </w:r>
      <w:r>
        <w:rPr>
          <w:rStyle w:val="Hyperlink"/>
        </w:rPr>
        <w:t>Bronfenbrenner-U.-and-P.-Morris-2006-The-Bioecological-Model-of-Human-Development.pdf (childhelp.org)</w:t>
      </w:r>
      <w:r>
        <w:fldChar w:fldCharType="end"/>
      </w:r>
      <w:r>
        <w:t xml:space="preserve"> (cyrchwyd: 02/05/24)</w:t>
      </w:r>
    </w:p>
    <w:p w14:paraId="3610F77F" w14:textId="77777777" w:rsidR="00BD7A3A" w:rsidRDefault="00BD7A3A" w:rsidP="0031692F">
      <w:pPr>
        <w:tabs>
          <w:tab w:val="left" w:pos="7838"/>
        </w:tabs>
      </w:pPr>
      <w:r>
        <w:t xml:space="preserve">Bronfenbrenner (1994), Ecological Models of Human Development, ar gael yn: </w:t>
      </w:r>
      <w:r>
        <w:fldChar w:fldCharType="begin"/>
      </w:r>
      <w:r>
        <w:instrText>HYPERLINK "https://www.ncj.nl/wp-content/uploads/media-import/docs/6a45c1a4-82ad-4f69-957e-1c76966678e2.pdf"</w:instrText>
      </w:r>
      <w:r>
        <w:fldChar w:fldCharType="separate"/>
      </w:r>
      <w:r>
        <w:rPr>
          <w:rStyle w:val="Hyperlink"/>
        </w:rPr>
        <w:t>artikel bronfenbrenner.pdf (ncj.nl)</w:t>
      </w:r>
      <w:r>
        <w:fldChar w:fldCharType="end"/>
      </w:r>
      <w:r>
        <w:t xml:space="preserve"> (cyrchwyd: 02/05/24)</w:t>
      </w:r>
    </w:p>
    <w:p w14:paraId="43F38F7D" w14:textId="77777777" w:rsidR="00BD7A3A" w:rsidRDefault="00BD7A3A">
      <w:r>
        <w:t xml:space="preserve">Carr (et al), </w:t>
      </w:r>
      <w:r w:rsidRPr="00AB480C">
        <w:t>Twelve tips for peer observation of teaching</w:t>
      </w:r>
      <w:r>
        <w:t xml:space="preserve">, ar gael yn: </w:t>
      </w:r>
      <w:r>
        <w:fldChar w:fldCharType="begin"/>
      </w:r>
      <w:r>
        <w:instrText>HYPERLINK "https://www.tandfonline.com/doi/full/10.1080/01421590701291451?scroll=top&amp;needAccess=true"</w:instrText>
      </w:r>
      <w:r>
        <w:fldChar w:fldCharType="separate"/>
      </w:r>
      <w:r>
        <w:rPr>
          <w:rStyle w:val="Hyperlink"/>
        </w:rPr>
        <w:t>Twelve tips for peer observation of teaching: Medical Teacher: Vol 29 , No 4 - Get Access (tandfonline.com)</w:t>
      </w:r>
      <w:r>
        <w:fldChar w:fldCharType="end"/>
      </w:r>
      <w:r>
        <w:t xml:space="preserve"> (cyrchwyd: 04/05/24)</w:t>
      </w:r>
    </w:p>
    <w:p w14:paraId="71D48BC5" w14:textId="77777777" w:rsidR="00BD7A3A" w:rsidRDefault="00BD7A3A" w:rsidP="004B1002">
      <w:pPr>
        <w:tabs>
          <w:tab w:val="left" w:pos="7838"/>
        </w:tabs>
      </w:pPr>
      <w:r>
        <w:t xml:space="preserve">Carrie et al (2012), </w:t>
      </w:r>
      <w:r w:rsidRPr="009D36FB">
        <w:t>Family-School Connections in Rural Educational Settings: A Systematic Review of the Empirical Literature</w:t>
      </w:r>
      <w:r>
        <w:t xml:space="preserve">, ar gael yn: </w:t>
      </w:r>
      <w:r>
        <w:fldChar w:fldCharType="begin"/>
      </w:r>
      <w:r>
        <w:instrText>HYPERLINK "https://eric.ed.gov/?id=EJ974684"</w:instrText>
      </w:r>
      <w:r>
        <w:fldChar w:fldCharType="separate"/>
      </w:r>
      <w:r>
        <w:rPr>
          <w:rStyle w:val="Hyperlink"/>
        </w:rPr>
        <w:t>ERIC - EJ974684 - Family-School Connections in Rural Educational Settings: A Systematic Review of the Empirical Literature, School Community Journal, 2012</w:t>
      </w:r>
      <w:r>
        <w:fldChar w:fldCharType="end"/>
      </w:r>
      <w:r>
        <w:t xml:space="preserve"> (cyrchwyd: 05/05/24)</w:t>
      </w:r>
    </w:p>
    <w:p w14:paraId="0202EAD9" w14:textId="77777777" w:rsidR="00BD7A3A" w:rsidRDefault="00BD7A3A">
      <w:r>
        <w:t xml:space="preserve">Comer &amp; haynes (1991), </w:t>
      </w:r>
      <w:r w:rsidRPr="00B538FB">
        <w:t>Parent Involvement in Schools: An Ecological Approach</w:t>
      </w:r>
      <w:r>
        <w:t xml:space="preserve">, ar gael yn: </w:t>
      </w:r>
      <w:r>
        <w:fldChar w:fldCharType="begin"/>
      </w:r>
      <w:r>
        <w:instrText>HYPERLINK "https://www.journals.uchicago.edu/doi/abs/10.1086/461654"</w:instrText>
      </w:r>
      <w:r>
        <w:fldChar w:fldCharType="separate"/>
      </w:r>
      <w:r>
        <w:rPr>
          <w:rStyle w:val="Hyperlink"/>
        </w:rPr>
        <w:t>Parent Involvement in Schools: An Ecological Approach | The Elementary School Journal: Vol 91, No 3 (uchicago.edu)</w:t>
      </w:r>
      <w:r>
        <w:fldChar w:fldCharType="end"/>
      </w:r>
      <w:r>
        <w:t xml:space="preserve"> (cyrchwyd: 04/05/24)</w:t>
      </w:r>
    </w:p>
    <w:p w14:paraId="44F8380F" w14:textId="77777777" w:rsidR="00BD7A3A" w:rsidRDefault="00BD7A3A" w:rsidP="004A14CA">
      <w:r>
        <w:t xml:space="preserve">Estyn (2018), A Report on </w:t>
      </w:r>
      <w:r w:rsidRPr="00B15C40">
        <w:t xml:space="preserve">Ysgol </w:t>
      </w:r>
      <w:r w:rsidRPr="00A476AD">
        <w:rPr>
          <w:highlight w:val="black"/>
        </w:rPr>
        <w:t>y Frenni</w:t>
      </w:r>
      <w:r>
        <w:t xml:space="preserve">, ar gael yn: </w:t>
      </w:r>
      <w:r>
        <w:fldChar w:fldCharType="begin"/>
      </w:r>
      <w:r>
        <w:instrText>HYPERLINK "https://www.estyn.gov.wales/system/files/2021-08/Inspection%20report%20Ysgol%20Y%20Frenni%202018.pdf"</w:instrText>
      </w:r>
      <w:r>
        <w:fldChar w:fldCharType="separate"/>
      </w:r>
      <w:r>
        <w:rPr>
          <w:rStyle w:val="Hyperlink"/>
        </w:rPr>
        <w:t xml:space="preserve">Inspection report </w:t>
      </w:r>
      <w:r w:rsidRPr="00A476AD">
        <w:rPr>
          <w:rStyle w:val="Hyperlink"/>
          <w:highlight w:val="blue"/>
        </w:rPr>
        <w:t>Ysgol Y Frenni 2018</w:t>
      </w:r>
      <w:r>
        <w:rPr>
          <w:rStyle w:val="Hyperlink"/>
        </w:rPr>
        <w:t xml:space="preserve"> (gov.wales)</w:t>
      </w:r>
      <w:r>
        <w:fldChar w:fldCharType="end"/>
      </w:r>
      <w:r>
        <w:t xml:space="preserve"> (cyrchwyd: 01/05/2024)</w:t>
      </w:r>
    </w:p>
    <w:p w14:paraId="018B7E42" w14:textId="77777777" w:rsidR="00BD7A3A" w:rsidRDefault="00BD7A3A" w:rsidP="00641DA3">
      <w:pPr>
        <w:tabs>
          <w:tab w:val="left" w:pos="7838"/>
        </w:tabs>
      </w:pPr>
      <w:r>
        <w:t xml:space="preserve">Estyn (2019), </w:t>
      </w:r>
      <w:r w:rsidRPr="003F6345">
        <w:t>Mynd ag addysgu allan i’r awyr agored</w:t>
      </w:r>
      <w:r>
        <w:t xml:space="preserve">, arfer effeithiol, ar gael yn: </w:t>
      </w:r>
      <w:r>
        <w:fldChar w:fldCharType="begin"/>
      </w:r>
      <w:r>
        <w:instrText>HYPERLINK "https://www.estyn.llyw.cymru/arfer-effeithiol/mynd-ag-addysgu-allan-ir-awyr-agored"</w:instrText>
      </w:r>
      <w:r>
        <w:fldChar w:fldCharType="separate"/>
      </w:r>
      <w:r>
        <w:rPr>
          <w:rStyle w:val="Hyperlink"/>
        </w:rPr>
        <w:t>Mynd ag addysgu allan i’r awyr agored | Estyn (llyw.cymru)</w:t>
      </w:r>
      <w:r>
        <w:fldChar w:fldCharType="end"/>
      </w:r>
      <w:r>
        <w:t xml:space="preserve"> (cyrchwyd: 02/05/24)</w:t>
      </w:r>
    </w:p>
    <w:p w14:paraId="5F77562F" w14:textId="77777777" w:rsidR="00BD7A3A" w:rsidRPr="00C25649" w:rsidRDefault="00BD7A3A" w:rsidP="00C25649">
      <w:pPr>
        <w:rPr>
          <w:lang w:val="en-GB"/>
        </w:rPr>
      </w:pPr>
      <w:r>
        <w:t xml:space="preserve">Estyn (2022), </w:t>
      </w:r>
      <w:r w:rsidRPr="00C721E8">
        <w:t>Supporting the mental health of the school ‘community’</w:t>
      </w:r>
      <w:r>
        <w:t xml:space="preserve">, arfer effeithiol, ar gael yn: </w:t>
      </w:r>
      <w:r>
        <w:fldChar w:fldCharType="begin"/>
      </w:r>
      <w:r>
        <w:instrText>HYPERLINK "https://www.estyn.gov.wales/effective-practice/supporting-mental-health-school-community"</w:instrText>
      </w:r>
      <w:r>
        <w:fldChar w:fldCharType="separate"/>
      </w:r>
      <w:r>
        <w:rPr>
          <w:rStyle w:val="Hyperlink"/>
        </w:rPr>
        <w:t>Supporting the mental health of the school ‘community’ | Estyn (gov.wales)</w:t>
      </w:r>
      <w:r>
        <w:fldChar w:fldCharType="end"/>
      </w:r>
      <w:r>
        <w:t xml:space="preserve"> (cyrchwyd: 04/05/24)</w:t>
      </w:r>
    </w:p>
    <w:p w14:paraId="0032295D" w14:textId="77777777" w:rsidR="00BD7A3A" w:rsidRDefault="00BD7A3A">
      <w:r>
        <w:t xml:space="preserve">Estyn (2024), Inspection, ar gael yn: </w:t>
      </w:r>
      <w:r>
        <w:fldChar w:fldCharType="begin"/>
      </w:r>
      <w:r>
        <w:instrText>HYPERLINK "https://www.estyn.gov.wales/inspection-process/inspection-explained"</w:instrText>
      </w:r>
      <w:r>
        <w:fldChar w:fldCharType="separate"/>
      </w:r>
      <w:r>
        <w:rPr>
          <w:rStyle w:val="Hyperlink"/>
        </w:rPr>
        <w:t>Inspection explained | Estyn (gov.wales)</w:t>
      </w:r>
      <w:r>
        <w:fldChar w:fldCharType="end"/>
      </w:r>
      <w:r>
        <w:t xml:space="preserve"> (cyrchwyd: 04/05/24)</w:t>
      </w:r>
    </w:p>
    <w:p w14:paraId="1F697D06" w14:textId="77777777" w:rsidR="00BD7A3A" w:rsidRDefault="00BD7A3A" w:rsidP="00C25649">
      <w:r>
        <w:t xml:space="preserve">Gubbels, et al (2018), Activating Childcare Environments for All Children: the Importance of Children’s Individual Need, ar gael yn: </w:t>
      </w:r>
      <w:hyperlink r:id="rId6" w:history="1">
        <w:r>
          <w:rPr>
            <w:rStyle w:val="Hyperlink"/>
          </w:rPr>
          <w:t>ijerph-15-01400.pdf</w:t>
        </w:r>
      </w:hyperlink>
      <w:r>
        <w:t xml:space="preserve"> (cyrchwyd: 04/05/2024)</w:t>
      </w:r>
    </w:p>
    <w:p w14:paraId="2CEE176A" w14:textId="77777777" w:rsidR="00BD7A3A" w:rsidRDefault="00BD7A3A" w:rsidP="00C25649">
      <w:r>
        <w:t xml:space="preserve">Harding et al, 2019), Is teachers’ mental health and wellbeing associated with students’ mental health and wellbeing?, ar gael yn: </w:t>
      </w:r>
      <w:r>
        <w:fldChar w:fldCharType="begin"/>
      </w:r>
      <w:r>
        <w:instrText>HYPERLINK "https://pdf.sciencedirectassets.com/271035/1-s2.0-S0165032718X00147/1-s2.0-S0165032718301733/main.pdf?X-Amz-Security-Token=IQoJb3JpZ2luX2VjEH8aCXVzLWVhc3QtMSJIMEYCIQDjEmDYrCiG34ONUipzs7TuMUiHvNU5o6VmZmKd5%2BeQbwIhAPOB44dnhz0Fjq3f7maiizeOWBlKfebUrEZmRxEsDTMxKrwFCNf%2F%2F%2F%2F%2F%2F%2F%2F%2F%2FwEQBRoMMDU5MDAzNTQ2ODY1Igzoa5ghghhc5%2BsZNvkqkAU0qr6rNcUywYzkuP4LnuFu7UH8Qq7wK2rtBo%2BDXkctn%2B2Cxs0Slhsx8nHqkwIi3jHPYsL6wu03Vr7Rdr5d6HbEV4R6X%2BwBS4D0%2FizEr%2BR8Xkqqct1gTq2iaowsgGJtGs83Pkbzr6ZCy83%2BUEv62zPCf1%2Bq%2BrVEEOhvk3Jb%2Ba6aFZW9PGQ%2FtJ49Er4bWXa9ehuAkRCdbeQaEm7GK7VOhgHplaw4q39nwjnOoihobfcD31wLsJnrrjaq29kf3ZnZfxEQGTQbbjtdLPoYK%2BMF6M4Q9qSlAaOQBw7G8hMlCu2m2x5orXZz8RCmDmUR5V85djD%2BSZgGZs8W%2FviKJduVl%2Fdkxd5yo0DUtCuFhdonCRvr59F%2BT0emMwORHDaMc4XFDOMfQi0AMImKwwt58ARPlZ8tFxlv3%2FrjfKZdkedNzv0tuT2CYw6pYRVsOoEDt5gW8RH67FJIA90dzu%2BYVcEtdBBa7CVho7Kc2ZGFs4I6Zj7%2F6Pvk%2BSOP7qLL0jroHZwT8VgFMUecupiriW4d2U9WxrnCHojU3iz7bpwlp3E4eejzqIIdjtNCXfm4f0Z4gw0pwEt6kpIn4yBHwPZAn6%2B8gYKHjnmRI9A52QhFE%2FfeoIn3NOEIK9HgACxc39E5cCPK%2BWtPbeTd2e2IgD56QSBahazwLP28UCMHPeAZKXrBNbt%2FvUzTAHjKzk1e6CNheBrHG9f34AYQszsMi%2F1H6p1ZU%2BRkBWUDf6PoiTLnn5m3ZpP0r6RC1rzNeCSMJTwzMxzAL9s05h0uONTrl9%2FkODcC0cAKB2853StGUvVcDA9u%2BCGoMWhPKTtqvXSR6z%2F39MIuh0Sl43Io8oS7MsO0OFzhXGIVg3trzMvVbgWAYZKTPEKHzjDu6uixBjqwAVLEfuq1jCx7FisOxlgCGF2zKUbB2DOcpxAwYdFvsQF%2Bb707DcVf66aTzImSFoGuCIJ5kyjweeKvPbQRML8EO8%2FchGSZM2nfAvwpla6t6SK6TKRXHZl1TpIpJ49OWXnI%2BWUiBULtPtnOFPzDcMVP1TDHfU24ARZiwdNS%2B5GpF749sK3p3w%2FSazDVfxagIrPQ9odgXpq%2FwsymgEZrWISqzSSvyDlM7h0vh3FX7Pb4amx%2B&amp;X-Amz-Algorithm=AWS4-HMAC-SHA256&amp;X-Amz-Date=20240507T144806Z&amp;X-Amz-SignedHeaders=host&amp;X-Amz-Expires=300&amp;X-Amz-Credential=ASIAQ3PHCVTYWF7WKHGR%2F20240507%2Fus-east-1%2Fs3%2Faws4_request&amp;X-Amz-Signature=5e42aa49dec4471b3efcd23f6b9cc6fae1e3dd5ffb39caf56cba352a585dd53e&amp;hash=b07eaaf45f904871368872919df0f240309995bf95d1b71aac641777ed963312&amp;host=68042c943591013ac2b2430a89b270f6af2c76d8dfd086a07176afe7c76c2c61&amp;pii=S0165032718301733&amp;tid=spdf-064841e7-7cc6-40cc-91de-3467dba762e6&amp;sid=e09101b856ebd64fae8853d3a8b23d4b05e0gxrqb&amp;type=client&amp;tsoh=d3d3LnNjaWVuY2VkaXJlY3QuY29t&amp;ua=0302585e5552535053&amp;rr=8802024e1fc78892&amp;cc=gb"</w:instrText>
      </w:r>
      <w:r>
        <w:fldChar w:fldCharType="separate"/>
      </w:r>
      <w:r>
        <w:rPr>
          <w:rStyle w:val="Hyperlink"/>
        </w:rPr>
        <w:t>Is teachers’ mental health and wellbeing associated with students’ mental health and wellbeing? (sciencedirectassets.com)</w:t>
      </w:r>
      <w:r>
        <w:fldChar w:fldCharType="end"/>
      </w:r>
      <w:r>
        <w:t xml:space="preserve"> (cyrchwyd: 02/05/24)</w:t>
      </w:r>
    </w:p>
    <w:p w14:paraId="45050344" w14:textId="77777777" w:rsidR="00BD7A3A" w:rsidRDefault="00BD7A3A" w:rsidP="00C25649">
      <w:r>
        <w:lastRenderedPageBreak/>
        <w:t xml:space="preserve">Kansky &amp; Diener (2007), </w:t>
      </w:r>
      <w:r w:rsidRPr="00C25649">
        <w:rPr>
          <w:lang w:val="en-GB"/>
        </w:rPr>
        <w:t>Benefits of well-being: Health, social relationships, work, and resilience</w:t>
      </w:r>
      <w:r>
        <w:rPr>
          <w:lang w:val="en-GB"/>
        </w:rPr>
        <w:t xml:space="preserve">, </w:t>
      </w:r>
      <w:proofErr w:type="spellStart"/>
      <w:r>
        <w:rPr>
          <w:lang w:val="en-GB"/>
        </w:rPr>
        <w:t>ar</w:t>
      </w:r>
      <w:proofErr w:type="spellEnd"/>
      <w:r>
        <w:rPr>
          <w:lang w:val="en-GB"/>
        </w:rPr>
        <w:t xml:space="preserve"> </w:t>
      </w:r>
      <w:proofErr w:type="spellStart"/>
      <w:r>
        <w:rPr>
          <w:lang w:val="en-GB"/>
        </w:rPr>
        <w:t>gael</w:t>
      </w:r>
      <w:proofErr w:type="spellEnd"/>
      <w:r>
        <w:rPr>
          <w:lang w:val="en-GB"/>
        </w:rPr>
        <w:t xml:space="preserve"> </w:t>
      </w:r>
      <w:proofErr w:type="spellStart"/>
      <w:r>
        <w:rPr>
          <w:lang w:val="en-GB"/>
        </w:rPr>
        <w:t>yn</w:t>
      </w:r>
      <w:proofErr w:type="spellEnd"/>
      <w:r>
        <w:rPr>
          <w:lang w:val="en-GB"/>
        </w:rPr>
        <w:t xml:space="preserve">: </w:t>
      </w:r>
      <w:hyperlink r:id="rId7" w:history="1">
        <w:r>
          <w:rPr>
            <w:rStyle w:val="Hyperlink"/>
          </w:rPr>
          <w:t>Benefits of well-being: Health, social relationships, work, and resilience | Journal of Positive Psychology and Wellbeing (journalppw.com)</w:t>
        </w:r>
      </w:hyperlink>
      <w:r>
        <w:t xml:space="preserve"> (cyrchwyd: 02/05/24)</w:t>
      </w:r>
    </w:p>
    <w:p w14:paraId="6C5B25A9" w14:textId="77777777" w:rsidR="00BD7A3A" w:rsidRDefault="00BD7A3A" w:rsidP="004B1002">
      <w:pPr>
        <w:tabs>
          <w:tab w:val="left" w:pos="7838"/>
        </w:tabs>
      </w:pPr>
      <w:r>
        <w:t xml:space="preserve">Karlsen (2018), </w:t>
      </w:r>
      <w:r w:rsidRPr="00DE4504">
        <w:t>Investigating teacher learning in Lesson Study: the important linkbetween reported observations and change of plans</w:t>
      </w:r>
      <w:r>
        <w:t xml:space="preserve">, ar gael yn: </w:t>
      </w:r>
      <w:hyperlink r:id="rId8" w:history="1">
        <w:r>
          <w:rPr>
            <w:rStyle w:val="Hyperlink"/>
          </w:rPr>
          <w:t>Investigating teacher learning in Lesson Study: the important link between reported observations and change of plans (tandfonline.com)</w:t>
        </w:r>
      </w:hyperlink>
      <w:r>
        <w:t xml:space="preserve"> (cyrchwyd: 05/05/24)</w:t>
      </w:r>
    </w:p>
    <w:p w14:paraId="7FC0BC0D" w14:textId="77777777" w:rsidR="00BD7A3A" w:rsidRDefault="00BD7A3A">
      <w:r>
        <w:t xml:space="preserve">Llywodraeth Cymru (2012), Imrpoving Schools, ar gael yn: </w:t>
      </w:r>
      <w:hyperlink r:id="rId9" w:history="1">
        <w:r>
          <w:rPr>
            <w:rStyle w:val="Hyperlink"/>
          </w:rPr>
          <w:t>9589067.pdf (core.ac.uk)</w:t>
        </w:r>
      </w:hyperlink>
      <w:r>
        <w:t xml:space="preserve"> (cyrchwyd: 04/05/24)</w:t>
      </w:r>
    </w:p>
    <w:p w14:paraId="1FFB4213" w14:textId="77777777" w:rsidR="00BD7A3A" w:rsidRDefault="00BD7A3A" w:rsidP="004A14CA">
      <w:r>
        <w:t xml:space="preserve">Llywodraeth Cymru (2020), Canllawiau Gwella ysgolion, hwb cymru, ar gael yn: </w:t>
      </w:r>
      <w:hyperlink r:id="rId10" w:history="1">
        <w:r>
          <w:rPr>
            <w:rStyle w:val="Hyperlink"/>
          </w:rPr>
          <w:t>Canllawiau gwella ysgolion: fframwaith ar gyfer gwerthuso, gwella ac atebolrwydd - Hwb (gov.wales)</w:t>
        </w:r>
      </w:hyperlink>
      <w:r>
        <w:t xml:space="preserve"> (cyrchwyd: 04/05/2024)</w:t>
      </w:r>
    </w:p>
    <w:p w14:paraId="0522966B" w14:textId="77777777" w:rsidR="00BD7A3A" w:rsidRDefault="00BD7A3A">
      <w:r>
        <w:t xml:space="preserve">Llywodraeth Cymru (2020), Egwyddorion ar gyfer Cynllunio’ch cwricwlwm, Hwb Cymru, ar gael yn: </w:t>
      </w:r>
      <w:hyperlink r:id="rId11" w:history="1">
        <w:r>
          <w:rPr>
            <w:rStyle w:val="Hyperlink"/>
          </w:rPr>
          <w:t>Egwyddorion ar gyfer cynllunio’ch cwricwlwm - Hwb (gov.wales)</w:t>
        </w:r>
      </w:hyperlink>
      <w:r>
        <w:t xml:space="preserve"> (cyrchwyd: 04/05/24)</w:t>
      </w:r>
    </w:p>
    <w:p w14:paraId="1AF12D3D" w14:textId="77777777" w:rsidR="00BD7A3A" w:rsidRDefault="00BD7A3A">
      <w:r>
        <w:t xml:space="preserve">McNamara (2002), </w:t>
      </w:r>
      <w:r w:rsidRPr="0021070C">
        <w:t>Whole-School Evaluation andDevelopment Planning</w:t>
      </w:r>
      <w:r>
        <w:t xml:space="preserve">, ar gael yn: </w:t>
      </w:r>
      <w:hyperlink r:id="rId12" w:history="1">
        <w:r>
          <w:rPr>
            <w:rStyle w:val="Hyperlink"/>
          </w:rPr>
          <w:t>Whole-School Evaluation and Development Planning (sagepub.com)</w:t>
        </w:r>
      </w:hyperlink>
      <w:r>
        <w:t xml:space="preserve"> (cyrchwyd: 04/05/24)</w:t>
      </w:r>
    </w:p>
    <w:p w14:paraId="316130A3" w14:textId="77777777" w:rsidR="00BD7A3A" w:rsidRDefault="00BD7A3A">
      <w:r>
        <w:t>OECD (2018), Developing Schools ar Learning organisations in Wales, ar gael yn:</w:t>
      </w:r>
      <w:r w:rsidRPr="006C5BB2">
        <w:t xml:space="preserve"> </w:t>
      </w:r>
      <w:hyperlink r:id="rId13" w:history="1">
        <w:r>
          <w:rPr>
            <w:rStyle w:val="Hyperlink"/>
          </w:rPr>
          <w:t>REPUB_113350_OA.pdf (eur.nl)</w:t>
        </w:r>
      </w:hyperlink>
      <w:r>
        <w:t xml:space="preserve"> (cyrchwyd: 04/05/24)</w:t>
      </w:r>
    </w:p>
    <w:p w14:paraId="7893AEE2" w14:textId="77777777" w:rsidR="00BD7A3A" w:rsidRDefault="00BD7A3A">
      <w:r>
        <w:t xml:space="preserve">Todd (2017), </w:t>
      </w:r>
      <w:r w:rsidRPr="002E1A0B">
        <w:t>Peer Observation as a Tool for Professional Developmen</w:t>
      </w:r>
      <w:r>
        <w:t xml:space="preserve">t, ar gael yn: </w:t>
      </w:r>
      <w:hyperlink r:id="rId14" w:history="1">
        <w:r w:rsidRPr="009708AD">
          <w:rPr>
            <w:rStyle w:val="Hyperlink"/>
          </w:rPr>
          <w:t>Peer Observation as a Tool for Professional Development (stcloudstate.edu)</w:t>
        </w:r>
      </w:hyperlink>
      <w:r>
        <w:t xml:space="preserve"> (cyrchwyd: 04/05/24)</w:t>
      </w:r>
    </w:p>
    <w:p w14:paraId="54A913DA" w14:textId="77777777" w:rsidR="00BD7A3A" w:rsidRDefault="00BD7A3A" w:rsidP="004B1002">
      <w:pPr>
        <w:tabs>
          <w:tab w:val="left" w:pos="7838"/>
        </w:tabs>
      </w:pPr>
      <w:r>
        <w:t xml:space="preserve">Westerveld (2003), </w:t>
      </w:r>
      <w:r w:rsidRPr="006A06C6">
        <w:t>linking success criteria and critical success factors</w:t>
      </w:r>
      <w:r>
        <w:t xml:space="preserve">, ar gael yn: </w:t>
      </w:r>
      <w:hyperlink r:id="rId15" w:history="1">
        <w:r>
          <w:rPr>
            <w:rStyle w:val="Hyperlink"/>
          </w:rPr>
          <w:t>linking success criteria and critical success factors (sciencedirectassets.com)</w:t>
        </w:r>
      </w:hyperlink>
      <w:r>
        <w:t xml:space="preserve"> (cyrchwyd: 05/05/24)</w:t>
      </w:r>
    </w:p>
    <w:p w14:paraId="756B86DB" w14:textId="77777777" w:rsidR="00BD7A3A" w:rsidRDefault="00BD7A3A" w:rsidP="004A14CA">
      <w:r w:rsidRPr="00A476AD">
        <w:rPr>
          <w:highlight w:val="black"/>
        </w:rPr>
        <w:t>Ysgol Bro Preseli</w:t>
      </w:r>
      <w:r>
        <w:t xml:space="preserve"> (2022), Ethos ein ysgol, ar gael yn: </w:t>
      </w:r>
      <w:hyperlink r:id="rId16" w:history="1">
        <w:r w:rsidRPr="00A476AD">
          <w:rPr>
            <w:rStyle w:val="Hyperlink"/>
            <w:highlight w:val="blue"/>
          </w:rPr>
          <w:t>The Ethos Of Ysgol Bro Preseli | Ysgol Bro Preseli</w:t>
        </w:r>
      </w:hyperlink>
      <w:r>
        <w:t xml:space="preserve"> (cyrchwyd: 01/05/2024)</w:t>
      </w:r>
    </w:p>
    <w:sectPr w:rsidR="00BD7A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4CA"/>
    <w:rsid w:val="000217C0"/>
    <w:rsid w:val="00026FD0"/>
    <w:rsid w:val="00033E92"/>
    <w:rsid w:val="00064D60"/>
    <w:rsid w:val="00066D41"/>
    <w:rsid w:val="000758DB"/>
    <w:rsid w:val="00076362"/>
    <w:rsid w:val="00082523"/>
    <w:rsid w:val="00086DDE"/>
    <w:rsid w:val="000A3742"/>
    <w:rsid w:val="000A7E4C"/>
    <w:rsid w:val="000B187E"/>
    <w:rsid w:val="000B6E64"/>
    <w:rsid w:val="000E1069"/>
    <w:rsid w:val="00112197"/>
    <w:rsid w:val="001530AC"/>
    <w:rsid w:val="001572EE"/>
    <w:rsid w:val="00170F0E"/>
    <w:rsid w:val="001946F2"/>
    <w:rsid w:val="001A0F31"/>
    <w:rsid w:val="001B0360"/>
    <w:rsid w:val="001B5DB6"/>
    <w:rsid w:val="001B72DE"/>
    <w:rsid w:val="001C03AC"/>
    <w:rsid w:val="001D0DED"/>
    <w:rsid w:val="001F0030"/>
    <w:rsid w:val="0021070C"/>
    <w:rsid w:val="00221919"/>
    <w:rsid w:val="00223568"/>
    <w:rsid w:val="0024760F"/>
    <w:rsid w:val="00247A83"/>
    <w:rsid w:val="00255656"/>
    <w:rsid w:val="00265DA4"/>
    <w:rsid w:val="0027232F"/>
    <w:rsid w:val="002A0C99"/>
    <w:rsid w:val="002A4988"/>
    <w:rsid w:val="002A65F3"/>
    <w:rsid w:val="002B4284"/>
    <w:rsid w:val="002C6DB7"/>
    <w:rsid w:val="002E1A0B"/>
    <w:rsid w:val="00304A0C"/>
    <w:rsid w:val="00307259"/>
    <w:rsid w:val="003112F3"/>
    <w:rsid w:val="0031692F"/>
    <w:rsid w:val="003175D1"/>
    <w:rsid w:val="00324DBB"/>
    <w:rsid w:val="003273EE"/>
    <w:rsid w:val="00357CF6"/>
    <w:rsid w:val="0036253F"/>
    <w:rsid w:val="00380B1B"/>
    <w:rsid w:val="003C772F"/>
    <w:rsid w:val="003E7CB5"/>
    <w:rsid w:val="00400860"/>
    <w:rsid w:val="00414E1F"/>
    <w:rsid w:val="00450D94"/>
    <w:rsid w:val="00457151"/>
    <w:rsid w:val="00466C86"/>
    <w:rsid w:val="00470E4D"/>
    <w:rsid w:val="004806CA"/>
    <w:rsid w:val="004868B6"/>
    <w:rsid w:val="00496167"/>
    <w:rsid w:val="004A14CA"/>
    <w:rsid w:val="004A619F"/>
    <w:rsid w:val="004B1002"/>
    <w:rsid w:val="004C142D"/>
    <w:rsid w:val="004D6F7E"/>
    <w:rsid w:val="004E6661"/>
    <w:rsid w:val="004F535D"/>
    <w:rsid w:val="00513AFC"/>
    <w:rsid w:val="00515038"/>
    <w:rsid w:val="005158C1"/>
    <w:rsid w:val="00516E59"/>
    <w:rsid w:val="00524011"/>
    <w:rsid w:val="0053424B"/>
    <w:rsid w:val="00541853"/>
    <w:rsid w:val="005474FC"/>
    <w:rsid w:val="005510A1"/>
    <w:rsid w:val="00557C97"/>
    <w:rsid w:val="00582433"/>
    <w:rsid w:val="005A2434"/>
    <w:rsid w:val="005B6CFF"/>
    <w:rsid w:val="005B7212"/>
    <w:rsid w:val="005C0B98"/>
    <w:rsid w:val="005C2C87"/>
    <w:rsid w:val="005C3113"/>
    <w:rsid w:val="005F2A4D"/>
    <w:rsid w:val="00606B5E"/>
    <w:rsid w:val="00616E69"/>
    <w:rsid w:val="00622C62"/>
    <w:rsid w:val="00623A7C"/>
    <w:rsid w:val="00623D8C"/>
    <w:rsid w:val="00625BB6"/>
    <w:rsid w:val="006276CE"/>
    <w:rsid w:val="00633D2B"/>
    <w:rsid w:val="00641DA3"/>
    <w:rsid w:val="00653502"/>
    <w:rsid w:val="006A06C6"/>
    <w:rsid w:val="006A5427"/>
    <w:rsid w:val="006A718F"/>
    <w:rsid w:val="006C5BB2"/>
    <w:rsid w:val="006D5077"/>
    <w:rsid w:val="006E4305"/>
    <w:rsid w:val="006F36EC"/>
    <w:rsid w:val="006F4BAC"/>
    <w:rsid w:val="00703B5B"/>
    <w:rsid w:val="00703EAF"/>
    <w:rsid w:val="00731321"/>
    <w:rsid w:val="00731659"/>
    <w:rsid w:val="00736B51"/>
    <w:rsid w:val="00746386"/>
    <w:rsid w:val="00757674"/>
    <w:rsid w:val="00762090"/>
    <w:rsid w:val="00790B2E"/>
    <w:rsid w:val="007947BA"/>
    <w:rsid w:val="007E5948"/>
    <w:rsid w:val="007E78A4"/>
    <w:rsid w:val="007F0A91"/>
    <w:rsid w:val="008003EF"/>
    <w:rsid w:val="00801352"/>
    <w:rsid w:val="00806949"/>
    <w:rsid w:val="00807A11"/>
    <w:rsid w:val="00834E97"/>
    <w:rsid w:val="008403BE"/>
    <w:rsid w:val="00840B8E"/>
    <w:rsid w:val="00864A62"/>
    <w:rsid w:val="008662C1"/>
    <w:rsid w:val="008750C2"/>
    <w:rsid w:val="00882C47"/>
    <w:rsid w:val="008B39DC"/>
    <w:rsid w:val="008B5BD3"/>
    <w:rsid w:val="008C1737"/>
    <w:rsid w:val="008D09C6"/>
    <w:rsid w:val="008D4DE4"/>
    <w:rsid w:val="008E4841"/>
    <w:rsid w:val="00901272"/>
    <w:rsid w:val="00902E0B"/>
    <w:rsid w:val="00916D56"/>
    <w:rsid w:val="00944405"/>
    <w:rsid w:val="009455C5"/>
    <w:rsid w:val="00967494"/>
    <w:rsid w:val="009700F8"/>
    <w:rsid w:val="009708AD"/>
    <w:rsid w:val="00974636"/>
    <w:rsid w:val="0097774E"/>
    <w:rsid w:val="009A1965"/>
    <w:rsid w:val="009B4105"/>
    <w:rsid w:val="009B508D"/>
    <w:rsid w:val="009C1FC9"/>
    <w:rsid w:val="009D36FB"/>
    <w:rsid w:val="009F6852"/>
    <w:rsid w:val="00A3163B"/>
    <w:rsid w:val="00A336A8"/>
    <w:rsid w:val="00A40505"/>
    <w:rsid w:val="00A466C1"/>
    <w:rsid w:val="00A476AD"/>
    <w:rsid w:val="00A50602"/>
    <w:rsid w:val="00A51384"/>
    <w:rsid w:val="00A53103"/>
    <w:rsid w:val="00A65E44"/>
    <w:rsid w:val="00A92518"/>
    <w:rsid w:val="00A95DBA"/>
    <w:rsid w:val="00AA0481"/>
    <w:rsid w:val="00AB480C"/>
    <w:rsid w:val="00AC5627"/>
    <w:rsid w:val="00AD1636"/>
    <w:rsid w:val="00AD707C"/>
    <w:rsid w:val="00AE79A6"/>
    <w:rsid w:val="00B1545C"/>
    <w:rsid w:val="00B15C40"/>
    <w:rsid w:val="00B26844"/>
    <w:rsid w:val="00B44D1B"/>
    <w:rsid w:val="00B461E7"/>
    <w:rsid w:val="00B5286E"/>
    <w:rsid w:val="00B52978"/>
    <w:rsid w:val="00B538FB"/>
    <w:rsid w:val="00B664C5"/>
    <w:rsid w:val="00B83944"/>
    <w:rsid w:val="00BB590B"/>
    <w:rsid w:val="00BC60C4"/>
    <w:rsid w:val="00BD7A3A"/>
    <w:rsid w:val="00BF3B48"/>
    <w:rsid w:val="00C04AA7"/>
    <w:rsid w:val="00C144FA"/>
    <w:rsid w:val="00C25649"/>
    <w:rsid w:val="00C50552"/>
    <w:rsid w:val="00C56EBA"/>
    <w:rsid w:val="00C65B18"/>
    <w:rsid w:val="00C65E62"/>
    <w:rsid w:val="00C721E8"/>
    <w:rsid w:val="00C84814"/>
    <w:rsid w:val="00C84EA7"/>
    <w:rsid w:val="00C90196"/>
    <w:rsid w:val="00CA0F18"/>
    <w:rsid w:val="00CC1134"/>
    <w:rsid w:val="00CD1E68"/>
    <w:rsid w:val="00CE79A6"/>
    <w:rsid w:val="00CF3691"/>
    <w:rsid w:val="00CF6976"/>
    <w:rsid w:val="00D07561"/>
    <w:rsid w:val="00D265A4"/>
    <w:rsid w:val="00D37E6C"/>
    <w:rsid w:val="00D5131E"/>
    <w:rsid w:val="00D610DE"/>
    <w:rsid w:val="00D72E3B"/>
    <w:rsid w:val="00D77FDA"/>
    <w:rsid w:val="00D8412E"/>
    <w:rsid w:val="00D92F2D"/>
    <w:rsid w:val="00DA5371"/>
    <w:rsid w:val="00DB493A"/>
    <w:rsid w:val="00DC1323"/>
    <w:rsid w:val="00DD52ED"/>
    <w:rsid w:val="00DD6976"/>
    <w:rsid w:val="00DE4504"/>
    <w:rsid w:val="00DE56A3"/>
    <w:rsid w:val="00DE6835"/>
    <w:rsid w:val="00DF0E0C"/>
    <w:rsid w:val="00E222DC"/>
    <w:rsid w:val="00E33B1D"/>
    <w:rsid w:val="00E46594"/>
    <w:rsid w:val="00E5402F"/>
    <w:rsid w:val="00E70A6F"/>
    <w:rsid w:val="00E86DEE"/>
    <w:rsid w:val="00E93CA9"/>
    <w:rsid w:val="00E9640A"/>
    <w:rsid w:val="00EC1798"/>
    <w:rsid w:val="00EC4903"/>
    <w:rsid w:val="00EC5888"/>
    <w:rsid w:val="00F223F0"/>
    <w:rsid w:val="00F477CD"/>
    <w:rsid w:val="00F55D5F"/>
    <w:rsid w:val="00F67525"/>
    <w:rsid w:val="00F75DF2"/>
    <w:rsid w:val="00FD57BE"/>
    <w:rsid w:val="00FD59BC"/>
    <w:rsid w:val="00FF02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36529"/>
  <w15:chartTrackingRefBased/>
  <w15:docId w15:val="{1D894F46-205E-42A5-8E9E-9F8C1835C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4A14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14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14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14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14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14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14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14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14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14CA"/>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semiHidden/>
    <w:rsid w:val="004A14CA"/>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4A14CA"/>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semiHidden/>
    <w:rsid w:val="004A14CA"/>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4A14CA"/>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4A14CA"/>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4A14CA"/>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4A14CA"/>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4A14CA"/>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4A14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14CA"/>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4A14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14CA"/>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4A14CA"/>
    <w:pPr>
      <w:spacing w:before="160"/>
      <w:jc w:val="center"/>
    </w:pPr>
    <w:rPr>
      <w:i/>
      <w:iCs/>
      <w:color w:val="404040" w:themeColor="text1" w:themeTint="BF"/>
    </w:rPr>
  </w:style>
  <w:style w:type="character" w:customStyle="1" w:styleId="QuoteChar">
    <w:name w:val="Quote Char"/>
    <w:basedOn w:val="DefaultParagraphFont"/>
    <w:link w:val="Quote"/>
    <w:uiPriority w:val="29"/>
    <w:rsid w:val="004A14CA"/>
    <w:rPr>
      <w:i/>
      <w:iCs/>
      <w:color w:val="404040" w:themeColor="text1" w:themeTint="BF"/>
      <w:lang w:val="cy-GB"/>
    </w:rPr>
  </w:style>
  <w:style w:type="paragraph" w:styleId="ListParagraph">
    <w:name w:val="List Paragraph"/>
    <w:basedOn w:val="Normal"/>
    <w:uiPriority w:val="34"/>
    <w:qFormat/>
    <w:rsid w:val="004A14CA"/>
    <w:pPr>
      <w:ind w:left="720"/>
      <w:contextualSpacing/>
    </w:pPr>
  </w:style>
  <w:style w:type="character" w:styleId="IntenseEmphasis">
    <w:name w:val="Intense Emphasis"/>
    <w:basedOn w:val="DefaultParagraphFont"/>
    <w:uiPriority w:val="21"/>
    <w:qFormat/>
    <w:rsid w:val="004A14CA"/>
    <w:rPr>
      <w:i/>
      <w:iCs/>
      <w:color w:val="0F4761" w:themeColor="accent1" w:themeShade="BF"/>
    </w:rPr>
  </w:style>
  <w:style w:type="paragraph" w:styleId="IntenseQuote">
    <w:name w:val="Intense Quote"/>
    <w:basedOn w:val="Normal"/>
    <w:next w:val="Normal"/>
    <w:link w:val="IntenseQuoteChar"/>
    <w:uiPriority w:val="30"/>
    <w:qFormat/>
    <w:rsid w:val="004A14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14CA"/>
    <w:rPr>
      <w:i/>
      <w:iCs/>
      <w:color w:val="0F4761" w:themeColor="accent1" w:themeShade="BF"/>
      <w:lang w:val="cy-GB"/>
    </w:rPr>
  </w:style>
  <w:style w:type="character" w:styleId="IntenseReference">
    <w:name w:val="Intense Reference"/>
    <w:basedOn w:val="DefaultParagraphFont"/>
    <w:uiPriority w:val="32"/>
    <w:qFormat/>
    <w:rsid w:val="004A14CA"/>
    <w:rPr>
      <w:b/>
      <w:bCs/>
      <w:smallCaps/>
      <w:color w:val="0F4761" w:themeColor="accent1" w:themeShade="BF"/>
      <w:spacing w:val="5"/>
    </w:rPr>
  </w:style>
  <w:style w:type="character" w:styleId="Hyperlink">
    <w:name w:val="Hyperlink"/>
    <w:basedOn w:val="DefaultParagraphFont"/>
    <w:uiPriority w:val="99"/>
    <w:unhideWhenUsed/>
    <w:rsid w:val="004A14CA"/>
    <w:rPr>
      <w:color w:val="0000FF"/>
      <w:u w:val="single"/>
    </w:rPr>
  </w:style>
  <w:style w:type="character" w:styleId="UnresolvedMention">
    <w:name w:val="Unresolved Mention"/>
    <w:basedOn w:val="DefaultParagraphFont"/>
    <w:uiPriority w:val="99"/>
    <w:semiHidden/>
    <w:unhideWhenUsed/>
    <w:rsid w:val="009708AD"/>
    <w:rPr>
      <w:color w:val="605E5C"/>
      <w:shd w:val="clear" w:color="auto" w:fill="E1DFDD"/>
    </w:rPr>
  </w:style>
  <w:style w:type="character" w:styleId="FollowedHyperlink">
    <w:name w:val="FollowedHyperlink"/>
    <w:basedOn w:val="DefaultParagraphFont"/>
    <w:uiPriority w:val="99"/>
    <w:semiHidden/>
    <w:unhideWhenUsed/>
    <w:rsid w:val="00DF0E0C"/>
    <w:rPr>
      <w:color w:val="96607D" w:themeColor="followedHyperlink"/>
      <w:u w:val="single"/>
    </w:rPr>
  </w:style>
  <w:style w:type="character" w:customStyle="1" w:styleId="AssignBodyChar">
    <w:name w:val="AssignBody Char"/>
    <w:basedOn w:val="DefaultParagraphFont"/>
    <w:link w:val="AssignBody"/>
    <w:locked/>
    <w:rsid w:val="008E4841"/>
    <w:rPr>
      <w:rFonts w:ascii="Arial" w:hAnsi="Arial" w:cs="Arial"/>
    </w:rPr>
  </w:style>
  <w:style w:type="paragraph" w:customStyle="1" w:styleId="AssignBody">
    <w:name w:val="AssignBody"/>
    <w:basedOn w:val="Normal"/>
    <w:link w:val="AssignBodyChar"/>
    <w:qFormat/>
    <w:rsid w:val="008E4841"/>
    <w:pPr>
      <w:spacing w:after="0" w:line="360" w:lineRule="auto"/>
    </w:pPr>
    <w:rPr>
      <w:rFonts w:ascii="Arial" w:hAnsi="Arial" w:cs="Arial"/>
      <w:lang w:val="en-GB"/>
    </w:rPr>
  </w:style>
  <w:style w:type="table" w:styleId="TableGrid">
    <w:name w:val="Table Grid"/>
    <w:basedOn w:val="TableNormal"/>
    <w:uiPriority w:val="39"/>
    <w:rsid w:val="008E4841"/>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3568948">
      <w:bodyDiv w:val="1"/>
      <w:marLeft w:val="0"/>
      <w:marRight w:val="0"/>
      <w:marTop w:val="0"/>
      <w:marBottom w:val="0"/>
      <w:divBdr>
        <w:top w:val="none" w:sz="0" w:space="0" w:color="auto"/>
        <w:left w:val="none" w:sz="0" w:space="0" w:color="auto"/>
        <w:bottom w:val="none" w:sz="0" w:space="0" w:color="auto"/>
        <w:right w:val="none" w:sz="0" w:space="0" w:color="auto"/>
      </w:divBdr>
    </w:div>
    <w:div w:id="1435173093">
      <w:bodyDiv w:val="1"/>
      <w:marLeft w:val="0"/>
      <w:marRight w:val="0"/>
      <w:marTop w:val="0"/>
      <w:marBottom w:val="0"/>
      <w:divBdr>
        <w:top w:val="none" w:sz="0" w:space="0" w:color="auto"/>
        <w:left w:val="none" w:sz="0" w:space="0" w:color="auto"/>
        <w:bottom w:val="none" w:sz="0" w:space="0" w:color="auto"/>
        <w:right w:val="none" w:sz="0" w:space="0" w:color="auto"/>
      </w:divBdr>
    </w:div>
    <w:div w:id="1526597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epdf/10.1080/19415257.2019.1685564?needAccess=true" TargetMode="External"/><Relationship Id="rId13" Type="http://schemas.openxmlformats.org/officeDocument/2006/relationships/hyperlink" Target="https://repub.eur.nl/pub/113350/REPUB_113350_OA.pdf"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journalppw.com/index.php/jppw/article/view/15" TargetMode="External"/><Relationship Id="rId12" Type="http://schemas.openxmlformats.org/officeDocument/2006/relationships/hyperlink" Target="https://journals.sagepub.com/doi/epdf/10.1177/02611X02030002510"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ysgolbropreseli.cymru/ethos/" TargetMode="External"/><Relationship Id="rId1" Type="http://schemas.openxmlformats.org/officeDocument/2006/relationships/styles" Target="styles.xml"/><Relationship Id="rId6" Type="http://schemas.openxmlformats.org/officeDocument/2006/relationships/hyperlink" Target="file:///C:\Users\mared\Downloads\ijerph-15-01400.pdf" TargetMode="External"/><Relationship Id="rId11" Type="http://schemas.openxmlformats.org/officeDocument/2006/relationships/hyperlink" Target="https://hwb.gov.wales/cwricwlwm-i-gymru/cynllunio-eich-cwricwlwm/egwyddorion-ar-gyfer-cynllunio-ch-cwricwlwm/" TargetMode="External"/><Relationship Id="rId5" Type="http://schemas.openxmlformats.org/officeDocument/2006/relationships/hyperlink" Target="https://www.researchgate.net/profile/Keith-Crnic/publication/232498354_Everyday_stresses_and_parenting/links/02e7e5382052990806000000/Everyday-stresses-and-parenting.pdf" TargetMode="External"/><Relationship Id="rId15" Type="http://schemas.openxmlformats.org/officeDocument/2006/relationships/hyperlink" Target="https://pdf.sciencedirectassets.com/271951/1-s2.0-S0263786300X01081/1-s2.0-S0263786302001126/main.pdf?X-Amz-Security-Token=IQoJb3JpZ2luX2VjEIH%2F%2F%2F%2F%2F%2F%2F%2F%2F%2FwEaCXVzLWVhc3QtMSJHMEUCIHWZgdWQplVgW3GwiIoKCmj5sKKLEginIEGGDyM%2FBX6wAiEArXDrB99%2FacS%2BIB4Swm%2FDBBd95BIuhrIxbyumcBpEq64qvAUI2v%2F%2F%2F%2F%2F%2F%2F%2F%2F%2FARAFGgwwNTkwMDM1NDY4NjUiDCylI17EVhxM7aQd5SqQBdOWJ1O9JicJ0ScW5MY88KZggqEcOvV7uaGEcvpHqcezYo7sbN9ru3w6bZXXD3g6jk62GKSW%2BKZIkz6jGpTx3rnhref%2FwBnA%2BlcHFkk50lvIjzwFkLgU9Mz97kiYuSyWmEHmaJLVfEX0h%2FttwrfZsZAr2aO8d90bbj8uovh4GP0uHU2yndGWtSiOsm60Ogkuwb2nmWlkj7FwktgjRfsDXo4JRd07nQ5%2BFpe3lpTKWk9Mk6OpdBqMA8yYBE1GCCCXcjab%2Fdu3lXP3d%2Fl4PeNLgBUyFG2doMf%2BmHt%2BBFXzujYuDfD%2FzPamwN0SN977Sg6SQ0EzJfU8Ph%2BBdr8jl0R3h73m%2BtsBMwUOeKIx%2FlU8ZDn585oWPtlDbAMqUWsn%2BnvJynvEt3pIRUnIRvQJf%2FOgtXw7u70vyqB%2BtGmJup6Qk53keyihACvW8CGtynohx4YlgLW30ABS%2Bxb8WzX1%2FDw1hUFxsAgSn%2BLWfoClhsd%2BLA1bQjImS2wgzM00r7hVPa3PaYS07oGhORLSvilBCE6nNHvDH1xJgomRVgCVYFOmAHssN2a7IWBR7A%2BsjhJQ9L2mnhEOhpHOLMo2%2Bf9WX5oKMJvfUk5bS3XQlYmkcospsP%2BKmwPR87vdQfsV%2B3PgWS5hj3no6mb2vCAQvn4oHdrzwEmiLzJKykLGs7NRDrEqsPNo%2FXtpa3cq58OfBLmJIPYw9XqweOflZaBWzgPQo6iZnHFaux5HnsGNIX%2FPH%2BIGr9vSaCdgiJn0BZkh5CAaCZrHlBegG%2BmHeK7P2zytrQaXWNdtII3jfBK%2F0C4onrsjS4Qbm5B1YVuELXM8iS2LRHnGUPT1O37QEgO7A3ub6o0XLiEUTlUvKI%2B1RJHLP3q4h8Q6MPa36bEGOrEBe2Ign%2BSUjQTpTHAS5qNZd715ADcJ5ZFV%2Bb0mufSje54f8ciBI41KXk0Vn%2BuQKsuuNNqlL0UFY1Vwzy5C9gyAxyMn0rzZk%2FRwQ%2FYbzAaQcFqqwNO1%2FjoCE2bRL%2FdDKX%2FeMcFP4q0VzYjzlmWkLP19lwK%2BHGP6eOc8oVo0UmHCqMV4ev277Pw%2FgTPD1rWJeAAWuyCFJaJhbsdqr22p4k%2FdXnQR5w9n7YXMfNWw2Cz%2FEFMB&amp;X-Amz-Algorithm=AWS4-HMAC-SHA256&amp;X-Amz-Date=20240507T171323Z&amp;X-Amz-SignedHeaders=host&amp;X-Amz-Expires=300&amp;X-Amz-Credential=ASIAQ3PHCVTYWWJFC3A6%2F20240507%2Fus-east-1%2Fs3%2Faws4_request&amp;X-Amz-Signature=7ab1a971d630db00bb69ac5c7300dfc9f88de37948af63e61e9bceb735d56249&amp;hash=2d3e8f195ea978f3a0a04e04aafc08890dbf79c1089c534a011850a9bb0b255e&amp;host=68042c943591013ac2b2430a89b270f6af2c76d8dfd086a07176afe7c76c2c61&amp;pii=S0263786302001126&amp;tid=spdf-5d73f105-99ed-4d43-89e3-606030fe5130&amp;sid=e09101b856ebd64fae8853" TargetMode="External"/><Relationship Id="rId10" Type="http://schemas.openxmlformats.org/officeDocument/2006/relationships/hyperlink" Target="https://hwb.gov.wales/gwerthuso-gwella-ac-atebolrwydd/canllawiau-gwella-ysgolion-fframwaith-ar-gyfer-gwerthuso-gwella-ac-atebolrwydd/" TargetMode="External"/><Relationship Id="rId4" Type="http://schemas.openxmlformats.org/officeDocument/2006/relationships/hyperlink" Target="https://www.tandfonline.com/doi/epdf/10.1080/13632430050128354?needAccess=true" TargetMode="External"/><Relationship Id="rId9" Type="http://schemas.openxmlformats.org/officeDocument/2006/relationships/hyperlink" Target="https://core.ac.uk/download/pdf/9589067.pdf" TargetMode="External"/><Relationship Id="rId14" Type="http://schemas.openxmlformats.org/officeDocument/2006/relationships/hyperlink" Target="https://repository.stcloudstate.edu/cgi/viewcontent.cgi?article=1103&amp;context=engl_et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480</TotalTime>
  <Pages>7</Pages>
  <Words>3716</Words>
  <Characters>21186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Mared Jones</dc:creator>
  <cp:keywords/>
  <dc:description/>
  <cp:lastModifiedBy>Mared Jones</cp:lastModifiedBy>
  <cp:revision>233</cp:revision>
  <dcterms:created xsi:type="dcterms:W3CDTF">2024-05-07T12:05:00Z</dcterms:created>
  <dcterms:modified xsi:type="dcterms:W3CDTF">2024-05-07T20:10:00Z</dcterms:modified>
</cp:coreProperties>
</file>