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A7A54" w:rsidRDefault="00000000">
      <w:pPr>
        <w:rPr>
          <w:b/>
          <w:sz w:val="40"/>
          <w:szCs w:val="40"/>
          <w:highlight w:val="white"/>
          <w:u w:val="single"/>
        </w:rPr>
      </w:pPr>
      <w:r>
        <w:rPr>
          <w:b/>
          <w:sz w:val="40"/>
          <w:szCs w:val="40"/>
          <w:highlight w:val="white"/>
          <w:u w:val="single"/>
        </w:rPr>
        <w:t>INFORMATION SHEET</w:t>
      </w:r>
    </w:p>
    <w:p w14:paraId="00000002" w14:textId="77777777" w:rsidR="006A7A54" w:rsidRDefault="006A7A54">
      <w:pPr>
        <w:rPr>
          <w:b/>
          <w:highlight w:val="white"/>
        </w:rPr>
      </w:pPr>
    </w:p>
    <w:p w14:paraId="00000003" w14:textId="77777777" w:rsidR="006A7A54" w:rsidRDefault="006A7A54">
      <w:pPr>
        <w:rPr>
          <w:b/>
          <w:highlight w:val="white"/>
        </w:rPr>
      </w:pPr>
    </w:p>
    <w:p w14:paraId="00000004" w14:textId="77777777" w:rsidR="006A7A54" w:rsidRDefault="00000000">
      <w:pPr>
        <w:rPr>
          <w:b/>
          <w:highlight w:val="white"/>
        </w:rPr>
      </w:pPr>
      <w:r>
        <w:rPr>
          <w:b/>
          <w:highlight w:val="white"/>
        </w:rPr>
        <w:t xml:space="preserve">AC 1.1 </w:t>
      </w:r>
    </w:p>
    <w:p w14:paraId="00000005" w14:textId="77777777" w:rsidR="006A7A54" w:rsidRDefault="006A7A54">
      <w:pPr>
        <w:rPr>
          <w:color w:val="374151"/>
          <w:highlight w:val="white"/>
        </w:rPr>
      </w:pPr>
    </w:p>
    <w:p w14:paraId="00000006" w14:textId="77777777" w:rsidR="006A7A54" w:rsidRDefault="00000000">
      <w:pPr>
        <w:spacing w:line="240" w:lineRule="auto"/>
        <w:rPr>
          <w:highlight w:val="white"/>
        </w:rPr>
      </w:pPr>
      <w:r>
        <w:rPr>
          <w:highlight w:val="white"/>
        </w:rPr>
        <w:t xml:space="preserve">The world goes through consistent social, economic, demographic and other key impact changes. As the pace of change escalates, it's imperative for organisations to comprehend their external environment, demonstrating agility and flexibility to respond as noted by Waite et al. (2021, p. 5). </w:t>
      </w:r>
    </w:p>
    <w:p w14:paraId="00000007" w14:textId="77777777" w:rsidR="006A7A54" w:rsidRDefault="006A7A54">
      <w:pPr>
        <w:spacing w:line="240" w:lineRule="auto"/>
        <w:rPr>
          <w:highlight w:val="white"/>
        </w:rPr>
      </w:pPr>
    </w:p>
    <w:p w14:paraId="00000008" w14:textId="77777777" w:rsidR="006A7A54" w:rsidRDefault="00000000">
      <w:pPr>
        <w:spacing w:line="240" w:lineRule="auto"/>
        <w:rPr>
          <w:highlight w:val="white"/>
        </w:rPr>
      </w:pPr>
      <w:r>
        <w:rPr>
          <w:highlight w:val="white"/>
        </w:rPr>
        <w:t xml:space="preserve">Analysis tools such as SWOT and STEEPLE are used to understand the factors facing Hywel Dda, using a PESTLE analysis (Political, Sociological, Technological, Law and Economical factors), there are factors Hywel Dda needs to comprehend, for example, environmentally, the health board operates across 30% of Wales which includes the highest proportion of the elderly, equating to a higher demand for community nurses, doctor appointments and pressures on the four hospital bases. </w:t>
      </w:r>
    </w:p>
    <w:p w14:paraId="00000009" w14:textId="77777777" w:rsidR="006A7A54" w:rsidRDefault="006A7A54">
      <w:pPr>
        <w:spacing w:line="240" w:lineRule="auto"/>
        <w:rPr>
          <w:highlight w:val="white"/>
        </w:rPr>
      </w:pPr>
    </w:p>
    <w:p w14:paraId="0000000A" w14:textId="77777777" w:rsidR="006A7A54" w:rsidRDefault="00000000">
      <w:pPr>
        <w:spacing w:line="240" w:lineRule="auto"/>
        <w:rPr>
          <w:highlight w:val="white"/>
        </w:rPr>
      </w:pPr>
      <w:r>
        <w:rPr>
          <w:highlight w:val="white"/>
        </w:rPr>
        <w:t xml:space="preserve">Economically there are restraints due to the Senedd controlling the budget, NHS Wales is currently £850 million in overspend, therefore the economic pressures are impacting on new role vacancies, paid training and agency spend, all affecting progression. </w:t>
      </w:r>
    </w:p>
    <w:p w14:paraId="0000000B" w14:textId="77777777" w:rsidR="006A7A54" w:rsidRDefault="006A7A54">
      <w:pPr>
        <w:spacing w:line="240" w:lineRule="auto"/>
        <w:rPr>
          <w:highlight w:val="white"/>
        </w:rPr>
      </w:pPr>
    </w:p>
    <w:p w14:paraId="0000000C" w14:textId="77777777" w:rsidR="006A7A54" w:rsidRDefault="00000000">
      <w:pPr>
        <w:spacing w:line="240" w:lineRule="auto"/>
        <w:rPr>
          <w:highlight w:val="white"/>
        </w:rPr>
      </w:pPr>
      <w:r>
        <w:rPr>
          <w:highlight w:val="white"/>
        </w:rPr>
        <w:t xml:space="preserve">Sociologically, Hywel Dda struggles with the reliance on agency staff to boost the workforce. The main catalysts for agency workers is the desire for a healthy work life balance and they`re paid significantly more than contracted Hywel Dda staff members. </w:t>
      </w:r>
    </w:p>
    <w:p w14:paraId="0000000D" w14:textId="77777777" w:rsidR="006A7A54" w:rsidRDefault="006A7A54">
      <w:pPr>
        <w:spacing w:line="240" w:lineRule="auto"/>
        <w:rPr>
          <w:highlight w:val="white"/>
        </w:rPr>
      </w:pPr>
    </w:p>
    <w:p w14:paraId="0000000E" w14:textId="77777777" w:rsidR="006A7A54" w:rsidRDefault="006A7A54">
      <w:pPr>
        <w:spacing w:line="240" w:lineRule="auto"/>
        <w:rPr>
          <w:highlight w:val="white"/>
        </w:rPr>
      </w:pPr>
    </w:p>
    <w:p w14:paraId="0000000F" w14:textId="77777777" w:rsidR="006A7A54" w:rsidRDefault="006A7A54">
      <w:pPr>
        <w:spacing w:line="240" w:lineRule="auto"/>
        <w:rPr>
          <w:highlight w:val="white"/>
        </w:rPr>
      </w:pPr>
    </w:p>
    <w:p w14:paraId="00000010" w14:textId="77777777" w:rsidR="006A7A54" w:rsidRDefault="006A7A54">
      <w:pPr>
        <w:spacing w:line="240" w:lineRule="auto"/>
        <w:rPr>
          <w:highlight w:val="white"/>
        </w:rPr>
      </w:pPr>
    </w:p>
    <w:p w14:paraId="00000011" w14:textId="77777777" w:rsidR="006A7A54" w:rsidRDefault="006A7A54">
      <w:pPr>
        <w:spacing w:line="240" w:lineRule="auto"/>
        <w:rPr>
          <w:highlight w:val="white"/>
        </w:rPr>
      </w:pPr>
    </w:p>
    <w:p w14:paraId="00000012" w14:textId="77777777" w:rsidR="006A7A54" w:rsidRDefault="006A7A54">
      <w:pPr>
        <w:spacing w:line="240" w:lineRule="auto"/>
        <w:rPr>
          <w:highlight w:val="white"/>
        </w:rPr>
      </w:pPr>
    </w:p>
    <w:p w14:paraId="00000013" w14:textId="77777777" w:rsidR="006A7A54" w:rsidRDefault="006A7A54">
      <w:pPr>
        <w:spacing w:line="240" w:lineRule="auto"/>
        <w:rPr>
          <w:highlight w:val="white"/>
        </w:rPr>
      </w:pPr>
    </w:p>
    <w:p w14:paraId="00000014" w14:textId="77777777" w:rsidR="006A7A54" w:rsidRDefault="006A7A54">
      <w:pPr>
        <w:spacing w:line="240" w:lineRule="auto"/>
        <w:rPr>
          <w:highlight w:val="white"/>
        </w:rPr>
      </w:pPr>
    </w:p>
    <w:p w14:paraId="00000015" w14:textId="77777777" w:rsidR="006A7A54" w:rsidRDefault="006A7A54">
      <w:pPr>
        <w:spacing w:line="240" w:lineRule="auto"/>
        <w:rPr>
          <w:highlight w:val="white"/>
        </w:rPr>
      </w:pPr>
    </w:p>
    <w:p w14:paraId="00000016" w14:textId="77777777" w:rsidR="006A7A54" w:rsidRDefault="006A7A54">
      <w:pPr>
        <w:spacing w:line="240" w:lineRule="auto"/>
        <w:rPr>
          <w:highlight w:val="white"/>
        </w:rPr>
      </w:pPr>
    </w:p>
    <w:p w14:paraId="00000017" w14:textId="77777777" w:rsidR="006A7A54" w:rsidRDefault="006A7A54">
      <w:pPr>
        <w:spacing w:line="240" w:lineRule="auto"/>
        <w:rPr>
          <w:highlight w:val="white"/>
        </w:rPr>
      </w:pPr>
    </w:p>
    <w:p w14:paraId="00000018" w14:textId="77777777" w:rsidR="006A7A54" w:rsidRDefault="006A7A54">
      <w:pPr>
        <w:spacing w:line="240" w:lineRule="auto"/>
        <w:rPr>
          <w:highlight w:val="white"/>
        </w:rPr>
      </w:pPr>
    </w:p>
    <w:p w14:paraId="00000019" w14:textId="77777777" w:rsidR="006A7A54" w:rsidRDefault="006A7A54">
      <w:pPr>
        <w:spacing w:line="240" w:lineRule="auto"/>
        <w:rPr>
          <w:highlight w:val="white"/>
        </w:rPr>
      </w:pPr>
    </w:p>
    <w:p w14:paraId="0000001A" w14:textId="77777777" w:rsidR="006A7A54" w:rsidRDefault="006A7A54">
      <w:pPr>
        <w:spacing w:line="240" w:lineRule="auto"/>
        <w:rPr>
          <w:highlight w:val="white"/>
        </w:rPr>
      </w:pPr>
    </w:p>
    <w:p w14:paraId="0000001B" w14:textId="77777777" w:rsidR="006A7A54" w:rsidRDefault="006A7A54">
      <w:pPr>
        <w:spacing w:line="240" w:lineRule="auto"/>
        <w:rPr>
          <w:highlight w:val="white"/>
        </w:rPr>
      </w:pPr>
    </w:p>
    <w:p w14:paraId="0000001C" w14:textId="77777777" w:rsidR="006A7A54" w:rsidRDefault="006A7A54">
      <w:pPr>
        <w:spacing w:line="240" w:lineRule="auto"/>
        <w:rPr>
          <w:highlight w:val="white"/>
        </w:rPr>
      </w:pPr>
    </w:p>
    <w:p w14:paraId="0000001D" w14:textId="77777777" w:rsidR="006A7A54" w:rsidRDefault="006A7A54">
      <w:pPr>
        <w:spacing w:line="240" w:lineRule="auto"/>
        <w:rPr>
          <w:highlight w:val="white"/>
        </w:rPr>
      </w:pPr>
    </w:p>
    <w:p w14:paraId="0000001E" w14:textId="77777777" w:rsidR="006A7A54" w:rsidRDefault="006A7A54">
      <w:pPr>
        <w:spacing w:line="240" w:lineRule="auto"/>
        <w:rPr>
          <w:highlight w:val="white"/>
        </w:rPr>
      </w:pPr>
    </w:p>
    <w:p w14:paraId="0000001F" w14:textId="77777777" w:rsidR="006A7A54" w:rsidRDefault="006A7A54">
      <w:pPr>
        <w:spacing w:line="240" w:lineRule="auto"/>
        <w:rPr>
          <w:highlight w:val="white"/>
        </w:rPr>
      </w:pPr>
    </w:p>
    <w:p w14:paraId="00000020" w14:textId="77777777" w:rsidR="006A7A54" w:rsidRDefault="006A7A54">
      <w:pPr>
        <w:spacing w:line="240" w:lineRule="auto"/>
        <w:rPr>
          <w:highlight w:val="white"/>
        </w:rPr>
      </w:pPr>
    </w:p>
    <w:p w14:paraId="00000021" w14:textId="77777777" w:rsidR="006A7A54" w:rsidRDefault="006A7A54">
      <w:pPr>
        <w:spacing w:line="240" w:lineRule="auto"/>
        <w:rPr>
          <w:highlight w:val="white"/>
        </w:rPr>
      </w:pPr>
    </w:p>
    <w:p w14:paraId="00000022" w14:textId="77777777" w:rsidR="006A7A54" w:rsidRDefault="006A7A54">
      <w:pPr>
        <w:spacing w:line="240" w:lineRule="auto"/>
        <w:rPr>
          <w:highlight w:val="white"/>
        </w:rPr>
      </w:pPr>
    </w:p>
    <w:p w14:paraId="00000023" w14:textId="77777777" w:rsidR="006A7A54" w:rsidRDefault="006A7A54">
      <w:pPr>
        <w:spacing w:line="240" w:lineRule="auto"/>
        <w:rPr>
          <w:highlight w:val="white"/>
        </w:rPr>
      </w:pPr>
    </w:p>
    <w:p w14:paraId="00000024" w14:textId="77777777" w:rsidR="006A7A54" w:rsidRDefault="006A7A54">
      <w:pPr>
        <w:spacing w:line="240" w:lineRule="auto"/>
        <w:rPr>
          <w:highlight w:val="white"/>
        </w:rPr>
      </w:pPr>
    </w:p>
    <w:p w14:paraId="00000025" w14:textId="77777777" w:rsidR="006A7A54" w:rsidRDefault="006A7A54">
      <w:pPr>
        <w:spacing w:line="240" w:lineRule="auto"/>
        <w:rPr>
          <w:highlight w:val="white"/>
        </w:rPr>
      </w:pPr>
    </w:p>
    <w:p w14:paraId="00000026" w14:textId="77777777" w:rsidR="006A7A54" w:rsidRDefault="00000000">
      <w:pPr>
        <w:spacing w:line="240" w:lineRule="auto"/>
        <w:rPr>
          <w:b/>
          <w:highlight w:val="white"/>
        </w:rPr>
      </w:pPr>
      <w:r>
        <w:rPr>
          <w:b/>
          <w:highlight w:val="white"/>
        </w:rPr>
        <w:t xml:space="preserve">AC 1.2  </w:t>
      </w:r>
    </w:p>
    <w:p w14:paraId="00000027" w14:textId="77777777" w:rsidR="006A7A54" w:rsidRDefault="006A7A54">
      <w:pPr>
        <w:spacing w:line="240" w:lineRule="auto"/>
        <w:rPr>
          <w:b/>
          <w:highlight w:val="white"/>
        </w:rPr>
      </w:pPr>
    </w:p>
    <w:p w14:paraId="00000028" w14:textId="77777777" w:rsidR="006A7A54" w:rsidRDefault="00000000">
      <w:pPr>
        <w:spacing w:line="240" w:lineRule="auto"/>
        <w:rPr>
          <w:highlight w:val="white"/>
        </w:rPr>
      </w:pPr>
      <w:r>
        <w:rPr>
          <w:highlight w:val="white"/>
        </w:rPr>
        <w:t xml:space="preserve">Hywel </w:t>
      </w:r>
      <w:proofErr w:type="spellStart"/>
      <w:r>
        <w:rPr>
          <w:highlight w:val="white"/>
        </w:rPr>
        <w:t>Dda`s</w:t>
      </w:r>
      <w:proofErr w:type="spellEnd"/>
      <w:r>
        <w:rPr>
          <w:highlight w:val="white"/>
        </w:rPr>
        <w:t xml:space="preserve"> organisation structure is headed by a board who direct the activities of our service. The principal role of the board is to add value by setting up Hywel </w:t>
      </w:r>
      <w:proofErr w:type="spellStart"/>
      <w:r>
        <w:rPr>
          <w:highlight w:val="white"/>
        </w:rPr>
        <w:t>Dda`s</w:t>
      </w:r>
      <w:proofErr w:type="spellEnd"/>
      <w:r>
        <w:rPr>
          <w:highlight w:val="white"/>
        </w:rPr>
        <w:t xml:space="preserve"> strategic direction, establishing our governance and accountability framework, and ensuring the delivery of our aims and objectives through effective change. </w:t>
      </w:r>
    </w:p>
    <w:p w14:paraId="00000029" w14:textId="77777777" w:rsidR="006A7A54" w:rsidRDefault="006A7A54">
      <w:pPr>
        <w:spacing w:line="240" w:lineRule="auto"/>
        <w:rPr>
          <w:highlight w:val="white"/>
        </w:rPr>
      </w:pPr>
    </w:p>
    <w:p w14:paraId="0000002A" w14:textId="77777777" w:rsidR="006A7A54" w:rsidRDefault="00000000">
      <w:pPr>
        <w:spacing w:line="240" w:lineRule="auto"/>
        <w:rPr>
          <w:highlight w:val="white"/>
        </w:rPr>
      </w:pPr>
      <w:r>
        <w:rPr>
          <w:highlight w:val="white"/>
        </w:rPr>
        <w:t xml:space="preserve">Hywel Dda is a public sector organisation, provided and funded by the government and therefore planning is crucial to support the lives of 300,000 people. Waite et al (2021) states that it is essential for all organisations to plan and that organisations who do not plan, risk not progressing or worse possibly regressing. </w:t>
      </w:r>
    </w:p>
    <w:p w14:paraId="0000002B" w14:textId="77777777" w:rsidR="006A7A54" w:rsidRDefault="006A7A54">
      <w:pPr>
        <w:spacing w:line="240" w:lineRule="auto"/>
        <w:rPr>
          <w:highlight w:val="white"/>
        </w:rPr>
      </w:pPr>
    </w:p>
    <w:p w14:paraId="0000002C" w14:textId="77777777" w:rsidR="006A7A54" w:rsidRDefault="00000000">
      <w:pPr>
        <w:spacing w:line="240" w:lineRule="auto"/>
        <w:rPr>
          <w:highlight w:val="white"/>
        </w:rPr>
      </w:pPr>
      <w:r>
        <w:rPr>
          <w:highlight w:val="white"/>
        </w:rPr>
        <w:t>In 2019, Hywel Dda introduced a comprehensive 20-year plan known as the “Commitment to the people of Mid and West Wales.” (Hywel Dda, 2019). This visionary initiative adopts a phased approach, outlining key objectives aimed at enhancing health and well-being. These goals include:</w:t>
      </w:r>
    </w:p>
    <w:p w14:paraId="0000002D" w14:textId="77777777" w:rsidR="006A7A54" w:rsidRDefault="00000000">
      <w:pPr>
        <w:numPr>
          <w:ilvl w:val="0"/>
          <w:numId w:val="1"/>
        </w:numPr>
        <w:spacing w:line="240" w:lineRule="auto"/>
        <w:rPr>
          <w:highlight w:val="white"/>
        </w:rPr>
      </w:pPr>
      <w:r>
        <w:rPr>
          <w:highlight w:val="white"/>
        </w:rPr>
        <w:t xml:space="preserve">Fostering a holistic wellness approach for both the public and our dedicated staff. </w:t>
      </w:r>
    </w:p>
    <w:p w14:paraId="0000002E" w14:textId="77777777" w:rsidR="006A7A54" w:rsidRDefault="00000000">
      <w:pPr>
        <w:numPr>
          <w:ilvl w:val="0"/>
          <w:numId w:val="1"/>
        </w:numPr>
        <w:spacing w:line="240" w:lineRule="auto"/>
        <w:rPr>
          <w:highlight w:val="white"/>
        </w:rPr>
      </w:pPr>
      <w:r>
        <w:rPr>
          <w:highlight w:val="white"/>
        </w:rPr>
        <w:t xml:space="preserve">Prioritising safety and quality in all aspects of healthcare. </w:t>
      </w:r>
    </w:p>
    <w:p w14:paraId="0000002F" w14:textId="77777777" w:rsidR="006A7A54" w:rsidRDefault="00000000">
      <w:pPr>
        <w:numPr>
          <w:ilvl w:val="0"/>
          <w:numId w:val="1"/>
        </w:numPr>
        <w:spacing w:line="240" w:lineRule="auto"/>
        <w:rPr>
          <w:highlight w:val="white"/>
        </w:rPr>
      </w:pPr>
      <w:r>
        <w:rPr>
          <w:highlight w:val="white"/>
        </w:rPr>
        <w:t xml:space="preserve">Empowering individuals to lead independent lives. </w:t>
      </w:r>
    </w:p>
    <w:p w14:paraId="00000030" w14:textId="77777777" w:rsidR="006A7A54" w:rsidRDefault="00000000">
      <w:pPr>
        <w:numPr>
          <w:ilvl w:val="0"/>
          <w:numId w:val="1"/>
        </w:numPr>
        <w:spacing w:line="240" w:lineRule="auto"/>
        <w:rPr>
          <w:highlight w:val="white"/>
        </w:rPr>
      </w:pPr>
      <w:r>
        <w:rPr>
          <w:highlight w:val="white"/>
        </w:rPr>
        <w:t xml:space="preserve">Actively listening to the voices and needs of our diverse population. </w:t>
      </w:r>
    </w:p>
    <w:p w14:paraId="00000031" w14:textId="77777777" w:rsidR="006A7A54" w:rsidRDefault="00000000">
      <w:pPr>
        <w:numPr>
          <w:ilvl w:val="0"/>
          <w:numId w:val="1"/>
        </w:numPr>
        <w:spacing w:line="240" w:lineRule="auto"/>
        <w:rPr>
          <w:highlight w:val="white"/>
        </w:rPr>
      </w:pPr>
      <w:r>
        <w:rPr>
          <w:highlight w:val="white"/>
        </w:rPr>
        <w:t xml:space="preserve">Continuously engaging with individuals and local communities to personalise and tailor health and care services to meet their unique preferences and requirements. </w:t>
      </w:r>
    </w:p>
    <w:p w14:paraId="00000032" w14:textId="77777777" w:rsidR="006A7A54" w:rsidRDefault="00000000">
      <w:pPr>
        <w:numPr>
          <w:ilvl w:val="0"/>
          <w:numId w:val="1"/>
        </w:numPr>
        <w:spacing w:line="240" w:lineRule="auto"/>
        <w:rPr>
          <w:highlight w:val="white"/>
        </w:rPr>
      </w:pPr>
      <w:r>
        <w:rPr>
          <w:highlight w:val="white"/>
        </w:rPr>
        <w:t xml:space="preserve">Collaborating with a wide range of partners to deliver efficient and more valuable health and care services. </w:t>
      </w:r>
    </w:p>
    <w:p w14:paraId="00000033" w14:textId="77777777" w:rsidR="006A7A54" w:rsidRDefault="00000000">
      <w:pPr>
        <w:numPr>
          <w:ilvl w:val="0"/>
          <w:numId w:val="1"/>
        </w:numPr>
        <w:spacing w:line="240" w:lineRule="auto"/>
        <w:rPr>
          <w:highlight w:val="white"/>
        </w:rPr>
      </w:pPr>
      <w:r>
        <w:rPr>
          <w:highlight w:val="white"/>
        </w:rPr>
        <w:t xml:space="preserve">Leveraging research, knowledge and information, in conjunction with our partners, to design evidence based health and care services with a people-centric focus. </w:t>
      </w:r>
    </w:p>
    <w:p w14:paraId="00000034" w14:textId="77777777" w:rsidR="006A7A54" w:rsidRDefault="00000000">
      <w:pPr>
        <w:numPr>
          <w:ilvl w:val="0"/>
          <w:numId w:val="1"/>
        </w:numPr>
        <w:spacing w:line="240" w:lineRule="auto"/>
        <w:rPr>
          <w:highlight w:val="white"/>
        </w:rPr>
      </w:pPr>
      <w:r>
        <w:rPr>
          <w:highlight w:val="white"/>
        </w:rPr>
        <w:t xml:space="preserve">Working in partnership to expand and disseminate best practices in the provision of top-tier health and care services at local, regional, and national levels. </w:t>
      </w:r>
    </w:p>
    <w:p w14:paraId="00000035" w14:textId="77777777" w:rsidR="006A7A54" w:rsidRDefault="00000000">
      <w:pPr>
        <w:numPr>
          <w:ilvl w:val="0"/>
          <w:numId w:val="1"/>
        </w:numPr>
        <w:spacing w:line="240" w:lineRule="auto"/>
        <w:rPr>
          <w:highlight w:val="white"/>
        </w:rPr>
      </w:pPr>
      <w:r>
        <w:rPr>
          <w:highlight w:val="white"/>
        </w:rPr>
        <w:t xml:space="preserve">Engaging in collaborative efforts to discover innovative approaches for delivering </w:t>
      </w:r>
      <w:proofErr w:type="spellStart"/>
      <w:r>
        <w:rPr>
          <w:highlight w:val="white"/>
        </w:rPr>
        <w:t>saf</w:t>
      </w:r>
      <w:proofErr w:type="spellEnd"/>
      <w:r>
        <w:rPr>
          <w:highlight w:val="white"/>
        </w:rPr>
        <w:t xml:space="preserve">, sustainable, accessible and compassionate services.  </w:t>
      </w:r>
    </w:p>
    <w:p w14:paraId="00000036" w14:textId="77777777" w:rsidR="006A7A54" w:rsidRDefault="006A7A54">
      <w:pPr>
        <w:spacing w:line="240" w:lineRule="auto"/>
        <w:rPr>
          <w:highlight w:val="white"/>
        </w:rPr>
      </w:pPr>
    </w:p>
    <w:p w14:paraId="00000037" w14:textId="77777777" w:rsidR="006A7A54" w:rsidRDefault="00000000">
      <w:pPr>
        <w:spacing w:line="240" w:lineRule="auto"/>
        <w:rPr>
          <w:highlight w:val="white"/>
        </w:rPr>
      </w:pPr>
      <w:r>
        <w:rPr>
          <w:highlight w:val="white"/>
        </w:rPr>
        <w:t xml:space="preserve">Hywel Dda is in year one of a short 3 year vision strategy  "A Healthier Mid and West Wales". Hywel Dda is clear on its destination and has proposed strategic and planning objectives, these relate to both our people and services. Hywel </w:t>
      </w:r>
      <w:proofErr w:type="spellStart"/>
      <w:r>
        <w:rPr>
          <w:highlight w:val="white"/>
        </w:rPr>
        <w:t>Dda's</w:t>
      </w:r>
      <w:proofErr w:type="spellEnd"/>
      <w:r>
        <w:rPr>
          <w:highlight w:val="white"/>
        </w:rPr>
        <w:t xml:space="preserve"> main aim is to put people at the heart of everything we do and secondly, working together to be the best we can be. (Hywel Dda University Health Board Three Year Plan 2022/25).</w:t>
      </w:r>
    </w:p>
    <w:p w14:paraId="00000038" w14:textId="77777777" w:rsidR="006A7A54" w:rsidRDefault="006A7A54">
      <w:pPr>
        <w:spacing w:line="240" w:lineRule="auto"/>
        <w:rPr>
          <w:highlight w:val="white"/>
        </w:rPr>
      </w:pPr>
    </w:p>
    <w:p w14:paraId="00000039" w14:textId="77777777" w:rsidR="006A7A54" w:rsidRDefault="00000000">
      <w:pPr>
        <w:spacing w:line="240" w:lineRule="auto"/>
        <w:rPr>
          <w:highlight w:val="white"/>
        </w:rPr>
      </w:pPr>
      <w:proofErr w:type="spellStart"/>
      <w:r>
        <w:rPr>
          <w:highlight w:val="white"/>
        </w:rPr>
        <w:t>Molander</w:t>
      </w:r>
      <w:proofErr w:type="spellEnd"/>
      <w:r>
        <w:rPr>
          <w:highlight w:val="white"/>
        </w:rPr>
        <w:t xml:space="preserve"> and Winterton in 1994, noted that employment climate varies in each organisation, including levels of energy, individual freedom and a diverse array of people. </w:t>
      </w:r>
    </w:p>
    <w:p w14:paraId="0000003A" w14:textId="77777777" w:rsidR="006A7A54" w:rsidRDefault="006A7A54">
      <w:pPr>
        <w:spacing w:line="240" w:lineRule="auto"/>
        <w:rPr>
          <w:highlight w:val="white"/>
        </w:rPr>
      </w:pPr>
    </w:p>
    <w:p w14:paraId="0000003B" w14:textId="77777777" w:rsidR="006A7A54" w:rsidRDefault="00000000">
      <w:pPr>
        <w:spacing w:line="240" w:lineRule="auto"/>
        <w:rPr>
          <w:highlight w:val="white"/>
        </w:rPr>
      </w:pPr>
      <w:r>
        <w:rPr>
          <w:highlight w:val="white"/>
        </w:rPr>
        <w:t xml:space="preserve">When planning goals, it is crucial to understand the context to the plan. Hywel Dda needed to understand national priorities, sustainability of our services and the population, including key demographics. For example, by 2025, we will have a population of circa 390,000 people. We have a higher population of older people than average across Wales, 22% is made up of children and young people with nearly a third living in poverty. </w:t>
      </w:r>
    </w:p>
    <w:p w14:paraId="0000003C" w14:textId="77777777" w:rsidR="006A7A54" w:rsidRDefault="006A7A54">
      <w:pPr>
        <w:spacing w:line="240" w:lineRule="auto"/>
        <w:rPr>
          <w:highlight w:val="white"/>
        </w:rPr>
      </w:pPr>
    </w:p>
    <w:p w14:paraId="0000003D" w14:textId="77777777" w:rsidR="006A7A54" w:rsidRDefault="006A7A54">
      <w:pPr>
        <w:spacing w:line="240" w:lineRule="auto"/>
        <w:rPr>
          <w:highlight w:val="white"/>
        </w:rPr>
      </w:pPr>
    </w:p>
    <w:p w14:paraId="0000003E" w14:textId="77777777" w:rsidR="006A7A54" w:rsidRDefault="006A7A54">
      <w:pPr>
        <w:spacing w:line="240" w:lineRule="auto"/>
        <w:rPr>
          <w:highlight w:val="white"/>
        </w:rPr>
      </w:pPr>
    </w:p>
    <w:p w14:paraId="0000003F" w14:textId="77777777" w:rsidR="006A7A54" w:rsidRDefault="006A7A54">
      <w:pPr>
        <w:spacing w:line="240" w:lineRule="auto"/>
        <w:rPr>
          <w:highlight w:val="white"/>
        </w:rPr>
      </w:pPr>
    </w:p>
    <w:p w14:paraId="00000040" w14:textId="77777777" w:rsidR="006A7A54" w:rsidRDefault="006A7A54">
      <w:pPr>
        <w:spacing w:line="240" w:lineRule="auto"/>
        <w:rPr>
          <w:highlight w:val="white"/>
        </w:rPr>
      </w:pPr>
    </w:p>
    <w:p w14:paraId="00000041" w14:textId="77777777" w:rsidR="006A7A54" w:rsidRDefault="006A7A54">
      <w:pPr>
        <w:spacing w:line="240" w:lineRule="auto"/>
        <w:rPr>
          <w:highlight w:val="white"/>
        </w:rPr>
      </w:pPr>
    </w:p>
    <w:p w14:paraId="00000042" w14:textId="77777777" w:rsidR="006A7A54" w:rsidRDefault="006A7A54">
      <w:pPr>
        <w:spacing w:line="240" w:lineRule="auto"/>
        <w:rPr>
          <w:highlight w:val="white"/>
        </w:rPr>
      </w:pPr>
    </w:p>
    <w:p w14:paraId="00000043" w14:textId="77777777" w:rsidR="006A7A54" w:rsidRDefault="00000000">
      <w:pPr>
        <w:spacing w:line="240" w:lineRule="auto"/>
        <w:rPr>
          <w:b/>
          <w:highlight w:val="white"/>
        </w:rPr>
      </w:pPr>
      <w:r>
        <w:rPr>
          <w:b/>
          <w:highlight w:val="white"/>
        </w:rPr>
        <w:t xml:space="preserve">AC 1.3 </w:t>
      </w:r>
    </w:p>
    <w:p w14:paraId="00000044" w14:textId="77777777" w:rsidR="006A7A54" w:rsidRDefault="006A7A54">
      <w:pPr>
        <w:spacing w:line="240" w:lineRule="auto"/>
        <w:rPr>
          <w:highlight w:val="white"/>
        </w:rPr>
      </w:pPr>
    </w:p>
    <w:p w14:paraId="00000045" w14:textId="77777777" w:rsidR="006A7A54" w:rsidRDefault="00000000">
      <w:pPr>
        <w:spacing w:line="240" w:lineRule="auto"/>
        <w:rPr>
          <w:highlight w:val="white"/>
        </w:rPr>
      </w:pPr>
      <w:r>
        <w:rPr>
          <w:highlight w:val="white"/>
        </w:rPr>
        <w:t xml:space="preserve">Hywel Dda operates from four main hospitals, Bronglais General, Glangwili General, Prince Philip and Withybush; Five community hospitals: Amman Valley, Llandovery, </w:t>
      </w:r>
      <w:proofErr w:type="spellStart"/>
      <w:r>
        <w:rPr>
          <w:highlight w:val="white"/>
        </w:rPr>
        <w:t>Tregaron</w:t>
      </w:r>
      <w:proofErr w:type="spellEnd"/>
      <w:r>
        <w:rPr>
          <w:highlight w:val="white"/>
        </w:rPr>
        <w:t>, Tenby and South Pembrokeshire Hospital Health and Social Care Resource Centre; Two integrated care centres, Aberaeron and Cardigan; 48 general practices, 40 dental practices, 97 community pharmacies; 45 general ophthalmic practices, Domiciliary only providers and health centres; Numerous locations providing mental health and learning disabilities services, plus highly services commissioned by Welsh Health Specialised Services Committee. (Hywel Dda).</w:t>
      </w:r>
    </w:p>
    <w:p w14:paraId="00000046" w14:textId="77777777" w:rsidR="006A7A54" w:rsidRDefault="006A7A54">
      <w:pPr>
        <w:spacing w:line="240" w:lineRule="auto"/>
        <w:rPr>
          <w:highlight w:val="white"/>
        </w:rPr>
      </w:pPr>
    </w:p>
    <w:p w14:paraId="00000047" w14:textId="77777777" w:rsidR="006A7A54" w:rsidRDefault="00000000">
      <w:pPr>
        <w:spacing w:line="240" w:lineRule="auto"/>
        <w:rPr>
          <w:highlight w:val="white"/>
        </w:rPr>
      </w:pPr>
      <w:r>
        <w:rPr>
          <w:highlight w:val="white"/>
        </w:rPr>
        <w:t>Hywel Dda covers a population of 385,500 people throughout Carmarthenshire, Ceredigion and Pembrokeshire. In the three counties, there is a large amount of research into the customer needs and requirements, including the average age of people is increasing steadily, therefore an ageing population adds extra pressures for the health board and its services.</w:t>
      </w:r>
    </w:p>
    <w:p w14:paraId="00000048" w14:textId="77777777" w:rsidR="006A7A54" w:rsidRDefault="006A7A54">
      <w:pPr>
        <w:spacing w:line="240" w:lineRule="auto"/>
        <w:rPr>
          <w:highlight w:val="white"/>
        </w:rPr>
      </w:pPr>
    </w:p>
    <w:p w14:paraId="00000049" w14:textId="77777777" w:rsidR="006A7A54" w:rsidRDefault="00000000">
      <w:pPr>
        <w:spacing w:line="240" w:lineRule="auto"/>
        <w:rPr>
          <w:highlight w:val="white"/>
        </w:rPr>
      </w:pPr>
      <w:r>
        <w:rPr>
          <w:highlight w:val="white"/>
        </w:rPr>
        <w:t>Almost one in five adults in the three counties smoke, two in every three people in our area do not eat enough vegetables and about three in five people are classed as overweight or obese. Almost a third of the population in our area is inactive and 16.2% are reported as being lonely. All of Hywel Dda services create a huge amount of social value.</w:t>
      </w:r>
    </w:p>
    <w:p w14:paraId="0000004A" w14:textId="77777777" w:rsidR="006A7A54" w:rsidRDefault="006A7A54">
      <w:pPr>
        <w:spacing w:line="240" w:lineRule="auto"/>
        <w:rPr>
          <w:highlight w:val="white"/>
        </w:rPr>
      </w:pPr>
    </w:p>
    <w:p w14:paraId="0000004B" w14:textId="77777777" w:rsidR="006A7A54" w:rsidRDefault="00000000">
      <w:pPr>
        <w:spacing w:line="240" w:lineRule="auto"/>
        <w:rPr>
          <w:highlight w:val="white"/>
        </w:rPr>
      </w:pPr>
      <w:r>
        <w:rPr>
          <w:rFonts w:ascii="Roboto" w:eastAsia="Roboto" w:hAnsi="Roboto" w:cs="Roboto"/>
          <w:highlight w:val="white"/>
        </w:rPr>
        <w:t>In the three counties, nearly 20% of adults are smokers, and a significant two-thirds of our residents do not consume an adequate quantity of vegetables. Additionally, roughly three out of every five individuals are categorised as overweight or obese. Alarmingly, nearly one-third of the local population leads an inactive lifestyle, and approximately 16.2% report experiencing feelings of loneliness. It is essential to underscore that all services provided by Hywel Dda contribute significantly to the creation of substantial social value.</w:t>
      </w:r>
    </w:p>
    <w:p w14:paraId="0000004C" w14:textId="77777777" w:rsidR="006A7A54" w:rsidRDefault="006A7A54">
      <w:pPr>
        <w:spacing w:line="240" w:lineRule="auto"/>
        <w:rPr>
          <w:highlight w:val="white"/>
        </w:rPr>
      </w:pPr>
    </w:p>
    <w:p w14:paraId="0000004D" w14:textId="77777777" w:rsidR="006A7A54" w:rsidRDefault="00000000">
      <w:pPr>
        <w:spacing w:line="240" w:lineRule="auto"/>
        <w:rPr>
          <w:highlight w:val="white"/>
        </w:rPr>
      </w:pPr>
      <w:r>
        <w:rPr>
          <w:highlight w:val="white"/>
        </w:rPr>
        <w:t xml:space="preserve">There are primary differences between features and benefits. A feature is an essential function or component of a good or service. A benefit refers to how a product's features make a consumer's life easier as explained in a 2023 Indeed publication. </w:t>
      </w:r>
    </w:p>
    <w:p w14:paraId="0000004E" w14:textId="77777777" w:rsidR="006A7A54" w:rsidRDefault="006A7A54">
      <w:pPr>
        <w:spacing w:line="240" w:lineRule="auto"/>
        <w:rPr>
          <w:highlight w:val="white"/>
        </w:rPr>
      </w:pPr>
    </w:p>
    <w:p w14:paraId="0000004F" w14:textId="77777777" w:rsidR="006A7A54" w:rsidRDefault="006A7A54">
      <w:pPr>
        <w:spacing w:line="240" w:lineRule="auto"/>
        <w:rPr>
          <w:highlight w:val="white"/>
        </w:rPr>
      </w:pPr>
    </w:p>
    <w:p w14:paraId="00000050" w14:textId="77777777" w:rsidR="006A7A54" w:rsidRDefault="006A7A54">
      <w:pPr>
        <w:spacing w:line="240" w:lineRule="auto"/>
        <w:rPr>
          <w:highlight w:val="white"/>
        </w:rPr>
      </w:pPr>
    </w:p>
    <w:p w14:paraId="00000051" w14:textId="77777777" w:rsidR="006A7A54" w:rsidRDefault="006A7A54">
      <w:pPr>
        <w:spacing w:line="240" w:lineRule="auto"/>
        <w:rPr>
          <w:highlight w:val="white"/>
        </w:rPr>
      </w:pPr>
    </w:p>
    <w:p w14:paraId="00000052" w14:textId="77777777" w:rsidR="006A7A54" w:rsidRDefault="006A7A54">
      <w:pPr>
        <w:spacing w:line="240" w:lineRule="auto"/>
        <w:rPr>
          <w:highlight w:val="white"/>
        </w:rPr>
      </w:pPr>
    </w:p>
    <w:p w14:paraId="00000053" w14:textId="77777777" w:rsidR="006A7A54" w:rsidRDefault="006A7A54">
      <w:pPr>
        <w:spacing w:line="240" w:lineRule="auto"/>
        <w:rPr>
          <w:highlight w:val="white"/>
        </w:rPr>
      </w:pPr>
    </w:p>
    <w:p w14:paraId="00000054" w14:textId="77777777" w:rsidR="006A7A54" w:rsidRDefault="006A7A54">
      <w:pPr>
        <w:spacing w:line="240" w:lineRule="auto"/>
        <w:rPr>
          <w:highlight w:val="white"/>
        </w:rPr>
      </w:pPr>
    </w:p>
    <w:p w14:paraId="00000055" w14:textId="77777777" w:rsidR="006A7A54" w:rsidRDefault="006A7A54">
      <w:pPr>
        <w:spacing w:line="240" w:lineRule="auto"/>
        <w:rPr>
          <w:highlight w:val="white"/>
        </w:rPr>
      </w:pPr>
    </w:p>
    <w:p w14:paraId="00000056" w14:textId="77777777" w:rsidR="006A7A54" w:rsidRDefault="006A7A54">
      <w:pPr>
        <w:spacing w:line="240" w:lineRule="auto"/>
        <w:rPr>
          <w:highlight w:val="white"/>
        </w:rPr>
      </w:pPr>
    </w:p>
    <w:p w14:paraId="00000057" w14:textId="77777777" w:rsidR="006A7A54" w:rsidRDefault="006A7A54">
      <w:pPr>
        <w:spacing w:line="240" w:lineRule="auto"/>
        <w:rPr>
          <w:highlight w:val="white"/>
        </w:rPr>
      </w:pPr>
    </w:p>
    <w:p w14:paraId="00000058" w14:textId="77777777" w:rsidR="006A7A54" w:rsidRDefault="006A7A54">
      <w:pPr>
        <w:spacing w:line="240" w:lineRule="auto"/>
        <w:rPr>
          <w:highlight w:val="white"/>
        </w:rPr>
      </w:pPr>
    </w:p>
    <w:p w14:paraId="00000059" w14:textId="77777777" w:rsidR="006A7A54" w:rsidRDefault="006A7A54">
      <w:pPr>
        <w:spacing w:line="240" w:lineRule="auto"/>
        <w:rPr>
          <w:highlight w:val="white"/>
        </w:rPr>
      </w:pPr>
    </w:p>
    <w:p w14:paraId="0000005A" w14:textId="77777777" w:rsidR="006A7A54" w:rsidRDefault="006A7A54">
      <w:pPr>
        <w:spacing w:line="240" w:lineRule="auto"/>
        <w:rPr>
          <w:highlight w:val="white"/>
        </w:rPr>
      </w:pPr>
    </w:p>
    <w:p w14:paraId="0000005B" w14:textId="77777777" w:rsidR="006A7A54" w:rsidRDefault="006A7A54">
      <w:pPr>
        <w:spacing w:line="240" w:lineRule="auto"/>
        <w:rPr>
          <w:highlight w:val="white"/>
        </w:rPr>
      </w:pPr>
    </w:p>
    <w:p w14:paraId="0000005C" w14:textId="77777777" w:rsidR="006A7A54" w:rsidRDefault="006A7A54">
      <w:pPr>
        <w:spacing w:line="240" w:lineRule="auto"/>
        <w:rPr>
          <w:highlight w:val="white"/>
        </w:rPr>
      </w:pPr>
    </w:p>
    <w:p w14:paraId="0000005D" w14:textId="77777777" w:rsidR="006A7A54" w:rsidRDefault="006A7A54">
      <w:pPr>
        <w:spacing w:line="240" w:lineRule="auto"/>
        <w:rPr>
          <w:highlight w:val="white"/>
        </w:rPr>
      </w:pPr>
    </w:p>
    <w:p w14:paraId="0000005E" w14:textId="77777777" w:rsidR="006A7A54" w:rsidRDefault="006A7A54">
      <w:pPr>
        <w:spacing w:line="240" w:lineRule="auto"/>
        <w:rPr>
          <w:highlight w:val="white"/>
        </w:rPr>
      </w:pPr>
    </w:p>
    <w:p w14:paraId="0000005F" w14:textId="77777777" w:rsidR="006A7A54" w:rsidRDefault="006A7A54">
      <w:pPr>
        <w:spacing w:line="240" w:lineRule="auto"/>
        <w:rPr>
          <w:highlight w:val="white"/>
        </w:rPr>
      </w:pPr>
    </w:p>
    <w:p w14:paraId="00000060" w14:textId="77777777" w:rsidR="006A7A54" w:rsidRDefault="006A7A54">
      <w:pPr>
        <w:spacing w:line="240" w:lineRule="auto"/>
        <w:rPr>
          <w:highlight w:val="white"/>
        </w:rPr>
      </w:pPr>
    </w:p>
    <w:p w14:paraId="00000061" w14:textId="77777777" w:rsidR="006A7A54" w:rsidRDefault="00000000">
      <w:pPr>
        <w:spacing w:line="240" w:lineRule="auto"/>
        <w:rPr>
          <w:highlight w:val="white"/>
        </w:rPr>
      </w:pPr>
      <w:r>
        <w:rPr>
          <w:b/>
          <w:highlight w:val="white"/>
        </w:rPr>
        <w:t xml:space="preserve">AC 1.4 </w:t>
      </w:r>
    </w:p>
    <w:p w14:paraId="00000062" w14:textId="77777777" w:rsidR="006A7A54" w:rsidRDefault="006A7A54">
      <w:pPr>
        <w:spacing w:line="240" w:lineRule="auto"/>
        <w:rPr>
          <w:highlight w:val="white"/>
        </w:rPr>
      </w:pPr>
    </w:p>
    <w:p w14:paraId="00000063" w14:textId="77777777" w:rsidR="006A7A54" w:rsidRDefault="00000000">
      <w:pPr>
        <w:spacing w:line="240" w:lineRule="auto"/>
        <w:rPr>
          <w:highlight w:val="white"/>
        </w:rPr>
      </w:pPr>
      <w:r>
        <w:rPr>
          <w:highlight w:val="white"/>
        </w:rPr>
        <w:t xml:space="preserve">Technology continues to advance, so the work environment undergoes continuous significant transformation, such as the physical workplace, organisational structures, customer relationships, communication patterns, security and informal social interactions as noted by. Mullins </w:t>
      </w:r>
      <w:r>
        <w:rPr>
          <w:sz w:val="23"/>
          <w:szCs w:val="23"/>
          <w:highlight w:val="white"/>
        </w:rPr>
        <w:t>(2019, p. 79).</w:t>
      </w:r>
    </w:p>
    <w:p w14:paraId="00000064" w14:textId="77777777" w:rsidR="006A7A54" w:rsidRDefault="006A7A54">
      <w:pPr>
        <w:spacing w:line="240" w:lineRule="auto"/>
        <w:rPr>
          <w:highlight w:val="white"/>
        </w:rPr>
      </w:pPr>
    </w:p>
    <w:p w14:paraId="00000065" w14:textId="77777777" w:rsidR="006A7A54" w:rsidRDefault="00000000">
      <w:pPr>
        <w:spacing w:line="240" w:lineRule="auto"/>
        <w:rPr>
          <w:highlight w:val="white"/>
        </w:rPr>
      </w:pPr>
      <w:r>
        <w:rPr>
          <w:highlight w:val="white"/>
        </w:rPr>
        <w:t>We must be aware how to utilise advancements in technology to improve working practices and collaboration. Understanding the impact of technology on the workforce is a central concern in the modern people profession. People professionals assume critical roles in grasping human consequences of adopting different technologies, as supported in CIPD. (2020) Workplace technology: the employee experience. London: Chartered Institute of Personnel and Development.</w:t>
      </w:r>
    </w:p>
    <w:p w14:paraId="00000066" w14:textId="77777777" w:rsidR="006A7A54" w:rsidRDefault="006A7A54">
      <w:pPr>
        <w:spacing w:line="240" w:lineRule="auto"/>
        <w:rPr>
          <w:highlight w:val="white"/>
        </w:rPr>
      </w:pPr>
    </w:p>
    <w:p w14:paraId="00000067" w14:textId="77777777" w:rsidR="006A7A54" w:rsidRDefault="00000000">
      <w:pPr>
        <w:spacing w:line="240" w:lineRule="auto"/>
        <w:rPr>
          <w:highlight w:val="white"/>
        </w:rPr>
      </w:pPr>
      <w:r>
        <w:rPr>
          <w:highlight w:val="white"/>
        </w:rPr>
        <w:t xml:space="preserve">Technology makes communication to staff and consumers fast and easily accessible. Smartphones make relaying information to target audiences simple. Smartphones allow workforces to be more productive and connected. Electronic forms record consumer information with accuracy. Emails circulate information on mass. The </w:t>
      </w:r>
      <w:proofErr w:type="spellStart"/>
      <w:r>
        <w:rPr>
          <w:highlight w:val="white"/>
        </w:rPr>
        <w:t>Wifi</w:t>
      </w:r>
      <w:proofErr w:type="spellEnd"/>
      <w:r>
        <w:rPr>
          <w:highlight w:val="white"/>
        </w:rPr>
        <w:t xml:space="preserve"> and internet allows employees to exchange information and provide crucial information at a click of a button. </w:t>
      </w:r>
    </w:p>
    <w:p w14:paraId="00000068" w14:textId="77777777" w:rsidR="006A7A54" w:rsidRDefault="006A7A54">
      <w:pPr>
        <w:spacing w:line="240" w:lineRule="auto"/>
        <w:rPr>
          <w:highlight w:val="white"/>
        </w:rPr>
      </w:pPr>
    </w:p>
    <w:p w14:paraId="00000069" w14:textId="77777777" w:rsidR="006A7A54" w:rsidRDefault="00000000">
      <w:pPr>
        <w:spacing w:line="240" w:lineRule="auto"/>
        <w:rPr>
          <w:highlight w:val="white"/>
        </w:rPr>
      </w:pPr>
      <w:r>
        <w:rPr>
          <w:highlight w:val="white"/>
        </w:rPr>
        <w:t xml:space="preserve">Social media has become more popular over the last decade, social media is used professionally by more people (increasing by 10%). People also state they separate professional and personal social media usage, up 26% as reported by CIPD. (2020) Workplace technology: the employee experience. London: Chartered Institute of Personnel and Development. </w:t>
      </w:r>
    </w:p>
    <w:p w14:paraId="0000006A" w14:textId="77777777" w:rsidR="006A7A54" w:rsidRDefault="006A7A54">
      <w:pPr>
        <w:spacing w:line="240" w:lineRule="auto"/>
        <w:rPr>
          <w:highlight w:val="white"/>
        </w:rPr>
      </w:pPr>
    </w:p>
    <w:p w14:paraId="0000006B" w14:textId="77777777" w:rsidR="006A7A54" w:rsidRDefault="00000000">
      <w:pPr>
        <w:spacing w:line="240" w:lineRule="auto"/>
        <w:rPr>
          <w:highlight w:val="white"/>
        </w:rPr>
      </w:pPr>
      <w:r>
        <w:rPr>
          <w:highlight w:val="white"/>
        </w:rPr>
        <w:t xml:space="preserve">As experts in people management, people professionals have a leading role to play in increasing job quality by designing strategies that make it improve. Individual work experiences should be taken into account with the implementation of new technologies. CIPD. (2020) Workplace technology notes the report note to address the potential risks that undermine job quality. </w:t>
      </w:r>
    </w:p>
    <w:p w14:paraId="0000006C" w14:textId="77777777" w:rsidR="006A7A54" w:rsidRDefault="006A7A54">
      <w:pPr>
        <w:spacing w:line="240" w:lineRule="auto"/>
        <w:rPr>
          <w:highlight w:val="white"/>
        </w:rPr>
      </w:pPr>
    </w:p>
    <w:p w14:paraId="0000006D" w14:textId="77777777" w:rsidR="006A7A54" w:rsidRDefault="00000000">
      <w:pPr>
        <w:spacing w:line="240" w:lineRule="auto"/>
        <w:rPr>
          <w:highlight w:val="white"/>
        </w:rPr>
      </w:pPr>
      <w:r>
        <w:rPr>
          <w:highlight w:val="white"/>
        </w:rPr>
        <w:t>Technology can improve working practices by speeding processes and eliminating `human error`. However it can affect humans in the workplace by taking roles and making human involvement redundant, for example, bank tellers with the introduction of online banking and contactless card payments.</w:t>
      </w:r>
    </w:p>
    <w:p w14:paraId="0000006E" w14:textId="77777777" w:rsidR="006A7A54" w:rsidRDefault="006A7A54">
      <w:pPr>
        <w:spacing w:line="240" w:lineRule="auto"/>
        <w:rPr>
          <w:highlight w:val="white"/>
        </w:rPr>
      </w:pPr>
    </w:p>
    <w:p w14:paraId="0000006F" w14:textId="77777777" w:rsidR="006A7A54" w:rsidRDefault="00000000">
      <w:pPr>
        <w:spacing w:line="240" w:lineRule="auto"/>
        <w:rPr>
          <w:highlight w:val="white"/>
        </w:rPr>
      </w:pPr>
      <w:r>
        <w:rPr>
          <w:highlight w:val="white"/>
        </w:rPr>
        <w:t>Chatbots and email customer services have significantly improved consumer experience. Technology advancements have given the opportunity for threats in security hostilities to rise, however the development of digital technology means a sophisticated development of security systems to detect and deter threats instantly.</w:t>
      </w:r>
    </w:p>
    <w:p w14:paraId="00000070" w14:textId="77777777" w:rsidR="006A7A54" w:rsidRDefault="006A7A54">
      <w:pPr>
        <w:spacing w:line="240" w:lineRule="auto"/>
        <w:rPr>
          <w:highlight w:val="white"/>
        </w:rPr>
      </w:pPr>
    </w:p>
    <w:p w14:paraId="00000071" w14:textId="77777777" w:rsidR="006A7A54" w:rsidRDefault="006A7A54">
      <w:pPr>
        <w:spacing w:line="240" w:lineRule="auto"/>
        <w:rPr>
          <w:highlight w:val="white"/>
        </w:rPr>
      </w:pPr>
    </w:p>
    <w:p w14:paraId="00000072" w14:textId="77777777" w:rsidR="006A7A54" w:rsidRDefault="006A7A54">
      <w:pPr>
        <w:spacing w:line="240" w:lineRule="auto"/>
        <w:rPr>
          <w:highlight w:val="white"/>
        </w:rPr>
      </w:pPr>
    </w:p>
    <w:p w14:paraId="00000073" w14:textId="77777777" w:rsidR="006A7A54" w:rsidRDefault="006A7A54">
      <w:pPr>
        <w:spacing w:line="240" w:lineRule="auto"/>
        <w:rPr>
          <w:highlight w:val="white"/>
        </w:rPr>
      </w:pPr>
    </w:p>
    <w:p w14:paraId="00000074" w14:textId="77777777" w:rsidR="006A7A54" w:rsidRDefault="006A7A54">
      <w:pPr>
        <w:spacing w:line="240" w:lineRule="auto"/>
        <w:rPr>
          <w:highlight w:val="white"/>
        </w:rPr>
      </w:pPr>
    </w:p>
    <w:p w14:paraId="00000075" w14:textId="77777777" w:rsidR="006A7A54" w:rsidRDefault="006A7A54">
      <w:pPr>
        <w:spacing w:line="240" w:lineRule="auto"/>
        <w:rPr>
          <w:highlight w:val="white"/>
        </w:rPr>
      </w:pPr>
    </w:p>
    <w:p w14:paraId="00000076" w14:textId="77777777" w:rsidR="006A7A54" w:rsidRDefault="006A7A54">
      <w:pPr>
        <w:spacing w:line="240" w:lineRule="auto"/>
        <w:rPr>
          <w:highlight w:val="white"/>
        </w:rPr>
      </w:pPr>
    </w:p>
    <w:p w14:paraId="00000077" w14:textId="77777777" w:rsidR="006A7A54" w:rsidRDefault="006A7A54">
      <w:pPr>
        <w:spacing w:line="240" w:lineRule="auto"/>
        <w:rPr>
          <w:highlight w:val="white"/>
        </w:rPr>
      </w:pPr>
    </w:p>
    <w:p w14:paraId="00000078" w14:textId="77777777" w:rsidR="006A7A54" w:rsidRDefault="006A7A54">
      <w:pPr>
        <w:spacing w:line="240" w:lineRule="auto"/>
        <w:rPr>
          <w:highlight w:val="white"/>
        </w:rPr>
      </w:pPr>
    </w:p>
    <w:p w14:paraId="00000079" w14:textId="77777777" w:rsidR="006A7A54" w:rsidRDefault="006A7A54">
      <w:pPr>
        <w:spacing w:line="240" w:lineRule="auto"/>
        <w:rPr>
          <w:highlight w:val="white"/>
        </w:rPr>
      </w:pPr>
    </w:p>
    <w:p w14:paraId="0000007A" w14:textId="77777777" w:rsidR="006A7A54" w:rsidRDefault="00000000">
      <w:pPr>
        <w:spacing w:line="240" w:lineRule="auto"/>
        <w:rPr>
          <w:b/>
          <w:highlight w:val="white"/>
        </w:rPr>
      </w:pPr>
      <w:r>
        <w:rPr>
          <w:b/>
          <w:highlight w:val="white"/>
        </w:rPr>
        <w:t>AC 2.1</w:t>
      </w:r>
    </w:p>
    <w:p w14:paraId="0000007B" w14:textId="77777777" w:rsidR="006A7A54" w:rsidRDefault="006A7A54">
      <w:pPr>
        <w:spacing w:line="240" w:lineRule="auto"/>
        <w:rPr>
          <w:highlight w:val="white"/>
        </w:rPr>
      </w:pPr>
    </w:p>
    <w:p w14:paraId="0000007C" w14:textId="77777777" w:rsidR="006A7A54" w:rsidRDefault="006A7A54">
      <w:pPr>
        <w:spacing w:line="240" w:lineRule="auto"/>
        <w:rPr>
          <w:highlight w:val="white"/>
        </w:rPr>
      </w:pPr>
    </w:p>
    <w:p w14:paraId="0000007D" w14:textId="77777777" w:rsidR="006A7A54" w:rsidRDefault="00000000">
      <w:pPr>
        <w:spacing w:line="240" w:lineRule="auto"/>
        <w:rPr>
          <w:rFonts w:ascii="Roboto" w:eastAsia="Roboto" w:hAnsi="Roboto" w:cs="Roboto"/>
          <w:highlight w:val="white"/>
        </w:rPr>
      </w:pPr>
      <w:r>
        <w:rPr>
          <w:highlight w:val="white"/>
        </w:rPr>
        <w:t>According to Fincham and Rhodes (2005) organisational culture is defined as the collection of beliefs, values, and norms that embody the unique character of organisations and provides context for its actions, cited by Waite et al. (2021, p. 27).</w:t>
      </w:r>
    </w:p>
    <w:p w14:paraId="0000007E" w14:textId="77777777" w:rsidR="006A7A54" w:rsidRDefault="006A7A54">
      <w:pPr>
        <w:spacing w:line="240" w:lineRule="auto"/>
        <w:rPr>
          <w:rFonts w:ascii="Roboto" w:eastAsia="Roboto" w:hAnsi="Roboto" w:cs="Roboto"/>
          <w:highlight w:val="white"/>
        </w:rPr>
      </w:pPr>
    </w:p>
    <w:p w14:paraId="0000007F" w14:textId="77777777" w:rsidR="006A7A54" w:rsidRDefault="00000000">
      <w:pPr>
        <w:spacing w:line="240" w:lineRule="auto"/>
        <w:rPr>
          <w:rFonts w:ascii="Roboto" w:eastAsia="Roboto" w:hAnsi="Roboto" w:cs="Roboto"/>
          <w:highlight w:val="white"/>
        </w:rPr>
      </w:pPr>
      <w:r>
        <w:rPr>
          <w:rFonts w:ascii="Roboto" w:eastAsia="Roboto" w:hAnsi="Roboto" w:cs="Roboto"/>
          <w:highlight w:val="white"/>
        </w:rPr>
        <w:t xml:space="preserve">Various types of organisational culture exist, Ruth Brooks (2022) competing values framework outlined four culture classifications: adhocracy, clan, hierarchy and market. </w:t>
      </w:r>
    </w:p>
    <w:p w14:paraId="00000080" w14:textId="77777777" w:rsidR="006A7A54" w:rsidRDefault="006A7A54">
      <w:pPr>
        <w:spacing w:line="240" w:lineRule="auto"/>
        <w:rPr>
          <w:rFonts w:ascii="Roboto" w:eastAsia="Roboto" w:hAnsi="Roboto" w:cs="Roboto"/>
          <w:highlight w:val="white"/>
        </w:rPr>
      </w:pPr>
    </w:p>
    <w:p w14:paraId="00000081" w14:textId="77777777" w:rsidR="006A7A54" w:rsidRDefault="00000000">
      <w:pPr>
        <w:spacing w:line="240" w:lineRule="auto"/>
        <w:rPr>
          <w:highlight w:val="white"/>
        </w:rPr>
      </w:pPr>
      <w:r>
        <w:rPr>
          <w:highlight w:val="white"/>
        </w:rPr>
        <w:t xml:space="preserve">To create a positive workplace culture, there must be diversity in culture, inclusion is not an option it's a necessity. As people professionals it's crucial to create an environment where all staff can blossom. It's important to understand bias when looking at creating a diverse workplace, particularly unconscious bias of peoples race, religion and people's uniqueness and address these head on. </w:t>
      </w:r>
    </w:p>
    <w:p w14:paraId="00000082" w14:textId="77777777" w:rsidR="006A7A54" w:rsidRDefault="006A7A54">
      <w:pPr>
        <w:spacing w:line="240" w:lineRule="auto"/>
        <w:rPr>
          <w:highlight w:val="white"/>
        </w:rPr>
      </w:pPr>
    </w:p>
    <w:p w14:paraId="00000083" w14:textId="77777777" w:rsidR="006A7A54" w:rsidRDefault="00000000">
      <w:pPr>
        <w:spacing w:line="240" w:lineRule="auto"/>
        <w:rPr>
          <w:highlight w:val="white"/>
        </w:rPr>
      </w:pPr>
      <w:r>
        <w:rPr>
          <w:highlight w:val="white"/>
        </w:rPr>
        <w:t>Peter Drucker said of the impact of culture, that “culture eats strategy for breakfast”, organisations will not deliver against their strategy and meet objectives without a healthy corporate culture, as emphasised in CIPD`s 2023 organisation structure discussion, the CIPD examined organisation culture and found a positive culture empowers employees, giving them a voice to drive business towards a shared purpose. Conversely a negative culture creates a toxic environment in which voices are unheard, and staff are critically undervalued.</w:t>
      </w:r>
    </w:p>
    <w:p w14:paraId="00000084" w14:textId="77777777" w:rsidR="006A7A54" w:rsidRDefault="006A7A54">
      <w:pPr>
        <w:spacing w:line="240" w:lineRule="auto"/>
        <w:rPr>
          <w:highlight w:val="white"/>
        </w:rPr>
      </w:pPr>
    </w:p>
    <w:p w14:paraId="00000085" w14:textId="77777777" w:rsidR="006A7A54" w:rsidRDefault="00000000">
      <w:pPr>
        <w:spacing w:line="240" w:lineRule="auto"/>
        <w:rPr>
          <w:highlight w:val="white"/>
        </w:rPr>
      </w:pPr>
      <w:r>
        <w:rPr>
          <w:highlight w:val="white"/>
        </w:rPr>
        <w:t xml:space="preserve">Holistic organisations acknowledge the interrelation of various organisational aspects and adopt a wide view of whole organisations. These perspectives consider elements such as processes, practices, systems, culture, leadership and how they interplay in delivering products and services cited by Waite et al. (2021, p. 33). </w:t>
      </w:r>
    </w:p>
    <w:p w14:paraId="00000086" w14:textId="77777777" w:rsidR="006A7A54" w:rsidRDefault="006A7A54">
      <w:pPr>
        <w:spacing w:line="240" w:lineRule="auto"/>
        <w:rPr>
          <w:highlight w:val="white"/>
        </w:rPr>
      </w:pPr>
    </w:p>
    <w:p w14:paraId="00000087" w14:textId="77777777" w:rsidR="006A7A54" w:rsidRDefault="00000000">
      <w:pPr>
        <w:spacing w:line="240" w:lineRule="auto"/>
        <w:rPr>
          <w:highlight w:val="white"/>
        </w:rPr>
      </w:pPr>
      <w:r>
        <w:rPr>
          <w:highlight w:val="white"/>
        </w:rPr>
        <w:t xml:space="preserve">People professionals assume a highly significant role when facilitating an effective organisational culture, in this capacity, they may be gatekeepers, liaisons, change catalysts, expert witnesses, consultants, observers from the </w:t>
      </w:r>
      <w:proofErr w:type="spellStart"/>
      <w:r>
        <w:rPr>
          <w:highlight w:val="white"/>
        </w:rPr>
        <w:t>sidelines</w:t>
      </w:r>
      <w:proofErr w:type="spellEnd"/>
      <w:r>
        <w:rPr>
          <w:highlight w:val="white"/>
        </w:rPr>
        <w:t xml:space="preserve"> and communications as highlighted by Waite et al. (2021, p. 30). </w:t>
      </w:r>
    </w:p>
    <w:p w14:paraId="00000088" w14:textId="77777777" w:rsidR="006A7A54" w:rsidRDefault="006A7A54">
      <w:pPr>
        <w:spacing w:line="240" w:lineRule="auto"/>
        <w:rPr>
          <w:highlight w:val="white"/>
        </w:rPr>
      </w:pPr>
    </w:p>
    <w:p w14:paraId="00000089" w14:textId="77777777" w:rsidR="006A7A54" w:rsidRDefault="00000000">
      <w:pPr>
        <w:spacing w:line="240" w:lineRule="auto"/>
        <w:rPr>
          <w:highlight w:val="white"/>
        </w:rPr>
      </w:pPr>
      <w:r>
        <w:rPr>
          <w:highlight w:val="white"/>
        </w:rPr>
        <w:t>Charles Handy suggests that all organisation cultures comprises four different subcultures (Handy. 1993), but it is likely that one will dominate the others cited by Waite et al. ( 2021, p. 28). Subcultures are groups of people within a culture that identify themselves from the initial culture to which it belongs (Indeed, 2022).</w:t>
      </w:r>
    </w:p>
    <w:p w14:paraId="0000008A" w14:textId="77777777" w:rsidR="006A7A54" w:rsidRDefault="006A7A54">
      <w:pPr>
        <w:spacing w:line="240" w:lineRule="auto"/>
        <w:rPr>
          <w:highlight w:val="white"/>
        </w:rPr>
      </w:pPr>
    </w:p>
    <w:p w14:paraId="0000008B" w14:textId="77777777" w:rsidR="006A7A54" w:rsidRDefault="00000000">
      <w:pPr>
        <w:spacing w:line="240" w:lineRule="auto"/>
        <w:rPr>
          <w:highlight w:val="white"/>
        </w:rPr>
      </w:pPr>
      <w:r>
        <w:rPr>
          <w:highlight w:val="white"/>
        </w:rPr>
        <w:t xml:space="preserve">The four subcultures are 1. Clubs, where authority resides in the hands of one person or a small elite, or 2. Tasks`, where teams are formed to resolve problems and disband on completion of objectives. 3, Roles, the hierarchy takes precedence, staff adhere to their designated jobs whilst following established procedures. 4. Existential subcultures, focus shifts to individual needs and override the organisation's own. </w:t>
      </w:r>
    </w:p>
    <w:p w14:paraId="0000008C" w14:textId="77777777" w:rsidR="006A7A54" w:rsidRDefault="006A7A54">
      <w:pPr>
        <w:spacing w:line="240" w:lineRule="auto"/>
        <w:rPr>
          <w:highlight w:val="white"/>
        </w:rPr>
      </w:pPr>
    </w:p>
    <w:p w14:paraId="0000008D" w14:textId="77777777" w:rsidR="006A7A54" w:rsidRDefault="006A7A54">
      <w:pPr>
        <w:spacing w:line="240" w:lineRule="auto"/>
        <w:rPr>
          <w:highlight w:val="white"/>
        </w:rPr>
      </w:pPr>
    </w:p>
    <w:p w14:paraId="0000008E" w14:textId="77777777" w:rsidR="006A7A54" w:rsidRDefault="006A7A54">
      <w:pPr>
        <w:spacing w:line="240" w:lineRule="auto"/>
        <w:rPr>
          <w:highlight w:val="white"/>
        </w:rPr>
      </w:pPr>
    </w:p>
    <w:p w14:paraId="0000008F" w14:textId="77777777" w:rsidR="006A7A54" w:rsidRDefault="006A7A54">
      <w:pPr>
        <w:spacing w:line="240" w:lineRule="auto"/>
        <w:rPr>
          <w:highlight w:val="white"/>
        </w:rPr>
      </w:pPr>
    </w:p>
    <w:p w14:paraId="00000090" w14:textId="77777777" w:rsidR="006A7A54" w:rsidRDefault="006A7A54">
      <w:pPr>
        <w:spacing w:line="240" w:lineRule="auto"/>
        <w:rPr>
          <w:highlight w:val="white"/>
        </w:rPr>
      </w:pPr>
    </w:p>
    <w:p w14:paraId="00000091" w14:textId="77777777" w:rsidR="006A7A54" w:rsidRDefault="006A7A54">
      <w:pPr>
        <w:spacing w:line="240" w:lineRule="auto"/>
        <w:rPr>
          <w:highlight w:val="white"/>
        </w:rPr>
      </w:pPr>
    </w:p>
    <w:p w14:paraId="00000092" w14:textId="77777777" w:rsidR="006A7A54" w:rsidRDefault="006A7A54">
      <w:pPr>
        <w:spacing w:line="240" w:lineRule="auto"/>
        <w:rPr>
          <w:highlight w:val="white"/>
        </w:rPr>
      </w:pPr>
    </w:p>
    <w:p w14:paraId="00000093" w14:textId="77777777" w:rsidR="006A7A54" w:rsidRDefault="006A7A54">
      <w:pPr>
        <w:spacing w:line="240" w:lineRule="auto"/>
        <w:rPr>
          <w:highlight w:val="white"/>
        </w:rPr>
      </w:pPr>
    </w:p>
    <w:p w14:paraId="00000094" w14:textId="77777777" w:rsidR="006A7A54" w:rsidRDefault="00000000">
      <w:pPr>
        <w:spacing w:line="240" w:lineRule="auto"/>
        <w:rPr>
          <w:b/>
          <w:highlight w:val="white"/>
        </w:rPr>
      </w:pPr>
      <w:r>
        <w:rPr>
          <w:b/>
          <w:highlight w:val="white"/>
        </w:rPr>
        <w:t>AC 2.2</w:t>
      </w:r>
    </w:p>
    <w:p w14:paraId="00000095" w14:textId="77777777" w:rsidR="006A7A54" w:rsidRDefault="006A7A54">
      <w:pPr>
        <w:spacing w:line="240" w:lineRule="auto"/>
        <w:rPr>
          <w:highlight w:val="white"/>
        </w:rPr>
      </w:pPr>
    </w:p>
    <w:p w14:paraId="00000096" w14:textId="77777777" w:rsidR="006A7A54" w:rsidRDefault="006A7A54">
      <w:pPr>
        <w:spacing w:line="240" w:lineRule="auto"/>
        <w:rPr>
          <w:highlight w:val="white"/>
        </w:rPr>
      </w:pPr>
    </w:p>
    <w:p w14:paraId="00000097" w14:textId="77777777" w:rsidR="006A7A54" w:rsidRDefault="00000000">
      <w:pPr>
        <w:spacing w:line="240" w:lineRule="auto"/>
        <w:rPr>
          <w:highlight w:val="white"/>
          <w:u w:val="single"/>
        </w:rPr>
      </w:pPr>
      <w:r>
        <w:rPr>
          <w:highlight w:val="white"/>
        </w:rPr>
        <w:t xml:space="preserve">Robert Waterman, Tom Peters and Julian Phillips in 2008 while at the McKinsey Group, developed the McKinsey 7-S model cited by Waite et al. (2021 pp. 33-34). The 7-S model is a frequently used tool for assessing organisations as whole systems. The elements of 7-S include Structure, Systems, Style, Staff, Skills, Strategy and Share Values. When combined, the model creates an effective holistic approach to system analysis. </w:t>
      </w:r>
    </w:p>
    <w:p w14:paraId="00000098" w14:textId="77777777" w:rsidR="006A7A54" w:rsidRDefault="006A7A54">
      <w:pPr>
        <w:spacing w:line="240" w:lineRule="auto"/>
        <w:rPr>
          <w:highlight w:val="white"/>
          <w:u w:val="single"/>
        </w:rPr>
      </w:pPr>
    </w:p>
    <w:p w14:paraId="00000099" w14:textId="77777777" w:rsidR="006A7A54" w:rsidRDefault="00000000">
      <w:pPr>
        <w:spacing w:line="240" w:lineRule="auto"/>
        <w:rPr>
          <w:rFonts w:ascii="Roboto" w:eastAsia="Roboto" w:hAnsi="Roboto" w:cs="Roboto"/>
          <w:highlight w:val="white"/>
        </w:rPr>
      </w:pPr>
      <w:r>
        <w:rPr>
          <w:highlight w:val="white"/>
        </w:rPr>
        <w:t xml:space="preserve">The majority of organisations consist of multiple areas which collectively enable them to function, Hywel Dda for example operates as a whole system with various hospitals, surgeries, cultures, and systems which interrelate and affect each other. </w:t>
      </w:r>
    </w:p>
    <w:p w14:paraId="0000009A" w14:textId="77777777" w:rsidR="006A7A54" w:rsidRDefault="006A7A54">
      <w:pPr>
        <w:spacing w:line="240" w:lineRule="auto"/>
        <w:rPr>
          <w:highlight w:val="white"/>
          <w:u w:val="single"/>
        </w:rPr>
      </w:pPr>
    </w:p>
    <w:p w14:paraId="0000009B" w14:textId="77777777" w:rsidR="006A7A54" w:rsidRDefault="00000000">
      <w:pPr>
        <w:spacing w:line="240" w:lineRule="auto"/>
        <w:rPr>
          <w:highlight w:val="white"/>
        </w:rPr>
      </w:pPr>
      <w:r>
        <w:rPr>
          <w:highlight w:val="white"/>
        </w:rPr>
        <w:t>Hundreds of business organisations were examined by Deal and Kennedy and their research yielded four generic culture types including: the tough-guy, macho culture; the work-hard/play-hard; the bet your company; and the process culture according to Mullins (2019, p. 566).</w:t>
      </w:r>
    </w:p>
    <w:p w14:paraId="0000009C" w14:textId="77777777" w:rsidR="006A7A54" w:rsidRDefault="006A7A54">
      <w:pPr>
        <w:spacing w:line="240" w:lineRule="auto"/>
        <w:rPr>
          <w:highlight w:val="white"/>
        </w:rPr>
      </w:pPr>
    </w:p>
    <w:p w14:paraId="0000009D" w14:textId="77777777" w:rsidR="006A7A54" w:rsidRDefault="00000000">
      <w:pPr>
        <w:spacing w:line="240" w:lineRule="auto"/>
        <w:rPr>
          <w:highlight w:val="white"/>
        </w:rPr>
      </w:pPr>
      <w:r>
        <w:rPr>
          <w:highlight w:val="white"/>
        </w:rPr>
        <w:t xml:space="preserve">Organisations cannot attain peak performance without a well-structured and appropriate structure; thus structure is the defining feature of a work organisation. The structure's main purpose is to allocate work amongst the organisation's members as noted by Mullins (2019, p. 451). </w:t>
      </w:r>
    </w:p>
    <w:p w14:paraId="0000009E" w14:textId="77777777" w:rsidR="006A7A54" w:rsidRDefault="006A7A54">
      <w:pPr>
        <w:spacing w:line="240" w:lineRule="auto"/>
        <w:rPr>
          <w:highlight w:val="white"/>
        </w:rPr>
      </w:pPr>
    </w:p>
    <w:p w14:paraId="0000009F" w14:textId="77777777" w:rsidR="006A7A54" w:rsidRDefault="00000000">
      <w:pPr>
        <w:spacing w:line="240" w:lineRule="auto"/>
        <w:rPr>
          <w:highlight w:val="white"/>
        </w:rPr>
      </w:pPr>
      <w:r>
        <w:rPr>
          <w:highlight w:val="white"/>
        </w:rPr>
        <w:t>Organic systems are a fluid and flexible system of management practices and structure. They are characterised by the adjustment and continual redefinition of tasks, a network structure of control, authority and communication, where superior knowledge may not necessarily align with positional authority according to Mullins (2019, p. 686).</w:t>
      </w:r>
    </w:p>
    <w:p w14:paraId="000000A0" w14:textId="77777777" w:rsidR="006A7A54" w:rsidRDefault="006A7A54">
      <w:pPr>
        <w:spacing w:line="240" w:lineRule="auto"/>
        <w:rPr>
          <w:highlight w:val="white"/>
        </w:rPr>
      </w:pPr>
    </w:p>
    <w:p w14:paraId="000000A1" w14:textId="77777777" w:rsidR="006A7A54" w:rsidRDefault="006A7A54">
      <w:pPr>
        <w:spacing w:line="240" w:lineRule="auto"/>
        <w:rPr>
          <w:highlight w:val="white"/>
        </w:rPr>
      </w:pPr>
    </w:p>
    <w:p w14:paraId="000000A2" w14:textId="77777777" w:rsidR="006A7A54" w:rsidRDefault="006A7A54">
      <w:pPr>
        <w:spacing w:line="240" w:lineRule="auto"/>
        <w:rPr>
          <w:highlight w:val="white"/>
        </w:rPr>
      </w:pPr>
    </w:p>
    <w:p w14:paraId="000000A3" w14:textId="77777777" w:rsidR="006A7A54" w:rsidRDefault="006A7A54">
      <w:pPr>
        <w:spacing w:line="240" w:lineRule="auto"/>
        <w:rPr>
          <w:highlight w:val="white"/>
        </w:rPr>
      </w:pPr>
    </w:p>
    <w:p w14:paraId="000000A4" w14:textId="77777777" w:rsidR="006A7A54" w:rsidRDefault="006A7A54">
      <w:pPr>
        <w:spacing w:line="240" w:lineRule="auto"/>
        <w:rPr>
          <w:highlight w:val="white"/>
        </w:rPr>
      </w:pPr>
    </w:p>
    <w:p w14:paraId="000000A5" w14:textId="77777777" w:rsidR="006A7A54" w:rsidRDefault="006A7A54">
      <w:pPr>
        <w:spacing w:line="240" w:lineRule="auto"/>
        <w:rPr>
          <w:highlight w:val="white"/>
        </w:rPr>
      </w:pPr>
    </w:p>
    <w:p w14:paraId="000000A6" w14:textId="77777777" w:rsidR="006A7A54" w:rsidRDefault="006A7A54">
      <w:pPr>
        <w:spacing w:line="240" w:lineRule="auto"/>
        <w:rPr>
          <w:highlight w:val="white"/>
        </w:rPr>
      </w:pPr>
    </w:p>
    <w:p w14:paraId="000000A7" w14:textId="77777777" w:rsidR="006A7A54" w:rsidRDefault="006A7A54">
      <w:pPr>
        <w:spacing w:line="240" w:lineRule="auto"/>
        <w:rPr>
          <w:highlight w:val="white"/>
        </w:rPr>
      </w:pPr>
    </w:p>
    <w:p w14:paraId="000000A8" w14:textId="77777777" w:rsidR="006A7A54" w:rsidRDefault="006A7A54">
      <w:pPr>
        <w:spacing w:line="240" w:lineRule="auto"/>
        <w:rPr>
          <w:highlight w:val="white"/>
        </w:rPr>
      </w:pPr>
    </w:p>
    <w:p w14:paraId="000000A9" w14:textId="77777777" w:rsidR="006A7A54" w:rsidRDefault="006A7A54">
      <w:pPr>
        <w:spacing w:line="240" w:lineRule="auto"/>
        <w:rPr>
          <w:highlight w:val="white"/>
        </w:rPr>
      </w:pPr>
    </w:p>
    <w:p w14:paraId="000000AA" w14:textId="77777777" w:rsidR="006A7A54" w:rsidRDefault="006A7A54">
      <w:pPr>
        <w:spacing w:line="240" w:lineRule="auto"/>
        <w:rPr>
          <w:highlight w:val="white"/>
        </w:rPr>
      </w:pPr>
    </w:p>
    <w:p w14:paraId="000000AB" w14:textId="77777777" w:rsidR="006A7A54" w:rsidRDefault="006A7A54">
      <w:pPr>
        <w:spacing w:line="240" w:lineRule="auto"/>
        <w:rPr>
          <w:highlight w:val="white"/>
        </w:rPr>
      </w:pPr>
    </w:p>
    <w:p w14:paraId="000000AC" w14:textId="77777777" w:rsidR="006A7A54" w:rsidRDefault="006A7A54">
      <w:pPr>
        <w:spacing w:line="240" w:lineRule="auto"/>
        <w:rPr>
          <w:highlight w:val="white"/>
        </w:rPr>
      </w:pPr>
    </w:p>
    <w:p w14:paraId="000000AD" w14:textId="77777777" w:rsidR="006A7A54" w:rsidRDefault="006A7A54">
      <w:pPr>
        <w:spacing w:line="240" w:lineRule="auto"/>
        <w:rPr>
          <w:highlight w:val="white"/>
        </w:rPr>
      </w:pPr>
    </w:p>
    <w:p w14:paraId="000000AE" w14:textId="77777777" w:rsidR="006A7A54" w:rsidRDefault="006A7A54">
      <w:pPr>
        <w:spacing w:line="240" w:lineRule="auto"/>
        <w:rPr>
          <w:highlight w:val="white"/>
        </w:rPr>
      </w:pPr>
    </w:p>
    <w:p w14:paraId="000000AF" w14:textId="77777777" w:rsidR="006A7A54" w:rsidRDefault="006A7A54">
      <w:pPr>
        <w:spacing w:line="240" w:lineRule="auto"/>
        <w:rPr>
          <w:highlight w:val="white"/>
        </w:rPr>
      </w:pPr>
    </w:p>
    <w:p w14:paraId="000000B0" w14:textId="77777777" w:rsidR="006A7A54" w:rsidRDefault="006A7A54">
      <w:pPr>
        <w:spacing w:line="240" w:lineRule="auto"/>
        <w:rPr>
          <w:highlight w:val="white"/>
        </w:rPr>
      </w:pPr>
    </w:p>
    <w:p w14:paraId="575686FC" w14:textId="77777777" w:rsidR="008C6501" w:rsidRDefault="008C6501">
      <w:pPr>
        <w:spacing w:line="240" w:lineRule="auto"/>
        <w:rPr>
          <w:highlight w:val="white"/>
        </w:rPr>
      </w:pPr>
    </w:p>
    <w:p w14:paraId="000000B6" w14:textId="77777777" w:rsidR="006A7A54" w:rsidRDefault="006A7A54">
      <w:pPr>
        <w:spacing w:line="240" w:lineRule="auto"/>
        <w:rPr>
          <w:highlight w:val="white"/>
        </w:rPr>
      </w:pPr>
    </w:p>
    <w:p w14:paraId="000000B7" w14:textId="77777777" w:rsidR="006A7A54" w:rsidRDefault="006A7A54">
      <w:pPr>
        <w:spacing w:line="240" w:lineRule="auto"/>
        <w:rPr>
          <w:highlight w:val="white"/>
        </w:rPr>
      </w:pPr>
    </w:p>
    <w:p w14:paraId="000000B8" w14:textId="77777777" w:rsidR="006A7A54" w:rsidRDefault="00000000">
      <w:pPr>
        <w:spacing w:line="240" w:lineRule="auto"/>
        <w:rPr>
          <w:highlight w:val="white"/>
          <w:u w:val="single"/>
        </w:rPr>
      </w:pPr>
      <w:r>
        <w:rPr>
          <w:b/>
          <w:highlight w:val="white"/>
        </w:rPr>
        <w:lastRenderedPageBreak/>
        <w:t>AC 3.1</w:t>
      </w:r>
    </w:p>
    <w:p w14:paraId="000000B9" w14:textId="77777777" w:rsidR="006A7A54" w:rsidRDefault="00000000">
      <w:pPr>
        <w:spacing w:before="240" w:after="240" w:line="240" w:lineRule="auto"/>
        <w:rPr>
          <w:highlight w:val="white"/>
        </w:rPr>
      </w:pPr>
      <w:r>
        <w:rPr>
          <w:highlight w:val="white"/>
        </w:rPr>
        <w:t xml:space="preserve">Organisation environments are regularly changing, therefore change management should be adopted. Arnold points out that effectively managing change is a source of competitive advantage, and companies who resist change, suffer. It's only a matter of time before organisations adopt the idea of perceptual change (Mullins Page 588). </w:t>
      </w:r>
    </w:p>
    <w:p w14:paraId="000000BA" w14:textId="77777777" w:rsidR="006A7A54" w:rsidRDefault="00000000">
      <w:pPr>
        <w:spacing w:before="240" w:after="240" w:line="240" w:lineRule="auto"/>
        <w:rPr>
          <w:highlight w:val="white"/>
        </w:rPr>
      </w:pPr>
      <w:r>
        <w:rPr>
          <w:highlight w:val="white"/>
        </w:rPr>
        <w:t xml:space="preserve">We are more likely to manage change effectively if we are aware of its potential consequences. Kindler in 1979, categorised two types of changes, incremental and transformational, noted by Waite et al. ( 2021, p. 37). </w:t>
      </w:r>
    </w:p>
    <w:p w14:paraId="000000BB" w14:textId="77777777" w:rsidR="006A7A54" w:rsidRDefault="00000000">
      <w:pPr>
        <w:spacing w:before="240" w:after="240" w:line="240" w:lineRule="auto"/>
        <w:rPr>
          <w:highlight w:val="white"/>
        </w:rPr>
      </w:pPr>
      <w:r>
        <w:rPr>
          <w:highlight w:val="white"/>
        </w:rPr>
        <w:t xml:space="preserve">Project planning assists in progressing change. Goals of project planning should be stated clearly as they affect all decisions in a project plan cycle. A project planning technique involves Kotter's 8 steps as detailed by Waite et al. (2001, p. 38) for managing major change, they are; </w:t>
      </w:r>
    </w:p>
    <w:p w14:paraId="000000BC" w14:textId="77777777" w:rsidR="006A7A54" w:rsidRDefault="00000000">
      <w:pPr>
        <w:numPr>
          <w:ilvl w:val="0"/>
          <w:numId w:val="2"/>
        </w:numPr>
        <w:spacing w:before="240" w:line="240" w:lineRule="auto"/>
        <w:rPr>
          <w:highlight w:val="white"/>
        </w:rPr>
      </w:pPr>
      <w:r>
        <w:rPr>
          <w:highlight w:val="white"/>
        </w:rPr>
        <w:t>Establish a sense of urgency</w:t>
      </w:r>
    </w:p>
    <w:p w14:paraId="000000BD" w14:textId="77777777" w:rsidR="006A7A54" w:rsidRDefault="00000000">
      <w:pPr>
        <w:numPr>
          <w:ilvl w:val="0"/>
          <w:numId w:val="2"/>
        </w:numPr>
        <w:spacing w:line="240" w:lineRule="auto"/>
        <w:rPr>
          <w:highlight w:val="white"/>
        </w:rPr>
      </w:pPr>
      <w:r>
        <w:rPr>
          <w:highlight w:val="white"/>
        </w:rPr>
        <w:t>Formulate a guiding coalition</w:t>
      </w:r>
    </w:p>
    <w:p w14:paraId="000000BE" w14:textId="77777777" w:rsidR="006A7A54" w:rsidRDefault="00000000">
      <w:pPr>
        <w:numPr>
          <w:ilvl w:val="0"/>
          <w:numId w:val="2"/>
        </w:numPr>
        <w:spacing w:line="240" w:lineRule="auto"/>
        <w:rPr>
          <w:highlight w:val="white"/>
        </w:rPr>
      </w:pPr>
      <w:r>
        <w:rPr>
          <w:highlight w:val="white"/>
        </w:rPr>
        <w:t>Craft a vision and strategy</w:t>
      </w:r>
    </w:p>
    <w:p w14:paraId="000000BF" w14:textId="77777777" w:rsidR="006A7A54" w:rsidRDefault="00000000">
      <w:pPr>
        <w:numPr>
          <w:ilvl w:val="0"/>
          <w:numId w:val="2"/>
        </w:numPr>
        <w:spacing w:line="240" w:lineRule="auto"/>
        <w:rPr>
          <w:highlight w:val="white"/>
        </w:rPr>
      </w:pPr>
      <w:r>
        <w:rPr>
          <w:highlight w:val="white"/>
        </w:rPr>
        <w:t>Communicating the change vision</w:t>
      </w:r>
    </w:p>
    <w:p w14:paraId="000000C0" w14:textId="77777777" w:rsidR="006A7A54" w:rsidRDefault="00000000">
      <w:pPr>
        <w:numPr>
          <w:ilvl w:val="0"/>
          <w:numId w:val="2"/>
        </w:numPr>
        <w:spacing w:line="240" w:lineRule="auto"/>
        <w:rPr>
          <w:highlight w:val="white"/>
        </w:rPr>
      </w:pPr>
      <w:r>
        <w:rPr>
          <w:highlight w:val="white"/>
        </w:rPr>
        <w:t>Empower broad-based action</w:t>
      </w:r>
    </w:p>
    <w:p w14:paraId="000000C1" w14:textId="77777777" w:rsidR="006A7A54" w:rsidRDefault="00000000">
      <w:pPr>
        <w:numPr>
          <w:ilvl w:val="0"/>
          <w:numId w:val="2"/>
        </w:numPr>
        <w:spacing w:line="240" w:lineRule="auto"/>
        <w:rPr>
          <w:highlight w:val="white"/>
        </w:rPr>
      </w:pPr>
      <w:r>
        <w:rPr>
          <w:highlight w:val="white"/>
        </w:rPr>
        <w:t>Generating short-term wins</w:t>
      </w:r>
    </w:p>
    <w:p w14:paraId="000000C2" w14:textId="77777777" w:rsidR="006A7A54" w:rsidRDefault="00000000">
      <w:pPr>
        <w:numPr>
          <w:ilvl w:val="0"/>
          <w:numId w:val="2"/>
        </w:numPr>
        <w:spacing w:line="240" w:lineRule="auto"/>
        <w:rPr>
          <w:highlight w:val="white"/>
        </w:rPr>
      </w:pPr>
      <w:r>
        <w:rPr>
          <w:highlight w:val="white"/>
        </w:rPr>
        <w:t>Consolidating gains and producing more change</w:t>
      </w:r>
    </w:p>
    <w:p w14:paraId="000000C3" w14:textId="77777777" w:rsidR="006A7A54" w:rsidRDefault="00000000">
      <w:pPr>
        <w:numPr>
          <w:ilvl w:val="0"/>
          <w:numId w:val="2"/>
        </w:numPr>
        <w:spacing w:after="240" w:line="240" w:lineRule="auto"/>
        <w:rPr>
          <w:highlight w:val="white"/>
        </w:rPr>
      </w:pPr>
      <w:r>
        <w:rPr>
          <w:highlight w:val="white"/>
        </w:rPr>
        <w:t xml:space="preserve">Anchoring new approaches in the culture. </w:t>
      </w:r>
    </w:p>
    <w:p w14:paraId="000000C4" w14:textId="77777777" w:rsidR="006A7A54" w:rsidRDefault="006A7A54">
      <w:pPr>
        <w:spacing w:line="240" w:lineRule="auto"/>
        <w:rPr>
          <w:highlight w:val="white"/>
        </w:rPr>
      </w:pPr>
    </w:p>
    <w:p w14:paraId="000000C5" w14:textId="77777777" w:rsidR="006A7A54" w:rsidRDefault="00000000">
      <w:pPr>
        <w:spacing w:line="240" w:lineRule="auto"/>
        <w:rPr>
          <w:highlight w:val="white"/>
        </w:rPr>
      </w:pPr>
      <w:r>
        <w:rPr>
          <w:highlight w:val="white"/>
        </w:rPr>
        <w:t xml:space="preserve">External factors and triggers affect organisations and drive change, such as Covid19. Organisations have the choice to remain vigilant, predict changes to a certain degree and ensure they are prepared as much as </w:t>
      </w:r>
      <w:proofErr w:type="spellStart"/>
      <w:r>
        <w:rPr>
          <w:highlight w:val="white"/>
        </w:rPr>
        <w:t>possible.The</w:t>
      </w:r>
      <w:proofErr w:type="spellEnd"/>
      <w:r>
        <w:rPr>
          <w:highlight w:val="white"/>
        </w:rPr>
        <w:t xml:space="preserve"> Covid19 pandemic brought a sudden surge of technological changes to the workplace, triggering change and surging forward with virtual software, such as Zoom and Teams. As a result, organisations have had to adjust the way they communicate, to make online experiences for consumers and employees </w:t>
      </w:r>
      <w:proofErr w:type="spellStart"/>
      <w:r>
        <w:rPr>
          <w:highlight w:val="white"/>
        </w:rPr>
        <w:t>easier,including</w:t>
      </w:r>
      <w:proofErr w:type="spellEnd"/>
      <w:r>
        <w:rPr>
          <w:highlight w:val="white"/>
        </w:rPr>
        <w:t xml:space="preserve"> utilising the rise of instant messaging, videos, and social media. </w:t>
      </w:r>
    </w:p>
    <w:p w14:paraId="000000C6" w14:textId="77777777" w:rsidR="006A7A54" w:rsidRDefault="006A7A54">
      <w:pPr>
        <w:spacing w:line="240" w:lineRule="auto"/>
        <w:rPr>
          <w:highlight w:val="white"/>
        </w:rPr>
      </w:pPr>
    </w:p>
    <w:p w14:paraId="000000C7" w14:textId="77777777" w:rsidR="006A7A54" w:rsidRDefault="00000000">
      <w:pPr>
        <w:spacing w:line="240" w:lineRule="auto"/>
        <w:rPr>
          <w:highlight w:val="white"/>
        </w:rPr>
      </w:pPr>
      <w:r>
        <w:rPr>
          <w:highlight w:val="white"/>
        </w:rPr>
        <w:t xml:space="preserve">These factors and trigger changes introduced new ways of working for organisations, and have had lasting impacts including, flexible working, plus the shift from established offices to homeworking, as the same role can be done at home virtually. </w:t>
      </w:r>
    </w:p>
    <w:p w14:paraId="000000C8" w14:textId="77777777" w:rsidR="006A7A54" w:rsidRDefault="006A7A54">
      <w:pPr>
        <w:spacing w:line="240" w:lineRule="auto"/>
        <w:rPr>
          <w:highlight w:val="white"/>
        </w:rPr>
      </w:pPr>
    </w:p>
    <w:p w14:paraId="000000C9" w14:textId="77777777" w:rsidR="006A7A54" w:rsidRDefault="006A7A54">
      <w:pPr>
        <w:spacing w:line="240" w:lineRule="auto"/>
        <w:rPr>
          <w:highlight w:val="white"/>
        </w:rPr>
      </w:pPr>
    </w:p>
    <w:p w14:paraId="000000CA" w14:textId="77777777" w:rsidR="006A7A54" w:rsidRDefault="006A7A54">
      <w:pPr>
        <w:spacing w:line="240" w:lineRule="auto"/>
        <w:rPr>
          <w:highlight w:val="white"/>
        </w:rPr>
      </w:pPr>
    </w:p>
    <w:p w14:paraId="000000CB" w14:textId="77777777" w:rsidR="006A7A54" w:rsidRDefault="006A7A54">
      <w:pPr>
        <w:spacing w:line="240" w:lineRule="auto"/>
        <w:rPr>
          <w:highlight w:val="white"/>
        </w:rPr>
      </w:pPr>
    </w:p>
    <w:p w14:paraId="000000CC" w14:textId="77777777" w:rsidR="006A7A54" w:rsidRDefault="006A7A54">
      <w:pPr>
        <w:spacing w:line="240" w:lineRule="auto"/>
        <w:rPr>
          <w:highlight w:val="white"/>
        </w:rPr>
      </w:pPr>
    </w:p>
    <w:p w14:paraId="000000CD" w14:textId="77777777" w:rsidR="006A7A54" w:rsidRDefault="006A7A54">
      <w:pPr>
        <w:spacing w:line="240" w:lineRule="auto"/>
        <w:rPr>
          <w:highlight w:val="white"/>
        </w:rPr>
      </w:pPr>
    </w:p>
    <w:p w14:paraId="000000CE" w14:textId="77777777" w:rsidR="006A7A54" w:rsidRDefault="006A7A54">
      <w:pPr>
        <w:spacing w:line="240" w:lineRule="auto"/>
        <w:rPr>
          <w:highlight w:val="white"/>
        </w:rPr>
      </w:pPr>
    </w:p>
    <w:p w14:paraId="000000CF" w14:textId="77777777" w:rsidR="006A7A54" w:rsidRDefault="006A7A54">
      <w:pPr>
        <w:spacing w:line="240" w:lineRule="auto"/>
        <w:rPr>
          <w:highlight w:val="white"/>
        </w:rPr>
      </w:pPr>
    </w:p>
    <w:p w14:paraId="000000D0" w14:textId="77777777" w:rsidR="006A7A54" w:rsidRDefault="006A7A54">
      <w:pPr>
        <w:spacing w:line="240" w:lineRule="auto"/>
        <w:rPr>
          <w:highlight w:val="white"/>
        </w:rPr>
      </w:pPr>
    </w:p>
    <w:p w14:paraId="000000D1" w14:textId="77777777" w:rsidR="006A7A54" w:rsidRDefault="006A7A54">
      <w:pPr>
        <w:spacing w:line="240" w:lineRule="auto"/>
        <w:rPr>
          <w:highlight w:val="white"/>
        </w:rPr>
      </w:pPr>
    </w:p>
    <w:p w14:paraId="000000D2" w14:textId="77777777" w:rsidR="006A7A54" w:rsidRDefault="006A7A54">
      <w:pPr>
        <w:spacing w:line="240" w:lineRule="auto"/>
        <w:rPr>
          <w:highlight w:val="white"/>
        </w:rPr>
      </w:pPr>
    </w:p>
    <w:p w14:paraId="000000D3" w14:textId="77777777" w:rsidR="006A7A54" w:rsidRDefault="006A7A54">
      <w:pPr>
        <w:spacing w:line="240" w:lineRule="auto"/>
        <w:rPr>
          <w:highlight w:val="white"/>
        </w:rPr>
      </w:pPr>
    </w:p>
    <w:p w14:paraId="000000D4" w14:textId="77777777" w:rsidR="006A7A54" w:rsidRDefault="006A7A54">
      <w:pPr>
        <w:spacing w:line="240" w:lineRule="auto"/>
        <w:rPr>
          <w:highlight w:val="white"/>
        </w:rPr>
      </w:pPr>
    </w:p>
    <w:p w14:paraId="000000D5" w14:textId="77777777" w:rsidR="006A7A54" w:rsidRDefault="006A7A54">
      <w:pPr>
        <w:spacing w:line="240" w:lineRule="auto"/>
        <w:rPr>
          <w:highlight w:val="white"/>
        </w:rPr>
      </w:pPr>
    </w:p>
    <w:p w14:paraId="000000D6" w14:textId="77777777" w:rsidR="006A7A54" w:rsidRDefault="006A7A54">
      <w:pPr>
        <w:spacing w:line="240" w:lineRule="auto"/>
        <w:rPr>
          <w:highlight w:val="white"/>
        </w:rPr>
      </w:pPr>
    </w:p>
    <w:p w14:paraId="000000D7" w14:textId="77777777" w:rsidR="006A7A54" w:rsidRDefault="00000000">
      <w:pPr>
        <w:spacing w:line="240" w:lineRule="auto"/>
        <w:rPr>
          <w:highlight w:val="white"/>
        </w:rPr>
      </w:pPr>
      <w:r>
        <w:rPr>
          <w:b/>
          <w:highlight w:val="white"/>
        </w:rPr>
        <w:t>AC 3.2</w:t>
      </w:r>
    </w:p>
    <w:p w14:paraId="000000D8" w14:textId="77777777" w:rsidR="006A7A54" w:rsidRDefault="00000000">
      <w:pPr>
        <w:spacing w:before="240" w:after="240" w:line="240" w:lineRule="auto"/>
        <w:rPr>
          <w:highlight w:val="white"/>
        </w:rPr>
      </w:pPr>
      <w:r>
        <w:rPr>
          <w:highlight w:val="white"/>
        </w:rPr>
        <w:t>Change is inescapable, organisations have the option to stay aware, anticipate changes and ensure they are prepared. People professionals have a significant role to play in this, backed by Waite et al. ( 2001, p. 6).</w:t>
      </w:r>
    </w:p>
    <w:p w14:paraId="000000D9" w14:textId="77777777" w:rsidR="006A7A54" w:rsidRDefault="00000000">
      <w:pPr>
        <w:spacing w:before="240" w:after="240" w:line="240" w:lineRule="auto"/>
        <w:rPr>
          <w:highlight w:val="white"/>
        </w:rPr>
      </w:pPr>
      <w:r>
        <w:rPr>
          <w:highlight w:val="white"/>
        </w:rPr>
        <w:t>CIPD and the University of Bath collaborated (CIPD, 2023) to conduct research, focusing on HR and L&amp;D`s role in managing change. Drivers of change can be people professionals orchestrating change in the background. In such instances, you must use advocate communicators as facilitators throughout the change, clearly communicating the vision.</w:t>
      </w:r>
    </w:p>
    <w:p w14:paraId="000000DA" w14:textId="77777777" w:rsidR="006A7A54" w:rsidRDefault="00000000">
      <w:pPr>
        <w:spacing w:before="240" w:after="240" w:line="240" w:lineRule="auto"/>
        <w:rPr>
          <w:highlight w:val="white"/>
        </w:rPr>
      </w:pPr>
      <w:r>
        <w:rPr>
          <w:highlight w:val="white"/>
        </w:rPr>
        <w:t>People professionals give change the best chance if everyone within authority and influence is included throughout the organisation. Use informal leaders; the gatekeepers, receptionists, advisers, consultants to be the pride builders, motivating others to go above and beyond their role. Use trusted nodes; to facilitate and communicate effectively to address potential negativity. Use change ambassadors; Individuals with the innate grasp on how to live the change, they are exemplars and communicators, conveying why change is important (</w:t>
      </w:r>
      <w:proofErr w:type="spellStart"/>
      <w:r>
        <w:rPr>
          <w:highlight w:val="white"/>
        </w:rPr>
        <w:t>Aguire</w:t>
      </w:r>
      <w:proofErr w:type="spellEnd"/>
      <w:r>
        <w:rPr>
          <w:highlight w:val="white"/>
        </w:rPr>
        <w:t xml:space="preserve"> and </w:t>
      </w:r>
      <w:proofErr w:type="spellStart"/>
      <w:r>
        <w:rPr>
          <w:highlight w:val="white"/>
        </w:rPr>
        <w:t>Alpern</w:t>
      </w:r>
      <w:proofErr w:type="spellEnd"/>
      <w:r>
        <w:rPr>
          <w:highlight w:val="white"/>
        </w:rPr>
        <w:t>, 2014).</w:t>
      </w:r>
    </w:p>
    <w:p w14:paraId="000000DB" w14:textId="77777777" w:rsidR="006A7A54" w:rsidRDefault="006A7A54">
      <w:pPr>
        <w:spacing w:before="240" w:after="240" w:line="240" w:lineRule="auto"/>
        <w:rPr>
          <w:highlight w:val="white"/>
        </w:rPr>
      </w:pPr>
    </w:p>
    <w:p w14:paraId="000000DC" w14:textId="77777777" w:rsidR="006A7A54" w:rsidRDefault="00000000">
      <w:pPr>
        <w:spacing w:line="240" w:lineRule="auto"/>
        <w:rPr>
          <w:highlight w:val="white"/>
        </w:rPr>
      </w:pPr>
      <w:r>
        <w:rPr>
          <w:b/>
          <w:highlight w:val="white"/>
        </w:rPr>
        <w:t>AC 3.3</w:t>
      </w:r>
    </w:p>
    <w:p w14:paraId="000000DD" w14:textId="77777777" w:rsidR="006A7A54" w:rsidRDefault="006A7A54">
      <w:pPr>
        <w:pBdr>
          <w:top w:val="none" w:sz="0" w:space="0" w:color="D9D9E3"/>
          <w:left w:val="none" w:sz="0" w:space="0" w:color="D9D9E3"/>
          <w:bottom w:val="none" w:sz="0" w:space="0" w:color="D9D9E3"/>
          <w:right w:val="none" w:sz="0" w:space="0" w:color="D9D9E3"/>
          <w:between w:val="none" w:sz="0" w:space="0" w:color="D9D9E3"/>
        </w:pBdr>
        <w:spacing w:line="240" w:lineRule="auto"/>
        <w:rPr>
          <w:highlight w:val="white"/>
        </w:rPr>
      </w:pPr>
    </w:p>
    <w:p w14:paraId="000000DE" w14:textId="77777777" w:rsidR="006A7A54" w:rsidRDefault="00000000">
      <w:pPr>
        <w:pBdr>
          <w:top w:val="none" w:sz="0" w:space="0" w:color="D9D9E3"/>
          <w:left w:val="none" w:sz="0" w:space="0" w:color="D9D9E3"/>
          <w:bottom w:val="none" w:sz="0" w:space="0" w:color="D9D9E3"/>
          <w:right w:val="none" w:sz="0" w:space="0" w:color="D9D9E3"/>
          <w:between w:val="none" w:sz="0" w:space="0" w:color="D9D9E3"/>
        </w:pBdr>
        <w:spacing w:line="240" w:lineRule="auto"/>
        <w:rPr>
          <w:highlight w:val="white"/>
        </w:rPr>
      </w:pPr>
      <w:r>
        <w:rPr>
          <w:highlight w:val="white"/>
        </w:rPr>
        <w:t>Implementing organisation change can be a journey, and like any journey, it doesn't always go to plan. People exhibit different behavioural responses to change, both negatively and positively, including, role changes, status, financially by losing money or becoming redundant. When planning organisational change, it's crucial to be confident, realistic, use the right people, effectively communicate avoiding under-communication, and be agile to reactions and behaviour to support individuals navigate towards a more positive position on the change curve. The change curve, as introduced by Kubler-Ross, recognises a series of responses supported by Waite et al. ( 2021, p. 39).</w:t>
      </w:r>
    </w:p>
    <w:p w14:paraId="000000DF" w14:textId="77777777" w:rsidR="006A7A54" w:rsidRDefault="00000000">
      <w:pPr>
        <w:spacing w:before="240" w:after="240" w:line="240" w:lineRule="auto"/>
        <w:rPr>
          <w:highlight w:val="white"/>
        </w:rPr>
      </w:pPr>
      <w:r>
        <w:rPr>
          <w:highlight w:val="white"/>
        </w:rPr>
        <w:t>Depression is the lowest point of the curve, affecting mental and physical wellbeing, potentially leading to prolonged employee absences. There can be positive and negative reactions for career aspirations. Initially, there may be a sense of frustration stemming from the realisation that change has altered the trajectory of their career. However, during the decision phase, if employees harbour a positive outlook and quickly adapt to the change, this shift can create pathways for potential career advancement</w:t>
      </w:r>
      <w:r>
        <w:rPr>
          <w:rFonts w:ascii="Roboto" w:eastAsia="Roboto" w:hAnsi="Roboto" w:cs="Roboto"/>
          <w:highlight w:val="white"/>
        </w:rPr>
        <w:t xml:space="preserve">. </w:t>
      </w:r>
      <w:r>
        <w:rPr>
          <w:highlight w:val="white"/>
        </w:rPr>
        <w:t>Patient behaviour responses will vary during change, perception and relationships will be altered and they need to be managed carefully or risk losing them.</w:t>
      </w:r>
    </w:p>
    <w:p w14:paraId="000000E0" w14:textId="2D855979" w:rsidR="006A7A54" w:rsidRDefault="006A7A54">
      <w:pPr>
        <w:spacing w:before="240" w:after="240" w:line="240" w:lineRule="auto"/>
        <w:rPr>
          <w:highlight w:val="white"/>
        </w:rPr>
      </w:pPr>
    </w:p>
    <w:p w14:paraId="6FC64E52" w14:textId="25B7980D" w:rsidR="008C6501" w:rsidRDefault="008C6501">
      <w:pPr>
        <w:spacing w:before="240" w:after="240" w:line="240" w:lineRule="auto"/>
        <w:rPr>
          <w:highlight w:val="white"/>
        </w:rPr>
      </w:pPr>
    </w:p>
    <w:p w14:paraId="0F50F2BB" w14:textId="2F7CB8C4" w:rsidR="008C6501" w:rsidRDefault="008C6501">
      <w:pPr>
        <w:spacing w:before="240" w:after="240" w:line="240" w:lineRule="auto"/>
        <w:rPr>
          <w:highlight w:val="white"/>
        </w:rPr>
      </w:pPr>
    </w:p>
    <w:p w14:paraId="5EC8FFF5" w14:textId="60104227" w:rsidR="008C6501" w:rsidRDefault="008C6501">
      <w:pPr>
        <w:spacing w:before="240" w:after="240" w:line="240" w:lineRule="auto"/>
        <w:rPr>
          <w:highlight w:val="white"/>
        </w:rPr>
      </w:pPr>
    </w:p>
    <w:p w14:paraId="6AC6BE70" w14:textId="6584BA95" w:rsidR="008C6501" w:rsidRDefault="008C6501">
      <w:pPr>
        <w:spacing w:before="240" w:after="240" w:line="240" w:lineRule="auto"/>
        <w:rPr>
          <w:highlight w:val="white"/>
        </w:rPr>
      </w:pPr>
    </w:p>
    <w:p w14:paraId="2FF6D58C" w14:textId="77777777" w:rsidR="008C6501" w:rsidRDefault="008C6501">
      <w:pPr>
        <w:spacing w:before="240" w:after="240" w:line="240" w:lineRule="auto"/>
        <w:rPr>
          <w:highlight w:val="white"/>
        </w:rPr>
      </w:pPr>
    </w:p>
    <w:p w14:paraId="000000E1" w14:textId="77777777" w:rsidR="006A7A54" w:rsidRDefault="00000000">
      <w:pPr>
        <w:spacing w:before="240" w:after="240"/>
        <w:rPr>
          <w:color w:val="555555"/>
          <w:sz w:val="21"/>
          <w:szCs w:val="21"/>
        </w:rPr>
      </w:pPr>
      <w:r>
        <w:rPr>
          <w:b/>
        </w:rPr>
        <w:t>Bibliography</w:t>
      </w:r>
    </w:p>
    <w:p w14:paraId="000000E2" w14:textId="77777777" w:rsidR="006A7A54" w:rsidRDefault="00000000">
      <w:pPr>
        <w:shd w:val="clear" w:color="auto" w:fill="FFFFFF"/>
        <w:spacing w:after="460"/>
        <w:rPr>
          <w:color w:val="555555"/>
          <w:sz w:val="21"/>
          <w:szCs w:val="21"/>
        </w:rPr>
      </w:pPr>
      <w:r>
        <w:rPr>
          <w:color w:val="333333"/>
          <w:sz w:val="23"/>
          <w:szCs w:val="23"/>
          <w:shd w:val="clear" w:color="auto" w:fill="FBFBFB"/>
        </w:rPr>
        <w:t xml:space="preserve">CIPD. (2020). </w:t>
      </w:r>
      <w:r>
        <w:rPr>
          <w:i/>
          <w:color w:val="333333"/>
          <w:sz w:val="23"/>
          <w:szCs w:val="23"/>
          <w:shd w:val="clear" w:color="auto" w:fill="FBFBFB"/>
        </w:rPr>
        <w:t xml:space="preserve">Workplace technology, The employee experience </w:t>
      </w:r>
      <w:r>
        <w:rPr>
          <w:color w:val="333333"/>
          <w:sz w:val="23"/>
          <w:szCs w:val="23"/>
          <w:shd w:val="clear" w:color="auto" w:fill="FBFBFB"/>
        </w:rPr>
        <w:t xml:space="preserve">(July). Chartered Institute of Personnel and Development. </w:t>
      </w:r>
      <w:r>
        <w:rPr>
          <w:color w:val="555555"/>
          <w:sz w:val="21"/>
          <w:szCs w:val="21"/>
          <w:shd w:val="clear" w:color="auto" w:fill="FBFBFB"/>
        </w:rPr>
        <w:t>https://www.cipd.org/globalassets/media/knowledge/knowledge-hub/reports/workplace-technology-2_tcm18-80853.pdf</w:t>
      </w:r>
    </w:p>
    <w:p w14:paraId="000000E3" w14:textId="77777777" w:rsidR="006A7A54" w:rsidRDefault="00000000">
      <w:pPr>
        <w:shd w:val="clear" w:color="auto" w:fill="FFFFFF"/>
        <w:spacing w:after="460"/>
        <w:rPr>
          <w:color w:val="555555"/>
          <w:sz w:val="21"/>
          <w:szCs w:val="21"/>
        </w:rPr>
      </w:pPr>
      <w:r>
        <w:rPr>
          <w:color w:val="333333"/>
          <w:sz w:val="23"/>
          <w:szCs w:val="23"/>
          <w:shd w:val="clear" w:color="auto" w:fill="FBFBFB"/>
        </w:rPr>
        <w:t xml:space="preserve">CIPD (2023) </w:t>
      </w:r>
      <w:r>
        <w:rPr>
          <w:i/>
          <w:color w:val="333333"/>
          <w:sz w:val="23"/>
          <w:szCs w:val="23"/>
          <w:shd w:val="clear" w:color="auto" w:fill="FBFBFB"/>
        </w:rPr>
        <w:t>Organisational Culture</w:t>
      </w:r>
      <w:r>
        <w:rPr>
          <w:color w:val="333333"/>
          <w:sz w:val="23"/>
          <w:szCs w:val="23"/>
          <w:shd w:val="clear" w:color="auto" w:fill="FBFBFB"/>
        </w:rPr>
        <w:t xml:space="preserve">. Available at: </w:t>
      </w:r>
      <w:r>
        <w:rPr>
          <w:color w:val="555555"/>
          <w:sz w:val="21"/>
          <w:szCs w:val="21"/>
          <w:shd w:val="clear" w:color="auto" w:fill="FBFBFB"/>
        </w:rPr>
        <w:t xml:space="preserve">https://www.cipd.org/uk/views-and-insights/cipd-viewpoint/organisational-culture/#:~:text=CIPD%20viewpoint&amp;text=A%20commonly%20used%20quote%20from,and%20meet%20their%20business%20objectives. </w:t>
      </w:r>
      <w:r>
        <w:rPr>
          <w:color w:val="333333"/>
          <w:sz w:val="23"/>
          <w:szCs w:val="23"/>
          <w:shd w:val="clear" w:color="auto" w:fill="FBFBFB"/>
        </w:rPr>
        <w:t xml:space="preserve">(Accessed: 22 October 2023). </w:t>
      </w:r>
    </w:p>
    <w:p w14:paraId="000000E4" w14:textId="77777777" w:rsidR="006A7A54" w:rsidRDefault="00000000">
      <w:pPr>
        <w:shd w:val="clear" w:color="auto" w:fill="FFFFFF"/>
        <w:spacing w:after="460"/>
        <w:rPr>
          <w:color w:val="555555"/>
          <w:sz w:val="21"/>
          <w:szCs w:val="21"/>
        </w:rPr>
      </w:pPr>
      <w:r>
        <w:rPr>
          <w:color w:val="333333"/>
          <w:sz w:val="23"/>
          <w:szCs w:val="23"/>
          <w:shd w:val="clear" w:color="auto" w:fill="FBFBFB"/>
        </w:rPr>
        <w:t xml:space="preserve">CIPD (2023) </w:t>
      </w:r>
      <w:r>
        <w:rPr>
          <w:i/>
          <w:color w:val="333333"/>
          <w:sz w:val="23"/>
          <w:szCs w:val="23"/>
          <w:shd w:val="clear" w:color="auto" w:fill="FBFBFB"/>
        </w:rPr>
        <w:t>Change Management</w:t>
      </w:r>
      <w:r>
        <w:rPr>
          <w:color w:val="333333"/>
          <w:sz w:val="23"/>
          <w:szCs w:val="23"/>
          <w:shd w:val="clear" w:color="auto" w:fill="FBFBFB"/>
        </w:rPr>
        <w:t xml:space="preserve">. Available at: </w:t>
      </w:r>
      <w:r>
        <w:rPr>
          <w:color w:val="555555"/>
          <w:sz w:val="21"/>
          <w:szCs w:val="21"/>
          <w:shd w:val="clear" w:color="auto" w:fill="FBFBFB"/>
        </w:rPr>
        <w:t>https://www.cipd.org/uk/knowledge/factsheets/change-management-factsheet/#managingchange</w:t>
      </w:r>
      <w:r>
        <w:rPr>
          <w:color w:val="333333"/>
          <w:sz w:val="23"/>
          <w:szCs w:val="23"/>
          <w:shd w:val="clear" w:color="auto" w:fill="FBFBFB"/>
        </w:rPr>
        <w:t xml:space="preserve"> (Accessed: 22 October 2023).</w:t>
      </w:r>
    </w:p>
    <w:p w14:paraId="000000E5" w14:textId="77777777" w:rsidR="006A7A54" w:rsidRDefault="00000000">
      <w:pPr>
        <w:shd w:val="clear" w:color="auto" w:fill="FFFFFF"/>
        <w:spacing w:after="460"/>
      </w:pPr>
      <w:r>
        <w:rPr>
          <w:color w:val="555555"/>
          <w:sz w:val="21"/>
          <w:szCs w:val="21"/>
          <w:shd w:val="clear" w:color="auto" w:fill="FBFBFB"/>
        </w:rPr>
        <w:t xml:space="preserve">Waite, K. </w:t>
      </w:r>
      <w:proofErr w:type="spellStart"/>
      <w:r>
        <w:rPr>
          <w:color w:val="555555"/>
          <w:sz w:val="21"/>
          <w:szCs w:val="21"/>
          <w:shd w:val="clear" w:color="auto" w:fill="FBFBFB"/>
        </w:rPr>
        <w:t>Beevers</w:t>
      </w:r>
      <w:proofErr w:type="spellEnd"/>
      <w:r>
        <w:rPr>
          <w:color w:val="555555"/>
          <w:sz w:val="21"/>
          <w:szCs w:val="21"/>
          <w:shd w:val="clear" w:color="auto" w:fill="FBFBFB"/>
        </w:rPr>
        <w:t>, K. Small, N. Tomlinson, K. Hussain, S</w:t>
      </w:r>
      <w:r>
        <w:rPr>
          <w:color w:val="333333"/>
          <w:sz w:val="23"/>
          <w:szCs w:val="23"/>
          <w:shd w:val="clear" w:color="auto" w:fill="FBFBFB"/>
        </w:rPr>
        <w:t xml:space="preserve">. (2021) </w:t>
      </w:r>
      <w:r>
        <w:rPr>
          <w:i/>
          <w:color w:val="555555"/>
          <w:sz w:val="21"/>
          <w:szCs w:val="21"/>
          <w:shd w:val="clear" w:color="auto" w:fill="FBFBFB"/>
        </w:rPr>
        <w:t>People Practice: A Complete Guide</w:t>
      </w:r>
      <w:r>
        <w:rPr>
          <w:color w:val="333333"/>
          <w:sz w:val="23"/>
          <w:szCs w:val="23"/>
          <w:shd w:val="clear" w:color="auto" w:fill="FBFBFB"/>
        </w:rPr>
        <w:t xml:space="preserve">. London: Kogan Page Limited. </w:t>
      </w:r>
    </w:p>
    <w:p w14:paraId="000000E6" w14:textId="77777777" w:rsidR="006A7A54" w:rsidRDefault="00000000">
      <w:pPr>
        <w:rPr>
          <w:color w:val="333333"/>
          <w:sz w:val="23"/>
          <w:szCs w:val="23"/>
          <w:shd w:val="clear" w:color="auto" w:fill="FBFBFB"/>
        </w:rPr>
      </w:pPr>
      <w:r>
        <w:rPr>
          <w:color w:val="333333"/>
          <w:sz w:val="23"/>
          <w:szCs w:val="23"/>
          <w:shd w:val="clear" w:color="auto" w:fill="FBFBFB"/>
        </w:rPr>
        <w:t xml:space="preserve">Mullins, L. (2019) </w:t>
      </w:r>
      <w:r>
        <w:rPr>
          <w:i/>
          <w:color w:val="333333"/>
          <w:sz w:val="23"/>
          <w:szCs w:val="23"/>
          <w:shd w:val="clear" w:color="auto" w:fill="FBFBFB"/>
        </w:rPr>
        <w:t>Organisational Behaviour In The Workplace</w:t>
      </w:r>
      <w:r>
        <w:rPr>
          <w:color w:val="333333"/>
          <w:sz w:val="23"/>
          <w:szCs w:val="23"/>
          <w:shd w:val="clear" w:color="auto" w:fill="FBFBFB"/>
        </w:rPr>
        <w:t xml:space="preserve">. 12th </w:t>
      </w:r>
      <w:proofErr w:type="spellStart"/>
      <w:r>
        <w:rPr>
          <w:color w:val="333333"/>
          <w:sz w:val="23"/>
          <w:szCs w:val="23"/>
          <w:shd w:val="clear" w:color="auto" w:fill="FBFBFB"/>
        </w:rPr>
        <w:t>edn</w:t>
      </w:r>
      <w:proofErr w:type="spellEnd"/>
      <w:r>
        <w:rPr>
          <w:color w:val="333333"/>
          <w:sz w:val="23"/>
          <w:szCs w:val="23"/>
          <w:shd w:val="clear" w:color="auto" w:fill="FBFBFB"/>
        </w:rPr>
        <w:t xml:space="preserve">. Harlow: Pearson Education Limited. </w:t>
      </w:r>
    </w:p>
    <w:p w14:paraId="000000E7" w14:textId="77777777" w:rsidR="006A7A54" w:rsidRDefault="006A7A54">
      <w:pPr>
        <w:rPr>
          <w:color w:val="333333"/>
          <w:sz w:val="23"/>
          <w:szCs w:val="23"/>
          <w:shd w:val="clear" w:color="auto" w:fill="FBFBFB"/>
        </w:rPr>
      </w:pPr>
    </w:p>
    <w:p w14:paraId="000000E8" w14:textId="77777777" w:rsidR="006A7A54" w:rsidRDefault="00000000">
      <w:pPr>
        <w:rPr>
          <w:color w:val="333333"/>
          <w:sz w:val="23"/>
          <w:szCs w:val="23"/>
          <w:shd w:val="clear" w:color="auto" w:fill="FBFBFB"/>
        </w:rPr>
      </w:pPr>
      <w:r>
        <w:rPr>
          <w:color w:val="333333"/>
          <w:sz w:val="23"/>
          <w:szCs w:val="23"/>
          <w:shd w:val="clear" w:color="auto" w:fill="FBFBFB"/>
        </w:rPr>
        <w:t xml:space="preserve">Hywel Dda (2019) </w:t>
      </w:r>
      <w:r>
        <w:rPr>
          <w:i/>
          <w:color w:val="333333"/>
          <w:sz w:val="23"/>
          <w:szCs w:val="23"/>
          <w:shd w:val="clear" w:color="auto" w:fill="FBFBFB"/>
        </w:rPr>
        <w:t xml:space="preserve">A Healthier Mid and West Wales Our Future Generations Living Well. </w:t>
      </w:r>
      <w:r>
        <w:rPr>
          <w:color w:val="333333"/>
          <w:sz w:val="23"/>
          <w:szCs w:val="23"/>
          <w:shd w:val="clear" w:color="auto" w:fill="FBFBFB"/>
        </w:rPr>
        <w:t xml:space="preserve">Available at: https://hduhb.nhs.wales/about-us/healthier-mid-and-west-wales/healthier-mid-and-west-wales-folder/documents/a-healthier-mid-and-west-wales-strategy/ (Accessed: 22 October 2023). </w:t>
      </w:r>
    </w:p>
    <w:p w14:paraId="000000E9" w14:textId="77777777" w:rsidR="006A7A54" w:rsidRDefault="006A7A54">
      <w:pPr>
        <w:rPr>
          <w:color w:val="333333"/>
          <w:sz w:val="23"/>
          <w:szCs w:val="23"/>
          <w:shd w:val="clear" w:color="auto" w:fill="FBFBFB"/>
        </w:rPr>
      </w:pPr>
    </w:p>
    <w:p w14:paraId="000000EA" w14:textId="77777777" w:rsidR="006A7A54" w:rsidRDefault="00000000">
      <w:pPr>
        <w:rPr>
          <w:color w:val="333333"/>
          <w:sz w:val="23"/>
          <w:szCs w:val="23"/>
          <w:shd w:val="clear" w:color="auto" w:fill="FBFBFB"/>
        </w:rPr>
      </w:pPr>
      <w:proofErr w:type="spellStart"/>
      <w:r>
        <w:rPr>
          <w:color w:val="333333"/>
          <w:sz w:val="23"/>
          <w:szCs w:val="23"/>
          <w:shd w:val="clear" w:color="auto" w:fill="FBFBFB"/>
        </w:rPr>
        <w:t>Aguire</w:t>
      </w:r>
      <w:proofErr w:type="spellEnd"/>
      <w:r>
        <w:rPr>
          <w:color w:val="333333"/>
          <w:sz w:val="23"/>
          <w:szCs w:val="23"/>
          <w:shd w:val="clear" w:color="auto" w:fill="FBFBFB"/>
        </w:rPr>
        <w:t xml:space="preserve">, D. </w:t>
      </w:r>
      <w:proofErr w:type="spellStart"/>
      <w:r>
        <w:rPr>
          <w:color w:val="333333"/>
          <w:sz w:val="23"/>
          <w:szCs w:val="23"/>
          <w:shd w:val="clear" w:color="auto" w:fill="FBFBFB"/>
        </w:rPr>
        <w:t>Alpern</w:t>
      </w:r>
      <w:proofErr w:type="spellEnd"/>
      <w:r>
        <w:rPr>
          <w:color w:val="333333"/>
          <w:sz w:val="23"/>
          <w:szCs w:val="23"/>
          <w:shd w:val="clear" w:color="auto" w:fill="FBFBFB"/>
        </w:rPr>
        <w:t xml:space="preserve">, M (2014) </w:t>
      </w:r>
      <w:r>
        <w:rPr>
          <w:i/>
          <w:color w:val="333333"/>
          <w:shd w:val="clear" w:color="auto" w:fill="FBFBFB"/>
        </w:rPr>
        <w:t>10 principles of leading change management</w:t>
      </w:r>
      <w:r>
        <w:rPr>
          <w:color w:val="333333"/>
          <w:sz w:val="23"/>
          <w:szCs w:val="23"/>
          <w:shd w:val="clear" w:color="auto" w:fill="FBFBFB"/>
        </w:rPr>
        <w:t>. Available at: https://www.strategy-business.com/article/00255 (Accessed: 22 October 2023).</w:t>
      </w:r>
    </w:p>
    <w:p w14:paraId="000000EB" w14:textId="77777777" w:rsidR="006A7A54" w:rsidRDefault="006A7A54">
      <w:pPr>
        <w:rPr>
          <w:color w:val="333333"/>
          <w:sz w:val="23"/>
          <w:szCs w:val="23"/>
          <w:shd w:val="clear" w:color="auto" w:fill="FBFBFB"/>
        </w:rPr>
      </w:pPr>
    </w:p>
    <w:p w14:paraId="000000EC" w14:textId="77777777" w:rsidR="006A7A54" w:rsidRDefault="00000000">
      <w:pPr>
        <w:rPr>
          <w:color w:val="333333"/>
          <w:sz w:val="23"/>
          <w:szCs w:val="23"/>
          <w:shd w:val="clear" w:color="auto" w:fill="FBFBFB"/>
        </w:rPr>
      </w:pPr>
      <w:r>
        <w:rPr>
          <w:color w:val="333333"/>
          <w:sz w:val="23"/>
          <w:szCs w:val="23"/>
          <w:shd w:val="clear" w:color="auto" w:fill="FBFBFB"/>
        </w:rPr>
        <w:t xml:space="preserve">Indeed (2022) </w:t>
      </w:r>
      <w:r>
        <w:rPr>
          <w:i/>
          <w:color w:val="333333"/>
          <w:sz w:val="23"/>
          <w:szCs w:val="23"/>
          <w:shd w:val="clear" w:color="auto" w:fill="FBFBFB"/>
        </w:rPr>
        <w:t>What are subcultures</w:t>
      </w:r>
      <w:r>
        <w:rPr>
          <w:color w:val="333333"/>
          <w:sz w:val="23"/>
          <w:szCs w:val="23"/>
          <w:shd w:val="clear" w:color="auto" w:fill="FBFBFB"/>
        </w:rPr>
        <w:t>. Available at: https://uk.indeed.com/career-advice/career-development/what-are-subcultures (Accessed: 22 October 2023).</w:t>
      </w:r>
    </w:p>
    <w:p w14:paraId="000000ED" w14:textId="77777777" w:rsidR="006A7A54" w:rsidRDefault="006A7A54">
      <w:pPr>
        <w:rPr>
          <w:color w:val="333333"/>
          <w:sz w:val="23"/>
          <w:szCs w:val="23"/>
          <w:shd w:val="clear" w:color="auto" w:fill="FBFBFB"/>
        </w:rPr>
      </w:pPr>
    </w:p>
    <w:p w14:paraId="000000EE" w14:textId="77777777" w:rsidR="006A7A54" w:rsidRDefault="00000000">
      <w:pPr>
        <w:rPr>
          <w:color w:val="333333"/>
          <w:sz w:val="23"/>
          <w:szCs w:val="23"/>
          <w:shd w:val="clear" w:color="auto" w:fill="FBFBFB"/>
        </w:rPr>
      </w:pPr>
      <w:r>
        <w:rPr>
          <w:color w:val="333333"/>
          <w:sz w:val="23"/>
          <w:szCs w:val="23"/>
          <w:shd w:val="clear" w:color="auto" w:fill="FBFBFB"/>
        </w:rPr>
        <w:t xml:space="preserve">Brooks, R. (2022) </w:t>
      </w:r>
      <w:r>
        <w:rPr>
          <w:i/>
          <w:color w:val="11202A"/>
          <w:shd w:val="clear" w:color="auto" w:fill="FBFBFB"/>
        </w:rPr>
        <w:t>Organisational culture: what is it and how does it affect organisational effectiveness?</w:t>
      </w:r>
      <w:r>
        <w:rPr>
          <w:color w:val="333333"/>
          <w:sz w:val="23"/>
          <w:szCs w:val="23"/>
          <w:shd w:val="clear" w:color="auto" w:fill="FBFBFB"/>
        </w:rPr>
        <w:t>. Available at: https://online.lincoln.ac.uk/organisational-culture-what-is-it-and-how-does-it-affect-organisational-effectiveness/ (Accessed: 22 October 2023).</w:t>
      </w:r>
    </w:p>
    <w:p w14:paraId="000000EF" w14:textId="77777777" w:rsidR="006A7A54" w:rsidRDefault="006A7A54">
      <w:pPr>
        <w:pStyle w:val="Heading1"/>
        <w:keepNext w:val="0"/>
        <w:keepLines w:val="0"/>
        <w:pBdr>
          <w:top w:val="none" w:sz="0" w:space="0" w:color="2D2D2D"/>
          <w:left w:val="none" w:sz="0" w:space="0" w:color="2D2D2D"/>
          <w:bottom w:val="none" w:sz="0" w:space="0" w:color="2D2D2D"/>
          <w:right w:val="none" w:sz="0" w:space="0" w:color="2D2D2D"/>
          <w:between w:val="none" w:sz="0" w:space="0" w:color="2D2D2D"/>
        </w:pBdr>
        <w:shd w:val="clear" w:color="auto" w:fill="FFFFFF"/>
        <w:spacing w:before="0"/>
        <w:rPr>
          <w:color w:val="2D2D2D"/>
          <w:sz w:val="22"/>
          <w:szCs w:val="22"/>
          <w:highlight w:val="white"/>
        </w:rPr>
      </w:pPr>
      <w:bookmarkStart w:id="0" w:name="_2jtbk3xwq6fc" w:colFirst="0" w:colLast="0"/>
      <w:bookmarkEnd w:id="0"/>
    </w:p>
    <w:p w14:paraId="000000F0" w14:textId="77777777" w:rsidR="006A7A54" w:rsidRDefault="00000000">
      <w:pPr>
        <w:pStyle w:val="Heading1"/>
        <w:keepNext w:val="0"/>
        <w:keepLines w:val="0"/>
        <w:pBdr>
          <w:top w:val="none" w:sz="0" w:space="0" w:color="2D2D2D"/>
          <w:left w:val="none" w:sz="0" w:space="0" w:color="2D2D2D"/>
          <w:bottom w:val="none" w:sz="0" w:space="0" w:color="2D2D2D"/>
          <w:right w:val="none" w:sz="0" w:space="0" w:color="2D2D2D"/>
          <w:between w:val="none" w:sz="0" w:space="0" w:color="2D2D2D"/>
        </w:pBdr>
        <w:shd w:val="clear" w:color="auto" w:fill="FFFFFF"/>
        <w:spacing w:before="0"/>
        <w:rPr>
          <w:color w:val="2D2D2D"/>
          <w:sz w:val="22"/>
          <w:szCs w:val="22"/>
          <w:highlight w:val="white"/>
        </w:rPr>
      </w:pPr>
      <w:bookmarkStart w:id="1" w:name="_fgbl277d0pj8" w:colFirst="0" w:colLast="0"/>
      <w:bookmarkEnd w:id="1"/>
      <w:r>
        <w:rPr>
          <w:color w:val="2D2D2D"/>
          <w:sz w:val="22"/>
          <w:szCs w:val="22"/>
          <w:highlight w:val="white"/>
        </w:rPr>
        <w:t>Indeed (2023) Features vs. Benefits: What are the key differences?. Available at: https://www.indeed.com/career-advice/career-development/feature-vs-</w:t>
      </w:r>
      <w:r>
        <w:rPr>
          <w:color w:val="2D2D2D"/>
          <w:sz w:val="22"/>
          <w:szCs w:val="22"/>
          <w:highlight w:val="white"/>
        </w:rPr>
        <w:lastRenderedPageBreak/>
        <w:t>benefit#:~:text=Typically%2C%20all%20products%20and%20services,life%20easier%20or%20more%20enjoyable (Accessed: 22 October 2023).</w:t>
      </w:r>
    </w:p>
    <w:p w14:paraId="000000F1" w14:textId="77777777" w:rsidR="006A7A54" w:rsidRDefault="00000000">
      <w:r>
        <w:t xml:space="preserve">Hywel Dda. </w:t>
      </w:r>
      <w:r>
        <w:rPr>
          <w:i/>
        </w:rPr>
        <w:t xml:space="preserve">Hywel Dda University Health Board Three Year Plan 2022/25. </w:t>
      </w:r>
      <w:r>
        <w:t xml:space="preserve">2022, Hywel Dda, https://hduhb.nhs.wales/about-us/governance-arrangements/board-committees/strategic-development-and-operational-delivery-committee-sdodc/sdodc-28-april-2022/item-61-three-year-plan/. </w:t>
      </w:r>
    </w:p>
    <w:p w14:paraId="000000F2" w14:textId="77777777" w:rsidR="006A7A54" w:rsidRDefault="006A7A54"/>
    <w:p w14:paraId="000000F3" w14:textId="77777777" w:rsidR="006A7A54" w:rsidRDefault="00000000">
      <w:pPr>
        <w:rPr>
          <w:color w:val="333333"/>
          <w:sz w:val="23"/>
          <w:szCs w:val="23"/>
          <w:shd w:val="clear" w:color="auto" w:fill="FBFBFB"/>
        </w:rPr>
      </w:pPr>
      <w:r>
        <w:rPr>
          <w:color w:val="333333"/>
          <w:sz w:val="23"/>
          <w:szCs w:val="23"/>
          <w:shd w:val="clear" w:color="auto" w:fill="FBFBFB"/>
        </w:rPr>
        <w:t xml:space="preserve">Hywel Dda (2023) </w:t>
      </w:r>
      <w:r>
        <w:rPr>
          <w:i/>
          <w:color w:val="333333"/>
          <w:sz w:val="23"/>
          <w:szCs w:val="23"/>
          <w:shd w:val="clear" w:color="auto" w:fill="FBFBFB"/>
        </w:rPr>
        <w:t>About Us</w:t>
      </w:r>
      <w:r>
        <w:rPr>
          <w:color w:val="333333"/>
          <w:sz w:val="23"/>
          <w:szCs w:val="23"/>
          <w:shd w:val="clear" w:color="auto" w:fill="FBFBFB"/>
        </w:rPr>
        <w:t xml:space="preserve">. Available at: </w:t>
      </w:r>
      <w:r>
        <w:rPr>
          <w:shd w:val="clear" w:color="auto" w:fill="FBFBFB"/>
        </w:rPr>
        <w:t>https://hduhb.nhs.wales/about-us/governance-arrangements/freedom-of-information/guide-to-our-information/class-one/class-one/about-us/</w:t>
      </w:r>
      <w:r>
        <w:rPr>
          <w:color w:val="333333"/>
          <w:sz w:val="23"/>
          <w:szCs w:val="23"/>
          <w:shd w:val="clear" w:color="auto" w:fill="FBFBFB"/>
        </w:rPr>
        <w:t xml:space="preserve"> (Accessed: 22 October 2023).</w:t>
      </w:r>
    </w:p>
    <w:p w14:paraId="000000F4" w14:textId="77777777" w:rsidR="006A7A54" w:rsidRDefault="006A7A54">
      <w:pPr>
        <w:rPr>
          <w:color w:val="333333"/>
          <w:sz w:val="23"/>
          <w:szCs w:val="23"/>
          <w:shd w:val="clear" w:color="auto" w:fill="FBFBFB"/>
        </w:rPr>
      </w:pPr>
    </w:p>
    <w:p w14:paraId="000000F5" w14:textId="77777777" w:rsidR="006A7A54" w:rsidRDefault="006A7A54">
      <w:pPr>
        <w:rPr>
          <w:color w:val="333333"/>
          <w:sz w:val="23"/>
          <w:szCs w:val="23"/>
          <w:shd w:val="clear" w:color="auto" w:fill="FBFBFB"/>
        </w:rPr>
      </w:pPr>
    </w:p>
    <w:p w14:paraId="000000F6" w14:textId="77777777" w:rsidR="006A7A54" w:rsidRDefault="006A7A54">
      <w:pPr>
        <w:rPr>
          <w:color w:val="0D405F"/>
          <w:sz w:val="21"/>
          <w:szCs w:val="21"/>
          <w:highlight w:val="white"/>
        </w:rPr>
      </w:pPr>
    </w:p>
    <w:sectPr w:rsidR="006A7A54" w:rsidSect="008C6501">
      <w:head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A44B5" w14:textId="77777777" w:rsidR="00512B70" w:rsidRDefault="00512B70">
      <w:pPr>
        <w:spacing w:line="240" w:lineRule="auto"/>
      </w:pPr>
      <w:r>
        <w:separator/>
      </w:r>
    </w:p>
  </w:endnote>
  <w:endnote w:type="continuationSeparator" w:id="0">
    <w:p w14:paraId="71E3D85F" w14:textId="77777777" w:rsidR="00512B70" w:rsidRDefault="00512B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A634C" w14:textId="77777777" w:rsidR="00512B70" w:rsidRDefault="00512B70">
      <w:pPr>
        <w:spacing w:line="240" w:lineRule="auto"/>
      </w:pPr>
      <w:r>
        <w:separator/>
      </w:r>
    </w:p>
  </w:footnote>
  <w:footnote w:type="continuationSeparator" w:id="0">
    <w:p w14:paraId="6DF4BD8C" w14:textId="77777777" w:rsidR="00512B70" w:rsidRDefault="00512B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7" w14:textId="182B57DE" w:rsidR="006A7A54" w:rsidRDefault="00000000">
    <w:pPr>
      <w:jc w:val="right"/>
    </w:pPr>
    <w:r>
      <w:t xml:space="preserve">Word Count </w:t>
    </w:r>
    <w:r w:rsidR="00823BD8">
      <w:t>–</w:t>
    </w:r>
    <w:r>
      <w:t xml:space="preserve"> 2645</w:t>
    </w:r>
  </w:p>
  <w:p w14:paraId="6D396414" w14:textId="5387CB07" w:rsidR="00823BD8" w:rsidRPr="00823BD8" w:rsidRDefault="00823BD8" w:rsidP="00823BD8">
    <w:pPr>
      <w:jc w:val="right"/>
      <w:rPr>
        <w:rFonts w:ascii="Segoe UI" w:eastAsia="Times New Roman" w:hAnsi="Segoe UI" w:cs="Segoe UI"/>
        <w:color w:val="242424"/>
        <w:sz w:val="23"/>
        <w:szCs w:val="23"/>
      </w:rPr>
    </w:pPr>
    <w:r>
      <w:t>Student Number -</w:t>
    </w:r>
    <w:r>
      <w:rPr>
        <w:rFonts w:ascii="Segoe UI" w:eastAsia="Times New Roman" w:hAnsi="Segoe UI" w:cs="Segoe UI"/>
        <w:color w:val="242424"/>
        <w:sz w:val="23"/>
        <w:szCs w:val="23"/>
      </w:rPr>
      <w:t xml:space="preserve"> </w:t>
    </w:r>
    <w:r>
      <w:rPr>
        <w:rFonts w:ascii="Calibri" w:hAnsi="Calibri" w:cs="Calibri"/>
        <w:color w:val="1D1D1D"/>
        <w:sz w:val="21"/>
        <w:szCs w:val="21"/>
        <w:shd w:val="clear" w:color="auto" w:fill="F1F1F1"/>
      </w:rPr>
      <w:t>2318124</w:t>
    </w:r>
  </w:p>
  <w:p w14:paraId="27839861" w14:textId="1E89CC78" w:rsidR="00823BD8" w:rsidRDefault="00823BD8">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F93A7D"/>
    <w:multiLevelType w:val="multilevel"/>
    <w:tmpl w:val="3C3AD1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1536C48"/>
    <w:multiLevelType w:val="multilevel"/>
    <w:tmpl w:val="BE80B9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69994144">
    <w:abstractNumId w:val="1"/>
  </w:num>
  <w:num w:numId="2" w16cid:durableId="814105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54"/>
    <w:rsid w:val="00512B70"/>
    <w:rsid w:val="006A7A54"/>
    <w:rsid w:val="00823BD8"/>
    <w:rsid w:val="008C6501"/>
    <w:rsid w:val="00B60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3C99F"/>
  <w15:docId w15:val="{0B34D8A1-0E8A-4B0C-83B2-375083848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23BD8"/>
    <w:pPr>
      <w:tabs>
        <w:tab w:val="center" w:pos="4513"/>
        <w:tab w:val="right" w:pos="9026"/>
      </w:tabs>
      <w:spacing w:line="240" w:lineRule="auto"/>
    </w:pPr>
  </w:style>
  <w:style w:type="character" w:customStyle="1" w:styleId="HeaderChar">
    <w:name w:val="Header Char"/>
    <w:basedOn w:val="DefaultParagraphFont"/>
    <w:link w:val="Header"/>
    <w:uiPriority w:val="99"/>
    <w:rsid w:val="00823BD8"/>
  </w:style>
  <w:style w:type="paragraph" w:styleId="Footer">
    <w:name w:val="footer"/>
    <w:basedOn w:val="Normal"/>
    <w:link w:val="FooterChar"/>
    <w:uiPriority w:val="99"/>
    <w:unhideWhenUsed/>
    <w:rsid w:val="00823BD8"/>
    <w:pPr>
      <w:tabs>
        <w:tab w:val="center" w:pos="4513"/>
        <w:tab w:val="right" w:pos="9026"/>
      </w:tabs>
      <w:spacing w:line="240" w:lineRule="auto"/>
    </w:pPr>
  </w:style>
  <w:style w:type="character" w:customStyle="1" w:styleId="FooterChar">
    <w:name w:val="Footer Char"/>
    <w:basedOn w:val="DefaultParagraphFont"/>
    <w:link w:val="Footer"/>
    <w:uiPriority w:val="99"/>
    <w:rsid w:val="00823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316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3047</Words>
  <Characters>17368</Characters>
  <Application>Microsoft Office Word</Application>
  <DocSecurity>0</DocSecurity>
  <Lines>144</Lines>
  <Paragraphs>40</Paragraphs>
  <ScaleCrop>false</ScaleCrop>
  <Company>Hywel Dda University Health Board</Company>
  <LinksUpToDate>false</LinksUpToDate>
  <CharactersWithSpaces>20375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Brett (Hywel Dda UHB - Leadership Development Assistant)</dc:creator>
  <cp:lastModifiedBy>Chris Brett (Hywel Dda UHB - Leadership Development Assistant)</cp:lastModifiedBy>
  <cp:revision>3</cp:revision>
  <dcterms:created xsi:type="dcterms:W3CDTF">2023-11-02T21:19:00Z</dcterms:created>
  <dcterms:modified xsi:type="dcterms:W3CDTF">2023-11-02T21:29:00Z</dcterms:modified>
</cp:coreProperties>
</file>