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E9699" w14:textId="4E76755F" w:rsidR="007B2189" w:rsidRPr="007B2189" w:rsidRDefault="007B2189" w:rsidP="007B2189">
      <w:pPr>
        <w:pStyle w:val="TOCHeading"/>
        <w:jc w:val="center"/>
        <w:rPr>
          <w:rFonts w:ascii="Arial" w:hAnsi="Arial" w:cs="Arial"/>
          <w:color w:val="1F497D" w:themeColor="text2"/>
          <w:sz w:val="56"/>
          <w:szCs w:val="56"/>
        </w:rPr>
      </w:pPr>
      <w:r w:rsidRPr="007B2189">
        <w:rPr>
          <w:rFonts w:ascii="Arial" w:hAnsi="Arial" w:cs="Arial"/>
          <w:color w:val="1F497D" w:themeColor="text2"/>
          <w:sz w:val="56"/>
          <w:szCs w:val="56"/>
        </w:rPr>
        <w:t xml:space="preserve">CRIMINAL LAW ASSIGNMENT (1) </w:t>
      </w:r>
      <w:r>
        <w:rPr>
          <w:rFonts w:ascii="Arial" w:hAnsi="Arial" w:cs="Arial"/>
          <w:color w:val="1F497D" w:themeColor="text2"/>
          <w:sz w:val="56"/>
          <w:szCs w:val="56"/>
        </w:rPr>
        <w:t>‘</w:t>
      </w:r>
      <w:r w:rsidRPr="007B2189">
        <w:rPr>
          <w:rFonts w:ascii="Arial" w:hAnsi="Arial" w:cs="Arial"/>
          <w:color w:val="1F497D" w:themeColor="text2"/>
          <w:sz w:val="56"/>
          <w:szCs w:val="56"/>
        </w:rPr>
        <w:t>REFORM OF HOMICIDE</w:t>
      </w:r>
      <w:r>
        <w:rPr>
          <w:rFonts w:ascii="Arial" w:hAnsi="Arial" w:cs="Arial"/>
          <w:color w:val="1F497D" w:themeColor="text2"/>
          <w:sz w:val="56"/>
          <w:szCs w:val="56"/>
        </w:rPr>
        <w:t>’</w:t>
      </w:r>
    </w:p>
    <w:p w14:paraId="0A862F85" w14:textId="77777777" w:rsidR="007B2189" w:rsidRDefault="007B2189" w:rsidP="007B2189">
      <w:pPr>
        <w:jc w:val="center"/>
        <w:rPr>
          <w:lang w:eastAsia="en-US"/>
        </w:rPr>
      </w:pPr>
    </w:p>
    <w:p w14:paraId="07472FBF" w14:textId="77777777" w:rsidR="00382C05" w:rsidRDefault="007B2189" w:rsidP="00382C05">
      <w:pPr>
        <w:jc w:val="center"/>
        <w:rPr>
          <w:color w:val="FF0000"/>
          <w:lang w:eastAsia="en-US"/>
        </w:rPr>
      </w:pPr>
      <w:r w:rsidRPr="007B2189">
        <w:rPr>
          <w:color w:val="FF0000"/>
          <w:lang w:eastAsia="en-US"/>
        </w:rPr>
        <w:t>Prepared by MONIR AHMED</w:t>
      </w:r>
    </w:p>
    <w:p w14:paraId="53C62A33" w14:textId="77777777" w:rsidR="00382C05" w:rsidRDefault="00382C05" w:rsidP="00382C05">
      <w:pPr>
        <w:jc w:val="center"/>
        <w:rPr>
          <w:color w:val="FF0000"/>
          <w:lang w:eastAsia="en-US"/>
        </w:rPr>
      </w:pPr>
    </w:p>
    <w:p w14:paraId="6610455C" w14:textId="53A48411" w:rsidR="00382C05" w:rsidRDefault="00964EAF" w:rsidP="00382C05">
      <w:pPr>
        <w:rPr>
          <w:rFonts w:ascii="Arial" w:hAnsi="Arial" w:cs="Arial"/>
          <w:color w:val="1F497D" w:themeColor="text2"/>
          <w:sz w:val="32"/>
          <w:szCs w:val="32"/>
        </w:rPr>
      </w:pPr>
      <w:r>
        <w:rPr>
          <w:rFonts w:ascii="Arial" w:hAnsi="Arial" w:cs="Arial"/>
          <w:color w:val="1F497D" w:themeColor="text2"/>
          <w:sz w:val="32"/>
          <w:szCs w:val="32"/>
        </w:rPr>
        <w:t>____________________________________________________</w:t>
      </w:r>
    </w:p>
    <w:p w14:paraId="532A9357" w14:textId="77777777" w:rsidR="00382C05" w:rsidRDefault="00382C05" w:rsidP="00382C05">
      <w:pPr>
        <w:rPr>
          <w:rFonts w:ascii="Arial" w:hAnsi="Arial" w:cs="Arial"/>
          <w:color w:val="1F497D" w:themeColor="text2"/>
          <w:sz w:val="32"/>
          <w:szCs w:val="32"/>
        </w:rPr>
      </w:pPr>
    </w:p>
    <w:p w14:paraId="35B84BBB" w14:textId="244E3C58" w:rsidR="00382C05" w:rsidRDefault="001F63E7" w:rsidP="00382C05">
      <w:pPr>
        <w:rPr>
          <w:rFonts w:ascii="Arial" w:hAnsi="Arial" w:cs="Arial"/>
          <w:color w:val="1F497D" w:themeColor="text2"/>
          <w:sz w:val="32"/>
          <w:szCs w:val="32"/>
        </w:rPr>
      </w:pPr>
      <w:r>
        <w:rPr>
          <w:rFonts w:ascii="Arial" w:hAnsi="Arial" w:cs="Arial"/>
          <w:color w:val="1F497D" w:themeColor="text2"/>
          <w:sz w:val="32"/>
          <w:szCs w:val="32"/>
        </w:rPr>
        <w:t>STUDENT NAME:              Monir Ahmed</w:t>
      </w:r>
    </w:p>
    <w:p w14:paraId="1BE90848" w14:textId="7C811206" w:rsidR="001F63E7" w:rsidRDefault="001F63E7" w:rsidP="00382C05">
      <w:pPr>
        <w:rPr>
          <w:rFonts w:ascii="Arial" w:hAnsi="Arial" w:cs="Arial"/>
          <w:color w:val="1F497D" w:themeColor="text2"/>
          <w:sz w:val="32"/>
          <w:szCs w:val="32"/>
        </w:rPr>
      </w:pPr>
      <w:r>
        <w:rPr>
          <w:rFonts w:ascii="Arial" w:hAnsi="Arial" w:cs="Arial"/>
          <w:color w:val="1F497D" w:themeColor="text2"/>
          <w:sz w:val="32"/>
          <w:szCs w:val="32"/>
        </w:rPr>
        <w:t xml:space="preserve">STUDENT ID NUMBER:    </w:t>
      </w:r>
      <w:hyperlink r:id="rId5" w:history="1">
        <w:r w:rsidRPr="00EE5E22">
          <w:rPr>
            <w:rStyle w:val="Hyperlink"/>
            <w:rFonts w:ascii="Arial" w:hAnsi="Arial" w:cs="Arial"/>
            <w:sz w:val="32"/>
            <w:szCs w:val="32"/>
          </w:rPr>
          <w:t>1806400@student.uwtsd.ac.uk</w:t>
        </w:r>
      </w:hyperlink>
    </w:p>
    <w:p w14:paraId="1C68064D" w14:textId="77777777" w:rsidR="001F63E7" w:rsidRDefault="001F63E7" w:rsidP="00382C05">
      <w:pPr>
        <w:rPr>
          <w:rFonts w:ascii="Arial" w:hAnsi="Arial" w:cs="Arial"/>
          <w:color w:val="1F497D" w:themeColor="text2"/>
          <w:sz w:val="32"/>
          <w:szCs w:val="32"/>
        </w:rPr>
      </w:pPr>
      <w:r>
        <w:rPr>
          <w:rFonts w:ascii="Arial" w:hAnsi="Arial" w:cs="Arial"/>
          <w:color w:val="1F497D" w:themeColor="text2"/>
          <w:sz w:val="32"/>
          <w:szCs w:val="32"/>
        </w:rPr>
        <w:t>PROGRAMME:                   Law Portfolio</w:t>
      </w:r>
    </w:p>
    <w:p w14:paraId="352E7922" w14:textId="1E9527C1" w:rsidR="001F63E7" w:rsidRDefault="001F63E7" w:rsidP="00382C05">
      <w:pPr>
        <w:rPr>
          <w:rFonts w:ascii="Arial" w:hAnsi="Arial" w:cs="Arial"/>
          <w:color w:val="1F497D" w:themeColor="text2"/>
          <w:sz w:val="32"/>
          <w:szCs w:val="32"/>
        </w:rPr>
      </w:pPr>
      <w:r>
        <w:rPr>
          <w:rFonts w:ascii="Arial" w:hAnsi="Arial" w:cs="Arial"/>
          <w:color w:val="1F497D" w:themeColor="text2"/>
          <w:sz w:val="32"/>
          <w:szCs w:val="32"/>
        </w:rPr>
        <w:t xml:space="preserve">MODULE NAME:                Criminal Law/BMLW4005/BMPL4009 </w:t>
      </w:r>
    </w:p>
    <w:p w14:paraId="5B22D1C8" w14:textId="3F38D494" w:rsidR="00CF7A6A" w:rsidRDefault="00CF7A6A" w:rsidP="00382C05">
      <w:pPr>
        <w:rPr>
          <w:rFonts w:ascii="Arial" w:hAnsi="Arial" w:cs="Arial"/>
          <w:color w:val="1F497D" w:themeColor="text2"/>
          <w:sz w:val="32"/>
          <w:szCs w:val="32"/>
        </w:rPr>
      </w:pPr>
      <w:r>
        <w:rPr>
          <w:rFonts w:ascii="Arial" w:hAnsi="Arial" w:cs="Arial"/>
          <w:color w:val="1F497D" w:themeColor="text2"/>
          <w:sz w:val="32"/>
          <w:szCs w:val="32"/>
        </w:rPr>
        <w:t>LECTURER:                       Laura Knight</w:t>
      </w:r>
    </w:p>
    <w:p w14:paraId="53D397BD" w14:textId="024018A5" w:rsidR="00CF7A6A" w:rsidRDefault="00CF7A6A" w:rsidP="00382C05">
      <w:pPr>
        <w:rPr>
          <w:rFonts w:ascii="Arial" w:hAnsi="Arial" w:cs="Arial"/>
          <w:color w:val="1F497D" w:themeColor="text2"/>
          <w:sz w:val="32"/>
          <w:szCs w:val="32"/>
        </w:rPr>
      </w:pPr>
      <w:r>
        <w:rPr>
          <w:rFonts w:ascii="Arial" w:hAnsi="Arial" w:cs="Arial"/>
          <w:color w:val="1F497D" w:themeColor="text2"/>
          <w:sz w:val="32"/>
          <w:szCs w:val="32"/>
        </w:rPr>
        <w:t>ASSIGNMENT TITLE:        Reform of Homicide</w:t>
      </w:r>
    </w:p>
    <w:p w14:paraId="6FFE347A" w14:textId="48FD3DEF" w:rsidR="00CF7A6A" w:rsidRDefault="00CF7A6A" w:rsidP="00382C05">
      <w:pPr>
        <w:rPr>
          <w:rFonts w:ascii="Arial" w:hAnsi="Arial" w:cs="Arial"/>
          <w:color w:val="1F497D" w:themeColor="text2"/>
          <w:sz w:val="32"/>
          <w:szCs w:val="32"/>
        </w:rPr>
      </w:pPr>
      <w:r>
        <w:rPr>
          <w:rFonts w:ascii="Arial" w:hAnsi="Arial" w:cs="Arial"/>
          <w:color w:val="1F497D" w:themeColor="text2"/>
          <w:sz w:val="32"/>
          <w:szCs w:val="32"/>
        </w:rPr>
        <w:t>WORD COUNT:                 1500 ( or equivalent)</w:t>
      </w:r>
    </w:p>
    <w:p w14:paraId="363DCC19" w14:textId="0D1C1DCF" w:rsidR="00CF7A6A" w:rsidRDefault="00CF7A6A" w:rsidP="00382C05">
      <w:pPr>
        <w:rPr>
          <w:rFonts w:ascii="Arial" w:hAnsi="Arial" w:cs="Arial"/>
          <w:color w:val="1F497D" w:themeColor="text2"/>
          <w:sz w:val="32"/>
          <w:szCs w:val="32"/>
        </w:rPr>
      </w:pPr>
      <w:r>
        <w:rPr>
          <w:rFonts w:ascii="Arial" w:hAnsi="Arial" w:cs="Arial"/>
          <w:color w:val="1F497D" w:themeColor="text2"/>
          <w:sz w:val="32"/>
          <w:szCs w:val="32"/>
        </w:rPr>
        <w:t>SUBMISSION DEADLINE: Friday 5</w:t>
      </w:r>
      <w:r w:rsidRPr="00CF7A6A">
        <w:rPr>
          <w:rFonts w:ascii="Arial" w:hAnsi="Arial" w:cs="Arial"/>
          <w:color w:val="1F497D" w:themeColor="text2"/>
          <w:sz w:val="32"/>
          <w:szCs w:val="32"/>
          <w:vertAlign w:val="superscript"/>
        </w:rPr>
        <w:t>th</w:t>
      </w:r>
      <w:r>
        <w:rPr>
          <w:rFonts w:ascii="Arial" w:hAnsi="Arial" w:cs="Arial"/>
          <w:color w:val="1F497D" w:themeColor="text2"/>
          <w:sz w:val="32"/>
          <w:szCs w:val="32"/>
        </w:rPr>
        <w:t xml:space="preserve"> November 2021 , 23:59</w:t>
      </w:r>
    </w:p>
    <w:p w14:paraId="49C21507" w14:textId="77777777" w:rsidR="00CF7A6A" w:rsidRDefault="00CF7A6A" w:rsidP="00382C05">
      <w:pPr>
        <w:rPr>
          <w:rFonts w:ascii="Arial" w:hAnsi="Arial" w:cs="Arial"/>
          <w:color w:val="1F497D" w:themeColor="text2"/>
          <w:sz w:val="32"/>
          <w:szCs w:val="32"/>
        </w:rPr>
      </w:pPr>
    </w:p>
    <w:p w14:paraId="0A36112C" w14:textId="0C13BED7" w:rsidR="00535CCC" w:rsidRPr="00964EAF" w:rsidRDefault="00964EAF" w:rsidP="001F63E7">
      <w:pPr>
        <w:jc w:val="both"/>
        <w:rPr>
          <w:color w:val="1F497D" w:themeColor="text2"/>
          <w:lang w:eastAsia="en-US"/>
        </w:rPr>
      </w:pPr>
      <w:r w:rsidRPr="00964EAF">
        <w:rPr>
          <w:color w:val="1F497D" w:themeColor="text2"/>
          <w:lang w:eastAsia="en-US"/>
        </w:rPr>
        <w:t>_____________________________________________________________________________________</w:t>
      </w:r>
    </w:p>
    <w:p w14:paraId="035C170C" w14:textId="77777777" w:rsidR="0013242C" w:rsidRDefault="0013242C">
      <w:pPr>
        <w:pStyle w:val="TOCHeading"/>
        <w:rPr>
          <w:rFonts w:ascii="Arial" w:hAnsi="Arial" w:cs="Arial"/>
          <w:color w:val="1F497D" w:themeColor="text2"/>
          <w:sz w:val="32"/>
          <w:szCs w:val="32"/>
        </w:rPr>
      </w:pPr>
    </w:p>
    <w:p w14:paraId="1BE5BB8D" w14:textId="77777777" w:rsidR="00FB710A" w:rsidRDefault="00FB710A">
      <w:pPr>
        <w:pStyle w:val="TOCHeading"/>
        <w:rPr>
          <w:rFonts w:ascii="Arial" w:hAnsi="Arial" w:cs="Arial"/>
          <w:color w:val="1F497D" w:themeColor="text2"/>
          <w:sz w:val="32"/>
          <w:szCs w:val="32"/>
        </w:rPr>
      </w:pPr>
    </w:p>
    <w:p w14:paraId="6E95B617" w14:textId="4A939C73" w:rsidR="002A2608" w:rsidRPr="0013242C" w:rsidRDefault="002A2608">
      <w:pPr>
        <w:pStyle w:val="TOCHeading"/>
        <w:rPr>
          <w:rFonts w:ascii="Arial" w:hAnsi="Arial" w:cs="Arial"/>
          <w:color w:val="1F497D" w:themeColor="text2"/>
          <w:sz w:val="32"/>
          <w:szCs w:val="32"/>
        </w:rPr>
      </w:pPr>
      <w:r w:rsidRPr="0013242C">
        <w:rPr>
          <w:rFonts w:ascii="Arial" w:hAnsi="Arial" w:cs="Arial"/>
          <w:color w:val="1F497D" w:themeColor="text2"/>
          <w:sz w:val="32"/>
          <w:szCs w:val="32"/>
        </w:rPr>
        <w:t>Table of Contents</w:t>
      </w:r>
    </w:p>
    <w:p w14:paraId="0C8B446D" w14:textId="223DB897" w:rsidR="00A17140" w:rsidRPr="00A17140" w:rsidRDefault="002A2608">
      <w:pPr>
        <w:pStyle w:val="TOC1"/>
        <w:tabs>
          <w:tab w:val="right" w:leader="dot" w:pos="9350"/>
        </w:tabs>
        <w:rPr>
          <w:rFonts w:cs="Times New Roman"/>
          <w:b w:val="0"/>
          <w:bCs w:val="0"/>
          <w:caps w:val="0"/>
          <w:noProof/>
          <w:sz w:val="24"/>
          <w:szCs w:val="24"/>
          <w:u w:val="none"/>
          <w:lang w:val="en-GB" w:eastAsia="en-GB"/>
        </w:rPr>
      </w:pPr>
      <w:r w:rsidRPr="00A17140">
        <w:rPr>
          <w:rFonts w:ascii="Arial" w:hAnsi="Arial" w:cs="Arial"/>
          <w:b w:val="0"/>
          <w:bCs w:val="0"/>
          <w:color w:val="000000"/>
          <w:sz w:val="24"/>
          <w:szCs w:val="24"/>
        </w:rPr>
        <w:fldChar w:fldCharType="begin"/>
      </w:r>
      <w:r w:rsidRPr="00A17140">
        <w:rPr>
          <w:rFonts w:ascii="Arial" w:hAnsi="Arial" w:cs="Arial"/>
          <w:color w:val="000000"/>
          <w:sz w:val="24"/>
          <w:szCs w:val="24"/>
        </w:rPr>
        <w:instrText xml:space="preserve"> TOC \o "1-3" \h \z \u </w:instrText>
      </w:r>
      <w:r w:rsidRPr="00A17140">
        <w:rPr>
          <w:rFonts w:ascii="Arial" w:hAnsi="Arial" w:cs="Arial"/>
          <w:b w:val="0"/>
          <w:bCs w:val="0"/>
          <w:color w:val="000000"/>
          <w:sz w:val="24"/>
          <w:szCs w:val="24"/>
        </w:rPr>
        <w:fldChar w:fldCharType="separate"/>
      </w:r>
      <w:hyperlink w:anchor="_Toc86485901" w:history="1">
        <w:r w:rsidR="00A17140" w:rsidRPr="0051097E">
          <w:rPr>
            <w:rStyle w:val="Hyperlink"/>
            <w:rFonts w:ascii="Arial" w:hAnsi="Arial" w:cs="Arial"/>
            <w:noProof/>
          </w:rPr>
          <w:t>Statement</w:t>
        </w:r>
        <w:r w:rsidR="00A17140">
          <w:rPr>
            <w:noProof/>
            <w:webHidden/>
          </w:rPr>
          <w:tab/>
        </w:r>
        <w:r w:rsidR="00A17140">
          <w:rPr>
            <w:noProof/>
            <w:webHidden/>
          </w:rPr>
          <w:fldChar w:fldCharType="begin"/>
        </w:r>
        <w:r w:rsidR="00A17140">
          <w:rPr>
            <w:noProof/>
            <w:webHidden/>
          </w:rPr>
          <w:instrText xml:space="preserve"> PAGEREF _Toc86485901 \h </w:instrText>
        </w:r>
        <w:r w:rsidR="00A17140">
          <w:rPr>
            <w:noProof/>
            <w:webHidden/>
          </w:rPr>
        </w:r>
        <w:r w:rsidR="00A17140">
          <w:rPr>
            <w:noProof/>
            <w:webHidden/>
          </w:rPr>
          <w:fldChar w:fldCharType="separate"/>
        </w:r>
        <w:r w:rsidR="00A17140">
          <w:rPr>
            <w:noProof/>
            <w:webHidden/>
          </w:rPr>
          <w:t>2</w:t>
        </w:r>
        <w:r w:rsidR="00A17140">
          <w:rPr>
            <w:noProof/>
            <w:webHidden/>
          </w:rPr>
          <w:fldChar w:fldCharType="end"/>
        </w:r>
      </w:hyperlink>
    </w:p>
    <w:p w14:paraId="55CCCB3C" w14:textId="039D6F58" w:rsidR="00A17140" w:rsidRPr="00A17140" w:rsidRDefault="002B7583">
      <w:pPr>
        <w:pStyle w:val="TOC1"/>
        <w:tabs>
          <w:tab w:val="right" w:leader="dot" w:pos="9350"/>
        </w:tabs>
        <w:rPr>
          <w:rFonts w:cs="Times New Roman"/>
          <w:b w:val="0"/>
          <w:bCs w:val="0"/>
          <w:caps w:val="0"/>
          <w:noProof/>
          <w:sz w:val="24"/>
          <w:szCs w:val="24"/>
          <w:u w:val="none"/>
          <w:lang w:val="en-GB" w:eastAsia="en-GB"/>
        </w:rPr>
      </w:pPr>
      <w:hyperlink w:anchor="_Toc86485902" w:history="1">
        <w:r w:rsidR="00A17140" w:rsidRPr="0051097E">
          <w:rPr>
            <w:rStyle w:val="Hyperlink"/>
            <w:rFonts w:ascii="Arial" w:hAnsi="Arial" w:cs="Arial"/>
            <w:noProof/>
          </w:rPr>
          <w:t>Introduction:</w:t>
        </w:r>
        <w:r w:rsidR="00A17140">
          <w:rPr>
            <w:noProof/>
            <w:webHidden/>
          </w:rPr>
          <w:tab/>
        </w:r>
        <w:r w:rsidR="00A17140">
          <w:rPr>
            <w:noProof/>
            <w:webHidden/>
          </w:rPr>
          <w:fldChar w:fldCharType="begin"/>
        </w:r>
        <w:r w:rsidR="00A17140">
          <w:rPr>
            <w:noProof/>
            <w:webHidden/>
          </w:rPr>
          <w:instrText xml:space="preserve"> PAGEREF _Toc86485902 \h </w:instrText>
        </w:r>
        <w:r w:rsidR="00A17140">
          <w:rPr>
            <w:noProof/>
            <w:webHidden/>
          </w:rPr>
        </w:r>
        <w:r w:rsidR="00A17140">
          <w:rPr>
            <w:noProof/>
            <w:webHidden/>
          </w:rPr>
          <w:fldChar w:fldCharType="separate"/>
        </w:r>
        <w:r w:rsidR="00A17140">
          <w:rPr>
            <w:noProof/>
            <w:webHidden/>
          </w:rPr>
          <w:t>2</w:t>
        </w:r>
        <w:r w:rsidR="00A17140">
          <w:rPr>
            <w:noProof/>
            <w:webHidden/>
          </w:rPr>
          <w:fldChar w:fldCharType="end"/>
        </w:r>
      </w:hyperlink>
    </w:p>
    <w:p w14:paraId="2C9D9B22" w14:textId="5B78C36C" w:rsidR="00A17140" w:rsidRPr="00A17140" w:rsidRDefault="002B7583">
      <w:pPr>
        <w:pStyle w:val="TOC1"/>
        <w:tabs>
          <w:tab w:val="right" w:leader="dot" w:pos="9350"/>
        </w:tabs>
        <w:rPr>
          <w:rFonts w:cs="Times New Roman"/>
          <w:b w:val="0"/>
          <w:bCs w:val="0"/>
          <w:caps w:val="0"/>
          <w:noProof/>
          <w:sz w:val="24"/>
          <w:szCs w:val="24"/>
          <w:u w:val="none"/>
          <w:lang w:val="en-GB" w:eastAsia="en-GB"/>
        </w:rPr>
      </w:pPr>
      <w:hyperlink w:anchor="_Toc86485903" w:history="1">
        <w:r w:rsidR="00A17140" w:rsidRPr="0051097E">
          <w:rPr>
            <w:rStyle w:val="Hyperlink"/>
            <w:rFonts w:ascii="Arial" w:hAnsi="Arial" w:cs="Arial"/>
            <w:noProof/>
          </w:rPr>
          <w:t>Evidence</w:t>
        </w:r>
        <w:r w:rsidR="00A17140">
          <w:rPr>
            <w:noProof/>
            <w:webHidden/>
          </w:rPr>
          <w:tab/>
        </w:r>
        <w:r w:rsidR="00A17140">
          <w:rPr>
            <w:noProof/>
            <w:webHidden/>
          </w:rPr>
          <w:fldChar w:fldCharType="begin"/>
        </w:r>
        <w:r w:rsidR="00A17140">
          <w:rPr>
            <w:noProof/>
            <w:webHidden/>
          </w:rPr>
          <w:instrText xml:space="preserve"> PAGEREF _Toc86485903 \h </w:instrText>
        </w:r>
        <w:r w:rsidR="00A17140">
          <w:rPr>
            <w:noProof/>
            <w:webHidden/>
          </w:rPr>
        </w:r>
        <w:r w:rsidR="00A17140">
          <w:rPr>
            <w:noProof/>
            <w:webHidden/>
          </w:rPr>
          <w:fldChar w:fldCharType="separate"/>
        </w:r>
        <w:r w:rsidR="00A17140">
          <w:rPr>
            <w:noProof/>
            <w:webHidden/>
          </w:rPr>
          <w:t>2</w:t>
        </w:r>
        <w:r w:rsidR="00A17140">
          <w:rPr>
            <w:noProof/>
            <w:webHidden/>
          </w:rPr>
          <w:fldChar w:fldCharType="end"/>
        </w:r>
      </w:hyperlink>
    </w:p>
    <w:p w14:paraId="35553521" w14:textId="133AB319" w:rsidR="00A17140" w:rsidRPr="00A17140" w:rsidRDefault="002B7583">
      <w:pPr>
        <w:pStyle w:val="TOC1"/>
        <w:tabs>
          <w:tab w:val="right" w:leader="dot" w:pos="9350"/>
        </w:tabs>
        <w:rPr>
          <w:rFonts w:cs="Times New Roman"/>
          <w:b w:val="0"/>
          <w:bCs w:val="0"/>
          <w:caps w:val="0"/>
          <w:noProof/>
          <w:sz w:val="24"/>
          <w:szCs w:val="24"/>
          <w:u w:val="none"/>
          <w:lang w:val="en-GB" w:eastAsia="en-GB"/>
        </w:rPr>
      </w:pPr>
      <w:hyperlink w:anchor="_Toc86485904" w:history="1">
        <w:r w:rsidR="00A17140" w:rsidRPr="0051097E">
          <w:rPr>
            <w:rStyle w:val="Hyperlink"/>
            <w:rFonts w:ascii="Arial" w:hAnsi="Arial" w:cs="Arial"/>
            <w:noProof/>
          </w:rPr>
          <w:t>Conclusion</w:t>
        </w:r>
        <w:r w:rsidR="00A17140">
          <w:rPr>
            <w:noProof/>
            <w:webHidden/>
          </w:rPr>
          <w:tab/>
        </w:r>
        <w:r w:rsidR="00A17140">
          <w:rPr>
            <w:noProof/>
            <w:webHidden/>
          </w:rPr>
          <w:fldChar w:fldCharType="begin"/>
        </w:r>
        <w:r w:rsidR="00A17140">
          <w:rPr>
            <w:noProof/>
            <w:webHidden/>
          </w:rPr>
          <w:instrText xml:space="preserve"> PAGEREF _Toc86485904 \h </w:instrText>
        </w:r>
        <w:r w:rsidR="00A17140">
          <w:rPr>
            <w:noProof/>
            <w:webHidden/>
          </w:rPr>
        </w:r>
        <w:r w:rsidR="00A17140">
          <w:rPr>
            <w:noProof/>
            <w:webHidden/>
          </w:rPr>
          <w:fldChar w:fldCharType="separate"/>
        </w:r>
        <w:r w:rsidR="00A17140">
          <w:rPr>
            <w:noProof/>
            <w:webHidden/>
          </w:rPr>
          <w:t>5</w:t>
        </w:r>
        <w:r w:rsidR="00A17140">
          <w:rPr>
            <w:noProof/>
            <w:webHidden/>
          </w:rPr>
          <w:fldChar w:fldCharType="end"/>
        </w:r>
      </w:hyperlink>
    </w:p>
    <w:p w14:paraId="20E3FB4C" w14:textId="200BD066" w:rsidR="00A17140" w:rsidRPr="00A17140" w:rsidRDefault="002B7583">
      <w:pPr>
        <w:pStyle w:val="TOC1"/>
        <w:tabs>
          <w:tab w:val="right" w:leader="dot" w:pos="9350"/>
        </w:tabs>
        <w:rPr>
          <w:rFonts w:cs="Times New Roman"/>
          <w:b w:val="0"/>
          <w:bCs w:val="0"/>
          <w:caps w:val="0"/>
          <w:noProof/>
          <w:sz w:val="24"/>
          <w:szCs w:val="24"/>
          <w:u w:val="none"/>
          <w:lang w:val="en-GB" w:eastAsia="en-GB"/>
        </w:rPr>
      </w:pPr>
      <w:hyperlink w:anchor="_Toc86485905" w:history="1">
        <w:r w:rsidR="00A17140" w:rsidRPr="0051097E">
          <w:rPr>
            <w:rStyle w:val="Hyperlink"/>
            <w:rFonts w:ascii="Arial" w:hAnsi="Arial" w:cs="Arial"/>
            <w:noProof/>
          </w:rPr>
          <w:t>References:</w:t>
        </w:r>
        <w:r w:rsidR="00A17140">
          <w:rPr>
            <w:noProof/>
            <w:webHidden/>
          </w:rPr>
          <w:tab/>
        </w:r>
        <w:r w:rsidR="00A17140">
          <w:rPr>
            <w:noProof/>
            <w:webHidden/>
          </w:rPr>
          <w:fldChar w:fldCharType="begin"/>
        </w:r>
        <w:r w:rsidR="00A17140">
          <w:rPr>
            <w:noProof/>
            <w:webHidden/>
          </w:rPr>
          <w:instrText xml:space="preserve"> PAGEREF _Toc86485905 \h </w:instrText>
        </w:r>
        <w:r w:rsidR="00A17140">
          <w:rPr>
            <w:noProof/>
            <w:webHidden/>
          </w:rPr>
        </w:r>
        <w:r w:rsidR="00A17140">
          <w:rPr>
            <w:noProof/>
            <w:webHidden/>
          </w:rPr>
          <w:fldChar w:fldCharType="separate"/>
        </w:r>
        <w:r w:rsidR="00A17140">
          <w:rPr>
            <w:noProof/>
            <w:webHidden/>
          </w:rPr>
          <w:t>6</w:t>
        </w:r>
        <w:r w:rsidR="00A17140">
          <w:rPr>
            <w:noProof/>
            <w:webHidden/>
          </w:rPr>
          <w:fldChar w:fldCharType="end"/>
        </w:r>
      </w:hyperlink>
    </w:p>
    <w:p w14:paraId="31830BA8" w14:textId="652C50F3" w:rsidR="002A2608" w:rsidRPr="00A17140" w:rsidRDefault="002A2608" w:rsidP="002A2608">
      <w:pPr>
        <w:rPr>
          <w:rFonts w:ascii="Arial" w:hAnsi="Arial" w:cs="Arial"/>
          <w:color w:val="000000"/>
          <w:sz w:val="24"/>
          <w:szCs w:val="24"/>
        </w:rPr>
      </w:pPr>
      <w:r w:rsidRPr="00A17140">
        <w:rPr>
          <w:rFonts w:ascii="Arial" w:hAnsi="Arial" w:cs="Arial"/>
          <w:b/>
          <w:bCs/>
          <w:noProof/>
          <w:color w:val="000000"/>
          <w:sz w:val="24"/>
          <w:szCs w:val="24"/>
        </w:rPr>
        <w:fldChar w:fldCharType="end"/>
      </w:r>
    </w:p>
    <w:p w14:paraId="4A52714B" w14:textId="44C760D7" w:rsidR="002A2608" w:rsidRPr="00A17140" w:rsidRDefault="002A2608" w:rsidP="002A2608">
      <w:pPr>
        <w:rPr>
          <w:rFonts w:ascii="Arial" w:hAnsi="Arial" w:cs="Arial"/>
          <w:color w:val="000000"/>
          <w:sz w:val="24"/>
          <w:szCs w:val="24"/>
        </w:rPr>
      </w:pPr>
    </w:p>
    <w:p w14:paraId="2FDAFC23" w14:textId="5579A0FA" w:rsidR="002A2608" w:rsidRPr="00A17140" w:rsidRDefault="002A2608" w:rsidP="002A2608">
      <w:pPr>
        <w:rPr>
          <w:rFonts w:ascii="Arial" w:hAnsi="Arial" w:cs="Arial"/>
          <w:color w:val="000000"/>
          <w:sz w:val="24"/>
          <w:szCs w:val="24"/>
        </w:rPr>
      </w:pPr>
    </w:p>
    <w:p w14:paraId="36217D53" w14:textId="3DD19F36" w:rsidR="002A2608" w:rsidRPr="00A17140" w:rsidRDefault="002A2608" w:rsidP="002A2608">
      <w:pPr>
        <w:rPr>
          <w:rFonts w:ascii="Arial" w:hAnsi="Arial" w:cs="Arial"/>
          <w:color w:val="000000"/>
          <w:sz w:val="24"/>
          <w:szCs w:val="24"/>
        </w:rPr>
      </w:pPr>
    </w:p>
    <w:p w14:paraId="2DD5AE17" w14:textId="7984692A" w:rsidR="002A2608" w:rsidRPr="00A17140" w:rsidRDefault="002A2608" w:rsidP="002A2608">
      <w:pPr>
        <w:rPr>
          <w:rFonts w:ascii="Arial" w:hAnsi="Arial" w:cs="Arial"/>
          <w:color w:val="000000"/>
          <w:sz w:val="24"/>
          <w:szCs w:val="24"/>
        </w:rPr>
      </w:pPr>
    </w:p>
    <w:p w14:paraId="67C37507" w14:textId="506D88A6" w:rsidR="002A2608" w:rsidRPr="00A17140" w:rsidRDefault="002A2608" w:rsidP="002A2608">
      <w:pPr>
        <w:rPr>
          <w:rFonts w:ascii="Arial" w:hAnsi="Arial" w:cs="Arial"/>
          <w:color w:val="000000"/>
          <w:sz w:val="24"/>
          <w:szCs w:val="24"/>
        </w:rPr>
      </w:pPr>
    </w:p>
    <w:p w14:paraId="152032DB" w14:textId="0F4BBA47" w:rsidR="002A2608" w:rsidRPr="00A17140" w:rsidRDefault="002A2608" w:rsidP="002A2608">
      <w:pPr>
        <w:rPr>
          <w:rFonts w:ascii="Arial" w:hAnsi="Arial" w:cs="Arial"/>
          <w:color w:val="000000"/>
          <w:sz w:val="24"/>
          <w:szCs w:val="24"/>
        </w:rPr>
      </w:pPr>
    </w:p>
    <w:p w14:paraId="32E75488" w14:textId="49AB456F" w:rsidR="00A14F9A" w:rsidRPr="00964EAF" w:rsidRDefault="005F4A86" w:rsidP="00964EAF">
      <w:pPr>
        <w:rPr>
          <w:rFonts w:ascii="Arial" w:hAnsi="Arial" w:cs="Arial"/>
          <w:color w:val="000000"/>
          <w:sz w:val="24"/>
          <w:szCs w:val="24"/>
        </w:rPr>
      </w:pPr>
      <w:bookmarkStart w:id="0" w:name="_Toc86485901"/>
      <w:r w:rsidRPr="004038CB">
        <w:rPr>
          <w:rFonts w:ascii="Arial" w:hAnsi="Arial" w:cs="Arial"/>
          <w:color w:val="000000"/>
          <w:sz w:val="28"/>
          <w:szCs w:val="28"/>
        </w:rPr>
        <w:t>Statement</w:t>
      </w:r>
      <w:bookmarkEnd w:id="0"/>
      <w:r w:rsidR="00FB710A">
        <w:rPr>
          <w:rFonts w:ascii="Arial" w:hAnsi="Arial" w:cs="Arial"/>
          <w:color w:val="000000"/>
          <w:sz w:val="28"/>
          <w:szCs w:val="28"/>
        </w:rPr>
        <w:t>;</w:t>
      </w:r>
    </w:p>
    <w:p w14:paraId="32E75489" w14:textId="103E954A" w:rsidR="00A14F9A" w:rsidRPr="00964EAF" w:rsidRDefault="005F4A86" w:rsidP="00964EAF">
      <w:pPr>
        <w:spacing w:line="360" w:lineRule="auto"/>
        <w:rPr>
          <w:rFonts w:ascii="Arial" w:hAnsi="Arial" w:cs="Arial"/>
          <w:color w:val="000000"/>
          <w:sz w:val="24"/>
          <w:szCs w:val="24"/>
        </w:rPr>
      </w:pPr>
      <w:r w:rsidRPr="00964EAF">
        <w:rPr>
          <w:rFonts w:ascii="Arial" w:hAnsi="Arial" w:cs="Arial"/>
          <w:color w:val="000000"/>
          <w:sz w:val="24"/>
          <w:szCs w:val="24"/>
        </w:rPr>
        <w:t xml:space="preserve">The law governing homicide in England and Wales is based on a rickety structure that is set up on a shaky foundation. Some of its rules have been unaltered ever since the seventeenth </w:t>
      </w:r>
      <w:r w:rsidR="002A2608" w:rsidRPr="00964EAF">
        <w:rPr>
          <w:rFonts w:ascii="Arial" w:hAnsi="Arial" w:cs="Arial"/>
          <w:color w:val="000000"/>
          <w:sz w:val="24"/>
          <w:szCs w:val="24"/>
        </w:rPr>
        <w:t>century</w:t>
      </w:r>
      <w:r w:rsidRPr="00964EAF">
        <w:rPr>
          <w:rFonts w:ascii="Arial" w:hAnsi="Arial" w:cs="Arial"/>
          <w:color w:val="000000"/>
          <w:sz w:val="24"/>
          <w:szCs w:val="24"/>
        </w:rPr>
        <w:t xml:space="preserve">, even though it has long been acknowledged that the reforms must be introduced in the law governing homicide. </w:t>
      </w:r>
    </w:p>
    <w:p w14:paraId="46713947" w14:textId="77777777" w:rsidR="00964EAF" w:rsidRDefault="00964EAF">
      <w:pPr>
        <w:pStyle w:val="Heading1"/>
        <w:spacing w:line="360" w:lineRule="auto"/>
        <w:rPr>
          <w:rFonts w:ascii="Arial" w:hAnsi="Arial" w:cs="Arial"/>
          <w:color w:val="000000"/>
        </w:rPr>
      </w:pPr>
      <w:bookmarkStart w:id="1" w:name="_Toc86485902"/>
    </w:p>
    <w:p w14:paraId="32E7548A" w14:textId="07A7ABA9" w:rsidR="00A14F9A" w:rsidRPr="004038CB" w:rsidRDefault="005F4A86">
      <w:pPr>
        <w:pStyle w:val="Heading1"/>
        <w:spacing w:line="360" w:lineRule="auto"/>
        <w:rPr>
          <w:rFonts w:ascii="Arial" w:hAnsi="Arial" w:cs="Arial"/>
          <w:color w:val="000000"/>
        </w:rPr>
      </w:pPr>
      <w:r w:rsidRPr="004038CB">
        <w:rPr>
          <w:rFonts w:ascii="Arial" w:hAnsi="Arial" w:cs="Arial"/>
          <w:color w:val="000000"/>
        </w:rPr>
        <w:t>Introduction:</w:t>
      </w:r>
      <w:bookmarkEnd w:id="1"/>
    </w:p>
    <w:p w14:paraId="32E7548B" w14:textId="25BFC09A"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The law on Voluntary manslaughter and murder in Wales and England has progressed over the last few years. It is an outcome of diverse statutory provisions with a far-reaching and complex series of judicial decisions. The decisions have </w:t>
      </w:r>
      <w:r w:rsidR="00D22D32" w:rsidRPr="00A17140">
        <w:rPr>
          <w:rFonts w:ascii="Arial" w:hAnsi="Arial" w:cs="Arial"/>
          <w:color w:val="000000"/>
          <w:sz w:val="24"/>
          <w:szCs w:val="24"/>
        </w:rPr>
        <w:t>dealt</w:t>
      </w:r>
      <w:r w:rsidRPr="00A17140">
        <w:rPr>
          <w:rFonts w:ascii="Arial" w:hAnsi="Arial" w:cs="Arial"/>
          <w:color w:val="000000"/>
          <w:sz w:val="24"/>
          <w:szCs w:val="24"/>
        </w:rPr>
        <w:t xml:space="preserve"> with </w:t>
      </w:r>
      <w:r w:rsidR="002A2608" w:rsidRPr="00A17140">
        <w:rPr>
          <w:rFonts w:ascii="Arial" w:hAnsi="Arial" w:cs="Arial"/>
          <w:color w:val="000000"/>
          <w:sz w:val="24"/>
          <w:szCs w:val="24"/>
        </w:rPr>
        <w:t>points</w:t>
      </w:r>
      <w:r w:rsidRPr="00A17140">
        <w:rPr>
          <w:rFonts w:ascii="Arial" w:hAnsi="Arial" w:cs="Arial"/>
          <w:color w:val="000000"/>
          <w:sz w:val="24"/>
          <w:szCs w:val="24"/>
        </w:rPr>
        <w:t xml:space="preserve"> in that law, but it has never addressed the criminal offense in a more holistic approach. Law Commission proposals is based on three-tier approach </w:t>
      </w:r>
      <w:r w:rsidR="002A2608" w:rsidRPr="00A17140">
        <w:rPr>
          <w:rFonts w:ascii="Arial" w:hAnsi="Arial" w:cs="Arial"/>
          <w:color w:val="000000"/>
          <w:sz w:val="24"/>
          <w:szCs w:val="24"/>
        </w:rPr>
        <w:t>o</w:t>
      </w:r>
      <w:r w:rsidRPr="00A17140">
        <w:rPr>
          <w:rFonts w:ascii="Arial" w:hAnsi="Arial" w:cs="Arial"/>
          <w:color w:val="000000"/>
          <w:sz w:val="24"/>
          <w:szCs w:val="24"/>
        </w:rPr>
        <w:t xml:space="preserve">f </w:t>
      </w:r>
      <w:r w:rsidR="000111A9">
        <w:rPr>
          <w:rFonts w:ascii="Arial" w:hAnsi="Arial" w:cs="Arial"/>
          <w:color w:val="000000"/>
          <w:sz w:val="24"/>
          <w:szCs w:val="24"/>
        </w:rPr>
        <w:t>‘</w:t>
      </w:r>
      <w:r w:rsidRPr="00A17140">
        <w:rPr>
          <w:rFonts w:ascii="Arial" w:hAnsi="Arial" w:cs="Arial"/>
          <w:color w:val="000000"/>
          <w:sz w:val="24"/>
          <w:szCs w:val="24"/>
        </w:rPr>
        <w:t>reforms to homicide</w:t>
      </w:r>
      <w:r w:rsidR="000111A9">
        <w:rPr>
          <w:rFonts w:ascii="Arial" w:hAnsi="Arial" w:cs="Arial"/>
          <w:color w:val="000000"/>
          <w:sz w:val="24"/>
          <w:szCs w:val="24"/>
        </w:rPr>
        <w:t>’</w:t>
      </w:r>
      <w:r w:rsidRPr="00A17140">
        <w:rPr>
          <w:rFonts w:ascii="Arial" w:hAnsi="Arial" w:cs="Arial"/>
          <w:color w:val="000000"/>
          <w:sz w:val="24"/>
          <w:szCs w:val="24"/>
        </w:rPr>
        <w:t xml:space="preserve"> offenses that would include second-degree and first-degree </w:t>
      </w:r>
      <w:r w:rsidR="002A2608" w:rsidRPr="00A17140">
        <w:rPr>
          <w:rFonts w:ascii="Arial" w:hAnsi="Arial" w:cs="Arial"/>
          <w:color w:val="000000"/>
          <w:sz w:val="24"/>
          <w:szCs w:val="24"/>
        </w:rPr>
        <w:t>man</w:t>
      </w:r>
      <w:r w:rsidRPr="00A17140">
        <w:rPr>
          <w:rFonts w:ascii="Arial" w:hAnsi="Arial" w:cs="Arial"/>
          <w:color w:val="000000"/>
          <w:sz w:val="24"/>
          <w:szCs w:val="24"/>
        </w:rPr>
        <w:t xml:space="preserve"> slaughter and murder. The benefits would be to have a clear structure that would adequately reflect certain defendants' degrees of fault. The essay would be structured in different parts to have a better understanding</w:t>
      </w:r>
      <w:r w:rsidR="000111A9">
        <w:rPr>
          <w:rFonts w:ascii="Arial" w:hAnsi="Arial" w:cs="Arial"/>
          <w:color w:val="000000"/>
          <w:sz w:val="24"/>
          <w:szCs w:val="24"/>
        </w:rPr>
        <w:t xml:space="preserve"> about current homicide Law weather need to be reformation or not </w:t>
      </w:r>
      <w:r w:rsidRPr="00A17140">
        <w:rPr>
          <w:rFonts w:ascii="Arial" w:hAnsi="Arial" w:cs="Arial"/>
          <w:color w:val="000000"/>
          <w:sz w:val="24"/>
          <w:szCs w:val="24"/>
        </w:rPr>
        <w:t xml:space="preserve">. </w:t>
      </w:r>
    </w:p>
    <w:p w14:paraId="32E7548C" w14:textId="51E51D4B" w:rsidR="00A14F9A" w:rsidRPr="004038CB" w:rsidRDefault="005F4A86">
      <w:pPr>
        <w:spacing w:line="360" w:lineRule="auto"/>
        <w:jc w:val="both"/>
        <w:rPr>
          <w:rFonts w:ascii="Arial" w:hAnsi="Arial" w:cs="Arial"/>
          <w:color w:val="000000"/>
          <w:sz w:val="28"/>
          <w:szCs w:val="28"/>
        </w:rPr>
      </w:pPr>
      <w:bookmarkStart w:id="2" w:name="_Toc86485903"/>
      <w:r w:rsidRPr="004038CB">
        <w:rPr>
          <w:rStyle w:val="Heading1Char"/>
          <w:rFonts w:ascii="Arial" w:hAnsi="Arial" w:cs="Arial"/>
          <w:color w:val="000000"/>
        </w:rPr>
        <w:t>Evidence</w:t>
      </w:r>
      <w:bookmarkEnd w:id="2"/>
      <w:r w:rsidRPr="004038CB">
        <w:rPr>
          <w:rFonts w:ascii="Arial" w:hAnsi="Arial" w:cs="Arial"/>
          <w:color w:val="000000"/>
          <w:sz w:val="28"/>
          <w:szCs w:val="28"/>
        </w:rPr>
        <w:t>:</w:t>
      </w:r>
      <w:r w:rsidR="000111A9">
        <w:rPr>
          <w:rFonts w:ascii="Arial" w:hAnsi="Arial" w:cs="Arial"/>
          <w:color w:val="000000"/>
          <w:sz w:val="28"/>
          <w:szCs w:val="28"/>
        </w:rPr>
        <w:t xml:space="preserve"> </w:t>
      </w:r>
    </w:p>
    <w:p w14:paraId="32E7548D" w14:textId="3E675633"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It has been argued that over the last three decades, it has become essential to intrude reforms in the homicide law, most explicitly considering</w:t>
      </w:r>
      <w:r w:rsidR="002B7583">
        <w:rPr>
          <w:rFonts w:ascii="Arial" w:hAnsi="Arial" w:cs="Arial"/>
          <w:color w:val="000000"/>
          <w:sz w:val="24"/>
          <w:szCs w:val="24"/>
        </w:rPr>
        <w:t xml:space="preserve"> </w:t>
      </w:r>
      <w:r w:rsidR="002B7583" w:rsidRPr="002B7583">
        <w:rPr>
          <w:rFonts w:ascii="Arial" w:hAnsi="Arial" w:cs="Arial"/>
          <w:color w:val="1F497D" w:themeColor="text2"/>
          <w:sz w:val="24"/>
          <w:szCs w:val="24"/>
        </w:rPr>
        <w:t>(</w:t>
      </w:r>
      <w:r w:rsidR="002B7583" w:rsidRPr="002B7583">
        <w:rPr>
          <w:rFonts w:ascii="Arial" w:hAnsi="Arial" w:cs="Arial"/>
          <w:color w:val="1F497D" w:themeColor="text2"/>
          <w:sz w:val="24"/>
          <w:szCs w:val="24"/>
        </w:rPr>
        <w:t>Hansard</w:t>
      </w:r>
      <w:r w:rsidR="002B7583" w:rsidRPr="002B7583">
        <w:rPr>
          <w:rFonts w:ascii="Arial" w:hAnsi="Arial" w:cs="Arial"/>
          <w:color w:val="1F497D" w:themeColor="text2"/>
          <w:sz w:val="24"/>
          <w:szCs w:val="24"/>
        </w:rPr>
        <w:t>, 2021)</w:t>
      </w:r>
      <w:r w:rsidR="002B7583" w:rsidRPr="002B7583">
        <w:rPr>
          <w:rFonts w:ascii="Arial" w:hAnsi="Arial" w:cs="Arial"/>
          <w:color w:val="1F497D" w:themeColor="text2"/>
          <w:sz w:val="24"/>
          <w:szCs w:val="24"/>
        </w:rPr>
        <w:t>.</w:t>
      </w:r>
      <w:r w:rsidR="002B7583" w:rsidRPr="002B7583">
        <w:rPr>
          <w:rFonts w:ascii="Arial" w:hAnsi="Arial" w:cs="Arial"/>
          <w:color w:val="1F497D" w:themeColor="text2"/>
          <w:sz w:val="24"/>
          <w:szCs w:val="24"/>
        </w:rPr>
        <w:t xml:space="preserve"> </w:t>
      </w:r>
      <w:r w:rsidRPr="002B7583">
        <w:rPr>
          <w:rFonts w:ascii="Arial" w:hAnsi="Arial" w:cs="Arial"/>
          <w:color w:val="1F497D" w:themeColor="text2"/>
          <w:sz w:val="24"/>
          <w:szCs w:val="24"/>
        </w:rPr>
        <w:t xml:space="preserve"> </w:t>
      </w:r>
      <w:r w:rsidRPr="00A17140">
        <w:rPr>
          <w:rFonts w:ascii="Arial" w:hAnsi="Arial" w:cs="Arial"/>
          <w:color w:val="000000"/>
          <w:sz w:val="24"/>
          <w:szCs w:val="24"/>
        </w:rPr>
        <w:t xml:space="preserve">it has become necessary to change the direction to </w:t>
      </w:r>
      <w:r w:rsidR="00D22D32" w:rsidRPr="00A17140">
        <w:rPr>
          <w:rFonts w:ascii="Arial" w:hAnsi="Arial" w:cs="Arial"/>
          <w:color w:val="000000"/>
          <w:sz w:val="24"/>
          <w:szCs w:val="24"/>
        </w:rPr>
        <w:t>determine</w:t>
      </w:r>
      <w:r w:rsidRPr="00A17140">
        <w:rPr>
          <w:rFonts w:ascii="Arial" w:hAnsi="Arial" w:cs="Arial"/>
          <w:color w:val="000000"/>
          <w:sz w:val="24"/>
          <w:szCs w:val="24"/>
        </w:rPr>
        <w:t xml:space="preserve"> whether it would be accurate to punish someone who did not have the intention to kill. The entire essay will present various pieces of evidence to show where the reforms have become necessary for the current homicide law. As mentioned earlier by the legal scholars and judiciary, homicide is one of the most severe criminal offenses</w:t>
      </w:r>
      <w:r w:rsidR="002C1EA3">
        <w:rPr>
          <w:rFonts w:ascii="Arial" w:hAnsi="Arial" w:cs="Arial"/>
          <w:color w:val="000000"/>
          <w:sz w:val="24"/>
          <w:szCs w:val="24"/>
        </w:rPr>
        <w:t xml:space="preserve"> </w:t>
      </w:r>
      <w:r w:rsidR="002C1EA3" w:rsidRPr="002C1EA3">
        <w:rPr>
          <w:rFonts w:ascii="Arial" w:hAnsi="Arial" w:cs="Arial"/>
          <w:color w:val="1F497D" w:themeColor="text2"/>
          <w:sz w:val="24"/>
          <w:szCs w:val="24"/>
        </w:rPr>
        <w:t>(Mahesh D,2021)</w:t>
      </w:r>
      <w:r w:rsidRPr="002C1EA3">
        <w:rPr>
          <w:rFonts w:ascii="Arial" w:hAnsi="Arial" w:cs="Arial"/>
          <w:color w:val="1F497D" w:themeColor="text2"/>
          <w:sz w:val="24"/>
          <w:szCs w:val="24"/>
        </w:rPr>
        <w:t xml:space="preserve">. </w:t>
      </w:r>
      <w:r w:rsidRPr="00A17140">
        <w:rPr>
          <w:rFonts w:ascii="Arial" w:hAnsi="Arial" w:cs="Arial"/>
          <w:color w:val="000000"/>
          <w:sz w:val="24"/>
          <w:szCs w:val="24"/>
        </w:rPr>
        <w:t xml:space="preserve">The primary law regarding homicide is decided in the various branches of manslaughter and murder in which murder </w:t>
      </w:r>
      <w:r w:rsidR="002A2608" w:rsidRPr="00A17140">
        <w:rPr>
          <w:rFonts w:ascii="Arial" w:hAnsi="Arial" w:cs="Arial"/>
          <w:color w:val="000000"/>
          <w:sz w:val="24"/>
          <w:szCs w:val="24"/>
        </w:rPr>
        <w:t>is</w:t>
      </w:r>
      <w:r w:rsidRPr="00A17140">
        <w:rPr>
          <w:rFonts w:ascii="Arial" w:hAnsi="Arial" w:cs="Arial"/>
          <w:color w:val="000000"/>
          <w:sz w:val="24"/>
          <w:szCs w:val="24"/>
        </w:rPr>
        <w:t xml:space="preserve"> the act that carries mandatory life imprisonment, and to is treated as the act of murder. The Abolition of Death penalty Act 1965 changed the nature of punishment for murder</w:t>
      </w:r>
      <w:r w:rsidR="00D22D32" w:rsidRPr="00A17140">
        <w:rPr>
          <w:rFonts w:ascii="Arial" w:hAnsi="Arial" w:cs="Arial"/>
          <w:color w:val="000000"/>
          <w:sz w:val="24"/>
          <w:szCs w:val="24"/>
        </w:rPr>
        <w:t xml:space="preserve"> </w:t>
      </w:r>
      <w:r w:rsidR="00D22D32" w:rsidRPr="003964A8">
        <w:rPr>
          <w:rFonts w:ascii="Arial" w:hAnsi="Arial" w:cs="Arial"/>
          <w:color w:val="1F497D" w:themeColor="text2"/>
          <w:sz w:val="24"/>
          <w:szCs w:val="24"/>
        </w:rPr>
        <w:t>(Coroners and Justice Act 2009)</w:t>
      </w:r>
      <w:r w:rsidRPr="003964A8">
        <w:rPr>
          <w:rFonts w:ascii="Arial" w:hAnsi="Arial" w:cs="Arial"/>
          <w:color w:val="1F497D" w:themeColor="text2"/>
          <w:sz w:val="24"/>
          <w:szCs w:val="24"/>
        </w:rPr>
        <w:t xml:space="preserve">. </w:t>
      </w:r>
    </w:p>
    <w:p w14:paraId="32E7548E" w14:textId="18959528"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As per the definition proposed by Sir Edward Coke, Murder can be defined as "unlawful killing" of anyone under the Queen's Peace, while the</w:t>
      </w:r>
      <w:r w:rsidR="002A2608" w:rsidRPr="00A17140">
        <w:rPr>
          <w:rFonts w:ascii="Arial" w:hAnsi="Arial" w:cs="Arial"/>
          <w:color w:val="000000"/>
          <w:sz w:val="24"/>
          <w:szCs w:val="24"/>
        </w:rPr>
        <w:t>re</w:t>
      </w:r>
      <w:r w:rsidRPr="00A17140">
        <w:rPr>
          <w:rFonts w:ascii="Arial" w:hAnsi="Arial" w:cs="Arial"/>
          <w:color w:val="000000"/>
          <w:sz w:val="24"/>
          <w:szCs w:val="24"/>
        </w:rPr>
        <w:t xml:space="preserve"> are men's rea and actus reus of murder. The law in Wales and England interprets the concept of "malice aforethought" as the "intention to kill," which is a fundamental concept in holding anyone accountable for their acts </w:t>
      </w:r>
      <w:r w:rsidRPr="003964A8">
        <w:rPr>
          <w:rFonts w:ascii="Arial" w:hAnsi="Arial" w:cs="Arial"/>
          <w:color w:val="1F497D" w:themeColor="text2"/>
          <w:sz w:val="24"/>
          <w:szCs w:val="24"/>
        </w:rPr>
        <w:t xml:space="preserve">(R v Cunningham (1982) Ac 566).  </w:t>
      </w:r>
      <w:r w:rsidRPr="00A17140">
        <w:rPr>
          <w:rFonts w:ascii="Arial" w:hAnsi="Arial" w:cs="Arial"/>
          <w:color w:val="000000"/>
          <w:sz w:val="24"/>
          <w:szCs w:val="24"/>
        </w:rPr>
        <w:t xml:space="preserve">This has made this category to be imposed </w:t>
      </w:r>
      <w:r w:rsidRPr="00A17140">
        <w:rPr>
          <w:rFonts w:ascii="Arial" w:hAnsi="Arial" w:cs="Arial"/>
          <w:color w:val="000000"/>
          <w:sz w:val="24"/>
          <w:szCs w:val="24"/>
        </w:rPr>
        <w:lastRenderedPageBreak/>
        <w:t xml:space="preserve">in cases there was no intention to murder but only to cause bodily harm to another person. In this specific perspective of the law commission, there can arise many unfair situations. </w:t>
      </w:r>
    </w:p>
    <w:p w14:paraId="32E7548F" w14:textId="77777777"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The need to have essential reforms in the homicide law can be traced back to the 1980s, after the 14th report on the criminal law reform was released; this led to the criminal code draft in 1985. In recent years, the need to have reforms in the homicide Act has become stronger than before. According to the law commission </w:t>
      </w:r>
      <w:r w:rsidRPr="003964A8">
        <w:rPr>
          <w:rFonts w:ascii="Arial" w:hAnsi="Arial" w:cs="Arial"/>
          <w:color w:val="1F497D" w:themeColor="text2"/>
          <w:sz w:val="24"/>
          <w:szCs w:val="24"/>
        </w:rPr>
        <w:t xml:space="preserve">(2004), </w:t>
      </w:r>
      <w:r w:rsidRPr="00A17140">
        <w:rPr>
          <w:rFonts w:ascii="Arial" w:hAnsi="Arial" w:cs="Arial"/>
          <w:color w:val="000000"/>
          <w:sz w:val="24"/>
          <w:szCs w:val="24"/>
        </w:rPr>
        <w:t xml:space="preserve">the current homicide law in England and Wales can be perceived as a complete mess. </w:t>
      </w:r>
    </w:p>
    <w:p w14:paraId="32E75490" w14:textId="77777777"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Many recommendations have been proposed by the law commission report 304; the submissions are related to the wholesale reforms in the area, particularly a new and better offense structure for "homicides," including new offenses for the second and first-degree murder and well for manslaughter. However, these suggestions have also been criticized by scholars such as Victor </w:t>
      </w:r>
      <w:proofErr w:type="spellStart"/>
      <w:r w:rsidRPr="00A17140">
        <w:rPr>
          <w:rFonts w:ascii="Arial" w:hAnsi="Arial" w:cs="Arial"/>
          <w:color w:val="000000"/>
          <w:sz w:val="24"/>
          <w:szCs w:val="24"/>
        </w:rPr>
        <w:t>Tadros</w:t>
      </w:r>
      <w:proofErr w:type="spellEnd"/>
      <w:r w:rsidRPr="00A17140">
        <w:rPr>
          <w:rFonts w:ascii="Arial" w:hAnsi="Arial" w:cs="Arial"/>
          <w:color w:val="000000"/>
          <w:sz w:val="24"/>
          <w:szCs w:val="24"/>
        </w:rPr>
        <w:t xml:space="preserve">. </w:t>
      </w:r>
    </w:p>
    <w:p w14:paraId="32E75491" w14:textId="005FE26D"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The current law is so outdated that it has no specification for cases where there was no intention to kill, but the defendant's actions comes out to be the virtual certainty of death; this is linked with the concept known as "oblique intention." There are various tests that are used to test the intention of a person, and these tests have been developed from </w:t>
      </w:r>
      <w:r w:rsidR="002A2608" w:rsidRPr="00A17140">
        <w:rPr>
          <w:rFonts w:ascii="Arial" w:hAnsi="Arial" w:cs="Arial"/>
          <w:color w:val="000000"/>
          <w:sz w:val="24"/>
          <w:szCs w:val="24"/>
        </w:rPr>
        <w:t>several</w:t>
      </w:r>
      <w:r w:rsidRPr="00A17140">
        <w:rPr>
          <w:rFonts w:ascii="Arial" w:hAnsi="Arial" w:cs="Arial"/>
          <w:color w:val="000000"/>
          <w:sz w:val="24"/>
          <w:szCs w:val="24"/>
        </w:rPr>
        <w:t xml:space="preserve"> different cases, such as R v Nedrick </w:t>
      </w:r>
      <w:r w:rsidRPr="003964A8">
        <w:rPr>
          <w:rFonts w:ascii="Arial" w:hAnsi="Arial" w:cs="Arial"/>
          <w:color w:val="1F497D" w:themeColor="text2"/>
          <w:sz w:val="24"/>
          <w:szCs w:val="24"/>
        </w:rPr>
        <w:t xml:space="preserve">(1986). </w:t>
      </w:r>
      <w:r w:rsidRPr="00A17140">
        <w:rPr>
          <w:rFonts w:ascii="Arial" w:hAnsi="Arial" w:cs="Arial"/>
          <w:color w:val="000000"/>
          <w:sz w:val="24"/>
          <w:szCs w:val="24"/>
        </w:rPr>
        <w:t xml:space="preserve">The new murder offense for the second and first-degree murder has been proposed by the law commission, which maintains the required simultaneity between men's rea and actus rea. To make the issue more simple, the law commission has suggested either to adopt codifications in the definition of "intention," including knowledge of virtual certainty, and to assess the direct intention, or the codifications can be achieved in </w:t>
      </w:r>
      <w:proofErr w:type="spellStart"/>
      <w:r w:rsidRPr="00A17140">
        <w:rPr>
          <w:rFonts w:ascii="Arial" w:hAnsi="Arial" w:cs="Arial"/>
          <w:color w:val="000000"/>
          <w:sz w:val="24"/>
          <w:szCs w:val="24"/>
        </w:rPr>
        <w:t>Woollin</w:t>
      </w:r>
      <w:proofErr w:type="spellEnd"/>
      <w:r w:rsidRPr="00A17140">
        <w:rPr>
          <w:rFonts w:ascii="Arial" w:hAnsi="Arial" w:cs="Arial"/>
          <w:color w:val="000000"/>
          <w:sz w:val="24"/>
          <w:szCs w:val="24"/>
        </w:rPr>
        <w:t xml:space="preserve">. </w:t>
      </w:r>
    </w:p>
    <w:p w14:paraId="32E75492" w14:textId="09DB76C7"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There has also been strong criticism in the current homicide law from the judiciary, as Lord Steyn has suggested that the current legal system for homicide acts is highly </w:t>
      </w:r>
      <w:r w:rsidR="00D22D32" w:rsidRPr="00A17140">
        <w:rPr>
          <w:rFonts w:ascii="Arial" w:hAnsi="Arial" w:cs="Arial"/>
          <w:color w:val="000000"/>
          <w:sz w:val="24"/>
          <w:szCs w:val="24"/>
        </w:rPr>
        <w:t>dissatisfactory</w:t>
      </w:r>
      <w:r w:rsidRPr="00A17140">
        <w:rPr>
          <w:rFonts w:ascii="Arial" w:hAnsi="Arial" w:cs="Arial"/>
          <w:color w:val="000000"/>
          <w:sz w:val="24"/>
          <w:szCs w:val="24"/>
        </w:rPr>
        <w:t>, he has further told that this system is nothing more than to classify defendants as murderers when they are not truly murderers (Lord Steyn in R v Power and Anor 1997). The statement was related to the murder in a joint enterprise. Still, the criticism is also applicable to the law of homicide, coming into actions specifically when applied in fair labeling. The defendant is judged based on his levels of fault</w:t>
      </w:r>
      <w:r w:rsidR="00D22D32" w:rsidRPr="00A17140">
        <w:rPr>
          <w:rFonts w:ascii="Arial" w:hAnsi="Arial" w:cs="Arial"/>
          <w:color w:val="000000"/>
          <w:sz w:val="24"/>
          <w:szCs w:val="24"/>
        </w:rPr>
        <w:t xml:space="preserve"> </w:t>
      </w:r>
      <w:r w:rsidR="00D22D32" w:rsidRPr="003964A8">
        <w:rPr>
          <w:rFonts w:ascii="Arial" w:hAnsi="Arial" w:cs="Arial"/>
          <w:color w:val="1F497D" w:themeColor="text2"/>
          <w:sz w:val="24"/>
          <w:szCs w:val="24"/>
        </w:rPr>
        <w:t xml:space="preserve">(Criminal </w:t>
      </w:r>
      <w:r w:rsidR="00D22D32" w:rsidRPr="003964A8">
        <w:rPr>
          <w:rFonts w:ascii="Arial" w:hAnsi="Arial" w:cs="Arial"/>
          <w:color w:val="1F497D" w:themeColor="text2"/>
          <w:sz w:val="24"/>
          <w:szCs w:val="24"/>
        </w:rPr>
        <w:lastRenderedPageBreak/>
        <w:t>Justice Act 2003)</w:t>
      </w:r>
      <w:r w:rsidRPr="003964A8">
        <w:rPr>
          <w:rFonts w:ascii="Arial" w:hAnsi="Arial" w:cs="Arial"/>
          <w:color w:val="1F497D" w:themeColor="text2"/>
          <w:sz w:val="24"/>
          <w:szCs w:val="24"/>
        </w:rPr>
        <w:t xml:space="preserve">. </w:t>
      </w:r>
      <w:r w:rsidRPr="00A17140">
        <w:rPr>
          <w:rFonts w:ascii="Arial" w:hAnsi="Arial" w:cs="Arial"/>
          <w:color w:val="000000"/>
          <w:sz w:val="24"/>
          <w:szCs w:val="24"/>
        </w:rPr>
        <w:t xml:space="preserve">According to </w:t>
      </w:r>
      <w:proofErr w:type="spellStart"/>
      <w:r w:rsidRPr="00A17140">
        <w:rPr>
          <w:rFonts w:ascii="Arial" w:hAnsi="Arial" w:cs="Arial"/>
          <w:color w:val="000000"/>
          <w:sz w:val="24"/>
          <w:szCs w:val="24"/>
        </w:rPr>
        <w:t>Tadros</w:t>
      </w:r>
      <w:proofErr w:type="spellEnd"/>
      <w:r w:rsidRPr="00A17140">
        <w:rPr>
          <w:rFonts w:ascii="Arial" w:hAnsi="Arial" w:cs="Arial"/>
          <w:color w:val="000000"/>
          <w:sz w:val="24"/>
          <w:szCs w:val="24"/>
        </w:rPr>
        <w:t xml:space="preserve">, classifying an offense in relevance to the punishment can be unfair; the statement came after the case where a woman killed an abuser in self-defense. The issues have been recognized by the government on different occasions. It has been solved to a limited context under section 54 of the 'Coroners and Justice Act 2009; the act introduced the "partial defense" of murder after losing control. </w:t>
      </w:r>
    </w:p>
    <w:p w14:paraId="32E75493" w14:textId="77777777"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The discussion in the essay is essential to raise awareness about the seriousness of the act, and more concerns can be found in a paper by </w:t>
      </w:r>
      <w:proofErr w:type="spellStart"/>
      <w:r w:rsidRPr="00A17140">
        <w:rPr>
          <w:rFonts w:ascii="Arial" w:hAnsi="Arial" w:cs="Arial"/>
          <w:color w:val="000000"/>
          <w:sz w:val="24"/>
          <w:szCs w:val="24"/>
        </w:rPr>
        <w:t>Leverick</w:t>
      </w:r>
      <w:proofErr w:type="spellEnd"/>
      <w:r w:rsidRPr="00A17140">
        <w:rPr>
          <w:rFonts w:ascii="Arial" w:hAnsi="Arial" w:cs="Arial"/>
          <w:color w:val="000000"/>
          <w:sz w:val="24"/>
          <w:szCs w:val="24"/>
        </w:rPr>
        <w:t xml:space="preserve"> and Chalmers </w:t>
      </w:r>
      <w:r w:rsidRPr="003964A8">
        <w:rPr>
          <w:rFonts w:ascii="Arial" w:hAnsi="Arial" w:cs="Arial"/>
          <w:color w:val="1F497D" w:themeColor="text2"/>
          <w:sz w:val="24"/>
          <w:szCs w:val="24"/>
        </w:rPr>
        <w:t>(2008)</w:t>
      </w:r>
      <w:r w:rsidRPr="00A17140">
        <w:rPr>
          <w:rFonts w:ascii="Arial" w:hAnsi="Arial" w:cs="Arial"/>
          <w:color w:val="000000"/>
          <w:sz w:val="24"/>
          <w:szCs w:val="24"/>
        </w:rPr>
        <w:t xml:space="preserve">. The author has explained that the word fair labeling is being used to both criticize and justify restraining different offenses of manslaughter and murder, as well as to propose creating the merger in the two offenses to make it a single one that is the criminal homicide (Ibid). However, there is a strong emphasis on the suggestion that manslaughter must be treated separately from murder so that the wrong signal about the stigma of these cases is not signaled. As far as changing manslaughter into "second-degree murder" is concerned, Chalmers and </w:t>
      </w:r>
      <w:proofErr w:type="spellStart"/>
      <w:r w:rsidRPr="00A17140">
        <w:rPr>
          <w:rFonts w:ascii="Arial" w:hAnsi="Arial" w:cs="Arial"/>
          <w:color w:val="000000"/>
          <w:sz w:val="24"/>
          <w:szCs w:val="24"/>
        </w:rPr>
        <w:t>Leverick</w:t>
      </w:r>
      <w:proofErr w:type="spellEnd"/>
      <w:r w:rsidRPr="00A17140">
        <w:rPr>
          <w:rFonts w:ascii="Arial" w:hAnsi="Arial" w:cs="Arial"/>
          <w:color w:val="000000"/>
          <w:sz w:val="24"/>
          <w:szCs w:val="24"/>
        </w:rPr>
        <w:t xml:space="preserve"> have mentioned that it was strongly supported by families of victims, for which it was suggested that the word murderer should not be attached to the defendant. These proposed reforms for the homicide law are very popular with the general public and not just with legal authorities. </w:t>
      </w:r>
    </w:p>
    <w:p w14:paraId="32E75494" w14:textId="086FAF41"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However, in some cases, it has been observed that the suggestion proposed by law commissions are not suitable and may not go far enough. According to Elliott and De Than </w:t>
      </w:r>
      <w:r w:rsidRPr="003964A8">
        <w:rPr>
          <w:rFonts w:ascii="Arial" w:hAnsi="Arial" w:cs="Arial"/>
          <w:color w:val="1F497D" w:themeColor="text2"/>
          <w:sz w:val="24"/>
          <w:szCs w:val="24"/>
        </w:rPr>
        <w:t>(2009),</w:t>
      </w:r>
      <w:r w:rsidRPr="00A17140">
        <w:rPr>
          <w:rFonts w:ascii="Arial" w:hAnsi="Arial" w:cs="Arial"/>
          <w:color w:val="000000"/>
          <w:sz w:val="24"/>
          <w:szCs w:val="24"/>
        </w:rPr>
        <w:t xml:space="preserve"> the proposals for manslaughter, second-degree, and first-degree murder are too "deeply rooted" in the context of common law, and there is a need to have new legislation homicide to address the homicide offenses in the modern Society. The author has further proposed that the law must take the issues of homicide offenses that are connected to discrimination, violence, and drugs. Two create better rings in the ladder of homicide, reading "aggravated manslaughter" and "aggravated murder," along with statutory offenses that have been proposed to directly deal with the victims of domestic abuse and drug Homicides leading to suicide.  Moreover, the law is also highly criticized for only using men's rea to </w:t>
      </w:r>
      <w:r w:rsidR="00D22D32" w:rsidRPr="00A17140">
        <w:rPr>
          <w:rFonts w:ascii="Arial" w:hAnsi="Arial" w:cs="Arial"/>
          <w:color w:val="000000"/>
          <w:sz w:val="24"/>
          <w:szCs w:val="24"/>
        </w:rPr>
        <w:t>differentiate</w:t>
      </w:r>
      <w:r w:rsidRPr="00A17140">
        <w:rPr>
          <w:rFonts w:ascii="Arial" w:hAnsi="Arial" w:cs="Arial"/>
          <w:color w:val="000000"/>
          <w:sz w:val="24"/>
          <w:szCs w:val="24"/>
        </w:rPr>
        <w:t xml:space="preserve"> between different forms of homicide and ignoring the significant factual variations such as vulnerabilities and notice of the victim. </w:t>
      </w:r>
    </w:p>
    <w:p w14:paraId="32E75495" w14:textId="36244318"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lastRenderedPageBreak/>
        <w:t xml:space="preserve">In 2019, Keir </w:t>
      </w:r>
      <w:proofErr w:type="spellStart"/>
      <w:r w:rsidRPr="00A17140">
        <w:rPr>
          <w:rFonts w:ascii="Arial" w:hAnsi="Arial" w:cs="Arial"/>
          <w:color w:val="000000"/>
          <w:sz w:val="24"/>
          <w:szCs w:val="24"/>
        </w:rPr>
        <w:t>Starmer</w:t>
      </w:r>
      <w:proofErr w:type="spellEnd"/>
      <w:r w:rsidRPr="00A17140">
        <w:rPr>
          <w:rFonts w:ascii="Arial" w:hAnsi="Arial" w:cs="Arial"/>
          <w:color w:val="000000"/>
          <w:sz w:val="24"/>
          <w:szCs w:val="24"/>
        </w:rPr>
        <w:t xml:space="preserve">, who is director of public prosecutions, told BBC that he backed the call to introduce </w:t>
      </w:r>
      <w:r w:rsidR="00D22D32" w:rsidRPr="00A17140">
        <w:rPr>
          <w:rFonts w:ascii="Arial" w:hAnsi="Arial" w:cs="Arial"/>
          <w:color w:val="000000"/>
          <w:sz w:val="24"/>
          <w:szCs w:val="24"/>
        </w:rPr>
        <w:t>second- and first-degree</w:t>
      </w:r>
      <w:r w:rsidRPr="00A17140">
        <w:rPr>
          <w:rFonts w:ascii="Arial" w:hAnsi="Arial" w:cs="Arial"/>
          <w:color w:val="000000"/>
          <w:sz w:val="24"/>
          <w:szCs w:val="24"/>
        </w:rPr>
        <w:t xml:space="preserve"> changes in Wales and England; in line with this, professor Lord Blair also supported these suggestions. However, Lord Falconer disagrees with the needs for chargers that are brought through "joint enterprise." So, the government has not reacted to any suggestions in joint enterprise law, and there is a possibility to consider a future case to find about </w:t>
      </w:r>
      <w:proofErr w:type="spellStart"/>
      <w:r w:rsidRPr="00A17140">
        <w:rPr>
          <w:rFonts w:ascii="Arial" w:hAnsi="Arial" w:cs="Arial"/>
          <w:color w:val="000000"/>
          <w:sz w:val="24"/>
          <w:szCs w:val="24"/>
        </w:rPr>
        <w:t>jogee</w:t>
      </w:r>
      <w:proofErr w:type="spellEnd"/>
      <w:r w:rsidR="00D22D32" w:rsidRPr="00A17140">
        <w:rPr>
          <w:rFonts w:ascii="Arial" w:hAnsi="Arial" w:cs="Arial"/>
          <w:color w:val="000000"/>
          <w:sz w:val="24"/>
          <w:szCs w:val="24"/>
        </w:rPr>
        <w:t xml:space="preserve"> </w:t>
      </w:r>
      <w:r w:rsidR="00D22D32" w:rsidRPr="003964A8">
        <w:rPr>
          <w:rFonts w:ascii="Arial" w:hAnsi="Arial" w:cs="Arial"/>
          <w:color w:val="1F497D" w:themeColor="text2"/>
          <w:sz w:val="24"/>
          <w:szCs w:val="24"/>
        </w:rPr>
        <w:t>(Homicide Act 1957)</w:t>
      </w:r>
      <w:r w:rsidRPr="003964A8">
        <w:rPr>
          <w:rFonts w:ascii="Arial" w:hAnsi="Arial" w:cs="Arial"/>
          <w:color w:val="1F497D" w:themeColor="text2"/>
          <w:sz w:val="24"/>
          <w:szCs w:val="24"/>
        </w:rPr>
        <w:t xml:space="preserve">. </w:t>
      </w:r>
      <w:r w:rsidRPr="00A17140">
        <w:rPr>
          <w:rFonts w:ascii="Arial" w:hAnsi="Arial" w:cs="Arial"/>
          <w:color w:val="000000"/>
          <w:sz w:val="24"/>
          <w:szCs w:val="24"/>
        </w:rPr>
        <w:t xml:space="preserve">Out of multiple proposals regarding the law of homicide, it can be said that only a few of these laws have been successful in getting a place in current law; the most notable change has been brought by Justice and Coroners Act 2009. </w:t>
      </w:r>
    </w:p>
    <w:p w14:paraId="7D63C089" w14:textId="77777777" w:rsidR="00331946" w:rsidRPr="00331946" w:rsidRDefault="005F4A86" w:rsidP="0033194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It can be said that there are very few changes that current government-owned would make any changes in the Homicide law. Accessing justice minister Oliver Heald, the public thinks that murder is the most severe offense. Introducing a three-tier system similar to that of the USA would create a "murder-lite" classification for most killings. Even though the government keeps an open mind about the situation, no statutory changes have yet been proposed in a joint enterprise. </w:t>
      </w:r>
      <w:r w:rsidR="00331946" w:rsidRPr="00331946">
        <w:rPr>
          <w:rFonts w:ascii="Arial" w:hAnsi="Arial" w:cs="Arial"/>
          <w:color w:val="000000"/>
          <w:sz w:val="24"/>
          <w:szCs w:val="24"/>
        </w:rPr>
        <w:t xml:space="preserve">Manslaughter in England and Wales: </w:t>
      </w:r>
    </w:p>
    <w:p w14:paraId="193C730A" w14:textId="77777777" w:rsidR="00331946" w:rsidRDefault="00331946" w:rsidP="00331946">
      <w:pPr>
        <w:spacing w:line="360" w:lineRule="auto"/>
        <w:jc w:val="both"/>
        <w:rPr>
          <w:rFonts w:ascii="Arial" w:hAnsi="Arial" w:cs="Arial"/>
          <w:b/>
          <w:bCs/>
          <w:color w:val="000000"/>
          <w:sz w:val="24"/>
          <w:szCs w:val="24"/>
        </w:rPr>
      </w:pPr>
    </w:p>
    <w:p w14:paraId="76DE4233" w14:textId="7A5B3CE7" w:rsidR="00331946" w:rsidRPr="00331946" w:rsidRDefault="00331946" w:rsidP="00331946">
      <w:pPr>
        <w:spacing w:line="360" w:lineRule="auto"/>
        <w:jc w:val="both"/>
        <w:rPr>
          <w:rFonts w:ascii="Arial" w:hAnsi="Arial" w:cs="Arial"/>
          <w:b/>
          <w:bCs/>
          <w:color w:val="000000"/>
          <w:sz w:val="24"/>
          <w:szCs w:val="24"/>
        </w:rPr>
      </w:pPr>
      <w:r w:rsidRPr="00331946">
        <w:rPr>
          <w:rFonts w:ascii="Arial" w:hAnsi="Arial" w:cs="Arial"/>
          <w:b/>
          <w:bCs/>
          <w:color w:val="000000"/>
          <w:sz w:val="24"/>
          <w:szCs w:val="24"/>
        </w:rPr>
        <w:t>Manslaughter in England and Wales:</w:t>
      </w:r>
    </w:p>
    <w:p w14:paraId="5ACDF653" w14:textId="77777777" w:rsidR="00D56015" w:rsidRDefault="00331946" w:rsidP="00331946">
      <w:pPr>
        <w:spacing w:line="360" w:lineRule="auto"/>
        <w:jc w:val="both"/>
        <w:rPr>
          <w:rFonts w:ascii="Arial" w:hAnsi="Arial" w:cs="Arial"/>
          <w:color w:val="000000"/>
          <w:sz w:val="24"/>
          <w:szCs w:val="24"/>
        </w:rPr>
      </w:pPr>
      <w:r>
        <w:rPr>
          <w:rFonts w:ascii="Arial" w:hAnsi="Arial" w:cs="Arial"/>
          <w:color w:val="000000"/>
          <w:sz w:val="24"/>
          <w:szCs w:val="24"/>
        </w:rPr>
        <w:t>Y</w:t>
      </w:r>
      <w:r w:rsidRPr="00331946">
        <w:rPr>
          <w:rFonts w:ascii="Arial" w:hAnsi="Arial" w:cs="Arial"/>
          <w:color w:val="000000"/>
          <w:sz w:val="24"/>
          <w:szCs w:val="24"/>
        </w:rPr>
        <w:t>ear finishing  March 2020 Analyses of data held inside the Home Office Crime Index, which contains detailed record-level data approximately each homicide recorded by police in England and Wales.</w:t>
      </w:r>
    </w:p>
    <w:p w14:paraId="1A023C23" w14:textId="5325B4C3" w:rsidR="00D56015" w:rsidRDefault="00D56015" w:rsidP="00331946">
      <w:pPr>
        <w:spacing w:line="360" w:lineRule="auto"/>
        <w:jc w:val="both"/>
        <w:rPr>
          <w:rFonts w:ascii="Arial" w:hAnsi="Arial" w:cs="Arial"/>
          <w:color w:val="000000"/>
          <w:sz w:val="24"/>
          <w:szCs w:val="24"/>
        </w:rPr>
      </w:pPr>
      <w:r w:rsidRPr="00D56015">
        <w:t xml:space="preserve"> </w:t>
      </w:r>
      <w:r w:rsidRPr="00D56015">
        <w:rPr>
          <w:rFonts w:ascii="Arial" w:hAnsi="Arial" w:cs="Arial"/>
          <w:color w:val="000000"/>
          <w:sz w:val="24"/>
          <w:szCs w:val="24"/>
        </w:rPr>
        <w:t xml:space="preserve">There were 695 casualties of crime within the year finishing March 2020, 47 more (7%) than the past year; this figure includes the Grays lorry occurrence with 39 crime casualties – if this incident is excluded, homicide appeared a 1% increase by and </w:t>
      </w:r>
      <w:proofErr w:type="spellStart"/>
      <w:r w:rsidRPr="00D56015">
        <w:rPr>
          <w:rFonts w:ascii="Arial" w:hAnsi="Arial" w:cs="Arial"/>
          <w:color w:val="000000"/>
          <w:sz w:val="24"/>
          <w:szCs w:val="24"/>
        </w:rPr>
        <w:t>largeThe</w:t>
      </w:r>
      <w:proofErr w:type="spellEnd"/>
      <w:r w:rsidRPr="00D56015">
        <w:rPr>
          <w:rFonts w:ascii="Arial" w:hAnsi="Arial" w:cs="Arial"/>
          <w:color w:val="000000"/>
          <w:sz w:val="24"/>
          <w:szCs w:val="24"/>
        </w:rPr>
        <w:t xml:space="preserve"> crime rate was 11.7 per million population, with the rate for males (17 per million population) nearly three times that for females (6 per million peoples); this is a better distinction than past years because of a 20% increase within the number of male casualties, from 422 to 506, and a 16% decrease within the number of female victims, from 225 to 188.</w:t>
      </w:r>
    </w:p>
    <w:p w14:paraId="32E75496" w14:textId="2A6FB1BC" w:rsidR="00A14F9A" w:rsidRDefault="00D56015" w:rsidP="00331946">
      <w:pPr>
        <w:spacing w:line="360" w:lineRule="auto"/>
        <w:jc w:val="both"/>
        <w:rPr>
          <w:rFonts w:ascii="Arial" w:hAnsi="Arial" w:cs="Arial"/>
          <w:color w:val="000000"/>
          <w:sz w:val="24"/>
          <w:szCs w:val="24"/>
        </w:rPr>
      </w:pPr>
      <w:r w:rsidRPr="00D56015">
        <w:rPr>
          <w:rFonts w:ascii="Arial" w:hAnsi="Arial" w:cs="Arial"/>
          <w:color w:val="000000"/>
          <w:sz w:val="24"/>
          <w:szCs w:val="24"/>
        </w:rPr>
        <w:t>.</w:t>
      </w:r>
    </w:p>
    <w:p w14:paraId="567F6D77" w14:textId="77777777" w:rsidR="00D56015" w:rsidRDefault="00D56015" w:rsidP="00331946">
      <w:pPr>
        <w:spacing w:line="360" w:lineRule="auto"/>
        <w:jc w:val="both"/>
        <w:rPr>
          <w:rFonts w:ascii="Arial" w:hAnsi="Arial" w:cs="Arial"/>
          <w:color w:val="000000"/>
          <w:sz w:val="24"/>
          <w:szCs w:val="24"/>
        </w:rPr>
      </w:pPr>
    </w:p>
    <w:p w14:paraId="22C0408E" w14:textId="334B0CAE" w:rsidR="00331946" w:rsidRDefault="00331946">
      <w:pPr>
        <w:spacing w:line="360" w:lineRule="auto"/>
        <w:jc w:val="both"/>
        <w:rPr>
          <w:rFonts w:ascii="Arial" w:hAnsi="Arial" w:cs="Arial"/>
          <w:color w:val="000000"/>
          <w:sz w:val="24"/>
          <w:szCs w:val="24"/>
        </w:rPr>
      </w:pPr>
    </w:p>
    <w:p w14:paraId="61323B43" w14:textId="77777777" w:rsidR="00331946" w:rsidRPr="00A17140" w:rsidRDefault="00331946">
      <w:pPr>
        <w:spacing w:line="360" w:lineRule="auto"/>
        <w:jc w:val="both"/>
        <w:rPr>
          <w:rFonts w:ascii="Arial" w:hAnsi="Arial" w:cs="Arial"/>
          <w:color w:val="000000"/>
          <w:sz w:val="24"/>
          <w:szCs w:val="24"/>
        </w:rPr>
      </w:pPr>
    </w:p>
    <w:p w14:paraId="32E75497" w14:textId="77777777" w:rsidR="00A14F9A" w:rsidRPr="003964A8" w:rsidRDefault="005F4A86">
      <w:pPr>
        <w:spacing w:line="360" w:lineRule="auto"/>
        <w:jc w:val="both"/>
        <w:rPr>
          <w:rFonts w:ascii="Arial" w:hAnsi="Arial" w:cs="Arial"/>
          <w:color w:val="000000"/>
          <w:sz w:val="28"/>
          <w:szCs w:val="28"/>
        </w:rPr>
      </w:pPr>
      <w:bookmarkStart w:id="3" w:name="_Toc86485904"/>
      <w:r w:rsidRPr="003964A8">
        <w:rPr>
          <w:rStyle w:val="Heading1Char"/>
          <w:rFonts w:ascii="Arial" w:hAnsi="Arial" w:cs="Arial"/>
          <w:color w:val="000000"/>
        </w:rPr>
        <w:t>Conclusion</w:t>
      </w:r>
      <w:bookmarkEnd w:id="3"/>
      <w:r w:rsidRPr="003964A8">
        <w:rPr>
          <w:rFonts w:ascii="Arial" w:hAnsi="Arial" w:cs="Arial"/>
          <w:color w:val="000000"/>
          <w:sz w:val="28"/>
          <w:szCs w:val="28"/>
        </w:rPr>
        <w:t>:</w:t>
      </w:r>
    </w:p>
    <w:p w14:paraId="32E75498" w14:textId="77777777" w:rsidR="00A14F9A" w:rsidRPr="00A17140" w:rsidRDefault="005F4A86">
      <w:pPr>
        <w:spacing w:line="360" w:lineRule="auto"/>
        <w:jc w:val="both"/>
        <w:rPr>
          <w:rFonts w:ascii="Arial" w:hAnsi="Arial" w:cs="Arial"/>
          <w:color w:val="000000"/>
          <w:sz w:val="24"/>
          <w:szCs w:val="24"/>
        </w:rPr>
      </w:pPr>
      <w:r w:rsidRPr="00A17140">
        <w:rPr>
          <w:rFonts w:ascii="Arial" w:hAnsi="Arial" w:cs="Arial"/>
          <w:color w:val="000000"/>
          <w:sz w:val="24"/>
          <w:szCs w:val="24"/>
        </w:rPr>
        <w:t xml:space="preserve">In conclusion, it can be said that the essay shows that there is a strong need to have changed in the law of homicide, and the defendant must not be held liability merely based on the intention test. After reflecting on different cases and the laws, it can be said a new three-tier system can be used to increase fairness in the entire system. The law of homicide is ripped off and requires essential changes. However, the decision depends on the government whether they will take these reforms or not. The law should be based on a more holistic approach so that the new statutory framework can be adjusted in the existing system. Finally, it can be said that the current law of murder and manslaughter is following the judge-made rules that are five hundred years old, so it is high time to make changes. </w:t>
      </w:r>
    </w:p>
    <w:p w14:paraId="32E75499" w14:textId="69994755" w:rsidR="00A14F9A" w:rsidRPr="00A17140" w:rsidRDefault="00A14F9A">
      <w:pPr>
        <w:spacing w:line="360" w:lineRule="auto"/>
        <w:jc w:val="both"/>
        <w:rPr>
          <w:rFonts w:ascii="Arial" w:hAnsi="Arial" w:cs="Arial"/>
          <w:color w:val="000000"/>
          <w:sz w:val="24"/>
          <w:szCs w:val="24"/>
        </w:rPr>
      </w:pPr>
    </w:p>
    <w:p w14:paraId="385277BF" w14:textId="5C2DEDB6" w:rsidR="00D22D32" w:rsidRPr="00A17140" w:rsidRDefault="00D22D32" w:rsidP="00A17140">
      <w:pPr>
        <w:pStyle w:val="Heading1"/>
        <w:rPr>
          <w:rFonts w:ascii="Arial" w:hAnsi="Arial" w:cs="Arial"/>
          <w:color w:val="000000"/>
          <w:sz w:val="24"/>
          <w:szCs w:val="24"/>
        </w:rPr>
      </w:pPr>
      <w:bookmarkStart w:id="4" w:name="_Toc86485905"/>
      <w:r w:rsidRPr="00A17140">
        <w:rPr>
          <w:rFonts w:ascii="Arial" w:hAnsi="Arial" w:cs="Arial"/>
          <w:color w:val="000000"/>
          <w:sz w:val="24"/>
          <w:szCs w:val="24"/>
        </w:rPr>
        <w:t>References:</w:t>
      </w:r>
      <w:bookmarkEnd w:id="4"/>
    </w:p>
    <w:p w14:paraId="4B513995" w14:textId="77777777" w:rsidR="00D22D32" w:rsidRPr="00A17140" w:rsidRDefault="00D22D32" w:rsidP="00D22D32">
      <w:pPr>
        <w:spacing w:line="360" w:lineRule="auto"/>
        <w:jc w:val="both"/>
        <w:rPr>
          <w:rFonts w:ascii="Arial" w:hAnsi="Arial" w:cs="Arial"/>
          <w:color w:val="000000"/>
          <w:sz w:val="24"/>
          <w:szCs w:val="24"/>
        </w:rPr>
      </w:pPr>
      <w:r w:rsidRPr="00A17140">
        <w:rPr>
          <w:rFonts w:ascii="Arial" w:hAnsi="Arial" w:cs="Arial"/>
          <w:b/>
          <w:bCs/>
          <w:color w:val="000000"/>
          <w:sz w:val="24"/>
          <w:szCs w:val="24"/>
          <w:u w:val="single"/>
        </w:rPr>
        <w:t>Bibliography</w:t>
      </w:r>
    </w:p>
    <w:p w14:paraId="061AE36C" w14:textId="77777777" w:rsidR="00D22D32" w:rsidRPr="00A17140" w:rsidRDefault="00D22D32" w:rsidP="00D22D32">
      <w:pPr>
        <w:spacing w:line="360" w:lineRule="auto"/>
        <w:jc w:val="both"/>
        <w:rPr>
          <w:rFonts w:ascii="Arial" w:hAnsi="Arial" w:cs="Arial"/>
          <w:color w:val="000000"/>
          <w:sz w:val="24"/>
          <w:szCs w:val="24"/>
        </w:rPr>
      </w:pPr>
      <w:r w:rsidRPr="00A17140">
        <w:rPr>
          <w:rFonts w:ascii="Arial" w:hAnsi="Arial" w:cs="Arial"/>
          <w:color w:val="000000"/>
          <w:sz w:val="24"/>
          <w:szCs w:val="24"/>
          <w:u w:val="single"/>
        </w:rPr>
        <w:t>Books</w:t>
      </w:r>
    </w:p>
    <w:p w14:paraId="26F6FEC8" w14:textId="76DD5D3B" w:rsidR="00D22D32" w:rsidRPr="00A17140" w:rsidRDefault="00D22D32" w:rsidP="00D22D32">
      <w:pPr>
        <w:spacing w:line="360" w:lineRule="auto"/>
        <w:jc w:val="both"/>
        <w:rPr>
          <w:rFonts w:ascii="Arial" w:hAnsi="Arial" w:cs="Arial"/>
          <w:color w:val="000000"/>
          <w:sz w:val="24"/>
          <w:szCs w:val="24"/>
        </w:rPr>
      </w:pPr>
      <w:r w:rsidRPr="00A17140">
        <w:rPr>
          <w:rFonts w:ascii="Arial" w:hAnsi="Arial" w:cs="Arial"/>
          <w:color w:val="000000"/>
          <w:sz w:val="24"/>
          <w:szCs w:val="24"/>
        </w:rPr>
        <w:t>Allen MJ, </w:t>
      </w:r>
      <w:r w:rsidRPr="00A17140">
        <w:rPr>
          <w:rFonts w:ascii="Arial" w:hAnsi="Arial" w:cs="Arial"/>
          <w:i/>
          <w:iCs/>
          <w:color w:val="000000"/>
          <w:sz w:val="24"/>
          <w:szCs w:val="24"/>
        </w:rPr>
        <w:t>Criminal Law</w:t>
      </w:r>
      <w:r w:rsidRPr="00A17140">
        <w:rPr>
          <w:rFonts w:ascii="Arial" w:hAnsi="Arial" w:cs="Arial"/>
          <w:color w:val="000000"/>
          <w:sz w:val="24"/>
          <w:szCs w:val="24"/>
        </w:rPr>
        <w:t> (14th edition, Oxford University Press, 2017)</w:t>
      </w:r>
    </w:p>
    <w:p w14:paraId="1354D352" w14:textId="77777777" w:rsidR="00585F62" w:rsidRDefault="00D22D32" w:rsidP="00D22D32">
      <w:pPr>
        <w:tabs>
          <w:tab w:val="left" w:pos="6105"/>
        </w:tabs>
        <w:spacing w:line="360" w:lineRule="auto"/>
        <w:jc w:val="both"/>
        <w:rPr>
          <w:sz w:val="24"/>
          <w:szCs w:val="24"/>
        </w:rPr>
      </w:pPr>
      <w:r w:rsidRPr="00A17140">
        <w:rPr>
          <w:rFonts w:ascii="Arial" w:hAnsi="Arial" w:cs="Arial"/>
          <w:color w:val="000000"/>
          <w:sz w:val="24"/>
          <w:szCs w:val="24"/>
        </w:rPr>
        <w:t>Monaghan N, </w:t>
      </w:r>
      <w:r w:rsidRPr="00A17140">
        <w:rPr>
          <w:rFonts w:ascii="Arial" w:hAnsi="Arial" w:cs="Arial"/>
          <w:i/>
          <w:iCs/>
          <w:color w:val="000000"/>
          <w:sz w:val="24"/>
          <w:szCs w:val="24"/>
        </w:rPr>
        <w:t>Criminal Law</w:t>
      </w:r>
      <w:r w:rsidRPr="00A17140">
        <w:rPr>
          <w:rFonts w:ascii="Arial" w:hAnsi="Arial" w:cs="Arial"/>
          <w:color w:val="000000"/>
          <w:sz w:val="24"/>
          <w:szCs w:val="24"/>
        </w:rPr>
        <w:t> (Oxford University Press 2016)</w:t>
      </w:r>
      <w:r w:rsidR="008510F2" w:rsidRPr="008510F2">
        <w:t xml:space="preserve"> </w:t>
      </w:r>
      <w:r w:rsidR="008510F2">
        <w:t xml:space="preserve"> </w:t>
      </w:r>
      <w:r w:rsidR="00585F62" w:rsidRPr="00585F62">
        <w:rPr>
          <w:sz w:val="24"/>
          <w:szCs w:val="24"/>
        </w:rPr>
        <w:t>11jsxou24uy7q/uploads/2016/08/LC.-010-IMPUTED-CRIMINAL-INTENT-DIRECTOR-OF-PUBLIC-</w:t>
      </w:r>
    </w:p>
    <w:p w14:paraId="7EE4C178" w14:textId="26081F7D" w:rsidR="008510F2" w:rsidRPr="002B7583" w:rsidRDefault="00585F62" w:rsidP="00D22D32">
      <w:pPr>
        <w:tabs>
          <w:tab w:val="left" w:pos="6105"/>
        </w:tabs>
        <w:spacing w:line="360" w:lineRule="auto"/>
        <w:jc w:val="both"/>
        <w:rPr>
          <w:sz w:val="24"/>
          <w:szCs w:val="24"/>
        </w:rPr>
      </w:pPr>
      <w:r w:rsidRPr="00585F62">
        <w:rPr>
          <w:sz w:val="24"/>
          <w:szCs w:val="24"/>
        </w:rPr>
        <w:t>PROSECUTIONS-v.-SMITH.pdf&gt;</w:t>
      </w:r>
      <w:r w:rsidRPr="00585F62">
        <w:t xml:space="preserve"> </w:t>
      </w:r>
      <w:r w:rsidRPr="00585F62">
        <w:rPr>
          <w:sz w:val="24"/>
          <w:szCs w:val="24"/>
        </w:rPr>
        <w:t xml:space="preserve">Cps.gov.uk. Youth crime | The Crown Prosecution Service. [online] Available at: </w:t>
      </w:r>
      <w:hyperlink r:id="rId6" w:history="1">
        <w:r w:rsidR="002B7583" w:rsidRPr="002B7583">
          <w:rPr>
            <w:rStyle w:val="Hyperlink"/>
            <w:color w:val="auto"/>
            <w:sz w:val="24"/>
            <w:szCs w:val="24"/>
          </w:rPr>
          <w:t>https://www.cps.gov.uk/crime-info/youth-crime</w:t>
        </w:r>
      </w:hyperlink>
    </w:p>
    <w:p w14:paraId="1D07CE66" w14:textId="77777777" w:rsidR="002B7583" w:rsidRDefault="002B7583" w:rsidP="00D22D32">
      <w:pPr>
        <w:tabs>
          <w:tab w:val="left" w:pos="6105"/>
        </w:tabs>
        <w:spacing w:line="360" w:lineRule="auto"/>
        <w:jc w:val="both"/>
        <w:rPr>
          <w:sz w:val="24"/>
          <w:szCs w:val="24"/>
        </w:rPr>
      </w:pPr>
    </w:p>
    <w:p w14:paraId="4E870658" w14:textId="77777777" w:rsidR="002B7583" w:rsidRPr="002B7583" w:rsidRDefault="002B7583" w:rsidP="002B7583">
      <w:pPr>
        <w:tabs>
          <w:tab w:val="left" w:pos="6105"/>
        </w:tabs>
        <w:spacing w:line="360" w:lineRule="auto"/>
        <w:jc w:val="both"/>
        <w:rPr>
          <w:sz w:val="24"/>
          <w:szCs w:val="24"/>
        </w:rPr>
      </w:pPr>
      <w:r w:rsidRPr="002B7583">
        <w:rPr>
          <w:sz w:val="24"/>
          <w:szCs w:val="24"/>
        </w:rPr>
        <w:lastRenderedPageBreak/>
        <w:t>Self-harm: a long-term follow-up study. The Lancet Psychiatry, 6(12), pp.1021-1030.</w:t>
      </w:r>
    </w:p>
    <w:p w14:paraId="2D0B4107" w14:textId="77777777" w:rsidR="002B7583" w:rsidRPr="002B7583" w:rsidRDefault="002B7583" w:rsidP="002B7583">
      <w:pPr>
        <w:tabs>
          <w:tab w:val="left" w:pos="6105"/>
        </w:tabs>
        <w:spacing w:line="360" w:lineRule="auto"/>
        <w:jc w:val="both"/>
        <w:rPr>
          <w:sz w:val="24"/>
          <w:szCs w:val="24"/>
        </w:rPr>
      </w:pPr>
    </w:p>
    <w:p w14:paraId="23CA61F7" w14:textId="77777777" w:rsidR="002B7583" w:rsidRPr="002B7583" w:rsidRDefault="002B7583" w:rsidP="002B7583">
      <w:pPr>
        <w:tabs>
          <w:tab w:val="left" w:pos="6105"/>
        </w:tabs>
        <w:spacing w:line="360" w:lineRule="auto"/>
        <w:jc w:val="both"/>
        <w:rPr>
          <w:sz w:val="24"/>
          <w:szCs w:val="24"/>
        </w:rPr>
      </w:pPr>
      <w:bookmarkStart w:id="5" w:name="_Hlk87028568"/>
      <w:r w:rsidRPr="002B7583">
        <w:rPr>
          <w:sz w:val="24"/>
          <w:szCs w:val="24"/>
        </w:rPr>
        <w:t>Hansard.</w:t>
      </w:r>
      <w:bookmarkEnd w:id="5"/>
      <w:r w:rsidRPr="002B7583">
        <w:rPr>
          <w:sz w:val="24"/>
          <w:szCs w:val="24"/>
        </w:rPr>
        <w:t xml:space="preserve">parliament.uk. Offences Against the Person Act 1861 - Tuesday 5 June 2018 - Hansard - UK Parliament. [online] Available at: &lt;https://hansard.parliament.uk/commons/2018-06-05/debates/440FFC61-87D6-49AA-8758-91398C56BA0E/OffencesAgainstThePersonAct1861&gt; </w:t>
      </w:r>
    </w:p>
    <w:p w14:paraId="6C53AB0E" w14:textId="77777777" w:rsidR="00585F62" w:rsidRPr="00585F62" w:rsidRDefault="00585F62" w:rsidP="00D22D32">
      <w:pPr>
        <w:tabs>
          <w:tab w:val="left" w:pos="6105"/>
        </w:tabs>
        <w:spacing w:line="360" w:lineRule="auto"/>
        <w:jc w:val="both"/>
        <w:rPr>
          <w:sz w:val="24"/>
          <w:szCs w:val="24"/>
        </w:rPr>
      </w:pPr>
    </w:p>
    <w:p w14:paraId="0598887E" w14:textId="68FE4D34" w:rsidR="002C1EA3" w:rsidRDefault="008510F2" w:rsidP="00D22D32">
      <w:pPr>
        <w:tabs>
          <w:tab w:val="left" w:pos="6105"/>
        </w:tabs>
        <w:spacing w:line="360" w:lineRule="auto"/>
        <w:jc w:val="both"/>
        <w:rPr>
          <w:rFonts w:ascii="Arial" w:hAnsi="Arial" w:cs="Arial"/>
          <w:color w:val="000000"/>
          <w:sz w:val="24"/>
          <w:szCs w:val="24"/>
        </w:rPr>
      </w:pPr>
      <w:r w:rsidRPr="008510F2">
        <w:rPr>
          <w:rFonts w:ascii="Arial" w:hAnsi="Arial" w:cs="Arial"/>
          <w:color w:val="000000"/>
          <w:sz w:val="24"/>
          <w:szCs w:val="24"/>
        </w:rPr>
        <w:t>https://www.ons.gov.uk/peoplepopulationandcommunity/crimeandjustice/articles/homicideinenglandandwales/yearendingmarch2020</w:t>
      </w:r>
    </w:p>
    <w:p w14:paraId="305E6F62" w14:textId="6B6C7079" w:rsidR="00D22D32" w:rsidRPr="00A17140" w:rsidRDefault="002C1EA3" w:rsidP="002C1EA3">
      <w:pPr>
        <w:tabs>
          <w:tab w:val="left" w:pos="6105"/>
        </w:tabs>
        <w:spacing w:line="360" w:lineRule="auto"/>
        <w:rPr>
          <w:rFonts w:ascii="Arial" w:hAnsi="Arial" w:cs="Arial"/>
          <w:color w:val="000000"/>
          <w:sz w:val="24"/>
          <w:szCs w:val="24"/>
        </w:rPr>
      </w:pPr>
      <w:bookmarkStart w:id="6" w:name="_Hlk86883470"/>
      <w:r>
        <w:rPr>
          <w:rFonts w:ascii="Arial" w:hAnsi="Arial" w:cs="Arial"/>
          <w:color w:val="000000"/>
          <w:sz w:val="24"/>
          <w:szCs w:val="24"/>
        </w:rPr>
        <w:t>Mahesh D</w:t>
      </w:r>
      <w:bookmarkEnd w:id="6"/>
      <w:r>
        <w:rPr>
          <w:rFonts w:ascii="Arial" w:hAnsi="Arial" w:cs="Arial"/>
          <w:color w:val="000000"/>
          <w:sz w:val="24"/>
          <w:szCs w:val="24"/>
        </w:rPr>
        <w:t xml:space="preserve">aryanani, </w:t>
      </w:r>
      <w:r w:rsidRPr="002C1EA3">
        <w:rPr>
          <w:rFonts w:ascii="Arial" w:hAnsi="Arial" w:cs="Arial"/>
          <w:color w:val="000000"/>
          <w:sz w:val="24"/>
          <w:szCs w:val="24"/>
        </w:rPr>
        <w:t>https://www.studocu.com/en-gb/document/university-of-oxford/criminal-law/notes-oapa-1861-summary-criminal-law/1752079</w:t>
      </w:r>
      <w:r w:rsidR="00D22D32" w:rsidRPr="00A17140">
        <w:rPr>
          <w:rFonts w:ascii="Arial" w:hAnsi="Arial" w:cs="Arial"/>
          <w:color w:val="000000"/>
          <w:sz w:val="24"/>
          <w:szCs w:val="24"/>
        </w:rPr>
        <w:tab/>
      </w:r>
    </w:p>
    <w:p w14:paraId="2D02666D" w14:textId="77777777"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color w:val="000000"/>
          <w:sz w:val="24"/>
          <w:szCs w:val="24"/>
          <w:u w:val="single"/>
        </w:rPr>
        <w:t>Cases</w:t>
      </w:r>
    </w:p>
    <w:p w14:paraId="50201F51" w14:textId="77777777"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i/>
          <w:iCs/>
          <w:color w:val="000000"/>
          <w:sz w:val="24"/>
          <w:szCs w:val="24"/>
        </w:rPr>
        <w:t>DPP v Smith</w:t>
      </w:r>
      <w:r w:rsidRPr="00A17140">
        <w:rPr>
          <w:rFonts w:ascii="Arial" w:hAnsi="Arial" w:cs="Arial"/>
          <w:color w:val="000000"/>
          <w:sz w:val="24"/>
          <w:szCs w:val="24"/>
        </w:rPr>
        <w:t> [1961] AC 290</w:t>
      </w:r>
    </w:p>
    <w:p w14:paraId="4C47FD5A" w14:textId="180A2B36"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i/>
          <w:iCs/>
          <w:color w:val="000000"/>
          <w:sz w:val="24"/>
          <w:szCs w:val="24"/>
        </w:rPr>
        <w:t>R v Dunbar</w:t>
      </w:r>
      <w:r w:rsidRPr="00A17140">
        <w:rPr>
          <w:rFonts w:ascii="Arial" w:hAnsi="Arial" w:cs="Arial"/>
          <w:color w:val="000000"/>
          <w:sz w:val="24"/>
          <w:szCs w:val="24"/>
        </w:rPr>
        <w:t> [1958] 1 QB 1</w:t>
      </w:r>
    </w:p>
    <w:p w14:paraId="154BFB15" w14:textId="77777777"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i/>
          <w:iCs/>
          <w:color w:val="000000"/>
          <w:sz w:val="24"/>
          <w:szCs w:val="24"/>
        </w:rPr>
        <w:t>R v Inglis</w:t>
      </w:r>
      <w:r w:rsidRPr="00A17140">
        <w:rPr>
          <w:rFonts w:ascii="Arial" w:hAnsi="Arial" w:cs="Arial"/>
          <w:color w:val="000000"/>
          <w:sz w:val="24"/>
          <w:szCs w:val="24"/>
        </w:rPr>
        <w:t> [2010] EWCA Crim 2637</w:t>
      </w:r>
    </w:p>
    <w:p w14:paraId="5928715C" w14:textId="0717CC81"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i/>
          <w:iCs/>
          <w:color w:val="000000"/>
          <w:sz w:val="24"/>
          <w:szCs w:val="24"/>
        </w:rPr>
        <w:t>R v Jewell</w:t>
      </w:r>
      <w:r w:rsidRPr="00A17140">
        <w:rPr>
          <w:rFonts w:ascii="Arial" w:hAnsi="Arial" w:cs="Arial"/>
          <w:color w:val="000000"/>
          <w:sz w:val="24"/>
          <w:szCs w:val="24"/>
        </w:rPr>
        <w:t> EWCA Crim 414</w:t>
      </w:r>
    </w:p>
    <w:p w14:paraId="52947D5E" w14:textId="4C3B31F5"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i/>
          <w:iCs/>
          <w:color w:val="000000"/>
          <w:sz w:val="24"/>
          <w:szCs w:val="24"/>
        </w:rPr>
        <w:t>R v Humphreys</w:t>
      </w:r>
      <w:r w:rsidRPr="00A17140">
        <w:rPr>
          <w:rFonts w:ascii="Arial" w:hAnsi="Arial" w:cs="Arial"/>
          <w:color w:val="000000"/>
          <w:sz w:val="24"/>
          <w:szCs w:val="24"/>
        </w:rPr>
        <w:t> [1995] 4 All ER 1008</w:t>
      </w:r>
    </w:p>
    <w:p w14:paraId="2F3A6772" w14:textId="77777777"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color w:val="000000"/>
          <w:sz w:val="24"/>
          <w:szCs w:val="24"/>
          <w:u w:val="single"/>
        </w:rPr>
        <w:t>Reports</w:t>
      </w:r>
    </w:p>
    <w:p w14:paraId="6E9F426C" w14:textId="77777777" w:rsidR="00D22D32" w:rsidRPr="00A17140" w:rsidRDefault="00D22D32" w:rsidP="00D22D32">
      <w:pPr>
        <w:tabs>
          <w:tab w:val="left" w:pos="6105"/>
        </w:tabs>
        <w:spacing w:line="360" w:lineRule="auto"/>
        <w:jc w:val="both"/>
        <w:rPr>
          <w:rFonts w:ascii="Arial" w:hAnsi="Arial" w:cs="Arial"/>
          <w:color w:val="000000"/>
          <w:sz w:val="24"/>
          <w:szCs w:val="24"/>
        </w:rPr>
      </w:pPr>
      <w:r w:rsidRPr="00A17140">
        <w:rPr>
          <w:rFonts w:ascii="Arial" w:hAnsi="Arial" w:cs="Arial"/>
          <w:color w:val="000000"/>
          <w:sz w:val="24"/>
          <w:szCs w:val="24"/>
        </w:rPr>
        <w:t>Law Commission, ‘Murder, Manslaughter and Infanticide’ (2006) Law Com. No. 304</w:t>
      </w:r>
    </w:p>
    <w:p w14:paraId="011B75B3" w14:textId="77777777" w:rsidR="00D22D32" w:rsidRPr="00A17140" w:rsidRDefault="00D22D32" w:rsidP="00D22D32">
      <w:pPr>
        <w:tabs>
          <w:tab w:val="left" w:pos="6105"/>
        </w:tabs>
        <w:spacing w:line="360" w:lineRule="auto"/>
        <w:jc w:val="both"/>
        <w:rPr>
          <w:rFonts w:ascii="Arial" w:hAnsi="Arial" w:cs="Arial"/>
          <w:color w:val="000000"/>
          <w:sz w:val="24"/>
          <w:szCs w:val="24"/>
        </w:rPr>
      </w:pPr>
    </w:p>
    <w:p w14:paraId="69053C8D" w14:textId="7A8875A7" w:rsidR="00D22D32" w:rsidRDefault="00D22D32">
      <w:pPr>
        <w:spacing w:line="360" w:lineRule="auto"/>
        <w:jc w:val="both"/>
        <w:rPr>
          <w:sz w:val="24"/>
          <w:szCs w:val="24"/>
        </w:rPr>
      </w:pPr>
    </w:p>
    <w:p w14:paraId="60168AA4" w14:textId="5BD1A2E6" w:rsidR="00585F62" w:rsidRDefault="00585F62">
      <w:pPr>
        <w:spacing w:line="360" w:lineRule="auto"/>
        <w:jc w:val="both"/>
        <w:rPr>
          <w:sz w:val="24"/>
          <w:szCs w:val="24"/>
        </w:rPr>
      </w:pPr>
    </w:p>
    <w:p w14:paraId="14632BEC" w14:textId="3B98B275" w:rsidR="00585F62" w:rsidRDefault="00585F62">
      <w:pPr>
        <w:spacing w:line="360" w:lineRule="auto"/>
        <w:jc w:val="both"/>
        <w:rPr>
          <w:sz w:val="24"/>
          <w:szCs w:val="24"/>
        </w:rPr>
      </w:pPr>
    </w:p>
    <w:p w14:paraId="649E1856" w14:textId="0C7FD11A" w:rsidR="00585F62" w:rsidRPr="00585F62" w:rsidRDefault="00585F62" w:rsidP="00585F62">
      <w:pPr>
        <w:spacing w:line="360" w:lineRule="auto"/>
        <w:jc w:val="both"/>
        <w:rPr>
          <w:sz w:val="24"/>
          <w:szCs w:val="24"/>
        </w:rPr>
      </w:pPr>
    </w:p>
    <w:p w14:paraId="6C031568" w14:textId="77777777" w:rsidR="00585F62" w:rsidRDefault="00585F62">
      <w:pPr>
        <w:spacing w:line="360" w:lineRule="auto"/>
        <w:jc w:val="both"/>
        <w:rPr>
          <w:sz w:val="24"/>
          <w:szCs w:val="24"/>
        </w:rPr>
      </w:pPr>
    </w:p>
    <w:sectPr w:rsidR="00585F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altName w:val="Vrinda"/>
    <w:panose1 w:val="00000400000000000000"/>
    <w:charset w:val="00"/>
    <w:family w:val="swiss"/>
    <w:pitch w:val="variable"/>
    <w:sig w:usb0="0001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9A"/>
    <w:rsid w:val="000111A9"/>
    <w:rsid w:val="0013242C"/>
    <w:rsid w:val="001F63E7"/>
    <w:rsid w:val="002A2608"/>
    <w:rsid w:val="002B7583"/>
    <w:rsid w:val="002C1EA3"/>
    <w:rsid w:val="00331946"/>
    <w:rsid w:val="00382C05"/>
    <w:rsid w:val="003964A8"/>
    <w:rsid w:val="004038CB"/>
    <w:rsid w:val="00535CCC"/>
    <w:rsid w:val="00582C20"/>
    <w:rsid w:val="00585F62"/>
    <w:rsid w:val="005F4A86"/>
    <w:rsid w:val="007B2189"/>
    <w:rsid w:val="008510F2"/>
    <w:rsid w:val="00964EAF"/>
    <w:rsid w:val="00A14F9A"/>
    <w:rsid w:val="00A17140"/>
    <w:rsid w:val="00A36281"/>
    <w:rsid w:val="00AA4707"/>
    <w:rsid w:val="00CF7A6A"/>
    <w:rsid w:val="00D22D32"/>
    <w:rsid w:val="00D56015"/>
    <w:rsid w:val="00D66A49"/>
    <w:rsid w:val="00FB710A"/>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E75488"/>
  <w15:docId w15:val="{CDCC3E50-CA82-4499-85D5-7295A8D99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rPr>
  </w:style>
  <w:style w:type="paragraph" w:styleId="Heading1">
    <w:name w:val="heading 1"/>
    <w:basedOn w:val="Normal"/>
    <w:next w:val="Normal"/>
    <w:link w:val="Heading1Char"/>
    <w:uiPriority w:val="9"/>
    <w:qFormat/>
    <w:pPr>
      <w:keepNext/>
      <w:keepLines/>
      <w:spacing w:before="480" w:after="0"/>
      <w:outlineLvl w:val="0"/>
    </w:pPr>
    <w:rPr>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b/>
      <w:bCs/>
      <w:color w:val="365F91"/>
      <w:sz w:val="28"/>
      <w:szCs w:val="28"/>
    </w:rPr>
  </w:style>
  <w:style w:type="paragraph" w:styleId="TOCHeading">
    <w:name w:val="TOC Heading"/>
    <w:basedOn w:val="Heading1"/>
    <w:next w:val="Normal"/>
    <w:uiPriority w:val="39"/>
    <w:unhideWhenUsed/>
    <w:qFormat/>
    <w:rsid w:val="002A2608"/>
    <w:pPr>
      <w:outlineLvl w:val="9"/>
    </w:pPr>
    <w:rPr>
      <w:rFonts w:ascii="Calibri Light" w:eastAsia="Times New Roman" w:hAnsi="Calibri Light"/>
      <w:color w:val="2F5496"/>
      <w:lang w:eastAsia="en-US"/>
    </w:rPr>
  </w:style>
  <w:style w:type="paragraph" w:styleId="TOC1">
    <w:name w:val="toc 1"/>
    <w:basedOn w:val="Normal"/>
    <w:next w:val="Normal"/>
    <w:autoRedefine/>
    <w:uiPriority w:val="39"/>
    <w:unhideWhenUsed/>
    <w:rsid w:val="002A2608"/>
    <w:pPr>
      <w:spacing w:before="360" w:after="360"/>
    </w:pPr>
    <w:rPr>
      <w:rFonts w:cs="Calibri"/>
      <w:b/>
      <w:bCs/>
      <w:caps/>
      <w:u w:val="single"/>
    </w:rPr>
  </w:style>
  <w:style w:type="character" w:styleId="Hyperlink">
    <w:name w:val="Hyperlink"/>
    <w:uiPriority w:val="99"/>
    <w:unhideWhenUsed/>
    <w:rsid w:val="002A2608"/>
    <w:rPr>
      <w:color w:val="0563C1"/>
      <w:u w:val="single"/>
    </w:rPr>
  </w:style>
  <w:style w:type="paragraph" w:styleId="TOC2">
    <w:name w:val="toc 2"/>
    <w:basedOn w:val="Normal"/>
    <w:next w:val="Normal"/>
    <w:autoRedefine/>
    <w:uiPriority w:val="39"/>
    <w:semiHidden/>
    <w:unhideWhenUsed/>
    <w:rsid w:val="002A2608"/>
    <w:pPr>
      <w:spacing w:after="0"/>
    </w:pPr>
    <w:rPr>
      <w:rFonts w:cs="Calibri"/>
      <w:b/>
      <w:bCs/>
      <w:smallCaps/>
    </w:rPr>
  </w:style>
  <w:style w:type="paragraph" w:styleId="TOC3">
    <w:name w:val="toc 3"/>
    <w:basedOn w:val="Normal"/>
    <w:next w:val="Normal"/>
    <w:autoRedefine/>
    <w:uiPriority w:val="39"/>
    <w:semiHidden/>
    <w:unhideWhenUsed/>
    <w:rsid w:val="002A2608"/>
    <w:pPr>
      <w:spacing w:after="0"/>
    </w:pPr>
    <w:rPr>
      <w:rFonts w:cs="Calibri"/>
      <w:smallCaps/>
    </w:rPr>
  </w:style>
  <w:style w:type="paragraph" w:styleId="TOC4">
    <w:name w:val="toc 4"/>
    <w:basedOn w:val="Normal"/>
    <w:next w:val="Normal"/>
    <w:autoRedefine/>
    <w:uiPriority w:val="39"/>
    <w:semiHidden/>
    <w:unhideWhenUsed/>
    <w:rsid w:val="002A2608"/>
    <w:pPr>
      <w:spacing w:after="0"/>
    </w:pPr>
    <w:rPr>
      <w:rFonts w:cs="Calibri"/>
    </w:rPr>
  </w:style>
  <w:style w:type="paragraph" w:styleId="TOC5">
    <w:name w:val="toc 5"/>
    <w:basedOn w:val="Normal"/>
    <w:next w:val="Normal"/>
    <w:autoRedefine/>
    <w:uiPriority w:val="39"/>
    <w:semiHidden/>
    <w:unhideWhenUsed/>
    <w:rsid w:val="002A2608"/>
    <w:pPr>
      <w:spacing w:after="0"/>
    </w:pPr>
    <w:rPr>
      <w:rFonts w:cs="Calibri"/>
    </w:rPr>
  </w:style>
  <w:style w:type="paragraph" w:styleId="TOC6">
    <w:name w:val="toc 6"/>
    <w:basedOn w:val="Normal"/>
    <w:next w:val="Normal"/>
    <w:autoRedefine/>
    <w:uiPriority w:val="39"/>
    <w:semiHidden/>
    <w:unhideWhenUsed/>
    <w:rsid w:val="002A2608"/>
    <w:pPr>
      <w:spacing w:after="0"/>
    </w:pPr>
    <w:rPr>
      <w:rFonts w:cs="Calibri"/>
    </w:rPr>
  </w:style>
  <w:style w:type="paragraph" w:styleId="TOC7">
    <w:name w:val="toc 7"/>
    <w:basedOn w:val="Normal"/>
    <w:next w:val="Normal"/>
    <w:autoRedefine/>
    <w:uiPriority w:val="39"/>
    <w:semiHidden/>
    <w:unhideWhenUsed/>
    <w:rsid w:val="002A2608"/>
    <w:pPr>
      <w:spacing w:after="0"/>
    </w:pPr>
    <w:rPr>
      <w:rFonts w:cs="Calibri"/>
    </w:rPr>
  </w:style>
  <w:style w:type="paragraph" w:styleId="TOC8">
    <w:name w:val="toc 8"/>
    <w:basedOn w:val="Normal"/>
    <w:next w:val="Normal"/>
    <w:autoRedefine/>
    <w:uiPriority w:val="39"/>
    <w:semiHidden/>
    <w:unhideWhenUsed/>
    <w:rsid w:val="002A2608"/>
    <w:pPr>
      <w:spacing w:after="0"/>
    </w:pPr>
    <w:rPr>
      <w:rFonts w:cs="Calibri"/>
    </w:rPr>
  </w:style>
  <w:style w:type="paragraph" w:styleId="TOC9">
    <w:name w:val="toc 9"/>
    <w:basedOn w:val="Normal"/>
    <w:next w:val="Normal"/>
    <w:autoRedefine/>
    <w:uiPriority w:val="39"/>
    <w:semiHidden/>
    <w:unhideWhenUsed/>
    <w:rsid w:val="002A2608"/>
    <w:pPr>
      <w:spacing w:after="0"/>
    </w:pPr>
    <w:rPr>
      <w:rFonts w:cs="Calibri"/>
    </w:rPr>
  </w:style>
  <w:style w:type="character" w:styleId="UnresolvedMention">
    <w:name w:val="Unresolved Mention"/>
    <w:basedOn w:val="DefaultParagraphFont"/>
    <w:uiPriority w:val="99"/>
    <w:semiHidden/>
    <w:unhideWhenUsed/>
    <w:rsid w:val="001F6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365422">
      <w:bodyDiv w:val="1"/>
      <w:marLeft w:val="0"/>
      <w:marRight w:val="0"/>
      <w:marTop w:val="0"/>
      <w:marBottom w:val="0"/>
      <w:divBdr>
        <w:top w:val="none" w:sz="0" w:space="0" w:color="auto"/>
        <w:left w:val="none" w:sz="0" w:space="0" w:color="auto"/>
        <w:bottom w:val="none" w:sz="0" w:space="0" w:color="auto"/>
        <w:right w:val="none" w:sz="0" w:space="0" w:color="auto"/>
      </w:divBdr>
    </w:div>
    <w:div w:id="1381512201">
      <w:bodyDiv w:val="1"/>
      <w:marLeft w:val="0"/>
      <w:marRight w:val="0"/>
      <w:marTop w:val="0"/>
      <w:marBottom w:val="0"/>
      <w:divBdr>
        <w:top w:val="none" w:sz="0" w:space="0" w:color="auto"/>
        <w:left w:val="none" w:sz="0" w:space="0" w:color="auto"/>
        <w:bottom w:val="none" w:sz="0" w:space="0" w:color="auto"/>
        <w:right w:val="none" w:sz="0" w:space="0" w:color="auto"/>
      </w:divBdr>
    </w:div>
    <w:div w:id="1382054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ps.gov.uk/crime-info/youth-crime" TargetMode="External"/><Relationship Id="rId5" Type="http://schemas.openxmlformats.org/officeDocument/2006/relationships/hyperlink" Target="mailto:1806400@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3CEB0-7532-4B77-8C72-E2EF35C5B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1894</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X609</dc:creator>
  <cp:lastModifiedBy>Monir</cp:lastModifiedBy>
  <cp:revision>13</cp:revision>
  <dcterms:created xsi:type="dcterms:W3CDTF">2021-10-30T14:42:00Z</dcterms:created>
  <dcterms:modified xsi:type="dcterms:W3CDTF">2021-11-05T18:17:00Z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2065b0e1833f4209bad8e1d1f5ec4f35</vt:lpwstr>
  </property>
</Properties>
</file>