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A4B050" w14:textId="77777777" w:rsidR="002F19E6" w:rsidRPr="00B32307" w:rsidRDefault="002F19E6" w:rsidP="00945409">
      <w:pPr>
        <w:jc w:val="center"/>
        <w:rPr>
          <w:rFonts w:cs="Times New Roman"/>
          <w:b/>
          <w:bCs/>
          <w:sz w:val="28"/>
          <w:szCs w:val="28"/>
          <w:lang w:val="en-GB"/>
        </w:rPr>
      </w:pPr>
    </w:p>
    <w:p w14:paraId="250CA689" w14:textId="77777777" w:rsidR="002F19E6" w:rsidRPr="00B32307" w:rsidRDefault="002F19E6" w:rsidP="00945409">
      <w:pPr>
        <w:jc w:val="center"/>
        <w:rPr>
          <w:rFonts w:cs="Times New Roman"/>
          <w:b/>
          <w:bCs/>
          <w:sz w:val="28"/>
          <w:szCs w:val="28"/>
          <w:lang w:val="en-GB"/>
        </w:rPr>
      </w:pPr>
    </w:p>
    <w:p w14:paraId="715D9575" w14:textId="77777777" w:rsidR="002F19E6" w:rsidRPr="00B32307" w:rsidRDefault="002F19E6" w:rsidP="00945409">
      <w:pPr>
        <w:jc w:val="center"/>
        <w:rPr>
          <w:rFonts w:cs="Times New Roman"/>
          <w:b/>
          <w:bCs/>
          <w:sz w:val="28"/>
          <w:szCs w:val="28"/>
          <w:lang w:val="en-GB"/>
        </w:rPr>
      </w:pPr>
    </w:p>
    <w:p w14:paraId="2E3B927B" w14:textId="77777777" w:rsidR="002F19E6" w:rsidRPr="00B32307" w:rsidRDefault="002F19E6" w:rsidP="00945409">
      <w:pPr>
        <w:jc w:val="center"/>
        <w:rPr>
          <w:rFonts w:cs="Times New Roman"/>
          <w:b/>
          <w:bCs/>
          <w:sz w:val="28"/>
          <w:szCs w:val="28"/>
          <w:lang w:val="en-GB"/>
        </w:rPr>
      </w:pPr>
    </w:p>
    <w:p w14:paraId="3E6F3E98" w14:textId="77777777" w:rsidR="00945409" w:rsidRPr="00B32307" w:rsidRDefault="00945409" w:rsidP="00945409">
      <w:pPr>
        <w:jc w:val="center"/>
        <w:rPr>
          <w:rFonts w:cs="Times New Roman"/>
          <w:b/>
          <w:bCs/>
          <w:sz w:val="28"/>
          <w:szCs w:val="28"/>
          <w:lang w:val="en-GB"/>
        </w:rPr>
      </w:pPr>
      <w:r w:rsidRPr="00B32307">
        <w:rPr>
          <w:rFonts w:cs="Times New Roman"/>
          <w:b/>
          <w:bCs/>
          <w:sz w:val="28"/>
          <w:szCs w:val="28"/>
          <w:lang w:val="en-GB"/>
        </w:rPr>
        <w:t>Course: BSc (Hons) Health and Social Care</w:t>
      </w:r>
    </w:p>
    <w:p w14:paraId="4CC112C0" w14:textId="77777777" w:rsidR="00945409" w:rsidRPr="00B32307" w:rsidRDefault="00945409" w:rsidP="00945409">
      <w:pPr>
        <w:jc w:val="center"/>
        <w:rPr>
          <w:rFonts w:cs="Times New Roman"/>
          <w:b/>
          <w:bCs/>
          <w:sz w:val="28"/>
          <w:szCs w:val="28"/>
          <w:lang w:val="en-GB"/>
        </w:rPr>
      </w:pPr>
      <w:r w:rsidRPr="00B32307">
        <w:rPr>
          <w:rFonts w:cs="Times New Roman"/>
          <w:b/>
          <w:bCs/>
          <w:sz w:val="28"/>
          <w:szCs w:val="28"/>
          <w:lang w:val="en-GB"/>
        </w:rPr>
        <w:t>Module: Independent Project (BMHP6020_BIRM)</w:t>
      </w:r>
    </w:p>
    <w:p w14:paraId="25F93F2C" w14:textId="77777777" w:rsidR="00945409" w:rsidRPr="00B32307" w:rsidRDefault="00945409" w:rsidP="00945409">
      <w:pPr>
        <w:jc w:val="center"/>
        <w:rPr>
          <w:rFonts w:cs="Times New Roman"/>
          <w:sz w:val="28"/>
          <w:szCs w:val="28"/>
          <w:lang w:val="en-GB"/>
        </w:rPr>
      </w:pPr>
    </w:p>
    <w:p w14:paraId="65F93248" w14:textId="77777777" w:rsidR="00945409" w:rsidRPr="00B32307" w:rsidRDefault="00945409" w:rsidP="00945409">
      <w:pPr>
        <w:jc w:val="center"/>
        <w:rPr>
          <w:rFonts w:cs="Times New Roman"/>
          <w:b/>
          <w:bCs/>
          <w:sz w:val="28"/>
          <w:szCs w:val="28"/>
          <w:lang w:val="en-GB"/>
        </w:rPr>
      </w:pPr>
      <w:r w:rsidRPr="00B32307">
        <w:rPr>
          <w:rFonts w:cs="Times New Roman"/>
          <w:b/>
          <w:bCs/>
          <w:sz w:val="28"/>
          <w:szCs w:val="28"/>
          <w:lang w:val="en-GB"/>
        </w:rPr>
        <w:t xml:space="preserve">Project title: </w:t>
      </w:r>
      <w:r w:rsidRPr="00B32307">
        <w:rPr>
          <w:rFonts w:cs="Times New Roman"/>
          <w:bCs/>
          <w:sz w:val="28"/>
          <w:szCs w:val="28"/>
          <w:lang w:val="en-GB"/>
        </w:rPr>
        <w:t xml:space="preserve">Behind the Mask: Exploring Social Camouflaging in Autistic Adults and its Psychological </w:t>
      </w:r>
      <w:r w:rsidR="005D1F48" w:rsidRPr="00B32307">
        <w:rPr>
          <w:rFonts w:cs="Times New Roman"/>
          <w:bCs/>
          <w:sz w:val="28"/>
          <w:szCs w:val="28"/>
          <w:lang w:val="en-GB"/>
        </w:rPr>
        <w:t>Impact</w:t>
      </w:r>
      <w:r w:rsidRPr="00B32307">
        <w:rPr>
          <w:rFonts w:cs="Times New Roman"/>
          <w:bCs/>
          <w:sz w:val="28"/>
          <w:szCs w:val="28"/>
          <w:lang w:val="en-GB"/>
        </w:rPr>
        <w:t>.</w:t>
      </w:r>
    </w:p>
    <w:p w14:paraId="240ACFF2" w14:textId="77777777" w:rsidR="00945409" w:rsidRPr="00B32307" w:rsidRDefault="00945409" w:rsidP="00945409">
      <w:pPr>
        <w:rPr>
          <w:rFonts w:cs="Times New Roman"/>
          <w:sz w:val="28"/>
          <w:szCs w:val="28"/>
          <w:lang w:val="en-GB"/>
        </w:rPr>
      </w:pPr>
    </w:p>
    <w:p w14:paraId="4DD83DF2" w14:textId="77777777" w:rsidR="00945409" w:rsidRPr="00B32307" w:rsidRDefault="00945409" w:rsidP="00945409">
      <w:pPr>
        <w:jc w:val="center"/>
        <w:rPr>
          <w:rFonts w:cs="Times New Roman"/>
          <w:sz w:val="28"/>
          <w:szCs w:val="28"/>
          <w:lang w:val="en-GB"/>
        </w:rPr>
      </w:pPr>
      <w:r w:rsidRPr="00B32307">
        <w:rPr>
          <w:rFonts w:cs="Times New Roman"/>
          <w:b/>
          <w:bCs/>
          <w:sz w:val="28"/>
          <w:szCs w:val="28"/>
          <w:lang w:val="en-GB"/>
        </w:rPr>
        <w:t>Student ID</w:t>
      </w:r>
      <w:r w:rsidRPr="00B32307">
        <w:rPr>
          <w:rFonts w:cs="Times New Roman"/>
          <w:sz w:val="28"/>
          <w:szCs w:val="28"/>
          <w:lang w:val="en-GB"/>
        </w:rPr>
        <w:t xml:space="preserve">: 2315950 </w:t>
      </w:r>
    </w:p>
    <w:p w14:paraId="7BCD4E3E" w14:textId="77777777" w:rsidR="00945409" w:rsidRPr="00B32307" w:rsidRDefault="00945409" w:rsidP="00945409">
      <w:pPr>
        <w:jc w:val="center"/>
        <w:rPr>
          <w:rFonts w:cs="Times New Roman"/>
          <w:sz w:val="28"/>
          <w:szCs w:val="28"/>
          <w:lang w:val="en-GB"/>
        </w:rPr>
      </w:pPr>
    </w:p>
    <w:p w14:paraId="0E3F9EDB" w14:textId="77777777" w:rsidR="00945409" w:rsidRPr="00B32307" w:rsidRDefault="00945409" w:rsidP="002F19E6">
      <w:pPr>
        <w:jc w:val="center"/>
        <w:rPr>
          <w:sz w:val="28"/>
          <w:lang w:val="en-GB"/>
        </w:rPr>
      </w:pPr>
      <w:r w:rsidRPr="00B32307">
        <w:rPr>
          <w:b/>
          <w:bCs/>
          <w:sz w:val="28"/>
          <w:lang w:val="en-GB"/>
        </w:rPr>
        <w:t>Student Name</w:t>
      </w:r>
      <w:r w:rsidRPr="00B32307">
        <w:rPr>
          <w:b/>
          <w:sz w:val="28"/>
          <w:lang w:val="en-GB"/>
        </w:rPr>
        <w:t>:</w:t>
      </w:r>
      <w:r w:rsidRPr="00B32307">
        <w:rPr>
          <w:sz w:val="28"/>
          <w:lang w:val="en-GB"/>
        </w:rPr>
        <w:t xml:space="preserve"> Sameena Iqbal</w:t>
      </w:r>
    </w:p>
    <w:p w14:paraId="39BDF47A" w14:textId="77777777" w:rsidR="00945409" w:rsidRPr="00B32307" w:rsidRDefault="00945409">
      <w:pPr>
        <w:spacing w:after="160" w:line="259" w:lineRule="auto"/>
        <w:jc w:val="left"/>
        <w:rPr>
          <w:rFonts w:eastAsiaTheme="majorEastAsia" w:cs="Times New Roman"/>
          <w:b/>
          <w:color w:val="000000" w:themeColor="text1"/>
          <w:szCs w:val="32"/>
          <w:lang w:val="en-GB"/>
        </w:rPr>
      </w:pPr>
      <w:r w:rsidRPr="00B32307">
        <w:rPr>
          <w:rFonts w:cs="Times New Roman"/>
          <w:lang w:val="en-GB"/>
        </w:rPr>
        <w:br w:type="page"/>
      </w:r>
    </w:p>
    <w:sdt>
      <w:sdtPr>
        <w:rPr>
          <w:rFonts w:ascii="Times New Roman" w:eastAsiaTheme="minorHAnsi" w:hAnsi="Times New Roman" w:cstheme="minorBidi"/>
          <w:color w:val="auto"/>
          <w:sz w:val="24"/>
          <w:szCs w:val="22"/>
          <w:lang w:val="en-GB"/>
        </w:rPr>
        <w:id w:val="1651702628"/>
        <w:docPartObj>
          <w:docPartGallery w:val="Table of Contents"/>
          <w:docPartUnique/>
        </w:docPartObj>
      </w:sdtPr>
      <w:sdtEndPr>
        <w:rPr>
          <w:b/>
          <w:bCs/>
          <w:noProof/>
        </w:rPr>
      </w:sdtEndPr>
      <w:sdtContent>
        <w:p w14:paraId="4758B9A5" w14:textId="77777777" w:rsidR="002F19E6" w:rsidRPr="00B32307" w:rsidRDefault="002F19E6" w:rsidP="00B32307">
          <w:pPr>
            <w:pStyle w:val="TOCHeading"/>
            <w:spacing w:after="240" w:line="240" w:lineRule="auto"/>
            <w:jc w:val="center"/>
            <w:rPr>
              <w:rFonts w:ascii="Times New Roman" w:hAnsi="Times New Roman" w:cs="Times New Roman"/>
              <w:b/>
              <w:color w:val="auto"/>
              <w:sz w:val="24"/>
              <w:lang w:val="en-GB"/>
            </w:rPr>
          </w:pPr>
          <w:r w:rsidRPr="00B32307">
            <w:rPr>
              <w:rFonts w:ascii="Times New Roman" w:hAnsi="Times New Roman" w:cs="Times New Roman"/>
              <w:b/>
              <w:color w:val="auto"/>
              <w:sz w:val="24"/>
              <w:lang w:val="en-GB"/>
            </w:rPr>
            <w:t>Table of Contents</w:t>
          </w:r>
        </w:p>
        <w:p w14:paraId="31D6DA2A" w14:textId="77777777" w:rsidR="002F19E6" w:rsidRPr="00B32307" w:rsidRDefault="002F19E6" w:rsidP="00B32307">
          <w:pPr>
            <w:pStyle w:val="TOC1"/>
            <w:tabs>
              <w:tab w:val="right" w:leader="dot" w:pos="9350"/>
            </w:tabs>
            <w:spacing w:after="240" w:line="240" w:lineRule="auto"/>
            <w:rPr>
              <w:noProof/>
              <w:lang w:val="en-GB"/>
            </w:rPr>
          </w:pPr>
          <w:r w:rsidRPr="00B32307">
            <w:rPr>
              <w:lang w:val="en-GB"/>
            </w:rPr>
            <w:fldChar w:fldCharType="begin"/>
          </w:r>
          <w:r w:rsidRPr="00B32307">
            <w:rPr>
              <w:lang w:val="en-GB"/>
            </w:rPr>
            <w:instrText xml:space="preserve"> TOC \o "1-3" \h \z \u </w:instrText>
          </w:r>
          <w:r w:rsidRPr="00B32307">
            <w:rPr>
              <w:lang w:val="en-GB"/>
            </w:rPr>
            <w:fldChar w:fldCharType="separate"/>
          </w:r>
          <w:hyperlink w:anchor="_Toc223177952" w:history="1">
            <w:r w:rsidRPr="00B32307">
              <w:rPr>
                <w:rStyle w:val="Hyperlink"/>
                <w:rFonts w:cs="Times New Roman"/>
                <w:noProof/>
                <w:lang w:val="en-GB"/>
              </w:rPr>
              <w:t>CHAPTER 1 – INTRODUCTION</w:t>
            </w:r>
            <w:r w:rsidRPr="00B32307">
              <w:rPr>
                <w:noProof/>
                <w:webHidden/>
                <w:lang w:val="en-GB"/>
              </w:rPr>
              <w:tab/>
            </w:r>
            <w:r w:rsidRPr="00B32307">
              <w:rPr>
                <w:noProof/>
                <w:webHidden/>
                <w:lang w:val="en-GB"/>
              </w:rPr>
              <w:fldChar w:fldCharType="begin"/>
            </w:r>
            <w:r w:rsidRPr="00B32307">
              <w:rPr>
                <w:noProof/>
                <w:webHidden/>
                <w:lang w:val="en-GB"/>
              </w:rPr>
              <w:instrText xml:space="preserve"> PAGEREF _Toc223177952 \h </w:instrText>
            </w:r>
            <w:r w:rsidRPr="00B32307">
              <w:rPr>
                <w:noProof/>
                <w:webHidden/>
                <w:lang w:val="en-GB"/>
              </w:rPr>
            </w:r>
            <w:r w:rsidRPr="00B32307">
              <w:rPr>
                <w:noProof/>
                <w:webHidden/>
                <w:lang w:val="en-GB"/>
              </w:rPr>
              <w:fldChar w:fldCharType="separate"/>
            </w:r>
            <w:r w:rsidR="005F7921">
              <w:rPr>
                <w:noProof/>
                <w:webHidden/>
                <w:lang w:val="en-GB"/>
              </w:rPr>
              <w:t>3</w:t>
            </w:r>
            <w:r w:rsidRPr="00B32307">
              <w:rPr>
                <w:noProof/>
                <w:webHidden/>
                <w:lang w:val="en-GB"/>
              </w:rPr>
              <w:fldChar w:fldCharType="end"/>
            </w:r>
          </w:hyperlink>
        </w:p>
        <w:p w14:paraId="1A7C5454" w14:textId="77777777" w:rsidR="002F19E6" w:rsidRPr="00B32307" w:rsidRDefault="002F19E6" w:rsidP="00B32307">
          <w:pPr>
            <w:pStyle w:val="TOC2"/>
            <w:tabs>
              <w:tab w:val="right" w:leader="dot" w:pos="9350"/>
            </w:tabs>
            <w:spacing w:after="240" w:line="240" w:lineRule="auto"/>
            <w:rPr>
              <w:noProof/>
              <w:lang w:val="en-GB"/>
            </w:rPr>
          </w:pPr>
          <w:hyperlink w:anchor="_Toc223177953" w:history="1">
            <w:r w:rsidRPr="00B32307">
              <w:rPr>
                <w:rStyle w:val="Hyperlink"/>
                <w:rFonts w:cs="Times New Roman"/>
                <w:noProof/>
                <w:lang w:val="en-GB"/>
              </w:rPr>
              <w:t>1.1 Introduction</w:t>
            </w:r>
            <w:r w:rsidRPr="00B32307">
              <w:rPr>
                <w:noProof/>
                <w:webHidden/>
                <w:lang w:val="en-GB"/>
              </w:rPr>
              <w:tab/>
            </w:r>
            <w:r w:rsidRPr="00B32307">
              <w:rPr>
                <w:noProof/>
                <w:webHidden/>
                <w:lang w:val="en-GB"/>
              </w:rPr>
              <w:fldChar w:fldCharType="begin"/>
            </w:r>
            <w:r w:rsidRPr="00B32307">
              <w:rPr>
                <w:noProof/>
                <w:webHidden/>
                <w:lang w:val="en-GB"/>
              </w:rPr>
              <w:instrText xml:space="preserve"> PAGEREF _Toc223177953 \h </w:instrText>
            </w:r>
            <w:r w:rsidRPr="00B32307">
              <w:rPr>
                <w:noProof/>
                <w:webHidden/>
                <w:lang w:val="en-GB"/>
              </w:rPr>
            </w:r>
            <w:r w:rsidRPr="00B32307">
              <w:rPr>
                <w:noProof/>
                <w:webHidden/>
                <w:lang w:val="en-GB"/>
              </w:rPr>
              <w:fldChar w:fldCharType="separate"/>
            </w:r>
            <w:r w:rsidR="005F7921">
              <w:rPr>
                <w:noProof/>
                <w:webHidden/>
                <w:lang w:val="en-GB"/>
              </w:rPr>
              <w:t>3</w:t>
            </w:r>
            <w:r w:rsidRPr="00B32307">
              <w:rPr>
                <w:noProof/>
                <w:webHidden/>
                <w:lang w:val="en-GB"/>
              </w:rPr>
              <w:fldChar w:fldCharType="end"/>
            </w:r>
          </w:hyperlink>
        </w:p>
        <w:p w14:paraId="2EBBD08A" w14:textId="77777777" w:rsidR="002F19E6" w:rsidRPr="00B32307" w:rsidRDefault="002F19E6" w:rsidP="00B32307">
          <w:pPr>
            <w:pStyle w:val="TOC2"/>
            <w:tabs>
              <w:tab w:val="right" w:leader="dot" w:pos="9350"/>
            </w:tabs>
            <w:spacing w:after="240" w:line="240" w:lineRule="auto"/>
            <w:rPr>
              <w:noProof/>
              <w:lang w:val="en-GB"/>
            </w:rPr>
          </w:pPr>
          <w:hyperlink w:anchor="_Toc223177954" w:history="1">
            <w:r w:rsidRPr="00B32307">
              <w:rPr>
                <w:rStyle w:val="Hyperlink"/>
                <w:rFonts w:cs="Times New Roman"/>
                <w:noProof/>
                <w:lang w:val="en-GB"/>
              </w:rPr>
              <w:t>1.2 Definitions and Terminology</w:t>
            </w:r>
            <w:r w:rsidRPr="00B32307">
              <w:rPr>
                <w:noProof/>
                <w:webHidden/>
                <w:lang w:val="en-GB"/>
              </w:rPr>
              <w:tab/>
            </w:r>
            <w:r w:rsidRPr="00B32307">
              <w:rPr>
                <w:noProof/>
                <w:webHidden/>
                <w:lang w:val="en-GB"/>
              </w:rPr>
              <w:fldChar w:fldCharType="begin"/>
            </w:r>
            <w:r w:rsidRPr="00B32307">
              <w:rPr>
                <w:noProof/>
                <w:webHidden/>
                <w:lang w:val="en-GB"/>
              </w:rPr>
              <w:instrText xml:space="preserve"> PAGEREF _Toc223177954 \h </w:instrText>
            </w:r>
            <w:r w:rsidRPr="00B32307">
              <w:rPr>
                <w:noProof/>
                <w:webHidden/>
                <w:lang w:val="en-GB"/>
              </w:rPr>
            </w:r>
            <w:r w:rsidRPr="00B32307">
              <w:rPr>
                <w:noProof/>
                <w:webHidden/>
                <w:lang w:val="en-GB"/>
              </w:rPr>
              <w:fldChar w:fldCharType="separate"/>
            </w:r>
            <w:r w:rsidR="005F7921">
              <w:rPr>
                <w:noProof/>
                <w:webHidden/>
                <w:lang w:val="en-GB"/>
              </w:rPr>
              <w:t>3</w:t>
            </w:r>
            <w:r w:rsidRPr="00B32307">
              <w:rPr>
                <w:noProof/>
                <w:webHidden/>
                <w:lang w:val="en-GB"/>
              </w:rPr>
              <w:fldChar w:fldCharType="end"/>
            </w:r>
          </w:hyperlink>
        </w:p>
        <w:p w14:paraId="763C168C" w14:textId="77777777" w:rsidR="002F19E6" w:rsidRPr="00B32307" w:rsidRDefault="002F19E6" w:rsidP="00B32307">
          <w:pPr>
            <w:pStyle w:val="TOC2"/>
            <w:tabs>
              <w:tab w:val="right" w:leader="dot" w:pos="9350"/>
            </w:tabs>
            <w:spacing w:after="240" w:line="240" w:lineRule="auto"/>
            <w:rPr>
              <w:noProof/>
              <w:lang w:val="en-GB"/>
            </w:rPr>
          </w:pPr>
          <w:hyperlink w:anchor="_Toc223177955" w:history="1">
            <w:r w:rsidRPr="00B32307">
              <w:rPr>
                <w:rStyle w:val="Hyperlink"/>
                <w:rFonts w:cs="Times New Roman"/>
                <w:noProof/>
                <w:lang w:val="en-GB"/>
              </w:rPr>
              <w:t>1.3 Rationale for Research</w:t>
            </w:r>
            <w:r w:rsidRPr="00B32307">
              <w:rPr>
                <w:noProof/>
                <w:webHidden/>
                <w:lang w:val="en-GB"/>
              </w:rPr>
              <w:tab/>
            </w:r>
            <w:r w:rsidRPr="00B32307">
              <w:rPr>
                <w:noProof/>
                <w:webHidden/>
                <w:lang w:val="en-GB"/>
              </w:rPr>
              <w:fldChar w:fldCharType="begin"/>
            </w:r>
            <w:r w:rsidRPr="00B32307">
              <w:rPr>
                <w:noProof/>
                <w:webHidden/>
                <w:lang w:val="en-GB"/>
              </w:rPr>
              <w:instrText xml:space="preserve"> PAGEREF _Toc223177955 \h </w:instrText>
            </w:r>
            <w:r w:rsidRPr="00B32307">
              <w:rPr>
                <w:noProof/>
                <w:webHidden/>
                <w:lang w:val="en-GB"/>
              </w:rPr>
            </w:r>
            <w:r w:rsidRPr="00B32307">
              <w:rPr>
                <w:noProof/>
                <w:webHidden/>
                <w:lang w:val="en-GB"/>
              </w:rPr>
              <w:fldChar w:fldCharType="separate"/>
            </w:r>
            <w:r w:rsidR="005F7921">
              <w:rPr>
                <w:noProof/>
                <w:webHidden/>
                <w:lang w:val="en-GB"/>
              </w:rPr>
              <w:t>4</w:t>
            </w:r>
            <w:r w:rsidRPr="00B32307">
              <w:rPr>
                <w:noProof/>
                <w:webHidden/>
                <w:lang w:val="en-GB"/>
              </w:rPr>
              <w:fldChar w:fldCharType="end"/>
            </w:r>
          </w:hyperlink>
        </w:p>
        <w:p w14:paraId="7A39DF95" w14:textId="77777777" w:rsidR="002F19E6" w:rsidRPr="00B32307" w:rsidRDefault="002F19E6" w:rsidP="00B32307">
          <w:pPr>
            <w:pStyle w:val="TOC2"/>
            <w:tabs>
              <w:tab w:val="right" w:leader="dot" w:pos="9350"/>
            </w:tabs>
            <w:spacing w:after="240" w:line="240" w:lineRule="auto"/>
            <w:rPr>
              <w:noProof/>
              <w:lang w:val="en-GB"/>
            </w:rPr>
          </w:pPr>
          <w:hyperlink w:anchor="_Toc223177956" w:history="1">
            <w:r w:rsidRPr="00B32307">
              <w:rPr>
                <w:rStyle w:val="Hyperlink"/>
                <w:rFonts w:cs="Times New Roman"/>
                <w:noProof/>
                <w:lang w:val="en-GB"/>
              </w:rPr>
              <w:t>1.4 Aim and Objectives</w:t>
            </w:r>
            <w:r w:rsidRPr="00B32307">
              <w:rPr>
                <w:noProof/>
                <w:webHidden/>
                <w:lang w:val="en-GB"/>
              </w:rPr>
              <w:tab/>
            </w:r>
            <w:r w:rsidRPr="00B32307">
              <w:rPr>
                <w:noProof/>
                <w:webHidden/>
                <w:lang w:val="en-GB"/>
              </w:rPr>
              <w:fldChar w:fldCharType="begin"/>
            </w:r>
            <w:r w:rsidRPr="00B32307">
              <w:rPr>
                <w:noProof/>
                <w:webHidden/>
                <w:lang w:val="en-GB"/>
              </w:rPr>
              <w:instrText xml:space="preserve"> PAGEREF _Toc223177956 \h </w:instrText>
            </w:r>
            <w:r w:rsidRPr="00B32307">
              <w:rPr>
                <w:noProof/>
                <w:webHidden/>
                <w:lang w:val="en-GB"/>
              </w:rPr>
            </w:r>
            <w:r w:rsidRPr="00B32307">
              <w:rPr>
                <w:noProof/>
                <w:webHidden/>
                <w:lang w:val="en-GB"/>
              </w:rPr>
              <w:fldChar w:fldCharType="separate"/>
            </w:r>
            <w:r w:rsidR="005F7921">
              <w:rPr>
                <w:noProof/>
                <w:webHidden/>
                <w:lang w:val="en-GB"/>
              </w:rPr>
              <w:t>5</w:t>
            </w:r>
            <w:r w:rsidRPr="00B32307">
              <w:rPr>
                <w:noProof/>
                <w:webHidden/>
                <w:lang w:val="en-GB"/>
              </w:rPr>
              <w:fldChar w:fldCharType="end"/>
            </w:r>
          </w:hyperlink>
        </w:p>
        <w:p w14:paraId="19435888" w14:textId="77777777" w:rsidR="002F19E6" w:rsidRPr="00B32307" w:rsidRDefault="002F19E6" w:rsidP="00B32307">
          <w:pPr>
            <w:pStyle w:val="TOC3"/>
            <w:tabs>
              <w:tab w:val="right" w:leader="dot" w:pos="9350"/>
            </w:tabs>
            <w:spacing w:after="240" w:line="240" w:lineRule="auto"/>
            <w:rPr>
              <w:noProof/>
              <w:lang w:val="en-GB"/>
            </w:rPr>
          </w:pPr>
          <w:hyperlink w:anchor="_Toc223177957" w:history="1">
            <w:r w:rsidRPr="00B32307">
              <w:rPr>
                <w:rStyle w:val="Hyperlink"/>
                <w:rFonts w:cs="Times New Roman"/>
                <w:noProof/>
                <w:lang w:val="en-GB"/>
              </w:rPr>
              <w:t>1.4.1 Research Aim</w:t>
            </w:r>
            <w:r w:rsidRPr="00B32307">
              <w:rPr>
                <w:noProof/>
                <w:webHidden/>
                <w:lang w:val="en-GB"/>
              </w:rPr>
              <w:tab/>
            </w:r>
            <w:r w:rsidRPr="00B32307">
              <w:rPr>
                <w:noProof/>
                <w:webHidden/>
                <w:lang w:val="en-GB"/>
              </w:rPr>
              <w:fldChar w:fldCharType="begin"/>
            </w:r>
            <w:r w:rsidRPr="00B32307">
              <w:rPr>
                <w:noProof/>
                <w:webHidden/>
                <w:lang w:val="en-GB"/>
              </w:rPr>
              <w:instrText xml:space="preserve"> PAGEREF _Toc223177957 \h </w:instrText>
            </w:r>
            <w:r w:rsidRPr="00B32307">
              <w:rPr>
                <w:noProof/>
                <w:webHidden/>
                <w:lang w:val="en-GB"/>
              </w:rPr>
            </w:r>
            <w:r w:rsidRPr="00B32307">
              <w:rPr>
                <w:noProof/>
                <w:webHidden/>
                <w:lang w:val="en-GB"/>
              </w:rPr>
              <w:fldChar w:fldCharType="separate"/>
            </w:r>
            <w:r w:rsidR="005F7921">
              <w:rPr>
                <w:noProof/>
                <w:webHidden/>
                <w:lang w:val="en-GB"/>
              </w:rPr>
              <w:t>5</w:t>
            </w:r>
            <w:r w:rsidRPr="00B32307">
              <w:rPr>
                <w:noProof/>
                <w:webHidden/>
                <w:lang w:val="en-GB"/>
              </w:rPr>
              <w:fldChar w:fldCharType="end"/>
            </w:r>
          </w:hyperlink>
        </w:p>
        <w:p w14:paraId="47A8278E" w14:textId="77777777" w:rsidR="002F19E6" w:rsidRPr="00B32307" w:rsidRDefault="002F19E6" w:rsidP="00B32307">
          <w:pPr>
            <w:pStyle w:val="TOC3"/>
            <w:tabs>
              <w:tab w:val="right" w:leader="dot" w:pos="9350"/>
            </w:tabs>
            <w:spacing w:after="240" w:line="240" w:lineRule="auto"/>
            <w:rPr>
              <w:noProof/>
              <w:lang w:val="en-GB"/>
            </w:rPr>
          </w:pPr>
          <w:hyperlink w:anchor="_Toc223177958" w:history="1">
            <w:r w:rsidRPr="00B32307">
              <w:rPr>
                <w:rStyle w:val="Hyperlink"/>
                <w:rFonts w:cs="Times New Roman"/>
                <w:noProof/>
                <w:lang w:val="en-GB"/>
              </w:rPr>
              <w:t>1.4.2 Objectives</w:t>
            </w:r>
            <w:r w:rsidRPr="00B32307">
              <w:rPr>
                <w:noProof/>
                <w:webHidden/>
                <w:lang w:val="en-GB"/>
              </w:rPr>
              <w:tab/>
            </w:r>
            <w:r w:rsidRPr="00B32307">
              <w:rPr>
                <w:noProof/>
                <w:webHidden/>
                <w:lang w:val="en-GB"/>
              </w:rPr>
              <w:fldChar w:fldCharType="begin"/>
            </w:r>
            <w:r w:rsidRPr="00B32307">
              <w:rPr>
                <w:noProof/>
                <w:webHidden/>
                <w:lang w:val="en-GB"/>
              </w:rPr>
              <w:instrText xml:space="preserve"> PAGEREF _Toc223177958 \h </w:instrText>
            </w:r>
            <w:r w:rsidRPr="00B32307">
              <w:rPr>
                <w:noProof/>
                <w:webHidden/>
                <w:lang w:val="en-GB"/>
              </w:rPr>
            </w:r>
            <w:r w:rsidRPr="00B32307">
              <w:rPr>
                <w:noProof/>
                <w:webHidden/>
                <w:lang w:val="en-GB"/>
              </w:rPr>
              <w:fldChar w:fldCharType="separate"/>
            </w:r>
            <w:r w:rsidR="005F7921">
              <w:rPr>
                <w:noProof/>
                <w:webHidden/>
                <w:lang w:val="en-GB"/>
              </w:rPr>
              <w:t>5</w:t>
            </w:r>
            <w:r w:rsidRPr="00B32307">
              <w:rPr>
                <w:noProof/>
                <w:webHidden/>
                <w:lang w:val="en-GB"/>
              </w:rPr>
              <w:fldChar w:fldCharType="end"/>
            </w:r>
          </w:hyperlink>
        </w:p>
        <w:p w14:paraId="19025DBC" w14:textId="77777777" w:rsidR="002F19E6" w:rsidRPr="00B32307" w:rsidRDefault="002F19E6" w:rsidP="00B32307">
          <w:pPr>
            <w:pStyle w:val="TOC2"/>
            <w:tabs>
              <w:tab w:val="right" w:leader="dot" w:pos="9350"/>
            </w:tabs>
            <w:spacing w:after="240" w:line="240" w:lineRule="auto"/>
            <w:rPr>
              <w:noProof/>
              <w:lang w:val="en-GB"/>
            </w:rPr>
          </w:pPr>
          <w:hyperlink w:anchor="_Toc223177959" w:history="1">
            <w:r w:rsidRPr="00B32307">
              <w:rPr>
                <w:rStyle w:val="Hyperlink"/>
                <w:rFonts w:cs="Times New Roman"/>
                <w:noProof/>
                <w:lang w:val="en-GB"/>
              </w:rPr>
              <w:t>1.5 Conclusion</w:t>
            </w:r>
            <w:r w:rsidRPr="00B32307">
              <w:rPr>
                <w:noProof/>
                <w:webHidden/>
                <w:lang w:val="en-GB"/>
              </w:rPr>
              <w:tab/>
            </w:r>
            <w:r w:rsidRPr="00B32307">
              <w:rPr>
                <w:noProof/>
                <w:webHidden/>
                <w:lang w:val="en-GB"/>
              </w:rPr>
              <w:fldChar w:fldCharType="begin"/>
            </w:r>
            <w:r w:rsidRPr="00B32307">
              <w:rPr>
                <w:noProof/>
                <w:webHidden/>
                <w:lang w:val="en-GB"/>
              </w:rPr>
              <w:instrText xml:space="preserve"> PAGEREF _Toc223177959 \h </w:instrText>
            </w:r>
            <w:r w:rsidRPr="00B32307">
              <w:rPr>
                <w:noProof/>
                <w:webHidden/>
                <w:lang w:val="en-GB"/>
              </w:rPr>
            </w:r>
            <w:r w:rsidRPr="00B32307">
              <w:rPr>
                <w:noProof/>
                <w:webHidden/>
                <w:lang w:val="en-GB"/>
              </w:rPr>
              <w:fldChar w:fldCharType="separate"/>
            </w:r>
            <w:r w:rsidR="005F7921">
              <w:rPr>
                <w:noProof/>
                <w:webHidden/>
                <w:lang w:val="en-GB"/>
              </w:rPr>
              <w:t>5</w:t>
            </w:r>
            <w:r w:rsidRPr="00B32307">
              <w:rPr>
                <w:noProof/>
                <w:webHidden/>
                <w:lang w:val="en-GB"/>
              </w:rPr>
              <w:fldChar w:fldCharType="end"/>
            </w:r>
          </w:hyperlink>
        </w:p>
        <w:p w14:paraId="0AD2C566" w14:textId="77777777" w:rsidR="002F19E6" w:rsidRPr="00B32307" w:rsidRDefault="002F19E6" w:rsidP="00B32307">
          <w:pPr>
            <w:pStyle w:val="TOC1"/>
            <w:tabs>
              <w:tab w:val="right" w:leader="dot" w:pos="9350"/>
            </w:tabs>
            <w:spacing w:after="240" w:line="240" w:lineRule="auto"/>
            <w:rPr>
              <w:noProof/>
              <w:lang w:val="en-GB"/>
            </w:rPr>
          </w:pPr>
          <w:hyperlink w:anchor="_Toc223177960" w:history="1">
            <w:r w:rsidRPr="00B32307">
              <w:rPr>
                <w:rStyle w:val="Hyperlink"/>
                <w:rFonts w:cs="Times New Roman"/>
                <w:noProof/>
                <w:lang w:val="en-GB"/>
              </w:rPr>
              <w:t>CHAPTER 2 – BACKGROUND INFORMATION AND ANALYSIS</w:t>
            </w:r>
            <w:r w:rsidRPr="00B32307">
              <w:rPr>
                <w:noProof/>
                <w:webHidden/>
                <w:lang w:val="en-GB"/>
              </w:rPr>
              <w:tab/>
            </w:r>
            <w:r w:rsidRPr="00B32307">
              <w:rPr>
                <w:noProof/>
                <w:webHidden/>
                <w:lang w:val="en-GB"/>
              </w:rPr>
              <w:fldChar w:fldCharType="begin"/>
            </w:r>
            <w:r w:rsidRPr="00B32307">
              <w:rPr>
                <w:noProof/>
                <w:webHidden/>
                <w:lang w:val="en-GB"/>
              </w:rPr>
              <w:instrText xml:space="preserve"> PAGEREF _Toc223177960 \h </w:instrText>
            </w:r>
            <w:r w:rsidRPr="00B32307">
              <w:rPr>
                <w:noProof/>
                <w:webHidden/>
                <w:lang w:val="en-GB"/>
              </w:rPr>
            </w:r>
            <w:r w:rsidRPr="00B32307">
              <w:rPr>
                <w:noProof/>
                <w:webHidden/>
                <w:lang w:val="en-GB"/>
              </w:rPr>
              <w:fldChar w:fldCharType="separate"/>
            </w:r>
            <w:r w:rsidR="005F7921">
              <w:rPr>
                <w:noProof/>
                <w:webHidden/>
                <w:lang w:val="en-GB"/>
              </w:rPr>
              <w:t>6</w:t>
            </w:r>
            <w:r w:rsidRPr="00B32307">
              <w:rPr>
                <w:noProof/>
                <w:webHidden/>
                <w:lang w:val="en-GB"/>
              </w:rPr>
              <w:fldChar w:fldCharType="end"/>
            </w:r>
          </w:hyperlink>
        </w:p>
        <w:p w14:paraId="52EB9433" w14:textId="77777777" w:rsidR="002F19E6" w:rsidRPr="00B32307" w:rsidRDefault="002F19E6" w:rsidP="00B32307">
          <w:pPr>
            <w:pStyle w:val="TOC2"/>
            <w:tabs>
              <w:tab w:val="right" w:leader="dot" w:pos="9350"/>
            </w:tabs>
            <w:spacing w:after="240" w:line="240" w:lineRule="auto"/>
            <w:rPr>
              <w:noProof/>
              <w:lang w:val="en-GB"/>
            </w:rPr>
          </w:pPr>
          <w:hyperlink w:anchor="_Toc223177961" w:history="1">
            <w:r w:rsidRPr="00B32307">
              <w:rPr>
                <w:rStyle w:val="Hyperlink"/>
                <w:rFonts w:cs="Times New Roman"/>
                <w:noProof/>
                <w:lang w:val="en-GB"/>
              </w:rPr>
              <w:t>2.1 Introduction</w:t>
            </w:r>
            <w:r w:rsidRPr="00B32307">
              <w:rPr>
                <w:noProof/>
                <w:webHidden/>
                <w:lang w:val="en-GB"/>
              </w:rPr>
              <w:tab/>
            </w:r>
            <w:r w:rsidRPr="00B32307">
              <w:rPr>
                <w:noProof/>
                <w:webHidden/>
                <w:lang w:val="en-GB"/>
              </w:rPr>
              <w:fldChar w:fldCharType="begin"/>
            </w:r>
            <w:r w:rsidRPr="00B32307">
              <w:rPr>
                <w:noProof/>
                <w:webHidden/>
                <w:lang w:val="en-GB"/>
              </w:rPr>
              <w:instrText xml:space="preserve"> PAGEREF _Toc223177961 \h </w:instrText>
            </w:r>
            <w:r w:rsidRPr="00B32307">
              <w:rPr>
                <w:noProof/>
                <w:webHidden/>
                <w:lang w:val="en-GB"/>
              </w:rPr>
            </w:r>
            <w:r w:rsidRPr="00B32307">
              <w:rPr>
                <w:noProof/>
                <w:webHidden/>
                <w:lang w:val="en-GB"/>
              </w:rPr>
              <w:fldChar w:fldCharType="separate"/>
            </w:r>
            <w:r w:rsidR="005F7921">
              <w:rPr>
                <w:noProof/>
                <w:webHidden/>
                <w:lang w:val="en-GB"/>
              </w:rPr>
              <w:t>6</w:t>
            </w:r>
            <w:r w:rsidRPr="00B32307">
              <w:rPr>
                <w:noProof/>
                <w:webHidden/>
                <w:lang w:val="en-GB"/>
              </w:rPr>
              <w:fldChar w:fldCharType="end"/>
            </w:r>
          </w:hyperlink>
        </w:p>
        <w:p w14:paraId="32A14092" w14:textId="77777777" w:rsidR="002F19E6" w:rsidRPr="00B32307" w:rsidRDefault="002F19E6" w:rsidP="00B32307">
          <w:pPr>
            <w:pStyle w:val="TOC2"/>
            <w:tabs>
              <w:tab w:val="right" w:leader="dot" w:pos="9350"/>
            </w:tabs>
            <w:spacing w:after="240" w:line="240" w:lineRule="auto"/>
            <w:rPr>
              <w:noProof/>
              <w:lang w:val="en-GB"/>
            </w:rPr>
          </w:pPr>
          <w:hyperlink w:anchor="_Toc223177962" w:history="1">
            <w:r w:rsidRPr="00B32307">
              <w:rPr>
                <w:rStyle w:val="Hyperlink"/>
                <w:rFonts w:cs="Times New Roman"/>
                <w:noProof/>
                <w:lang w:val="en-GB"/>
              </w:rPr>
              <w:t>2.2 Historical Background</w:t>
            </w:r>
            <w:r w:rsidRPr="00B32307">
              <w:rPr>
                <w:noProof/>
                <w:webHidden/>
                <w:lang w:val="en-GB"/>
              </w:rPr>
              <w:tab/>
            </w:r>
            <w:r w:rsidRPr="00B32307">
              <w:rPr>
                <w:noProof/>
                <w:webHidden/>
                <w:lang w:val="en-GB"/>
              </w:rPr>
              <w:fldChar w:fldCharType="begin"/>
            </w:r>
            <w:r w:rsidRPr="00B32307">
              <w:rPr>
                <w:noProof/>
                <w:webHidden/>
                <w:lang w:val="en-GB"/>
              </w:rPr>
              <w:instrText xml:space="preserve"> PAGEREF _Toc223177962 \h </w:instrText>
            </w:r>
            <w:r w:rsidRPr="00B32307">
              <w:rPr>
                <w:noProof/>
                <w:webHidden/>
                <w:lang w:val="en-GB"/>
              </w:rPr>
            </w:r>
            <w:r w:rsidRPr="00B32307">
              <w:rPr>
                <w:noProof/>
                <w:webHidden/>
                <w:lang w:val="en-GB"/>
              </w:rPr>
              <w:fldChar w:fldCharType="separate"/>
            </w:r>
            <w:r w:rsidR="005F7921">
              <w:rPr>
                <w:noProof/>
                <w:webHidden/>
                <w:lang w:val="en-GB"/>
              </w:rPr>
              <w:t>6</w:t>
            </w:r>
            <w:r w:rsidRPr="00B32307">
              <w:rPr>
                <w:noProof/>
                <w:webHidden/>
                <w:lang w:val="en-GB"/>
              </w:rPr>
              <w:fldChar w:fldCharType="end"/>
            </w:r>
          </w:hyperlink>
        </w:p>
        <w:p w14:paraId="6F36E4EC" w14:textId="77777777" w:rsidR="002F19E6" w:rsidRPr="00B32307" w:rsidRDefault="002F19E6" w:rsidP="00B32307">
          <w:pPr>
            <w:pStyle w:val="TOC2"/>
            <w:tabs>
              <w:tab w:val="right" w:leader="dot" w:pos="9350"/>
            </w:tabs>
            <w:spacing w:after="240" w:line="240" w:lineRule="auto"/>
            <w:rPr>
              <w:noProof/>
              <w:lang w:val="en-GB"/>
            </w:rPr>
          </w:pPr>
          <w:hyperlink w:anchor="_Toc223177963" w:history="1">
            <w:r w:rsidRPr="00B32307">
              <w:rPr>
                <w:rStyle w:val="Hyperlink"/>
                <w:rFonts w:cs="Times New Roman"/>
                <w:noProof/>
                <w:lang w:val="en-GB"/>
              </w:rPr>
              <w:t>2.3 Theoretical Background</w:t>
            </w:r>
            <w:r w:rsidRPr="00B32307">
              <w:rPr>
                <w:noProof/>
                <w:webHidden/>
                <w:lang w:val="en-GB"/>
              </w:rPr>
              <w:tab/>
            </w:r>
            <w:r w:rsidRPr="00B32307">
              <w:rPr>
                <w:noProof/>
                <w:webHidden/>
                <w:lang w:val="en-GB"/>
              </w:rPr>
              <w:fldChar w:fldCharType="begin"/>
            </w:r>
            <w:r w:rsidRPr="00B32307">
              <w:rPr>
                <w:noProof/>
                <w:webHidden/>
                <w:lang w:val="en-GB"/>
              </w:rPr>
              <w:instrText xml:space="preserve"> PAGEREF _Toc223177963 \h </w:instrText>
            </w:r>
            <w:r w:rsidRPr="00B32307">
              <w:rPr>
                <w:noProof/>
                <w:webHidden/>
                <w:lang w:val="en-GB"/>
              </w:rPr>
            </w:r>
            <w:r w:rsidRPr="00B32307">
              <w:rPr>
                <w:noProof/>
                <w:webHidden/>
                <w:lang w:val="en-GB"/>
              </w:rPr>
              <w:fldChar w:fldCharType="separate"/>
            </w:r>
            <w:r w:rsidR="005F7921">
              <w:rPr>
                <w:noProof/>
                <w:webHidden/>
                <w:lang w:val="en-GB"/>
              </w:rPr>
              <w:t>7</w:t>
            </w:r>
            <w:r w:rsidRPr="00B32307">
              <w:rPr>
                <w:noProof/>
                <w:webHidden/>
                <w:lang w:val="en-GB"/>
              </w:rPr>
              <w:fldChar w:fldCharType="end"/>
            </w:r>
          </w:hyperlink>
        </w:p>
        <w:p w14:paraId="27F9214E" w14:textId="77777777" w:rsidR="002F19E6" w:rsidRPr="00B32307" w:rsidRDefault="002F19E6" w:rsidP="00B32307">
          <w:pPr>
            <w:pStyle w:val="TOC3"/>
            <w:tabs>
              <w:tab w:val="right" w:leader="dot" w:pos="9350"/>
            </w:tabs>
            <w:spacing w:after="240" w:line="240" w:lineRule="auto"/>
            <w:rPr>
              <w:noProof/>
              <w:lang w:val="en-GB"/>
            </w:rPr>
          </w:pPr>
          <w:hyperlink w:anchor="_Toc223177964" w:history="1">
            <w:r w:rsidRPr="00B32307">
              <w:rPr>
                <w:rStyle w:val="Hyperlink"/>
                <w:rFonts w:cs="Times New Roman"/>
                <w:noProof/>
                <w:lang w:val="en-GB"/>
              </w:rPr>
              <w:t>2.3.1 Introduction to Theoretical Framework</w:t>
            </w:r>
            <w:r w:rsidRPr="00B32307">
              <w:rPr>
                <w:noProof/>
                <w:webHidden/>
                <w:lang w:val="en-GB"/>
              </w:rPr>
              <w:tab/>
            </w:r>
            <w:r w:rsidRPr="00B32307">
              <w:rPr>
                <w:noProof/>
                <w:webHidden/>
                <w:lang w:val="en-GB"/>
              </w:rPr>
              <w:fldChar w:fldCharType="begin"/>
            </w:r>
            <w:r w:rsidRPr="00B32307">
              <w:rPr>
                <w:noProof/>
                <w:webHidden/>
                <w:lang w:val="en-GB"/>
              </w:rPr>
              <w:instrText xml:space="preserve"> PAGEREF _Toc223177964 \h </w:instrText>
            </w:r>
            <w:r w:rsidRPr="00B32307">
              <w:rPr>
                <w:noProof/>
                <w:webHidden/>
                <w:lang w:val="en-GB"/>
              </w:rPr>
            </w:r>
            <w:r w:rsidRPr="00B32307">
              <w:rPr>
                <w:noProof/>
                <w:webHidden/>
                <w:lang w:val="en-GB"/>
              </w:rPr>
              <w:fldChar w:fldCharType="separate"/>
            </w:r>
            <w:r w:rsidR="005F7921">
              <w:rPr>
                <w:noProof/>
                <w:webHidden/>
                <w:lang w:val="en-GB"/>
              </w:rPr>
              <w:t>7</w:t>
            </w:r>
            <w:r w:rsidRPr="00B32307">
              <w:rPr>
                <w:noProof/>
                <w:webHidden/>
                <w:lang w:val="en-GB"/>
              </w:rPr>
              <w:fldChar w:fldCharType="end"/>
            </w:r>
          </w:hyperlink>
        </w:p>
        <w:p w14:paraId="1B7F72A6" w14:textId="77777777" w:rsidR="002F19E6" w:rsidRPr="00B32307" w:rsidRDefault="002F19E6" w:rsidP="00B32307">
          <w:pPr>
            <w:pStyle w:val="TOC3"/>
            <w:tabs>
              <w:tab w:val="right" w:leader="dot" w:pos="9350"/>
            </w:tabs>
            <w:spacing w:after="240" w:line="240" w:lineRule="auto"/>
            <w:rPr>
              <w:noProof/>
              <w:lang w:val="en-GB"/>
            </w:rPr>
          </w:pPr>
          <w:hyperlink w:anchor="_Toc223177965" w:history="1">
            <w:r w:rsidRPr="00B32307">
              <w:rPr>
                <w:rStyle w:val="Hyperlink"/>
                <w:rFonts w:cs="Times New Roman"/>
                <w:noProof/>
                <w:lang w:val="en-GB"/>
              </w:rPr>
              <w:t>2.3.2 Minority Stress Theory</w:t>
            </w:r>
            <w:r w:rsidRPr="00B32307">
              <w:rPr>
                <w:noProof/>
                <w:webHidden/>
                <w:lang w:val="en-GB"/>
              </w:rPr>
              <w:tab/>
            </w:r>
            <w:r w:rsidRPr="00B32307">
              <w:rPr>
                <w:noProof/>
                <w:webHidden/>
                <w:lang w:val="en-GB"/>
              </w:rPr>
              <w:fldChar w:fldCharType="begin"/>
            </w:r>
            <w:r w:rsidRPr="00B32307">
              <w:rPr>
                <w:noProof/>
                <w:webHidden/>
                <w:lang w:val="en-GB"/>
              </w:rPr>
              <w:instrText xml:space="preserve"> PAGEREF _Toc223177965 \h </w:instrText>
            </w:r>
            <w:r w:rsidRPr="00B32307">
              <w:rPr>
                <w:noProof/>
                <w:webHidden/>
                <w:lang w:val="en-GB"/>
              </w:rPr>
            </w:r>
            <w:r w:rsidRPr="00B32307">
              <w:rPr>
                <w:noProof/>
                <w:webHidden/>
                <w:lang w:val="en-GB"/>
              </w:rPr>
              <w:fldChar w:fldCharType="separate"/>
            </w:r>
            <w:r w:rsidR="005F7921">
              <w:rPr>
                <w:noProof/>
                <w:webHidden/>
                <w:lang w:val="en-GB"/>
              </w:rPr>
              <w:t>7</w:t>
            </w:r>
            <w:r w:rsidRPr="00B32307">
              <w:rPr>
                <w:noProof/>
                <w:webHidden/>
                <w:lang w:val="en-GB"/>
              </w:rPr>
              <w:fldChar w:fldCharType="end"/>
            </w:r>
          </w:hyperlink>
        </w:p>
        <w:p w14:paraId="035DFE75" w14:textId="77777777" w:rsidR="002F19E6" w:rsidRPr="00B32307" w:rsidRDefault="002F19E6" w:rsidP="00B32307">
          <w:pPr>
            <w:pStyle w:val="TOC3"/>
            <w:tabs>
              <w:tab w:val="right" w:leader="dot" w:pos="9350"/>
            </w:tabs>
            <w:spacing w:after="240" w:line="240" w:lineRule="auto"/>
            <w:rPr>
              <w:noProof/>
              <w:lang w:val="en-GB"/>
            </w:rPr>
          </w:pPr>
          <w:hyperlink w:anchor="_Toc223177966" w:history="1">
            <w:r w:rsidRPr="00B32307">
              <w:rPr>
                <w:rStyle w:val="Hyperlink"/>
                <w:rFonts w:cs="Times New Roman"/>
                <w:noProof/>
                <w:lang w:val="en-GB"/>
              </w:rPr>
              <w:t>2.3.3 Self-Discrepancy Theory</w:t>
            </w:r>
            <w:r w:rsidRPr="00B32307">
              <w:rPr>
                <w:noProof/>
                <w:webHidden/>
                <w:lang w:val="en-GB"/>
              </w:rPr>
              <w:tab/>
            </w:r>
            <w:r w:rsidRPr="00B32307">
              <w:rPr>
                <w:noProof/>
                <w:webHidden/>
                <w:lang w:val="en-GB"/>
              </w:rPr>
              <w:fldChar w:fldCharType="begin"/>
            </w:r>
            <w:r w:rsidRPr="00B32307">
              <w:rPr>
                <w:noProof/>
                <w:webHidden/>
                <w:lang w:val="en-GB"/>
              </w:rPr>
              <w:instrText xml:space="preserve"> PAGEREF _Toc223177966 \h </w:instrText>
            </w:r>
            <w:r w:rsidRPr="00B32307">
              <w:rPr>
                <w:noProof/>
                <w:webHidden/>
                <w:lang w:val="en-GB"/>
              </w:rPr>
            </w:r>
            <w:r w:rsidRPr="00B32307">
              <w:rPr>
                <w:noProof/>
                <w:webHidden/>
                <w:lang w:val="en-GB"/>
              </w:rPr>
              <w:fldChar w:fldCharType="separate"/>
            </w:r>
            <w:r w:rsidR="005F7921">
              <w:rPr>
                <w:noProof/>
                <w:webHidden/>
                <w:lang w:val="en-GB"/>
              </w:rPr>
              <w:t>9</w:t>
            </w:r>
            <w:r w:rsidRPr="00B32307">
              <w:rPr>
                <w:noProof/>
                <w:webHidden/>
                <w:lang w:val="en-GB"/>
              </w:rPr>
              <w:fldChar w:fldCharType="end"/>
            </w:r>
          </w:hyperlink>
        </w:p>
        <w:p w14:paraId="47F7922A" w14:textId="77777777" w:rsidR="002F19E6" w:rsidRPr="00B32307" w:rsidRDefault="002F19E6" w:rsidP="00B32307">
          <w:pPr>
            <w:pStyle w:val="TOC2"/>
            <w:tabs>
              <w:tab w:val="right" w:leader="dot" w:pos="9350"/>
            </w:tabs>
            <w:spacing w:after="240" w:line="240" w:lineRule="auto"/>
            <w:rPr>
              <w:noProof/>
              <w:lang w:val="en-GB"/>
            </w:rPr>
          </w:pPr>
          <w:hyperlink w:anchor="_Toc223177967" w:history="1">
            <w:r w:rsidRPr="00B32307">
              <w:rPr>
                <w:rStyle w:val="Hyperlink"/>
                <w:rFonts w:cs="Times New Roman"/>
                <w:noProof/>
                <w:lang w:val="en-GB"/>
              </w:rPr>
              <w:t>2.4 International Context</w:t>
            </w:r>
            <w:r w:rsidRPr="00B32307">
              <w:rPr>
                <w:noProof/>
                <w:webHidden/>
                <w:lang w:val="en-GB"/>
              </w:rPr>
              <w:tab/>
            </w:r>
            <w:r w:rsidRPr="00B32307">
              <w:rPr>
                <w:noProof/>
                <w:webHidden/>
                <w:lang w:val="en-GB"/>
              </w:rPr>
              <w:fldChar w:fldCharType="begin"/>
            </w:r>
            <w:r w:rsidRPr="00B32307">
              <w:rPr>
                <w:noProof/>
                <w:webHidden/>
                <w:lang w:val="en-GB"/>
              </w:rPr>
              <w:instrText xml:space="preserve"> PAGEREF _Toc223177967 \h </w:instrText>
            </w:r>
            <w:r w:rsidRPr="00B32307">
              <w:rPr>
                <w:noProof/>
                <w:webHidden/>
                <w:lang w:val="en-GB"/>
              </w:rPr>
            </w:r>
            <w:r w:rsidRPr="00B32307">
              <w:rPr>
                <w:noProof/>
                <w:webHidden/>
                <w:lang w:val="en-GB"/>
              </w:rPr>
              <w:fldChar w:fldCharType="separate"/>
            </w:r>
            <w:r w:rsidR="005F7921">
              <w:rPr>
                <w:noProof/>
                <w:webHidden/>
                <w:lang w:val="en-GB"/>
              </w:rPr>
              <w:t>10</w:t>
            </w:r>
            <w:r w:rsidRPr="00B32307">
              <w:rPr>
                <w:noProof/>
                <w:webHidden/>
                <w:lang w:val="en-GB"/>
              </w:rPr>
              <w:fldChar w:fldCharType="end"/>
            </w:r>
          </w:hyperlink>
        </w:p>
        <w:p w14:paraId="7FAF2FEB" w14:textId="77777777" w:rsidR="002F19E6" w:rsidRPr="00B32307" w:rsidRDefault="002F19E6" w:rsidP="00B32307">
          <w:pPr>
            <w:pStyle w:val="TOC2"/>
            <w:tabs>
              <w:tab w:val="right" w:leader="dot" w:pos="9350"/>
            </w:tabs>
            <w:spacing w:after="240" w:line="240" w:lineRule="auto"/>
            <w:rPr>
              <w:noProof/>
              <w:lang w:val="en-GB"/>
            </w:rPr>
          </w:pPr>
          <w:hyperlink w:anchor="_Toc223177968" w:history="1">
            <w:r w:rsidRPr="00B32307">
              <w:rPr>
                <w:rStyle w:val="Hyperlink"/>
                <w:rFonts w:cs="Times New Roman"/>
                <w:noProof/>
                <w:lang w:val="en-GB"/>
              </w:rPr>
              <w:t>2.5 UK National and Local Context</w:t>
            </w:r>
            <w:r w:rsidRPr="00B32307">
              <w:rPr>
                <w:noProof/>
                <w:webHidden/>
                <w:lang w:val="en-GB"/>
              </w:rPr>
              <w:tab/>
            </w:r>
            <w:r w:rsidRPr="00B32307">
              <w:rPr>
                <w:noProof/>
                <w:webHidden/>
                <w:lang w:val="en-GB"/>
              </w:rPr>
              <w:fldChar w:fldCharType="begin"/>
            </w:r>
            <w:r w:rsidRPr="00B32307">
              <w:rPr>
                <w:noProof/>
                <w:webHidden/>
                <w:lang w:val="en-GB"/>
              </w:rPr>
              <w:instrText xml:space="preserve"> PAGEREF _Toc223177968 \h </w:instrText>
            </w:r>
            <w:r w:rsidRPr="00B32307">
              <w:rPr>
                <w:noProof/>
                <w:webHidden/>
                <w:lang w:val="en-GB"/>
              </w:rPr>
            </w:r>
            <w:r w:rsidRPr="00B32307">
              <w:rPr>
                <w:noProof/>
                <w:webHidden/>
                <w:lang w:val="en-GB"/>
              </w:rPr>
              <w:fldChar w:fldCharType="separate"/>
            </w:r>
            <w:r w:rsidR="005F7921">
              <w:rPr>
                <w:noProof/>
                <w:webHidden/>
                <w:lang w:val="en-GB"/>
              </w:rPr>
              <w:t>11</w:t>
            </w:r>
            <w:r w:rsidRPr="00B32307">
              <w:rPr>
                <w:noProof/>
                <w:webHidden/>
                <w:lang w:val="en-GB"/>
              </w:rPr>
              <w:fldChar w:fldCharType="end"/>
            </w:r>
          </w:hyperlink>
        </w:p>
        <w:p w14:paraId="7ECE4254" w14:textId="77777777" w:rsidR="002F19E6" w:rsidRPr="00B32307" w:rsidRDefault="002F19E6" w:rsidP="00B32307">
          <w:pPr>
            <w:pStyle w:val="TOC2"/>
            <w:tabs>
              <w:tab w:val="right" w:leader="dot" w:pos="9350"/>
            </w:tabs>
            <w:spacing w:after="240" w:line="240" w:lineRule="auto"/>
            <w:rPr>
              <w:noProof/>
              <w:lang w:val="en-GB"/>
            </w:rPr>
          </w:pPr>
          <w:hyperlink w:anchor="_Toc223177969" w:history="1">
            <w:r w:rsidRPr="00B32307">
              <w:rPr>
                <w:rStyle w:val="Hyperlink"/>
                <w:rFonts w:cs="Times New Roman"/>
                <w:noProof/>
                <w:lang w:val="en-GB"/>
              </w:rPr>
              <w:t>2.6 Conclusion</w:t>
            </w:r>
            <w:r w:rsidRPr="00B32307">
              <w:rPr>
                <w:noProof/>
                <w:webHidden/>
                <w:lang w:val="en-GB"/>
              </w:rPr>
              <w:tab/>
            </w:r>
            <w:r w:rsidRPr="00B32307">
              <w:rPr>
                <w:noProof/>
                <w:webHidden/>
                <w:lang w:val="en-GB"/>
              </w:rPr>
              <w:fldChar w:fldCharType="begin"/>
            </w:r>
            <w:r w:rsidRPr="00B32307">
              <w:rPr>
                <w:noProof/>
                <w:webHidden/>
                <w:lang w:val="en-GB"/>
              </w:rPr>
              <w:instrText xml:space="preserve"> PAGEREF _Toc223177969 \h </w:instrText>
            </w:r>
            <w:r w:rsidRPr="00B32307">
              <w:rPr>
                <w:noProof/>
                <w:webHidden/>
                <w:lang w:val="en-GB"/>
              </w:rPr>
            </w:r>
            <w:r w:rsidRPr="00B32307">
              <w:rPr>
                <w:noProof/>
                <w:webHidden/>
                <w:lang w:val="en-GB"/>
              </w:rPr>
              <w:fldChar w:fldCharType="separate"/>
            </w:r>
            <w:r w:rsidR="005F7921">
              <w:rPr>
                <w:noProof/>
                <w:webHidden/>
                <w:lang w:val="en-GB"/>
              </w:rPr>
              <w:t>12</w:t>
            </w:r>
            <w:r w:rsidRPr="00B32307">
              <w:rPr>
                <w:noProof/>
                <w:webHidden/>
                <w:lang w:val="en-GB"/>
              </w:rPr>
              <w:fldChar w:fldCharType="end"/>
            </w:r>
          </w:hyperlink>
        </w:p>
        <w:p w14:paraId="49D38960" w14:textId="77777777" w:rsidR="002F19E6" w:rsidRPr="00B32307" w:rsidRDefault="002F19E6" w:rsidP="00B32307">
          <w:pPr>
            <w:pStyle w:val="TOC1"/>
            <w:tabs>
              <w:tab w:val="right" w:leader="dot" w:pos="9350"/>
            </w:tabs>
            <w:spacing w:after="240" w:line="240" w:lineRule="auto"/>
            <w:rPr>
              <w:noProof/>
              <w:lang w:val="en-GB"/>
            </w:rPr>
          </w:pPr>
          <w:hyperlink w:anchor="_Toc223177970" w:history="1">
            <w:r w:rsidRPr="00B32307">
              <w:rPr>
                <w:rStyle w:val="Hyperlink"/>
                <w:rFonts w:cs="Times New Roman"/>
                <w:noProof/>
                <w:lang w:val="en-GB"/>
              </w:rPr>
              <w:t>References</w:t>
            </w:r>
            <w:r w:rsidRPr="00B32307">
              <w:rPr>
                <w:noProof/>
                <w:webHidden/>
                <w:lang w:val="en-GB"/>
              </w:rPr>
              <w:tab/>
            </w:r>
            <w:r w:rsidRPr="00B32307">
              <w:rPr>
                <w:noProof/>
                <w:webHidden/>
                <w:lang w:val="en-GB"/>
              </w:rPr>
              <w:fldChar w:fldCharType="begin"/>
            </w:r>
            <w:r w:rsidRPr="00B32307">
              <w:rPr>
                <w:noProof/>
                <w:webHidden/>
                <w:lang w:val="en-GB"/>
              </w:rPr>
              <w:instrText xml:space="preserve"> PAGEREF _Toc223177970 \h </w:instrText>
            </w:r>
            <w:r w:rsidRPr="00B32307">
              <w:rPr>
                <w:noProof/>
                <w:webHidden/>
                <w:lang w:val="en-GB"/>
              </w:rPr>
            </w:r>
            <w:r w:rsidRPr="00B32307">
              <w:rPr>
                <w:noProof/>
                <w:webHidden/>
                <w:lang w:val="en-GB"/>
              </w:rPr>
              <w:fldChar w:fldCharType="separate"/>
            </w:r>
            <w:r w:rsidR="005F7921">
              <w:rPr>
                <w:noProof/>
                <w:webHidden/>
                <w:lang w:val="en-GB"/>
              </w:rPr>
              <w:t>13</w:t>
            </w:r>
            <w:r w:rsidRPr="00B32307">
              <w:rPr>
                <w:noProof/>
                <w:webHidden/>
                <w:lang w:val="en-GB"/>
              </w:rPr>
              <w:fldChar w:fldCharType="end"/>
            </w:r>
          </w:hyperlink>
        </w:p>
        <w:p w14:paraId="534A0143" w14:textId="77777777" w:rsidR="002F19E6" w:rsidRPr="00B32307" w:rsidRDefault="002F19E6" w:rsidP="00B32307">
          <w:pPr>
            <w:pStyle w:val="TOC1"/>
            <w:tabs>
              <w:tab w:val="right" w:leader="dot" w:pos="9350"/>
            </w:tabs>
            <w:spacing w:after="240" w:line="240" w:lineRule="auto"/>
            <w:rPr>
              <w:noProof/>
              <w:lang w:val="en-GB"/>
            </w:rPr>
          </w:pPr>
          <w:hyperlink w:anchor="_Toc223177971" w:history="1">
            <w:r w:rsidRPr="00B32307">
              <w:rPr>
                <w:rStyle w:val="Hyperlink"/>
                <w:rFonts w:cs="Times New Roman"/>
                <w:noProof/>
                <w:lang w:val="en-GB"/>
              </w:rPr>
              <w:t>Appendices</w:t>
            </w:r>
            <w:r w:rsidRPr="00B32307">
              <w:rPr>
                <w:noProof/>
                <w:webHidden/>
                <w:lang w:val="en-GB"/>
              </w:rPr>
              <w:tab/>
            </w:r>
            <w:r w:rsidRPr="00B32307">
              <w:rPr>
                <w:noProof/>
                <w:webHidden/>
                <w:lang w:val="en-GB"/>
              </w:rPr>
              <w:fldChar w:fldCharType="begin"/>
            </w:r>
            <w:r w:rsidRPr="00B32307">
              <w:rPr>
                <w:noProof/>
                <w:webHidden/>
                <w:lang w:val="en-GB"/>
              </w:rPr>
              <w:instrText xml:space="preserve"> PAGEREF _Toc223177971 \h </w:instrText>
            </w:r>
            <w:r w:rsidRPr="00B32307">
              <w:rPr>
                <w:noProof/>
                <w:webHidden/>
                <w:lang w:val="en-GB"/>
              </w:rPr>
            </w:r>
            <w:r w:rsidRPr="00B32307">
              <w:rPr>
                <w:noProof/>
                <w:webHidden/>
                <w:lang w:val="en-GB"/>
              </w:rPr>
              <w:fldChar w:fldCharType="separate"/>
            </w:r>
            <w:r w:rsidR="005F7921">
              <w:rPr>
                <w:noProof/>
                <w:webHidden/>
                <w:lang w:val="en-GB"/>
              </w:rPr>
              <w:t>17</w:t>
            </w:r>
            <w:r w:rsidRPr="00B32307">
              <w:rPr>
                <w:noProof/>
                <w:webHidden/>
                <w:lang w:val="en-GB"/>
              </w:rPr>
              <w:fldChar w:fldCharType="end"/>
            </w:r>
          </w:hyperlink>
        </w:p>
        <w:p w14:paraId="591F5BED" w14:textId="77777777" w:rsidR="002F19E6" w:rsidRPr="00B32307" w:rsidRDefault="002F19E6" w:rsidP="00B32307">
          <w:pPr>
            <w:pStyle w:val="TOC2"/>
            <w:tabs>
              <w:tab w:val="right" w:leader="dot" w:pos="9350"/>
            </w:tabs>
            <w:spacing w:after="240" w:line="240" w:lineRule="auto"/>
            <w:rPr>
              <w:noProof/>
              <w:lang w:val="en-GB"/>
            </w:rPr>
          </w:pPr>
          <w:hyperlink w:anchor="_Toc223177972" w:history="1">
            <w:r w:rsidRPr="00B32307">
              <w:rPr>
                <w:rStyle w:val="Hyperlink"/>
                <w:rFonts w:cs="Times New Roman"/>
                <w:noProof/>
                <w:lang w:val="en-GB"/>
              </w:rPr>
              <w:t>Appendix A</w:t>
            </w:r>
            <w:r w:rsidRPr="00B32307">
              <w:rPr>
                <w:noProof/>
                <w:webHidden/>
                <w:lang w:val="en-GB"/>
              </w:rPr>
              <w:tab/>
            </w:r>
            <w:r w:rsidRPr="00B32307">
              <w:rPr>
                <w:noProof/>
                <w:webHidden/>
                <w:lang w:val="en-GB"/>
              </w:rPr>
              <w:fldChar w:fldCharType="begin"/>
            </w:r>
            <w:r w:rsidRPr="00B32307">
              <w:rPr>
                <w:noProof/>
                <w:webHidden/>
                <w:lang w:val="en-GB"/>
              </w:rPr>
              <w:instrText xml:space="preserve"> PAGEREF _Toc223177972 \h </w:instrText>
            </w:r>
            <w:r w:rsidRPr="00B32307">
              <w:rPr>
                <w:noProof/>
                <w:webHidden/>
                <w:lang w:val="en-GB"/>
              </w:rPr>
            </w:r>
            <w:r w:rsidRPr="00B32307">
              <w:rPr>
                <w:noProof/>
                <w:webHidden/>
                <w:lang w:val="en-GB"/>
              </w:rPr>
              <w:fldChar w:fldCharType="separate"/>
            </w:r>
            <w:r w:rsidR="005F7921">
              <w:rPr>
                <w:noProof/>
                <w:webHidden/>
                <w:lang w:val="en-GB"/>
              </w:rPr>
              <w:t>17</w:t>
            </w:r>
            <w:r w:rsidRPr="00B32307">
              <w:rPr>
                <w:noProof/>
                <w:webHidden/>
                <w:lang w:val="en-GB"/>
              </w:rPr>
              <w:fldChar w:fldCharType="end"/>
            </w:r>
          </w:hyperlink>
        </w:p>
        <w:p w14:paraId="23168537" w14:textId="77777777" w:rsidR="002F19E6" w:rsidRPr="00B32307" w:rsidRDefault="002F19E6" w:rsidP="00B32307">
          <w:pPr>
            <w:pStyle w:val="TOC2"/>
            <w:tabs>
              <w:tab w:val="right" w:leader="dot" w:pos="9350"/>
            </w:tabs>
            <w:spacing w:after="240" w:line="240" w:lineRule="auto"/>
            <w:rPr>
              <w:noProof/>
              <w:lang w:val="en-GB"/>
            </w:rPr>
          </w:pPr>
          <w:hyperlink w:anchor="_Toc223177973" w:history="1">
            <w:r w:rsidRPr="00B32307">
              <w:rPr>
                <w:rStyle w:val="Hyperlink"/>
                <w:rFonts w:cs="Times New Roman"/>
                <w:noProof/>
                <w:lang w:val="en-GB"/>
              </w:rPr>
              <w:t>Appendix B</w:t>
            </w:r>
            <w:r w:rsidRPr="00B32307">
              <w:rPr>
                <w:noProof/>
                <w:webHidden/>
                <w:lang w:val="en-GB"/>
              </w:rPr>
              <w:tab/>
            </w:r>
            <w:r w:rsidRPr="00B32307">
              <w:rPr>
                <w:noProof/>
                <w:webHidden/>
                <w:lang w:val="en-GB"/>
              </w:rPr>
              <w:fldChar w:fldCharType="begin"/>
            </w:r>
            <w:r w:rsidRPr="00B32307">
              <w:rPr>
                <w:noProof/>
                <w:webHidden/>
                <w:lang w:val="en-GB"/>
              </w:rPr>
              <w:instrText xml:space="preserve"> PAGEREF _Toc223177973 \h </w:instrText>
            </w:r>
            <w:r w:rsidRPr="00B32307">
              <w:rPr>
                <w:noProof/>
                <w:webHidden/>
                <w:lang w:val="en-GB"/>
              </w:rPr>
            </w:r>
            <w:r w:rsidRPr="00B32307">
              <w:rPr>
                <w:noProof/>
                <w:webHidden/>
                <w:lang w:val="en-GB"/>
              </w:rPr>
              <w:fldChar w:fldCharType="separate"/>
            </w:r>
            <w:r w:rsidR="005F7921">
              <w:rPr>
                <w:noProof/>
                <w:webHidden/>
                <w:lang w:val="en-GB"/>
              </w:rPr>
              <w:t>20</w:t>
            </w:r>
            <w:r w:rsidRPr="00B32307">
              <w:rPr>
                <w:noProof/>
                <w:webHidden/>
                <w:lang w:val="en-GB"/>
              </w:rPr>
              <w:fldChar w:fldCharType="end"/>
            </w:r>
          </w:hyperlink>
        </w:p>
        <w:p w14:paraId="32015AF5" w14:textId="77777777" w:rsidR="002F19E6" w:rsidRPr="00B32307" w:rsidRDefault="002F19E6" w:rsidP="00B32307">
          <w:pPr>
            <w:spacing w:after="240" w:line="240" w:lineRule="auto"/>
            <w:rPr>
              <w:lang w:val="en-GB"/>
            </w:rPr>
          </w:pPr>
          <w:r w:rsidRPr="00B32307">
            <w:rPr>
              <w:b/>
              <w:bCs/>
              <w:noProof/>
              <w:lang w:val="en-GB"/>
            </w:rPr>
            <w:fldChar w:fldCharType="end"/>
          </w:r>
        </w:p>
      </w:sdtContent>
    </w:sdt>
    <w:p w14:paraId="790B49E2" w14:textId="77777777" w:rsidR="002F19E6" w:rsidRPr="00B32307" w:rsidRDefault="002F19E6">
      <w:pPr>
        <w:spacing w:after="160" w:line="259" w:lineRule="auto"/>
        <w:jc w:val="left"/>
        <w:rPr>
          <w:rFonts w:eastAsiaTheme="majorEastAsia" w:cs="Times New Roman"/>
          <w:b/>
          <w:color w:val="000000" w:themeColor="text1"/>
          <w:szCs w:val="32"/>
          <w:lang w:val="en-GB"/>
        </w:rPr>
      </w:pPr>
      <w:r w:rsidRPr="00B32307">
        <w:rPr>
          <w:rFonts w:cs="Times New Roman"/>
          <w:lang w:val="en-GB"/>
        </w:rPr>
        <w:br w:type="page"/>
      </w:r>
    </w:p>
    <w:p w14:paraId="411E5DFC" w14:textId="77777777" w:rsidR="00767E22" w:rsidRPr="00B32307" w:rsidRDefault="002822E6" w:rsidP="009B06BC">
      <w:pPr>
        <w:pStyle w:val="Heading1"/>
        <w:rPr>
          <w:rFonts w:cs="Times New Roman"/>
        </w:rPr>
      </w:pPr>
      <w:bookmarkStart w:id="0" w:name="_Toc223177952"/>
      <w:r w:rsidRPr="00B32307">
        <w:rPr>
          <w:rFonts w:cs="Times New Roman"/>
        </w:rPr>
        <w:lastRenderedPageBreak/>
        <w:t>CHAPTER 1:</w:t>
      </w:r>
      <w:r w:rsidR="00767E22" w:rsidRPr="00B32307">
        <w:rPr>
          <w:rFonts w:cs="Times New Roman"/>
        </w:rPr>
        <w:t xml:space="preserve"> INTRODUCTION</w:t>
      </w:r>
      <w:bookmarkEnd w:id="0"/>
    </w:p>
    <w:p w14:paraId="45086231" w14:textId="77777777" w:rsidR="00767E22" w:rsidRPr="00B32307" w:rsidRDefault="00767E22" w:rsidP="00767E22">
      <w:pPr>
        <w:pStyle w:val="Heading2"/>
        <w:rPr>
          <w:rFonts w:cs="Times New Roman"/>
        </w:rPr>
      </w:pPr>
      <w:bookmarkStart w:id="1" w:name="_Toc223177953"/>
      <w:r w:rsidRPr="00B32307">
        <w:rPr>
          <w:rFonts w:cs="Times New Roman"/>
        </w:rPr>
        <w:t>1.1 Introduction</w:t>
      </w:r>
      <w:bookmarkEnd w:id="1"/>
    </w:p>
    <w:p w14:paraId="6DABBCE0" w14:textId="77777777" w:rsidR="005D1F48" w:rsidRPr="00B32307" w:rsidRDefault="005D1F48" w:rsidP="005D1F48">
      <w:pPr>
        <w:rPr>
          <w:rFonts w:cs="Times New Roman"/>
          <w:lang w:val="en-GB"/>
        </w:rPr>
      </w:pPr>
      <w:r w:rsidRPr="00B32307">
        <w:rPr>
          <w:rFonts w:cs="Times New Roman"/>
          <w:lang w:val="en-GB"/>
        </w:rPr>
        <w:t>The Adult Autism Spectrum Condition (ASC) is a phenomenon becoming more accepted in the adult population due to the broadness of the diagnostic criteria and the wider understanding of neurodiversity in the health and social care sectors (Radev et al., 2024). Historically, autism was conceptualised using a deficit-based medical framework and was largely related to childhood; autism is now perceived as a lifetime neurodevelopmental difference. Nevertheless, this change has resulted in the disproportionate rates of anxiety, depression, and psychological distress in autistic adults, which means that structural and social inequalities persist (Krishnan and Orsmond, 2025).</w:t>
      </w:r>
    </w:p>
    <w:p w14:paraId="7079DDB9" w14:textId="77777777" w:rsidR="005D1F48" w:rsidRPr="00B32307" w:rsidRDefault="005D1F48" w:rsidP="005D1F48">
      <w:pPr>
        <w:rPr>
          <w:rFonts w:cs="Times New Roman"/>
          <w:lang w:val="en-GB"/>
        </w:rPr>
      </w:pPr>
      <w:r w:rsidRPr="00B32307">
        <w:rPr>
          <w:rFonts w:cs="Times New Roman"/>
          <w:lang w:val="en-GB"/>
        </w:rPr>
        <w:t>In this scenario, social camouflaging, also known as masking, has become a major field of study. Petrolini et al. (2023) define camouflaging as intentional or habitual methods to mask autistic behaviours to fit in with neurotypical norms, including refraining from stimming behaviour or rehearsing social interactions. Although masking can lead to social inclusion and/or ability to participate in employment, chronic camouflaging has been associated with anxiety, depressive symptoms, autistic burnout and identity disruption, especially in late-diagnosed adults and autistic women (Arnold et al., 2026).</w:t>
      </w:r>
    </w:p>
    <w:p w14:paraId="0E3C0842" w14:textId="77777777" w:rsidR="00767E22" w:rsidRPr="00B32307" w:rsidRDefault="005D1F48" w:rsidP="005D1F48">
      <w:pPr>
        <w:rPr>
          <w:rFonts w:cs="Times New Roman"/>
          <w:lang w:val="en-GB"/>
        </w:rPr>
      </w:pPr>
      <w:r w:rsidRPr="00B32307">
        <w:rPr>
          <w:rFonts w:cs="Times New Roman"/>
          <w:lang w:val="en-GB"/>
        </w:rPr>
        <w:t>In health and social care, masking covers assessment, slows down diagnosis and heightens mental health crisis level. The dissertation is a critical analysis of the phenomenon of social camouflaging among autistic adults, focusing on its psychological contribution and the social conditions promoting masking behaviours, and with implications for neurodiversity-affirmative care in mental health services in the UK.</w:t>
      </w:r>
    </w:p>
    <w:p w14:paraId="30157DCE" w14:textId="77777777" w:rsidR="00767E22" w:rsidRPr="00B32307" w:rsidRDefault="00767E22" w:rsidP="00767E22">
      <w:pPr>
        <w:pStyle w:val="Heading2"/>
        <w:rPr>
          <w:rFonts w:cs="Times New Roman"/>
        </w:rPr>
      </w:pPr>
      <w:bookmarkStart w:id="2" w:name="_Toc223177954"/>
      <w:r w:rsidRPr="00B32307">
        <w:rPr>
          <w:rFonts w:cs="Times New Roman"/>
        </w:rPr>
        <w:t>1.2 Definitions and Terminology</w:t>
      </w:r>
      <w:bookmarkEnd w:id="2"/>
    </w:p>
    <w:p w14:paraId="438819A8" w14:textId="77777777" w:rsidR="005D1F48" w:rsidRPr="00B32307" w:rsidRDefault="005D1F48" w:rsidP="005D1F48">
      <w:pPr>
        <w:rPr>
          <w:rFonts w:cs="Times New Roman"/>
          <w:lang w:val="en-GB"/>
        </w:rPr>
      </w:pPr>
      <w:r w:rsidRPr="00B32307">
        <w:rPr>
          <w:rFonts w:cs="Times New Roman"/>
          <w:lang w:val="en-GB"/>
        </w:rPr>
        <w:t>Autism Spectrum Condition (ASC) is a neurodevelopmental disorder defined within the DSM-5 and ICD-11, which is characterised by deviations of social communication and limited or repetitive behaviour. Nonetheless, diagnostic criteria are based on observable characteristics and do not necessarily make autistic adults experience what they go through, especially those who have established compensatory ways of responding (Pritchard-Rowe et al., 2024). The dissertation use</w:t>
      </w:r>
      <w:r w:rsidR="00B32307">
        <w:rPr>
          <w:rFonts w:cs="Times New Roman"/>
          <w:lang w:val="en-GB"/>
        </w:rPr>
        <w:t>d</w:t>
      </w:r>
      <w:r w:rsidRPr="00B32307">
        <w:rPr>
          <w:rFonts w:cs="Times New Roman"/>
          <w:lang w:val="en-GB"/>
        </w:rPr>
        <w:t xml:space="preserve"> </w:t>
      </w:r>
      <w:r w:rsidRPr="00B32307">
        <w:rPr>
          <w:rFonts w:cs="Times New Roman"/>
          <w:lang w:val="en-GB"/>
        </w:rPr>
        <w:lastRenderedPageBreak/>
        <w:t>the identity-first language (e.g. identity-autistic adults) in acknowledging that autism is part of identity and not a distinct disorder.</w:t>
      </w:r>
    </w:p>
    <w:p w14:paraId="574D295B" w14:textId="77777777" w:rsidR="005D1F48" w:rsidRPr="00B32307" w:rsidRDefault="005D1F48" w:rsidP="005D1F48">
      <w:pPr>
        <w:rPr>
          <w:rFonts w:cs="Times New Roman"/>
          <w:lang w:val="en-GB"/>
        </w:rPr>
      </w:pPr>
      <w:r w:rsidRPr="00B32307">
        <w:rPr>
          <w:rFonts w:cs="Times New Roman"/>
          <w:lang w:val="en-GB"/>
        </w:rPr>
        <w:t>Social camouflaging. Camouflaging of autistic behaviour and thought in social situations is behavioural and cognitive in nature. It encompasses compensation (the formation of alternative social behaviours), masking (the inhibition of behaviours like stimming) and assimilation (the active efforts to seem like a neurotypical person) (Hull et al., 2021). In contrast to structured social skills training, camouflaging is usually self-directed and driven by a sense of stigma or social threat. Even though there are devices like the Camouflaging Autistic Traits Questionnaire</w:t>
      </w:r>
      <w:r w:rsidR="00B32307">
        <w:rPr>
          <w:rFonts w:cs="Times New Roman"/>
          <w:lang w:val="en-GB"/>
        </w:rPr>
        <w:t xml:space="preserve"> - </w:t>
      </w:r>
      <w:r w:rsidRPr="00B32307">
        <w:rPr>
          <w:rFonts w:cs="Times New Roman"/>
          <w:lang w:val="en-GB"/>
        </w:rPr>
        <w:t>CAT-Q that strive to measure masking behaviours, they might be ineffective in measuring identity-related effects.</w:t>
      </w:r>
    </w:p>
    <w:p w14:paraId="46387468" w14:textId="77777777" w:rsidR="00767E22" w:rsidRPr="00B32307" w:rsidRDefault="005D1F48" w:rsidP="005D1F48">
      <w:pPr>
        <w:rPr>
          <w:rFonts w:cs="Times New Roman"/>
          <w:lang w:val="en-GB"/>
        </w:rPr>
      </w:pPr>
      <w:r w:rsidRPr="00B32307">
        <w:rPr>
          <w:rFonts w:cs="Times New Roman"/>
          <w:lang w:val="en-GB"/>
        </w:rPr>
        <w:t>Autistic burnout is the persistent exhaustion, lack of tolerance to stimuli and loss of functioning after a long period of masking (Mantzalas et al., 2022). In this dissertation, the term mental health outcomes is narrowly defined to mean anxiety, depressive disorders and emotional dysregulation due to long-term camouflaging. Such acronyms are ASC, ASD, NHS, DSM-5 and ICD-11.</w:t>
      </w:r>
    </w:p>
    <w:p w14:paraId="7ED68648" w14:textId="77777777" w:rsidR="00767E22" w:rsidRPr="00B32307" w:rsidRDefault="00767E22" w:rsidP="00767E22">
      <w:pPr>
        <w:pStyle w:val="Heading2"/>
        <w:rPr>
          <w:rFonts w:cs="Times New Roman"/>
        </w:rPr>
      </w:pPr>
      <w:bookmarkStart w:id="3" w:name="_Toc223177955"/>
      <w:r w:rsidRPr="00B32307">
        <w:rPr>
          <w:rFonts w:cs="Times New Roman"/>
        </w:rPr>
        <w:t>1.3 Rationale for Research</w:t>
      </w:r>
      <w:bookmarkEnd w:id="3"/>
    </w:p>
    <w:p w14:paraId="06EA6375" w14:textId="77777777" w:rsidR="005D1F48" w:rsidRPr="00B32307" w:rsidRDefault="005D1F48" w:rsidP="005D1F48">
      <w:pPr>
        <w:rPr>
          <w:rFonts w:cs="Times New Roman"/>
          <w:lang w:val="en-GB"/>
        </w:rPr>
      </w:pPr>
      <w:r w:rsidRPr="00B32307">
        <w:rPr>
          <w:rFonts w:cs="Times New Roman"/>
          <w:lang w:val="en-GB"/>
        </w:rPr>
        <w:t>In recent years, there has been a rise in the number of adult autism cases, especially those who did not experience the typical diagnosis stereotype during childhood. A good number of adults with late-onset diagnoses cite widespread camouflaging and severe psychological issues (Cook et al., 2021). New science is now implicating masking in anxiety, depression and high suicidality, which makes it more worrisome that camouflaging is acting as both a social adaptation and a risk factor to worsening mental health. The further indication of gender differences in diagnosis is that hidden behaviours have historically led to the concealment of autistic women and gender-diverse persons.</w:t>
      </w:r>
    </w:p>
    <w:p w14:paraId="68F6372C" w14:textId="77777777" w:rsidR="005D1F48" w:rsidRPr="00B32307" w:rsidRDefault="005D1F48" w:rsidP="005D1F48">
      <w:pPr>
        <w:rPr>
          <w:rFonts w:cs="Times New Roman"/>
          <w:lang w:val="en-GB"/>
        </w:rPr>
      </w:pPr>
      <w:r w:rsidRPr="00B32307">
        <w:rPr>
          <w:rFonts w:cs="Times New Roman"/>
          <w:lang w:val="en-GB"/>
        </w:rPr>
        <w:t xml:space="preserve">Although the topic of camouflaging has attracted interest, there are still gaps in the literature. The studies have been conducted mainly on children, and they do not tell much about identity formation in adults and its </w:t>
      </w:r>
      <w:r w:rsidR="00275697" w:rsidRPr="00B32307">
        <w:rPr>
          <w:rFonts w:cs="Times New Roman"/>
          <w:lang w:val="en-GB"/>
        </w:rPr>
        <w:t>long-term</w:t>
      </w:r>
      <w:r w:rsidRPr="00B32307">
        <w:rPr>
          <w:rFonts w:cs="Times New Roman"/>
          <w:lang w:val="en-GB"/>
        </w:rPr>
        <w:t xml:space="preserve"> psychological effects. The majority of the empirical studies are dominated by quantitative measurement techniques like the CAT-Q, which tends to minimise the masking </w:t>
      </w:r>
      <w:r w:rsidR="00275697" w:rsidRPr="00B32307">
        <w:rPr>
          <w:rFonts w:cs="Times New Roman"/>
          <w:lang w:val="en-GB"/>
        </w:rPr>
        <w:t>of</w:t>
      </w:r>
      <w:r w:rsidRPr="00B32307">
        <w:rPr>
          <w:rFonts w:cs="Times New Roman"/>
          <w:lang w:val="en-GB"/>
        </w:rPr>
        <w:t xml:space="preserve"> measurable characteristics and overstate the identity disruption and emotional impact. Moreover, there is a lack of integration between camouflaging research and the UK mental health policy, although there are obvious implications to service provision (Oshima et al., 2024). The </w:t>
      </w:r>
      <w:r w:rsidRPr="00B32307">
        <w:rPr>
          <w:rFonts w:cs="Times New Roman"/>
          <w:lang w:val="en-GB"/>
        </w:rPr>
        <w:lastRenderedPageBreak/>
        <w:t>psychological processes that support masking behaviours have not been synthesised adequately in the literature.</w:t>
      </w:r>
    </w:p>
    <w:p w14:paraId="48AF919D" w14:textId="77777777" w:rsidR="00767E22" w:rsidRPr="00B32307" w:rsidRDefault="005D1F48" w:rsidP="005D1F48">
      <w:pPr>
        <w:rPr>
          <w:rFonts w:cs="Times New Roman"/>
          <w:lang w:val="en-GB"/>
        </w:rPr>
      </w:pPr>
      <w:r w:rsidRPr="00B32307">
        <w:rPr>
          <w:rFonts w:cs="Times New Roman"/>
          <w:lang w:val="en-GB"/>
        </w:rPr>
        <w:t>It is these gaps which are filled by this dissertation using a critical analysis of the existing literature to investigate the interaction of psychological processes and social pressures in maintaining camouflaging and affecting mental health outcomes in autistic adults.</w:t>
      </w:r>
    </w:p>
    <w:p w14:paraId="12720CD4" w14:textId="77777777" w:rsidR="00767E22" w:rsidRPr="00B32307" w:rsidRDefault="00767E22" w:rsidP="00767E22">
      <w:pPr>
        <w:pStyle w:val="Heading2"/>
        <w:rPr>
          <w:rFonts w:cs="Times New Roman"/>
        </w:rPr>
      </w:pPr>
      <w:bookmarkStart w:id="4" w:name="_Toc223177956"/>
      <w:r w:rsidRPr="00B32307">
        <w:rPr>
          <w:rFonts w:cs="Times New Roman"/>
        </w:rPr>
        <w:t>1.4 Aim and Objectives</w:t>
      </w:r>
      <w:bookmarkEnd w:id="4"/>
    </w:p>
    <w:p w14:paraId="3C62DDDC" w14:textId="77777777" w:rsidR="00767E22" w:rsidRPr="00B32307" w:rsidRDefault="00767E22" w:rsidP="00767E22">
      <w:pPr>
        <w:pStyle w:val="Heading3"/>
        <w:rPr>
          <w:rFonts w:cs="Times New Roman"/>
          <w:lang w:val="en-GB"/>
        </w:rPr>
      </w:pPr>
      <w:bookmarkStart w:id="5" w:name="_Toc223177957"/>
      <w:r w:rsidRPr="00B32307">
        <w:rPr>
          <w:rFonts w:cs="Times New Roman"/>
          <w:lang w:val="en-GB"/>
        </w:rPr>
        <w:t>1.4.1 Research Aim</w:t>
      </w:r>
      <w:bookmarkEnd w:id="5"/>
    </w:p>
    <w:p w14:paraId="37E60748" w14:textId="77777777" w:rsidR="00767E22" w:rsidRPr="00B32307" w:rsidRDefault="00767E22" w:rsidP="00767E22">
      <w:pPr>
        <w:rPr>
          <w:rFonts w:cs="Times New Roman"/>
          <w:lang w:val="en-GB"/>
        </w:rPr>
      </w:pPr>
      <w:r w:rsidRPr="00B32307">
        <w:rPr>
          <w:rFonts w:cs="Times New Roman"/>
          <w:lang w:val="en-GB"/>
        </w:rPr>
        <w:t xml:space="preserve">This study aims to critically examine social camouflaging in autistic adults, focusing on its psychological impact on mental health, identity development, and </w:t>
      </w:r>
      <w:r w:rsidR="00275697" w:rsidRPr="00B32307">
        <w:rPr>
          <w:rFonts w:cs="Times New Roman"/>
          <w:lang w:val="en-GB"/>
        </w:rPr>
        <w:t>well-being</w:t>
      </w:r>
      <w:r w:rsidRPr="00B32307">
        <w:rPr>
          <w:rFonts w:cs="Times New Roman"/>
          <w:lang w:val="en-GB"/>
        </w:rPr>
        <w:t>, while analysing the psychological and social factors that contribute to sustained masking behaviours.</w:t>
      </w:r>
    </w:p>
    <w:p w14:paraId="0EB21E24" w14:textId="77777777" w:rsidR="00767E22" w:rsidRPr="00B32307" w:rsidRDefault="00767E22" w:rsidP="00767E22">
      <w:pPr>
        <w:pStyle w:val="Heading3"/>
        <w:rPr>
          <w:rFonts w:cs="Times New Roman"/>
          <w:lang w:val="en-GB"/>
        </w:rPr>
      </w:pPr>
      <w:bookmarkStart w:id="6" w:name="_Toc223177958"/>
      <w:r w:rsidRPr="00B32307">
        <w:rPr>
          <w:rFonts w:cs="Times New Roman"/>
          <w:lang w:val="en-GB"/>
        </w:rPr>
        <w:t>1.4.2 Objectives</w:t>
      </w:r>
      <w:bookmarkEnd w:id="6"/>
    </w:p>
    <w:p w14:paraId="623AFB68" w14:textId="77777777" w:rsidR="00767E22" w:rsidRPr="00B32307" w:rsidRDefault="00767E22" w:rsidP="00F003B9">
      <w:pPr>
        <w:pStyle w:val="ListParagraph"/>
        <w:numPr>
          <w:ilvl w:val="0"/>
          <w:numId w:val="1"/>
        </w:numPr>
        <w:rPr>
          <w:rFonts w:cs="Times New Roman"/>
          <w:bCs/>
          <w:iCs/>
          <w:lang w:val="en-GB"/>
        </w:rPr>
      </w:pPr>
      <w:r w:rsidRPr="00B32307">
        <w:rPr>
          <w:rFonts w:cs="Times New Roman"/>
          <w:bCs/>
          <w:iCs/>
          <w:lang w:val="en-GB"/>
        </w:rPr>
        <w:t>Define and explain the concept of social camouflaging and its association with mental health outcomes (anxiety, depression, and autistic burnout) in autistic adults and identify the nature of this concept through a literature review.</w:t>
      </w:r>
    </w:p>
    <w:p w14:paraId="0BCBA4B1" w14:textId="77777777" w:rsidR="00767E22" w:rsidRPr="00B32307" w:rsidRDefault="00767E22" w:rsidP="00F003B9">
      <w:pPr>
        <w:pStyle w:val="ListParagraph"/>
        <w:numPr>
          <w:ilvl w:val="0"/>
          <w:numId w:val="1"/>
        </w:numPr>
        <w:rPr>
          <w:rFonts w:cs="Times New Roman"/>
          <w:bCs/>
          <w:iCs/>
          <w:lang w:val="en-GB"/>
        </w:rPr>
      </w:pPr>
      <w:r w:rsidRPr="00B32307">
        <w:rPr>
          <w:rFonts w:cs="Times New Roman"/>
          <w:bCs/>
          <w:iCs/>
          <w:lang w:val="en-GB"/>
        </w:rPr>
        <w:t>Analyse previous research data to determine important psychological processes and social forces that promote camouflaging in various settings such as workplaces, education, and relationships.</w:t>
      </w:r>
    </w:p>
    <w:p w14:paraId="1E79E0F6" w14:textId="77777777" w:rsidR="00767E22" w:rsidRPr="00B32307" w:rsidRDefault="00767E22" w:rsidP="00F003B9">
      <w:pPr>
        <w:pStyle w:val="ListParagraph"/>
        <w:numPr>
          <w:ilvl w:val="0"/>
          <w:numId w:val="1"/>
        </w:numPr>
        <w:rPr>
          <w:rFonts w:cs="Times New Roman"/>
          <w:bCs/>
          <w:iCs/>
          <w:lang w:val="en-GB"/>
        </w:rPr>
      </w:pPr>
      <w:r w:rsidRPr="00B32307">
        <w:rPr>
          <w:rFonts w:cs="Times New Roman"/>
          <w:bCs/>
          <w:iCs/>
          <w:lang w:val="en-GB"/>
        </w:rPr>
        <w:t xml:space="preserve">Evaluate the effects of sustained masking </w:t>
      </w:r>
      <w:r w:rsidR="00275697" w:rsidRPr="00B32307">
        <w:rPr>
          <w:rFonts w:cs="Times New Roman"/>
          <w:bCs/>
          <w:iCs/>
          <w:lang w:val="en-GB"/>
        </w:rPr>
        <w:t>on</w:t>
      </w:r>
      <w:r w:rsidRPr="00B32307">
        <w:rPr>
          <w:rFonts w:cs="Times New Roman"/>
          <w:bCs/>
          <w:iCs/>
          <w:lang w:val="en-GB"/>
        </w:rPr>
        <w:t xml:space="preserve"> personal identity, self-esteem and emotional </w:t>
      </w:r>
      <w:r w:rsidR="00275697" w:rsidRPr="00B32307">
        <w:rPr>
          <w:rFonts w:cs="Times New Roman"/>
          <w:bCs/>
          <w:iCs/>
          <w:lang w:val="en-GB"/>
        </w:rPr>
        <w:t>well-being</w:t>
      </w:r>
      <w:r w:rsidRPr="00B32307">
        <w:rPr>
          <w:rFonts w:cs="Times New Roman"/>
          <w:bCs/>
          <w:iCs/>
          <w:lang w:val="en-GB"/>
        </w:rPr>
        <w:t xml:space="preserve"> in autistic adults.</w:t>
      </w:r>
    </w:p>
    <w:p w14:paraId="44B7FBDC" w14:textId="77777777" w:rsidR="00767E22" w:rsidRPr="00B32307" w:rsidRDefault="00767E22" w:rsidP="00F003B9">
      <w:pPr>
        <w:pStyle w:val="ListParagraph"/>
        <w:numPr>
          <w:ilvl w:val="0"/>
          <w:numId w:val="1"/>
        </w:numPr>
        <w:rPr>
          <w:rFonts w:cs="Times New Roman"/>
          <w:lang w:val="en-GB"/>
        </w:rPr>
      </w:pPr>
      <w:r w:rsidRPr="00B32307">
        <w:rPr>
          <w:rFonts w:cs="Times New Roman"/>
          <w:bCs/>
          <w:iCs/>
          <w:lang w:val="en-GB"/>
        </w:rPr>
        <w:t>Recommend guidelines to health and social care practitioners to facilitate inclusive health and social care practices and psychological support mechanisms to lessen camouflaging requirements and improve well-being.</w:t>
      </w:r>
    </w:p>
    <w:p w14:paraId="6145ED21" w14:textId="77777777" w:rsidR="00767E22" w:rsidRPr="00B32307" w:rsidRDefault="00767E22" w:rsidP="00767E22">
      <w:pPr>
        <w:pStyle w:val="Heading2"/>
        <w:rPr>
          <w:rFonts w:cs="Times New Roman"/>
        </w:rPr>
      </w:pPr>
      <w:bookmarkStart w:id="7" w:name="_Toc223177959"/>
      <w:r w:rsidRPr="00B32307">
        <w:rPr>
          <w:rFonts w:cs="Times New Roman"/>
        </w:rPr>
        <w:t>1.5 Conclusion</w:t>
      </w:r>
      <w:bookmarkEnd w:id="7"/>
    </w:p>
    <w:p w14:paraId="52A6EC65" w14:textId="77777777" w:rsidR="00D76231" w:rsidRPr="00B32307" w:rsidRDefault="005D1F48" w:rsidP="005D1F48">
      <w:pPr>
        <w:rPr>
          <w:rFonts w:cs="Times New Roman"/>
          <w:lang w:val="en-GB"/>
        </w:rPr>
      </w:pPr>
      <w:r w:rsidRPr="00B32307">
        <w:rPr>
          <w:rFonts w:cs="Times New Roman"/>
          <w:lang w:val="en-GB"/>
        </w:rPr>
        <w:t xml:space="preserve">This chapter has presented the concept of social camouflaging as a major cause of disparities in mental health amongst autistic adults. It has articulated important concepts and research gaps that have made it necessary to critically synthesise psychological and social processes that support </w:t>
      </w:r>
      <w:r w:rsidR="00275697" w:rsidRPr="00B32307">
        <w:rPr>
          <w:rFonts w:cs="Times New Roman"/>
          <w:lang w:val="en-GB"/>
        </w:rPr>
        <w:t>long-term</w:t>
      </w:r>
      <w:r w:rsidRPr="00B32307">
        <w:rPr>
          <w:rFonts w:cs="Times New Roman"/>
          <w:lang w:val="en-GB"/>
        </w:rPr>
        <w:t xml:space="preserve"> masking behaviours. The given aim and objectives give a systematic framework </w:t>
      </w:r>
      <w:r w:rsidR="00275697" w:rsidRPr="00B32307">
        <w:rPr>
          <w:rFonts w:cs="Times New Roman"/>
          <w:lang w:val="en-GB"/>
        </w:rPr>
        <w:t>for</w:t>
      </w:r>
      <w:r w:rsidRPr="00B32307">
        <w:rPr>
          <w:rFonts w:cs="Times New Roman"/>
          <w:lang w:val="en-GB"/>
        </w:rPr>
        <w:t xml:space="preserve"> this analysis. The next chapter provides the placement of the study on its historical, theoretical and policy context, which serves as the basis of the methodological approach.</w:t>
      </w:r>
    </w:p>
    <w:p w14:paraId="68C7BDA0" w14:textId="77777777" w:rsidR="007C1162" w:rsidRPr="00B32307" w:rsidRDefault="002822E6" w:rsidP="007C1162">
      <w:pPr>
        <w:pStyle w:val="Heading1"/>
        <w:rPr>
          <w:rFonts w:cs="Times New Roman"/>
        </w:rPr>
      </w:pPr>
      <w:bookmarkStart w:id="8" w:name="_Toc223177960"/>
      <w:r w:rsidRPr="00B32307">
        <w:rPr>
          <w:rFonts w:cs="Times New Roman"/>
        </w:rPr>
        <w:lastRenderedPageBreak/>
        <w:t>CHAPTER 2:</w:t>
      </w:r>
      <w:r w:rsidR="007C1162" w:rsidRPr="00B32307">
        <w:rPr>
          <w:rFonts w:cs="Times New Roman"/>
        </w:rPr>
        <w:t xml:space="preserve"> BACKGROUND INFORMATION AND ANALYSIS</w:t>
      </w:r>
      <w:bookmarkEnd w:id="8"/>
    </w:p>
    <w:p w14:paraId="51C28248" w14:textId="77777777" w:rsidR="007C1162" w:rsidRPr="00B32307" w:rsidRDefault="007C1162" w:rsidP="007C1162">
      <w:pPr>
        <w:pStyle w:val="Heading2"/>
        <w:rPr>
          <w:rFonts w:cs="Times New Roman"/>
        </w:rPr>
      </w:pPr>
      <w:bookmarkStart w:id="9" w:name="_Toc223177961"/>
      <w:r w:rsidRPr="00B32307">
        <w:rPr>
          <w:rFonts w:cs="Times New Roman"/>
        </w:rPr>
        <w:t>2.1 Introduction</w:t>
      </w:r>
      <w:bookmarkEnd w:id="9"/>
    </w:p>
    <w:p w14:paraId="2E0CF839" w14:textId="77777777" w:rsidR="007C1162" w:rsidRPr="00B32307" w:rsidRDefault="007C1162" w:rsidP="007C1162">
      <w:pPr>
        <w:rPr>
          <w:rFonts w:cs="Times New Roman"/>
          <w:lang w:val="en-GB"/>
        </w:rPr>
      </w:pPr>
      <w:r w:rsidRPr="00B32307">
        <w:rPr>
          <w:rFonts w:cs="Times New Roman"/>
          <w:lang w:val="en-GB"/>
        </w:rPr>
        <w:t xml:space="preserve">This chapter situates </w:t>
      </w:r>
      <w:r w:rsidR="005D1F48" w:rsidRPr="00B32307">
        <w:rPr>
          <w:rFonts w:cs="Times New Roman"/>
          <w:lang w:val="en-GB"/>
        </w:rPr>
        <w:t>social camouflaging in its more general historical, theoretical and policy context. Approaches to learn about masking among autistic adults need to investigate the historical conceptualisation of autism, the frameworks of theoretical explanations of psychological distress, and the impact of the global and national policy conditions on experience (Pearson and Rose, 2020). The chapter consequently follows trends and historical progressions of autism, presents major theoretical perspectives that form the basis of this dissertation, looks at international trends of diagnosis and policy, and critically evaluates the policy of health and social care in the UK. This premise guides the subsequent literature review by placing camouflaging in the context of a socially constructed and psychologically mediated behavioural characteristic as opposed to a single trait characteristic.</w:t>
      </w:r>
    </w:p>
    <w:p w14:paraId="429B640B" w14:textId="77777777" w:rsidR="007C1162" w:rsidRPr="00B32307" w:rsidRDefault="007C1162" w:rsidP="007C1162">
      <w:pPr>
        <w:pStyle w:val="Heading2"/>
        <w:rPr>
          <w:rFonts w:cs="Times New Roman"/>
        </w:rPr>
      </w:pPr>
      <w:bookmarkStart w:id="10" w:name="_Toc223177962"/>
      <w:r w:rsidRPr="00B32307">
        <w:rPr>
          <w:rFonts w:cs="Times New Roman"/>
        </w:rPr>
        <w:t>2.2 Historical Background</w:t>
      </w:r>
      <w:bookmarkEnd w:id="10"/>
    </w:p>
    <w:p w14:paraId="5E59E2D2" w14:textId="77777777" w:rsidR="005D1F48" w:rsidRPr="00B32307" w:rsidRDefault="005D1F48" w:rsidP="005D1F48">
      <w:pPr>
        <w:rPr>
          <w:rFonts w:cs="Times New Roman"/>
          <w:lang w:val="en-GB"/>
        </w:rPr>
      </w:pPr>
      <w:r w:rsidRPr="00B32307">
        <w:rPr>
          <w:rFonts w:cs="Times New Roman"/>
          <w:lang w:val="en-GB"/>
        </w:rPr>
        <w:t>Deficit-based interpretations formed the basis of early conceptualisations of autism. Leo Kanner (1943) described the condition as early infantile autism, which characterised it as a social withdrawal and emotional disturbance with a focus on deficiencies in affective contact. Soon, Hans Asperger (1944) had characterised children with intact language and characteristic social impairment and circumscribed interests (Sasaki and Kocha, 2025). Even though strengths like intense specialisation, which were also discussed in the work by Asperger, the two accounts placed autism in a medicalised and pathologising context. These precursors led to the perception of autism as a rarity among childhood conditions, which are mainly dysfunctional in nature.</w:t>
      </w:r>
    </w:p>
    <w:p w14:paraId="395F708D" w14:textId="77777777" w:rsidR="005D1F48" w:rsidRPr="00B32307" w:rsidRDefault="005D1F48" w:rsidP="005D1F48">
      <w:pPr>
        <w:rPr>
          <w:rFonts w:cs="Times New Roman"/>
          <w:lang w:val="en-GB"/>
        </w:rPr>
      </w:pPr>
      <w:r w:rsidRPr="00B32307">
        <w:rPr>
          <w:rFonts w:cs="Times New Roman"/>
          <w:lang w:val="en-GB"/>
        </w:rPr>
        <w:t>The development of diagnostics had a great impact on modern knowledge. Autism was included in the DSM-III in 1980 under the name infantile autism, which strengthened its connection with childhood. Later revisions extended the criteria, with the most recent version, DSM-5 (2013), incorporating previous subtypes into one Autism Spectrum Disorder including the case of Asperger syndrome (Hulscher et al., 2025). Although this expanded range led to a better understanding of diverse manifestations, the elimination of Asperger as an independent diagnosis provoked controversy, especially among adults who strongly identified with that term. The move towards better diagnostic reliability, but in whose direction more unitary a paradigm, said how the shift displayed a unitary model that could hide gendered and late-presenting distinctions.</w:t>
      </w:r>
    </w:p>
    <w:p w14:paraId="1D6D9808" w14:textId="77777777" w:rsidR="005D1F48" w:rsidRPr="00B32307" w:rsidRDefault="005D1F48" w:rsidP="005D1F48">
      <w:pPr>
        <w:rPr>
          <w:rFonts w:cs="Times New Roman"/>
          <w:lang w:val="en-GB"/>
        </w:rPr>
      </w:pPr>
      <w:r w:rsidRPr="00B32307">
        <w:rPr>
          <w:rFonts w:cs="Times New Roman"/>
          <w:lang w:val="en-GB"/>
        </w:rPr>
        <w:t>Since the 1990s, neurodiversity has worked against deficit by representing autism as a natural difference in neurological processes and functions, but not as a disorder that needs to be normalised (Davies, 2022). Based on the social model of disability, this movement claimed that disabling barriers are not caused by inherent impairment but more by societal expectations (Thorneycroft, 2024). This change has played a role in the re-definition of adult autism, although it has not eradicated structural inequalities in labour, access to health care and mental health.</w:t>
      </w:r>
    </w:p>
    <w:p w14:paraId="106E3756" w14:textId="77777777" w:rsidR="007C1162" w:rsidRPr="00B32307" w:rsidRDefault="005D1F48" w:rsidP="005D1F48">
      <w:pPr>
        <w:rPr>
          <w:rFonts w:cs="Times New Roman"/>
          <w:lang w:val="en-GB"/>
        </w:rPr>
      </w:pPr>
      <w:r w:rsidRPr="00B32307">
        <w:rPr>
          <w:rFonts w:cs="Times New Roman"/>
          <w:lang w:val="en-GB"/>
        </w:rPr>
        <w:t xml:space="preserve">Social camouflaging research is not a very old phenomenon, especially in the past 10-15 years. The preliminary qualitative findings indicated that autistic females were not diagnosed properly because of the compensatory social behaviours (Carpita et al., 2025). Later empirical studies </w:t>
      </w:r>
      <w:r w:rsidR="00275697" w:rsidRPr="00B32307">
        <w:rPr>
          <w:rFonts w:cs="Times New Roman"/>
          <w:lang w:val="en-GB"/>
        </w:rPr>
        <w:t>operationalised</w:t>
      </w:r>
      <w:r w:rsidRPr="00B32307">
        <w:rPr>
          <w:rFonts w:cs="Times New Roman"/>
          <w:lang w:val="en-GB"/>
        </w:rPr>
        <w:t xml:space="preserve"> camouflaging using tools such as the Camouflaging Autistic Traits Questionnaire</w:t>
      </w:r>
      <w:r w:rsidR="00B32307">
        <w:rPr>
          <w:rFonts w:cs="Times New Roman"/>
          <w:lang w:val="en-GB"/>
        </w:rPr>
        <w:t xml:space="preserve">- </w:t>
      </w:r>
      <w:r w:rsidRPr="00B32307">
        <w:rPr>
          <w:rFonts w:cs="Times New Roman"/>
          <w:lang w:val="en-GB"/>
        </w:rPr>
        <w:t>CAT-Q</w:t>
      </w:r>
      <w:r w:rsidR="00275697" w:rsidRPr="00B32307">
        <w:rPr>
          <w:rFonts w:cs="Times New Roman"/>
          <w:lang w:val="en-GB"/>
        </w:rPr>
        <w:t>,</w:t>
      </w:r>
      <w:r w:rsidRPr="00B32307">
        <w:rPr>
          <w:rFonts w:cs="Times New Roman"/>
          <w:lang w:val="en-GB"/>
        </w:rPr>
        <w:t xml:space="preserve"> which gave quantifiable constructs of compensation, masking and assimilation. In the process of enhancing research visibility, the adoption of this quantitative focus also led to </w:t>
      </w:r>
      <w:r w:rsidR="00275697" w:rsidRPr="00B32307">
        <w:rPr>
          <w:rFonts w:cs="Times New Roman"/>
          <w:lang w:val="en-GB"/>
        </w:rPr>
        <w:t>a</w:t>
      </w:r>
      <w:r w:rsidRPr="00B32307">
        <w:rPr>
          <w:rFonts w:cs="Times New Roman"/>
          <w:lang w:val="en-GB"/>
        </w:rPr>
        <w:t xml:space="preserve"> constrained understanding </w:t>
      </w:r>
      <w:r w:rsidR="00275697" w:rsidRPr="00B32307">
        <w:rPr>
          <w:rFonts w:cs="Times New Roman"/>
          <w:lang w:val="en-GB"/>
        </w:rPr>
        <w:t>of what</w:t>
      </w:r>
      <w:r w:rsidRPr="00B32307">
        <w:rPr>
          <w:rFonts w:cs="Times New Roman"/>
          <w:lang w:val="en-GB"/>
        </w:rPr>
        <w:t xml:space="preserve"> it is based</w:t>
      </w:r>
      <w:r w:rsidR="00275697" w:rsidRPr="00B32307">
        <w:rPr>
          <w:rFonts w:cs="Times New Roman"/>
          <w:lang w:val="en-GB"/>
        </w:rPr>
        <w:t xml:space="preserve"> on</w:t>
      </w:r>
      <w:r w:rsidRPr="00B32307">
        <w:rPr>
          <w:rFonts w:cs="Times New Roman"/>
          <w:lang w:val="en-GB"/>
        </w:rPr>
        <w:t xml:space="preserve"> and the neglect of identity-related outcomes in some cases. Therefore, camouflaging is a new area that has few longitudinal data.</w:t>
      </w:r>
    </w:p>
    <w:p w14:paraId="6F4D9C35" w14:textId="77777777" w:rsidR="007C1162" w:rsidRPr="00B32307" w:rsidRDefault="007C1162" w:rsidP="007C1162">
      <w:pPr>
        <w:pStyle w:val="Heading2"/>
        <w:rPr>
          <w:rFonts w:cs="Times New Roman"/>
        </w:rPr>
      </w:pPr>
      <w:bookmarkStart w:id="11" w:name="_Toc223177963"/>
      <w:r w:rsidRPr="00B32307">
        <w:rPr>
          <w:rFonts w:cs="Times New Roman"/>
        </w:rPr>
        <w:t>2.3 Theoretical Background</w:t>
      </w:r>
      <w:bookmarkEnd w:id="11"/>
    </w:p>
    <w:p w14:paraId="0F6E7F6A" w14:textId="77777777" w:rsidR="007C1162" w:rsidRPr="00B32307" w:rsidRDefault="007C1162" w:rsidP="007C1162">
      <w:pPr>
        <w:pStyle w:val="Heading3"/>
        <w:rPr>
          <w:rFonts w:cs="Times New Roman"/>
          <w:lang w:val="en-GB"/>
        </w:rPr>
      </w:pPr>
      <w:bookmarkStart w:id="12" w:name="_Toc223177964"/>
      <w:r w:rsidRPr="00B32307">
        <w:rPr>
          <w:rFonts w:cs="Times New Roman"/>
          <w:lang w:val="en-GB"/>
        </w:rPr>
        <w:t>2.3.1 Introduction to Theoretical Framework</w:t>
      </w:r>
      <w:bookmarkEnd w:id="12"/>
    </w:p>
    <w:p w14:paraId="1D1AB70A" w14:textId="77777777" w:rsidR="007C1162" w:rsidRPr="00B32307" w:rsidRDefault="005D1F48" w:rsidP="007C1162">
      <w:pPr>
        <w:rPr>
          <w:rFonts w:cs="Times New Roman"/>
          <w:lang w:val="en-GB"/>
        </w:rPr>
      </w:pPr>
      <w:r w:rsidRPr="00B32307">
        <w:rPr>
          <w:rFonts w:cs="Times New Roman"/>
          <w:lang w:val="en-GB"/>
        </w:rPr>
        <w:t xml:space="preserve">Social camouflaging is not just a concept that can be explained in terms of observable behaviour; it is a representation of structural pressure and internal processes of the psyche (Khudiakova et al., 2024). The paper takes the two complementary conceptualizations Minority Stress Theory and Identity Theory, especially Self-Discrepancy Theory. Minority Stress Theory describes how external stigmatisation and discrimination lead to chronic psychological distress, whereas Identity Theory describes how role performance and authenticity conflict in the sustained role </w:t>
      </w:r>
      <w:r w:rsidR="00275697" w:rsidRPr="00B32307">
        <w:rPr>
          <w:rFonts w:cs="Times New Roman"/>
          <w:lang w:val="en-GB"/>
        </w:rPr>
        <w:t>lead</w:t>
      </w:r>
      <w:r w:rsidRPr="00B32307">
        <w:rPr>
          <w:rFonts w:cs="Times New Roman"/>
          <w:lang w:val="en-GB"/>
        </w:rPr>
        <w:t xml:space="preserve"> to self-concept. Combined, these frameworks have a multi-layered account of sustained masking and its psychopathological effects.</w:t>
      </w:r>
    </w:p>
    <w:p w14:paraId="24ECB095" w14:textId="77777777" w:rsidR="007C1162" w:rsidRPr="00B32307" w:rsidRDefault="007C1162" w:rsidP="007C1162">
      <w:pPr>
        <w:pStyle w:val="Heading3"/>
        <w:rPr>
          <w:rFonts w:cs="Times New Roman"/>
          <w:lang w:val="en-GB"/>
        </w:rPr>
      </w:pPr>
      <w:bookmarkStart w:id="13" w:name="_Toc223177965"/>
      <w:r w:rsidRPr="00B32307">
        <w:rPr>
          <w:rFonts w:cs="Times New Roman"/>
          <w:lang w:val="en-GB"/>
        </w:rPr>
        <w:t>2.3.2 Minority Stress Theory</w:t>
      </w:r>
      <w:bookmarkEnd w:id="13"/>
    </w:p>
    <w:p w14:paraId="273F1594" w14:textId="77777777" w:rsidR="007C1162" w:rsidRPr="00B32307" w:rsidRDefault="005D1F48" w:rsidP="007C1162">
      <w:pPr>
        <w:rPr>
          <w:rFonts w:cs="Times New Roman"/>
          <w:lang w:val="en-GB"/>
        </w:rPr>
      </w:pPr>
      <w:r w:rsidRPr="00B32307">
        <w:rPr>
          <w:rFonts w:cs="Times New Roman"/>
          <w:lang w:val="en-GB"/>
        </w:rPr>
        <w:t>Minority Stress Theory was first formulated where mental health disparity among social disparate groups was to be explained. It postulates that members of stigmatised minorities have chronic stressors in addition to overall life stress (Frost and Meyer, 2023). They are divided into distal stressors, such as external discrimination, rejection and exclusion, and proximal stressors such as internalised stigma, concealment and anticipatory vigilance.</w:t>
      </w:r>
    </w:p>
    <w:p w14:paraId="3A2B9340" w14:textId="77777777" w:rsidR="0015491D" w:rsidRPr="00B32307" w:rsidRDefault="0015491D" w:rsidP="0015491D">
      <w:pPr>
        <w:keepNext/>
        <w:rPr>
          <w:rFonts w:cs="Times New Roman"/>
          <w:lang w:val="en-GB"/>
        </w:rPr>
      </w:pPr>
      <w:r w:rsidRPr="00B32307">
        <w:rPr>
          <w:rFonts w:cs="Times New Roman"/>
          <w:noProof/>
          <w:lang w:val="en-GB"/>
        </w:rPr>
        <w:drawing>
          <wp:inline distT="0" distB="0" distL="0" distR="0" wp14:anchorId="3E811010" wp14:editId="3074BD4B">
            <wp:extent cx="5943600" cy="2792095"/>
            <wp:effectExtent l="0" t="0" r="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2792095"/>
                    </a:xfrm>
                    <a:prstGeom prst="rect">
                      <a:avLst/>
                    </a:prstGeom>
                  </pic:spPr>
                </pic:pic>
              </a:graphicData>
            </a:graphic>
          </wp:inline>
        </w:drawing>
      </w:r>
    </w:p>
    <w:p w14:paraId="34BCD8D7" w14:textId="77777777" w:rsidR="0015491D" w:rsidRPr="00B32307" w:rsidRDefault="0015491D" w:rsidP="0015491D">
      <w:pPr>
        <w:pStyle w:val="Caption"/>
        <w:jc w:val="center"/>
        <w:rPr>
          <w:rFonts w:cs="Times New Roman"/>
          <w:sz w:val="24"/>
          <w:lang w:val="en-GB"/>
        </w:rPr>
      </w:pPr>
      <w:r w:rsidRPr="00B32307">
        <w:rPr>
          <w:rFonts w:cs="Times New Roman"/>
          <w:sz w:val="24"/>
          <w:lang w:val="en-GB"/>
        </w:rPr>
        <w:t xml:space="preserve">Figure </w:t>
      </w:r>
      <w:r w:rsidRPr="00B32307">
        <w:rPr>
          <w:rFonts w:cs="Times New Roman"/>
          <w:sz w:val="24"/>
          <w:lang w:val="en-GB"/>
        </w:rPr>
        <w:fldChar w:fldCharType="begin"/>
      </w:r>
      <w:r w:rsidRPr="00B32307">
        <w:rPr>
          <w:rFonts w:cs="Times New Roman"/>
          <w:sz w:val="24"/>
          <w:lang w:val="en-GB"/>
        </w:rPr>
        <w:instrText xml:space="preserve"> SEQ Figure \* ARABIC </w:instrText>
      </w:r>
      <w:r w:rsidRPr="00B32307">
        <w:rPr>
          <w:rFonts w:cs="Times New Roman"/>
          <w:sz w:val="24"/>
          <w:lang w:val="en-GB"/>
        </w:rPr>
        <w:fldChar w:fldCharType="separate"/>
      </w:r>
      <w:r w:rsidRPr="00B32307">
        <w:rPr>
          <w:rFonts w:cs="Times New Roman"/>
          <w:noProof/>
          <w:sz w:val="24"/>
          <w:lang w:val="en-GB"/>
        </w:rPr>
        <w:t>1</w:t>
      </w:r>
      <w:r w:rsidRPr="00B32307">
        <w:rPr>
          <w:rFonts w:cs="Times New Roman"/>
          <w:sz w:val="24"/>
          <w:lang w:val="en-GB"/>
        </w:rPr>
        <w:fldChar w:fldCharType="end"/>
      </w:r>
      <w:r w:rsidRPr="00B32307">
        <w:rPr>
          <w:rFonts w:cs="Times New Roman"/>
          <w:sz w:val="24"/>
          <w:lang w:val="en-GB"/>
        </w:rPr>
        <w:t>: Minority Stress Theory (Noone et al., 2018)</w:t>
      </w:r>
    </w:p>
    <w:p w14:paraId="4BD77ABC" w14:textId="77777777" w:rsidR="005D1F48" w:rsidRPr="00B32307" w:rsidRDefault="005D1F48" w:rsidP="005D1F48">
      <w:pPr>
        <w:rPr>
          <w:rFonts w:cs="Times New Roman"/>
          <w:lang w:val="en-GB"/>
        </w:rPr>
      </w:pPr>
      <w:r w:rsidRPr="00B32307">
        <w:rPr>
          <w:rFonts w:cs="Times New Roman"/>
          <w:lang w:val="en-GB"/>
        </w:rPr>
        <w:t>This framework, applied to autistic adults, conceptualises autism as a marginalised neurotype in a mostly neurotypical environment. The concept of masking can be interpreted to mean a hiding mechanism used to minimise a stigma or social penalty. At workplaces and in educational institutions where normative communication styles are prevalent, autistic people could conceal themselves to get access to employment security or prevent injustices (Pryke-Hobbes et al., 2023). Predictable discrimination is then expected to be a source of behaviour change.</w:t>
      </w:r>
    </w:p>
    <w:p w14:paraId="248C54D7" w14:textId="77777777" w:rsidR="005D1F48" w:rsidRPr="00B32307" w:rsidRDefault="005D1F48" w:rsidP="005D1F48">
      <w:pPr>
        <w:rPr>
          <w:rFonts w:cs="Times New Roman"/>
          <w:lang w:val="en-GB"/>
        </w:rPr>
      </w:pPr>
      <w:r w:rsidRPr="00B32307">
        <w:rPr>
          <w:rFonts w:cs="Times New Roman"/>
          <w:lang w:val="en-GB"/>
        </w:rPr>
        <w:t>This model is especially applicable to psychic outcomes. Chronic concealment leads to increased cognitive load and exposure to stress, and long-term vigilance is related to exhaustion (Albulescu et al., 2022). Stigmatisation can also be internalised, which causes shame and depressive moods, especially where people attribute social challenges to individual weaknesses instead of social impediments. Minority Stress Theory thus suggests the reason why there are high prevalence rates of anxiety and depression amongst autistic adults is due to social mediation, but not autism itself.</w:t>
      </w:r>
    </w:p>
    <w:p w14:paraId="369F8E14" w14:textId="77777777" w:rsidR="007C1162" w:rsidRPr="00B32307" w:rsidRDefault="005D1F48" w:rsidP="005D1F48">
      <w:pPr>
        <w:rPr>
          <w:rFonts w:cs="Times New Roman"/>
          <w:lang w:val="en-GB"/>
        </w:rPr>
      </w:pPr>
      <w:r w:rsidRPr="00B32307">
        <w:rPr>
          <w:rFonts w:cs="Times New Roman"/>
          <w:lang w:val="en-GB"/>
        </w:rPr>
        <w:t>Nevertheless, there are limitations to the theory. It was not initially formulated on neurodevelopmental differences, and empirical testing in autistic groups remains relatively subject to limitations. Although it describes the accumulation of stress, it does not deal with identity fragmentation and conflict of authenticity in full (Gucciardi et al., 2026). More so, its focus on stigma can be detrimental to the neurological elements of sensory overload. Nevertheless, it does offer a strong structural prism connecting social marginalisation with mental health disparities that create the basis of knowing why masking evolves.</w:t>
      </w:r>
    </w:p>
    <w:p w14:paraId="221A642B" w14:textId="77777777" w:rsidR="007C1162" w:rsidRPr="00B32307" w:rsidRDefault="007C1162" w:rsidP="007C1162">
      <w:pPr>
        <w:pStyle w:val="Heading3"/>
        <w:rPr>
          <w:rFonts w:cs="Times New Roman"/>
          <w:lang w:val="en-GB"/>
        </w:rPr>
      </w:pPr>
      <w:bookmarkStart w:id="14" w:name="_Toc223177966"/>
      <w:r w:rsidRPr="00B32307">
        <w:rPr>
          <w:rFonts w:cs="Times New Roman"/>
          <w:lang w:val="en-GB"/>
        </w:rPr>
        <w:t>2.3.3 Self-Discrepancy Theory</w:t>
      </w:r>
      <w:bookmarkEnd w:id="14"/>
    </w:p>
    <w:p w14:paraId="6981835C" w14:textId="77777777" w:rsidR="007C1162" w:rsidRPr="00B32307" w:rsidRDefault="005D1F48" w:rsidP="007C1162">
      <w:pPr>
        <w:rPr>
          <w:rFonts w:cs="Times New Roman"/>
          <w:lang w:val="en-GB"/>
        </w:rPr>
      </w:pPr>
      <w:r w:rsidRPr="00B32307">
        <w:rPr>
          <w:rFonts w:cs="Times New Roman"/>
          <w:lang w:val="en-GB"/>
        </w:rPr>
        <w:t>The theory of Self-Discrepancy was formulated by Higgins (1987), and it holds that psychological distress occurs when there is a discrepancy between various representations of the self. The theory differentiates the actual self</w:t>
      </w:r>
      <w:r w:rsidR="00B32307">
        <w:rPr>
          <w:rFonts w:cs="Times New Roman"/>
          <w:lang w:val="en-GB"/>
        </w:rPr>
        <w:t xml:space="preserve">; </w:t>
      </w:r>
      <w:r w:rsidRPr="00B32307">
        <w:rPr>
          <w:rFonts w:cs="Times New Roman"/>
          <w:lang w:val="en-GB"/>
        </w:rPr>
        <w:t>the qualities and attributes that one thinks he or she possesses, the ideal self</w:t>
      </w:r>
      <w:r w:rsidR="00B32307">
        <w:rPr>
          <w:rFonts w:cs="Times New Roman"/>
          <w:lang w:val="en-GB"/>
        </w:rPr>
        <w:t xml:space="preserve">; </w:t>
      </w:r>
      <w:r w:rsidRPr="00B32307">
        <w:rPr>
          <w:rFonts w:cs="Times New Roman"/>
          <w:lang w:val="en-GB"/>
        </w:rPr>
        <w:t>qualities and attributes that one wants to possess, and the ought self</w:t>
      </w:r>
      <w:r w:rsidR="00B32307">
        <w:rPr>
          <w:rFonts w:cs="Times New Roman"/>
          <w:lang w:val="en-GB"/>
        </w:rPr>
        <w:t>; q</w:t>
      </w:r>
      <w:r w:rsidRPr="00B32307">
        <w:rPr>
          <w:rFonts w:cs="Times New Roman"/>
          <w:lang w:val="en-GB"/>
        </w:rPr>
        <w:t xml:space="preserve">ualities and attributes that one wants to possess because of social expectations (Hussin et al., 2025). The discrepancies that exist between these domains in an enduring nature produce emotional vulnerability. Particularly, the feeling of anxiety, tension and feelings of inadequacy are linked to the gap between the actual and the ought self, whereas sadness and </w:t>
      </w:r>
      <w:r w:rsidR="00E958E9" w:rsidRPr="00B32307">
        <w:rPr>
          <w:rFonts w:cs="Times New Roman"/>
          <w:lang w:val="en-GB"/>
        </w:rPr>
        <w:t>lower</w:t>
      </w:r>
      <w:r w:rsidRPr="00B32307">
        <w:rPr>
          <w:rFonts w:cs="Times New Roman"/>
          <w:lang w:val="en-GB"/>
        </w:rPr>
        <w:t xml:space="preserve"> self-worth are associated with discrepancies between the actual self and the ideal one.</w:t>
      </w:r>
    </w:p>
    <w:p w14:paraId="2899540A" w14:textId="77777777" w:rsidR="0015491D" w:rsidRPr="00B32307" w:rsidRDefault="0015491D" w:rsidP="0015491D">
      <w:pPr>
        <w:keepNext/>
        <w:jc w:val="center"/>
        <w:rPr>
          <w:rFonts w:cs="Times New Roman"/>
          <w:lang w:val="en-GB"/>
        </w:rPr>
      </w:pPr>
      <w:r w:rsidRPr="00B32307">
        <w:rPr>
          <w:rFonts w:cs="Times New Roman"/>
          <w:noProof/>
          <w:lang w:val="en-GB"/>
        </w:rPr>
        <w:drawing>
          <wp:inline distT="0" distB="0" distL="0" distR="0" wp14:anchorId="405E3E5E" wp14:editId="0ECB6E85">
            <wp:extent cx="5943600" cy="3806190"/>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806190"/>
                    </a:xfrm>
                    <a:prstGeom prst="rect">
                      <a:avLst/>
                    </a:prstGeom>
                  </pic:spPr>
                </pic:pic>
              </a:graphicData>
            </a:graphic>
          </wp:inline>
        </w:drawing>
      </w:r>
    </w:p>
    <w:p w14:paraId="1D39C187" w14:textId="77777777" w:rsidR="0015491D" w:rsidRPr="00B32307" w:rsidRDefault="0015491D" w:rsidP="0015491D">
      <w:pPr>
        <w:pStyle w:val="Caption"/>
        <w:jc w:val="center"/>
        <w:rPr>
          <w:rFonts w:cs="Times New Roman"/>
          <w:sz w:val="24"/>
          <w:lang w:val="en-GB"/>
        </w:rPr>
      </w:pPr>
      <w:r w:rsidRPr="00B32307">
        <w:rPr>
          <w:rFonts w:cs="Times New Roman"/>
          <w:sz w:val="24"/>
          <w:lang w:val="en-GB"/>
        </w:rPr>
        <w:t xml:space="preserve">Figure </w:t>
      </w:r>
      <w:r w:rsidRPr="00B32307">
        <w:rPr>
          <w:rFonts w:cs="Times New Roman"/>
          <w:sz w:val="24"/>
          <w:lang w:val="en-GB"/>
        </w:rPr>
        <w:fldChar w:fldCharType="begin"/>
      </w:r>
      <w:r w:rsidRPr="00B32307">
        <w:rPr>
          <w:rFonts w:cs="Times New Roman"/>
          <w:sz w:val="24"/>
          <w:lang w:val="en-GB"/>
        </w:rPr>
        <w:instrText xml:space="preserve"> SEQ Figure \* ARABIC </w:instrText>
      </w:r>
      <w:r w:rsidRPr="00B32307">
        <w:rPr>
          <w:rFonts w:cs="Times New Roman"/>
          <w:sz w:val="24"/>
          <w:lang w:val="en-GB"/>
        </w:rPr>
        <w:fldChar w:fldCharType="separate"/>
      </w:r>
      <w:r w:rsidRPr="00B32307">
        <w:rPr>
          <w:rFonts w:cs="Times New Roman"/>
          <w:noProof/>
          <w:sz w:val="24"/>
          <w:lang w:val="en-GB"/>
        </w:rPr>
        <w:t>2</w:t>
      </w:r>
      <w:r w:rsidRPr="00B32307">
        <w:rPr>
          <w:rFonts w:cs="Times New Roman"/>
          <w:sz w:val="24"/>
          <w:lang w:val="en-GB"/>
        </w:rPr>
        <w:fldChar w:fldCharType="end"/>
      </w:r>
      <w:r w:rsidRPr="00B32307">
        <w:rPr>
          <w:rFonts w:cs="Times New Roman"/>
          <w:sz w:val="24"/>
          <w:lang w:val="en-GB"/>
        </w:rPr>
        <w:t>: Self-Discrepancy Theory (Hussin et al., 2025)</w:t>
      </w:r>
    </w:p>
    <w:p w14:paraId="4BC20CDE" w14:textId="77777777" w:rsidR="005D1F48" w:rsidRPr="00B32307" w:rsidRDefault="005D1F48" w:rsidP="005D1F48">
      <w:pPr>
        <w:rPr>
          <w:rFonts w:cs="Times New Roman"/>
          <w:lang w:val="en-GB"/>
        </w:rPr>
      </w:pPr>
      <w:r w:rsidRPr="00B32307">
        <w:rPr>
          <w:rFonts w:cs="Times New Roman"/>
          <w:lang w:val="en-GB"/>
        </w:rPr>
        <w:t xml:space="preserve">This framework can be applied to social camouflaging with an accuracy of a psychological explanation of the emotional after-effects of masking. Autistic camouflaged adults can have tension between their actual autistic self (actual self) and </w:t>
      </w:r>
      <w:r w:rsidR="00E958E9" w:rsidRPr="00B32307">
        <w:rPr>
          <w:rFonts w:cs="Times New Roman"/>
          <w:lang w:val="en-GB"/>
        </w:rPr>
        <w:t>the</w:t>
      </w:r>
      <w:r w:rsidRPr="00B32307">
        <w:rPr>
          <w:rFonts w:cs="Times New Roman"/>
          <w:lang w:val="en-GB"/>
        </w:rPr>
        <w:t xml:space="preserve"> socially normative neurotypical identity that they are forced to enact (ought self). Hu et al. (2022) note that chronic self-discrepancy can thus be caused by sustained behavioural adjustments to achieve perceived social norms. In contrast to situational impression management, camouflaging can be accompanied by a lengthy inhibition of natural reactions that can lead to the aggravation of internal discrepancy. This is an imbalance that shocks, emotional burnout, low self-esteem, and depressive mood can lead to over time.</w:t>
      </w:r>
    </w:p>
    <w:p w14:paraId="6E747CA8" w14:textId="77777777" w:rsidR="007C1162" w:rsidRPr="00B32307" w:rsidRDefault="005D1F48" w:rsidP="005D1F48">
      <w:pPr>
        <w:rPr>
          <w:rFonts w:cs="Times New Roman"/>
          <w:lang w:val="en-GB"/>
        </w:rPr>
      </w:pPr>
      <w:r w:rsidRPr="00B32307">
        <w:rPr>
          <w:rFonts w:cs="Times New Roman"/>
          <w:lang w:val="en-GB"/>
        </w:rPr>
        <w:t>The Self-Discrepancy Theory is especially useful for understanding why camouflaging can cause chronic psychological damage, even though it can be beneficial in the short term by helping an individual be accepted in society (Pérez-Arqueros et al., 2025). It, however, presupposes conscious recognition of self-conflict and fails to explain structural stigma in its entirety and requires integration with more general socio-contextual frameworks.</w:t>
      </w:r>
    </w:p>
    <w:p w14:paraId="05DF3B56" w14:textId="77777777" w:rsidR="007C1162" w:rsidRPr="00B32307" w:rsidRDefault="007C1162" w:rsidP="007C1162">
      <w:pPr>
        <w:pStyle w:val="Heading2"/>
        <w:rPr>
          <w:rFonts w:cs="Times New Roman"/>
        </w:rPr>
      </w:pPr>
      <w:bookmarkStart w:id="15" w:name="_Toc223177967"/>
      <w:r w:rsidRPr="00B32307">
        <w:rPr>
          <w:rFonts w:cs="Times New Roman"/>
        </w:rPr>
        <w:t>2.4 International Context</w:t>
      </w:r>
      <w:bookmarkEnd w:id="15"/>
    </w:p>
    <w:p w14:paraId="5FF400EC" w14:textId="77777777" w:rsidR="005D1F48" w:rsidRPr="00B32307" w:rsidRDefault="005D1F48" w:rsidP="005D1F48">
      <w:pPr>
        <w:rPr>
          <w:rFonts w:cs="Times New Roman"/>
          <w:lang w:val="en-GB"/>
        </w:rPr>
      </w:pPr>
      <w:r w:rsidRPr="00B32307">
        <w:rPr>
          <w:rFonts w:cs="Times New Roman"/>
          <w:lang w:val="en-GB"/>
        </w:rPr>
        <w:t>Autistic adults are also characterised by high levels of comorbid mental health disorders abroad. Investigations in North America, Europe and Australia demonstrate higher anxiety levels, depression and suicidality than non-autistic populations (Newell et al., 2023). Late diagnosis is still prevalent in many parts of the world</w:t>
      </w:r>
      <w:r w:rsidR="00E958E9" w:rsidRPr="00B32307">
        <w:rPr>
          <w:rFonts w:cs="Times New Roman"/>
          <w:lang w:val="en-GB"/>
        </w:rPr>
        <w:t>,</w:t>
      </w:r>
      <w:r w:rsidRPr="00B32307">
        <w:rPr>
          <w:rFonts w:cs="Times New Roman"/>
          <w:lang w:val="en-GB"/>
        </w:rPr>
        <w:t xml:space="preserve"> especially in women</w:t>
      </w:r>
      <w:r w:rsidR="00E958E9" w:rsidRPr="00B32307">
        <w:rPr>
          <w:rFonts w:cs="Times New Roman"/>
          <w:lang w:val="en-GB"/>
        </w:rPr>
        <w:t>,</w:t>
      </w:r>
      <w:r w:rsidRPr="00B32307">
        <w:rPr>
          <w:rFonts w:cs="Times New Roman"/>
          <w:lang w:val="en-GB"/>
        </w:rPr>
        <w:t xml:space="preserve"> and this implies that camouflaging behaviours can make clinical identification obscure in cultural </w:t>
      </w:r>
      <w:r w:rsidR="00E958E9" w:rsidRPr="00B32307">
        <w:rPr>
          <w:rFonts w:cs="Times New Roman"/>
          <w:lang w:val="en-GB"/>
        </w:rPr>
        <w:t>setups</w:t>
      </w:r>
      <w:r w:rsidRPr="00B32307">
        <w:rPr>
          <w:rFonts w:cs="Times New Roman"/>
          <w:lang w:val="en-GB"/>
        </w:rPr>
        <w:t xml:space="preserve">. </w:t>
      </w:r>
      <w:r w:rsidR="00E958E9" w:rsidRPr="00B32307">
        <w:rPr>
          <w:rFonts w:cs="Times New Roman"/>
          <w:lang w:val="en-GB"/>
        </w:rPr>
        <w:t xml:space="preserve">The </w:t>
      </w:r>
      <w:r w:rsidRPr="00B32307">
        <w:rPr>
          <w:rFonts w:cs="Times New Roman"/>
          <w:lang w:val="en-GB"/>
        </w:rPr>
        <w:t xml:space="preserve">United States is characterised by wider access to diagnostic </w:t>
      </w:r>
      <w:r w:rsidR="00E958E9" w:rsidRPr="00B32307">
        <w:rPr>
          <w:rFonts w:cs="Times New Roman"/>
          <w:lang w:val="en-GB"/>
        </w:rPr>
        <w:t xml:space="preserve">services </w:t>
      </w:r>
      <w:r w:rsidRPr="00B32307">
        <w:rPr>
          <w:rFonts w:cs="Times New Roman"/>
          <w:lang w:val="en-GB"/>
        </w:rPr>
        <w:t>in the private sector and a high level of socioeconomic differences. Ahead of the intervention</w:t>
      </w:r>
      <w:r w:rsidR="00E958E9" w:rsidRPr="00B32307">
        <w:rPr>
          <w:rFonts w:cs="Times New Roman"/>
          <w:lang w:val="en-GB"/>
        </w:rPr>
        <w:t>,</w:t>
      </w:r>
      <w:r w:rsidRPr="00B32307">
        <w:rPr>
          <w:rFonts w:cs="Times New Roman"/>
          <w:lang w:val="en-GB"/>
        </w:rPr>
        <w:t xml:space="preserve"> but also with adult underdiagnosis, Scandinavian countries focus on inclusion models </w:t>
      </w:r>
      <w:r w:rsidR="00E958E9" w:rsidRPr="00B32307">
        <w:rPr>
          <w:rFonts w:cs="Times New Roman"/>
          <w:lang w:val="en-GB"/>
        </w:rPr>
        <w:t>of</w:t>
      </w:r>
      <w:r w:rsidRPr="00B32307">
        <w:rPr>
          <w:rFonts w:cs="Times New Roman"/>
          <w:lang w:val="en-GB"/>
        </w:rPr>
        <w:t xml:space="preserve"> welfare. Australia has developed </w:t>
      </w:r>
      <w:r w:rsidR="00E958E9" w:rsidRPr="00B32307">
        <w:rPr>
          <w:rFonts w:cs="Times New Roman"/>
          <w:lang w:val="en-GB"/>
        </w:rPr>
        <w:t xml:space="preserve">a </w:t>
      </w:r>
      <w:r w:rsidRPr="00B32307">
        <w:rPr>
          <w:rFonts w:cs="Times New Roman"/>
          <w:lang w:val="en-GB"/>
        </w:rPr>
        <w:t>neurodiversity-affirming policy, but service access is unequal. The National Health Service of the UK is universal and has long waiting lines, which impact adult evaluation (Aylward et al., 2021).</w:t>
      </w:r>
    </w:p>
    <w:p w14:paraId="2ED43DCB" w14:textId="77777777" w:rsidR="007C1162" w:rsidRPr="00B32307" w:rsidRDefault="005D1F48" w:rsidP="005D1F48">
      <w:pPr>
        <w:rPr>
          <w:rFonts w:cs="Times New Roman"/>
          <w:lang w:val="en-GB"/>
        </w:rPr>
      </w:pPr>
      <w:r w:rsidRPr="00B32307">
        <w:rPr>
          <w:rFonts w:cs="Times New Roman"/>
          <w:lang w:val="en-GB"/>
        </w:rPr>
        <w:t xml:space="preserve">Australia has been </w:t>
      </w:r>
      <w:r w:rsidR="00E958E9" w:rsidRPr="00B32307">
        <w:rPr>
          <w:rFonts w:cs="Times New Roman"/>
          <w:lang w:val="en-GB"/>
        </w:rPr>
        <w:t>incorporating neurodiversity principles into its strategy documents, whereas the US relies primarily</w:t>
      </w:r>
      <w:r w:rsidRPr="00B32307">
        <w:rPr>
          <w:rFonts w:cs="Times New Roman"/>
          <w:lang w:val="en-GB"/>
        </w:rPr>
        <w:t xml:space="preserve"> on employment laws such as the Americans with Disabilities Act to safeguard employment rights. In Scandinavian systems, inclusion is given more emphasis using social welfare models (Karwowska and Majewski, 2025). Nevertheless, there is not much agreement on the explicit acknowledgement of camouflaging in policy internationally. The masking behaviours may also be influenced by cultural expectations. The masking pressure of collectivist cultures can be stronger, and self-presentation can be reinforced in individualist cultures in the job market (Klein et al., 2024). Social expectations are also shaped by gender norms, and this may have the effect of heightening camouflaging by women. Notably, the bulk of studies is always west-centric, which restricts knowledge about camouflaging in non-Western environments and makes the focus of analysis global.</w:t>
      </w:r>
    </w:p>
    <w:p w14:paraId="1F536958" w14:textId="77777777" w:rsidR="007C1162" w:rsidRPr="00B32307" w:rsidRDefault="007C1162" w:rsidP="007C1162">
      <w:pPr>
        <w:pStyle w:val="Heading2"/>
        <w:rPr>
          <w:rFonts w:cs="Times New Roman"/>
        </w:rPr>
      </w:pPr>
      <w:bookmarkStart w:id="16" w:name="_Toc223177968"/>
      <w:r w:rsidRPr="00B32307">
        <w:rPr>
          <w:rFonts w:cs="Times New Roman"/>
        </w:rPr>
        <w:t>2.5 UK National and Local Context</w:t>
      </w:r>
      <w:bookmarkEnd w:id="16"/>
    </w:p>
    <w:p w14:paraId="5DFD0B37" w14:textId="77777777" w:rsidR="005D1F48" w:rsidRPr="00B32307" w:rsidRDefault="00E958E9" w:rsidP="005D1F48">
      <w:pPr>
        <w:rPr>
          <w:rFonts w:cs="Times New Roman"/>
          <w:lang w:val="en-GB"/>
        </w:rPr>
      </w:pPr>
      <w:r w:rsidRPr="00B32307">
        <w:rPr>
          <w:rFonts w:cs="Times New Roman"/>
          <w:lang w:val="en-GB"/>
        </w:rPr>
        <w:t xml:space="preserve">The </w:t>
      </w:r>
      <w:r w:rsidR="005D1F48" w:rsidRPr="00B32307">
        <w:rPr>
          <w:rFonts w:cs="Times New Roman"/>
          <w:lang w:val="en-GB"/>
        </w:rPr>
        <w:t xml:space="preserve">UK has created major legislation on autism, starting with the introduction of the Autism Act 2009: this legislation was the initial disability-specific legislation in the UK. The </w:t>
      </w:r>
      <w:r w:rsidRPr="00B32307">
        <w:rPr>
          <w:rFonts w:cs="Times New Roman"/>
          <w:lang w:val="en-GB"/>
        </w:rPr>
        <w:t>latter</w:t>
      </w:r>
      <w:r w:rsidR="005D1F48" w:rsidRPr="00B32307">
        <w:rPr>
          <w:rFonts w:cs="Times New Roman"/>
          <w:lang w:val="en-GB"/>
        </w:rPr>
        <w:t xml:space="preserve"> plans, such as the NHS Long Term Plan, or the National Strategy of Autistic Children, Young People and Adults, focus on better diagnosis, access to employment and mental health services (Beazley et al., 2023). Although these frameworks recognise inequalities</w:t>
      </w:r>
      <w:r w:rsidRPr="00B32307">
        <w:rPr>
          <w:rFonts w:cs="Times New Roman"/>
          <w:lang w:val="en-GB"/>
        </w:rPr>
        <w:t>,</w:t>
      </w:r>
      <w:r w:rsidR="005D1F48" w:rsidRPr="00B32307">
        <w:rPr>
          <w:rFonts w:cs="Times New Roman"/>
          <w:lang w:val="en-GB"/>
        </w:rPr>
        <w:t xml:space="preserve"> they seldom focus on social camouflaging.</w:t>
      </w:r>
    </w:p>
    <w:p w14:paraId="4FA42A4D" w14:textId="77777777" w:rsidR="005D1F48" w:rsidRPr="00B32307" w:rsidRDefault="005D1F48" w:rsidP="005D1F48">
      <w:pPr>
        <w:rPr>
          <w:rFonts w:cs="Times New Roman"/>
          <w:lang w:val="en-GB"/>
        </w:rPr>
      </w:pPr>
      <w:r w:rsidRPr="00B32307">
        <w:rPr>
          <w:rFonts w:cs="Times New Roman"/>
          <w:lang w:val="en-GB"/>
        </w:rPr>
        <w:t>There is a lot of pressure given to adult diagnostic services in the UK</w:t>
      </w:r>
      <w:r w:rsidR="00E958E9" w:rsidRPr="00B32307">
        <w:rPr>
          <w:rFonts w:cs="Times New Roman"/>
          <w:lang w:val="en-GB"/>
        </w:rPr>
        <w:t>,</w:t>
      </w:r>
      <w:r w:rsidRPr="00B32307">
        <w:rPr>
          <w:rFonts w:cs="Times New Roman"/>
          <w:lang w:val="en-GB"/>
        </w:rPr>
        <w:t xml:space="preserve"> and access differs across regions</w:t>
      </w:r>
      <w:r w:rsidR="00E958E9" w:rsidRPr="00B32307">
        <w:rPr>
          <w:rFonts w:cs="Times New Roman"/>
          <w:lang w:val="en-GB"/>
        </w:rPr>
        <w:t>,</w:t>
      </w:r>
      <w:r w:rsidRPr="00B32307">
        <w:rPr>
          <w:rFonts w:cs="Times New Roman"/>
          <w:lang w:val="en-GB"/>
        </w:rPr>
        <w:t xml:space="preserve"> with long waiting times. Misdiagnosis, especially with anxiety or personality disorders, is still reported among those adults who have been masking </w:t>
      </w:r>
      <w:r w:rsidR="00E958E9" w:rsidRPr="00B32307">
        <w:rPr>
          <w:rFonts w:cs="Times New Roman"/>
          <w:lang w:val="en-GB"/>
        </w:rPr>
        <w:t>for</w:t>
      </w:r>
      <w:r w:rsidRPr="00B32307">
        <w:rPr>
          <w:rFonts w:cs="Times New Roman"/>
          <w:lang w:val="en-GB"/>
        </w:rPr>
        <w:t xml:space="preserve"> a long duration of time. Wearing a mask can also lead to the situation of delayed referral because people look socially competent when assessed in a short period (Kentrou et al., 2024). Issues of safety are important. Autistic adults show a high suicide risk as opposed to the general population. In case of camouflaging of distress, then professionals underrate</w:t>
      </w:r>
      <w:r w:rsidR="00B32307">
        <w:rPr>
          <w:rFonts w:cs="Times New Roman"/>
          <w:lang w:val="en-GB"/>
        </w:rPr>
        <w:t>d</w:t>
      </w:r>
      <w:r w:rsidRPr="00B32307">
        <w:rPr>
          <w:rFonts w:cs="Times New Roman"/>
          <w:lang w:val="en-GB"/>
        </w:rPr>
        <w:t xml:space="preserve"> vulnerability. Crisis presentations can thus be an accumulation of unnoticed stress, but not a breakdown.</w:t>
      </w:r>
    </w:p>
    <w:p w14:paraId="67F7A656" w14:textId="77777777" w:rsidR="007C1162" w:rsidRPr="00B32307" w:rsidRDefault="005D1F48" w:rsidP="005D1F48">
      <w:pPr>
        <w:rPr>
          <w:rFonts w:cs="Times New Roman"/>
          <w:lang w:val="en-GB"/>
        </w:rPr>
      </w:pPr>
      <w:r w:rsidRPr="00B32307">
        <w:rPr>
          <w:rFonts w:cs="Times New Roman"/>
          <w:lang w:val="en-GB"/>
        </w:rPr>
        <w:t xml:space="preserve">Commissioning support is carried out by Integrated Care Boards (ICBs) and local authority adult services at a local level (Gongora-Salazar et al., 2022). Unequal distribution of specialists provides inequities. Although policy frameworks encourage inclusivity, the translation of the same into practise is inconsistent. The insufficient training about the camouflaging in frontline services underlines a </w:t>
      </w:r>
      <w:r w:rsidR="00E958E9" w:rsidRPr="00B32307">
        <w:rPr>
          <w:rFonts w:cs="Times New Roman"/>
          <w:lang w:val="en-GB"/>
        </w:rPr>
        <w:t>gap</w:t>
      </w:r>
      <w:r w:rsidRPr="00B32307">
        <w:rPr>
          <w:rFonts w:cs="Times New Roman"/>
          <w:lang w:val="en-GB"/>
        </w:rPr>
        <w:t xml:space="preserve"> between the strategic </w:t>
      </w:r>
      <w:r w:rsidR="00E958E9" w:rsidRPr="00B32307">
        <w:rPr>
          <w:rFonts w:cs="Times New Roman"/>
          <w:lang w:val="en-GB"/>
        </w:rPr>
        <w:t>acknowledgement</w:t>
      </w:r>
      <w:r w:rsidRPr="00B32307">
        <w:rPr>
          <w:rFonts w:cs="Times New Roman"/>
          <w:lang w:val="en-GB"/>
        </w:rPr>
        <w:t xml:space="preserve"> of autism and subtle views into the psychological effects of masking (Zhuang et al., 2023). More importantly, neurodiversity-affirming language is becoming a more and more common approach to UK policy, but structural obstacles still exist. The lack of a specific mention of camouflaging in national strategy indicates that lived experiences of masking have not yet been adequately implemented in service design.</w:t>
      </w:r>
    </w:p>
    <w:p w14:paraId="22B50D55" w14:textId="77777777" w:rsidR="007C1162" w:rsidRPr="00B32307" w:rsidRDefault="007C1162" w:rsidP="007C1162">
      <w:pPr>
        <w:pStyle w:val="Heading2"/>
        <w:rPr>
          <w:rFonts w:cs="Times New Roman"/>
        </w:rPr>
      </w:pPr>
      <w:bookmarkStart w:id="17" w:name="_Toc223177969"/>
      <w:r w:rsidRPr="00B32307">
        <w:rPr>
          <w:rFonts w:cs="Times New Roman"/>
        </w:rPr>
        <w:t>2.6 Conclusion</w:t>
      </w:r>
      <w:bookmarkEnd w:id="17"/>
    </w:p>
    <w:p w14:paraId="16CD326C" w14:textId="77777777" w:rsidR="007C1162" w:rsidRPr="00B32307" w:rsidRDefault="005D1F48" w:rsidP="007C1162">
      <w:pPr>
        <w:rPr>
          <w:rFonts w:cs="Times New Roman"/>
          <w:lang w:val="en-GB"/>
        </w:rPr>
      </w:pPr>
      <w:r w:rsidRPr="00B32307">
        <w:rPr>
          <w:rFonts w:cs="Times New Roman"/>
          <w:lang w:val="en-GB"/>
        </w:rPr>
        <w:t>This chapter has analysed the historical evolution of autism and the inception of camouflaging research and the theoretical frameworks which have underlaid this study. It has proven that masking should be interpreted in the context of greater frameworks of marginalisation and identity bargaining. International comparisons show common mental health inequalities but policy variation</w:t>
      </w:r>
      <w:r w:rsidR="00E958E9" w:rsidRPr="00B32307">
        <w:rPr>
          <w:rFonts w:cs="Times New Roman"/>
          <w:lang w:val="en-GB"/>
        </w:rPr>
        <w:t>,</w:t>
      </w:r>
      <w:r w:rsidRPr="00B32307">
        <w:rPr>
          <w:rFonts w:cs="Times New Roman"/>
          <w:lang w:val="en-GB"/>
        </w:rPr>
        <w:t xml:space="preserve"> whereas the UK context shows policy advancement and service gaps. These contextual clues have informed the following chapter that describes the methodological framework of the systematic review and synthesis of literature on social camouflaging and the psychological effects of camouflaging.</w:t>
      </w:r>
    </w:p>
    <w:p w14:paraId="59142A15" w14:textId="77777777" w:rsidR="0015491D" w:rsidRPr="00B32307" w:rsidRDefault="0015491D" w:rsidP="007C1162">
      <w:pPr>
        <w:rPr>
          <w:rFonts w:cs="Times New Roman"/>
          <w:lang w:val="en-GB"/>
        </w:rPr>
      </w:pPr>
    </w:p>
    <w:p w14:paraId="759F4117" w14:textId="77777777" w:rsidR="0015491D" w:rsidRPr="00B32307" w:rsidRDefault="0015491D">
      <w:pPr>
        <w:spacing w:after="160" w:line="259" w:lineRule="auto"/>
        <w:jc w:val="left"/>
        <w:rPr>
          <w:rFonts w:eastAsiaTheme="majorEastAsia" w:cs="Times New Roman"/>
          <w:b/>
          <w:color w:val="000000" w:themeColor="text1"/>
          <w:szCs w:val="32"/>
          <w:lang w:val="en-GB"/>
        </w:rPr>
      </w:pPr>
      <w:r w:rsidRPr="00B32307">
        <w:rPr>
          <w:rFonts w:cs="Times New Roman"/>
          <w:lang w:val="en-GB"/>
        </w:rPr>
        <w:br w:type="page"/>
      </w:r>
    </w:p>
    <w:p w14:paraId="79910AE9" w14:textId="77777777" w:rsidR="00945409" w:rsidRPr="00B32307" w:rsidRDefault="00945409" w:rsidP="0015491D">
      <w:pPr>
        <w:pStyle w:val="Heading1"/>
        <w:rPr>
          <w:rFonts w:cs="Times New Roman"/>
        </w:rPr>
        <w:sectPr w:rsidR="00945409" w:rsidRPr="00B32307" w:rsidSect="00945409">
          <w:headerReference w:type="default" r:id="rId10"/>
          <w:pgSz w:w="12240" w:h="15840"/>
          <w:pgMar w:top="1440" w:right="1440" w:bottom="1440" w:left="1440" w:header="720" w:footer="720" w:gutter="0"/>
          <w:cols w:space="720"/>
          <w:docGrid w:linePitch="360"/>
        </w:sectPr>
      </w:pPr>
    </w:p>
    <w:p w14:paraId="4C5C7AB7" w14:textId="77777777" w:rsidR="0015491D" w:rsidRPr="00B32307" w:rsidRDefault="0015491D" w:rsidP="0015491D">
      <w:pPr>
        <w:pStyle w:val="Heading1"/>
        <w:rPr>
          <w:rFonts w:cs="Times New Roman"/>
        </w:rPr>
      </w:pPr>
      <w:bookmarkStart w:id="18" w:name="_Toc223177970"/>
      <w:r w:rsidRPr="00B32307">
        <w:rPr>
          <w:rFonts w:cs="Times New Roman"/>
        </w:rPr>
        <w:t>References</w:t>
      </w:r>
      <w:bookmarkEnd w:id="18"/>
    </w:p>
    <w:p w14:paraId="12DC91E1" w14:textId="77777777" w:rsidR="007042DF" w:rsidRPr="00B32307" w:rsidRDefault="007042DF" w:rsidP="007042DF">
      <w:pPr>
        <w:ind w:left="720" w:hanging="720"/>
        <w:rPr>
          <w:rFonts w:cs="Times New Roman"/>
          <w:lang w:val="en-GB"/>
        </w:rPr>
      </w:pPr>
      <w:r w:rsidRPr="00B32307">
        <w:rPr>
          <w:rFonts w:cs="Times New Roman"/>
          <w:lang w:val="en-GB"/>
        </w:rPr>
        <w:t xml:space="preserve">Albulescu, P., Macsinga, I., Rusu, A., Sulea, C., Bodnaru, A. and Tulbure, B.T. (2022). ‘Give me a break!’ A systematic review and meta-analysis on the efficacy of micro-breaks for increasing well-being and performance. </w:t>
      </w:r>
      <w:r w:rsidRPr="00B32307">
        <w:rPr>
          <w:rFonts w:cs="Times New Roman"/>
          <w:i/>
          <w:iCs/>
          <w:lang w:val="en-GB"/>
        </w:rPr>
        <w:t>PLOS ONE</w:t>
      </w:r>
      <w:r w:rsidRPr="00B32307">
        <w:rPr>
          <w:rFonts w:cs="Times New Roman"/>
          <w:lang w:val="en-GB"/>
        </w:rPr>
        <w:t xml:space="preserve">, [online] 17(8), p.e0272460. </w:t>
      </w:r>
      <w:hyperlink r:id="rId11" w:history="1">
        <w:r w:rsidRPr="00B32307">
          <w:rPr>
            <w:rStyle w:val="Hyperlink"/>
            <w:rFonts w:cs="Times New Roman"/>
            <w:lang w:val="en-GB"/>
          </w:rPr>
          <w:t>https://doi.org/10.1371/journal.pone.0272460</w:t>
        </w:r>
      </w:hyperlink>
      <w:r w:rsidRPr="00B32307">
        <w:rPr>
          <w:rFonts w:cs="Times New Roman"/>
          <w:lang w:val="en-GB"/>
        </w:rPr>
        <w:t xml:space="preserve"> </w:t>
      </w:r>
    </w:p>
    <w:p w14:paraId="32D51E96" w14:textId="77777777" w:rsidR="007042DF" w:rsidRPr="00B32307" w:rsidRDefault="007042DF" w:rsidP="007042DF">
      <w:pPr>
        <w:ind w:left="720" w:hanging="720"/>
        <w:rPr>
          <w:rFonts w:cs="Times New Roman"/>
          <w:lang w:val="en-GB"/>
        </w:rPr>
      </w:pPr>
      <w:r w:rsidRPr="00B32307">
        <w:rPr>
          <w:rFonts w:cs="Times New Roman"/>
          <w:lang w:val="en-GB"/>
        </w:rPr>
        <w:t xml:space="preserve">Arnold, W.M., Bitsika, V. and Sharpley, C.F. (2026). Camouflaging and autism: Conceptualisation and methodological issues. </w:t>
      </w:r>
      <w:r w:rsidRPr="00B32307">
        <w:rPr>
          <w:rFonts w:cs="Times New Roman"/>
          <w:i/>
          <w:iCs/>
          <w:lang w:val="en-GB"/>
        </w:rPr>
        <w:t>Autism</w:t>
      </w:r>
      <w:r w:rsidRPr="00B32307">
        <w:rPr>
          <w:rFonts w:cs="Times New Roman"/>
          <w:lang w:val="en-GB"/>
        </w:rPr>
        <w:t xml:space="preserve">. </w:t>
      </w:r>
      <w:hyperlink r:id="rId12" w:history="1">
        <w:r w:rsidRPr="00B32307">
          <w:rPr>
            <w:rStyle w:val="Hyperlink"/>
            <w:rFonts w:cs="Times New Roman"/>
            <w:lang w:val="en-GB"/>
          </w:rPr>
          <w:t>https://doi.org/10.1177/13623613261420085</w:t>
        </w:r>
      </w:hyperlink>
      <w:r w:rsidRPr="00B32307">
        <w:rPr>
          <w:rFonts w:cs="Times New Roman"/>
          <w:lang w:val="en-GB"/>
        </w:rPr>
        <w:t xml:space="preserve"> </w:t>
      </w:r>
    </w:p>
    <w:p w14:paraId="35031CA9" w14:textId="77777777" w:rsidR="007042DF" w:rsidRPr="00B32307" w:rsidRDefault="007042DF" w:rsidP="007042DF">
      <w:pPr>
        <w:ind w:left="720" w:hanging="720"/>
        <w:rPr>
          <w:rFonts w:cs="Times New Roman"/>
          <w:lang w:val="en-GB"/>
        </w:rPr>
      </w:pPr>
      <w:r w:rsidRPr="00B32307">
        <w:rPr>
          <w:rFonts w:cs="Times New Roman"/>
          <w:lang w:val="en-GB"/>
        </w:rPr>
        <w:t xml:space="preserve">Aylward, B.S., Gal-Szabo, D.E. and Taraman, S. (2021). Racial, Ethnic, and Sociodemographic Disparities in Diagnosis of Children with Autism Spectrum Disorder. </w:t>
      </w:r>
      <w:r w:rsidRPr="00B32307">
        <w:rPr>
          <w:rFonts w:cs="Times New Roman"/>
          <w:i/>
          <w:iCs/>
          <w:lang w:val="en-GB"/>
        </w:rPr>
        <w:t xml:space="preserve">Journal of Developmental &amp; </w:t>
      </w:r>
      <w:r w:rsidR="00E958E9" w:rsidRPr="00B32307">
        <w:rPr>
          <w:rFonts w:cs="Times New Roman"/>
          <w:i/>
          <w:iCs/>
          <w:lang w:val="en-GB"/>
        </w:rPr>
        <w:t>Behavioural Paediatrics</w:t>
      </w:r>
      <w:r w:rsidRPr="00B32307">
        <w:rPr>
          <w:rFonts w:cs="Times New Roman"/>
          <w:lang w:val="en-GB"/>
        </w:rPr>
        <w:t xml:space="preserve">, [online] 42(8), pp.682–689. </w:t>
      </w:r>
      <w:hyperlink r:id="rId13" w:history="1">
        <w:r w:rsidRPr="00B32307">
          <w:rPr>
            <w:rStyle w:val="Hyperlink"/>
            <w:rFonts w:cs="Times New Roman"/>
            <w:lang w:val="en-GB"/>
          </w:rPr>
          <w:t>https://doi.org/10.1097/dbp.0000000000000996</w:t>
        </w:r>
      </w:hyperlink>
      <w:r w:rsidRPr="00B32307">
        <w:rPr>
          <w:rFonts w:cs="Times New Roman"/>
          <w:lang w:val="en-GB"/>
        </w:rPr>
        <w:t xml:space="preserve"> </w:t>
      </w:r>
    </w:p>
    <w:p w14:paraId="536F53C3" w14:textId="77777777" w:rsidR="007042DF" w:rsidRPr="00B32307" w:rsidRDefault="007042DF" w:rsidP="007042DF">
      <w:pPr>
        <w:ind w:left="720" w:hanging="720"/>
        <w:rPr>
          <w:rFonts w:cs="Times New Roman"/>
          <w:lang w:val="en-GB"/>
        </w:rPr>
      </w:pPr>
      <w:r w:rsidRPr="00B32307">
        <w:rPr>
          <w:rFonts w:cs="Times New Roman"/>
          <w:lang w:val="en-GB"/>
        </w:rPr>
        <w:t xml:space="preserve">Beazley, P.I., Dewson, H., Butler, M. and Le Marquand, S. (2023). Autism and the Draft Mental Health Bill in England and Wales: Unintended </w:t>
      </w:r>
      <w:r w:rsidR="00E958E9" w:rsidRPr="00B32307">
        <w:rPr>
          <w:rFonts w:cs="Times New Roman"/>
          <w:lang w:val="en-GB"/>
        </w:rPr>
        <w:t>Consequences</w:t>
      </w:r>
      <w:r w:rsidRPr="00B32307">
        <w:rPr>
          <w:rFonts w:cs="Times New Roman"/>
          <w:lang w:val="en-GB"/>
        </w:rPr>
        <w:t xml:space="preserve">? </w:t>
      </w:r>
      <w:r w:rsidRPr="00B32307">
        <w:rPr>
          <w:rFonts w:cs="Times New Roman"/>
          <w:i/>
          <w:iCs/>
          <w:lang w:val="en-GB"/>
        </w:rPr>
        <w:t>Medical Law International</w:t>
      </w:r>
      <w:r w:rsidRPr="00B32307">
        <w:rPr>
          <w:rFonts w:cs="Times New Roman"/>
          <w:lang w:val="en-GB"/>
        </w:rPr>
        <w:t xml:space="preserve">, 23(2), p.096853322311587. </w:t>
      </w:r>
      <w:hyperlink r:id="rId14" w:history="1">
        <w:r w:rsidRPr="00B32307">
          <w:rPr>
            <w:rStyle w:val="Hyperlink"/>
            <w:rFonts w:cs="Times New Roman"/>
            <w:lang w:val="en-GB"/>
          </w:rPr>
          <w:t>https://doi.org/10.1177/09685332231158740</w:t>
        </w:r>
      </w:hyperlink>
      <w:r w:rsidRPr="00B32307">
        <w:rPr>
          <w:rFonts w:cs="Times New Roman"/>
          <w:lang w:val="en-GB"/>
        </w:rPr>
        <w:t xml:space="preserve"> </w:t>
      </w:r>
    </w:p>
    <w:p w14:paraId="70ED4DE8" w14:textId="77777777" w:rsidR="007042DF" w:rsidRPr="00B32307" w:rsidRDefault="007042DF" w:rsidP="007042DF">
      <w:pPr>
        <w:ind w:left="720" w:hanging="720"/>
        <w:rPr>
          <w:rFonts w:cs="Times New Roman"/>
          <w:lang w:val="en-GB"/>
        </w:rPr>
      </w:pPr>
      <w:r w:rsidRPr="00B32307">
        <w:rPr>
          <w:rFonts w:cs="Times New Roman"/>
          <w:lang w:val="en-GB"/>
        </w:rPr>
        <w:t xml:space="preserve">Carpita, B., Nardi, B., Pini, S., Parri, F., Perrone, P., Pronestì, C., Giovannoni, F., Russomanno, G., Bonelli, C., Massimetti, G., Cremone, I.M., Fiorillo, A. and Dell’Osso, L. (2025). Social camouflaging of autistic traits is associated with more severe symptoms among subjects with feeding and eating disorders. </w:t>
      </w:r>
      <w:r w:rsidRPr="00B32307">
        <w:rPr>
          <w:rFonts w:cs="Times New Roman"/>
          <w:i/>
          <w:iCs/>
          <w:lang w:val="en-GB"/>
        </w:rPr>
        <w:t>Eating and Weight Disorders - Studies on Anorexia, Bulimia and Obesity</w:t>
      </w:r>
      <w:r w:rsidRPr="00B32307">
        <w:rPr>
          <w:rFonts w:cs="Times New Roman"/>
          <w:lang w:val="en-GB"/>
        </w:rPr>
        <w:t xml:space="preserve">, [online] 30(1). </w:t>
      </w:r>
      <w:hyperlink r:id="rId15" w:history="1">
        <w:r w:rsidRPr="00B32307">
          <w:rPr>
            <w:rStyle w:val="Hyperlink"/>
            <w:rFonts w:cs="Times New Roman"/>
            <w:lang w:val="en-GB"/>
          </w:rPr>
          <w:t>https://doi.org/10.1007/s40519-025-01785-6</w:t>
        </w:r>
      </w:hyperlink>
      <w:r w:rsidRPr="00B32307">
        <w:rPr>
          <w:rFonts w:cs="Times New Roman"/>
          <w:lang w:val="en-GB"/>
        </w:rPr>
        <w:t xml:space="preserve"> </w:t>
      </w:r>
    </w:p>
    <w:p w14:paraId="5AD2B6F7" w14:textId="77777777" w:rsidR="007042DF" w:rsidRPr="00B32307" w:rsidRDefault="007042DF" w:rsidP="007042DF">
      <w:pPr>
        <w:ind w:left="720" w:hanging="720"/>
        <w:rPr>
          <w:rFonts w:cs="Times New Roman"/>
          <w:lang w:val="en-GB"/>
        </w:rPr>
      </w:pPr>
      <w:r w:rsidRPr="00B32307">
        <w:rPr>
          <w:rFonts w:cs="Times New Roman"/>
          <w:lang w:val="en-GB"/>
        </w:rPr>
        <w:t xml:space="preserve">Cook, J., Crane, L., Bourne, L., Hull, L. and Mandy, W. (2021). Camouflaging in an everyday social context: An interpersonal recall study. </w:t>
      </w:r>
      <w:r w:rsidRPr="00B32307">
        <w:rPr>
          <w:rFonts w:cs="Times New Roman"/>
          <w:i/>
          <w:iCs/>
          <w:lang w:val="en-GB"/>
        </w:rPr>
        <w:t>Autism</w:t>
      </w:r>
      <w:r w:rsidRPr="00B32307">
        <w:rPr>
          <w:rFonts w:cs="Times New Roman"/>
          <w:lang w:val="en-GB"/>
        </w:rPr>
        <w:t xml:space="preserve">, [online] 25(5), pp.1444–1456. </w:t>
      </w:r>
      <w:hyperlink r:id="rId16" w:history="1">
        <w:r w:rsidRPr="00B32307">
          <w:rPr>
            <w:rStyle w:val="Hyperlink"/>
            <w:rFonts w:cs="Times New Roman"/>
            <w:lang w:val="en-GB"/>
          </w:rPr>
          <w:t>https://doi.org/10.1177/1362361321992641</w:t>
        </w:r>
      </w:hyperlink>
      <w:r w:rsidRPr="00B32307">
        <w:rPr>
          <w:rFonts w:cs="Times New Roman"/>
          <w:lang w:val="en-GB"/>
        </w:rPr>
        <w:t xml:space="preserve"> </w:t>
      </w:r>
    </w:p>
    <w:p w14:paraId="60C1FAF8" w14:textId="77777777" w:rsidR="007042DF" w:rsidRPr="00B32307" w:rsidRDefault="007042DF" w:rsidP="007042DF">
      <w:pPr>
        <w:ind w:left="720" w:hanging="720"/>
        <w:rPr>
          <w:rFonts w:cs="Times New Roman"/>
          <w:lang w:val="en-GB"/>
        </w:rPr>
      </w:pPr>
      <w:r w:rsidRPr="00B32307">
        <w:rPr>
          <w:rFonts w:cs="Times New Roman"/>
          <w:lang w:val="en-GB"/>
        </w:rPr>
        <w:t xml:space="preserve">Davies, H. (2022). ‘Autism is a way of being’: An ‘insider perspective’ on neurodiversity, music therapy and social justice. </w:t>
      </w:r>
      <w:r w:rsidRPr="00B32307">
        <w:rPr>
          <w:rFonts w:cs="Times New Roman"/>
          <w:i/>
          <w:iCs/>
          <w:lang w:val="en-GB"/>
        </w:rPr>
        <w:t>British Journal of Music Therapy</w:t>
      </w:r>
      <w:r w:rsidRPr="00B32307">
        <w:rPr>
          <w:rFonts w:cs="Times New Roman"/>
          <w:lang w:val="en-GB"/>
        </w:rPr>
        <w:t xml:space="preserve">, [online] 36(1), pp.16–26. </w:t>
      </w:r>
      <w:hyperlink r:id="rId17" w:history="1">
        <w:r w:rsidRPr="00B32307">
          <w:rPr>
            <w:rStyle w:val="Hyperlink"/>
            <w:rFonts w:cs="Times New Roman"/>
            <w:lang w:val="en-GB"/>
          </w:rPr>
          <w:t>https://doi.org/10.1177/13594575221090182</w:t>
        </w:r>
      </w:hyperlink>
      <w:r w:rsidRPr="00B32307">
        <w:rPr>
          <w:rFonts w:cs="Times New Roman"/>
          <w:lang w:val="en-GB"/>
        </w:rPr>
        <w:t xml:space="preserve"> </w:t>
      </w:r>
    </w:p>
    <w:p w14:paraId="0CC5E2C0" w14:textId="77777777" w:rsidR="007042DF" w:rsidRPr="00B32307" w:rsidRDefault="007042DF" w:rsidP="007042DF">
      <w:pPr>
        <w:ind w:left="720" w:hanging="720"/>
        <w:rPr>
          <w:rFonts w:cs="Times New Roman"/>
          <w:lang w:val="en-GB"/>
        </w:rPr>
      </w:pPr>
      <w:r w:rsidRPr="00B32307">
        <w:rPr>
          <w:rFonts w:cs="Times New Roman"/>
          <w:lang w:val="en-GB"/>
        </w:rPr>
        <w:t xml:space="preserve">Frost, D.M. and Meyer, I.H. (2023). Minority stress theory: Application, critique, and continued relevance. </w:t>
      </w:r>
      <w:r w:rsidRPr="00B32307">
        <w:rPr>
          <w:rFonts w:cs="Times New Roman"/>
          <w:i/>
          <w:iCs/>
          <w:lang w:val="en-GB"/>
        </w:rPr>
        <w:t>Current Opinion in Psychology</w:t>
      </w:r>
      <w:r w:rsidRPr="00B32307">
        <w:rPr>
          <w:rFonts w:cs="Times New Roman"/>
          <w:lang w:val="en-GB"/>
        </w:rPr>
        <w:t xml:space="preserve">, [online] 51, p.101579. </w:t>
      </w:r>
      <w:hyperlink r:id="rId18" w:history="1">
        <w:r w:rsidRPr="00B32307">
          <w:rPr>
            <w:rStyle w:val="Hyperlink"/>
            <w:rFonts w:cs="Times New Roman"/>
            <w:lang w:val="en-GB"/>
          </w:rPr>
          <w:t>https://doi.org/10.1016/j.copsyc.2023.101579</w:t>
        </w:r>
      </w:hyperlink>
      <w:r w:rsidRPr="00B32307">
        <w:rPr>
          <w:rFonts w:cs="Times New Roman"/>
          <w:lang w:val="en-GB"/>
        </w:rPr>
        <w:t xml:space="preserve"> </w:t>
      </w:r>
    </w:p>
    <w:p w14:paraId="1E988D62" w14:textId="77777777" w:rsidR="007042DF" w:rsidRPr="00B32307" w:rsidRDefault="007042DF" w:rsidP="007042DF">
      <w:pPr>
        <w:ind w:left="720" w:hanging="720"/>
        <w:rPr>
          <w:rFonts w:cs="Times New Roman"/>
          <w:lang w:val="en-GB"/>
        </w:rPr>
      </w:pPr>
      <w:r w:rsidRPr="00B32307">
        <w:rPr>
          <w:rFonts w:cs="Times New Roman"/>
          <w:lang w:val="en-GB"/>
        </w:rPr>
        <w:t xml:space="preserve">Gongora-Salazar, P., Glogowska, M., Fitzpatrick, R., Perera, R. and Tsiachristas, A. (2022). Commissioning [Integrated] Care in England: An Analysis of the Current Decision Context. </w:t>
      </w:r>
      <w:r w:rsidRPr="00B32307">
        <w:rPr>
          <w:rFonts w:cs="Times New Roman"/>
          <w:i/>
          <w:iCs/>
          <w:lang w:val="en-GB"/>
        </w:rPr>
        <w:t>International Journal of Integrated Care</w:t>
      </w:r>
      <w:r w:rsidRPr="00B32307">
        <w:rPr>
          <w:rFonts w:cs="Times New Roman"/>
          <w:lang w:val="en-GB"/>
        </w:rPr>
        <w:t xml:space="preserve">, [online] 22(4), p.3. </w:t>
      </w:r>
      <w:hyperlink r:id="rId19" w:history="1">
        <w:r w:rsidRPr="00B32307">
          <w:rPr>
            <w:rStyle w:val="Hyperlink"/>
            <w:rFonts w:cs="Times New Roman"/>
            <w:lang w:val="en-GB"/>
          </w:rPr>
          <w:t>https://doi.org/10.5334/ijic.6693</w:t>
        </w:r>
      </w:hyperlink>
      <w:r w:rsidRPr="00B32307">
        <w:rPr>
          <w:rFonts w:cs="Times New Roman"/>
          <w:lang w:val="en-GB"/>
        </w:rPr>
        <w:t xml:space="preserve"> </w:t>
      </w:r>
    </w:p>
    <w:p w14:paraId="5D74B3D4" w14:textId="77777777" w:rsidR="007042DF" w:rsidRPr="00B32307" w:rsidRDefault="007042DF" w:rsidP="007042DF">
      <w:pPr>
        <w:ind w:left="720" w:hanging="720"/>
        <w:rPr>
          <w:rFonts w:cs="Times New Roman"/>
          <w:lang w:val="en-GB"/>
        </w:rPr>
      </w:pPr>
      <w:r w:rsidRPr="00B32307">
        <w:rPr>
          <w:rFonts w:cs="Times New Roman"/>
          <w:lang w:val="en-GB"/>
        </w:rPr>
        <w:t xml:space="preserve">Gucciardi, D.F., Crane, M.F., Riddell, H. and Mansell, W. (2026). Toward an integrative perspective of personalised stress regulation: insights from perceptual control theory. </w:t>
      </w:r>
      <w:r w:rsidRPr="00B32307">
        <w:rPr>
          <w:rFonts w:cs="Times New Roman"/>
          <w:i/>
          <w:iCs/>
          <w:lang w:val="en-GB"/>
        </w:rPr>
        <w:t>Health Psychology Review</w:t>
      </w:r>
      <w:r w:rsidRPr="00B32307">
        <w:rPr>
          <w:rFonts w:cs="Times New Roman"/>
          <w:lang w:val="en-GB"/>
        </w:rPr>
        <w:t xml:space="preserve">, pp.1–25. </w:t>
      </w:r>
      <w:hyperlink r:id="rId20" w:history="1">
        <w:r w:rsidRPr="00B32307">
          <w:rPr>
            <w:rStyle w:val="Hyperlink"/>
            <w:rFonts w:cs="Times New Roman"/>
            <w:lang w:val="en-GB"/>
          </w:rPr>
          <w:t>https://doi.org/10.1080/17437199.2026.2619026</w:t>
        </w:r>
      </w:hyperlink>
      <w:r w:rsidRPr="00B32307">
        <w:rPr>
          <w:rFonts w:cs="Times New Roman"/>
          <w:lang w:val="en-GB"/>
        </w:rPr>
        <w:t xml:space="preserve"> </w:t>
      </w:r>
    </w:p>
    <w:p w14:paraId="6123B3F1" w14:textId="77777777" w:rsidR="007042DF" w:rsidRPr="00B32307" w:rsidRDefault="007042DF" w:rsidP="007042DF">
      <w:pPr>
        <w:ind w:left="720" w:hanging="720"/>
        <w:rPr>
          <w:rFonts w:cs="Times New Roman"/>
          <w:lang w:val="en-GB"/>
        </w:rPr>
      </w:pPr>
      <w:r w:rsidRPr="00B32307">
        <w:rPr>
          <w:rFonts w:cs="Times New Roman"/>
          <w:lang w:val="en-GB"/>
        </w:rPr>
        <w:t xml:space="preserve">Hu, C., Cao, R., Huang, J. and Wei, Y. (2022). The Effect of Self-Discrepancy on Online </w:t>
      </w:r>
      <w:r w:rsidR="00E958E9" w:rsidRPr="00B32307">
        <w:rPr>
          <w:rFonts w:cs="Times New Roman"/>
          <w:lang w:val="en-GB"/>
        </w:rPr>
        <w:t>Behaviour</w:t>
      </w:r>
      <w:r w:rsidRPr="00B32307">
        <w:rPr>
          <w:rFonts w:cs="Times New Roman"/>
          <w:lang w:val="en-GB"/>
        </w:rPr>
        <w:t xml:space="preserve">: A Literature Review. </w:t>
      </w:r>
      <w:r w:rsidRPr="00B32307">
        <w:rPr>
          <w:rFonts w:cs="Times New Roman"/>
          <w:i/>
          <w:iCs/>
          <w:lang w:val="en-GB"/>
        </w:rPr>
        <w:t>Frontiers in Psychology</w:t>
      </w:r>
      <w:r w:rsidRPr="00B32307">
        <w:rPr>
          <w:rFonts w:cs="Times New Roman"/>
          <w:lang w:val="en-GB"/>
        </w:rPr>
        <w:t xml:space="preserve">, [online] 13. </w:t>
      </w:r>
      <w:hyperlink r:id="rId21" w:history="1">
        <w:r w:rsidRPr="00B32307">
          <w:rPr>
            <w:rStyle w:val="Hyperlink"/>
            <w:rFonts w:cs="Times New Roman"/>
            <w:lang w:val="en-GB"/>
          </w:rPr>
          <w:t>https://doi.org/10.3389/fpsyg.2022.883736</w:t>
        </w:r>
      </w:hyperlink>
      <w:r w:rsidRPr="00B32307">
        <w:rPr>
          <w:rFonts w:cs="Times New Roman"/>
          <w:lang w:val="en-GB"/>
        </w:rPr>
        <w:t xml:space="preserve"> </w:t>
      </w:r>
    </w:p>
    <w:p w14:paraId="31BAFBEB" w14:textId="77777777" w:rsidR="007042DF" w:rsidRPr="00B32307" w:rsidRDefault="007042DF" w:rsidP="007042DF">
      <w:pPr>
        <w:ind w:left="720" w:hanging="720"/>
        <w:rPr>
          <w:rFonts w:cs="Times New Roman"/>
          <w:lang w:val="en-GB"/>
        </w:rPr>
      </w:pPr>
      <w:r w:rsidRPr="00B32307">
        <w:rPr>
          <w:rFonts w:cs="Times New Roman"/>
          <w:lang w:val="en-GB"/>
        </w:rPr>
        <w:t xml:space="preserve">Hull, L., Levy, L., Lai, M.-C., Petrides, K.V., Baron-Cohen, S., Allison, C., Smith, P. and Mandy, W. (2021). Is social camouflaging associated with anxiety and depression in autistic adults? </w:t>
      </w:r>
      <w:r w:rsidRPr="00B32307">
        <w:rPr>
          <w:rFonts w:cs="Times New Roman"/>
          <w:i/>
          <w:iCs/>
          <w:lang w:val="en-GB"/>
        </w:rPr>
        <w:t>Molecular Autism</w:t>
      </w:r>
      <w:r w:rsidRPr="00B32307">
        <w:rPr>
          <w:rFonts w:cs="Times New Roman"/>
          <w:lang w:val="en-GB"/>
        </w:rPr>
        <w:t xml:space="preserve">, [online] 12(1). </w:t>
      </w:r>
      <w:hyperlink r:id="rId22" w:history="1">
        <w:r w:rsidRPr="00B32307">
          <w:rPr>
            <w:rStyle w:val="Hyperlink"/>
            <w:rFonts w:cs="Times New Roman"/>
            <w:lang w:val="en-GB"/>
          </w:rPr>
          <w:t>https://doi.org/10.1186/s13229-021-00421-1</w:t>
        </w:r>
      </w:hyperlink>
      <w:r w:rsidRPr="00B32307">
        <w:rPr>
          <w:rFonts w:cs="Times New Roman"/>
          <w:lang w:val="en-GB"/>
        </w:rPr>
        <w:t xml:space="preserve"> </w:t>
      </w:r>
    </w:p>
    <w:p w14:paraId="6D5F3844" w14:textId="77777777" w:rsidR="007042DF" w:rsidRPr="00B32307" w:rsidRDefault="007042DF" w:rsidP="007042DF">
      <w:pPr>
        <w:ind w:left="720" w:hanging="720"/>
        <w:rPr>
          <w:rFonts w:cs="Times New Roman"/>
          <w:lang w:val="en-GB"/>
        </w:rPr>
      </w:pPr>
      <w:r w:rsidRPr="00B32307">
        <w:rPr>
          <w:rFonts w:cs="Times New Roman"/>
          <w:lang w:val="en-GB"/>
        </w:rPr>
        <w:t xml:space="preserve">Hulscher, N., Leake, J., Troupe, S. and McCullough, P.A. (2025). Determinants of Autism Spectrum Disorder. </w:t>
      </w:r>
      <w:r w:rsidRPr="00B32307">
        <w:rPr>
          <w:rFonts w:cs="Times New Roman"/>
          <w:i/>
          <w:iCs/>
          <w:lang w:val="en-GB"/>
        </w:rPr>
        <w:t>ResearchGate</w:t>
      </w:r>
      <w:r w:rsidRPr="00B32307">
        <w:rPr>
          <w:rFonts w:cs="Times New Roman"/>
          <w:lang w:val="en-GB"/>
        </w:rPr>
        <w:t xml:space="preserve">. [online] </w:t>
      </w:r>
      <w:hyperlink r:id="rId23" w:history="1">
        <w:r w:rsidRPr="00B32307">
          <w:rPr>
            <w:rStyle w:val="Hyperlink"/>
            <w:rFonts w:cs="Times New Roman"/>
            <w:lang w:val="en-GB"/>
          </w:rPr>
          <w:t>https://doi.org/10.5281/zenodo.17451259</w:t>
        </w:r>
      </w:hyperlink>
      <w:r w:rsidRPr="00B32307">
        <w:rPr>
          <w:rFonts w:cs="Times New Roman"/>
          <w:lang w:val="en-GB"/>
        </w:rPr>
        <w:t xml:space="preserve"> </w:t>
      </w:r>
    </w:p>
    <w:p w14:paraId="78FE76FF" w14:textId="77777777" w:rsidR="007042DF" w:rsidRPr="00B32307" w:rsidRDefault="007042DF" w:rsidP="007042DF">
      <w:pPr>
        <w:ind w:left="720" w:hanging="720"/>
        <w:rPr>
          <w:rFonts w:cs="Times New Roman"/>
          <w:lang w:val="en-GB"/>
        </w:rPr>
      </w:pPr>
      <w:r w:rsidRPr="00B32307">
        <w:rPr>
          <w:rFonts w:cs="Times New Roman"/>
          <w:lang w:val="en-GB"/>
        </w:rPr>
        <w:t xml:space="preserve">Hussin, H., Abas, N., Yuliawan, R. and Hussin, H. (2025). THE SOCIAL MEDIA PARADOX: NAVIGATING SELF-ESTEEM, PHUBBING, AND PROCRASTINATION IN A DIGITAL AGE. </w:t>
      </w:r>
      <w:r w:rsidRPr="00B32307">
        <w:rPr>
          <w:rFonts w:cs="Times New Roman"/>
          <w:i/>
          <w:iCs/>
          <w:lang w:val="en-GB"/>
        </w:rPr>
        <w:t xml:space="preserve">International Journal of Education, Psychology and </w:t>
      </w:r>
      <w:r w:rsidR="00E958E9" w:rsidRPr="00B32307">
        <w:rPr>
          <w:rFonts w:cs="Times New Roman"/>
          <w:i/>
          <w:iCs/>
          <w:lang w:val="en-GB"/>
        </w:rPr>
        <w:t>Counselling</w:t>
      </w:r>
      <w:r w:rsidRPr="00B32307">
        <w:rPr>
          <w:rFonts w:cs="Times New Roman"/>
          <w:lang w:val="en-GB"/>
        </w:rPr>
        <w:t xml:space="preserve">, 10(57), pp.470–486. </w:t>
      </w:r>
      <w:hyperlink r:id="rId24" w:history="1">
        <w:r w:rsidRPr="00B32307">
          <w:rPr>
            <w:rStyle w:val="Hyperlink"/>
            <w:rFonts w:cs="Times New Roman"/>
            <w:lang w:val="en-GB"/>
          </w:rPr>
          <w:t>https://doi.org/10.35631/ijepc.1057030</w:t>
        </w:r>
      </w:hyperlink>
      <w:r w:rsidRPr="00B32307">
        <w:rPr>
          <w:rFonts w:cs="Times New Roman"/>
          <w:lang w:val="en-GB"/>
        </w:rPr>
        <w:t xml:space="preserve"> </w:t>
      </w:r>
    </w:p>
    <w:p w14:paraId="5527FCDC" w14:textId="77777777" w:rsidR="007042DF" w:rsidRPr="00B32307" w:rsidRDefault="007042DF" w:rsidP="007042DF">
      <w:pPr>
        <w:ind w:left="720" w:hanging="720"/>
        <w:rPr>
          <w:rFonts w:cs="Times New Roman"/>
          <w:lang w:val="en-GB"/>
        </w:rPr>
      </w:pPr>
      <w:r w:rsidRPr="00B32307">
        <w:rPr>
          <w:rFonts w:cs="Times New Roman"/>
          <w:lang w:val="en-GB"/>
        </w:rPr>
        <w:t xml:space="preserve">Karwowska, E. and Majewski, P. (2025). Teal and neurodiverse organisations: leveraging teal management practices to foster workplace neurodiversity. </w:t>
      </w:r>
      <w:r w:rsidRPr="00B32307">
        <w:rPr>
          <w:rFonts w:cs="Times New Roman"/>
          <w:i/>
          <w:iCs/>
          <w:lang w:val="en-GB"/>
        </w:rPr>
        <w:t>Employee Relations: The International Journal</w:t>
      </w:r>
      <w:r w:rsidRPr="00B32307">
        <w:rPr>
          <w:rFonts w:cs="Times New Roman"/>
          <w:lang w:val="en-GB"/>
        </w:rPr>
        <w:t xml:space="preserve">, 47(9), pp.99–121. </w:t>
      </w:r>
      <w:hyperlink r:id="rId25" w:history="1">
        <w:r w:rsidRPr="00B32307">
          <w:rPr>
            <w:rStyle w:val="Hyperlink"/>
            <w:rFonts w:cs="Times New Roman"/>
            <w:lang w:val="en-GB"/>
          </w:rPr>
          <w:t>https://doi.org/10.1108/er-12-2024-0731</w:t>
        </w:r>
      </w:hyperlink>
      <w:r w:rsidRPr="00B32307">
        <w:rPr>
          <w:rFonts w:cs="Times New Roman"/>
          <w:lang w:val="en-GB"/>
        </w:rPr>
        <w:t xml:space="preserve"> </w:t>
      </w:r>
    </w:p>
    <w:p w14:paraId="7A1C773C" w14:textId="77777777" w:rsidR="007042DF" w:rsidRPr="00B32307" w:rsidRDefault="007042DF" w:rsidP="007042DF">
      <w:pPr>
        <w:ind w:left="720" w:hanging="720"/>
        <w:rPr>
          <w:rFonts w:cs="Times New Roman"/>
          <w:lang w:val="en-GB"/>
        </w:rPr>
      </w:pPr>
      <w:r w:rsidRPr="00B32307">
        <w:rPr>
          <w:rFonts w:cs="Times New Roman"/>
          <w:lang w:val="en-GB"/>
        </w:rPr>
        <w:t xml:space="preserve">Kentrou, V., Livingston, L.A., Grove, R., Hoekstra, R.A. and Begeer, S. (2024). Perceived misdiagnosis of psychiatric conditions in autistic adults. </w:t>
      </w:r>
      <w:r w:rsidRPr="00B32307">
        <w:rPr>
          <w:rFonts w:cs="Times New Roman"/>
          <w:i/>
          <w:iCs/>
          <w:lang w:val="en-GB"/>
        </w:rPr>
        <w:t>eClinicalMedicine</w:t>
      </w:r>
      <w:r w:rsidRPr="00B32307">
        <w:rPr>
          <w:rFonts w:cs="Times New Roman"/>
          <w:lang w:val="en-GB"/>
        </w:rPr>
        <w:t xml:space="preserve">, [online] 71, p.102586. </w:t>
      </w:r>
      <w:hyperlink r:id="rId26" w:history="1">
        <w:r w:rsidRPr="00B32307">
          <w:rPr>
            <w:rStyle w:val="Hyperlink"/>
            <w:rFonts w:cs="Times New Roman"/>
            <w:lang w:val="en-GB"/>
          </w:rPr>
          <w:t>https://doi.org/10.1016/j.eclinm.2024.102586</w:t>
        </w:r>
      </w:hyperlink>
      <w:r w:rsidRPr="00B32307">
        <w:rPr>
          <w:rFonts w:cs="Times New Roman"/>
          <w:lang w:val="en-GB"/>
        </w:rPr>
        <w:t xml:space="preserve"> </w:t>
      </w:r>
    </w:p>
    <w:p w14:paraId="3117278B" w14:textId="77777777" w:rsidR="007042DF" w:rsidRPr="00B32307" w:rsidRDefault="007042DF" w:rsidP="007042DF">
      <w:pPr>
        <w:ind w:left="720" w:hanging="720"/>
        <w:rPr>
          <w:rFonts w:cs="Times New Roman"/>
          <w:lang w:val="en-GB"/>
        </w:rPr>
      </w:pPr>
      <w:r w:rsidRPr="00B32307">
        <w:rPr>
          <w:rFonts w:cs="Times New Roman"/>
          <w:lang w:val="en-GB"/>
        </w:rPr>
        <w:t xml:space="preserve">Khudiakova, V., Alexandrovsky, M., Ai, W. and Lai, M. (2024). What We Know and Do Not Know About Camouflaging, Impression Management, and Mental Health and </w:t>
      </w:r>
      <w:r w:rsidR="00E958E9" w:rsidRPr="00B32307">
        <w:rPr>
          <w:rFonts w:cs="Times New Roman"/>
          <w:lang w:val="en-GB"/>
        </w:rPr>
        <w:t>Well-being</w:t>
      </w:r>
      <w:r w:rsidRPr="00B32307">
        <w:rPr>
          <w:rFonts w:cs="Times New Roman"/>
          <w:lang w:val="en-GB"/>
        </w:rPr>
        <w:t xml:space="preserve"> in Autistic People. </w:t>
      </w:r>
      <w:r w:rsidRPr="00B32307">
        <w:rPr>
          <w:rFonts w:cs="Times New Roman"/>
          <w:i/>
          <w:iCs/>
          <w:lang w:val="en-GB"/>
        </w:rPr>
        <w:t>Autism Research</w:t>
      </w:r>
      <w:r w:rsidRPr="00B32307">
        <w:rPr>
          <w:rFonts w:cs="Times New Roman"/>
          <w:lang w:val="en-GB"/>
        </w:rPr>
        <w:t xml:space="preserve">, [online] 18(2), pp.273–280. </w:t>
      </w:r>
      <w:hyperlink r:id="rId27" w:history="1">
        <w:r w:rsidRPr="00B32307">
          <w:rPr>
            <w:rStyle w:val="Hyperlink"/>
            <w:rFonts w:cs="Times New Roman"/>
            <w:lang w:val="en-GB"/>
          </w:rPr>
          <w:t>https://doi.org/10.1002/aur.3299</w:t>
        </w:r>
      </w:hyperlink>
      <w:r w:rsidRPr="00B32307">
        <w:rPr>
          <w:rFonts w:cs="Times New Roman"/>
          <w:lang w:val="en-GB"/>
        </w:rPr>
        <w:t xml:space="preserve"> </w:t>
      </w:r>
    </w:p>
    <w:p w14:paraId="6054C4CE" w14:textId="77777777" w:rsidR="007042DF" w:rsidRPr="00B32307" w:rsidRDefault="007042DF" w:rsidP="007042DF">
      <w:pPr>
        <w:ind w:left="720" w:hanging="720"/>
        <w:rPr>
          <w:rFonts w:cs="Times New Roman"/>
          <w:lang w:val="en-GB"/>
        </w:rPr>
      </w:pPr>
      <w:r w:rsidRPr="00B32307">
        <w:rPr>
          <w:rFonts w:cs="Times New Roman"/>
          <w:lang w:val="en-GB"/>
        </w:rPr>
        <w:t xml:space="preserve">Klein, N.D., Bravo, A.J., Conway, C.C., Keough, M.T., Pilatti, A., Mezquita, L., Bravo, A.J., Conway, C.C., Henson, J.M., Hogarth, L., Ibáñez, M.I., Kaminer, D., Keough, M., Mezquita, L., Ortet, G., Pearson, M.R., Pilatti, A., Prince, M.A., Read, J.P. and Roozen, H.G. (2024). Individualism, collectivism, and emotion regulation: a cross-cultural examination among young adults from seven countries. </w:t>
      </w:r>
      <w:r w:rsidRPr="00B32307">
        <w:rPr>
          <w:rFonts w:cs="Times New Roman"/>
          <w:i/>
          <w:iCs/>
          <w:lang w:val="en-GB"/>
        </w:rPr>
        <w:t>Current Psychology</w:t>
      </w:r>
      <w:r w:rsidRPr="00B32307">
        <w:rPr>
          <w:rFonts w:cs="Times New Roman"/>
          <w:lang w:val="en-GB"/>
        </w:rPr>
        <w:t xml:space="preserve">, [online] 43(31), pp.26007–26018. </w:t>
      </w:r>
      <w:hyperlink r:id="rId28" w:history="1">
        <w:r w:rsidRPr="00B32307">
          <w:rPr>
            <w:rStyle w:val="Hyperlink"/>
            <w:rFonts w:cs="Times New Roman"/>
            <w:lang w:val="en-GB"/>
          </w:rPr>
          <w:t>https://doi.org/10.1007/s12144-024-06226-8</w:t>
        </w:r>
      </w:hyperlink>
      <w:r w:rsidRPr="00B32307">
        <w:rPr>
          <w:rFonts w:cs="Times New Roman"/>
          <w:lang w:val="en-GB"/>
        </w:rPr>
        <w:t xml:space="preserve"> </w:t>
      </w:r>
    </w:p>
    <w:p w14:paraId="2F0EED5A" w14:textId="77777777" w:rsidR="007042DF" w:rsidRPr="00B32307" w:rsidRDefault="007042DF" w:rsidP="007042DF">
      <w:pPr>
        <w:ind w:left="720" w:hanging="720"/>
        <w:rPr>
          <w:rFonts w:cs="Times New Roman"/>
          <w:lang w:val="en-GB"/>
        </w:rPr>
      </w:pPr>
      <w:r w:rsidRPr="00B32307">
        <w:rPr>
          <w:rFonts w:cs="Times New Roman"/>
          <w:lang w:val="en-GB"/>
        </w:rPr>
        <w:t xml:space="preserve">Krishnan, S.G. and Orsmond, G.I. (2025). Advancing the understanding of mental health in autistic youth: Implications from developmental psychopathology and neurodiversity perspectives. </w:t>
      </w:r>
      <w:r w:rsidRPr="00B32307">
        <w:rPr>
          <w:rFonts w:cs="Times New Roman"/>
          <w:i/>
          <w:iCs/>
          <w:lang w:val="en-GB"/>
        </w:rPr>
        <w:t>Research in Autism</w:t>
      </w:r>
      <w:r w:rsidRPr="00B32307">
        <w:rPr>
          <w:rFonts w:cs="Times New Roman"/>
          <w:lang w:val="en-GB"/>
        </w:rPr>
        <w:t xml:space="preserve">, [online] 128, p.202717. </w:t>
      </w:r>
      <w:hyperlink r:id="rId29" w:history="1">
        <w:r w:rsidRPr="00B32307">
          <w:rPr>
            <w:rStyle w:val="Hyperlink"/>
            <w:rFonts w:cs="Times New Roman"/>
            <w:lang w:val="en-GB"/>
          </w:rPr>
          <w:t>https://doi.org/10.1016/j.reia.2025.202717</w:t>
        </w:r>
      </w:hyperlink>
      <w:r w:rsidRPr="00B32307">
        <w:rPr>
          <w:rFonts w:cs="Times New Roman"/>
          <w:lang w:val="en-GB"/>
        </w:rPr>
        <w:t xml:space="preserve"> </w:t>
      </w:r>
    </w:p>
    <w:p w14:paraId="6AB4595A" w14:textId="77777777" w:rsidR="007042DF" w:rsidRPr="00B32307" w:rsidRDefault="007042DF" w:rsidP="007042DF">
      <w:pPr>
        <w:ind w:left="720" w:hanging="720"/>
        <w:rPr>
          <w:rFonts w:cs="Times New Roman"/>
          <w:lang w:val="en-GB"/>
        </w:rPr>
      </w:pPr>
      <w:r w:rsidRPr="00B32307">
        <w:rPr>
          <w:rFonts w:cs="Times New Roman"/>
          <w:lang w:val="en-GB"/>
        </w:rPr>
        <w:t xml:space="preserve">Newell, V., Phillips, L., Jones, C., Townsend, E., Richards, C. and Cassidy, S. (2023). A systematic review and meta-analysis of suicidality in autistic and possibly autistic people without co-occurring intellectual disability. </w:t>
      </w:r>
      <w:r w:rsidRPr="00B32307">
        <w:rPr>
          <w:rFonts w:cs="Times New Roman"/>
          <w:i/>
          <w:iCs/>
          <w:lang w:val="en-GB"/>
        </w:rPr>
        <w:t>Molecular Autism</w:t>
      </w:r>
      <w:r w:rsidRPr="00B32307">
        <w:rPr>
          <w:rFonts w:cs="Times New Roman"/>
          <w:lang w:val="en-GB"/>
        </w:rPr>
        <w:t xml:space="preserve">, [online] 14(1). </w:t>
      </w:r>
      <w:hyperlink r:id="rId30" w:history="1">
        <w:r w:rsidRPr="00B32307">
          <w:rPr>
            <w:rStyle w:val="Hyperlink"/>
            <w:rFonts w:cs="Times New Roman"/>
            <w:lang w:val="en-GB"/>
          </w:rPr>
          <w:t>https://doi.org/10.1186/s13229-023-00544-7</w:t>
        </w:r>
      </w:hyperlink>
      <w:r w:rsidRPr="00B32307">
        <w:rPr>
          <w:rFonts w:cs="Times New Roman"/>
          <w:lang w:val="en-GB"/>
        </w:rPr>
        <w:t xml:space="preserve"> </w:t>
      </w:r>
    </w:p>
    <w:p w14:paraId="23D4D2B9" w14:textId="77777777" w:rsidR="007042DF" w:rsidRPr="00B32307" w:rsidRDefault="007042DF" w:rsidP="007042DF">
      <w:pPr>
        <w:ind w:left="720" w:hanging="720"/>
        <w:rPr>
          <w:rFonts w:cs="Times New Roman"/>
          <w:lang w:val="en-GB"/>
        </w:rPr>
      </w:pPr>
      <w:r w:rsidRPr="00B32307">
        <w:rPr>
          <w:rFonts w:cs="Times New Roman"/>
          <w:lang w:val="en-GB"/>
        </w:rPr>
        <w:t>Noone, C., Keogh, B. and Buggy, C.J., (2018). </w:t>
      </w:r>
      <w:r w:rsidRPr="00B32307">
        <w:rPr>
          <w:rFonts w:cs="Times New Roman"/>
          <w:i/>
          <w:iCs/>
          <w:lang w:val="en-GB"/>
        </w:rPr>
        <w:t>Far from Home: Life as an LGBT migrant in Ireland</w:t>
      </w:r>
      <w:r w:rsidRPr="00B32307">
        <w:rPr>
          <w:rFonts w:cs="Times New Roman"/>
          <w:lang w:val="en-GB"/>
        </w:rPr>
        <w:t xml:space="preserve">. National LGBT Federation. </w:t>
      </w:r>
      <w:hyperlink r:id="rId31" w:history="1">
        <w:r w:rsidRPr="00B32307">
          <w:rPr>
            <w:rStyle w:val="Hyperlink"/>
            <w:rFonts w:cs="Times New Roman"/>
            <w:lang w:val="en-GB"/>
          </w:rPr>
          <w:t>https://doi.org/10.13140/RG.2.2.30604.97926</w:t>
        </w:r>
      </w:hyperlink>
      <w:r w:rsidRPr="00B32307">
        <w:rPr>
          <w:rFonts w:cs="Times New Roman"/>
          <w:lang w:val="en-GB"/>
        </w:rPr>
        <w:t xml:space="preserve"> </w:t>
      </w:r>
    </w:p>
    <w:p w14:paraId="36A4D4CE" w14:textId="77777777" w:rsidR="007042DF" w:rsidRPr="00B32307" w:rsidRDefault="007042DF" w:rsidP="007042DF">
      <w:pPr>
        <w:ind w:left="720" w:hanging="720"/>
        <w:rPr>
          <w:rFonts w:cs="Times New Roman"/>
          <w:lang w:val="en-GB"/>
        </w:rPr>
      </w:pPr>
      <w:r w:rsidRPr="00B32307">
        <w:rPr>
          <w:rFonts w:cs="Times New Roman"/>
          <w:lang w:val="en-GB"/>
        </w:rPr>
        <w:t xml:space="preserve">Oshima, F., Takahashi, T., Tamura, M., Guan, S., Seto, M., Hull, L., Mandy, W., Tsuchiya, K. and Shimizu, E. (2024). The association between social camouflage and mental health among autistic people in Japan and the UK: a cross-cultural study. </w:t>
      </w:r>
      <w:r w:rsidRPr="00B32307">
        <w:rPr>
          <w:rFonts w:cs="Times New Roman"/>
          <w:i/>
          <w:iCs/>
          <w:lang w:val="en-GB"/>
        </w:rPr>
        <w:t>Molecular Autism</w:t>
      </w:r>
      <w:r w:rsidRPr="00B32307">
        <w:rPr>
          <w:rFonts w:cs="Times New Roman"/>
          <w:lang w:val="en-GB"/>
        </w:rPr>
        <w:t xml:space="preserve">, [online] 15(1). </w:t>
      </w:r>
      <w:hyperlink r:id="rId32" w:history="1">
        <w:r w:rsidRPr="00B32307">
          <w:rPr>
            <w:rStyle w:val="Hyperlink"/>
            <w:rFonts w:cs="Times New Roman"/>
            <w:lang w:val="en-GB"/>
          </w:rPr>
          <w:t>https://doi.org/10.1186/s13229-023-00579-w</w:t>
        </w:r>
      </w:hyperlink>
      <w:r w:rsidRPr="00B32307">
        <w:rPr>
          <w:rFonts w:cs="Times New Roman"/>
          <w:lang w:val="en-GB"/>
        </w:rPr>
        <w:t xml:space="preserve"> </w:t>
      </w:r>
    </w:p>
    <w:p w14:paraId="6C84B541" w14:textId="77777777" w:rsidR="007042DF" w:rsidRPr="00B32307" w:rsidRDefault="007042DF" w:rsidP="007042DF">
      <w:pPr>
        <w:ind w:left="720" w:hanging="720"/>
        <w:rPr>
          <w:rFonts w:cs="Times New Roman"/>
          <w:lang w:val="en-GB"/>
        </w:rPr>
      </w:pPr>
      <w:r w:rsidRPr="00B32307">
        <w:rPr>
          <w:rFonts w:cs="Times New Roman"/>
          <w:lang w:val="en-GB"/>
        </w:rPr>
        <w:t xml:space="preserve">Pearson, A. and Rose, K. (2020). A Conceptual Analysis of Autistic Masking: Understanding the Narrative of Stigma and the Illusion of Choice. [online] </w:t>
      </w:r>
      <w:hyperlink r:id="rId33" w:history="1">
        <w:r w:rsidRPr="00B32307">
          <w:rPr>
            <w:rStyle w:val="Hyperlink"/>
            <w:rFonts w:cs="Times New Roman"/>
            <w:lang w:val="en-GB"/>
          </w:rPr>
          <w:t>https://doi.org/10.31219/osf.io/6rwa5</w:t>
        </w:r>
      </w:hyperlink>
      <w:r w:rsidRPr="00B32307">
        <w:rPr>
          <w:rFonts w:cs="Times New Roman"/>
          <w:lang w:val="en-GB"/>
        </w:rPr>
        <w:t xml:space="preserve"> </w:t>
      </w:r>
    </w:p>
    <w:p w14:paraId="3A2A7753" w14:textId="77777777" w:rsidR="007042DF" w:rsidRPr="00B32307" w:rsidRDefault="007042DF" w:rsidP="007042DF">
      <w:pPr>
        <w:ind w:left="720" w:hanging="720"/>
        <w:rPr>
          <w:rFonts w:cs="Times New Roman"/>
          <w:lang w:val="en-GB"/>
        </w:rPr>
      </w:pPr>
      <w:r w:rsidRPr="00B32307">
        <w:rPr>
          <w:rFonts w:cs="Times New Roman"/>
          <w:lang w:val="en-GB"/>
        </w:rPr>
        <w:t xml:space="preserve">Pérez-Arqueros, M., Jamett-Cuevas, V., Pulgar-Vera, V., </w:t>
      </w:r>
      <w:r w:rsidR="00E958E9" w:rsidRPr="00B32307">
        <w:rPr>
          <w:rFonts w:cs="Times New Roman"/>
          <w:lang w:val="en-GB"/>
        </w:rPr>
        <w:t>Santander-González</w:t>
      </w:r>
      <w:r w:rsidRPr="00B32307">
        <w:rPr>
          <w:rFonts w:cs="Times New Roman"/>
          <w:lang w:val="en-GB"/>
        </w:rPr>
        <w:t xml:space="preserve">, R., Pemau, A. </w:t>
      </w:r>
      <w:r w:rsidR="00E958E9" w:rsidRPr="00B32307">
        <w:rPr>
          <w:rFonts w:cs="Times New Roman"/>
          <w:lang w:val="en-GB"/>
        </w:rPr>
        <w:t>y</w:t>
      </w:r>
      <w:r w:rsidRPr="00B32307">
        <w:rPr>
          <w:rFonts w:cs="Times New Roman"/>
          <w:lang w:val="en-GB"/>
        </w:rPr>
        <w:t xml:space="preserve"> Álvarez-Cabrera, P. (2025). Camouflaging and suicide </w:t>
      </w:r>
      <w:r w:rsidR="00F003B9" w:rsidRPr="00B32307">
        <w:rPr>
          <w:rFonts w:cs="Times New Roman"/>
          <w:lang w:val="en-GB"/>
        </w:rPr>
        <w:t>behaviour</w:t>
      </w:r>
      <w:r w:rsidRPr="00B32307">
        <w:rPr>
          <w:rFonts w:cs="Times New Roman"/>
          <w:lang w:val="en-GB"/>
        </w:rPr>
        <w:t xml:space="preserve"> in adults with autism spectrum condition: A mixed methods systematic review. </w:t>
      </w:r>
      <w:r w:rsidRPr="00B32307">
        <w:rPr>
          <w:rFonts w:cs="Times New Roman"/>
          <w:i/>
          <w:iCs/>
          <w:lang w:val="en-GB"/>
        </w:rPr>
        <w:t>Research in Autism</w:t>
      </w:r>
      <w:r w:rsidRPr="00B32307">
        <w:rPr>
          <w:rFonts w:cs="Times New Roman"/>
          <w:lang w:val="en-GB"/>
        </w:rPr>
        <w:t xml:space="preserve">, 121-122, p.202540. </w:t>
      </w:r>
      <w:hyperlink r:id="rId34" w:history="1">
        <w:r w:rsidRPr="00B32307">
          <w:rPr>
            <w:rStyle w:val="Hyperlink"/>
            <w:rFonts w:cs="Times New Roman"/>
            <w:lang w:val="en-GB"/>
          </w:rPr>
          <w:t>https://doi.org/10.1016/j.reia.2025.202540</w:t>
        </w:r>
      </w:hyperlink>
      <w:r w:rsidRPr="00B32307">
        <w:rPr>
          <w:rFonts w:cs="Times New Roman"/>
          <w:lang w:val="en-GB"/>
        </w:rPr>
        <w:t xml:space="preserve"> </w:t>
      </w:r>
    </w:p>
    <w:p w14:paraId="0A30769C" w14:textId="77777777" w:rsidR="007042DF" w:rsidRPr="00B32307" w:rsidRDefault="007042DF" w:rsidP="007042DF">
      <w:pPr>
        <w:ind w:left="720" w:hanging="720"/>
        <w:rPr>
          <w:rFonts w:cs="Times New Roman"/>
          <w:lang w:val="en-GB"/>
        </w:rPr>
      </w:pPr>
      <w:r w:rsidRPr="00B32307">
        <w:rPr>
          <w:rFonts w:cs="Times New Roman"/>
          <w:lang w:val="en-GB"/>
        </w:rPr>
        <w:t xml:space="preserve">Petrolini, V., Rodríguez-Armendariz, E. and Vicente, A. (2023). Autistic camouflaging across the spectrum. </w:t>
      </w:r>
      <w:r w:rsidRPr="00B32307">
        <w:rPr>
          <w:rFonts w:cs="Times New Roman"/>
          <w:i/>
          <w:iCs/>
          <w:lang w:val="en-GB"/>
        </w:rPr>
        <w:t>New Ideas in Psychology</w:t>
      </w:r>
      <w:r w:rsidRPr="00B32307">
        <w:rPr>
          <w:rFonts w:cs="Times New Roman"/>
          <w:lang w:val="en-GB"/>
        </w:rPr>
        <w:t xml:space="preserve">, [online] 68, p.100992. </w:t>
      </w:r>
      <w:hyperlink r:id="rId35" w:history="1">
        <w:r w:rsidRPr="00B32307">
          <w:rPr>
            <w:rStyle w:val="Hyperlink"/>
            <w:rFonts w:cs="Times New Roman"/>
            <w:lang w:val="en-GB"/>
          </w:rPr>
          <w:t>https://doi.org/10.1016/j.newideapsych.2022.100992</w:t>
        </w:r>
      </w:hyperlink>
      <w:r w:rsidRPr="00B32307">
        <w:rPr>
          <w:rFonts w:cs="Times New Roman"/>
          <w:lang w:val="en-GB"/>
        </w:rPr>
        <w:t xml:space="preserve"> </w:t>
      </w:r>
    </w:p>
    <w:p w14:paraId="0042EEC8" w14:textId="77777777" w:rsidR="007042DF" w:rsidRPr="00B32307" w:rsidRDefault="007042DF" w:rsidP="007042DF">
      <w:pPr>
        <w:ind w:left="720" w:hanging="720"/>
        <w:rPr>
          <w:rFonts w:cs="Times New Roman"/>
          <w:lang w:val="en-GB"/>
        </w:rPr>
      </w:pPr>
      <w:r w:rsidRPr="00B32307">
        <w:rPr>
          <w:rFonts w:cs="Times New Roman"/>
          <w:lang w:val="en-GB"/>
        </w:rPr>
        <w:t xml:space="preserve">Pritchard-Rowe, E., de Lemos, C., Howard, K. and Gibson, J. (2024). Autistic adults’ perspectives and experiences of diagnostic assessments that include play across the lifespan. </w:t>
      </w:r>
      <w:r w:rsidRPr="00B32307">
        <w:rPr>
          <w:rFonts w:cs="Times New Roman"/>
          <w:i/>
          <w:iCs/>
          <w:lang w:val="en-GB"/>
        </w:rPr>
        <w:t>Autism</w:t>
      </w:r>
      <w:r w:rsidRPr="00B32307">
        <w:rPr>
          <w:rFonts w:cs="Times New Roman"/>
          <w:lang w:val="en-GB"/>
        </w:rPr>
        <w:t xml:space="preserve">, [online] 29(1), pp.64–75. </w:t>
      </w:r>
      <w:hyperlink r:id="rId36" w:history="1">
        <w:r w:rsidRPr="00B32307">
          <w:rPr>
            <w:rStyle w:val="Hyperlink"/>
            <w:rFonts w:cs="Times New Roman"/>
            <w:lang w:val="en-GB"/>
          </w:rPr>
          <w:t>https://doi.org/10.1177/13623613241257601</w:t>
        </w:r>
      </w:hyperlink>
      <w:r w:rsidRPr="00B32307">
        <w:rPr>
          <w:rFonts w:cs="Times New Roman"/>
          <w:lang w:val="en-GB"/>
        </w:rPr>
        <w:t xml:space="preserve"> </w:t>
      </w:r>
    </w:p>
    <w:p w14:paraId="22CF134C" w14:textId="77777777" w:rsidR="007042DF" w:rsidRPr="00B32307" w:rsidRDefault="007042DF" w:rsidP="007042DF">
      <w:pPr>
        <w:ind w:left="720" w:hanging="720"/>
        <w:rPr>
          <w:rFonts w:cs="Times New Roman"/>
          <w:lang w:val="en-GB"/>
        </w:rPr>
      </w:pPr>
      <w:r w:rsidRPr="00B32307">
        <w:rPr>
          <w:rFonts w:cs="Times New Roman"/>
          <w:lang w:val="en-GB"/>
        </w:rPr>
        <w:t>Pryke-Hobbes, A., Davies, J., Heasman, B., Livesey, A., Walker, A., Pellicano, E. and Remington, A. (2023). The workplace masking experiences of autistic, non-autistic</w:t>
      </w:r>
      <w:r w:rsidR="00F003B9" w:rsidRPr="00B32307">
        <w:rPr>
          <w:rFonts w:cs="Times New Roman"/>
          <w:lang w:val="en-GB"/>
        </w:rPr>
        <w:t>,</w:t>
      </w:r>
      <w:r w:rsidRPr="00B32307">
        <w:rPr>
          <w:rFonts w:cs="Times New Roman"/>
          <w:lang w:val="en-GB"/>
        </w:rPr>
        <w:t xml:space="preserve"> neurodivergent and neurotypical adults in the UK. </w:t>
      </w:r>
      <w:r w:rsidRPr="00B32307">
        <w:rPr>
          <w:rFonts w:cs="Times New Roman"/>
          <w:i/>
          <w:iCs/>
          <w:lang w:val="en-GB"/>
        </w:rPr>
        <w:t>PLOS ONE</w:t>
      </w:r>
      <w:r w:rsidRPr="00B32307">
        <w:rPr>
          <w:rFonts w:cs="Times New Roman"/>
          <w:lang w:val="en-GB"/>
        </w:rPr>
        <w:t xml:space="preserve">, [online] 18(9), p.e0290001. </w:t>
      </w:r>
      <w:hyperlink r:id="rId37" w:history="1">
        <w:r w:rsidRPr="00B32307">
          <w:rPr>
            <w:rStyle w:val="Hyperlink"/>
            <w:rFonts w:cs="Times New Roman"/>
            <w:lang w:val="en-GB"/>
          </w:rPr>
          <w:t>https://doi.org/10.1371/journal.pone.0290001</w:t>
        </w:r>
      </w:hyperlink>
      <w:r w:rsidRPr="00B32307">
        <w:rPr>
          <w:rFonts w:cs="Times New Roman"/>
          <w:lang w:val="en-GB"/>
        </w:rPr>
        <w:t xml:space="preserve"> </w:t>
      </w:r>
    </w:p>
    <w:p w14:paraId="7D241DA1" w14:textId="77777777" w:rsidR="007042DF" w:rsidRPr="00B32307" w:rsidRDefault="007042DF" w:rsidP="007042DF">
      <w:pPr>
        <w:ind w:left="720" w:hanging="720"/>
        <w:rPr>
          <w:rFonts w:cs="Times New Roman"/>
          <w:lang w:val="en-GB"/>
        </w:rPr>
      </w:pPr>
      <w:r w:rsidRPr="00B32307">
        <w:rPr>
          <w:rFonts w:cs="Times New Roman"/>
          <w:lang w:val="en-GB"/>
        </w:rPr>
        <w:t xml:space="preserve">Radev, S., Freeth, M. and Thompson, A.R. (2024). How healthcare systems are experienced by autistic adults in the United Kingdom: A meta-ethnography. </w:t>
      </w:r>
      <w:r w:rsidRPr="00B32307">
        <w:rPr>
          <w:rFonts w:cs="Times New Roman"/>
          <w:i/>
          <w:iCs/>
          <w:lang w:val="en-GB"/>
        </w:rPr>
        <w:t>Autism</w:t>
      </w:r>
      <w:r w:rsidRPr="00B32307">
        <w:rPr>
          <w:rFonts w:cs="Times New Roman"/>
          <w:lang w:val="en-GB"/>
        </w:rPr>
        <w:t xml:space="preserve">, 0(0). </w:t>
      </w:r>
      <w:hyperlink r:id="rId38" w:history="1">
        <w:r w:rsidRPr="00B32307">
          <w:rPr>
            <w:rStyle w:val="Hyperlink"/>
            <w:rFonts w:cs="Times New Roman"/>
            <w:lang w:val="en-GB"/>
          </w:rPr>
          <w:t>https://doi.org/10.1177/13623613241235531</w:t>
        </w:r>
      </w:hyperlink>
      <w:r w:rsidRPr="00B32307">
        <w:rPr>
          <w:rFonts w:cs="Times New Roman"/>
          <w:lang w:val="en-GB"/>
        </w:rPr>
        <w:t xml:space="preserve"> </w:t>
      </w:r>
    </w:p>
    <w:p w14:paraId="6D919B9A" w14:textId="77777777" w:rsidR="007042DF" w:rsidRPr="00B32307" w:rsidRDefault="007042DF" w:rsidP="007042DF">
      <w:pPr>
        <w:ind w:left="720" w:hanging="720"/>
        <w:rPr>
          <w:rFonts w:cs="Times New Roman"/>
          <w:lang w:val="en-GB"/>
        </w:rPr>
      </w:pPr>
      <w:r w:rsidRPr="00B32307">
        <w:rPr>
          <w:rFonts w:cs="Times New Roman"/>
          <w:lang w:val="en-GB"/>
        </w:rPr>
        <w:t xml:space="preserve">Sasaki, M. and Kocha, H. (2025). How did Leo Kanner distinguish early infantile autism from childhood schizophrenia? </w:t>
      </w:r>
      <w:r w:rsidRPr="00B32307">
        <w:rPr>
          <w:rFonts w:cs="Times New Roman"/>
          <w:i/>
          <w:iCs/>
          <w:lang w:val="en-GB"/>
        </w:rPr>
        <w:t>History of Psychiatry</w:t>
      </w:r>
      <w:r w:rsidRPr="00B32307">
        <w:rPr>
          <w:rFonts w:cs="Times New Roman"/>
          <w:lang w:val="en-GB"/>
        </w:rPr>
        <w:t xml:space="preserve">. [online] </w:t>
      </w:r>
      <w:hyperlink r:id="rId39" w:history="1">
        <w:r w:rsidRPr="00B32307">
          <w:rPr>
            <w:rStyle w:val="Hyperlink"/>
            <w:rFonts w:cs="Times New Roman"/>
            <w:lang w:val="en-GB"/>
          </w:rPr>
          <w:t>https://doi.org/10.1177/0957154x251371358</w:t>
        </w:r>
      </w:hyperlink>
      <w:r w:rsidRPr="00B32307">
        <w:rPr>
          <w:rFonts w:cs="Times New Roman"/>
          <w:lang w:val="en-GB"/>
        </w:rPr>
        <w:t xml:space="preserve"> </w:t>
      </w:r>
    </w:p>
    <w:p w14:paraId="060B555D" w14:textId="77777777" w:rsidR="007042DF" w:rsidRPr="00B32307" w:rsidRDefault="007042DF" w:rsidP="007042DF">
      <w:pPr>
        <w:ind w:left="720" w:hanging="720"/>
        <w:rPr>
          <w:rFonts w:cs="Times New Roman"/>
          <w:lang w:val="en-GB"/>
        </w:rPr>
      </w:pPr>
      <w:r w:rsidRPr="00B32307">
        <w:rPr>
          <w:rFonts w:cs="Times New Roman"/>
          <w:lang w:val="en-GB"/>
        </w:rPr>
        <w:t xml:space="preserve">Thorneycroft, R. (2024). Screwing the Social Model of Disability. </w:t>
      </w:r>
      <w:r w:rsidRPr="00B32307">
        <w:rPr>
          <w:rFonts w:cs="Times New Roman"/>
          <w:i/>
          <w:iCs/>
          <w:lang w:val="en-GB"/>
        </w:rPr>
        <w:t>Scandinavian Journal of Disability Research</w:t>
      </w:r>
      <w:r w:rsidRPr="00B32307">
        <w:rPr>
          <w:rFonts w:cs="Times New Roman"/>
          <w:lang w:val="en-GB"/>
        </w:rPr>
        <w:t xml:space="preserve">, [online] 26(1), pp.286–299. </w:t>
      </w:r>
      <w:hyperlink r:id="rId40" w:history="1">
        <w:r w:rsidRPr="00B32307">
          <w:rPr>
            <w:rStyle w:val="Hyperlink"/>
            <w:rFonts w:cs="Times New Roman"/>
            <w:lang w:val="en-GB"/>
          </w:rPr>
          <w:t>https://doi.org/10.16993/sjdr.1130</w:t>
        </w:r>
      </w:hyperlink>
      <w:r w:rsidRPr="00B32307">
        <w:rPr>
          <w:rFonts w:cs="Times New Roman"/>
          <w:lang w:val="en-GB"/>
        </w:rPr>
        <w:t xml:space="preserve"> </w:t>
      </w:r>
    </w:p>
    <w:p w14:paraId="7BD69258" w14:textId="77777777" w:rsidR="007042DF" w:rsidRPr="00B32307" w:rsidRDefault="007042DF" w:rsidP="007042DF">
      <w:pPr>
        <w:ind w:left="720" w:hanging="720"/>
        <w:rPr>
          <w:rFonts w:cs="Times New Roman"/>
          <w:lang w:val="en-GB"/>
        </w:rPr>
      </w:pPr>
      <w:r w:rsidRPr="00B32307">
        <w:rPr>
          <w:rFonts w:cs="Times New Roman"/>
          <w:lang w:val="en-GB"/>
        </w:rPr>
        <w:t xml:space="preserve">Zhuang, S., Diana Weiting Tan, Reddrop, S., Dean, L., Maybery, M.T. and Magiati, I. (2023). Psychosocial factors associated with camouflaging in autistic people and </w:t>
      </w:r>
      <w:r w:rsidR="00F003B9" w:rsidRPr="00B32307">
        <w:rPr>
          <w:rFonts w:cs="Times New Roman"/>
          <w:lang w:val="en-GB"/>
        </w:rPr>
        <w:t>their</w:t>
      </w:r>
      <w:r w:rsidRPr="00B32307">
        <w:rPr>
          <w:rFonts w:cs="Times New Roman"/>
          <w:lang w:val="en-GB"/>
        </w:rPr>
        <w:t xml:space="preserve"> relationship with mental health and well-being: A mixed methods systematic review. </w:t>
      </w:r>
      <w:r w:rsidRPr="00B32307">
        <w:rPr>
          <w:rFonts w:cs="Times New Roman"/>
          <w:i/>
          <w:iCs/>
          <w:lang w:val="en-GB"/>
        </w:rPr>
        <w:t>Clinical Psychology Review</w:t>
      </w:r>
      <w:r w:rsidRPr="00B32307">
        <w:rPr>
          <w:rFonts w:cs="Times New Roman"/>
          <w:lang w:val="en-GB"/>
        </w:rPr>
        <w:t xml:space="preserve">, 105, pp.102335–102335. </w:t>
      </w:r>
      <w:hyperlink r:id="rId41" w:history="1">
        <w:r w:rsidRPr="00B32307">
          <w:rPr>
            <w:rStyle w:val="Hyperlink"/>
            <w:rFonts w:cs="Times New Roman"/>
            <w:lang w:val="en-GB"/>
          </w:rPr>
          <w:t>https://doi.org/10.1016/j.cpr.2023.102335</w:t>
        </w:r>
      </w:hyperlink>
      <w:r w:rsidRPr="00B32307">
        <w:rPr>
          <w:rFonts w:cs="Times New Roman"/>
          <w:lang w:val="en-GB"/>
        </w:rPr>
        <w:t xml:space="preserve"> </w:t>
      </w:r>
    </w:p>
    <w:p w14:paraId="71B937B2" w14:textId="77777777" w:rsidR="007042DF" w:rsidRPr="00B32307" w:rsidRDefault="007042DF">
      <w:pPr>
        <w:spacing w:after="160" w:line="259" w:lineRule="auto"/>
        <w:jc w:val="left"/>
        <w:rPr>
          <w:rFonts w:eastAsiaTheme="majorEastAsia" w:cs="Times New Roman"/>
          <w:b/>
          <w:color w:val="000000" w:themeColor="text1"/>
          <w:szCs w:val="32"/>
          <w:lang w:val="en-GB"/>
        </w:rPr>
      </w:pPr>
      <w:r w:rsidRPr="00B32307">
        <w:rPr>
          <w:rFonts w:cs="Times New Roman"/>
          <w:lang w:val="en-GB"/>
        </w:rPr>
        <w:br w:type="page"/>
      </w:r>
    </w:p>
    <w:p w14:paraId="699A9FEC" w14:textId="77777777" w:rsidR="00E958E9" w:rsidRPr="00B32307" w:rsidRDefault="00E958E9" w:rsidP="007042DF">
      <w:pPr>
        <w:pStyle w:val="Heading1"/>
        <w:rPr>
          <w:rFonts w:cs="Times New Roman"/>
        </w:rPr>
        <w:sectPr w:rsidR="00E958E9" w:rsidRPr="00B32307" w:rsidSect="00E958E9">
          <w:pgSz w:w="12240" w:h="15840"/>
          <w:pgMar w:top="1440" w:right="1440" w:bottom="1440" w:left="1440" w:header="720" w:footer="720" w:gutter="0"/>
          <w:cols w:space="720"/>
          <w:docGrid w:linePitch="360"/>
        </w:sectPr>
      </w:pPr>
    </w:p>
    <w:p w14:paraId="6BF60F1A" w14:textId="77777777" w:rsidR="007042DF" w:rsidRPr="00B32307" w:rsidRDefault="007042DF" w:rsidP="007042DF">
      <w:pPr>
        <w:pStyle w:val="Heading1"/>
        <w:rPr>
          <w:rFonts w:cs="Times New Roman"/>
        </w:rPr>
      </w:pPr>
      <w:bookmarkStart w:id="19" w:name="_Toc223177971"/>
      <w:r w:rsidRPr="00B32307">
        <w:rPr>
          <w:rFonts w:cs="Times New Roman"/>
        </w:rPr>
        <w:t>Appendices</w:t>
      </w:r>
      <w:bookmarkEnd w:id="19"/>
    </w:p>
    <w:p w14:paraId="59AE47A3" w14:textId="77777777" w:rsidR="007042DF" w:rsidRPr="00B32307" w:rsidRDefault="007042DF" w:rsidP="007042DF">
      <w:pPr>
        <w:pStyle w:val="Heading2"/>
        <w:rPr>
          <w:rFonts w:cs="Times New Roman"/>
        </w:rPr>
      </w:pPr>
      <w:bookmarkStart w:id="20" w:name="_Toc223177972"/>
      <w:r w:rsidRPr="00B32307">
        <w:rPr>
          <w:rFonts w:cs="Times New Roman"/>
        </w:rPr>
        <w:t>Appendix A</w:t>
      </w:r>
      <w:bookmarkEnd w:id="20"/>
    </w:p>
    <w:p w14:paraId="0DFF2756" w14:textId="77777777" w:rsidR="00692C30" w:rsidRPr="00B32307" w:rsidRDefault="00692C30" w:rsidP="00692C30">
      <w:pPr>
        <w:pStyle w:val="Caption"/>
        <w:keepNext/>
        <w:rPr>
          <w:rFonts w:cs="Times New Roman"/>
          <w:sz w:val="24"/>
          <w:lang w:val="en-GB"/>
        </w:rPr>
      </w:pPr>
      <w:r w:rsidRPr="00B32307">
        <w:rPr>
          <w:rFonts w:cs="Times New Roman"/>
          <w:sz w:val="24"/>
          <w:lang w:val="en-GB"/>
        </w:rPr>
        <w:t xml:space="preserve">Table </w:t>
      </w:r>
      <w:r w:rsidRPr="00B32307">
        <w:rPr>
          <w:rFonts w:cs="Times New Roman"/>
          <w:sz w:val="24"/>
          <w:lang w:val="en-GB"/>
        </w:rPr>
        <w:fldChar w:fldCharType="begin"/>
      </w:r>
      <w:r w:rsidRPr="00B32307">
        <w:rPr>
          <w:rFonts w:cs="Times New Roman"/>
          <w:sz w:val="24"/>
          <w:lang w:val="en-GB"/>
        </w:rPr>
        <w:instrText xml:space="preserve"> SEQ Table \* ARABIC </w:instrText>
      </w:r>
      <w:r w:rsidRPr="00B32307">
        <w:rPr>
          <w:rFonts w:cs="Times New Roman"/>
          <w:sz w:val="24"/>
          <w:lang w:val="en-GB"/>
        </w:rPr>
        <w:fldChar w:fldCharType="separate"/>
      </w:r>
      <w:r w:rsidRPr="00B32307">
        <w:rPr>
          <w:rFonts w:cs="Times New Roman"/>
          <w:noProof/>
          <w:sz w:val="24"/>
          <w:lang w:val="en-GB"/>
        </w:rPr>
        <w:t>1</w:t>
      </w:r>
      <w:r w:rsidRPr="00B32307">
        <w:rPr>
          <w:rFonts w:cs="Times New Roman"/>
          <w:sz w:val="24"/>
          <w:lang w:val="en-GB"/>
        </w:rPr>
        <w:fldChar w:fldCharType="end"/>
      </w:r>
      <w:r w:rsidRPr="00B32307">
        <w:rPr>
          <w:rFonts w:cs="Times New Roman"/>
          <w:sz w:val="24"/>
          <w:lang w:val="en-GB"/>
        </w:rPr>
        <w:t>: Independent Project Results Summary</w:t>
      </w:r>
    </w:p>
    <w:tbl>
      <w:tblPr>
        <w:tblStyle w:val="TableGrid"/>
        <w:tblW w:w="0" w:type="auto"/>
        <w:tblLook w:val="04A0" w:firstRow="1" w:lastRow="0" w:firstColumn="1" w:lastColumn="0" w:noHBand="0" w:noVBand="1"/>
      </w:tblPr>
      <w:tblGrid>
        <w:gridCol w:w="1451"/>
        <w:gridCol w:w="1631"/>
        <w:gridCol w:w="1332"/>
        <w:gridCol w:w="1332"/>
        <w:gridCol w:w="1618"/>
        <w:gridCol w:w="2151"/>
        <w:gridCol w:w="1631"/>
        <w:gridCol w:w="1804"/>
      </w:tblGrid>
      <w:tr w:rsidR="007042DF" w:rsidRPr="00B32307" w14:paraId="2D534C88" w14:textId="77777777" w:rsidTr="007042DF">
        <w:tc>
          <w:tcPr>
            <w:tcW w:w="0" w:type="auto"/>
            <w:hideMark/>
          </w:tcPr>
          <w:p w14:paraId="1094D008" w14:textId="77777777" w:rsidR="007042DF" w:rsidRPr="00B32307" w:rsidRDefault="007042DF" w:rsidP="007042DF">
            <w:pPr>
              <w:spacing w:after="0" w:line="240" w:lineRule="auto"/>
              <w:jc w:val="center"/>
              <w:rPr>
                <w:rFonts w:eastAsia="Times New Roman" w:cs="Times New Roman"/>
                <w:b/>
                <w:bCs/>
                <w:szCs w:val="24"/>
                <w:lang w:val="en-GB"/>
              </w:rPr>
            </w:pPr>
            <w:r w:rsidRPr="00B32307">
              <w:rPr>
                <w:rFonts w:eastAsia="Times New Roman" w:cs="Times New Roman"/>
                <w:b/>
                <w:bCs/>
                <w:szCs w:val="24"/>
                <w:lang w:val="en-GB"/>
              </w:rPr>
              <w:t>Author &amp; Year</w:t>
            </w:r>
          </w:p>
        </w:tc>
        <w:tc>
          <w:tcPr>
            <w:tcW w:w="0" w:type="auto"/>
            <w:hideMark/>
          </w:tcPr>
          <w:p w14:paraId="37FD88D1" w14:textId="77777777" w:rsidR="007042DF" w:rsidRPr="00B32307" w:rsidRDefault="007042DF" w:rsidP="007042DF">
            <w:pPr>
              <w:spacing w:after="0" w:line="240" w:lineRule="auto"/>
              <w:jc w:val="center"/>
              <w:rPr>
                <w:rFonts w:eastAsia="Times New Roman" w:cs="Times New Roman"/>
                <w:b/>
                <w:bCs/>
                <w:szCs w:val="24"/>
                <w:lang w:val="en-GB"/>
              </w:rPr>
            </w:pPr>
            <w:r w:rsidRPr="00B32307">
              <w:rPr>
                <w:rFonts w:eastAsia="Times New Roman" w:cs="Times New Roman"/>
                <w:b/>
                <w:bCs/>
                <w:szCs w:val="24"/>
                <w:lang w:val="en-GB"/>
              </w:rPr>
              <w:t>Title</w:t>
            </w:r>
          </w:p>
        </w:tc>
        <w:tc>
          <w:tcPr>
            <w:tcW w:w="0" w:type="auto"/>
            <w:hideMark/>
          </w:tcPr>
          <w:p w14:paraId="14767F76" w14:textId="77777777" w:rsidR="007042DF" w:rsidRPr="00B32307" w:rsidRDefault="007042DF" w:rsidP="007042DF">
            <w:pPr>
              <w:spacing w:after="0" w:line="240" w:lineRule="auto"/>
              <w:jc w:val="center"/>
              <w:rPr>
                <w:rFonts w:eastAsia="Times New Roman" w:cs="Times New Roman"/>
                <w:b/>
                <w:bCs/>
                <w:szCs w:val="24"/>
                <w:lang w:val="en-GB"/>
              </w:rPr>
            </w:pPr>
            <w:r w:rsidRPr="00B32307">
              <w:rPr>
                <w:rFonts w:eastAsia="Times New Roman" w:cs="Times New Roman"/>
                <w:b/>
                <w:bCs/>
                <w:szCs w:val="24"/>
                <w:lang w:val="en-GB"/>
              </w:rPr>
              <w:t>Type of Study</w:t>
            </w:r>
          </w:p>
        </w:tc>
        <w:tc>
          <w:tcPr>
            <w:tcW w:w="0" w:type="auto"/>
            <w:hideMark/>
          </w:tcPr>
          <w:p w14:paraId="21049AED" w14:textId="77777777" w:rsidR="007042DF" w:rsidRPr="00B32307" w:rsidRDefault="007042DF" w:rsidP="007042DF">
            <w:pPr>
              <w:spacing w:after="0" w:line="240" w:lineRule="auto"/>
              <w:jc w:val="center"/>
              <w:rPr>
                <w:rFonts w:eastAsia="Times New Roman" w:cs="Times New Roman"/>
                <w:b/>
                <w:bCs/>
                <w:szCs w:val="24"/>
                <w:lang w:val="en-GB"/>
              </w:rPr>
            </w:pPr>
            <w:r w:rsidRPr="00B32307">
              <w:rPr>
                <w:rFonts w:eastAsia="Times New Roman" w:cs="Times New Roman"/>
                <w:b/>
                <w:bCs/>
                <w:szCs w:val="24"/>
                <w:lang w:val="en-GB"/>
              </w:rPr>
              <w:t>Research Method &amp; Sample Size</w:t>
            </w:r>
          </w:p>
        </w:tc>
        <w:tc>
          <w:tcPr>
            <w:tcW w:w="0" w:type="auto"/>
            <w:hideMark/>
          </w:tcPr>
          <w:p w14:paraId="48B82D65" w14:textId="77777777" w:rsidR="007042DF" w:rsidRPr="00B32307" w:rsidRDefault="007042DF" w:rsidP="007042DF">
            <w:pPr>
              <w:spacing w:after="0" w:line="240" w:lineRule="auto"/>
              <w:jc w:val="center"/>
              <w:rPr>
                <w:rFonts w:eastAsia="Times New Roman" w:cs="Times New Roman"/>
                <w:b/>
                <w:bCs/>
                <w:szCs w:val="24"/>
                <w:lang w:val="en-GB"/>
              </w:rPr>
            </w:pPr>
            <w:r w:rsidRPr="00B32307">
              <w:rPr>
                <w:rFonts w:eastAsia="Times New Roman" w:cs="Times New Roman"/>
                <w:b/>
                <w:bCs/>
                <w:szCs w:val="24"/>
                <w:lang w:val="en-GB"/>
              </w:rPr>
              <w:t>Strengths &amp; Limitations</w:t>
            </w:r>
          </w:p>
        </w:tc>
        <w:tc>
          <w:tcPr>
            <w:tcW w:w="0" w:type="auto"/>
            <w:hideMark/>
          </w:tcPr>
          <w:p w14:paraId="5CB2577A" w14:textId="77777777" w:rsidR="007042DF" w:rsidRPr="00B32307" w:rsidRDefault="007042DF" w:rsidP="007042DF">
            <w:pPr>
              <w:spacing w:after="0" w:line="240" w:lineRule="auto"/>
              <w:jc w:val="center"/>
              <w:rPr>
                <w:rFonts w:eastAsia="Times New Roman" w:cs="Times New Roman"/>
                <w:b/>
                <w:bCs/>
                <w:szCs w:val="24"/>
                <w:lang w:val="en-GB"/>
              </w:rPr>
            </w:pPr>
            <w:r w:rsidRPr="00B32307">
              <w:rPr>
                <w:rFonts w:eastAsia="Times New Roman" w:cs="Times New Roman"/>
                <w:b/>
                <w:bCs/>
                <w:szCs w:val="24"/>
                <w:lang w:val="en-GB"/>
              </w:rPr>
              <w:t>Main Findings</w:t>
            </w:r>
          </w:p>
        </w:tc>
        <w:tc>
          <w:tcPr>
            <w:tcW w:w="0" w:type="auto"/>
            <w:hideMark/>
          </w:tcPr>
          <w:p w14:paraId="40D2D0B7" w14:textId="77777777" w:rsidR="007042DF" w:rsidRPr="00B32307" w:rsidRDefault="007042DF" w:rsidP="007042DF">
            <w:pPr>
              <w:spacing w:after="0" w:line="240" w:lineRule="auto"/>
              <w:jc w:val="center"/>
              <w:rPr>
                <w:rFonts w:eastAsia="Times New Roman" w:cs="Times New Roman"/>
                <w:b/>
                <w:bCs/>
                <w:szCs w:val="24"/>
                <w:lang w:val="en-GB"/>
              </w:rPr>
            </w:pPr>
            <w:r w:rsidRPr="00B32307">
              <w:rPr>
                <w:rFonts w:eastAsia="Times New Roman" w:cs="Times New Roman"/>
                <w:b/>
                <w:bCs/>
                <w:szCs w:val="24"/>
                <w:lang w:val="en-GB"/>
              </w:rPr>
              <w:t>Keywords / Codes</w:t>
            </w:r>
          </w:p>
        </w:tc>
        <w:tc>
          <w:tcPr>
            <w:tcW w:w="0" w:type="auto"/>
            <w:hideMark/>
          </w:tcPr>
          <w:p w14:paraId="729DDDCF" w14:textId="77777777" w:rsidR="007042DF" w:rsidRPr="00B32307" w:rsidRDefault="007042DF" w:rsidP="007042DF">
            <w:pPr>
              <w:spacing w:after="0" w:line="240" w:lineRule="auto"/>
              <w:jc w:val="center"/>
              <w:rPr>
                <w:rFonts w:eastAsia="Times New Roman" w:cs="Times New Roman"/>
                <w:b/>
                <w:bCs/>
                <w:szCs w:val="24"/>
                <w:lang w:val="en-GB"/>
              </w:rPr>
            </w:pPr>
            <w:r w:rsidRPr="00B32307">
              <w:rPr>
                <w:rFonts w:eastAsia="Times New Roman" w:cs="Times New Roman"/>
                <w:b/>
                <w:bCs/>
                <w:szCs w:val="24"/>
                <w:lang w:val="en-GB"/>
              </w:rPr>
              <w:t>Notes / Comments</w:t>
            </w:r>
          </w:p>
        </w:tc>
      </w:tr>
      <w:tr w:rsidR="007042DF" w:rsidRPr="00B32307" w14:paraId="608ECD15" w14:textId="77777777" w:rsidTr="007042DF">
        <w:tc>
          <w:tcPr>
            <w:tcW w:w="0" w:type="auto"/>
            <w:hideMark/>
          </w:tcPr>
          <w:p w14:paraId="6FABBA52"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Hussin et al., 2025</w:t>
            </w:r>
          </w:p>
        </w:tc>
        <w:tc>
          <w:tcPr>
            <w:tcW w:w="0" w:type="auto"/>
            <w:hideMark/>
          </w:tcPr>
          <w:p w14:paraId="2A17CF7B"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Social Media Paradox</w:t>
            </w:r>
          </w:p>
        </w:tc>
        <w:tc>
          <w:tcPr>
            <w:tcW w:w="0" w:type="auto"/>
            <w:hideMark/>
          </w:tcPr>
          <w:p w14:paraId="6E7F668A"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Literature review</w:t>
            </w:r>
          </w:p>
        </w:tc>
        <w:tc>
          <w:tcPr>
            <w:tcW w:w="0" w:type="auto"/>
            <w:hideMark/>
          </w:tcPr>
          <w:p w14:paraId="288DB991"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Theoretical analysis</w:t>
            </w:r>
          </w:p>
        </w:tc>
        <w:tc>
          <w:tcPr>
            <w:tcW w:w="0" w:type="auto"/>
            <w:hideMark/>
          </w:tcPr>
          <w:p w14:paraId="6014A5B3"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Broad psychological framework; not autism-specific</w:t>
            </w:r>
          </w:p>
        </w:tc>
        <w:tc>
          <w:tcPr>
            <w:tcW w:w="0" w:type="auto"/>
            <w:hideMark/>
          </w:tcPr>
          <w:p w14:paraId="13259C72"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 xml:space="preserve">Low self-esteem </w:t>
            </w:r>
            <w:r w:rsidR="00275697" w:rsidRPr="00B32307">
              <w:rPr>
                <w:rFonts w:eastAsia="Times New Roman" w:cs="Times New Roman"/>
                <w:szCs w:val="24"/>
                <w:lang w:val="en-GB"/>
              </w:rPr>
              <w:t xml:space="preserve">is </w:t>
            </w:r>
            <w:r w:rsidRPr="00B32307">
              <w:rPr>
                <w:rFonts w:eastAsia="Times New Roman" w:cs="Times New Roman"/>
                <w:szCs w:val="24"/>
                <w:lang w:val="en-GB"/>
              </w:rPr>
              <w:t>linked to comparison</w:t>
            </w:r>
          </w:p>
        </w:tc>
        <w:tc>
          <w:tcPr>
            <w:tcW w:w="0" w:type="auto"/>
            <w:hideMark/>
          </w:tcPr>
          <w:p w14:paraId="24EF81C8"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Self-esteem, social comparison</w:t>
            </w:r>
          </w:p>
        </w:tc>
        <w:tc>
          <w:tcPr>
            <w:tcW w:w="0" w:type="auto"/>
            <w:hideMark/>
          </w:tcPr>
          <w:p w14:paraId="13528A42"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Indirect support for identity conflict</w:t>
            </w:r>
          </w:p>
        </w:tc>
      </w:tr>
      <w:tr w:rsidR="007042DF" w:rsidRPr="00B32307" w14:paraId="1E099D5C" w14:textId="77777777" w:rsidTr="007042DF">
        <w:tc>
          <w:tcPr>
            <w:tcW w:w="0" w:type="auto"/>
            <w:hideMark/>
          </w:tcPr>
          <w:p w14:paraId="615E86ED"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Radev et al., 2024</w:t>
            </w:r>
          </w:p>
        </w:tc>
        <w:tc>
          <w:tcPr>
            <w:tcW w:w="0" w:type="auto"/>
            <w:hideMark/>
          </w:tcPr>
          <w:p w14:paraId="026B2C4F" w14:textId="77777777" w:rsidR="007042DF" w:rsidRPr="00B32307" w:rsidRDefault="007042DF" w:rsidP="00275697">
            <w:pPr>
              <w:spacing w:after="0" w:line="240" w:lineRule="auto"/>
              <w:jc w:val="left"/>
              <w:rPr>
                <w:rFonts w:eastAsia="Times New Roman" w:cs="Times New Roman"/>
                <w:szCs w:val="24"/>
                <w:lang w:val="en-GB"/>
              </w:rPr>
            </w:pPr>
            <w:r w:rsidRPr="00B32307">
              <w:rPr>
                <w:rFonts w:eastAsia="Times New Roman" w:cs="Times New Roman"/>
                <w:szCs w:val="24"/>
                <w:lang w:val="en-GB"/>
              </w:rPr>
              <w:t xml:space="preserve">Healthcare </w:t>
            </w:r>
            <w:r w:rsidR="00275697" w:rsidRPr="00B32307">
              <w:rPr>
                <w:rFonts w:eastAsia="Times New Roman" w:cs="Times New Roman"/>
                <w:szCs w:val="24"/>
                <w:lang w:val="en-GB"/>
              </w:rPr>
              <w:t>in</w:t>
            </w:r>
            <w:r w:rsidRPr="00B32307">
              <w:rPr>
                <w:rFonts w:eastAsia="Times New Roman" w:cs="Times New Roman"/>
                <w:szCs w:val="24"/>
                <w:lang w:val="en-GB"/>
              </w:rPr>
              <w:t xml:space="preserve"> </w:t>
            </w:r>
            <w:r w:rsidR="00275697" w:rsidRPr="00B32307">
              <w:rPr>
                <w:rFonts w:eastAsia="Times New Roman" w:cs="Times New Roman"/>
                <w:szCs w:val="24"/>
                <w:lang w:val="en-GB"/>
              </w:rPr>
              <w:t xml:space="preserve">the </w:t>
            </w:r>
            <w:r w:rsidRPr="00B32307">
              <w:rPr>
                <w:rFonts w:eastAsia="Times New Roman" w:cs="Times New Roman"/>
                <w:szCs w:val="24"/>
                <w:lang w:val="en-GB"/>
              </w:rPr>
              <w:t>UK</w:t>
            </w:r>
          </w:p>
        </w:tc>
        <w:tc>
          <w:tcPr>
            <w:tcW w:w="0" w:type="auto"/>
            <w:hideMark/>
          </w:tcPr>
          <w:p w14:paraId="648F8FFD"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Meta-ethnography</w:t>
            </w:r>
          </w:p>
        </w:tc>
        <w:tc>
          <w:tcPr>
            <w:tcW w:w="0" w:type="auto"/>
            <w:hideMark/>
          </w:tcPr>
          <w:p w14:paraId="7293CD14"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15 qualitative studies</w:t>
            </w:r>
          </w:p>
        </w:tc>
        <w:tc>
          <w:tcPr>
            <w:tcW w:w="0" w:type="auto"/>
            <w:hideMark/>
          </w:tcPr>
          <w:p w14:paraId="2B2F65E3"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Strong UK focus; excludes ID</w:t>
            </w:r>
          </w:p>
        </w:tc>
        <w:tc>
          <w:tcPr>
            <w:tcW w:w="0" w:type="auto"/>
            <w:hideMark/>
          </w:tcPr>
          <w:p w14:paraId="5464856A"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Misdiagnosis; professional ignorance</w:t>
            </w:r>
          </w:p>
        </w:tc>
        <w:tc>
          <w:tcPr>
            <w:tcW w:w="0" w:type="auto"/>
            <w:hideMark/>
          </w:tcPr>
          <w:p w14:paraId="2F5F0615"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Misdiagnosis, barriers</w:t>
            </w:r>
          </w:p>
        </w:tc>
        <w:tc>
          <w:tcPr>
            <w:tcW w:w="0" w:type="auto"/>
            <w:hideMark/>
          </w:tcPr>
          <w:p w14:paraId="6B790D8C"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Supports UK systemic issues</w:t>
            </w:r>
          </w:p>
        </w:tc>
      </w:tr>
      <w:tr w:rsidR="007042DF" w:rsidRPr="00B32307" w14:paraId="034DBC71" w14:textId="77777777" w:rsidTr="007042DF">
        <w:tc>
          <w:tcPr>
            <w:tcW w:w="0" w:type="auto"/>
            <w:hideMark/>
          </w:tcPr>
          <w:p w14:paraId="71E6A2AB" w14:textId="77777777" w:rsidR="007042DF" w:rsidRPr="00B32307" w:rsidRDefault="00692C30"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Krishnan and</w:t>
            </w:r>
            <w:r w:rsidR="007042DF" w:rsidRPr="00B32307">
              <w:rPr>
                <w:rFonts w:eastAsia="Times New Roman" w:cs="Times New Roman"/>
                <w:szCs w:val="24"/>
                <w:lang w:val="en-GB"/>
              </w:rPr>
              <w:t xml:space="preserve"> Orsmond, 2025</w:t>
            </w:r>
          </w:p>
        </w:tc>
        <w:tc>
          <w:tcPr>
            <w:tcW w:w="0" w:type="auto"/>
            <w:hideMark/>
          </w:tcPr>
          <w:p w14:paraId="37FB6891"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Mental health in autistic youth</w:t>
            </w:r>
          </w:p>
        </w:tc>
        <w:tc>
          <w:tcPr>
            <w:tcW w:w="0" w:type="auto"/>
            <w:hideMark/>
          </w:tcPr>
          <w:p w14:paraId="42E75279"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Theoretical review</w:t>
            </w:r>
          </w:p>
        </w:tc>
        <w:tc>
          <w:tcPr>
            <w:tcW w:w="0" w:type="auto"/>
            <w:hideMark/>
          </w:tcPr>
          <w:p w14:paraId="3F53D6F4"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Conceptual synthesis</w:t>
            </w:r>
          </w:p>
        </w:tc>
        <w:tc>
          <w:tcPr>
            <w:tcW w:w="0" w:type="auto"/>
            <w:hideMark/>
          </w:tcPr>
          <w:p w14:paraId="0E6A372B"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Strong theory; youth focus</w:t>
            </w:r>
          </w:p>
        </w:tc>
        <w:tc>
          <w:tcPr>
            <w:tcW w:w="0" w:type="auto"/>
            <w:hideMark/>
          </w:tcPr>
          <w:p w14:paraId="1BD32F03"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Integrates neurodiversity &amp; psychopathology</w:t>
            </w:r>
          </w:p>
        </w:tc>
        <w:tc>
          <w:tcPr>
            <w:tcW w:w="0" w:type="auto"/>
            <w:hideMark/>
          </w:tcPr>
          <w:p w14:paraId="0FBF3705"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Risk/protective factors</w:t>
            </w:r>
          </w:p>
        </w:tc>
        <w:tc>
          <w:tcPr>
            <w:tcW w:w="0" w:type="auto"/>
            <w:hideMark/>
          </w:tcPr>
          <w:p w14:paraId="35AE85BF"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Supports theoretical framing</w:t>
            </w:r>
          </w:p>
        </w:tc>
      </w:tr>
      <w:tr w:rsidR="007042DF" w:rsidRPr="00B32307" w14:paraId="1514DAD0" w14:textId="77777777" w:rsidTr="007042DF">
        <w:tc>
          <w:tcPr>
            <w:tcW w:w="0" w:type="auto"/>
            <w:hideMark/>
          </w:tcPr>
          <w:p w14:paraId="5842FC89"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Petrolini et al., 2023</w:t>
            </w:r>
          </w:p>
        </w:tc>
        <w:tc>
          <w:tcPr>
            <w:tcW w:w="0" w:type="auto"/>
            <w:hideMark/>
          </w:tcPr>
          <w:p w14:paraId="1CDF0A89"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Camouflaging conceptual analysis</w:t>
            </w:r>
          </w:p>
        </w:tc>
        <w:tc>
          <w:tcPr>
            <w:tcW w:w="0" w:type="auto"/>
            <w:hideMark/>
          </w:tcPr>
          <w:p w14:paraId="33A3F06E"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Conceptual paper</w:t>
            </w:r>
          </w:p>
        </w:tc>
        <w:tc>
          <w:tcPr>
            <w:tcW w:w="0" w:type="auto"/>
            <w:hideMark/>
          </w:tcPr>
          <w:p w14:paraId="334B6A74"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Theoretical discussion</w:t>
            </w:r>
          </w:p>
        </w:tc>
        <w:tc>
          <w:tcPr>
            <w:tcW w:w="0" w:type="auto"/>
            <w:hideMark/>
          </w:tcPr>
          <w:p w14:paraId="6F3FAA59"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Clarifies construct; no empirical data</w:t>
            </w:r>
          </w:p>
        </w:tc>
        <w:tc>
          <w:tcPr>
            <w:tcW w:w="0" w:type="auto"/>
            <w:hideMark/>
          </w:tcPr>
          <w:p w14:paraId="7876F9BC"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Heterogeneous camouflaging forms</w:t>
            </w:r>
          </w:p>
        </w:tc>
        <w:tc>
          <w:tcPr>
            <w:tcW w:w="0" w:type="auto"/>
            <w:hideMark/>
          </w:tcPr>
          <w:p w14:paraId="0757A699"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Conceptual clarity</w:t>
            </w:r>
          </w:p>
        </w:tc>
        <w:tc>
          <w:tcPr>
            <w:tcW w:w="0" w:type="auto"/>
            <w:hideMark/>
          </w:tcPr>
          <w:p w14:paraId="489EF474"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 xml:space="preserve">Supports </w:t>
            </w:r>
            <w:r w:rsidR="00275697" w:rsidRPr="00B32307">
              <w:rPr>
                <w:rFonts w:eastAsia="Times New Roman" w:cs="Times New Roman"/>
                <w:szCs w:val="24"/>
                <w:lang w:val="en-GB"/>
              </w:rPr>
              <w:t xml:space="preserve">the </w:t>
            </w:r>
            <w:r w:rsidRPr="00B32307">
              <w:rPr>
                <w:rFonts w:eastAsia="Times New Roman" w:cs="Times New Roman"/>
                <w:szCs w:val="24"/>
                <w:lang w:val="en-GB"/>
              </w:rPr>
              <w:t>definitional section</w:t>
            </w:r>
          </w:p>
        </w:tc>
      </w:tr>
      <w:tr w:rsidR="007042DF" w:rsidRPr="00B32307" w14:paraId="3663EDB6" w14:textId="77777777" w:rsidTr="007042DF">
        <w:tc>
          <w:tcPr>
            <w:tcW w:w="0" w:type="auto"/>
            <w:hideMark/>
          </w:tcPr>
          <w:p w14:paraId="5C1B1AC7"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Arnold et al., 2026</w:t>
            </w:r>
          </w:p>
        </w:tc>
        <w:tc>
          <w:tcPr>
            <w:tcW w:w="0" w:type="auto"/>
            <w:hideMark/>
          </w:tcPr>
          <w:p w14:paraId="16DF2D7F"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Camouflaging measurement critique</w:t>
            </w:r>
          </w:p>
        </w:tc>
        <w:tc>
          <w:tcPr>
            <w:tcW w:w="0" w:type="auto"/>
            <w:hideMark/>
          </w:tcPr>
          <w:p w14:paraId="0AE11584"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Critical review (389 studies)</w:t>
            </w:r>
          </w:p>
        </w:tc>
        <w:tc>
          <w:tcPr>
            <w:tcW w:w="0" w:type="auto"/>
            <w:hideMark/>
          </w:tcPr>
          <w:p w14:paraId="78031B27"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Literature review</w:t>
            </w:r>
          </w:p>
        </w:tc>
        <w:tc>
          <w:tcPr>
            <w:tcW w:w="0" w:type="auto"/>
            <w:hideMark/>
          </w:tcPr>
          <w:p w14:paraId="2A359BD5"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Large scope; highlights CAT-Q issues</w:t>
            </w:r>
          </w:p>
        </w:tc>
        <w:tc>
          <w:tcPr>
            <w:tcW w:w="0" w:type="auto"/>
            <w:hideMark/>
          </w:tcPr>
          <w:p w14:paraId="65A80D2C"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Construct inconsistency; validity concerns</w:t>
            </w:r>
          </w:p>
        </w:tc>
        <w:tc>
          <w:tcPr>
            <w:tcW w:w="0" w:type="auto"/>
            <w:hideMark/>
          </w:tcPr>
          <w:p w14:paraId="7B0E462B"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Measurement validity</w:t>
            </w:r>
          </w:p>
        </w:tc>
        <w:tc>
          <w:tcPr>
            <w:tcW w:w="0" w:type="auto"/>
            <w:hideMark/>
          </w:tcPr>
          <w:p w14:paraId="6DA6E31E"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Important methodological critique</w:t>
            </w:r>
          </w:p>
        </w:tc>
      </w:tr>
      <w:tr w:rsidR="007042DF" w:rsidRPr="00B32307" w14:paraId="6FDE5FEC" w14:textId="77777777" w:rsidTr="007042DF">
        <w:tc>
          <w:tcPr>
            <w:tcW w:w="0" w:type="auto"/>
            <w:hideMark/>
          </w:tcPr>
          <w:p w14:paraId="32A323AD"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Pritchard-Rowe et al., 2024</w:t>
            </w:r>
          </w:p>
        </w:tc>
        <w:tc>
          <w:tcPr>
            <w:tcW w:w="0" w:type="auto"/>
            <w:hideMark/>
          </w:tcPr>
          <w:p w14:paraId="379C8568"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Diagnostic play experiences</w:t>
            </w:r>
          </w:p>
        </w:tc>
        <w:tc>
          <w:tcPr>
            <w:tcW w:w="0" w:type="auto"/>
            <w:hideMark/>
          </w:tcPr>
          <w:p w14:paraId="0AB6AD4B"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Qualitative (IPA)</w:t>
            </w:r>
          </w:p>
        </w:tc>
        <w:tc>
          <w:tcPr>
            <w:tcW w:w="0" w:type="auto"/>
            <w:hideMark/>
          </w:tcPr>
          <w:p w14:paraId="1D22C6CD"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22 UK adults</w:t>
            </w:r>
          </w:p>
        </w:tc>
        <w:tc>
          <w:tcPr>
            <w:tcW w:w="0" w:type="auto"/>
            <w:hideMark/>
          </w:tcPr>
          <w:p w14:paraId="5A3174EC"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Lived experience; small sample</w:t>
            </w:r>
          </w:p>
        </w:tc>
        <w:tc>
          <w:tcPr>
            <w:tcW w:w="0" w:type="auto"/>
            <w:hideMark/>
          </w:tcPr>
          <w:p w14:paraId="365F6265"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Masking affects assessment accuracy</w:t>
            </w:r>
          </w:p>
        </w:tc>
        <w:tc>
          <w:tcPr>
            <w:tcW w:w="0" w:type="auto"/>
            <w:hideMark/>
          </w:tcPr>
          <w:p w14:paraId="044E7C4F"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Masking, diagnosis</w:t>
            </w:r>
          </w:p>
        </w:tc>
        <w:tc>
          <w:tcPr>
            <w:tcW w:w="0" w:type="auto"/>
            <w:hideMark/>
          </w:tcPr>
          <w:p w14:paraId="52039E57"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 xml:space="preserve">Supports </w:t>
            </w:r>
            <w:r w:rsidR="00275697" w:rsidRPr="00B32307">
              <w:rPr>
                <w:rFonts w:eastAsia="Times New Roman" w:cs="Times New Roman"/>
                <w:szCs w:val="24"/>
                <w:lang w:val="en-GB"/>
              </w:rPr>
              <w:t xml:space="preserve">the </w:t>
            </w:r>
            <w:r w:rsidRPr="00B32307">
              <w:rPr>
                <w:rFonts w:eastAsia="Times New Roman" w:cs="Times New Roman"/>
                <w:szCs w:val="24"/>
                <w:lang w:val="en-GB"/>
              </w:rPr>
              <w:t>misdiagnosis theme</w:t>
            </w:r>
          </w:p>
        </w:tc>
      </w:tr>
      <w:tr w:rsidR="007042DF" w:rsidRPr="00B32307" w14:paraId="74E13746" w14:textId="77777777" w:rsidTr="007042DF">
        <w:tc>
          <w:tcPr>
            <w:tcW w:w="0" w:type="auto"/>
            <w:hideMark/>
          </w:tcPr>
          <w:p w14:paraId="4112C54A"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Hull et al., 2021</w:t>
            </w:r>
          </w:p>
        </w:tc>
        <w:tc>
          <w:tcPr>
            <w:tcW w:w="0" w:type="auto"/>
            <w:hideMark/>
          </w:tcPr>
          <w:p w14:paraId="08277896"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Camouflaging &amp; mental health</w:t>
            </w:r>
          </w:p>
        </w:tc>
        <w:tc>
          <w:tcPr>
            <w:tcW w:w="0" w:type="auto"/>
            <w:hideMark/>
          </w:tcPr>
          <w:p w14:paraId="6D49B7A7"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Quantitative survey</w:t>
            </w:r>
          </w:p>
        </w:tc>
        <w:tc>
          <w:tcPr>
            <w:tcW w:w="0" w:type="auto"/>
            <w:hideMark/>
          </w:tcPr>
          <w:p w14:paraId="40178578"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Large online adult sample</w:t>
            </w:r>
          </w:p>
        </w:tc>
        <w:tc>
          <w:tcPr>
            <w:tcW w:w="0" w:type="auto"/>
            <w:hideMark/>
          </w:tcPr>
          <w:p w14:paraId="6168138D"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Strong statistical design; cross-sectional</w:t>
            </w:r>
          </w:p>
        </w:tc>
        <w:tc>
          <w:tcPr>
            <w:tcW w:w="0" w:type="auto"/>
            <w:hideMark/>
          </w:tcPr>
          <w:p w14:paraId="70C2E295"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Masking predicts anxiety/depression</w:t>
            </w:r>
          </w:p>
        </w:tc>
        <w:tc>
          <w:tcPr>
            <w:tcW w:w="0" w:type="auto"/>
            <w:hideMark/>
          </w:tcPr>
          <w:p w14:paraId="7F7B7093"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Anxiety, depression</w:t>
            </w:r>
          </w:p>
        </w:tc>
        <w:tc>
          <w:tcPr>
            <w:tcW w:w="0" w:type="auto"/>
            <w:hideMark/>
          </w:tcPr>
          <w:p w14:paraId="3D9AC0BF"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Core empirical evidence</w:t>
            </w:r>
          </w:p>
        </w:tc>
      </w:tr>
      <w:tr w:rsidR="007042DF" w:rsidRPr="00B32307" w14:paraId="0EB3F826" w14:textId="77777777" w:rsidTr="007042DF">
        <w:tc>
          <w:tcPr>
            <w:tcW w:w="0" w:type="auto"/>
            <w:hideMark/>
          </w:tcPr>
          <w:p w14:paraId="7F127B1A"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Mantzalas et al., 2022</w:t>
            </w:r>
          </w:p>
        </w:tc>
        <w:tc>
          <w:tcPr>
            <w:tcW w:w="0" w:type="auto"/>
            <w:hideMark/>
          </w:tcPr>
          <w:p w14:paraId="03098C42"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Autistic burnout</w:t>
            </w:r>
          </w:p>
        </w:tc>
        <w:tc>
          <w:tcPr>
            <w:tcW w:w="0" w:type="auto"/>
            <w:hideMark/>
          </w:tcPr>
          <w:p w14:paraId="2056848A"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Thematic analysis</w:t>
            </w:r>
          </w:p>
        </w:tc>
        <w:tc>
          <w:tcPr>
            <w:tcW w:w="0" w:type="auto"/>
            <w:hideMark/>
          </w:tcPr>
          <w:p w14:paraId="32275D54"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1127 online posts</w:t>
            </w:r>
          </w:p>
        </w:tc>
        <w:tc>
          <w:tcPr>
            <w:tcW w:w="0" w:type="auto"/>
            <w:hideMark/>
          </w:tcPr>
          <w:p w14:paraId="2B343D07"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Large dataset; online bias</w:t>
            </w:r>
          </w:p>
        </w:tc>
        <w:tc>
          <w:tcPr>
            <w:tcW w:w="0" w:type="auto"/>
            <w:hideMark/>
          </w:tcPr>
          <w:p w14:paraId="0E160366"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Burnout linked to stigma &amp; masking</w:t>
            </w:r>
          </w:p>
        </w:tc>
        <w:tc>
          <w:tcPr>
            <w:tcW w:w="0" w:type="auto"/>
            <w:hideMark/>
          </w:tcPr>
          <w:p w14:paraId="7D8D08F6"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Burnout, exhaustion</w:t>
            </w:r>
          </w:p>
        </w:tc>
        <w:tc>
          <w:tcPr>
            <w:tcW w:w="0" w:type="auto"/>
            <w:hideMark/>
          </w:tcPr>
          <w:p w14:paraId="269DCC51"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Strong burnout evidence</w:t>
            </w:r>
          </w:p>
        </w:tc>
      </w:tr>
      <w:tr w:rsidR="007042DF" w:rsidRPr="00B32307" w14:paraId="0E7C00C0" w14:textId="77777777" w:rsidTr="007042DF">
        <w:tc>
          <w:tcPr>
            <w:tcW w:w="0" w:type="auto"/>
            <w:hideMark/>
          </w:tcPr>
          <w:p w14:paraId="2943908A"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Cook et al., 2021</w:t>
            </w:r>
          </w:p>
        </w:tc>
        <w:tc>
          <w:tcPr>
            <w:tcW w:w="0" w:type="auto"/>
            <w:hideMark/>
          </w:tcPr>
          <w:p w14:paraId="200CC398"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Everyday camouflaging</w:t>
            </w:r>
          </w:p>
        </w:tc>
        <w:tc>
          <w:tcPr>
            <w:tcW w:w="0" w:type="auto"/>
            <w:hideMark/>
          </w:tcPr>
          <w:p w14:paraId="24B8604F"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Qualitative recall</w:t>
            </w:r>
          </w:p>
        </w:tc>
        <w:tc>
          <w:tcPr>
            <w:tcW w:w="0" w:type="auto"/>
            <w:hideMark/>
          </w:tcPr>
          <w:p w14:paraId="5053721E"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17 adults</w:t>
            </w:r>
          </w:p>
        </w:tc>
        <w:tc>
          <w:tcPr>
            <w:tcW w:w="0" w:type="auto"/>
            <w:hideMark/>
          </w:tcPr>
          <w:p w14:paraId="2C4DC450"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Deep analysis; small N</w:t>
            </w:r>
          </w:p>
        </w:tc>
        <w:tc>
          <w:tcPr>
            <w:tcW w:w="0" w:type="auto"/>
            <w:hideMark/>
          </w:tcPr>
          <w:p w14:paraId="3E70FB9E"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Acceptance vs identity cost</w:t>
            </w:r>
          </w:p>
        </w:tc>
        <w:tc>
          <w:tcPr>
            <w:tcW w:w="0" w:type="auto"/>
            <w:hideMark/>
          </w:tcPr>
          <w:p w14:paraId="0F71ABFA"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Authenticity, fatigue</w:t>
            </w:r>
          </w:p>
        </w:tc>
        <w:tc>
          <w:tcPr>
            <w:tcW w:w="0" w:type="auto"/>
            <w:hideMark/>
          </w:tcPr>
          <w:p w14:paraId="16DF458D"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Identity fragmentation evidence</w:t>
            </w:r>
          </w:p>
        </w:tc>
      </w:tr>
      <w:tr w:rsidR="007042DF" w:rsidRPr="00B32307" w14:paraId="5376D6CB" w14:textId="77777777" w:rsidTr="007042DF">
        <w:tc>
          <w:tcPr>
            <w:tcW w:w="0" w:type="auto"/>
            <w:hideMark/>
          </w:tcPr>
          <w:p w14:paraId="46358703"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Oshima et al., 2024</w:t>
            </w:r>
          </w:p>
        </w:tc>
        <w:tc>
          <w:tcPr>
            <w:tcW w:w="0" w:type="auto"/>
            <w:hideMark/>
          </w:tcPr>
          <w:p w14:paraId="0E895FF3"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Cross-cultural camouflaging</w:t>
            </w:r>
          </w:p>
        </w:tc>
        <w:tc>
          <w:tcPr>
            <w:tcW w:w="0" w:type="auto"/>
            <w:hideMark/>
          </w:tcPr>
          <w:p w14:paraId="4732A94B"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Cross-sectional</w:t>
            </w:r>
          </w:p>
        </w:tc>
        <w:tc>
          <w:tcPr>
            <w:tcW w:w="0" w:type="auto"/>
            <w:hideMark/>
          </w:tcPr>
          <w:p w14:paraId="7D958F0A"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Japan (210) UK (305)</w:t>
            </w:r>
          </w:p>
        </w:tc>
        <w:tc>
          <w:tcPr>
            <w:tcW w:w="0" w:type="auto"/>
            <w:hideMark/>
          </w:tcPr>
          <w:p w14:paraId="6D9D68F1"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Cross-cultural; self-report</w:t>
            </w:r>
          </w:p>
        </w:tc>
        <w:tc>
          <w:tcPr>
            <w:tcW w:w="0" w:type="auto"/>
            <w:hideMark/>
          </w:tcPr>
          <w:p w14:paraId="4ACFDE8F"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Culture moderates masking impact</w:t>
            </w:r>
          </w:p>
        </w:tc>
        <w:tc>
          <w:tcPr>
            <w:tcW w:w="0" w:type="auto"/>
            <w:hideMark/>
          </w:tcPr>
          <w:p w14:paraId="2399FB47"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Cultural norms</w:t>
            </w:r>
          </w:p>
        </w:tc>
        <w:tc>
          <w:tcPr>
            <w:tcW w:w="0" w:type="auto"/>
            <w:hideMark/>
          </w:tcPr>
          <w:p w14:paraId="654998C6"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 xml:space="preserve">Supports </w:t>
            </w:r>
            <w:r w:rsidR="00275697" w:rsidRPr="00B32307">
              <w:rPr>
                <w:rFonts w:eastAsia="Times New Roman" w:cs="Times New Roman"/>
                <w:szCs w:val="24"/>
                <w:lang w:val="en-GB"/>
              </w:rPr>
              <w:t xml:space="preserve">the </w:t>
            </w:r>
            <w:r w:rsidRPr="00B32307">
              <w:rPr>
                <w:rFonts w:eastAsia="Times New Roman" w:cs="Times New Roman"/>
                <w:szCs w:val="24"/>
                <w:lang w:val="en-GB"/>
              </w:rPr>
              <w:t>international section</w:t>
            </w:r>
          </w:p>
        </w:tc>
      </w:tr>
      <w:tr w:rsidR="007042DF" w:rsidRPr="00B32307" w14:paraId="10C1BCA8" w14:textId="77777777" w:rsidTr="007042DF">
        <w:tc>
          <w:tcPr>
            <w:tcW w:w="0" w:type="auto"/>
            <w:hideMark/>
          </w:tcPr>
          <w:p w14:paraId="111B150C" w14:textId="77777777" w:rsidR="007042DF" w:rsidRPr="00B32307" w:rsidRDefault="00692C30"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Pearson and</w:t>
            </w:r>
            <w:r w:rsidR="007042DF" w:rsidRPr="00B32307">
              <w:rPr>
                <w:rFonts w:eastAsia="Times New Roman" w:cs="Times New Roman"/>
                <w:szCs w:val="24"/>
                <w:lang w:val="en-GB"/>
              </w:rPr>
              <w:t xml:space="preserve"> Rose, 2020</w:t>
            </w:r>
          </w:p>
        </w:tc>
        <w:tc>
          <w:tcPr>
            <w:tcW w:w="0" w:type="auto"/>
            <w:hideMark/>
          </w:tcPr>
          <w:p w14:paraId="57032508"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Masking &amp; stigma</w:t>
            </w:r>
          </w:p>
        </w:tc>
        <w:tc>
          <w:tcPr>
            <w:tcW w:w="0" w:type="auto"/>
            <w:hideMark/>
          </w:tcPr>
          <w:p w14:paraId="2EB07C2C"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Conceptual analysis</w:t>
            </w:r>
          </w:p>
        </w:tc>
        <w:tc>
          <w:tcPr>
            <w:tcW w:w="0" w:type="auto"/>
            <w:hideMark/>
          </w:tcPr>
          <w:p w14:paraId="43987CC6"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Literature synthesis</w:t>
            </w:r>
          </w:p>
        </w:tc>
        <w:tc>
          <w:tcPr>
            <w:tcW w:w="0" w:type="auto"/>
            <w:hideMark/>
          </w:tcPr>
          <w:p w14:paraId="4BF79B22"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Theoretical depth</w:t>
            </w:r>
          </w:p>
        </w:tc>
        <w:tc>
          <w:tcPr>
            <w:tcW w:w="0" w:type="auto"/>
            <w:hideMark/>
          </w:tcPr>
          <w:p w14:paraId="75075412"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Masking as stigma management</w:t>
            </w:r>
          </w:p>
        </w:tc>
        <w:tc>
          <w:tcPr>
            <w:tcW w:w="0" w:type="auto"/>
            <w:hideMark/>
          </w:tcPr>
          <w:p w14:paraId="353125E2"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Stigma, identity</w:t>
            </w:r>
          </w:p>
        </w:tc>
        <w:tc>
          <w:tcPr>
            <w:tcW w:w="0" w:type="auto"/>
            <w:hideMark/>
          </w:tcPr>
          <w:p w14:paraId="398725CB"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Supports Minority Stress</w:t>
            </w:r>
          </w:p>
        </w:tc>
      </w:tr>
      <w:tr w:rsidR="007042DF" w:rsidRPr="00B32307" w14:paraId="689B3E6D" w14:textId="77777777" w:rsidTr="007042DF">
        <w:tc>
          <w:tcPr>
            <w:tcW w:w="0" w:type="auto"/>
            <w:hideMark/>
          </w:tcPr>
          <w:p w14:paraId="736F3FB0"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Sasaki &amp; Kocha, 2025</w:t>
            </w:r>
          </w:p>
        </w:tc>
        <w:tc>
          <w:tcPr>
            <w:tcW w:w="0" w:type="auto"/>
            <w:hideMark/>
          </w:tcPr>
          <w:p w14:paraId="0DEB27CB" w14:textId="77777777" w:rsidR="007042DF" w:rsidRPr="00B32307" w:rsidRDefault="00275697"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Kanner's</w:t>
            </w:r>
            <w:r w:rsidR="007042DF" w:rsidRPr="00B32307">
              <w:rPr>
                <w:rFonts w:eastAsia="Times New Roman" w:cs="Times New Roman"/>
                <w:szCs w:val="24"/>
                <w:lang w:val="en-GB"/>
              </w:rPr>
              <w:t xml:space="preserve"> historical review</w:t>
            </w:r>
          </w:p>
        </w:tc>
        <w:tc>
          <w:tcPr>
            <w:tcW w:w="0" w:type="auto"/>
            <w:hideMark/>
          </w:tcPr>
          <w:p w14:paraId="11625CF5"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Historical analysis</w:t>
            </w:r>
          </w:p>
        </w:tc>
        <w:tc>
          <w:tcPr>
            <w:tcW w:w="0" w:type="auto"/>
            <w:hideMark/>
          </w:tcPr>
          <w:p w14:paraId="0594DE0D"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Archival review</w:t>
            </w:r>
          </w:p>
        </w:tc>
        <w:tc>
          <w:tcPr>
            <w:tcW w:w="0" w:type="auto"/>
            <w:hideMark/>
          </w:tcPr>
          <w:p w14:paraId="3B17514B"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Contextual depth</w:t>
            </w:r>
          </w:p>
        </w:tc>
        <w:tc>
          <w:tcPr>
            <w:tcW w:w="0" w:type="auto"/>
            <w:hideMark/>
          </w:tcPr>
          <w:p w14:paraId="08968969"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Autism vs schizophrenia debate</w:t>
            </w:r>
          </w:p>
        </w:tc>
        <w:tc>
          <w:tcPr>
            <w:tcW w:w="0" w:type="auto"/>
            <w:hideMark/>
          </w:tcPr>
          <w:p w14:paraId="1222287C"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Historical framing</w:t>
            </w:r>
          </w:p>
        </w:tc>
        <w:tc>
          <w:tcPr>
            <w:tcW w:w="0" w:type="auto"/>
            <w:hideMark/>
          </w:tcPr>
          <w:p w14:paraId="4377DE62"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Supports historical background</w:t>
            </w:r>
          </w:p>
        </w:tc>
      </w:tr>
      <w:tr w:rsidR="007042DF" w:rsidRPr="00B32307" w14:paraId="316255EF" w14:textId="77777777" w:rsidTr="007042DF">
        <w:tc>
          <w:tcPr>
            <w:tcW w:w="0" w:type="auto"/>
            <w:hideMark/>
          </w:tcPr>
          <w:p w14:paraId="26B6B9DC"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Hulscher et al., 2025</w:t>
            </w:r>
          </w:p>
        </w:tc>
        <w:tc>
          <w:tcPr>
            <w:tcW w:w="0" w:type="auto"/>
            <w:hideMark/>
          </w:tcPr>
          <w:p w14:paraId="4B04F3BB"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Determinants of ASD</w:t>
            </w:r>
          </w:p>
        </w:tc>
        <w:tc>
          <w:tcPr>
            <w:tcW w:w="0" w:type="auto"/>
            <w:hideMark/>
          </w:tcPr>
          <w:p w14:paraId="1807195D"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Narrative review</w:t>
            </w:r>
          </w:p>
        </w:tc>
        <w:tc>
          <w:tcPr>
            <w:tcW w:w="0" w:type="auto"/>
            <w:hideMark/>
          </w:tcPr>
          <w:p w14:paraId="6364C2C0"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Literature synthesis</w:t>
            </w:r>
          </w:p>
        </w:tc>
        <w:tc>
          <w:tcPr>
            <w:tcW w:w="0" w:type="auto"/>
            <w:hideMark/>
          </w:tcPr>
          <w:p w14:paraId="2B9021E8" w14:textId="77777777" w:rsidR="007042DF" w:rsidRPr="00B32307" w:rsidRDefault="007042DF" w:rsidP="00275697">
            <w:pPr>
              <w:spacing w:after="0" w:line="240" w:lineRule="auto"/>
              <w:jc w:val="left"/>
              <w:rPr>
                <w:rFonts w:eastAsia="Times New Roman" w:cs="Times New Roman"/>
                <w:szCs w:val="24"/>
                <w:lang w:val="en-GB"/>
              </w:rPr>
            </w:pPr>
            <w:r w:rsidRPr="00B32307">
              <w:rPr>
                <w:rFonts w:eastAsia="Times New Roman" w:cs="Times New Roman"/>
                <w:szCs w:val="24"/>
                <w:lang w:val="en-GB"/>
              </w:rPr>
              <w:t>Broad</w:t>
            </w:r>
            <w:r w:rsidR="00275697" w:rsidRPr="00B32307">
              <w:rPr>
                <w:rFonts w:eastAsia="Times New Roman" w:cs="Times New Roman"/>
                <w:szCs w:val="24"/>
                <w:lang w:val="en-GB"/>
              </w:rPr>
              <w:t>,</w:t>
            </w:r>
            <w:r w:rsidRPr="00B32307">
              <w:rPr>
                <w:rFonts w:eastAsia="Times New Roman" w:cs="Times New Roman"/>
                <w:szCs w:val="24"/>
                <w:lang w:val="en-GB"/>
              </w:rPr>
              <w:t xml:space="preserve"> controversial claims</w:t>
            </w:r>
          </w:p>
        </w:tc>
        <w:tc>
          <w:tcPr>
            <w:tcW w:w="0" w:type="auto"/>
            <w:hideMark/>
          </w:tcPr>
          <w:p w14:paraId="5371992C"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Multifactorial determinants</w:t>
            </w:r>
          </w:p>
        </w:tc>
        <w:tc>
          <w:tcPr>
            <w:tcW w:w="0" w:type="auto"/>
            <w:hideMark/>
          </w:tcPr>
          <w:p w14:paraId="480E094C"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Risk factors</w:t>
            </w:r>
          </w:p>
        </w:tc>
        <w:tc>
          <w:tcPr>
            <w:tcW w:w="0" w:type="auto"/>
            <w:hideMark/>
          </w:tcPr>
          <w:p w14:paraId="5D877A0E"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Not central to camouflaging</w:t>
            </w:r>
          </w:p>
        </w:tc>
      </w:tr>
      <w:tr w:rsidR="007042DF" w:rsidRPr="00B32307" w14:paraId="2BE31E98" w14:textId="77777777" w:rsidTr="007042DF">
        <w:tc>
          <w:tcPr>
            <w:tcW w:w="0" w:type="auto"/>
            <w:hideMark/>
          </w:tcPr>
          <w:p w14:paraId="24878C6A"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Davies, 2022</w:t>
            </w:r>
          </w:p>
        </w:tc>
        <w:tc>
          <w:tcPr>
            <w:tcW w:w="0" w:type="auto"/>
            <w:hideMark/>
          </w:tcPr>
          <w:p w14:paraId="7F228922"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Neurodiversity &amp; music therapy</w:t>
            </w:r>
          </w:p>
        </w:tc>
        <w:tc>
          <w:tcPr>
            <w:tcW w:w="0" w:type="auto"/>
            <w:hideMark/>
          </w:tcPr>
          <w:p w14:paraId="6AF3DA41"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Theoretical perspective</w:t>
            </w:r>
          </w:p>
        </w:tc>
        <w:tc>
          <w:tcPr>
            <w:tcW w:w="0" w:type="auto"/>
            <w:hideMark/>
          </w:tcPr>
          <w:p w14:paraId="2808E806"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Insider narrative</w:t>
            </w:r>
          </w:p>
        </w:tc>
        <w:tc>
          <w:tcPr>
            <w:tcW w:w="0" w:type="auto"/>
            <w:hideMark/>
          </w:tcPr>
          <w:p w14:paraId="78BA041F"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Lived experience; limited empirical data</w:t>
            </w:r>
          </w:p>
        </w:tc>
        <w:tc>
          <w:tcPr>
            <w:tcW w:w="0" w:type="auto"/>
            <w:hideMark/>
          </w:tcPr>
          <w:p w14:paraId="133D0037"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Autism as identity</w:t>
            </w:r>
          </w:p>
        </w:tc>
        <w:tc>
          <w:tcPr>
            <w:tcW w:w="0" w:type="auto"/>
            <w:hideMark/>
          </w:tcPr>
          <w:p w14:paraId="263E077D"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Neurodiversity</w:t>
            </w:r>
          </w:p>
        </w:tc>
        <w:tc>
          <w:tcPr>
            <w:tcW w:w="0" w:type="auto"/>
            <w:hideMark/>
          </w:tcPr>
          <w:p w14:paraId="34B20128"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Supports identity framing</w:t>
            </w:r>
          </w:p>
        </w:tc>
      </w:tr>
      <w:tr w:rsidR="007042DF" w:rsidRPr="00B32307" w14:paraId="6811FB89" w14:textId="77777777" w:rsidTr="007042DF">
        <w:tc>
          <w:tcPr>
            <w:tcW w:w="0" w:type="auto"/>
            <w:hideMark/>
          </w:tcPr>
          <w:p w14:paraId="43197680"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Thorneycroft, 2024</w:t>
            </w:r>
          </w:p>
        </w:tc>
        <w:tc>
          <w:tcPr>
            <w:tcW w:w="0" w:type="auto"/>
            <w:hideMark/>
          </w:tcPr>
          <w:p w14:paraId="42E3D8B4"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Social model critique</w:t>
            </w:r>
          </w:p>
        </w:tc>
        <w:tc>
          <w:tcPr>
            <w:tcW w:w="0" w:type="auto"/>
            <w:hideMark/>
          </w:tcPr>
          <w:p w14:paraId="39FD40D1"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Theoretical critique</w:t>
            </w:r>
          </w:p>
        </w:tc>
        <w:tc>
          <w:tcPr>
            <w:tcW w:w="0" w:type="auto"/>
            <w:hideMark/>
          </w:tcPr>
          <w:p w14:paraId="43AC5A15"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Disability scholarship</w:t>
            </w:r>
          </w:p>
        </w:tc>
        <w:tc>
          <w:tcPr>
            <w:tcW w:w="0" w:type="auto"/>
            <w:hideMark/>
          </w:tcPr>
          <w:p w14:paraId="4608AE65"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Critical depth; abstract</w:t>
            </w:r>
          </w:p>
        </w:tc>
        <w:tc>
          <w:tcPr>
            <w:tcW w:w="0" w:type="auto"/>
            <w:hideMark/>
          </w:tcPr>
          <w:p w14:paraId="56173F91"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Impairment/disability blurred</w:t>
            </w:r>
          </w:p>
        </w:tc>
        <w:tc>
          <w:tcPr>
            <w:tcW w:w="0" w:type="auto"/>
            <w:hideMark/>
          </w:tcPr>
          <w:p w14:paraId="54EE8693"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Social model limits</w:t>
            </w:r>
          </w:p>
        </w:tc>
        <w:tc>
          <w:tcPr>
            <w:tcW w:w="0" w:type="auto"/>
            <w:hideMark/>
          </w:tcPr>
          <w:p w14:paraId="5DAD9AA1"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Supports theoretical critique</w:t>
            </w:r>
          </w:p>
        </w:tc>
      </w:tr>
      <w:tr w:rsidR="007042DF" w:rsidRPr="00B32307" w14:paraId="2D17BE34" w14:textId="77777777" w:rsidTr="007042DF">
        <w:tc>
          <w:tcPr>
            <w:tcW w:w="0" w:type="auto"/>
            <w:hideMark/>
          </w:tcPr>
          <w:p w14:paraId="14EBA9F0"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Carpita et al., 2025</w:t>
            </w:r>
          </w:p>
        </w:tc>
        <w:tc>
          <w:tcPr>
            <w:tcW w:w="0" w:type="auto"/>
            <w:hideMark/>
          </w:tcPr>
          <w:p w14:paraId="2FE316A2"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Camouflaging &amp; ED severity</w:t>
            </w:r>
          </w:p>
        </w:tc>
        <w:tc>
          <w:tcPr>
            <w:tcW w:w="0" w:type="auto"/>
            <w:hideMark/>
          </w:tcPr>
          <w:p w14:paraId="35E81267"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Quantitative</w:t>
            </w:r>
          </w:p>
        </w:tc>
        <w:tc>
          <w:tcPr>
            <w:tcW w:w="0" w:type="auto"/>
            <w:hideMark/>
          </w:tcPr>
          <w:p w14:paraId="2316D32F"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70 ED; 50 controls</w:t>
            </w:r>
          </w:p>
        </w:tc>
        <w:tc>
          <w:tcPr>
            <w:tcW w:w="0" w:type="auto"/>
            <w:hideMark/>
          </w:tcPr>
          <w:p w14:paraId="3DB07CC7" w14:textId="77777777" w:rsidR="007042DF" w:rsidRPr="00B32307" w:rsidRDefault="007042DF" w:rsidP="00275697">
            <w:pPr>
              <w:spacing w:after="0" w:line="240" w:lineRule="auto"/>
              <w:jc w:val="left"/>
              <w:rPr>
                <w:rFonts w:eastAsia="Times New Roman" w:cs="Times New Roman"/>
                <w:szCs w:val="24"/>
                <w:lang w:val="en-GB"/>
              </w:rPr>
            </w:pPr>
            <w:r w:rsidRPr="00B32307">
              <w:rPr>
                <w:rFonts w:eastAsia="Times New Roman" w:cs="Times New Roman"/>
                <w:szCs w:val="24"/>
                <w:lang w:val="en-GB"/>
              </w:rPr>
              <w:t>Clinical sample</w:t>
            </w:r>
            <w:r w:rsidR="00275697" w:rsidRPr="00B32307">
              <w:rPr>
                <w:rFonts w:eastAsia="Times New Roman" w:cs="Times New Roman"/>
                <w:szCs w:val="24"/>
                <w:lang w:val="en-GB"/>
              </w:rPr>
              <w:t>:</w:t>
            </w:r>
            <w:r w:rsidRPr="00B32307">
              <w:rPr>
                <w:rFonts w:eastAsia="Times New Roman" w:cs="Times New Roman"/>
                <w:szCs w:val="24"/>
                <w:lang w:val="en-GB"/>
              </w:rPr>
              <w:t xml:space="preserve"> small size</w:t>
            </w:r>
          </w:p>
        </w:tc>
        <w:tc>
          <w:tcPr>
            <w:tcW w:w="0" w:type="auto"/>
            <w:hideMark/>
          </w:tcPr>
          <w:p w14:paraId="36AFBBCE"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Masking predicts ED severity</w:t>
            </w:r>
          </w:p>
        </w:tc>
        <w:tc>
          <w:tcPr>
            <w:tcW w:w="0" w:type="auto"/>
            <w:hideMark/>
          </w:tcPr>
          <w:p w14:paraId="0EC49BB1"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Comorbidity</w:t>
            </w:r>
          </w:p>
        </w:tc>
        <w:tc>
          <w:tcPr>
            <w:tcW w:w="0" w:type="auto"/>
            <w:hideMark/>
          </w:tcPr>
          <w:p w14:paraId="27957E37"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Expands psychological harm</w:t>
            </w:r>
          </w:p>
        </w:tc>
      </w:tr>
      <w:tr w:rsidR="007042DF" w:rsidRPr="00B32307" w14:paraId="3F9BD012" w14:textId="77777777" w:rsidTr="007042DF">
        <w:tc>
          <w:tcPr>
            <w:tcW w:w="0" w:type="auto"/>
            <w:hideMark/>
          </w:tcPr>
          <w:p w14:paraId="02E8898A"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Khudiakova et al., 2024</w:t>
            </w:r>
          </w:p>
        </w:tc>
        <w:tc>
          <w:tcPr>
            <w:tcW w:w="0" w:type="auto"/>
            <w:hideMark/>
          </w:tcPr>
          <w:p w14:paraId="2DF132E6"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Camouflaging &amp; wellbeing review</w:t>
            </w:r>
          </w:p>
        </w:tc>
        <w:tc>
          <w:tcPr>
            <w:tcW w:w="0" w:type="auto"/>
            <w:hideMark/>
          </w:tcPr>
          <w:p w14:paraId="193A6B24"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Narrative review</w:t>
            </w:r>
          </w:p>
        </w:tc>
        <w:tc>
          <w:tcPr>
            <w:tcW w:w="0" w:type="auto"/>
            <w:hideMark/>
          </w:tcPr>
          <w:p w14:paraId="712CF66D"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Literature review</w:t>
            </w:r>
          </w:p>
        </w:tc>
        <w:tc>
          <w:tcPr>
            <w:tcW w:w="0" w:type="auto"/>
            <w:hideMark/>
          </w:tcPr>
          <w:p w14:paraId="64F6B632"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Identifies inconsistencies</w:t>
            </w:r>
          </w:p>
        </w:tc>
        <w:tc>
          <w:tcPr>
            <w:tcW w:w="0" w:type="auto"/>
            <w:hideMark/>
          </w:tcPr>
          <w:p w14:paraId="67B88D14"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Masking linked to mixed outcomes</w:t>
            </w:r>
          </w:p>
        </w:tc>
        <w:tc>
          <w:tcPr>
            <w:tcW w:w="0" w:type="auto"/>
            <w:hideMark/>
          </w:tcPr>
          <w:p w14:paraId="2E092E34"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Impression management</w:t>
            </w:r>
          </w:p>
        </w:tc>
        <w:tc>
          <w:tcPr>
            <w:tcW w:w="0" w:type="auto"/>
            <w:hideMark/>
          </w:tcPr>
          <w:p w14:paraId="313E56FC"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Theoretical nuance</w:t>
            </w:r>
          </w:p>
        </w:tc>
      </w:tr>
      <w:tr w:rsidR="007042DF" w:rsidRPr="00B32307" w14:paraId="2356A03B" w14:textId="77777777" w:rsidTr="007042DF">
        <w:tc>
          <w:tcPr>
            <w:tcW w:w="0" w:type="auto"/>
            <w:hideMark/>
          </w:tcPr>
          <w:p w14:paraId="578A2A2A" w14:textId="77777777" w:rsidR="007042DF" w:rsidRPr="00B32307" w:rsidRDefault="00692C30"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Frost and</w:t>
            </w:r>
            <w:r w:rsidR="007042DF" w:rsidRPr="00B32307">
              <w:rPr>
                <w:rFonts w:eastAsia="Times New Roman" w:cs="Times New Roman"/>
                <w:szCs w:val="24"/>
                <w:lang w:val="en-GB"/>
              </w:rPr>
              <w:t xml:space="preserve"> Meyer, 2023</w:t>
            </w:r>
          </w:p>
        </w:tc>
        <w:tc>
          <w:tcPr>
            <w:tcW w:w="0" w:type="auto"/>
            <w:hideMark/>
          </w:tcPr>
          <w:p w14:paraId="6A806F1D"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Minority Stress Theory</w:t>
            </w:r>
          </w:p>
        </w:tc>
        <w:tc>
          <w:tcPr>
            <w:tcW w:w="0" w:type="auto"/>
            <w:hideMark/>
          </w:tcPr>
          <w:p w14:paraId="5C338DEA"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Theoretical review</w:t>
            </w:r>
          </w:p>
        </w:tc>
        <w:tc>
          <w:tcPr>
            <w:tcW w:w="0" w:type="auto"/>
            <w:hideMark/>
          </w:tcPr>
          <w:p w14:paraId="40D836CE"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Model review</w:t>
            </w:r>
          </w:p>
        </w:tc>
        <w:tc>
          <w:tcPr>
            <w:tcW w:w="0" w:type="auto"/>
            <w:hideMark/>
          </w:tcPr>
          <w:p w14:paraId="41BB4CC9"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Strong theoretical base</w:t>
            </w:r>
          </w:p>
        </w:tc>
        <w:tc>
          <w:tcPr>
            <w:tcW w:w="0" w:type="auto"/>
            <w:hideMark/>
          </w:tcPr>
          <w:p w14:paraId="497D8D97"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Minority stress → mental health</w:t>
            </w:r>
          </w:p>
        </w:tc>
        <w:tc>
          <w:tcPr>
            <w:tcW w:w="0" w:type="auto"/>
            <w:hideMark/>
          </w:tcPr>
          <w:p w14:paraId="70ADBA23"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Distal/proximal stress</w:t>
            </w:r>
          </w:p>
        </w:tc>
        <w:tc>
          <w:tcPr>
            <w:tcW w:w="0" w:type="auto"/>
            <w:hideMark/>
          </w:tcPr>
          <w:p w14:paraId="53CABA37"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Core theoretical source</w:t>
            </w:r>
          </w:p>
        </w:tc>
      </w:tr>
      <w:tr w:rsidR="007042DF" w:rsidRPr="00B32307" w14:paraId="61E3B35D" w14:textId="77777777" w:rsidTr="007042DF">
        <w:tc>
          <w:tcPr>
            <w:tcW w:w="0" w:type="auto"/>
            <w:hideMark/>
          </w:tcPr>
          <w:p w14:paraId="4D4DBF84"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Pryke-Hobbes et al., 2023</w:t>
            </w:r>
          </w:p>
        </w:tc>
        <w:tc>
          <w:tcPr>
            <w:tcW w:w="0" w:type="auto"/>
            <w:hideMark/>
          </w:tcPr>
          <w:p w14:paraId="3AB8FAC1"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Workplace masking</w:t>
            </w:r>
          </w:p>
        </w:tc>
        <w:tc>
          <w:tcPr>
            <w:tcW w:w="0" w:type="auto"/>
            <w:hideMark/>
          </w:tcPr>
          <w:p w14:paraId="657882BF"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Qualitative</w:t>
            </w:r>
          </w:p>
        </w:tc>
        <w:tc>
          <w:tcPr>
            <w:tcW w:w="0" w:type="auto"/>
            <w:hideMark/>
          </w:tcPr>
          <w:p w14:paraId="5B3CC1E9"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285 autistic + comparison groups</w:t>
            </w:r>
          </w:p>
        </w:tc>
        <w:tc>
          <w:tcPr>
            <w:tcW w:w="0" w:type="auto"/>
            <w:hideMark/>
          </w:tcPr>
          <w:p w14:paraId="44E7F065"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Large sample; workplace focus</w:t>
            </w:r>
          </w:p>
        </w:tc>
        <w:tc>
          <w:tcPr>
            <w:tcW w:w="0" w:type="auto"/>
            <w:hideMark/>
          </w:tcPr>
          <w:p w14:paraId="10FE29FC" w14:textId="77777777" w:rsidR="007042DF" w:rsidRPr="00B32307" w:rsidRDefault="007042DF" w:rsidP="00275697">
            <w:pPr>
              <w:spacing w:after="0" w:line="240" w:lineRule="auto"/>
              <w:jc w:val="left"/>
              <w:rPr>
                <w:rFonts w:eastAsia="Times New Roman" w:cs="Times New Roman"/>
                <w:szCs w:val="24"/>
                <w:lang w:val="en-GB"/>
              </w:rPr>
            </w:pPr>
            <w:r w:rsidRPr="00B32307">
              <w:rPr>
                <w:rFonts w:eastAsia="Times New Roman" w:cs="Times New Roman"/>
                <w:szCs w:val="24"/>
                <w:lang w:val="en-GB"/>
              </w:rPr>
              <w:t xml:space="preserve">Masking protects against job </w:t>
            </w:r>
            <w:r w:rsidR="00275697" w:rsidRPr="00B32307">
              <w:rPr>
                <w:rFonts w:eastAsia="Times New Roman" w:cs="Times New Roman"/>
                <w:szCs w:val="24"/>
                <w:lang w:val="en-GB"/>
              </w:rPr>
              <w:t>threats</w:t>
            </w:r>
          </w:p>
        </w:tc>
        <w:tc>
          <w:tcPr>
            <w:tcW w:w="0" w:type="auto"/>
            <w:hideMark/>
          </w:tcPr>
          <w:p w14:paraId="019D737B"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Employment pressure</w:t>
            </w:r>
          </w:p>
        </w:tc>
        <w:tc>
          <w:tcPr>
            <w:tcW w:w="0" w:type="auto"/>
            <w:hideMark/>
          </w:tcPr>
          <w:p w14:paraId="1063DB60"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Strong social driver evidence</w:t>
            </w:r>
          </w:p>
        </w:tc>
      </w:tr>
      <w:tr w:rsidR="007042DF" w:rsidRPr="00B32307" w14:paraId="4801C1DC" w14:textId="77777777" w:rsidTr="007042DF">
        <w:tc>
          <w:tcPr>
            <w:tcW w:w="0" w:type="auto"/>
            <w:hideMark/>
          </w:tcPr>
          <w:p w14:paraId="7764D2AF"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Albulescu et al., 2022</w:t>
            </w:r>
          </w:p>
        </w:tc>
        <w:tc>
          <w:tcPr>
            <w:tcW w:w="0" w:type="auto"/>
            <w:hideMark/>
          </w:tcPr>
          <w:p w14:paraId="71F36846"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Micro-break meta-analysis</w:t>
            </w:r>
          </w:p>
        </w:tc>
        <w:tc>
          <w:tcPr>
            <w:tcW w:w="0" w:type="auto"/>
            <w:hideMark/>
          </w:tcPr>
          <w:p w14:paraId="21F44A6E"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Meta-analysis</w:t>
            </w:r>
          </w:p>
        </w:tc>
        <w:tc>
          <w:tcPr>
            <w:tcW w:w="0" w:type="auto"/>
            <w:hideMark/>
          </w:tcPr>
          <w:p w14:paraId="33D82153"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22 studies (N=2335)</w:t>
            </w:r>
          </w:p>
        </w:tc>
        <w:tc>
          <w:tcPr>
            <w:tcW w:w="0" w:type="auto"/>
            <w:hideMark/>
          </w:tcPr>
          <w:p w14:paraId="05832BF2" w14:textId="77777777" w:rsidR="007042DF" w:rsidRPr="00B32307" w:rsidRDefault="007042DF" w:rsidP="00275697">
            <w:pPr>
              <w:spacing w:after="0" w:line="240" w:lineRule="auto"/>
              <w:jc w:val="left"/>
              <w:rPr>
                <w:rFonts w:eastAsia="Times New Roman" w:cs="Times New Roman"/>
                <w:szCs w:val="24"/>
                <w:lang w:val="en-GB"/>
              </w:rPr>
            </w:pPr>
            <w:r w:rsidRPr="00B32307">
              <w:rPr>
                <w:rFonts w:eastAsia="Times New Roman" w:cs="Times New Roman"/>
                <w:szCs w:val="24"/>
                <w:lang w:val="en-GB"/>
              </w:rPr>
              <w:t xml:space="preserve">High </w:t>
            </w:r>
            <w:r w:rsidR="00275697" w:rsidRPr="00B32307">
              <w:rPr>
                <w:rFonts w:eastAsia="Times New Roman" w:cs="Times New Roman"/>
                <w:szCs w:val="24"/>
                <w:lang w:val="en-GB"/>
              </w:rPr>
              <w:t>rigour</w:t>
            </w:r>
            <w:r w:rsidRPr="00B32307">
              <w:rPr>
                <w:rFonts w:eastAsia="Times New Roman" w:cs="Times New Roman"/>
                <w:szCs w:val="24"/>
                <w:lang w:val="en-GB"/>
              </w:rPr>
              <w:t>; indirect link</w:t>
            </w:r>
          </w:p>
        </w:tc>
        <w:tc>
          <w:tcPr>
            <w:tcW w:w="0" w:type="auto"/>
            <w:hideMark/>
          </w:tcPr>
          <w:p w14:paraId="14399EA3"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Breaks reduce fatigue</w:t>
            </w:r>
          </w:p>
        </w:tc>
        <w:tc>
          <w:tcPr>
            <w:tcW w:w="0" w:type="auto"/>
            <w:hideMark/>
          </w:tcPr>
          <w:p w14:paraId="01877DC7"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Recovery</w:t>
            </w:r>
          </w:p>
        </w:tc>
        <w:tc>
          <w:tcPr>
            <w:tcW w:w="0" w:type="auto"/>
            <w:hideMark/>
          </w:tcPr>
          <w:p w14:paraId="45F0F55D"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Indirect burnout context</w:t>
            </w:r>
          </w:p>
        </w:tc>
      </w:tr>
      <w:tr w:rsidR="007042DF" w:rsidRPr="00B32307" w14:paraId="603E283F" w14:textId="77777777" w:rsidTr="007042DF">
        <w:tc>
          <w:tcPr>
            <w:tcW w:w="0" w:type="auto"/>
            <w:hideMark/>
          </w:tcPr>
          <w:p w14:paraId="0676E865"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Gucciardi et al., 2026</w:t>
            </w:r>
          </w:p>
        </w:tc>
        <w:tc>
          <w:tcPr>
            <w:tcW w:w="0" w:type="auto"/>
            <w:hideMark/>
          </w:tcPr>
          <w:p w14:paraId="1ABE2B82"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Stress regulation theory</w:t>
            </w:r>
          </w:p>
        </w:tc>
        <w:tc>
          <w:tcPr>
            <w:tcW w:w="0" w:type="auto"/>
            <w:hideMark/>
          </w:tcPr>
          <w:p w14:paraId="0C97D247"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Theoretical</w:t>
            </w:r>
          </w:p>
        </w:tc>
        <w:tc>
          <w:tcPr>
            <w:tcW w:w="0" w:type="auto"/>
            <w:hideMark/>
          </w:tcPr>
          <w:p w14:paraId="376A9C2D"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Conceptual</w:t>
            </w:r>
          </w:p>
        </w:tc>
        <w:tc>
          <w:tcPr>
            <w:tcW w:w="0" w:type="auto"/>
            <w:hideMark/>
          </w:tcPr>
          <w:p w14:paraId="0FF62E89"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Integrative model</w:t>
            </w:r>
          </w:p>
        </w:tc>
        <w:tc>
          <w:tcPr>
            <w:tcW w:w="0" w:type="auto"/>
            <w:hideMark/>
          </w:tcPr>
          <w:p w14:paraId="7263FC7B"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Stress = goal conflict</w:t>
            </w:r>
          </w:p>
        </w:tc>
        <w:tc>
          <w:tcPr>
            <w:tcW w:w="0" w:type="auto"/>
            <w:hideMark/>
          </w:tcPr>
          <w:p w14:paraId="00D9FC2A"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Perceptual control</w:t>
            </w:r>
          </w:p>
        </w:tc>
        <w:tc>
          <w:tcPr>
            <w:tcW w:w="0" w:type="auto"/>
            <w:hideMark/>
          </w:tcPr>
          <w:p w14:paraId="45AB85F0"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Links to discrepancy stress</w:t>
            </w:r>
          </w:p>
        </w:tc>
      </w:tr>
      <w:tr w:rsidR="007042DF" w:rsidRPr="00B32307" w14:paraId="39480675" w14:textId="77777777" w:rsidTr="007042DF">
        <w:tc>
          <w:tcPr>
            <w:tcW w:w="0" w:type="auto"/>
            <w:hideMark/>
          </w:tcPr>
          <w:p w14:paraId="4B9AD8F2"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Hu et al., 2022</w:t>
            </w:r>
          </w:p>
        </w:tc>
        <w:tc>
          <w:tcPr>
            <w:tcW w:w="0" w:type="auto"/>
            <w:hideMark/>
          </w:tcPr>
          <w:p w14:paraId="0E819083"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Self-discrepancy review</w:t>
            </w:r>
          </w:p>
        </w:tc>
        <w:tc>
          <w:tcPr>
            <w:tcW w:w="0" w:type="auto"/>
            <w:hideMark/>
          </w:tcPr>
          <w:p w14:paraId="1B91A7D7"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Literature review</w:t>
            </w:r>
          </w:p>
        </w:tc>
        <w:tc>
          <w:tcPr>
            <w:tcW w:w="0" w:type="auto"/>
            <w:hideMark/>
          </w:tcPr>
          <w:p w14:paraId="3DE0AA10"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37 studies</w:t>
            </w:r>
          </w:p>
        </w:tc>
        <w:tc>
          <w:tcPr>
            <w:tcW w:w="0" w:type="auto"/>
            <w:hideMark/>
          </w:tcPr>
          <w:p w14:paraId="6EE9022C"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Strong theory link</w:t>
            </w:r>
          </w:p>
        </w:tc>
        <w:tc>
          <w:tcPr>
            <w:tcW w:w="0" w:type="auto"/>
            <w:hideMark/>
          </w:tcPr>
          <w:p w14:paraId="7C05546E"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Discrepancy → impression management</w:t>
            </w:r>
          </w:p>
        </w:tc>
        <w:tc>
          <w:tcPr>
            <w:tcW w:w="0" w:type="auto"/>
            <w:hideMark/>
          </w:tcPr>
          <w:p w14:paraId="7385094D"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Self-concept</w:t>
            </w:r>
          </w:p>
        </w:tc>
        <w:tc>
          <w:tcPr>
            <w:tcW w:w="0" w:type="auto"/>
            <w:hideMark/>
          </w:tcPr>
          <w:p w14:paraId="51C2CD3A"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Supports Self-Discrepancy Theory</w:t>
            </w:r>
          </w:p>
        </w:tc>
      </w:tr>
      <w:tr w:rsidR="007042DF" w:rsidRPr="00B32307" w14:paraId="268EBD9C" w14:textId="77777777" w:rsidTr="007042DF">
        <w:tc>
          <w:tcPr>
            <w:tcW w:w="0" w:type="auto"/>
            <w:hideMark/>
          </w:tcPr>
          <w:p w14:paraId="1B2C8EEC"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Pérez-Arqueros et al., 2025</w:t>
            </w:r>
          </w:p>
        </w:tc>
        <w:tc>
          <w:tcPr>
            <w:tcW w:w="0" w:type="auto"/>
            <w:hideMark/>
          </w:tcPr>
          <w:p w14:paraId="1773B41A"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Camouflaging &amp; suicide</w:t>
            </w:r>
          </w:p>
        </w:tc>
        <w:tc>
          <w:tcPr>
            <w:tcW w:w="0" w:type="auto"/>
            <w:hideMark/>
          </w:tcPr>
          <w:p w14:paraId="4CD0FE0B"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Systematic review</w:t>
            </w:r>
          </w:p>
        </w:tc>
        <w:tc>
          <w:tcPr>
            <w:tcW w:w="0" w:type="auto"/>
            <w:hideMark/>
          </w:tcPr>
          <w:p w14:paraId="08AED978"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11 studies</w:t>
            </w:r>
          </w:p>
        </w:tc>
        <w:tc>
          <w:tcPr>
            <w:tcW w:w="0" w:type="auto"/>
            <w:hideMark/>
          </w:tcPr>
          <w:p w14:paraId="36D99288"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PRISMA method; small pool</w:t>
            </w:r>
          </w:p>
        </w:tc>
        <w:tc>
          <w:tcPr>
            <w:tcW w:w="0" w:type="auto"/>
            <w:hideMark/>
          </w:tcPr>
          <w:p w14:paraId="53D73F40"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Masking linked to suicidality</w:t>
            </w:r>
          </w:p>
        </w:tc>
        <w:tc>
          <w:tcPr>
            <w:tcW w:w="0" w:type="auto"/>
            <w:hideMark/>
          </w:tcPr>
          <w:p w14:paraId="03A25DE9"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Suicide risk</w:t>
            </w:r>
          </w:p>
        </w:tc>
        <w:tc>
          <w:tcPr>
            <w:tcW w:w="0" w:type="auto"/>
            <w:hideMark/>
          </w:tcPr>
          <w:p w14:paraId="06F95717"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Critical risk evidence</w:t>
            </w:r>
          </w:p>
        </w:tc>
      </w:tr>
      <w:tr w:rsidR="007042DF" w:rsidRPr="00B32307" w14:paraId="008E0B27" w14:textId="77777777" w:rsidTr="007042DF">
        <w:tc>
          <w:tcPr>
            <w:tcW w:w="0" w:type="auto"/>
            <w:hideMark/>
          </w:tcPr>
          <w:p w14:paraId="4D0CE29C"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Newell et al., 2023</w:t>
            </w:r>
          </w:p>
        </w:tc>
        <w:tc>
          <w:tcPr>
            <w:tcW w:w="0" w:type="auto"/>
            <w:hideMark/>
          </w:tcPr>
          <w:p w14:paraId="025E6BD1"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Suicidality meta-analysis</w:t>
            </w:r>
          </w:p>
        </w:tc>
        <w:tc>
          <w:tcPr>
            <w:tcW w:w="0" w:type="auto"/>
            <w:hideMark/>
          </w:tcPr>
          <w:p w14:paraId="7B5AEF0A"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Meta-analysis</w:t>
            </w:r>
          </w:p>
        </w:tc>
        <w:tc>
          <w:tcPr>
            <w:tcW w:w="0" w:type="auto"/>
            <w:hideMark/>
          </w:tcPr>
          <w:p w14:paraId="6A9142BA"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48,186 participants</w:t>
            </w:r>
          </w:p>
        </w:tc>
        <w:tc>
          <w:tcPr>
            <w:tcW w:w="0" w:type="auto"/>
            <w:hideMark/>
          </w:tcPr>
          <w:p w14:paraId="61B9C025"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Large dataset; high heterogeneity</w:t>
            </w:r>
          </w:p>
        </w:tc>
        <w:tc>
          <w:tcPr>
            <w:tcW w:w="0" w:type="auto"/>
            <w:hideMark/>
          </w:tcPr>
          <w:p w14:paraId="2E0D3ED5"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High suicide prevalence</w:t>
            </w:r>
          </w:p>
        </w:tc>
        <w:tc>
          <w:tcPr>
            <w:tcW w:w="0" w:type="auto"/>
            <w:hideMark/>
          </w:tcPr>
          <w:p w14:paraId="4D3040BA"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Suicidality</w:t>
            </w:r>
          </w:p>
        </w:tc>
        <w:tc>
          <w:tcPr>
            <w:tcW w:w="0" w:type="auto"/>
            <w:hideMark/>
          </w:tcPr>
          <w:p w14:paraId="4F30071F"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Contextual mental health risk</w:t>
            </w:r>
          </w:p>
        </w:tc>
      </w:tr>
      <w:tr w:rsidR="007042DF" w:rsidRPr="00B32307" w14:paraId="1B82B9AA" w14:textId="77777777" w:rsidTr="007042DF">
        <w:tc>
          <w:tcPr>
            <w:tcW w:w="0" w:type="auto"/>
            <w:hideMark/>
          </w:tcPr>
          <w:p w14:paraId="644E974E"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Aylward et al., 2021</w:t>
            </w:r>
          </w:p>
        </w:tc>
        <w:tc>
          <w:tcPr>
            <w:tcW w:w="0" w:type="auto"/>
            <w:hideMark/>
          </w:tcPr>
          <w:p w14:paraId="360F77C2"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Diagnostic disparities</w:t>
            </w:r>
          </w:p>
        </w:tc>
        <w:tc>
          <w:tcPr>
            <w:tcW w:w="0" w:type="auto"/>
            <w:hideMark/>
          </w:tcPr>
          <w:p w14:paraId="0A722C6A"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Theoretical analysis</w:t>
            </w:r>
          </w:p>
        </w:tc>
        <w:tc>
          <w:tcPr>
            <w:tcW w:w="0" w:type="auto"/>
            <w:hideMark/>
          </w:tcPr>
          <w:p w14:paraId="591E974D"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Biosocial-ecological</w:t>
            </w:r>
          </w:p>
        </w:tc>
        <w:tc>
          <w:tcPr>
            <w:tcW w:w="0" w:type="auto"/>
            <w:hideMark/>
          </w:tcPr>
          <w:p w14:paraId="059F590A"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Structural focus</w:t>
            </w:r>
          </w:p>
        </w:tc>
        <w:tc>
          <w:tcPr>
            <w:tcW w:w="0" w:type="auto"/>
            <w:hideMark/>
          </w:tcPr>
          <w:p w14:paraId="4D2795F8"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Racial disparities</w:t>
            </w:r>
          </w:p>
        </w:tc>
        <w:tc>
          <w:tcPr>
            <w:tcW w:w="0" w:type="auto"/>
            <w:hideMark/>
          </w:tcPr>
          <w:p w14:paraId="02B133EC"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Systemic bias</w:t>
            </w:r>
          </w:p>
        </w:tc>
        <w:tc>
          <w:tcPr>
            <w:tcW w:w="0" w:type="auto"/>
            <w:hideMark/>
          </w:tcPr>
          <w:p w14:paraId="63219CA1"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Supports structural inequality</w:t>
            </w:r>
          </w:p>
        </w:tc>
      </w:tr>
      <w:tr w:rsidR="007042DF" w:rsidRPr="00B32307" w14:paraId="68510EF7" w14:textId="77777777" w:rsidTr="007042DF">
        <w:tc>
          <w:tcPr>
            <w:tcW w:w="0" w:type="auto"/>
            <w:hideMark/>
          </w:tcPr>
          <w:p w14:paraId="01196BD4" w14:textId="77777777" w:rsidR="007042DF" w:rsidRPr="00B32307" w:rsidRDefault="00692C30"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Karwowska and</w:t>
            </w:r>
            <w:r w:rsidR="007042DF" w:rsidRPr="00B32307">
              <w:rPr>
                <w:rFonts w:eastAsia="Times New Roman" w:cs="Times New Roman"/>
                <w:szCs w:val="24"/>
                <w:lang w:val="en-GB"/>
              </w:rPr>
              <w:t xml:space="preserve"> Majewski, 2025</w:t>
            </w:r>
          </w:p>
        </w:tc>
        <w:tc>
          <w:tcPr>
            <w:tcW w:w="0" w:type="auto"/>
            <w:hideMark/>
          </w:tcPr>
          <w:p w14:paraId="474A58EA"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Teal neurodiverse organisations</w:t>
            </w:r>
          </w:p>
        </w:tc>
        <w:tc>
          <w:tcPr>
            <w:tcW w:w="0" w:type="auto"/>
            <w:hideMark/>
          </w:tcPr>
          <w:p w14:paraId="0A41EBFE"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Conceptual</w:t>
            </w:r>
          </w:p>
        </w:tc>
        <w:tc>
          <w:tcPr>
            <w:tcW w:w="0" w:type="auto"/>
            <w:hideMark/>
          </w:tcPr>
          <w:p w14:paraId="1E072C31"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Theoretical framework</w:t>
            </w:r>
          </w:p>
        </w:tc>
        <w:tc>
          <w:tcPr>
            <w:tcW w:w="0" w:type="auto"/>
            <w:hideMark/>
          </w:tcPr>
          <w:p w14:paraId="14372121" w14:textId="77777777" w:rsidR="007042DF" w:rsidRPr="00B32307" w:rsidRDefault="007042DF" w:rsidP="00275697">
            <w:pPr>
              <w:spacing w:after="0" w:line="240" w:lineRule="auto"/>
              <w:jc w:val="left"/>
              <w:rPr>
                <w:rFonts w:eastAsia="Times New Roman" w:cs="Times New Roman"/>
                <w:szCs w:val="24"/>
                <w:lang w:val="en-GB"/>
              </w:rPr>
            </w:pPr>
            <w:r w:rsidRPr="00B32307">
              <w:rPr>
                <w:rFonts w:eastAsia="Times New Roman" w:cs="Times New Roman"/>
                <w:szCs w:val="24"/>
                <w:lang w:val="en-GB"/>
              </w:rPr>
              <w:t>Workplace innovation</w:t>
            </w:r>
            <w:r w:rsidR="00275697" w:rsidRPr="00B32307">
              <w:rPr>
                <w:rFonts w:eastAsia="Times New Roman" w:cs="Times New Roman"/>
                <w:szCs w:val="24"/>
                <w:lang w:val="en-GB"/>
              </w:rPr>
              <w:t>:</w:t>
            </w:r>
            <w:r w:rsidRPr="00B32307">
              <w:rPr>
                <w:rFonts w:eastAsia="Times New Roman" w:cs="Times New Roman"/>
                <w:szCs w:val="24"/>
                <w:lang w:val="en-GB"/>
              </w:rPr>
              <w:t xml:space="preserve"> conceptual</w:t>
            </w:r>
          </w:p>
        </w:tc>
        <w:tc>
          <w:tcPr>
            <w:tcW w:w="0" w:type="auto"/>
            <w:hideMark/>
          </w:tcPr>
          <w:p w14:paraId="21FEB3D9"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Strength-based inclusion</w:t>
            </w:r>
          </w:p>
        </w:tc>
        <w:tc>
          <w:tcPr>
            <w:tcW w:w="0" w:type="auto"/>
            <w:hideMark/>
          </w:tcPr>
          <w:p w14:paraId="434662E6"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Workplace adaptation</w:t>
            </w:r>
          </w:p>
        </w:tc>
        <w:tc>
          <w:tcPr>
            <w:tcW w:w="0" w:type="auto"/>
            <w:hideMark/>
          </w:tcPr>
          <w:p w14:paraId="7E4CEDF0"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Useful for recommendations</w:t>
            </w:r>
          </w:p>
        </w:tc>
      </w:tr>
      <w:tr w:rsidR="007042DF" w:rsidRPr="00B32307" w14:paraId="596A8878" w14:textId="77777777" w:rsidTr="007042DF">
        <w:tc>
          <w:tcPr>
            <w:tcW w:w="0" w:type="auto"/>
            <w:hideMark/>
          </w:tcPr>
          <w:p w14:paraId="08B80076"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Klein et al., 2024</w:t>
            </w:r>
          </w:p>
        </w:tc>
        <w:tc>
          <w:tcPr>
            <w:tcW w:w="0" w:type="auto"/>
            <w:hideMark/>
          </w:tcPr>
          <w:p w14:paraId="15F66378"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Culture &amp; emotion regulation</w:t>
            </w:r>
          </w:p>
        </w:tc>
        <w:tc>
          <w:tcPr>
            <w:tcW w:w="0" w:type="auto"/>
            <w:hideMark/>
          </w:tcPr>
          <w:p w14:paraId="2852B9B4"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Cross-cultural</w:t>
            </w:r>
          </w:p>
        </w:tc>
        <w:tc>
          <w:tcPr>
            <w:tcW w:w="0" w:type="auto"/>
            <w:hideMark/>
          </w:tcPr>
          <w:p w14:paraId="08AAF055"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5900 students</w:t>
            </w:r>
          </w:p>
        </w:tc>
        <w:tc>
          <w:tcPr>
            <w:tcW w:w="0" w:type="auto"/>
            <w:hideMark/>
          </w:tcPr>
          <w:p w14:paraId="20D29A5D"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Large N; not autism-specific</w:t>
            </w:r>
          </w:p>
        </w:tc>
        <w:tc>
          <w:tcPr>
            <w:tcW w:w="0" w:type="auto"/>
            <w:hideMark/>
          </w:tcPr>
          <w:p w14:paraId="4A789F14"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Culture shapes suppression</w:t>
            </w:r>
          </w:p>
        </w:tc>
        <w:tc>
          <w:tcPr>
            <w:tcW w:w="0" w:type="auto"/>
            <w:hideMark/>
          </w:tcPr>
          <w:p w14:paraId="107B8C13"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Cultural norms</w:t>
            </w:r>
          </w:p>
        </w:tc>
        <w:tc>
          <w:tcPr>
            <w:tcW w:w="0" w:type="auto"/>
            <w:hideMark/>
          </w:tcPr>
          <w:p w14:paraId="6EB96527"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International context</w:t>
            </w:r>
          </w:p>
        </w:tc>
      </w:tr>
      <w:tr w:rsidR="007042DF" w:rsidRPr="00B32307" w14:paraId="1D1DAC79" w14:textId="77777777" w:rsidTr="007042DF">
        <w:tc>
          <w:tcPr>
            <w:tcW w:w="0" w:type="auto"/>
            <w:hideMark/>
          </w:tcPr>
          <w:p w14:paraId="670254CF"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Beazley et al., 2023</w:t>
            </w:r>
          </w:p>
        </w:tc>
        <w:tc>
          <w:tcPr>
            <w:tcW w:w="0" w:type="auto"/>
            <w:hideMark/>
          </w:tcPr>
          <w:p w14:paraId="5F7C74A5"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Mental Health Bill critique</w:t>
            </w:r>
          </w:p>
        </w:tc>
        <w:tc>
          <w:tcPr>
            <w:tcW w:w="0" w:type="auto"/>
            <w:hideMark/>
          </w:tcPr>
          <w:p w14:paraId="4493C9EA"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Legal analysis</w:t>
            </w:r>
          </w:p>
        </w:tc>
        <w:tc>
          <w:tcPr>
            <w:tcW w:w="0" w:type="auto"/>
            <w:hideMark/>
          </w:tcPr>
          <w:p w14:paraId="74B5E607"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Policy review</w:t>
            </w:r>
          </w:p>
        </w:tc>
        <w:tc>
          <w:tcPr>
            <w:tcW w:w="0" w:type="auto"/>
            <w:hideMark/>
          </w:tcPr>
          <w:p w14:paraId="01469A73"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Legal insight</w:t>
            </w:r>
          </w:p>
        </w:tc>
        <w:tc>
          <w:tcPr>
            <w:tcW w:w="0" w:type="auto"/>
            <w:hideMark/>
          </w:tcPr>
          <w:p w14:paraId="0C9FE3A7"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 xml:space="preserve">Legal definition </w:t>
            </w:r>
            <w:r w:rsidR="00275697" w:rsidRPr="00B32307">
              <w:rPr>
                <w:rFonts w:eastAsia="Times New Roman" w:cs="Times New Roman"/>
                <w:szCs w:val="24"/>
                <w:lang w:val="en-GB"/>
              </w:rPr>
              <w:t xml:space="preserve">of </w:t>
            </w:r>
            <w:r w:rsidRPr="00B32307">
              <w:rPr>
                <w:rFonts w:eastAsia="Times New Roman" w:cs="Times New Roman"/>
                <w:szCs w:val="24"/>
                <w:lang w:val="en-GB"/>
              </w:rPr>
              <w:t>risks</w:t>
            </w:r>
          </w:p>
        </w:tc>
        <w:tc>
          <w:tcPr>
            <w:tcW w:w="0" w:type="auto"/>
            <w:hideMark/>
          </w:tcPr>
          <w:p w14:paraId="6CED4825"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Policy risk</w:t>
            </w:r>
          </w:p>
        </w:tc>
        <w:tc>
          <w:tcPr>
            <w:tcW w:w="0" w:type="auto"/>
            <w:hideMark/>
          </w:tcPr>
          <w:p w14:paraId="65F5ADE9"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UK policy critique</w:t>
            </w:r>
          </w:p>
        </w:tc>
      </w:tr>
      <w:tr w:rsidR="007042DF" w:rsidRPr="00B32307" w14:paraId="7C21994D" w14:textId="77777777" w:rsidTr="007042DF">
        <w:tc>
          <w:tcPr>
            <w:tcW w:w="0" w:type="auto"/>
            <w:hideMark/>
          </w:tcPr>
          <w:p w14:paraId="166E55DB"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Kentrou et al., 2024</w:t>
            </w:r>
          </w:p>
        </w:tc>
        <w:tc>
          <w:tcPr>
            <w:tcW w:w="0" w:type="auto"/>
            <w:hideMark/>
          </w:tcPr>
          <w:p w14:paraId="21E0795E"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Misdiagnosis</w:t>
            </w:r>
          </w:p>
        </w:tc>
        <w:tc>
          <w:tcPr>
            <w:tcW w:w="0" w:type="auto"/>
            <w:hideMark/>
          </w:tcPr>
          <w:p w14:paraId="3B9CD793"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Quantitative survey</w:t>
            </w:r>
          </w:p>
        </w:tc>
        <w:tc>
          <w:tcPr>
            <w:tcW w:w="0" w:type="auto"/>
            <w:hideMark/>
          </w:tcPr>
          <w:p w14:paraId="0B0706BC"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1211 adults</w:t>
            </w:r>
          </w:p>
        </w:tc>
        <w:tc>
          <w:tcPr>
            <w:tcW w:w="0" w:type="auto"/>
            <w:hideMark/>
          </w:tcPr>
          <w:p w14:paraId="279A1617"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Large N; self-report</w:t>
            </w:r>
          </w:p>
        </w:tc>
        <w:tc>
          <w:tcPr>
            <w:tcW w:w="0" w:type="auto"/>
            <w:hideMark/>
          </w:tcPr>
          <w:p w14:paraId="5D4E483F"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1 in 4 misdiagnosed</w:t>
            </w:r>
          </w:p>
        </w:tc>
        <w:tc>
          <w:tcPr>
            <w:tcW w:w="0" w:type="auto"/>
            <w:hideMark/>
          </w:tcPr>
          <w:p w14:paraId="1F367533"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Diagnostic delay</w:t>
            </w:r>
          </w:p>
        </w:tc>
        <w:tc>
          <w:tcPr>
            <w:tcW w:w="0" w:type="auto"/>
            <w:hideMark/>
          </w:tcPr>
          <w:p w14:paraId="073AF6FA"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Strong evidence</w:t>
            </w:r>
          </w:p>
        </w:tc>
      </w:tr>
      <w:tr w:rsidR="007042DF" w:rsidRPr="00B32307" w14:paraId="3D8744E9" w14:textId="77777777" w:rsidTr="007042DF">
        <w:tc>
          <w:tcPr>
            <w:tcW w:w="0" w:type="auto"/>
            <w:hideMark/>
          </w:tcPr>
          <w:p w14:paraId="30031FED"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Gongora-Salazar et al., 2022</w:t>
            </w:r>
          </w:p>
        </w:tc>
        <w:tc>
          <w:tcPr>
            <w:tcW w:w="0" w:type="auto"/>
            <w:hideMark/>
          </w:tcPr>
          <w:p w14:paraId="02EC91CE"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Commissioning ICS</w:t>
            </w:r>
          </w:p>
        </w:tc>
        <w:tc>
          <w:tcPr>
            <w:tcW w:w="0" w:type="auto"/>
            <w:hideMark/>
          </w:tcPr>
          <w:p w14:paraId="48A242FC"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Qualitative interviews</w:t>
            </w:r>
          </w:p>
        </w:tc>
        <w:tc>
          <w:tcPr>
            <w:tcW w:w="0" w:type="auto"/>
            <w:hideMark/>
          </w:tcPr>
          <w:p w14:paraId="13F08B67"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26 stakeholders</w:t>
            </w:r>
          </w:p>
        </w:tc>
        <w:tc>
          <w:tcPr>
            <w:tcW w:w="0" w:type="auto"/>
            <w:hideMark/>
          </w:tcPr>
          <w:p w14:paraId="0E20AE56"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UK context; policy level</w:t>
            </w:r>
          </w:p>
        </w:tc>
        <w:tc>
          <w:tcPr>
            <w:tcW w:w="0" w:type="auto"/>
            <w:hideMark/>
          </w:tcPr>
          <w:p w14:paraId="16CCCA66"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Barriers to integrated care</w:t>
            </w:r>
          </w:p>
        </w:tc>
        <w:tc>
          <w:tcPr>
            <w:tcW w:w="0" w:type="auto"/>
            <w:hideMark/>
          </w:tcPr>
          <w:p w14:paraId="497D6486"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Commissioning</w:t>
            </w:r>
          </w:p>
        </w:tc>
        <w:tc>
          <w:tcPr>
            <w:tcW w:w="0" w:type="auto"/>
            <w:hideMark/>
          </w:tcPr>
          <w:p w14:paraId="6A864EBB"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UK system context</w:t>
            </w:r>
          </w:p>
        </w:tc>
      </w:tr>
      <w:tr w:rsidR="007042DF" w:rsidRPr="00B32307" w14:paraId="06827E78" w14:textId="77777777" w:rsidTr="007042DF">
        <w:tc>
          <w:tcPr>
            <w:tcW w:w="0" w:type="auto"/>
            <w:hideMark/>
          </w:tcPr>
          <w:p w14:paraId="096B647B"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Zhuang et al., 2023</w:t>
            </w:r>
          </w:p>
        </w:tc>
        <w:tc>
          <w:tcPr>
            <w:tcW w:w="0" w:type="auto"/>
            <w:hideMark/>
          </w:tcPr>
          <w:p w14:paraId="77FA813F"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Camouflaging systematic review</w:t>
            </w:r>
          </w:p>
        </w:tc>
        <w:tc>
          <w:tcPr>
            <w:tcW w:w="0" w:type="auto"/>
            <w:hideMark/>
          </w:tcPr>
          <w:p w14:paraId="603D416D"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Mixed-method review</w:t>
            </w:r>
          </w:p>
        </w:tc>
        <w:tc>
          <w:tcPr>
            <w:tcW w:w="0" w:type="auto"/>
            <w:hideMark/>
          </w:tcPr>
          <w:p w14:paraId="2903CFE3"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58 studies</w:t>
            </w:r>
          </w:p>
        </w:tc>
        <w:tc>
          <w:tcPr>
            <w:tcW w:w="0" w:type="auto"/>
            <w:hideMark/>
          </w:tcPr>
          <w:p w14:paraId="124AF06A"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Comprehensive synthesis</w:t>
            </w:r>
          </w:p>
        </w:tc>
        <w:tc>
          <w:tcPr>
            <w:tcW w:w="0" w:type="auto"/>
            <w:hideMark/>
          </w:tcPr>
          <w:p w14:paraId="5FF5C7C8"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Masking → low self-esteem &amp; burnout</w:t>
            </w:r>
          </w:p>
        </w:tc>
        <w:tc>
          <w:tcPr>
            <w:tcW w:w="0" w:type="auto"/>
            <w:hideMark/>
          </w:tcPr>
          <w:p w14:paraId="72FE231D"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Identity confusion</w:t>
            </w:r>
          </w:p>
        </w:tc>
        <w:tc>
          <w:tcPr>
            <w:tcW w:w="0" w:type="auto"/>
            <w:hideMark/>
          </w:tcPr>
          <w:p w14:paraId="1A95F91D" w14:textId="77777777" w:rsidR="007042DF" w:rsidRPr="00B32307" w:rsidRDefault="007042DF" w:rsidP="007042DF">
            <w:pPr>
              <w:spacing w:after="0" w:line="240" w:lineRule="auto"/>
              <w:jc w:val="left"/>
              <w:rPr>
                <w:rFonts w:eastAsia="Times New Roman" w:cs="Times New Roman"/>
                <w:szCs w:val="24"/>
                <w:lang w:val="en-GB"/>
              </w:rPr>
            </w:pPr>
            <w:r w:rsidRPr="00B32307">
              <w:rPr>
                <w:rFonts w:eastAsia="Times New Roman" w:cs="Times New Roman"/>
                <w:szCs w:val="24"/>
                <w:lang w:val="en-GB"/>
              </w:rPr>
              <w:t>Core synthesis study</w:t>
            </w:r>
          </w:p>
        </w:tc>
      </w:tr>
    </w:tbl>
    <w:p w14:paraId="573A6628" w14:textId="77777777" w:rsidR="007042DF" w:rsidRPr="00B32307" w:rsidRDefault="007042DF" w:rsidP="007042DF">
      <w:pPr>
        <w:rPr>
          <w:rFonts w:cs="Times New Roman"/>
          <w:lang w:val="en-GB"/>
        </w:rPr>
      </w:pPr>
    </w:p>
    <w:p w14:paraId="766DFEF2" w14:textId="77777777" w:rsidR="007042DF" w:rsidRPr="00B32307" w:rsidRDefault="007042DF" w:rsidP="007042DF">
      <w:pPr>
        <w:pStyle w:val="Heading2"/>
        <w:rPr>
          <w:rFonts w:cs="Times New Roman"/>
        </w:rPr>
      </w:pPr>
      <w:bookmarkStart w:id="21" w:name="_Toc223177973"/>
      <w:r w:rsidRPr="00B32307">
        <w:rPr>
          <w:rFonts w:cs="Times New Roman"/>
        </w:rPr>
        <w:t>Appendix B</w:t>
      </w:r>
      <w:bookmarkEnd w:id="21"/>
    </w:p>
    <w:p w14:paraId="74DA71C3" w14:textId="77777777" w:rsidR="00692C30" w:rsidRPr="00B32307" w:rsidRDefault="00692C30" w:rsidP="00692C30">
      <w:pPr>
        <w:pStyle w:val="Caption"/>
        <w:keepNext/>
        <w:rPr>
          <w:rFonts w:cs="Times New Roman"/>
          <w:sz w:val="24"/>
          <w:lang w:val="en-GB"/>
        </w:rPr>
      </w:pPr>
      <w:r w:rsidRPr="00B32307">
        <w:rPr>
          <w:rFonts w:cs="Times New Roman"/>
          <w:sz w:val="24"/>
          <w:lang w:val="en-GB"/>
        </w:rPr>
        <w:t xml:space="preserve">Table </w:t>
      </w:r>
      <w:r w:rsidRPr="00B32307">
        <w:rPr>
          <w:rFonts w:cs="Times New Roman"/>
          <w:sz w:val="24"/>
          <w:lang w:val="en-GB"/>
        </w:rPr>
        <w:fldChar w:fldCharType="begin"/>
      </w:r>
      <w:r w:rsidRPr="00B32307">
        <w:rPr>
          <w:rFonts w:cs="Times New Roman"/>
          <w:sz w:val="24"/>
          <w:lang w:val="en-GB"/>
        </w:rPr>
        <w:instrText xml:space="preserve"> SEQ Table \* ARABIC </w:instrText>
      </w:r>
      <w:r w:rsidRPr="00B32307">
        <w:rPr>
          <w:rFonts w:cs="Times New Roman"/>
          <w:sz w:val="24"/>
          <w:lang w:val="en-GB"/>
        </w:rPr>
        <w:fldChar w:fldCharType="separate"/>
      </w:r>
      <w:r w:rsidRPr="00B32307">
        <w:rPr>
          <w:rFonts w:cs="Times New Roman"/>
          <w:noProof/>
          <w:sz w:val="24"/>
          <w:lang w:val="en-GB"/>
        </w:rPr>
        <w:t>2</w:t>
      </w:r>
      <w:r w:rsidRPr="00B32307">
        <w:rPr>
          <w:rFonts w:cs="Times New Roman"/>
          <w:sz w:val="24"/>
          <w:lang w:val="en-GB"/>
        </w:rPr>
        <w:fldChar w:fldCharType="end"/>
      </w:r>
      <w:r w:rsidRPr="00B32307">
        <w:rPr>
          <w:rFonts w:cs="Times New Roman"/>
          <w:sz w:val="24"/>
          <w:lang w:val="en-GB"/>
        </w:rPr>
        <w:t>: Independent Project Source Tracking Table</w:t>
      </w:r>
    </w:p>
    <w:tbl>
      <w:tblPr>
        <w:tblStyle w:val="TableGrid"/>
        <w:tblW w:w="0" w:type="auto"/>
        <w:tblLook w:val="04A0" w:firstRow="1" w:lastRow="0" w:firstColumn="1" w:lastColumn="0" w:noHBand="0" w:noVBand="1"/>
      </w:tblPr>
      <w:tblGrid>
        <w:gridCol w:w="947"/>
        <w:gridCol w:w="1476"/>
        <w:gridCol w:w="1729"/>
        <w:gridCol w:w="2272"/>
        <w:gridCol w:w="1728"/>
        <w:gridCol w:w="4798"/>
      </w:tblGrid>
      <w:tr w:rsidR="00692C30" w:rsidRPr="00B32307" w14:paraId="419D5622" w14:textId="77777777" w:rsidTr="00692C30">
        <w:tc>
          <w:tcPr>
            <w:tcW w:w="0" w:type="auto"/>
            <w:hideMark/>
          </w:tcPr>
          <w:p w14:paraId="7B4B3C99" w14:textId="77777777" w:rsidR="00692C30" w:rsidRPr="00B32307" w:rsidRDefault="00692C30" w:rsidP="00692C30">
            <w:pPr>
              <w:spacing w:after="0" w:line="240" w:lineRule="auto"/>
              <w:rPr>
                <w:rFonts w:eastAsia="Times New Roman" w:cs="Times New Roman"/>
                <w:b/>
                <w:bCs/>
                <w:szCs w:val="24"/>
                <w:lang w:val="en-GB"/>
              </w:rPr>
            </w:pPr>
            <w:r w:rsidRPr="00B32307">
              <w:rPr>
                <w:rFonts w:eastAsia="Times New Roman" w:cs="Times New Roman"/>
                <w:b/>
                <w:bCs/>
                <w:szCs w:val="24"/>
                <w:lang w:val="en-GB"/>
              </w:rPr>
              <w:t>Saved?</w:t>
            </w:r>
          </w:p>
        </w:tc>
        <w:tc>
          <w:tcPr>
            <w:tcW w:w="0" w:type="auto"/>
            <w:hideMark/>
          </w:tcPr>
          <w:p w14:paraId="1060B60B" w14:textId="77777777" w:rsidR="00692C30" w:rsidRPr="00B32307" w:rsidRDefault="00692C30" w:rsidP="00692C30">
            <w:pPr>
              <w:spacing w:after="0" w:line="240" w:lineRule="auto"/>
              <w:jc w:val="center"/>
              <w:rPr>
                <w:rFonts w:eastAsia="Times New Roman" w:cs="Times New Roman"/>
                <w:b/>
                <w:bCs/>
                <w:szCs w:val="24"/>
                <w:lang w:val="en-GB"/>
              </w:rPr>
            </w:pPr>
            <w:r w:rsidRPr="00B32307">
              <w:rPr>
                <w:rFonts w:eastAsia="Times New Roman" w:cs="Times New Roman"/>
                <w:b/>
                <w:bCs/>
                <w:szCs w:val="24"/>
                <w:lang w:val="en-GB"/>
              </w:rPr>
              <w:t>Author &amp; Year</w:t>
            </w:r>
          </w:p>
        </w:tc>
        <w:tc>
          <w:tcPr>
            <w:tcW w:w="0" w:type="auto"/>
            <w:hideMark/>
          </w:tcPr>
          <w:p w14:paraId="69346C3B" w14:textId="77777777" w:rsidR="00692C30" w:rsidRPr="00B32307" w:rsidRDefault="00692C30" w:rsidP="00692C30">
            <w:pPr>
              <w:spacing w:after="0" w:line="240" w:lineRule="auto"/>
              <w:jc w:val="center"/>
              <w:rPr>
                <w:rFonts w:eastAsia="Times New Roman" w:cs="Times New Roman"/>
                <w:b/>
                <w:bCs/>
                <w:szCs w:val="24"/>
                <w:lang w:val="en-GB"/>
              </w:rPr>
            </w:pPr>
            <w:r w:rsidRPr="00B32307">
              <w:rPr>
                <w:rFonts w:eastAsia="Times New Roman" w:cs="Times New Roman"/>
                <w:b/>
                <w:bCs/>
                <w:szCs w:val="24"/>
                <w:lang w:val="en-GB"/>
              </w:rPr>
              <w:t>Title</w:t>
            </w:r>
          </w:p>
        </w:tc>
        <w:tc>
          <w:tcPr>
            <w:tcW w:w="0" w:type="auto"/>
            <w:hideMark/>
          </w:tcPr>
          <w:p w14:paraId="1B290208" w14:textId="77777777" w:rsidR="00692C30" w:rsidRPr="00B32307" w:rsidRDefault="00692C30" w:rsidP="00692C30">
            <w:pPr>
              <w:spacing w:after="0" w:line="240" w:lineRule="auto"/>
              <w:jc w:val="center"/>
              <w:rPr>
                <w:rFonts w:eastAsia="Times New Roman" w:cs="Times New Roman"/>
                <w:b/>
                <w:bCs/>
                <w:szCs w:val="24"/>
                <w:lang w:val="en-GB"/>
              </w:rPr>
            </w:pPr>
            <w:r w:rsidRPr="00B32307">
              <w:rPr>
                <w:rFonts w:eastAsia="Times New Roman" w:cs="Times New Roman"/>
                <w:b/>
                <w:bCs/>
                <w:szCs w:val="24"/>
                <w:lang w:val="en-GB"/>
              </w:rPr>
              <w:t>Summary (1–2 sentences)</w:t>
            </w:r>
          </w:p>
        </w:tc>
        <w:tc>
          <w:tcPr>
            <w:tcW w:w="0" w:type="auto"/>
            <w:hideMark/>
          </w:tcPr>
          <w:p w14:paraId="0F3FA448" w14:textId="77777777" w:rsidR="00692C30" w:rsidRPr="00B32307" w:rsidRDefault="00692C30" w:rsidP="00692C30">
            <w:pPr>
              <w:spacing w:after="0" w:line="240" w:lineRule="auto"/>
              <w:jc w:val="center"/>
              <w:rPr>
                <w:rFonts w:eastAsia="Times New Roman" w:cs="Times New Roman"/>
                <w:b/>
                <w:bCs/>
                <w:szCs w:val="24"/>
                <w:lang w:val="en-GB"/>
              </w:rPr>
            </w:pPr>
            <w:r w:rsidRPr="00B32307">
              <w:rPr>
                <w:rFonts w:eastAsia="Times New Roman" w:cs="Times New Roman"/>
                <w:b/>
                <w:bCs/>
                <w:szCs w:val="24"/>
                <w:lang w:val="en-GB"/>
              </w:rPr>
              <w:t>CRAAP Notes</w:t>
            </w:r>
          </w:p>
        </w:tc>
        <w:tc>
          <w:tcPr>
            <w:tcW w:w="0" w:type="auto"/>
            <w:hideMark/>
          </w:tcPr>
          <w:p w14:paraId="178E1A8D" w14:textId="77777777" w:rsidR="00692C30" w:rsidRPr="00B32307" w:rsidRDefault="00692C30" w:rsidP="00692C30">
            <w:pPr>
              <w:spacing w:after="0" w:line="240" w:lineRule="auto"/>
              <w:jc w:val="center"/>
              <w:rPr>
                <w:rFonts w:eastAsia="Times New Roman" w:cs="Times New Roman"/>
                <w:b/>
                <w:bCs/>
                <w:szCs w:val="24"/>
                <w:lang w:val="en-GB"/>
              </w:rPr>
            </w:pPr>
            <w:r w:rsidRPr="00B32307">
              <w:rPr>
                <w:rFonts w:eastAsia="Times New Roman" w:cs="Times New Roman"/>
                <w:b/>
                <w:bCs/>
                <w:szCs w:val="24"/>
                <w:lang w:val="en-GB"/>
              </w:rPr>
              <w:t>File Name / Link to Source</w:t>
            </w:r>
          </w:p>
        </w:tc>
      </w:tr>
      <w:tr w:rsidR="00692C30" w:rsidRPr="00B32307" w14:paraId="2FC55D40" w14:textId="77777777" w:rsidTr="00692C30">
        <w:tc>
          <w:tcPr>
            <w:tcW w:w="0" w:type="auto"/>
            <w:hideMark/>
          </w:tcPr>
          <w:p w14:paraId="4BFE380F"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Yes</w:t>
            </w:r>
          </w:p>
        </w:tc>
        <w:tc>
          <w:tcPr>
            <w:tcW w:w="0" w:type="auto"/>
            <w:hideMark/>
          </w:tcPr>
          <w:p w14:paraId="72B96BE4"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Hussin et al. (2025)</w:t>
            </w:r>
          </w:p>
        </w:tc>
        <w:tc>
          <w:tcPr>
            <w:tcW w:w="0" w:type="auto"/>
            <w:hideMark/>
          </w:tcPr>
          <w:p w14:paraId="4E6CFEDE"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Social Media Paradox</w:t>
            </w:r>
          </w:p>
        </w:tc>
        <w:tc>
          <w:tcPr>
            <w:tcW w:w="0" w:type="auto"/>
            <w:hideMark/>
          </w:tcPr>
          <w:p w14:paraId="467A59D9"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Reviews links between self-esteem, comparison and behavioural outcomes in digital contexts.</w:t>
            </w:r>
          </w:p>
        </w:tc>
        <w:tc>
          <w:tcPr>
            <w:tcW w:w="0" w:type="auto"/>
            <w:hideMark/>
          </w:tcPr>
          <w:p w14:paraId="5ED5B372"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Current, Peer-reviewed, Indirect relevance</w:t>
            </w:r>
          </w:p>
        </w:tc>
        <w:tc>
          <w:tcPr>
            <w:tcW w:w="0" w:type="auto"/>
            <w:hideMark/>
          </w:tcPr>
          <w:p w14:paraId="4751FF8B"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Hussin_2025_SocialMedia.pdf</w:t>
            </w:r>
            <w:r w:rsidR="005F7921">
              <w:rPr>
                <w:rFonts w:eastAsia="Times New Roman" w:cs="Times New Roman"/>
                <w:szCs w:val="24"/>
                <w:lang w:val="en-GB"/>
              </w:rPr>
              <w:t xml:space="preserve"> </w:t>
            </w:r>
          </w:p>
        </w:tc>
      </w:tr>
      <w:tr w:rsidR="00692C30" w:rsidRPr="00B32307" w14:paraId="38F5CA3C" w14:textId="77777777" w:rsidTr="00692C30">
        <w:tc>
          <w:tcPr>
            <w:tcW w:w="0" w:type="auto"/>
            <w:hideMark/>
          </w:tcPr>
          <w:p w14:paraId="41972D5A"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Yes</w:t>
            </w:r>
          </w:p>
        </w:tc>
        <w:tc>
          <w:tcPr>
            <w:tcW w:w="0" w:type="auto"/>
            <w:hideMark/>
          </w:tcPr>
          <w:p w14:paraId="5FB3AC03"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Radev et al. (2024)</w:t>
            </w:r>
          </w:p>
        </w:tc>
        <w:tc>
          <w:tcPr>
            <w:tcW w:w="0" w:type="auto"/>
            <w:hideMark/>
          </w:tcPr>
          <w:p w14:paraId="0ADAD286"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Healthcare Experiences UK</w:t>
            </w:r>
          </w:p>
        </w:tc>
        <w:tc>
          <w:tcPr>
            <w:tcW w:w="0" w:type="auto"/>
            <w:hideMark/>
          </w:tcPr>
          <w:p w14:paraId="07CB1395"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Meta-ethnography of UK autistic adults’ healthcare barriers and misdiagnosis experiences.</w:t>
            </w:r>
          </w:p>
        </w:tc>
        <w:tc>
          <w:tcPr>
            <w:tcW w:w="0" w:type="auto"/>
            <w:hideMark/>
          </w:tcPr>
          <w:p w14:paraId="14BAF7C0"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Current, UK-based, High relevance</w:t>
            </w:r>
          </w:p>
        </w:tc>
        <w:tc>
          <w:tcPr>
            <w:tcW w:w="0" w:type="auto"/>
            <w:hideMark/>
          </w:tcPr>
          <w:p w14:paraId="63BF3233"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Radev_2024_Healthcare_MetaEthnography.pdf</w:t>
            </w:r>
            <w:r w:rsidR="005F7921">
              <w:rPr>
                <w:rFonts w:eastAsia="Times New Roman" w:cs="Times New Roman"/>
                <w:szCs w:val="24"/>
                <w:lang w:val="en-GB"/>
              </w:rPr>
              <w:t xml:space="preserve"> </w:t>
            </w:r>
          </w:p>
        </w:tc>
      </w:tr>
      <w:tr w:rsidR="00692C30" w:rsidRPr="00B32307" w14:paraId="19B9505D" w14:textId="77777777" w:rsidTr="00692C30">
        <w:tc>
          <w:tcPr>
            <w:tcW w:w="0" w:type="auto"/>
            <w:hideMark/>
          </w:tcPr>
          <w:p w14:paraId="485C355D"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Yes</w:t>
            </w:r>
          </w:p>
        </w:tc>
        <w:tc>
          <w:tcPr>
            <w:tcW w:w="0" w:type="auto"/>
            <w:hideMark/>
          </w:tcPr>
          <w:p w14:paraId="14781B43"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Krishnan and Orsmond (2025)</w:t>
            </w:r>
          </w:p>
        </w:tc>
        <w:tc>
          <w:tcPr>
            <w:tcW w:w="0" w:type="auto"/>
            <w:hideMark/>
          </w:tcPr>
          <w:p w14:paraId="5EBA9116"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Mental Health Frameworks</w:t>
            </w:r>
          </w:p>
        </w:tc>
        <w:tc>
          <w:tcPr>
            <w:tcW w:w="0" w:type="auto"/>
            <w:hideMark/>
          </w:tcPr>
          <w:p w14:paraId="365CD83A"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Integrates neurodiversity and developmental psychopathology perspectives.</w:t>
            </w:r>
          </w:p>
        </w:tc>
        <w:tc>
          <w:tcPr>
            <w:tcW w:w="0" w:type="auto"/>
            <w:hideMark/>
          </w:tcPr>
          <w:p w14:paraId="22DFFDBE" w14:textId="77777777" w:rsidR="00692C30" w:rsidRPr="00B32307" w:rsidRDefault="00692C30" w:rsidP="00275697">
            <w:pPr>
              <w:spacing w:after="0" w:line="240" w:lineRule="auto"/>
              <w:jc w:val="left"/>
              <w:rPr>
                <w:rFonts w:eastAsia="Times New Roman" w:cs="Times New Roman"/>
                <w:szCs w:val="24"/>
                <w:lang w:val="en-GB"/>
              </w:rPr>
            </w:pPr>
            <w:r w:rsidRPr="00B32307">
              <w:rPr>
                <w:rFonts w:eastAsia="Times New Roman" w:cs="Times New Roman"/>
                <w:szCs w:val="24"/>
                <w:lang w:val="en-GB"/>
              </w:rPr>
              <w:t xml:space="preserve">Current Theoretical </w:t>
            </w:r>
            <w:r w:rsidR="00275697" w:rsidRPr="00B32307">
              <w:rPr>
                <w:rFonts w:eastAsia="Times New Roman" w:cs="Times New Roman"/>
                <w:szCs w:val="24"/>
                <w:lang w:val="en-GB"/>
              </w:rPr>
              <w:t>Strength</w:t>
            </w:r>
          </w:p>
        </w:tc>
        <w:tc>
          <w:tcPr>
            <w:tcW w:w="0" w:type="auto"/>
            <w:hideMark/>
          </w:tcPr>
          <w:p w14:paraId="06161F3E"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Krishnan_2025_MentalHealthFramework.pdf</w:t>
            </w:r>
          </w:p>
        </w:tc>
      </w:tr>
      <w:tr w:rsidR="00692C30" w:rsidRPr="00B32307" w14:paraId="3CBEFBA4" w14:textId="77777777" w:rsidTr="00692C30">
        <w:tc>
          <w:tcPr>
            <w:tcW w:w="0" w:type="auto"/>
            <w:hideMark/>
          </w:tcPr>
          <w:p w14:paraId="754CB428"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Yes</w:t>
            </w:r>
          </w:p>
        </w:tc>
        <w:tc>
          <w:tcPr>
            <w:tcW w:w="0" w:type="auto"/>
            <w:hideMark/>
          </w:tcPr>
          <w:p w14:paraId="1AA86176"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Petrolini et al. (2023)</w:t>
            </w:r>
          </w:p>
        </w:tc>
        <w:tc>
          <w:tcPr>
            <w:tcW w:w="0" w:type="auto"/>
            <w:hideMark/>
          </w:tcPr>
          <w:p w14:paraId="48AFBA2B"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 xml:space="preserve">Camouflaging Across </w:t>
            </w:r>
            <w:r w:rsidR="00275697" w:rsidRPr="00B32307">
              <w:rPr>
                <w:rFonts w:eastAsia="Times New Roman" w:cs="Times New Roman"/>
                <w:szCs w:val="24"/>
                <w:lang w:val="en-GB"/>
              </w:rPr>
              <w:t xml:space="preserve">the </w:t>
            </w:r>
            <w:r w:rsidRPr="00B32307">
              <w:rPr>
                <w:rFonts w:eastAsia="Times New Roman" w:cs="Times New Roman"/>
                <w:szCs w:val="24"/>
                <w:lang w:val="en-GB"/>
              </w:rPr>
              <w:t>Spectrum</w:t>
            </w:r>
          </w:p>
        </w:tc>
        <w:tc>
          <w:tcPr>
            <w:tcW w:w="0" w:type="auto"/>
            <w:hideMark/>
          </w:tcPr>
          <w:p w14:paraId="1885D658"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Conceptual clarification of camouflaging across autistic groups.</w:t>
            </w:r>
          </w:p>
        </w:tc>
        <w:tc>
          <w:tcPr>
            <w:tcW w:w="0" w:type="auto"/>
            <w:hideMark/>
          </w:tcPr>
          <w:p w14:paraId="617CB5D3"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Relevant, Theoretical</w:t>
            </w:r>
          </w:p>
        </w:tc>
        <w:tc>
          <w:tcPr>
            <w:tcW w:w="0" w:type="auto"/>
            <w:hideMark/>
          </w:tcPr>
          <w:p w14:paraId="085840EA"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Petrolini_2023_CamouflagingConcept.pdf</w:t>
            </w:r>
          </w:p>
        </w:tc>
      </w:tr>
      <w:tr w:rsidR="00692C30" w:rsidRPr="00B32307" w14:paraId="48C41AA7" w14:textId="77777777" w:rsidTr="00692C30">
        <w:tc>
          <w:tcPr>
            <w:tcW w:w="0" w:type="auto"/>
            <w:hideMark/>
          </w:tcPr>
          <w:p w14:paraId="05C8A9FC"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Yes</w:t>
            </w:r>
          </w:p>
        </w:tc>
        <w:tc>
          <w:tcPr>
            <w:tcW w:w="0" w:type="auto"/>
            <w:hideMark/>
          </w:tcPr>
          <w:p w14:paraId="7E2DCF22"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Arnold et al. (2026)</w:t>
            </w:r>
          </w:p>
        </w:tc>
        <w:tc>
          <w:tcPr>
            <w:tcW w:w="0" w:type="auto"/>
            <w:hideMark/>
          </w:tcPr>
          <w:p w14:paraId="3E703A19"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Camouflaging Measurement Issues</w:t>
            </w:r>
          </w:p>
        </w:tc>
        <w:tc>
          <w:tcPr>
            <w:tcW w:w="0" w:type="auto"/>
            <w:hideMark/>
          </w:tcPr>
          <w:p w14:paraId="72719663"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 xml:space="preserve">Critiques </w:t>
            </w:r>
            <w:r w:rsidR="00275697" w:rsidRPr="00B32307">
              <w:rPr>
                <w:rFonts w:eastAsia="Times New Roman" w:cs="Times New Roman"/>
                <w:szCs w:val="24"/>
                <w:lang w:val="en-GB"/>
              </w:rPr>
              <w:t xml:space="preserve">the </w:t>
            </w:r>
            <w:r w:rsidRPr="00B32307">
              <w:rPr>
                <w:rFonts w:eastAsia="Times New Roman" w:cs="Times New Roman"/>
                <w:szCs w:val="24"/>
                <w:lang w:val="en-GB"/>
              </w:rPr>
              <w:t xml:space="preserve">conceptual inconsistency and </w:t>
            </w:r>
            <w:r w:rsidR="00275697" w:rsidRPr="00B32307">
              <w:rPr>
                <w:rFonts w:eastAsia="Times New Roman" w:cs="Times New Roman"/>
                <w:szCs w:val="24"/>
                <w:lang w:val="en-GB"/>
              </w:rPr>
              <w:t xml:space="preserve">the </w:t>
            </w:r>
            <w:r w:rsidRPr="00B32307">
              <w:rPr>
                <w:rFonts w:eastAsia="Times New Roman" w:cs="Times New Roman"/>
                <w:szCs w:val="24"/>
                <w:lang w:val="en-GB"/>
              </w:rPr>
              <w:t>CAT-Q validity.</w:t>
            </w:r>
          </w:p>
        </w:tc>
        <w:tc>
          <w:tcPr>
            <w:tcW w:w="0" w:type="auto"/>
            <w:hideMark/>
          </w:tcPr>
          <w:p w14:paraId="0AA354D8"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Current, Methodological strength</w:t>
            </w:r>
          </w:p>
        </w:tc>
        <w:tc>
          <w:tcPr>
            <w:tcW w:w="0" w:type="auto"/>
            <w:hideMark/>
          </w:tcPr>
          <w:p w14:paraId="36FAA621"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Arnold_2026_CamouflagingValidity.pdf</w:t>
            </w:r>
          </w:p>
        </w:tc>
      </w:tr>
      <w:tr w:rsidR="00692C30" w:rsidRPr="00B32307" w14:paraId="6DAB25F3" w14:textId="77777777" w:rsidTr="00692C30">
        <w:tc>
          <w:tcPr>
            <w:tcW w:w="0" w:type="auto"/>
            <w:hideMark/>
          </w:tcPr>
          <w:p w14:paraId="263F4A44"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Yes</w:t>
            </w:r>
          </w:p>
        </w:tc>
        <w:tc>
          <w:tcPr>
            <w:tcW w:w="0" w:type="auto"/>
            <w:hideMark/>
          </w:tcPr>
          <w:p w14:paraId="6510E51F"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Pritchard-Rowe et al. (2024)</w:t>
            </w:r>
          </w:p>
        </w:tc>
        <w:tc>
          <w:tcPr>
            <w:tcW w:w="0" w:type="auto"/>
            <w:hideMark/>
          </w:tcPr>
          <w:p w14:paraId="5432CEF8"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Diagnostic Play Assessments</w:t>
            </w:r>
          </w:p>
        </w:tc>
        <w:tc>
          <w:tcPr>
            <w:tcW w:w="0" w:type="auto"/>
            <w:hideMark/>
          </w:tcPr>
          <w:p w14:paraId="3C3AF1D6"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Qualitative UK study showing masking affects diagnostic accuracy.</w:t>
            </w:r>
          </w:p>
        </w:tc>
        <w:tc>
          <w:tcPr>
            <w:tcW w:w="0" w:type="auto"/>
            <w:hideMark/>
          </w:tcPr>
          <w:p w14:paraId="3C5C6E3E"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Current, UK-based, Qualitative depth</w:t>
            </w:r>
          </w:p>
        </w:tc>
        <w:tc>
          <w:tcPr>
            <w:tcW w:w="0" w:type="auto"/>
            <w:hideMark/>
          </w:tcPr>
          <w:p w14:paraId="40FE0FA6"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PritchardRowe_2024_Diagnosis.pdf</w:t>
            </w:r>
          </w:p>
        </w:tc>
      </w:tr>
      <w:tr w:rsidR="00692C30" w:rsidRPr="00B32307" w14:paraId="058873D4" w14:textId="77777777" w:rsidTr="00692C30">
        <w:tc>
          <w:tcPr>
            <w:tcW w:w="0" w:type="auto"/>
            <w:hideMark/>
          </w:tcPr>
          <w:p w14:paraId="59DBC287"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Yes</w:t>
            </w:r>
          </w:p>
        </w:tc>
        <w:tc>
          <w:tcPr>
            <w:tcW w:w="0" w:type="auto"/>
            <w:hideMark/>
          </w:tcPr>
          <w:p w14:paraId="5EC29A6B"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Hull et al. (2021)</w:t>
            </w:r>
          </w:p>
        </w:tc>
        <w:tc>
          <w:tcPr>
            <w:tcW w:w="0" w:type="auto"/>
            <w:hideMark/>
          </w:tcPr>
          <w:p w14:paraId="6AAAF1DB"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Camouflaging &amp; Mental Health</w:t>
            </w:r>
          </w:p>
        </w:tc>
        <w:tc>
          <w:tcPr>
            <w:tcW w:w="0" w:type="auto"/>
            <w:hideMark/>
          </w:tcPr>
          <w:p w14:paraId="3B0D497B"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Large-scale study linking camouflaging to anxiety and depression.</w:t>
            </w:r>
          </w:p>
        </w:tc>
        <w:tc>
          <w:tcPr>
            <w:tcW w:w="0" w:type="auto"/>
            <w:hideMark/>
          </w:tcPr>
          <w:p w14:paraId="07C8D53E"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Peer-reviewed, Empirical, Core study</w:t>
            </w:r>
          </w:p>
        </w:tc>
        <w:tc>
          <w:tcPr>
            <w:tcW w:w="0" w:type="auto"/>
            <w:hideMark/>
          </w:tcPr>
          <w:p w14:paraId="3EA97208"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Hull_2021_Camouflaging_MH.pdf</w:t>
            </w:r>
          </w:p>
        </w:tc>
      </w:tr>
      <w:tr w:rsidR="00692C30" w:rsidRPr="00B32307" w14:paraId="752FD446" w14:textId="77777777" w:rsidTr="00692C30">
        <w:tc>
          <w:tcPr>
            <w:tcW w:w="0" w:type="auto"/>
            <w:hideMark/>
          </w:tcPr>
          <w:p w14:paraId="5ED0341A"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Yes</w:t>
            </w:r>
          </w:p>
        </w:tc>
        <w:tc>
          <w:tcPr>
            <w:tcW w:w="0" w:type="auto"/>
            <w:hideMark/>
          </w:tcPr>
          <w:p w14:paraId="746BAA1A"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Mantzalas et al. (2022)</w:t>
            </w:r>
          </w:p>
        </w:tc>
        <w:tc>
          <w:tcPr>
            <w:tcW w:w="0" w:type="auto"/>
            <w:hideMark/>
          </w:tcPr>
          <w:p w14:paraId="61698D6C"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Autistic Burnout</w:t>
            </w:r>
          </w:p>
        </w:tc>
        <w:tc>
          <w:tcPr>
            <w:tcW w:w="0" w:type="auto"/>
            <w:hideMark/>
          </w:tcPr>
          <w:p w14:paraId="29634A51"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 xml:space="preserve">Thematic analysis identifying masking as </w:t>
            </w:r>
            <w:r w:rsidR="00275697" w:rsidRPr="00B32307">
              <w:rPr>
                <w:rFonts w:eastAsia="Times New Roman" w:cs="Times New Roman"/>
                <w:szCs w:val="24"/>
                <w:lang w:val="en-GB"/>
              </w:rPr>
              <w:t xml:space="preserve">a </w:t>
            </w:r>
            <w:r w:rsidRPr="00B32307">
              <w:rPr>
                <w:rFonts w:eastAsia="Times New Roman" w:cs="Times New Roman"/>
                <w:szCs w:val="24"/>
                <w:lang w:val="en-GB"/>
              </w:rPr>
              <w:t>key burnout factor.</w:t>
            </w:r>
          </w:p>
        </w:tc>
        <w:tc>
          <w:tcPr>
            <w:tcW w:w="0" w:type="auto"/>
            <w:hideMark/>
          </w:tcPr>
          <w:p w14:paraId="6126D659"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Peer-reviewed, Strong lived experience</w:t>
            </w:r>
          </w:p>
        </w:tc>
        <w:tc>
          <w:tcPr>
            <w:tcW w:w="0" w:type="auto"/>
            <w:hideMark/>
          </w:tcPr>
          <w:p w14:paraId="29F9F4C4"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Mantzalas_2022_Burnout.pdf</w:t>
            </w:r>
          </w:p>
        </w:tc>
      </w:tr>
      <w:tr w:rsidR="00692C30" w:rsidRPr="00B32307" w14:paraId="7ECFEF48" w14:textId="77777777" w:rsidTr="00692C30">
        <w:tc>
          <w:tcPr>
            <w:tcW w:w="0" w:type="auto"/>
            <w:hideMark/>
          </w:tcPr>
          <w:p w14:paraId="46EF6FCD"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Yes</w:t>
            </w:r>
          </w:p>
        </w:tc>
        <w:tc>
          <w:tcPr>
            <w:tcW w:w="0" w:type="auto"/>
            <w:hideMark/>
          </w:tcPr>
          <w:p w14:paraId="6AA0D460"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Cook et al. (2021)</w:t>
            </w:r>
          </w:p>
        </w:tc>
        <w:tc>
          <w:tcPr>
            <w:tcW w:w="0" w:type="auto"/>
            <w:hideMark/>
          </w:tcPr>
          <w:p w14:paraId="37005CF6"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Everyday Camouflaging</w:t>
            </w:r>
          </w:p>
        </w:tc>
        <w:tc>
          <w:tcPr>
            <w:tcW w:w="0" w:type="auto"/>
            <w:hideMark/>
          </w:tcPr>
          <w:p w14:paraId="23FB2D66"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Explores intrapersonal consequences of masking in social settings.</w:t>
            </w:r>
          </w:p>
        </w:tc>
        <w:tc>
          <w:tcPr>
            <w:tcW w:w="0" w:type="auto"/>
            <w:hideMark/>
          </w:tcPr>
          <w:p w14:paraId="76096856"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Qualitative depth, Small sample</w:t>
            </w:r>
          </w:p>
        </w:tc>
        <w:tc>
          <w:tcPr>
            <w:tcW w:w="0" w:type="auto"/>
            <w:hideMark/>
          </w:tcPr>
          <w:p w14:paraId="61F4939E"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Cook_2021_EverydayMasking.pdf</w:t>
            </w:r>
          </w:p>
        </w:tc>
      </w:tr>
      <w:tr w:rsidR="00692C30" w:rsidRPr="00B32307" w14:paraId="69DF0055" w14:textId="77777777" w:rsidTr="00692C30">
        <w:tc>
          <w:tcPr>
            <w:tcW w:w="0" w:type="auto"/>
            <w:hideMark/>
          </w:tcPr>
          <w:p w14:paraId="0A1BAA06"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Yes</w:t>
            </w:r>
          </w:p>
        </w:tc>
        <w:tc>
          <w:tcPr>
            <w:tcW w:w="0" w:type="auto"/>
            <w:hideMark/>
          </w:tcPr>
          <w:p w14:paraId="62566E3C"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Oshima et al. (2024)</w:t>
            </w:r>
          </w:p>
        </w:tc>
        <w:tc>
          <w:tcPr>
            <w:tcW w:w="0" w:type="auto"/>
            <w:hideMark/>
          </w:tcPr>
          <w:p w14:paraId="28CFEDA2"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Cross-Cultural Camouflage</w:t>
            </w:r>
          </w:p>
        </w:tc>
        <w:tc>
          <w:tcPr>
            <w:tcW w:w="0" w:type="auto"/>
            <w:hideMark/>
          </w:tcPr>
          <w:p w14:paraId="4BDC20AA"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UK-Japan comparison of masking and mental health outcomes.</w:t>
            </w:r>
          </w:p>
        </w:tc>
        <w:tc>
          <w:tcPr>
            <w:tcW w:w="0" w:type="auto"/>
            <w:hideMark/>
          </w:tcPr>
          <w:p w14:paraId="56DDF82B"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Current, Cross-cultural</w:t>
            </w:r>
          </w:p>
        </w:tc>
        <w:tc>
          <w:tcPr>
            <w:tcW w:w="0" w:type="auto"/>
            <w:hideMark/>
          </w:tcPr>
          <w:p w14:paraId="1C865E5E"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Oshima_2024_CrossCultural.pdf</w:t>
            </w:r>
          </w:p>
        </w:tc>
      </w:tr>
      <w:tr w:rsidR="00692C30" w:rsidRPr="00B32307" w14:paraId="27D3D762" w14:textId="77777777" w:rsidTr="00692C30">
        <w:tc>
          <w:tcPr>
            <w:tcW w:w="0" w:type="auto"/>
            <w:hideMark/>
          </w:tcPr>
          <w:p w14:paraId="2B1CA1F5"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Yes</w:t>
            </w:r>
          </w:p>
        </w:tc>
        <w:tc>
          <w:tcPr>
            <w:tcW w:w="0" w:type="auto"/>
            <w:hideMark/>
          </w:tcPr>
          <w:p w14:paraId="047E0F1F"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Pearson and Rose (2020)</w:t>
            </w:r>
          </w:p>
        </w:tc>
        <w:tc>
          <w:tcPr>
            <w:tcW w:w="0" w:type="auto"/>
            <w:hideMark/>
          </w:tcPr>
          <w:p w14:paraId="7316C6F0"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Conceptual Masking Analysis</w:t>
            </w:r>
          </w:p>
        </w:tc>
        <w:tc>
          <w:tcPr>
            <w:tcW w:w="0" w:type="auto"/>
            <w:hideMark/>
          </w:tcPr>
          <w:p w14:paraId="4BDAEB9C"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Theoretical analysis linking masking to stigma management.</w:t>
            </w:r>
          </w:p>
        </w:tc>
        <w:tc>
          <w:tcPr>
            <w:tcW w:w="0" w:type="auto"/>
            <w:hideMark/>
          </w:tcPr>
          <w:p w14:paraId="288D9445"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Relevant, Theoretical strength</w:t>
            </w:r>
          </w:p>
        </w:tc>
        <w:tc>
          <w:tcPr>
            <w:tcW w:w="0" w:type="auto"/>
            <w:hideMark/>
          </w:tcPr>
          <w:p w14:paraId="5A7DD150"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Pearson_2020_MaskingTheory.pdf</w:t>
            </w:r>
          </w:p>
        </w:tc>
      </w:tr>
      <w:tr w:rsidR="00692C30" w:rsidRPr="00B32307" w14:paraId="262F285D" w14:textId="77777777" w:rsidTr="00692C30">
        <w:tc>
          <w:tcPr>
            <w:tcW w:w="0" w:type="auto"/>
            <w:hideMark/>
          </w:tcPr>
          <w:p w14:paraId="04FAA4F8"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Yes</w:t>
            </w:r>
          </w:p>
        </w:tc>
        <w:tc>
          <w:tcPr>
            <w:tcW w:w="0" w:type="auto"/>
            <w:hideMark/>
          </w:tcPr>
          <w:p w14:paraId="1E9773D2"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Sasaki and Kocha (2025)</w:t>
            </w:r>
          </w:p>
        </w:tc>
        <w:tc>
          <w:tcPr>
            <w:tcW w:w="0" w:type="auto"/>
            <w:hideMark/>
          </w:tcPr>
          <w:p w14:paraId="3342FBD5"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Historical Autism Analysis</w:t>
            </w:r>
          </w:p>
        </w:tc>
        <w:tc>
          <w:tcPr>
            <w:tcW w:w="0" w:type="auto"/>
            <w:hideMark/>
          </w:tcPr>
          <w:p w14:paraId="2BC3EB3A"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Historical examination of Kanner’s differentiation of autism.</w:t>
            </w:r>
          </w:p>
        </w:tc>
        <w:tc>
          <w:tcPr>
            <w:tcW w:w="0" w:type="auto"/>
            <w:hideMark/>
          </w:tcPr>
          <w:p w14:paraId="1623E98A"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Contextual, Historical relevance</w:t>
            </w:r>
          </w:p>
        </w:tc>
        <w:tc>
          <w:tcPr>
            <w:tcW w:w="0" w:type="auto"/>
            <w:hideMark/>
          </w:tcPr>
          <w:p w14:paraId="7AC301F6"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Sasaki_2025_HistoryAutism.pdf</w:t>
            </w:r>
          </w:p>
        </w:tc>
      </w:tr>
      <w:tr w:rsidR="00692C30" w:rsidRPr="00B32307" w14:paraId="7A01E511" w14:textId="77777777" w:rsidTr="00692C30">
        <w:tc>
          <w:tcPr>
            <w:tcW w:w="0" w:type="auto"/>
            <w:hideMark/>
          </w:tcPr>
          <w:p w14:paraId="7A2C4422"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No*</w:t>
            </w:r>
          </w:p>
        </w:tc>
        <w:tc>
          <w:tcPr>
            <w:tcW w:w="0" w:type="auto"/>
            <w:hideMark/>
          </w:tcPr>
          <w:p w14:paraId="0F3ED014"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Hulscher et al. (2025)</w:t>
            </w:r>
          </w:p>
        </w:tc>
        <w:tc>
          <w:tcPr>
            <w:tcW w:w="0" w:type="auto"/>
            <w:hideMark/>
          </w:tcPr>
          <w:p w14:paraId="77C14F2D"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Determinants of ASD</w:t>
            </w:r>
          </w:p>
        </w:tc>
        <w:tc>
          <w:tcPr>
            <w:tcW w:w="0" w:type="auto"/>
            <w:hideMark/>
          </w:tcPr>
          <w:p w14:paraId="4E076F3A"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Review proposing multiple ASD risk factors</w:t>
            </w:r>
            <w:r w:rsidR="00275697" w:rsidRPr="00B32307">
              <w:rPr>
                <w:rFonts w:eastAsia="Times New Roman" w:cs="Times New Roman"/>
                <w:szCs w:val="24"/>
                <w:lang w:val="en-GB"/>
              </w:rPr>
              <w:t>,</w:t>
            </w:r>
            <w:r w:rsidRPr="00B32307">
              <w:rPr>
                <w:rFonts w:eastAsia="Times New Roman" w:cs="Times New Roman"/>
                <w:szCs w:val="24"/>
                <w:lang w:val="en-GB"/>
              </w:rPr>
              <w:t xml:space="preserve"> including controversial claims.</w:t>
            </w:r>
          </w:p>
        </w:tc>
        <w:tc>
          <w:tcPr>
            <w:tcW w:w="0" w:type="auto"/>
            <w:hideMark/>
          </w:tcPr>
          <w:p w14:paraId="0E42E3E8"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Controversial, Questionable validity</w:t>
            </w:r>
          </w:p>
        </w:tc>
        <w:tc>
          <w:tcPr>
            <w:tcW w:w="0" w:type="auto"/>
            <w:hideMark/>
          </w:tcPr>
          <w:p w14:paraId="372DFAF9"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Hulscher_2025_Determinants.pdf</w:t>
            </w:r>
          </w:p>
        </w:tc>
      </w:tr>
      <w:tr w:rsidR="00692C30" w:rsidRPr="00B32307" w14:paraId="65F9ED7A" w14:textId="77777777" w:rsidTr="00692C30">
        <w:tc>
          <w:tcPr>
            <w:tcW w:w="0" w:type="auto"/>
            <w:hideMark/>
          </w:tcPr>
          <w:p w14:paraId="35BDA960"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Yes</w:t>
            </w:r>
          </w:p>
        </w:tc>
        <w:tc>
          <w:tcPr>
            <w:tcW w:w="0" w:type="auto"/>
            <w:hideMark/>
          </w:tcPr>
          <w:p w14:paraId="48178671"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Davies (2022)</w:t>
            </w:r>
          </w:p>
        </w:tc>
        <w:tc>
          <w:tcPr>
            <w:tcW w:w="0" w:type="auto"/>
            <w:hideMark/>
          </w:tcPr>
          <w:p w14:paraId="498D6A3A"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Neurodiversity &amp; Social Justice</w:t>
            </w:r>
          </w:p>
        </w:tc>
        <w:tc>
          <w:tcPr>
            <w:tcW w:w="0" w:type="auto"/>
            <w:hideMark/>
          </w:tcPr>
          <w:p w14:paraId="5131105B"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 xml:space="preserve">Insider perspective framing autism as identity within </w:t>
            </w:r>
            <w:r w:rsidR="00275697" w:rsidRPr="00B32307">
              <w:rPr>
                <w:rFonts w:eastAsia="Times New Roman" w:cs="Times New Roman"/>
                <w:szCs w:val="24"/>
                <w:lang w:val="en-GB"/>
              </w:rPr>
              <w:t xml:space="preserve">a </w:t>
            </w:r>
            <w:r w:rsidRPr="00B32307">
              <w:rPr>
                <w:rFonts w:eastAsia="Times New Roman" w:cs="Times New Roman"/>
                <w:szCs w:val="24"/>
                <w:lang w:val="en-GB"/>
              </w:rPr>
              <w:t>social justice context.</w:t>
            </w:r>
          </w:p>
        </w:tc>
        <w:tc>
          <w:tcPr>
            <w:tcW w:w="0" w:type="auto"/>
            <w:hideMark/>
          </w:tcPr>
          <w:p w14:paraId="624D525E"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Relevant, Neurodiversity lens</w:t>
            </w:r>
          </w:p>
        </w:tc>
        <w:tc>
          <w:tcPr>
            <w:tcW w:w="0" w:type="auto"/>
            <w:hideMark/>
          </w:tcPr>
          <w:p w14:paraId="4B5DBBC9"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Davies_2022_Neurodiversity.pdf</w:t>
            </w:r>
          </w:p>
        </w:tc>
      </w:tr>
      <w:tr w:rsidR="00692C30" w:rsidRPr="00B32307" w14:paraId="6F2779C7" w14:textId="77777777" w:rsidTr="00692C30">
        <w:tc>
          <w:tcPr>
            <w:tcW w:w="0" w:type="auto"/>
            <w:hideMark/>
          </w:tcPr>
          <w:p w14:paraId="40184AE5"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Yes</w:t>
            </w:r>
          </w:p>
        </w:tc>
        <w:tc>
          <w:tcPr>
            <w:tcW w:w="0" w:type="auto"/>
            <w:hideMark/>
          </w:tcPr>
          <w:p w14:paraId="7EFE0A68"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Thorneycroft (2024)</w:t>
            </w:r>
          </w:p>
        </w:tc>
        <w:tc>
          <w:tcPr>
            <w:tcW w:w="0" w:type="auto"/>
            <w:hideMark/>
          </w:tcPr>
          <w:p w14:paraId="72E2221A"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Social Model Critique</w:t>
            </w:r>
          </w:p>
        </w:tc>
        <w:tc>
          <w:tcPr>
            <w:tcW w:w="0" w:type="auto"/>
            <w:hideMark/>
          </w:tcPr>
          <w:p w14:paraId="6843360E"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Critical analysis of impairment/disability distinction.</w:t>
            </w:r>
          </w:p>
        </w:tc>
        <w:tc>
          <w:tcPr>
            <w:tcW w:w="0" w:type="auto"/>
            <w:hideMark/>
          </w:tcPr>
          <w:p w14:paraId="757DA59A"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Theoretical depth</w:t>
            </w:r>
          </w:p>
        </w:tc>
        <w:tc>
          <w:tcPr>
            <w:tcW w:w="0" w:type="auto"/>
            <w:hideMark/>
          </w:tcPr>
          <w:p w14:paraId="70470213"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Thorneycroft_2024_SocialModel.pdf</w:t>
            </w:r>
          </w:p>
        </w:tc>
      </w:tr>
      <w:tr w:rsidR="00692C30" w:rsidRPr="00B32307" w14:paraId="6F6C3261" w14:textId="77777777" w:rsidTr="00692C30">
        <w:tc>
          <w:tcPr>
            <w:tcW w:w="0" w:type="auto"/>
            <w:hideMark/>
          </w:tcPr>
          <w:p w14:paraId="5877B044"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Yes</w:t>
            </w:r>
          </w:p>
        </w:tc>
        <w:tc>
          <w:tcPr>
            <w:tcW w:w="0" w:type="auto"/>
            <w:hideMark/>
          </w:tcPr>
          <w:p w14:paraId="02B20CFB"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Carpita et al. (2025)</w:t>
            </w:r>
          </w:p>
        </w:tc>
        <w:tc>
          <w:tcPr>
            <w:tcW w:w="0" w:type="auto"/>
            <w:hideMark/>
          </w:tcPr>
          <w:p w14:paraId="03A8985C"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Camouflaging &amp; ED Severity</w:t>
            </w:r>
          </w:p>
        </w:tc>
        <w:tc>
          <w:tcPr>
            <w:tcW w:w="0" w:type="auto"/>
            <w:hideMark/>
          </w:tcPr>
          <w:p w14:paraId="75E9A41D"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Quantitative study linking masking to eating disorder severity.</w:t>
            </w:r>
          </w:p>
        </w:tc>
        <w:tc>
          <w:tcPr>
            <w:tcW w:w="0" w:type="auto"/>
            <w:hideMark/>
          </w:tcPr>
          <w:p w14:paraId="1F49E132" w14:textId="77777777" w:rsidR="00692C30" w:rsidRPr="00B32307" w:rsidRDefault="00692C30" w:rsidP="00275697">
            <w:pPr>
              <w:spacing w:after="0" w:line="240" w:lineRule="auto"/>
              <w:jc w:val="left"/>
              <w:rPr>
                <w:rFonts w:eastAsia="Times New Roman" w:cs="Times New Roman"/>
                <w:szCs w:val="24"/>
                <w:lang w:val="en-GB"/>
              </w:rPr>
            </w:pPr>
            <w:r w:rsidRPr="00B32307">
              <w:rPr>
                <w:rFonts w:eastAsia="Times New Roman" w:cs="Times New Roman"/>
                <w:szCs w:val="24"/>
                <w:lang w:val="en-GB"/>
              </w:rPr>
              <w:t xml:space="preserve">Current Clinical </w:t>
            </w:r>
            <w:r w:rsidR="00275697" w:rsidRPr="00B32307">
              <w:rPr>
                <w:rFonts w:eastAsia="Times New Roman" w:cs="Times New Roman"/>
                <w:szCs w:val="24"/>
                <w:lang w:val="en-GB"/>
              </w:rPr>
              <w:t>Relevance</w:t>
            </w:r>
          </w:p>
        </w:tc>
        <w:tc>
          <w:tcPr>
            <w:tcW w:w="0" w:type="auto"/>
            <w:hideMark/>
          </w:tcPr>
          <w:p w14:paraId="70510651"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Carpita_2025_ED_Camouflage.pdf</w:t>
            </w:r>
          </w:p>
        </w:tc>
      </w:tr>
      <w:tr w:rsidR="00692C30" w:rsidRPr="00B32307" w14:paraId="08612497" w14:textId="77777777" w:rsidTr="00692C30">
        <w:tc>
          <w:tcPr>
            <w:tcW w:w="0" w:type="auto"/>
            <w:hideMark/>
          </w:tcPr>
          <w:p w14:paraId="24D5B517"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Yes</w:t>
            </w:r>
          </w:p>
        </w:tc>
        <w:tc>
          <w:tcPr>
            <w:tcW w:w="0" w:type="auto"/>
            <w:hideMark/>
          </w:tcPr>
          <w:p w14:paraId="359104F4"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Khudiakova et al. (2024)</w:t>
            </w:r>
          </w:p>
        </w:tc>
        <w:tc>
          <w:tcPr>
            <w:tcW w:w="0" w:type="auto"/>
            <w:hideMark/>
          </w:tcPr>
          <w:p w14:paraId="1777D711"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Camouflaging &amp; Wellbeing Review</w:t>
            </w:r>
          </w:p>
        </w:tc>
        <w:tc>
          <w:tcPr>
            <w:tcW w:w="0" w:type="auto"/>
            <w:hideMark/>
          </w:tcPr>
          <w:p w14:paraId="6B825328" w14:textId="77777777" w:rsidR="00692C30" w:rsidRPr="00B32307" w:rsidRDefault="00692C30" w:rsidP="00275697">
            <w:pPr>
              <w:spacing w:after="0" w:line="240" w:lineRule="auto"/>
              <w:jc w:val="left"/>
              <w:rPr>
                <w:rFonts w:eastAsia="Times New Roman" w:cs="Times New Roman"/>
                <w:szCs w:val="24"/>
                <w:lang w:val="en-GB"/>
              </w:rPr>
            </w:pPr>
            <w:r w:rsidRPr="00B32307">
              <w:rPr>
                <w:rFonts w:eastAsia="Times New Roman" w:cs="Times New Roman"/>
                <w:szCs w:val="24"/>
                <w:lang w:val="en-GB"/>
              </w:rPr>
              <w:t xml:space="preserve">Highlights inconsistencies in </w:t>
            </w:r>
            <w:r w:rsidR="00275697" w:rsidRPr="00B32307">
              <w:rPr>
                <w:rFonts w:eastAsia="Times New Roman" w:cs="Times New Roman"/>
                <w:szCs w:val="24"/>
                <w:lang w:val="en-GB"/>
              </w:rPr>
              <w:t>masking mental</w:t>
            </w:r>
            <w:r w:rsidRPr="00B32307">
              <w:rPr>
                <w:rFonts w:eastAsia="Times New Roman" w:cs="Times New Roman"/>
                <w:szCs w:val="24"/>
                <w:lang w:val="en-GB"/>
              </w:rPr>
              <w:t xml:space="preserve"> health evidence.</w:t>
            </w:r>
          </w:p>
        </w:tc>
        <w:tc>
          <w:tcPr>
            <w:tcW w:w="0" w:type="auto"/>
            <w:hideMark/>
          </w:tcPr>
          <w:p w14:paraId="01BD1747"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Current, Critical review</w:t>
            </w:r>
          </w:p>
        </w:tc>
        <w:tc>
          <w:tcPr>
            <w:tcW w:w="0" w:type="auto"/>
            <w:hideMark/>
          </w:tcPr>
          <w:p w14:paraId="4E32A7EE"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Khudiakova_2024_Review.pdf</w:t>
            </w:r>
          </w:p>
        </w:tc>
      </w:tr>
      <w:tr w:rsidR="00692C30" w:rsidRPr="00B32307" w14:paraId="1D691308" w14:textId="77777777" w:rsidTr="00692C30">
        <w:tc>
          <w:tcPr>
            <w:tcW w:w="0" w:type="auto"/>
            <w:hideMark/>
          </w:tcPr>
          <w:p w14:paraId="11C57825"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Yes</w:t>
            </w:r>
          </w:p>
        </w:tc>
        <w:tc>
          <w:tcPr>
            <w:tcW w:w="0" w:type="auto"/>
            <w:hideMark/>
          </w:tcPr>
          <w:p w14:paraId="5F9EDB43"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Frost and Meyer (2023)</w:t>
            </w:r>
          </w:p>
        </w:tc>
        <w:tc>
          <w:tcPr>
            <w:tcW w:w="0" w:type="auto"/>
            <w:hideMark/>
          </w:tcPr>
          <w:p w14:paraId="6C4E7F8A"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Minority Stress Theory</w:t>
            </w:r>
          </w:p>
        </w:tc>
        <w:tc>
          <w:tcPr>
            <w:tcW w:w="0" w:type="auto"/>
            <w:hideMark/>
          </w:tcPr>
          <w:p w14:paraId="1A7FC80C"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Updated review of minority stress theory applications.</w:t>
            </w:r>
          </w:p>
        </w:tc>
        <w:tc>
          <w:tcPr>
            <w:tcW w:w="0" w:type="auto"/>
            <w:hideMark/>
          </w:tcPr>
          <w:p w14:paraId="332A3207"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Authoritative, Core theory</w:t>
            </w:r>
          </w:p>
        </w:tc>
        <w:tc>
          <w:tcPr>
            <w:tcW w:w="0" w:type="auto"/>
            <w:hideMark/>
          </w:tcPr>
          <w:p w14:paraId="74CDFCD3"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Frost_2023_MinorityStress.pdf</w:t>
            </w:r>
          </w:p>
        </w:tc>
      </w:tr>
      <w:tr w:rsidR="00692C30" w:rsidRPr="00B32307" w14:paraId="75E638FA" w14:textId="77777777" w:rsidTr="00692C30">
        <w:tc>
          <w:tcPr>
            <w:tcW w:w="0" w:type="auto"/>
            <w:hideMark/>
          </w:tcPr>
          <w:p w14:paraId="630BCE6E"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Yes</w:t>
            </w:r>
          </w:p>
        </w:tc>
        <w:tc>
          <w:tcPr>
            <w:tcW w:w="0" w:type="auto"/>
            <w:hideMark/>
          </w:tcPr>
          <w:p w14:paraId="56FB3876"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Pryke-Hobbes et al. (2023)</w:t>
            </w:r>
          </w:p>
        </w:tc>
        <w:tc>
          <w:tcPr>
            <w:tcW w:w="0" w:type="auto"/>
            <w:hideMark/>
          </w:tcPr>
          <w:p w14:paraId="7EB1F349"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Workplace Masking UK</w:t>
            </w:r>
          </w:p>
        </w:tc>
        <w:tc>
          <w:tcPr>
            <w:tcW w:w="0" w:type="auto"/>
            <w:hideMark/>
          </w:tcPr>
          <w:p w14:paraId="0BCF315B"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Explores workplace masking pressures and consequences.</w:t>
            </w:r>
          </w:p>
        </w:tc>
        <w:tc>
          <w:tcPr>
            <w:tcW w:w="0" w:type="auto"/>
            <w:hideMark/>
          </w:tcPr>
          <w:p w14:paraId="26A530E0"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Large sample, Workplace context</w:t>
            </w:r>
          </w:p>
        </w:tc>
        <w:tc>
          <w:tcPr>
            <w:tcW w:w="0" w:type="auto"/>
            <w:hideMark/>
          </w:tcPr>
          <w:p w14:paraId="2A50B96C"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PrykeHobbes_2023_Workplace.pdf</w:t>
            </w:r>
          </w:p>
        </w:tc>
      </w:tr>
      <w:tr w:rsidR="00692C30" w:rsidRPr="00B32307" w14:paraId="37513332" w14:textId="77777777" w:rsidTr="00692C30">
        <w:tc>
          <w:tcPr>
            <w:tcW w:w="0" w:type="auto"/>
            <w:hideMark/>
          </w:tcPr>
          <w:p w14:paraId="1C24B95F"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Yes</w:t>
            </w:r>
          </w:p>
        </w:tc>
        <w:tc>
          <w:tcPr>
            <w:tcW w:w="0" w:type="auto"/>
            <w:hideMark/>
          </w:tcPr>
          <w:p w14:paraId="47E8303A"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Albulescu et al. (2022)</w:t>
            </w:r>
          </w:p>
        </w:tc>
        <w:tc>
          <w:tcPr>
            <w:tcW w:w="0" w:type="auto"/>
            <w:hideMark/>
          </w:tcPr>
          <w:p w14:paraId="318EFC2F"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Micro-break Meta-analysis</w:t>
            </w:r>
          </w:p>
        </w:tc>
        <w:tc>
          <w:tcPr>
            <w:tcW w:w="0" w:type="auto"/>
            <w:hideMark/>
          </w:tcPr>
          <w:p w14:paraId="556D6C1E"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Meta-analysis on fatigue and recovery strategies.</w:t>
            </w:r>
          </w:p>
        </w:tc>
        <w:tc>
          <w:tcPr>
            <w:tcW w:w="0" w:type="auto"/>
            <w:hideMark/>
          </w:tcPr>
          <w:p w14:paraId="61D99AF4"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Rigorous, Indirect relevance</w:t>
            </w:r>
          </w:p>
        </w:tc>
        <w:tc>
          <w:tcPr>
            <w:tcW w:w="0" w:type="auto"/>
            <w:hideMark/>
          </w:tcPr>
          <w:p w14:paraId="741A7D98"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Albulescu_2022_Microbreaks.pdf</w:t>
            </w:r>
          </w:p>
        </w:tc>
      </w:tr>
      <w:tr w:rsidR="00692C30" w:rsidRPr="00B32307" w14:paraId="4CCE786B" w14:textId="77777777" w:rsidTr="00692C30">
        <w:tc>
          <w:tcPr>
            <w:tcW w:w="0" w:type="auto"/>
            <w:hideMark/>
          </w:tcPr>
          <w:p w14:paraId="4125CC1F"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Yes</w:t>
            </w:r>
          </w:p>
        </w:tc>
        <w:tc>
          <w:tcPr>
            <w:tcW w:w="0" w:type="auto"/>
            <w:hideMark/>
          </w:tcPr>
          <w:p w14:paraId="62149BA0"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Gucciardi et al. (2026)</w:t>
            </w:r>
          </w:p>
        </w:tc>
        <w:tc>
          <w:tcPr>
            <w:tcW w:w="0" w:type="auto"/>
            <w:hideMark/>
          </w:tcPr>
          <w:p w14:paraId="4BA32536"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Stress Regulation Theory</w:t>
            </w:r>
          </w:p>
        </w:tc>
        <w:tc>
          <w:tcPr>
            <w:tcW w:w="0" w:type="auto"/>
            <w:hideMark/>
          </w:tcPr>
          <w:p w14:paraId="4CD76B86"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 xml:space="preserve">Proposes </w:t>
            </w:r>
            <w:r w:rsidR="00275697" w:rsidRPr="00B32307">
              <w:rPr>
                <w:rFonts w:eastAsia="Times New Roman" w:cs="Times New Roman"/>
                <w:szCs w:val="24"/>
                <w:lang w:val="en-GB"/>
              </w:rPr>
              <w:t xml:space="preserve">the </w:t>
            </w:r>
            <w:r w:rsidRPr="00B32307">
              <w:rPr>
                <w:rFonts w:eastAsia="Times New Roman" w:cs="Times New Roman"/>
                <w:szCs w:val="24"/>
                <w:lang w:val="en-GB"/>
              </w:rPr>
              <w:t>perceptual control theory of stress.</w:t>
            </w:r>
          </w:p>
        </w:tc>
        <w:tc>
          <w:tcPr>
            <w:tcW w:w="0" w:type="auto"/>
            <w:hideMark/>
          </w:tcPr>
          <w:p w14:paraId="7F44C486"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Theoretical enrichment</w:t>
            </w:r>
          </w:p>
        </w:tc>
        <w:tc>
          <w:tcPr>
            <w:tcW w:w="0" w:type="auto"/>
            <w:hideMark/>
          </w:tcPr>
          <w:p w14:paraId="0C344883"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Gucciardi_2026_StressTheory.pdf</w:t>
            </w:r>
          </w:p>
        </w:tc>
      </w:tr>
      <w:tr w:rsidR="00692C30" w:rsidRPr="00B32307" w14:paraId="732CCD91" w14:textId="77777777" w:rsidTr="00692C30">
        <w:tc>
          <w:tcPr>
            <w:tcW w:w="0" w:type="auto"/>
            <w:hideMark/>
          </w:tcPr>
          <w:p w14:paraId="27EE8EDE"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Yes</w:t>
            </w:r>
          </w:p>
        </w:tc>
        <w:tc>
          <w:tcPr>
            <w:tcW w:w="0" w:type="auto"/>
            <w:hideMark/>
          </w:tcPr>
          <w:p w14:paraId="05EBA701"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Hu et al. (2022)</w:t>
            </w:r>
          </w:p>
        </w:tc>
        <w:tc>
          <w:tcPr>
            <w:tcW w:w="0" w:type="auto"/>
            <w:hideMark/>
          </w:tcPr>
          <w:p w14:paraId="3C72885C"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Self-Discrepancy Review</w:t>
            </w:r>
          </w:p>
        </w:tc>
        <w:tc>
          <w:tcPr>
            <w:tcW w:w="0" w:type="auto"/>
            <w:hideMark/>
          </w:tcPr>
          <w:p w14:paraId="10E617B4"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 xml:space="preserve">Reviews </w:t>
            </w:r>
            <w:r w:rsidR="00275697" w:rsidRPr="00B32307">
              <w:rPr>
                <w:rFonts w:eastAsia="Times New Roman" w:cs="Times New Roman"/>
                <w:szCs w:val="24"/>
                <w:lang w:val="en-GB"/>
              </w:rPr>
              <w:t xml:space="preserve">the </w:t>
            </w:r>
            <w:r w:rsidRPr="00B32307">
              <w:rPr>
                <w:rFonts w:eastAsia="Times New Roman" w:cs="Times New Roman"/>
                <w:szCs w:val="24"/>
                <w:lang w:val="en-GB"/>
              </w:rPr>
              <w:t>discrepancy theory in online impression management.</w:t>
            </w:r>
          </w:p>
        </w:tc>
        <w:tc>
          <w:tcPr>
            <w:tcW w:w="0" w:type="auto"/>
            <w:hideMark/>
          </w:tcPr>
          <w:p w14:paraId="6628058B"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Theoretical relevance</w:t>
            </w:r>
          </w:p>
        </w:tc>
        <w:tc>
          <w:tcPr>
            <w:tcW w:w="0" w:type="auto"/>
            <w:hideMark/>
          </w:tcPr>
          <w:p w14:paraId="28698555"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Hu_2022_SelfDiscrepancy.pdf</w:t>
            </w:r>
          </w:p>
        </w:tc>
      </w:tr>
      <w:tr w:rsidR="00692C30" w:rsidRPr="00B32307" w14:paraId="70287C51" w14:textId="77777777" w:rsidTr="00692C30">
        <w:tc>
          <w:tcPr>
            <w:tcW w:w="0" w:type="auto"/>
            <w:hideMark/>
          </w:tcPr>
          <w:p w14:paraId="18D71CA7"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Yes</w:t>
            </w:r>
          </w:p>
        </w:tc>
        <w:tc>
          <w:tcPr>
            <w:tcW w:w="0" w:type="auto"/>
            <w:hideMark/>
          </w:tcPr>
          <w:p w14:paraId="0F72F894"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Pérez-Arqueros et al. (2025)</w:t>
            </w:r>
          </w:p>
        </w:tc>
        <w:tc>
          <w:tcPr>
            <w:tcW w:w="0" w:type="auto"/>
            <w:hideMark/>
          </w:tcPr>
          <w:p w14:paraId="48B70B4D"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Camouflaging &amp; Suicide</w:t>
            </w:r>
          </w:p>
        </w:tc>
        <w:tc>
          <w:tcPr>
            <w:tcW w:w="0" w:type="auto"/>
            <w:hideMark/>
          </w:tcPr>
          <w:p w14:paraId="31395207"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Systematic review linking masking to suicidality.</w:t>
            </w:r>
          </w:p>
        </w:tc>
        <w:tc>
          <w:tcPr>
            <w:tcW w:w="0" w:type="auto"/>
            <w:hideMark/>
          </w:tcPr>
          <w:p w14:paraId="7F0CB433"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PRISMA, High relevance</w:t>
            </w:r>
          </w:p>
        </w:tc>
        <w:tc>
          <w:tcPr>
            <w:tcW w:w="0" w:type="auto"/>
            <w:hideMark/>
          </w:tcPr>
          <w:p w14:paraId="256A0AAE"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Perez_2025_SuicideReview.pdf</w:t>
            </w:r>
          </w:p>
        </w:tc>
      </w:tr>
      <w:tr w:rsidR="00692C30" w:rsidRPr="00B32307" w14:paraId="630C85FE" w14:textId="77777777" w:rsidTr="00692C30">
        <w:tc>
          <w:tcPr>
            <w:tcW w:w="0" w:type="auto"/>
            <w:hideMark/>
          </w:tcPr>
          <w:p w14:paraId="5C3617B9"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Yes</w:t>
            </w:r>
          </w:p>
        </w:tc>
        <w:tc>
          <w:tcPr>
            <w:tcW w:w="0" w:type="auto"/>
            <w:hideMark/>
          </w:tcPr>
          <w:p w14:paraId="22390E6B"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Newell et al. (2023)</w:t>
            </w:r>
          </w:p>
        </w:tc>
        <w:tc>
          <w:tcPr>
            <w:tcW w:w="0" w:type="auto"/>
            <w:hideMark/>
          </w:tcPr>
          <w:p w14:paraId="01EADC2B"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Suicidality Meta-analysis</w:t>
            </w:r>
          </w:p>
        </w:tc>
        <w:tc>
          <w:tcPr>
            <w:tcW w:w="0" w:type="auto"/>
            <w:hideMark/>
          </w:tcPr>
          <w:p w14:paraId="2A0D0110"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Large meta-analysis of suicide prevalence in autistic adults.</w:t>
            </w:r>
          </w:p>
        </w:tc>
        <w:tc>
          <w:tcPr>
            <w:tcW w:w="0" w:type="auto"/>
            <w:hideMark/>
          </w:tcPr>
          <w:p w14:paraId="4FEE996E"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High-quality, Large sample</w:t>
            </w:r>
          </w:p>
        </w:tc>
        <w:tc>
          <w:tcPr>
            <w:tcW w:w="0" w:type="auto"/>
            <w:hideMark/>
          </w:tcPr>
          <w:p w14:paraId="0F8100E8"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Newell_2023_SuicideMeta.pdf</w:t>
            </w:r>
          </w:p>
        </w:tc>
      </w:tr>
      <w:tr w:rsidR="00692C30" w:rsidRPr="00B32307" w14:paraId="0230ECF4" w14:textId="77777777" w:rsidTr="00692C30">
        <w:tc>
          <w:tcPr>
            <w:tcW w:w="0" w:type="auto"/>
            <w:hideMark/>
          </w:tcPr>
          <w:p w14:paraId="727D4693"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Yes</w:t>
            </w:r>
          </w:p>
        </w:tc>
        <w:tc>
          <w:tcPr>
            <w:tcW w:w="0" w:type="auto"/>
            <w:hideMark/>
          </w:tcPr>
          <w:p w14:paraId="4B09656B"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Aylward et al. (2021)</w:t>
            </w:r>
          </w:p>
        </w:tc>
        <w:tc>
          <w:tcPr>
            <w:tcW w:w="0" w:type="auto"/>
            <w:hideMark/>
          </w:tcPr>
          <w:p w14:paraId="4284A8FD"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Diagnostic Disparities</w:t>
            </w:r>
          </w:p>
        </w:tc>
        <w:tc>
          <w:tcPr>
            <w:tcW w:w="0" w:type="auto"/>
            <w:hideMark/>
          </w:tcPr>
          <w:p w14:paraId="7653DA0F"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Reviews racial and systemic diagnostic inequities.</w:t>
            </w:r>
          </w:p>
        </w:tc>
        <w:tc>
          <w:tcPr>
            <w:tcW w:w="0" w:type="auto"/>
            <w:hideMark/>
          </w:tcPr>
          <w:p w14:paraId="09E15DB9"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Relevant, Structural lens</w:t>
            </w:r>
          </w:p>
        </w:tc>
        <w:tc>
          <w:tcPr>
            <w:tcW w:w="0" w:type="auto"/>
            <w:hideMark/>
          </w:tcPr>
          <w:p w14:paraId="25D547D1"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Aylward_2021_DiagnosticBias.pdf</w:t>
            </w:r>
          </w:p>
        </w:tc>
      </w:tr>
      <w:tr w:rsidR="00692C30" w:rsidRPr="00B32307" w14:paraId="73F7B0D6" w14:textId="77777777" w:rsidTr="00692C30">
        <w:tc>
          <w:tcPr>
            <w:tcW w:w="0" w:type="auto"/>
            <w:hideMark/>
          </w:tcPr>
          <w:p w14:paraId="29FEFFD1"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Yes</w:t>
            </w:r>
          </w:p>
        </w:tc>
        <w:tc>
          <w:tcPr>
            <w:tcW w:w="0" w:type="auto"/>
            <w:hideMark/>
          </w:tcPr>
          <w:p w14:paraId="36A8D117"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Karwowska and Majewski (2025)</w:t>
            </w:r>
          </w:p>
        </w:tc>
        <w:tc>
          <w:tcPr>
            <w:tcW w:w="0" w:type="auto"/>
            <w:hideMark/>
          </w:tcPr>
          <w:p w14:paraId="056A39DF"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Neurodiverse Organisations</w:t>
            </w:r>
          </w:p>
        </w:tc>
        <w:tc>
          <w:tcPr>
            <w:tcW w:w="0" w:type="auto"/>
            <w:hideMark/>
          </w:tcPr>
          <w:p w14:paraId="573AE3AC"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Conceptual workplace inclusion framework.</w:t>
            </w:r>
          </w:p>
        </w:tc>
        <w:tc>
          <w:tcPr>
            <w:tcW w:w="0" w:type="auto"/>
            <w:hideMark/>
          </w:tcPr>
          <w:p w14:paraId="093D1827"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Applied relevance</w:t>
            </w:r>
          </w:p>
        </w:tc>
        <w:tc>
          <w:tcPr>
            <w:tcW w:w="0" w:type="auto"/>
            <w:hideMark/>
          </w:tcPr>
          <w:p w14:paraId="07D43B68"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Karwowska_2025_TealOrg.pdf</w:t>
            </w:r>
          </w:p>
        </w:tc>
      </w:tr>
      <w:tr w:rsidR="00692C30" w:rsidRPr="00B32307" w14:paraId="3CB13345" w14:textId="77777777" w:rsidTr="00692C30">
        <w:tc>
          <w:tcPr>
            <w:tcW w:w="0" w:type="auto"/>
            <w:hideMark/>
          </w:tcPr>
          <w:p w14:paraId="0047FA75"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Yes</w:t>
            </w:r>
          </w:p>
        </w:tc>
        <w:tc>
          <w:tcPr>
            <w:tcW w:w="0" w:type="auto"/>
            <w:hideMark/>
          </w:tcPr>
          <w:p w14:paraId="645FFF97"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Klein et al. (2024)</w:t>
            </w:r>
          </w:p>
        </w:tc>
        <w:tc>
          <w:tcPr>
            <w:tcW w:w="0" w:type="auto"/>
            <w:hideMark/>
          </w:tcPr>
          <w:p w14:paraId="51DD40B0"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Culture &amp; Emotion Regulation</w:t>
            </w:r>
          </w:p>
        </w:tc>
        <w:tc>
          <w:tcPr>
            <w:tcW w:w="0" w:type="auto"/>
            <w:hideMark/>
          </w:tcPr>
          <w:p w14:paraId="30077954"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Cross-cultural study on suppression and regulation.</w:t>
            </w:r>
          </w:p>
        </w:tc>
        <w:tc>
          <w:tcPr>
            <w:tcW w:w="0" w:type="auto"/>
            <w:hideMark/>
          </w:tcPr>
          <w:p w14:paraId="29C659BE"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Large sample, Indirect</w:t>
            </w:r>
          </w:p>
        </w:tc>
        <w:tc>
          <w:tcPr>
            <w:tcW w:w="0" w:type="auto"/>
            <w:hideMark/>
          </w:tcPr>
          <w:p w14:paraId="396D99C7"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Klein_2024_CultureEmotion.pdf</w:t>
            </w:r>
            <w:r w:rsidR="005F7921">
              <w:rPr>
                <w:rFonts w:eastAsia="Times New Roman" w:cs="Times New Roman"/>
                <w:szCs w:val="24"/>
                <w:lang w:val="en-GB"/>
              </w:rPr>
              <w:t xml:space="preserve"> </w:t>
            </w:r>
          </w:p>
        </w:tc>
      </w:tr>
      <w:tr w:rsidR="00692C30" w:rsidRPr="00B32307" w14:paraId="4F8C5C9F" w14:textId="77777777" w:rsidTr="00692C30">
        <w:tc>
          <w:tcPr>
            <w:tcW w:w="0" w:type="auto"/>
            <w:hideMark/>
          </w:tcPr>
          <w:p w14:paraId="7508BEF2"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Yes</w:t>
            </w:r>
          </w:p>
        </w:tc>
        <w:tc>
          <w:tcPr>
            <w:tcW w:w="0" w:type="auto"/>
            <w:hideMark/>
          </w:tcPr>
          <w:p w14:paraId="6B9244CB"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Beazley et al. (2023)</w:t>
            </w:r>
          </w:p>
        </w:tc>
        <w:tc>
          <w:tcPr>
            <w:tcW w:w="0" w:type="auto"/>
            <w:hideMark/>
          </w:tcPr>
          <w:p w14:paraId="65661BC0"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Mental Health Bill Analysis</w:t>
            </w:r>
          </w:p>
        </w:tc>
        <w:tc>
          <w:tcPr>
            <w:tcW w:w="0" w:type="auto"/>
            <w:hideMark/>
          </w:tcPr>
          <w:p w14:paraId="19438645"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 xml:space="preserve">Legal critique of autism definition changes in </w:t>
            </w:r>
            <w:r w:rsidR="00275697" w:rsidRPr="00B32307">
              <w:rPr>
                <w:rFonts w:eastAsia="Times New Roman" w:cs="Times New Roman"/>
                <w:szCs w:val="24"/>
                <w:lang w:val="en-GB"/>
              </w:rPr>
              <w:t xml:space="preserve">the </w:t>
            </w:r>
            <w:r w:rsidRPr="00B32307">
              <w:rPr>
                <w:rFonts w:eastAsia="Times New Roman" w:cs="Times New Roman"/>
                <w:szCs w:val="24"/>
                <w:lang w:val="en-GB"/>
              </w:rPr>
              <w:t>UK.</w:t>
            </w:r>
          </w:p>
        </w:tc>
        <w:tc>
          <w:tcPr>
            <w:tcW w:w="0" w:type="auto"/>
            <w:hideMark/>
          </w:tcPr>
          <w:p w14:paraId="4E82BFA9"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UK policy relevance</w:t>
            </w:r>
          </w:p>
        </w:tc>
        <w:tc>
          <w:tcPr>
            <w:tcW w:w="0" w:type="auto"/>
            <w:hideMark/>
          </w:tcPr>
          <w:p w14:paraId="08FF91E3"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Beazley_2023_MentalHealthBill.pdf</w:t>
            </w:r>
          </w:p>
        </w:tc>
      </w:tr>
      <w:tr w:rsidR="00692C30" w:rsidRPr="00B32307" w14:paraId="394ED9B6" w14:textId="77777777" w:rsidTr="00692C30">
        <w:tc>
          <w:tcPr>
            <w:tcW w:w="0" w:type="auto"/>
            <w:hideMark/>
          </w:tcPr>
          <w:p w14:paraId="56CA3194"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Yes</w:t>
            </w:r>
          </w:p>
        </w:tc>
        <w:tc>
          <w:tcPr>
            <w:tcW w:w="0" w:type="auto"/>
            <w:hideMark/>
          </w:tcPr>
          <w:p w14:paraId="25DCD13C"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Kentrou et al. (2024)</w:t>
            </w:r>
          </w:p>
        </w:tc>
        <w:tc>
          <w:tcPr>
            <w:tcW w:w="0" w:type="auto"/>
            <w:hideMark/>
          </w:tcPr>
          <w:p w14:paraId="2353B5CD"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Misdiagnosis in Adults</w:t>
            </w:r>
          </w:p>
        </w:tc>
        <w:tc>
          <w:tcPr>
            <w:tcW w:w="0" w:type="auto"/>
            <w:hideMark/>
          </w:tcPr>
          <w:p w14:paraId="5D724C7E"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Large survey identifying psychiatric misdiagnosis prevalence.</w:t>
            </w:r>
          </w:p>
        </w:tc>
        <w:tc>
          <w:tcPr>
            <w:tcW w:w="0" w:type="auto"/>
            <w:hideMark/>
          </w:tcPr>
          <w:p w14:paraId="04ED6182"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Large N, Strong evidence</w:t>
            </w:r>
          </w:p>
        </w:tc>
        <w:tc>
          <w:tcPr>
            <w:tcW w:w="0" w:type="auto"/>
            <w:hideMark/>
          </w:tcPr>
          <w:p w14:paraId="21C262A3"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Kentrou_2024_Misdiagnosis.pdf</w:t>
            </w:r>
          </w:p>
        </w:tc>
      </w:tr>
      <w:tr w:rsidR="00692C30" w:rsidRPr="00B32307" w14:paraId="5C222CFB" w14:textId="77777777" w:rsidTr="00692C30">
        <w:tc>
          <w:tcPr>
            <w:tcW w:w="0" w:type="auto"/>
            <w:hideMark/>
          </w:tcPr>
          <w:p w14:paraId="2102F46F"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Yes</w:t>
            </w:r>
          </w:p>
        </w:tc>
        <w:tc>
          <w:tcPr>
            <w:tcW w:w="0" w:type="auto"/>
            <w:hideMark/>
          </w:tcPr>
          <w:p w14:paraId="09680D96"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Gongora-Salazar et al. (2022)</w:t>
            </w:r>
          </w:p>
        </w:tc>
        <w:tc>
          <w:tcPr>
            <w:tcW w:w="0" w:type="auto"/>
            <w:hideMark/>
          </w:tcPr>
          <w:p w14:paraId="77DDDD00"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Commissioning in England</w:t>
            </w:r>
          </w:p>
        </w:tc>
        <w:tc>
          <w:tcPr>
            <w:tcW w:w="0" w:type="auto"/>
            <w:hideMark/>
          </w:tcPr>
          <w:p w14:paraId="15743AF8"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Analysis of UK integrated care systems.</w:t>
            </w:r>
          </w:p>
        </w:tc>
        <w:tc>
          <w:tcPr>
            <w:tcW w:w="0" w:type="auto"/>
            <w:hideMark/>
          </w:tcPr>
          <w:p w14:paraId="2706FA36"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UK system context</w:t>
            </w:r>
          </w:p>
        </w:tc>
        <w:tc>
          <w:tcPr>
            <w:tcW w:w="0" w:type="auto"/>
            <w:hideMark/>
          </w:tcPr>
          <w:p w14:paraId="51B9B359"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Gongora_2022_Commissioning.pdf</w:t>
            </w:r>
          </w:p>
        </w:tc>
      </w:tr>
      <w:tr w:rsidR="00692C30" w:rsidRPr="00B32307" w14:paraId="39716A8C" w14:textId="77777777" w:rsidTr="00692C30">
        <w:tc>
          <w:tcPr>
            <w:tcW w:w="0" w:type="auto"/>
            <w:hideMark/>
          </w:tcPr>
          <w:p w14:paraId="2624763F"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Yes</w:t>
            </w:r>
          </w:p>
        </w:tc>
        <w:tc>
          <w:tcPr>
            <w:tcW w:w="0" w:type="auto"/>
            <w:hideMark/>
          </w:tcPr>
          <w:p w14:paraId="5FD9194A"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Zhuang et al. (2023)</w:t>
            </w:r>
          </w:p>
        </w:tc>
        <w:tc>
          <w:tcPr>
            <w:tcW w:w="0" w:type="auto"/>
            <w:hideMark/>
          </w:tcPr>
          <w:p w14:paraId="26AC13E3"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Camouflaging &amp; Wellbeing</w:t>
            </w:r>
          </w:p>
        </w:tc>
        <w:tc>
          <w:tcPr>
            <w:tcW w:w="0" w:type="auto"/>
            <w:hideMark/>
          </w:tcPr>
          <w:p w14:paraId="3283A370"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Mixed-method systematic review on masking &amp; identity.</w:t>
            </w:r>
          </w:p>
        </w:tc>
        <w:tc>
          <w:tcPr>
            <w:tcW w:w="0" w:type="auto"/>
            <w:hideMark/>
          </w:tcPr>
          <w:p w14:paraId="7F21CD76"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Core synthesis, Highly relevant</w:t>
            </w:r>
          </w:p>
        </w:tc>
        <w:tc>
          <w:tcPr>
            <w:tcW w:w="0" w:type="auto"/>
            <w:hideMark/>
          </w:tcPr>
          <w:p w14:paraId="4ED41689" w14:textId="77777777" w:rsidR="00692C30" w:rsidRPr="00B32307" w:rsidRDefault="00692C30" w:rsidP="00692C30">
            <w:pPr>
              <w:spacing w:after="0" w:line="240" w:lineRule="auto"/>
              <w:jc w:val="left"/>
              <w:rPr>
                <w:rFonts w:eastAsia="Times New Roman" w:cs="Times New Roman"/>
                <w:szCs w:val="24"/>
                <w:lang w:val="en-GB"/>
              </w:rPr>
            </w:pPr>
            <w:r w:rsidRPr="00B32307">
              <w:rPr>
                <w:rFonts w:eastAsia="Times New Roman" w:cs="Times New Roman"/>
                <w:szCs w:val="24"/>
                <w:lang w:val="en-GB"/>
              </w:rPr>
              <w:t>Zhuang_2023_SystematicReview.pdf</w:t>
            </w:r>
          </w:p>
        </w:tc>
      </w:tr>
    </w:tbl>
    <w:p w14:paraId="4F116276" w14:textId="77777777" w:rsidR="00692C30" w:rsidRPr="00B32307" w:rsidRDefault="00692C30" w:rsidP="00692C30">
      <w:pPr>
        <w:rPr>
          <w:rFonts w:cs="Times New Roman"/>
          <w:lang w:val="en-GB"/>
        </w:rPr>
      </w:pPr>
    </w:p>
    <w:p w14:paraId="68FB2E65" w14:textId="77777777" w:rsidR="007042DF" w:rsidRPr="00B32307" w:rsidRDefault="007042DF" w:rsidP="0015491D">
      <w:pPr>
        <w:rPr>
          <w:rFonts w:cs="Times New Roman"/>
          <w:lang w:val="en-GB"/>
        </w:rPr>
      </w:pPr>
    </w:p>
    <w:p w14:paraId="072FB741" w14:textId="77777777" w:rsidR="00767E22" w:rsidRPr="00B32307" w:rsidRDefault="00767E22" w:rsidP="00767E22">
      <w:pPr>
        <w:rPr>
          <w:rFonts w:cs="Times New Roman"/>
          <w:lang w:val="en-GB"/>
        </w:rPr>
      </w:pPr>
    </w:p>
    <w:p w14:paraId="4C95F4EE" w14:textId="77777777" w:rsidR="00780C8B" w:rsidRPr="00B32307" w:rsidRDefault="00780C8B">
      <w:pPr>
        <w:rPr>
          <w:rFonts w:cs="Times New Roman"/>
          <w:lang w:val="en-GB"/>
        </w:rPr>
      </w:pPr>
    </w:p>
    <w:sectPr w:rsidR="00780C8B" w:rsidRPr="00B32307" w:rsidSect="00E958E9">
      <w:pgSz w:w="15840" w:h="12240" w:orient="landscape"/>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D15938" w14:textId="77777777" w:rsidR="00466788" w:rsidRDefault="00466788" w:rsidP="002F19E6">
      <w:pPr>
        <w:spacing w:after="0" w:line="240" w:lineRule="auto"/>
      </w:pPr>
      <w:r>
        <w:separator/>
      </w:r>
    </w:p>
  </w:endnote>
  <w:endnote w:type="continuationSeparator" w:id="0">
    <w:p w14:paraId="740D8400" w14:textId="77777777" w:rsidR="00466788" w:rsidRDefault="00466788" w:rsidP="002F19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AEC7FA" w14:textId="77777777" w:rsidR="00466788" w:rsidRDefault="00466788" w:rsidP="002F19E6">
      <w:pPr>
        <w:spacing w:after="0" w:line="240" w:lineRule="auto"/>
      </w:pPr>
      <w:r>
        <w:separator/>
      </w:r>
    </w:p>
  </w:footnote>
  <w:footnote w:type="continuationSeparator" w:id="0">
    <w:p w14:paraId="0B4D4143" w14:textId="77777777" w:rsidR="00466788" w:rsidRDefault="00466788" w:rsidP="002F19E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1180963"/>
      <w:docPartObj>
        <w:docPartGallery w:val="Page Numbers (Top of Page)"/>
        <w:docPartUnique/>
      </w:docPartObj>
    </w:sdtPr>
    <w:sdtEndPr>
      <w:rPr>
        <w:noProof/>
      </w:rPr>
    </w:sdtEndPr>
    <w:sdtContent>
      <w:p w14:paraId="7309332F" w14:textId="77777777" w:rsidR="00B32307" w:rsidRDefault="00B32307">
        <w:pPr>
          <w:pStyle w:val="Header"/>
          <w:jc w:val="right"/>
        </w:pPr>
        <w:r>
          <w:fldChar w:fldCharType="begin"/>
        </w:r>
        <w:r>
          <w:instrText xml:space="preserve"> PAGE   \* MERGEFORMAT </w:instrText>
        </w:r>
        <w:r>
          <w:fldChar w:fldCharType="separate"/>
        </w:r>
        <w:r>
          <w:rPr>
            <w:noProof/>
          </w:rPr>
          <w:t>3</w:t>
        </w:r>
        <w:r>
          <w:rPr>
            <w:noProof/>
          </w:rPr>
          <w:fldChar w:fldCharType="end"/>
        </w:r>
      </w:p>
    </w:sdtContent>
  </w:sdt>
  <w:p w14:paraId="42FD9234" w14:textId="77777777" w:rsidR="00B32307" w:rsidRDefault="00B3230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29D3DE1"/>
    <w:multiLevelType w:val="hybridMultilevel"/>
    <w:tmpl w:val="3710ADB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388378420">
    <w:abstractNumId w:val="0"/>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67E22"/>
    <w:rsid w:val="00054632"/>
    <w:rsid w:val="00144DE9"/>
    <w:rsid w:val="0015491D"/>
    <w:rsid w:val="00275697"/>
    <w:rsid w:val="002822E6"/>
    <w:rsid w:val="002F19E6"/>
    <w:rsid w:val="00466788"/>
    <w:rsid w:val="005B4486"/>
    <w:rsid w:val="005D1F48"/>
    <w:rsid w:val="005F7921"/>
    <w:rsid w:val="00692C30"/>
    <w:rsid w:val="007042DF"/>
    <w:rsid w:val="007472DF"/>
    <w:rsid w:val="00767E22"/>
    <w:rsid w:val="00780C8B"/>
    <w:rsid w:val="007C1162"/>
    <w:rsid w:val="00945409"/>
    <w:rsid w:val="009B06BC"/>
    <w:rsid w:val="00B32307"/>
    <w:rsid w:val="00B327E4"/>
    <w:rsid w:val="00B65964"/>
    <w:rsid w:val="00B95E07"/>
    <w:rsid w:val="00BB2BC9"/>
    <w:rsid w:val="00BD7669"/>
    <w:rsid w:val="00C8369F"/>
    <w:rsid w:val="00C856B7"/>
    <w:rsid w:val="00D76231"/>
    <w:rsid w:val="00E1342F"/>
    <w:rsid w:val="00E7091B"/>
    <w:rsid w:val="00E958E9"/>
    <w:rsid w:val="00EA6CF9"/>
    <w:rsid w:val="00F003B9"/>
    <w:rsid w:val="00F2480C"/>
    <w:rsid w:val="00F6155F"/>
    <w:rsid w:val="00F70A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3E4106"/>
  <w15:chartTrackingRefBased/>
  <w15:docId w15:val="{E4A09BC0-B417-4692-BB8E-07054DF901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4632"/>
    <w:pPr>
      <w:spacing w:after="12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EA6CF9"/>
    <w:pPr>
      <w:keepNext/>
      <w:keepLines/>
      <w:jc w:val="center"/>
      <w:outlineLvl w:val="0"/>
    </w:pPr>
    <w:rPr>
      <w:rFonts w:eastAsiaTheme="majorEastAsia" w:cstheme="majorBidi"/>
      <w:b/>
      <w:color w:val="000000" w:themeColor="text1"/>
      <w:szCs w:val="32"/>
      <w:lang w:val="en-GB"/>
    </w:rPr>
  </w:style>
  <w:style w:type="paragraph" w:styleId="Heading2">
    <w:name w:val="heading 2"/>
    <w:basedOn w:val="Normal"/>
    <w:next w:val="Normal"/>
    <w:link w:val="Heading2Char"/>
    <w:uiPriority w:val="9"/>
    <w:unhideWhenUsed/>
    <w:qFormat/>
    <w:rsid w:val="00E7091B"/>
    <w:pPr>
      <w:keepNext/>
      <w:keepLines/>
      <w:jc w:val="left"/>
      <w:outlineLvl w:val="1"/>
    </w:pPr>
    <w:rPr>
      <w:rFonts w:eastAsiaTheme="majorEastAsia" w:cstheme="majorBidi"/>
      <w:b/>
      <w:color w:val="000000" w:themeColor="text1"/>
      <w:szCs w:val="26"/>
      <w:lang w:val="en-GB"/>
    </w:rPr>
  </w:style>
  <w:style w:type="paragraph" w:styleId="Heading3">
    <w:name w:val="heading 3"/>
    <w:basedOn w:val="Normal"/>
    <w:next w:val="Normal"/>
    <w:link w:val="Heading3Char"/>
    <w:uiPriority w:val="9"/>
    <w:unhideWhenUsed/>
    <w:qFormat/>
    <w:rsid w:val="00B65964"/>
    <w:pPr>
      <w:keepNext/>
      <w:keepLines/>
      <w:jc w:val="left"/>
      <w:outlineLvl w:val="2"/>
    </w:pPr>
    <w:rPr>
      <w:rFonts w:eastAsiaTheme="majorEastAsia" w:cstheme="majorBidi"/>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6CF9"/>
    <w:rPr>
      <w:rFonts w:ascii="Times New Roman" w:eastAsiaTheme="majorEastAsia" w:hAnsi="Times New Roman" w:cstheme="majorBidi"/>
      <w:b/>
      <w:color w:val="000000" w:themeColor="text1"/>
      <w:sz w:val="24"/>
      <w:szCs w:val="32"/>
      <w:lang w:val="en-GB"/>
    </w:rPr>
  </w:style>
  <w:style w:type="character" w:customStyle="1" w:styleId="Heading2Char">
    <w:name w:val="Heading 2 Char"/>
    <w:basedOn w:val="DefaultParagraphFont"/>
    <w:link w:val="Heading2"/>
    <w:uiPriority w:val="9"/>
    <w:rsid w:val="00E7091B"/>
    <w:rPr>
      <w:rFonts w:ascii="Times New Roman" w:eastAsiaTheme="majorEastAsia" w:hAnsi="Times New Roman" w:cstheme="majorBidi"/>
      <w:b/>
      <w:color w:val="000000" w:themeColor="text1"/>
      <w:sz w:val="24"/>
      <w:szCs w:val="26"/>
      <w:lang w:val="en-GB"/>
    </w:rPr>
  </w:style>
  <w:style w:type="character" w:customStyle="1" w:styleId="Heading3Char">
    <w:name w:val="Heading 3 Char"/>
    <w:basedOn w:val="DefaultParagraphFont"/>
    <w:link w:val="Heading3"/>
    <w:uiPriority w:val="9"/>
    <w:rsid w:val="00B65964"/>
    <w:rPr>
      <w:rFonts w:ascii="Times New Roman" w:eastAsiaTheme="majorEastAsia" w:hAnsi="Times New Roman" w:cstheme="majorBidi"/>
      <w:i/>
      <w:sz w:val="24"/>
      <w:szCs w:val="24"/>
    </w:rPr>
  </w:style>
  <w:style w:type="paragraph" w:styleId="ListParagraph">
    <w:name w:val="List Paragraph"/>
    <w:basedOn w:val="Normal"/>
    <w:uiPriority w:val="34"/>
    <w:qFormat/>
    <w:rsid w:val="00767E22"/>
    <w:pPr>
      <w:ind w:left="720"/>
      <w:contextualSpacing/>
    </w:pPr>
  </w:style>
  <w:style w:type="paragraph" w:styleId="Caption">
    <w:name w:val="caption"/>
    <w:basedOn w:val="Normal"/>
    <w:next w:val="Normal"/>
    <w:uiPriority w:val="35"/>
    <w:unhideWhenUsed/>
    <w:qFormat/>
    <w:rsid w:val="0015491D"/>
    <w:pPr>
      <w:spacing w:after="200" w:line="240" w:lineRule="auto"/>
    </w:pPr>
    <w:rPr>
      <w:i/>
      <w:iCs/>
      <w:color w:val="44546A" w:themeColor="text2"/>
      <w:sz w:val="18"/>
      <w:szCs w:val="18"/>
    </w:rPr>
  </w:style>
  <w:style w:type="character" w:styleId="Hyperlink">
    <w:name w:val="Hyperlink"/>
    <w:basedOn w:val="DefaultParagraphFont"/>
    <w:uiPriority w:val="99"/>
    <w:unhideWhenUsed/>
    <w:rsid w:val="0015491D"/>
    <w:rPr>
      <w:color w:val="0563C1" w:themeColor="hyperlink"/>
      <w:u w:val="single"/>
    </w:rPr>
  </w:style>
  <w:style w:type="table" w:styleId="TableGrid">
    <w:name w:val="Table Grid"/>
    <w:basedOn w:val="TableNormal"/>
    <w:uiPriority w:val="39"/>
    <w:rsid w:val="007042D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2F19E6"/>
    <w:pPr>
      <w:spacing w:before="240" w:after="0"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2F19E6"/>
    <w:pPr>
      <w:spacing w:after="100"/>
    </w:pPr>
  </w:style>
  <w:style w:type="paragraph" w:styleId="TOC2">
    <w:name w:val="toc 2"/>
    <w:basedOn w:val="Normal"/>
    <w:next w:val="Normal"/>
    <w:autoRedefine/>
    <w:uiPriority w:val="39"/>
    <w:unhideWhenUsed/>
    <w:rsid w:val="002F19E6"/>
    <w:pPr>
      <w:spacing w:after="100"/>
      <w:ind w:left="240"/>
    </w:pPr>
  </w:style>
  <w:style w:type="paragraph" w:styleId="TOC3">
    <w:name w:val="toc 3"/>
    <w:basedOn w:val="Normal"/>
    <w:next w:val="Normal"/>
    <w:autoRedefine/>
    <w:uiPriority w:val="39"/>
    <w:unhideWhenUsed/>
    <w:rsid w:val="002F19E6"/>
    <w:pPr>
      <w:spacing w:after="100"/>
      <w:ind w:left="480"/>
    </w:pPr>
  </w:style>
  <w:style w:type="paragraph" w:styleId="Header">
    <w:name w:val="header"/>
    <w:basedOn w:val="Normal"/>
    <w:link w:val="HeaderChar"/>
    <w:uiPriority w:val="99"/>
    <w:unhideWhenUsed/>
    <w:rsid w:val="002F19E6"/>
    <w:pPr>
      <w:tabs>
        <w:tab w:val="center" w:pos="4680"/>
        <w:tab w:val="right" w:pos="9360"/>
      </w:tabs>
      <w:spacing w:after="0" w:line="240" w:lineRule="auto"/>
    </w:pPr>
  </w:style>
  <w:style w:type="character" w:customStyle="1" w:styleId="HeaderChar">
    <w:name w:val="Header Char"/>
    <w:basedOn w:val="DefaultParagraphFont"/>
    <w:link w:val="Header"/>
    <w:uiPriority w:val="99"/>
    <w:rsid w:val="002F19E6"/>
    <w:rPr>
      <w:rFonts w:ascii="Times New Roman" w:hAnsi="Times New Roman"/>
      <w:sz w:val="24"/>
    </w:rPr>
  </w:style>
  <w:style w:type="paragraph" w:styleId="Footer">
    <w:name w:val="footer"/>
    <w:basedOn w:val="Normal"/>
    <w:link w:val="FooterChar"/>
    <w:uiPriority w:val="99"/>
    <w:unhideWhenUsed/>
    <w:rsid w:val="002F19E6"/>
    <w:pPr>
      <w:tabs>
        <w:tab w:val="center" w:pos="4680"/>
        <w:tab w:val="right" w:pos="9360"/>
      </w:tabs>
      <w:spacing w:after="0" w:line="240" w:lineRule="auto"/>
    </w:pPr>
  </w:style>
  <w:style w:type="character" w:customStyle="1" w:styleId="FooterChar">
    <w:name w:val="Footer Char"/>
    <w:basedOn w:val="DefaultParagraphFont"/>
    <w:link w:val="Footer"/>
    <w:uiPriority w:val="99"/>
    <w:rsid w:val="002F19E6"/>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591751">
      <w:bodyDiv w:val="1"/>
      <w:marLeft w:val="0"/>
      <w:marRight w:val="0"/>
      <w:marTop w:val="0"/>
      <w:marBottom w:val="0"/>
      <w:divBdr>
        <w:top w:val="none" w:sz="0" w:space="0" w:color="auto"/>
        <w:left w:val="none" w:sz="0" w:space="0" w:color="auto"/>
        <w:bottom w:val="none" w:sz="0" w:space="0" w:color="auto"/>
        <w:right w:val="none" w:sz="0" w:space="0" w:color="auto"/>
      </w:divBdr>
      <w:divsChild>
        <w:div w:id="1528712344">
          <w:marLeft w:val="0"/>
          <w:marRight w:val="0"/>
          <w:marTop w:val="0"/>
          <w:marBottom w:val="0"/>
          <w:divBdr>
            <w:top w:val="none" w:sz="0" w:space="0" w:color="auto"/>
            <w:left w:val="none" w:sz="0" w:space="0" w:color="auto"/>
            <w:bottom w:val="none" w:sz="0" w:space="0" w:color="auto"/>
            <w:right w:val="none" w:sz="0" w:space="0" w:color="auto"/>
          </w:divBdr>
        </w:div>
      </w:divsChild>
    </w:div>
    <w:div w:id="88549406">
      <w:bodyDiv w:val="1"/>
      <w:marLeft w:val="0"/>
      <w:marRight w:val="0"/>
      <w:marTop w:val="0"/>
      <w:marBottom w:val="0"/>
      <w:divBdr>
        <w:top w:val="none" w:sz="0" w:space="0" w:color="auto"/>
        <w:left w:val="none" w:sz="0" w:space="0" w:color="auto"/>
        <w:bottom w:val="none" w:sz="0" w:space="0" w:color="auto"/>
        <w:right w:val="none" w:sz="0" w:space="0" w:color="auto"/>
      </w:divBdr>
      <w:divsChild>
        <w:div w:id="1754887953">
          <w:blockQuote w:val="1"/>
          <w:marLeft w:val="720"/>
          <w:marRight w:val="720"/>
          <w:marTop w:val="100"/>
          <w:marBottom w:val="100"/>
          <w:divBdr>
            <w:top w:val="none" w:sz="0" w:space="0" w:color="auto"/>
            <w:left w:val="none" w:sz="0" w:space="0" w:color="auto"/>
            <w:bottom w:val="none" w:sz="0" w:space="0" w:color="auto"/>
            <w:right w:val="none" w:sz="0" w:space="0" w:color="auto"/>
          </w:divBdr>
        </w:div>
        <w:div w:id="833103915">
          <w:blockQuote w:val="1"/>
          <w:marLeft w:val="720"/>
          <w:marRight w:val="720"/>
          <w:marTop w:val="100"/>
          <w:marBottom w:val="100"/>
          <w:divBdr>
            <w:top w:val="none" w:sz="0" w:space="0" w:color="auto"/>
            <w:left w:val="none" w:sz="0" w:space="0" w:color="auto"/>
            <w:bottom w:val="none" w:sz="0" w:space="0" w:color="auto"/>
            <w:right w:val="none" w:sz="0" w:space="0" w:color="auto"/>
          </w:divBdr>
        </w:div>
        <w:div w:id="259680377">
          <w:blockQuote w:val="1"/>
          <w:marLeft w:val="720"/>
          <w:marRight w:val="720"/>
          <w:marTop w:val="100"/>
          <w:marBottom w:val="100"/>
          <w:divBdr>
            <w:top w:val="none" w:sz="0" w:space="0" w:color="auto"/>
            <w:left w:val="none" w:sz="0" w:space="0" w:color="auto"/>
            <w:bottom w:val="none" w:sz="0" w:space="0" w:color="auto"/>
            <w:right w:val="none" w:sz="0" w:space="0" w:color="auto"/>
          </w:divBdr>
        </w:div>
        <w:div w:id="61283264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4105186">
      <w:bodyDiv w:val="1"/>
      <w:marLeft w:val="0"/>
      <w:marRight w:val="0"/>
      <w:marTop w:val="0"/>
      <w:marBottom w:val="0"/>
      <w:divBdr>
        <w:top w:val="none" w:sz="0" w:space="0" w:color="auto"/>
        <w:left w:val="none" w:sz="0" w:space="0" w:color="auto"/>
        <w:bottom w:val="none" w:sz="0" w:space="0" w:color="auto"/>
        <w:right w:val="none" w:sz="0" w:space="0" w:color="auto"/>
      </w:divBdr>
      <w:divsChild>
        <w:div w:id="350953404">
          <w:marLeft w:val="0"/>
          <w:marRight w:val="0"/>
          <w:marTop w:val="0"/>
          <w:marBottom w:val="0"/>
          <w:divBdr>
            <w:top w:val="none" w:sz="0" w:space="0" w:color="auto"/>
            <w:left w:val="none" w:sz="0" w:space="0" w:color="auto"/>
            <w:bottom w:val="none" w:sz="0" w:space="0" w:color="auto"/>
            <w:right w:val="none" w:sz="0" w:space="0" w:color="auto"/>
          </w:divBdr>
          <w:divsChild>
            <w:div w:id="548687151">
              <w:marLeft w:val="0"/>
              <w:marRight w:val="0"/>
              <w:marTop w:val="0"/>
              <w:marBottom w:val="0"/>
              <w:divBdr>
                <w:top w:val="none" w:sz="0" w:space="0" w:color="auto"/>
                <w:left w:val="none" w:sz="0" w:space="0" w:color="auto"/>
                <w:bottom w:val="none" w:sz="0" w:space="0" w:color="auto"/>
                <w:right w:val="none" w:sz="0" w:space="0" w:color="auto"/>
              </w:divBdr>
              <w:divsChild>
                <w:div w:id="1804035634">
                  <w:marLeft w:val="0"/>
                  <w:marRight w:val="0"/>
                  <w:marTop w:val="0"/>
                  <w:marBottom w:val="0"/>
                  <w:divBdr>
                    <w:top w:val="none" w:sz="0" w:space="0" w:color="auto"/>
                    <w:left w:val="none" w:sz="0" w:space="0" w:color="auto"/>
                    <w:bottom w:val="none" w:sz="0" w:space="0" w:color="auto"/>
                    <w:right w:val="none" w:sz="0" w:space="0" w:color="auto"/>
                  </w:divBdr>
                  <w:divsChild>
                    <w:div w:id="347752032">
                      <w:marLeft w:val="0"/>
                      <w:marRight w:val="0"/>
                      <w:marTop w:val="0"/>
                      <w:marBottom w:val="0"/>
                      <w:divBdr>
                        <w:top w:val="none" w:sz="0" w:space="0" w:color="auto"/>
                        <w:left w:val="none" w:sz="0" w:space="0" w:color="auto"/>
                        <w:bottom w:val="none" w:sz="0" w:space="0" w:color="auto"/>
                        <w:right w:val="none" w:sz="0" w:space="0" w:color="auto"/>
                      </w:divBdr>
                      <w:divsChild>
                        <w:div w:id="1636177678">
                          <w:marLeft w:val="0"/>
                          <w:marRight w:val="0"/>
                          <w:marTop w:val="0"/>
                          <w:marBottom w:val="0"/>
                          <w:divBdr>
                            <w:top w:val="none" w:sz="0" w:space="0" w:color="auto"/>
                            <w:left w:val="none" w:sz="0" w:space="0" w:color="auto"/>
                            <w:bottom w:val="none" w:sz="0" w:space="0" w:color="auto"/>
                            <w:right w:val="none" w:sz="0" w:space="0" w:color="auto"/>
                          </w:divBdr>
                          <w:divsChild>
                            <w:div w:id="1971550369">
                              <w:marLeft w:val="0"/>
                              <w:marRight w:val="0"/>
                              <w:marTop w:val="0"/>
                              <w:marBottom w:val="0"/>
                              <w:divBdr>
                                <w:top w:val="none" w:sz="0" w:space="0" w:color="auto"/>
                                <w:left w:val="none" w:sz="0" w:space="0" w:color="auto"/>
                                <w:bottom w:val="none" w:sz="0" w:space="0" w:color="auto"/>
                                <w:right w:val="none" w:sz="0" w:space="0" w:color="auto"/>
                              </w:divBdr>
                              <w:divsChild>
                                <w:div w:id="439684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0969837">
      <w:bodyDiv w:val="1"/>
      <w:marLeft w:val="0"/>
      <w:marRight w:val="0"/>
      <w:marTop w:val="0"/>
      <w:marBottom w:val="0"/>
      <w:divBdr>
        <w:top w:val="none" w:sz="0" w:space="0" w:color="auto"/>
        <w:left w:val="none" w:sz="0" w:space="0" w:color="auto"/>
        <w:bottom w:val="none" w:sz="0" w:space="0" w:color="auto"/>
        <w:right w:val="none" w:sz="0" w:space="0" w:color="auto"/>
      </w:divBdr>
    </w:div>
    <w:div w:id="211356453">
      <w:bodyDiv w:val="1"/>
      <w:marLeft w:val="0"/>
      <w:marRight w:val="0"/>
      <w:marTop w:val="0"/>
      <w:marBottom w:val="0"/>
      <w:divBdr>
        <w:top w:val="none" w:sz="0" w:space="0" w:color="auto"/>
        <w:left w:val="none" w:sz="0" w:space="0" w:color="auto"/>
        <w:bottom w:val="none" w:sz="0" w:space="0" w:color="auto"/>
        <w:right w:val="none" w:sz="0" w:space="0" w:color="auto"/>
      </w:divBdr>
    </w:div>
    <w:div w:id="222717415">
      <w:bodyDiv w:val="1"/>
      <w:marLeft w:val="0"/>
      <w:marRight w:val="0"/>
      <w:marTop w:val="0"/>
      <w:marBottom w:val="0"/>
      <w:divBdr>
        <w:top w:val="none" w:sz="0" w:space="0" w:color="auto"/>
        <w:left w:val="none" w:sz="0" w:space="0" w:color="auto"/>
        <w:bottom w:val="none" w:sz="0" w:space="0" w:color="auto"/>
        <w:right w:val="none" w:sz="0" w:space="0" w:color="auto"/>
      </w:divBdr>
    </w:div>
    <w:div w:id="250622361">
      <w:bodyDiv w:val="1"/>
      <w:marLeft w:val="0"/>
      <w:marRight w:val="0"/>
      <w:marTop w:val="0"/>
      <w:marBottom w:val="0"/>
      <w:divBdr>
        <w:top w:val="none" w:sz="0" w:space="0" w:color="auto"/>
        <w:left w:val="none" w:sz="0" w:space="0" w:color="auto"/>
        <w:bottom w:val="none" w:sz="0" w:space="0" w:color="auto"/>
        <w:right w:val="none" w:sz="0" w:space="0" w:color="auto"/>
      </w:divBdr>
      <w:divsChild>
        <w:div w:id="716323354">
          <w:marLeft w:val="0"/>
          <w:marRight w:val="0"/>
          <w:marTop w:val="0"/>
          <w:marBottom w:val="0"/>
          <w:divBdr>
            <w:top w:val="none" w:sz="0" w:space="0" w:color="auto"/>
            <w:left w:val="none" w:sz="0" w:space="0" w:color="auto"/>
            <w:bottom w:val="none" w:sz="0" w:space="0" w:color="auto"/>
            <w:right w:val="none" w:sz="0" w:space="0" w:color="auto"/>
          </w:divBdr>
        </w:div>
      </w:divsChild>
    </w:div>
    <w:div w:id="298920336">
      <w:bodyDiv w:val="1"/>
      <w:marLeft w:val="0"/>
      <w:marRight w:val="0"/>
      <w:marTop w:val="0"/>
      <w:marBottom w:val="0"/>
      <w:divBdr>
        <w:top w:val="none" w:sz="0" w:space="0" w:color="auto"/>
        <w:left w:val="none" w:sz="0" w:space="0" w:color="auto"/>
        <w:bottom w:val="none" w:sz="0" w:space="0" w:color="auto"/>
        <w:right w:val="none" w:sz="0" w:space="0" w:color="auto"/>
      </w:divBdr>
    </w:div>
    <w:div w:id="387653508">
      <w:bodyDiv w:val="1"/>
      <w:marLeft w:val="0"/>
      <w:marRight w:val="0"/>
      <w:marTop w:val="0"/>
      <w:marBottom w:val="0"/>
      <w:divBdr>
        <w:top w:val="none" w:sz="0" w:space="0" w:color="auto"/>
        <w:left w:val="none" w:sz="0" w:space="0" w:color="auto"/>
        <w:bottom w:val="none" w:sz="0" w:space="0" w:color="auto"/>
        <w:right w:val="none" w:sz="0" w:space="0" w:color="auto"/>
      </w:divBdr>
    </w:div>
    <w:div w:id="841356062">
      <w:bodyDiv w:val="1"/>
      <w:marLeft w:val="0"/>
      <w:marRight w:val="0"/>
      <w:marTop w:val="0"/>
      <w:marBottom w:val="0"/>
      <w:divBdr>
        <w:top w:val="none" w:sz="0" w:space="0" w:color="auto"/>
        <w:left w:val="none" w:sz="0" w:space="0" w:color="auto"/>
        <w:bottom w:val="none" w:sz="0" w:space="0" w:color="auto"/>
        <w:right w:val="none" w:sz="0" w:space="0" w:color="auto"/>
      </w:divBdr>
    </w:div>
    <w:div w:id="1071075805">
      <w:bodyDiv w:val="1"/>
      <w:marLeft w:val="0"/>
      <w:marRight w:val="0"/>
      <w:marTop w:val="0"/>
      <w:marBottom w:val="0"/>
      <w:divBdr>
        <w:top w:val="none" w:sz="0" w:space="0" w:color="auto"/>
        <w:left w:val="none" w:sz="0" w:space="0" w:color="auto"/>
        <w:bottom w:val="none" w:sz="0" w:space="0" w:color="auto"/>
        <w:right w:val="none" w:sz="0" w:space="0" w:color="auto"/>
      </w:divBdr>
      <w:divsChild>
        <w:div w:id="647515053">
          <w:marLeft w:val="0"/>
          <w:marRight w:val="0"/>
          <w:marTop w:val="0"/>
          <w:marBottom w:val="0"/>
          <w:divBdr>
            <w:top w:val="none" w:sz="0" w:space="0" w:color="auto"/>
            <w:left w:val="none" w:sz="0" w:space="0" w:color="auto"/>
            <w:bottom w:val="none" w:sz="0" w:space="0" w:color="auto"/>
            <w:right w:val="none" w:sz="0" w:space="0" w:color="auto"/>
          </w:divBdr>
          <w:divsChild>
            <w:div w:id="937256761">
              <w:marLeft w:val="0"/>
              <w:marRight w:val="0"/>
              <w:marTop w:val="0"/>
              <w:marBottom w:val="0"/>
              <w:divBdr>
                <w:top w:val="none" w:sz="0" w:space="0" w:color="auto"/>
                <w:left w:val="none" w:sz="0" w:space="0" w:color="auto"/>
                <w:bottom w:val="none" w:sz="0" w:space="0" w:color="auto"/>
                <w:right w:val="none" w:sz="0" w:space="0" w:color="auto"/>
              </w:divBdr>
              <w:divsChild>
                <w:div w:id="2088919882">
                  <w:marLeft w:val="0"/>
                  <w:marRight w:val="0"/>
                  <w:marTop w:val="0"/>
                  <w:marBottom w:val="0"/>
                  <w:divBdr>
                    <w:top w:val="none" w:sz="0" w:space="0" w:color="auto"/>
                    <w:left w:val="none" w:sz="0" w:space="0" w:color="auto"/>
                    <w:bottom w:val="none" w:sz="0" w:space="0" w:color="auto"/>
                    <w:right w:val="none" w:sz="0" w:space="0" w:color="auto"/>
                  </w:divBdr>
                  <w:divsChild>
                    <w:div w:id="1169708898">
                      <w:marLeft w:val="0"/>
                      <w:marRight w:val="0"/>
                      <w:marTop w:val="0"/>
                      <w:marBottom w:val="0"/>
                      <w:divBdr>
                        <w:top w:val="none" w:sz="0" w:space="0" w:color="auto"/>
                        <w:left w:val="none" w:sz="0" w:space="0" w:color="auto"/>
                        <w:bottom w:val="none" w:sz="0" w:space="0" w:color="auto"/>
                        <w:right w:val="none" w:sz="0" w:space="0" w:color="auto"/>
                      </w:divBdr>
                      <w:divsChild>
                        <w:div w:id="223956923">
                          <w:marLeft w:val="0"/>
                          <w:marRight w:val="0"/>
                          <w:marTop w:val="0"/>
                          <w:marBottom w:val="0"/>
                          <w:divBdr>
                            <w:top w:val="none" w:sz="0" w:space="0" w:color="auto"/>
                            <w:left w:val="none" w:sz="0" w:space="0" w:color="auto"/>
                            <w:bottom w:val="none" w:sz="0" w:space="0" w:color="auto"/>
                            <w:right w:val="none" w:sz="0" w:space="0" w:color="auto"/>
                          </w:divBdr>
                          <w:divsChild>
                            <w:div w:id="1890996447">
                              <w:marLeft w:val="0"/>
                              <w:marRight w:val="0"/>
                              <w:marTop w:val="0"/>
                              <w:marBottom w:val="0"/>
                              <w:divBdr>
                                <w:top w:val="none" w:sz="0" w:space="0" w:color="auto"/>
                                <w:left w:val="none" w:sz="0" w:space="0" w:color="auto"/>
                                <w:bottom w:val="none" w:sz="0" w:space="0" w:color="auto"/>
                                <w:right w:val="none" w:sz="0" w:space="0" w:color="auto"/>
                              </w:divBdr>
                              <w:divsChild>
                                <w:div w:id="281310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99523038">
      <w:bodyDiv w:val="1"/>
      <w:marLeft w:val="0"/>
      <w:marRight w:val="0"/>
      <w:marTop w:val="0"/>
      <w:marBottom w:val="0"/>
      <w:divBdr>
        <w:top w:val="none" w:sz="0" w:space="0" w:color="auto"/>
        <w:left w:val="none" w:sz="0" w:space="0" w:color="auto"/>
        <w:bottom w:val="none" w:sz="0" w:space="0" w:color="auto"/>
        <w:right w:val="none" w:sz="0" w:space="0" w:color="auto"/>
      </w:divBdr>
      <w:divsChild>
        <w:div w:id="1785807508">
          <w:marLeft w:val="0"/>
          <w:marRight w:val="0"/>
          <w:marTop w:val="0"/>
          <w:marBottom w:val="0"/>
          <w:divBdr>
            <w:top w:val="none" w:sz="0" w:space="0" w:color="auto"/>
            <w:left w:val="none" w:sz="0" w:space="0" w:color="auto"/>
            <w:bottom w:val="none" w:sz="0" w:space="0" w:color="auto"/>
            <w:right w:val="none" w:sz="0" w:space="0" w:color="auto"/>
          </w:divBdr>
          <w:divsChild>
            <w:div w:id="214390626">
              <w:marLeft w:val="0"/>
              <w:marRight w:val="0"/>
              <w:marTop w:val="0"/>
              <w:marBottom w:val="0"/>
              <w:divBdr>
                <w:top w:val="none" w:sz="0" w:space="0" w:color="auto"/>
                <w:left w:val="none" w:sz="0" w:space="0" w:color="auto"/>
                <w:bottom w:val="none" w:sz="0" w:space="0" w:color="auto"/>
                <w:right w:val="none" w:sz="0" w:space="0" w:color="auto"/>
              </w:divBdr>
              <w:divsChild>
                <w:div w:id="166756258">
                  <w:marLeft w:val="0"/>
                  <w:marRight w:val="0"/>
                  <w:marTop w:val="0"/>
                  <w:marBottom w:val="0"/>
                  <w:divBdr>
                    <w:top w:val="none" w:sz="0" w:space="0" w:color="auto"/>
                    <w:left w:val="none" w:sz="0" w:space="0" w:color="auto"/>
                    <w:bottom w:val="none" w:sz="0" w:space="0" w:color="auto"/>
                    <w:right w:val="none" w:sz="0" w:space="0" w:color="auto"/>
                  </w:divBdr>
                  <w:divsChild>
                    <w:div w:id="467476693">
                      <w:marLeft w:val="0"/>
                      <w:marRight w:val="0"/>
                      <w:marTop w:val="0"/>
                      <w:marBottom w:val="0"/>
                      <w:divBdr>
                        <w:top w:val="none" w:sz="0" w:space="0" w:color="auto"/>
                        <w:left w:val="none" w:sz="0" w:space="0" w:color="auto"/>
                        <w:bottom w:val="none" w:sz="0" w:space="0" w:color="auto"/>
                        <w:right w:val="none" w:sz="0" w:space="0" w:color="auto"/>
                      </w:divBdr>
                      <w:divsChild>
                        <w:div w:id="800268391">
                          <w:marLeft w:val="0"/>
                          <w:marRight w:val="0"/>
                          <w:marTop w:val="0"/>
                          <w:marBottom w:val="0"/>
                          <w:divBdr>
                            <w:top w:val="none" w:sz="0" w:space="0" w:color="auto"/>
                            <w:left w:val="none" w:sz="0" w:space="0" w:color="auto"/>
                            <w:bottom w:val="none" w:sz="0" w:space="0" w:color="auto"/>
                            <w:right w:val="none" w:sz="0" w:space="0" w:color="auto"/>
                          </w:divBdr>
                          <w:divsChild>
                            <w:div w:id="611211962">
                              <w:marLeft w:val="0"/>
                              <w:marRight w:val="0"/>
                              <w:marTop w:val="0"/>
                              <w:marBottom w:val="0"/>
                              <w:divBdr>
                                <w:top w:val="none" w:sz="0" w:space="0" w:color="auto"/>
                                <w:left w:val="none" w:sz="0" w:space="0" w:color="auto"/>
                                <w:bottom w:val="none" w:sz="0" w:space="0" w:color="auto"/>
                                <w:right w:val="none" w:sz="0" w:space="0" w:color="auto"/>
                              </w:divBdr>
                              <w:divsChild>
                                <w:div w:id="527959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57675794">
      <w:bodyDiv w:val="1"/>
      <w:marLeft w:val="0"/>
      <w:marRight w:val="0"/>
      <w:marTop w:val="0"/>
      <w:marBottom w:val="0"/>
      <w:divBdr>
        <w:top w:val="none" w:sz="0" w:space="0" w:color="auto"/>
        <w:left w:val="none" w:sz="0" w:space="0" w:color="auto"/>
        <w:bottom w:val="none" w:sz="0" w:space="0" w:color="auto"/>
        <w:right w:val="none" w:sz="0" w:space="0" w:color="auto"/>
      </w:divBdr>
    </w:div>
    <w:div w:id="1579175062">
      <w:bodyDiv w:val="1"/>
      <w:marLeft w:val="0"/>
      <w:marRight w:val="0"/>
      <w:marTop w:val="0"/>
      <w:marBottom w:val="0"/>
      <w:divBdr>
        <w:top w:val="none" w:sz="0" w:space="0" w:color="auto"/>
        <w:left w:val="none" w:sz="0" w:space="0" w:color="auto"/>
        <w:bottom w:val="none" w:sz="0" w:space="0" w:color="auto"/>
        <w:right w:val="none" w:sz="0" w:space="0" w:color="auto"/>
      </w:divBdr>
    </w:div>
    <w:div w:id="1588422654">
      <w:bodyDiv w:val="1"/>
      <w:marLeft w:val="0"/>
      <w:marRight w:val="0"/>
      <w:marTop w:val="0"/>
      <w:marBottom w:val="0"/>
      <w:divBdr>
        <w:top w:val="none" w:sz="0" w:space="0" w:color="auto"/>
        <w:left w:val="none" w:sz="0" w:space="0" w:color="auto"/>
        <w:bottom w:val="none" w:sz="0" w:space="0" w:color="auto"/>
        <w:right w:val="none" w:sz="0" w:space="0" w:color="auto"/>
      </w:divBdr>
      <w:divsChild>
        <w:div w:id="2018725629">
          <w:marLeft w:val="0"/>
          <w:marRight w:val="0"/>
          <w:marTop w:val="0"/>
          <w:marBottom w:val="0"/>
          <w:divBdr>
            <w:top w:val="none" w:sz="0" w:space="0" w:color="auto"/>
            <w:left w:val="none" w:sz="0" w:space="0" w:color="auto"/>
            <w:bottom w:val="none" w:sz="0" w:space="0" w:color="auto"/>
            <w:right w:val="none" w:sz="0" w:space="0" w:color="auto"/>
          </w:divBdr>
          <w:divsChild>
            <w:div w:id="247540839">
              <w:marLeft w:val="0"/>
              <w:marRight w:val="0"/>
              <w:marTop w:val="0"/>
              <w:marBottom w:val="0"/>
              <w:divBdr>
                <w:top w:val="none" w:sz="0" w:space="0" w:color="auto"/>
                <w:left w:val="none" w:sz="0" w:space="0" w:color="auto"/>
                <w:bottom w:val="none" w:sz="0" w:space="0" w:color="auto"/>
                <w:right w:val="none" w:sz="0" w:space="0" w:color="auto"/>
              </w:divBdr>
              <w:divsChild>
                <w:div w:id="1034765874">
                  <w:marLeft w:val="0"/>
                  <w:marRight w:val="0"/>
                  <w:marTop w:val="0"/>
                  <w:marBottom w:val="0"/>
                  <w:divBdr>
                    <w:top w:val="none" w:sz="0" w:space="0" w:color="auto"/>
                    <w:left w:val="none" w:sz="0" w:space="0" w:color="auto"/>
                    <w:bottom w:val="none" w:sz="0" w:space="0" w:color="auto"/>
                    <w:right w:val="none" w:sz="0" w:space="0" w:color="auto"/>
                  </w:divBdr>
                  <w:divsChild>
                    <w:div w:id="671954295">
                      <w:marLeft w:val="0"/>
                      <w:marRight w:val="0"/>
                      <w:marTop w:val="0"/>
                      <w:marBottom w:val="0"/>
                      <w:divBdr>
                        <w:top w:val="none" w:sz="0" w:space="0" w:color="auto"/>
                        <w:left w:val="none" w:sz="0" w:space="0" w:color="auto"/>
                        <w:bottom w:val="none" w:sz="0" w:space="0" w:color="auto"/>
                        <w:right w:val="none" w:sz="0" w:space="0" w:color="auto"/>
                      </w:divBdr>
                      <w:divsChild>
                        <w:div w:id="973943899">
                          <w:marLeft w:val="0"/>
                          <w:marRight w:val="0"/>
                          <w:marTop w:val="0"/>
                          <w:marBottom w:val="0"/>
                          <w:divBdr>
                            <w:top w:val="none" w:sz="0" w:space="0" w:color="auto"/>
                            <w:left w:val="none" w:sz="0" w:space="0" w:color="auto"/>
                            <w:bottom w:val="none" w:sz="0" w:space="0" w:color="auto"/>
                            <w:right w:val="none" w:sz="0" w:space="0" w:color="auto"/>
                          </w:divBdr>
                          <w:divsChild>
                            <w:div w:id="358168501">
                              <w:marLeft w:val="0"/>
                              <w:marRight w:val="0"/>
                              <w:marTop w:val="0"/>
                              <w:marBottom w:val="0"/>
                              <w:divBdr>
                                <w:top w:val="none" w:sz="0" w:space="0" w:color="auto"/>
                                <w:left w:val="none" w:sz="0" w:space="0" w:color="auto"/>
                                <w:bottom w:val="none" w:sz="0" w:space="0" w:color="auto"/>
                                <w:right w:val="none" w:sz="0" w:space="0" w:color="auto"/>
                              </w:divBdr>
                              <w:divsChild>
                                <w:div w:id="1489206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98979870">
      <w:bodyDiv w:val="1"/>
      <w:marLeft w:val="0"/>
      <w:marRight w:val="0"/>
      <w:marTop w:val="0"/>
      <w:marBottom w:val="0"/>
      <w:divBdr>
        <w:top w:val="none" w:sz="0" w:space="0" w:color="auto"/>
        <w:left w:val="none" w:sz="0" w:space="0" w:color="auto"/>
        <w:bottom w:val="none" w:sz="0" w:space="0" w:color="auto"/>
        <w:right w:val="none" w:sz="0" w:space="0" w:color="auto"/>
      </w:divBdr>
    </w:div>
    <w:div w:id="1629699022">
      <w:bodyDiv w:val="1"/>
      <w:marLeft w:val="0"/>
      <w:marRight w:val="0"/>
      <w:marTop w:val="0"/>
      <w:marBottom w:val="0"/>
      <w:divBdr>
        <w:top w:val="none" w:sz="0" w:space="0" w:color="auto"/>
        <w:left w:val="none" w:sz="0" w:space="0" w:color="auto"/>
        <w:bottom w:val="none" w:sz="0" w:space="0" w:color="auto"/>
        <w:right w:val="none" w:sz="0" w:space="0" w:color="auto"/>
      </w:divBdr>
    </w:div>
    <w:div w:id="1682857498">
      <w:bodyDiv w:val="1"/>
      <w:marLeft w:val="0"/>
      <w:marRight w:val="0"/>
      <w:marTop w:val="0"/>
      <w:marBottom w:val="0"/>
      <w:divBdr>
        <w:top w:val="none" w:sz="0" w:space="0" w:color="auto"/>
        <w:left w:val="none" w:sz="0" w:space="0" w:color="auto"/>
        <w:bottom w:val="none" w:sz="0" w:space="0" w:color="auto"/>
        <w:right w:val="none" w:sz="0" w:space="0" w:color="auto"/>
      </w:divBdr>
      <w:divsChild>
        <w:div w:id="1655330941">
          <w:marLeft w:val="0"/>
          <w:marRight w:val="0"/>
          <w:marTop w:val="0"/>
          <w:marBottom w:val="0"/>
          <w:divBdr>
            <w:top w:val="none" w:sz="0" w:space="0" w:color="auto"/>
            <w:left w:val="none" w:sz="0" w:space="0" w:color="auto"/>
            <w:bottom w:val="none" w:sz="0" w:space="0" w:color="auto"/>
            <w:right w:val="none" w:sz="0" w:space="0" w:color="auto"/>
          </w:divBdr>
          <w:divsChild>
            <w:div w:id="1505244326">
              <w:marLeft w:val="0"/>
              <w:marRight w:val="0"/>
              <w:marTop w:val="0"/>
              <w:marBottom w:val="0"/>
              <w:divBdr>
                <w:top w:val="none" w:sz="0" w:space="0" w:color="auto"/>
                <w:left w:val="none" w:sz="0" w:space="0" w:color="auto"/>
                <w:bottom w:val="none" w:sz="0" w:space="0" w:color="auto"/>
                <w:right w:val="none" w:sz="0" w:space="0" w:color="auto"/>
              </w:divBdr>
              <w:divsChild>
                <w:div w:id="212157163">
                  <w:marLeft w:val="0"/>
                  <w:marRight w:val="0"/>
                  <w:marTop w:val="0"/>
                  <w:marBottom w:val="0"/>
                  <w:divBdr>
                    <w:top w:val="none" w:sz="0" w:space="0" w:color="auto"/>
                    <w:left w:val="none" w:sz="0" w:space="0" w:color="auto"/>
                    <w:bottom w:val="none" w:sz="0" w:space="0" w:color="auto"/>
                    <w:right w:val="none" w:sz="0" w:space="0" w:color="auto"/>
                  </w:divBdr>
                  <w:divsChild>
                    <w:div w:id="871961898">
                      <w:marLeft w:val="0"/>
                      <w:marRight w:val="0"/>
                      <w:marTop w:val="0"/>
                      <w:marBottom w:val="0"/>
                      <w:divBdr>
                        <w:top w:val="none" w:sz="0" w:space="0" w:color="auto"/>
                        <w:left w:val="none" w:sz="0" w:space="0" w:color="auto"/>
                        <w:bottom w:val="none" w:sz="0" w:space="0" w:color="auto"/>
                        <w:right w:val="none" w:sz="0" w:space="0" w:color="auto"/>
                      </w:divBdr>
                      <w:divsChild>
                        <w:div w:id="1849562592">
                          <w:marLeft w:val="0"/>
                          <w:marRight w:val="0"/>
                          <w:marTop w:val="0"/>
                          <w:marBottom w:val="0"/>
                          <w:divBdr>
                            <w:top w:val="none" w:sz="0" w:space="0" w:color="auto"/>
                            <w:left w:val="none" w:sz="0" w:space="0" w:color="auto"/>
                            <w:bottom w:val="none" w:sz="0" w:space="0" w:color="auto"/>
                            <w:right w:val="none" w:sz="0" w:space="0" w:color="auto"/>
                          </w:divBdr>
                          <w:divsChild>
                            <w:div w:id="409161640">
                              <w:marLeft w:val="0"/>
                              <w:marRight w:val="0"/>
                              <w:marTop w:val="0"/>
                              <w:marBottom w:val="0"/>
                              <w:divBdr>
                                <w:top w:val="none" w:sz="0" w:space="0" w:color="auto"/>
                                <w:left w:val="none" w:sz="0" w:space="0" w:color="auto"/>
                                <w:bottom w:val="none" w:sz="0" w:space="0" w:color="auto"/>
                                <w:right w:val="none" w:sz="0" w:space="0" w:color="auto"/>
                              </w:divBdr>
                              <w:divsChild>
                                <w:div w:id="1751072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23765912">
      <w:bodyDiv w:val="1"/>
      <w:marLeft w:val="0"/>
      <w:marRight w:val="0"/>
      <w:marTop w:val="0"/>
      <w:marBottom w:val="0"/>
      <w:divBdr>
        <w:top w:val="none" w:sz="0" w:space="0" w:color="auto"/>
        <w:left w:val="none" w:sz="0" w:space="0" w:color="auto"/>
        <w:bottom w:val="none" w:sz="0" w:space="0" w:color="auto"/>
        <w:right w:val="none" w:sz="0" w:space="0" w:color="auto"/>
      </w:divBdr>
      <w:divsChild>
        <w:div w:id="1186678792">
          <w:marLeft w:val="0"/>
          <w:marRight w:val="0"/>
          <w:marTop w:val="0"/>
          <w:marBottom w:val="0"/>
          <w:divBdr>
            <w:top w:val="none" w:sz="0" w:space="0" w:color="auto"/>
            <w:left w:val="none" w:sz="0" w:space="0" w:color="auto"/>
            <w:bottom w:val="none" w:sz="0" w:space="0" w:color="auto"/>
            <w:right w:val="none" w:sz="0" w:space="0" w:color="auto"/>
          </w:divBdr>
          <w:divsChild>
            <w:div w:id="1268732602">
              <w:marLeft w:val="0"/>
              <w:marRight w:val="0"/>
              <w:marTop w:val="0"/>
              <w:marBottom w:val="0"/>
              <w:divBdr>
                <w:top w:val="none" w:sz="0" w:space="0" w:color="auto"/>
                <w:left w:val="none" w:sz="0" w:space="0" w:color="auto"/>
                <w:bottom w:val="none" w:sz="0" w:space="0" w:color="auto"/>
                <w:right w:val="none" w:sz="0" w:space="0" w:color="auto"/>
              </w:divBdr>
              <w:divsChild>
                <w:div w:id="1800956550">
                  <w:marLeft w:val="0"/>
                  <w:marRight w:val="0"/>
                  <w:marTop w:val="0"/>
                  <w:marBottom w:val="0"/>
                  <w:divBdr>
                    <w:top w:val="none" w:sz="0" w:space="0" w:color="auto"/>
                    <w:left w:val="none" w:sz="0" w:space="0" w:color="auto"/>
                    <w:bottom w:val="none" w:sz="0" w:space="0" w:color="auto"/>
                    <w:right w:val="none" w:sz="0" w:space="0" w:color="auto"/>
                  </w:divBdr>
                  <w:divsChild>
                    <w:div w:id="1769160327">
                      <w:marLeft w:val="0"/>
                      <w:marRight w:val="0"/>
                      <w:marTop w:val="0"/>
                      <w:marBottom w:val="0"/>
                      <w:divBdr>
                        <w:top w:val="none" w:sz="0" w:space="0" w:color="auto"/>
                        <w:left w:val="none" w:sz="0" w:space="0" w:color="auto"/>
                        <w:bottom w:val="none" w:sz="0" w:space="0" w:color="auto"/>
                        <w:right w:val="none" w:sz="0" w:space="0" w:color="auto"/>
                      </w:divBdr>
                      <w:divsChild>
                        <w:div w:id="1800806388">
                          <w:marLeft w:val="0"/>
                          <w:marRight w:val="0"/>
                          <w:marTop w:val="0"/>
                          <w:marBottom w:val="0"/>
                          <w:divBdr>
                            <w:top w:val="none" w:sz="0" w:space="0" w:color="auto"/>
                            <w:left w:val="none" w:sz="0" w:space="0" w:color="auto"/>
                            <w:bottom w:val="none" w:sz="0" w:space="0" w:color="auto"/>
                            <w:right w:val="none" w:sz="0" w:space="0" w:color="auto"/>
                          </w:divBdr>
                          <w:divsChild>
                            <w:div w:id="1656108979">
                              <w:marLeft w:val="0"/>
                              <w:marRight w:val="0"/>
                              <w:marTop w:val="0"/>
                              <w:marBottom w:val="0"/>
                              <w:divBdr>
                                <w:top w:val="none" w:sz="0" w:space="0" w:color="auto"/>
                                <w:left w:val="none" w:sz="0" w:space="0" w:color="auto"/>
                                <w:bottom w:val="none" w:sz="0" w:space="0" w:color="auto"/>
                                <w:right w:val="none" w:sz="0" w:space="0" w:color="auto"/>
                              </w:divBdr>
                              <w:divsChild>
                                <w:div w:id="1231232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61552447">
      <w:bodyDiv w:val="1"/>
      <w:marLeft w:val="0"/>
      <w:marRight w:val="0"/>
      <w:marTop w:val="0"/>
      <w:marBottom w:val="0"/>
      <w:divBdr>
        <w:top w:val="none" w:sz="0" w:space="0" w:color="auto"/>
        <w:left w:val="none" w:sz="0" w:space="0" w:color="auto"/>
        <w:bottom w:val="none" w:sz="0" w:space="0" w:color="auto"/>
        <w:right w:val="none" w:sz="0" w:space="0" w:color="auto"/>
      </w:divBdr>
      <w:divsChild>
        <w:div w:id="1718627137">
          <w:marLeft w:val="0"/>
          <w:marRight w:val="0"/>
          <w:marTop w:val="0"/>
          <w:marBottom w:val="0"/>
          <w:divBdr>
            <w:top w:val="none" w:sz="0" w:space="0" w:color="auto"/>
            <w:left w:val="none" w:sz="0" w:space="0" w:color="auto"/>
            <w:bottom w:val="none" w:sz="0" w:space="0" w:color="auto"/>
            <w:right w:val="none" w:sz="0" w:space="0" w:color="auto"/>
          </w:divBdr>
          <w:divsChild>
            <w:div w:id="1131052510">
              <w:marLeft w:val="0"/>
              <w:marRight w:val="0"/>
              <w:marTop w:val="0"/>
              <w:marBottom w:val="0"/>
              <w:divBdr>
                <w:top w:val="none" w:sz="0" w:space="0" w:color="auto"/>
                <w:left w:val="none" w:sz="0" w:space="0" w:color="auto"/>
                <w:bottom w:val="none" w:sz="0" w:space="0" w:color="auto"/>
                <w:right w:val="none" w:sz="0" w:space="0" w:color="auto"/>
              </w:divBdr>
              <w:divsChild>
                <w:div w:id="1765417287">
                  <w:marLeft w:val="0"/>
                  <w:marRight w:val="0"/>
                  <w:marTop w:val="0"/>
                  <w:marBottom w:val="0"/>
                  <w:divBdr>
                    <w:top w:val="none" w:sz="0" w:space="0" w:color="auto"/>
                    <w:left w:val="none" w:sz="0" w:space="0" w:color="auto"/>
                    <w:bottom w:val="none" w:sz="0" w:space="0" w:color="auto"/>
                    <w:right w:val="none" w:sz="0" w:space="0" w:color="auto"/>
                  </w:divBdr>
                  <w:divsChild>
                    <w:div w:id="1738625676">
                      <w:marLeft w:val="0"/>
                      <w:marRight w:val="0"/>
                      <w:marTop w:val="0"/>
                      <w:marBottom w:val="0"/>
                      <w:divBdr>
                        <w:top w:val="none" w:sz="0" w:space="0" w:color="auto"/>
                        <w:left w:val="none" w:sz="0" w:space="0" w:color="auto"/>
                        <w:bottom w:val="none" w:sz="0" w:space="0" w:color="auto"/>
                        <w:right w:val="none" w:sz="0" w:space="0" w:color="auto"/>
                      </w:divBdr>
                      <w:divsChild>
                        <w:div w:id="1626808972">
                          <w:marLeft w:val="0"/>
                          <w:marRight w:val="0"/>
                          <w:marTop w:val="0"/>
                          <w:marBottom w:val="0"/>
                          <w:divBdr>
                            <w:top w:val="none" w:sz="0" w:space="0" w:color="auto"/>
                            <w:left w:val="none" w:sz="0" w:space="0" w:color="auto"/>
                            <w:bottom w:val="none" w:sz="0" w:space="0" w:color="auto"/>
                            <w:right w:val="none" w:sz="0" w:space="0" w:color="auto"/>
                          </w:divBdr>
                          <w:divsChild>
                            <w:div w:id="241305463">
                              <w:marLeft w:val="0"/>
                              <w:marRight w:val="0"/>
                              <w:marTop w:val="0"/>
                              <w:marBottom w:val="0"/>
                              <w:divBdr>
                                <w:top w:val="none" w:sz="0" w:space="0" w:color="auto"/>
                                <w:left w:val="none" w:sz="0" w:space="0" w:color="auto"/>
                                <w:bottom w:val="none" w:sz="0" w:space="0" w:color="auto"/>
                                <w:right w:val="none" w:sz="0" w:space="0" w:color="auto"/>
                              </w:divBdr>
                              <w:divsChild>
                                <w:div w:id="1960255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52739718">
      <w:bodyDiv w:val="1"/>
      <w:marLeft w:val="0"/>
      <w:marRight w:val="0"/>
      <w:marTop w:val="0"/>
      <w:marBottom w:val="0"/>
      <w:divBdr>
        <w:top w:val="none" w:sz="0" w:space="0" w:color="auto"/>
        <w:left w:val="none" w:sz="0" w:space="0" w:color="auto"/>
        <w:bottom w:val="none" w:sz="0" w:space="0" w:color="auto"/>
        <w:right w:val="none" w:sz="0" w:space="0" w:color="auto"/>
      </w:divBdr>
      <w:divsChild>
        <w:div w:id="2110080641">
          <w:blockQuote w:val="1"/>
          <w:marLeft w:val="720"/>
          <w:marRight w:val="720"/>
          <w:marTop w:val="100"/>
          <w:marBottom w:val="100"/>
          <w:divBdr>
            <w:top w:val="none" w:sz="0" w:space="0" w:color="auto"/>
            <w:left w:val="none" w:sz="0" w:space="0" w:color="auto"/>
            <w:bottom w:val="none" w:sz="0" w:space="0" w:color="auto"/>
            <w:right w:val="none" w:sz="0" w:space="0" w:color="auto"/>
          </w:divBdr>
        </w:div>
        <w:div w:id="1759522868">
          <w:blockQuote w:val="1"/>
          <w:marLeft w:val="720"/>
          <w:marRight w:val="720"/>
          <w:marTop w:val="100"/>
          <w:marBottom w:val="100"/>
          <w:divBdr>
            <w:top w:val="none" w:sz="0" w:space="0" w:color="auto"/>
            <w:left w:val="none" w:sz="0" w:space="0" w:color="auto"/>
            <w:bottom w:val="none" w:sz="0" w:space="0" w:color="auto"/>
            <w:right w:val="none" w:sz="0" w:space="0" w:color="auto"/>
          </w:divBdr>
        </w:div>
        <w:div w:id="1061707146">
          <w:blockQuote w:val="1"/>
          <w:marLeft w:val="720"/>
          <w:marRight w:val="720"/>
          <w:marTop w:val="100"/>
          <w:marBottom w:val="100"/>
          <w:divBdr>
            <w:top w:val="none" w:sz="0" w:space="0" w:color="auto"/>
            <w:left w:val="none" w:sz="0" w:space="0" w:color="auto"/>
            <w:bottom w:val="none" w:sz="0" w:space="0" w:color="auto"/>
            <w:right w:val="none" w:sz="0" w:space="0" w:color="auto"/>
          </w:divBdr>
        </w:div>
        <w:div w:id="76935174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97/dbp.0000000000000996" TargetMode="External"/><Relationship Id="rId18" Type="http://schemas.openxmlformats.org/officeDocument/2006/relationships/hyperlink" Target="https://doi.org/10.1016/j.copsyc.2023.101579" TargetMode="External"/><Relationship Id="rId26" Type="http://schemas.openxmlformats.org/officeDocument/2006/relationships/hyperlink" Target="https://doi.org/10.1016/j.eclinm.2024.102586" TargetMode="External"/><Relationship Id="rId39" Type="http://schemas.openxmlformats.org/officeDocument/2006/relationships/hyperlink" Target="https://doi.org/10.1177/0957154x251371358" TargetMode="External"/><Relationship Id="rId21" Type="http://schemas.openxmlformats.org/officeDocument/2006/relationships/hyperlink" Target="https://doi.org/10.3389/fpsyg.2022.883736" TargetMode="External"/><Relationship Id="rId34" Type="http://schemas.openxmlformats.org/officeDocument/2006/relationships/hyperlink" Target="https://doi.org/10.1016/j.reia.2025.202540" TargetMode="External"/><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177/1362361321992641" TargetMode="External"/><Relationship Id="rId20" Type="http://schemas.openxmlformats.org/officeDocument/2006/relationships/hyperlink" Target="https://doi.org/10.1080/17437199.2026.2619026" TargetMode="External"/><Relationship Id="rId29" Type="http://schemas.openxmlformats.org/officeDocument/2006/relationships/hyperlink" Target="https://doi.org/10.1016/j.reia.2025.202717" TargetMode="External"/><Relationship Id="rId41" Type="http://schemas.openxmlformats.org/officeDocument/2006/relationships/hyperlink" Target="https://doi.org/10.1016/j.cpr.2023.10233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371/journal.pone.0272460" TargetMode="External"/><Relationship Id="rId24" Type="http://schemas.openxmlformats.org/officeDocument/2006/relationships/hyperlink" Target="https://doi.org/10.35631/ijepc.1057030" TargetMode="External"/><Relationship Id="rId32" Type="http://schemas.openxmlformats.org/officeDocument/2006/relationships/hyperlink" Target="https://doi.org/10.1186/s13229-023-00579-w" TargetMode="External"/><Relationship Id="rId37" Type="http://schemas.openxmlformats.org/officeDocument/2006/relationships/hyperlink" Target="https://doi.org/10.1371/journal.pone.0290001" TargetMode="External"/><Relationship Id="rId40" Type="http://schemas.openxmlformats.org/officeDocument/2006/relationships/hyperlink" Target="https://doi.org/10.16993/sjdr.1130" TargetMode="External"/><Relationship Id="rId5" Type="http://schemas.openxmlformats.org/officeDocument/2006/relationships/webSettings" Target="webSettings.xml"/><Relationship Id="rId15" Type="http://schemas.openxmlformats.org/officeDocument/2006/relationships/hyperlink" Target="https://doi.org/10.1007/s40519-025-01785-6" TargetMode="External"/><Relationship Id="rId23" Type="http://schemas.openxmlformats.org/officeDocument/2006/relationships/hyperlink" Target="https://doi.org/10.5281/zenodo.17451259" TargetMode="External"/><Relationship Id="rId28" Type="http://schemas.openxmlformats.org/officeDocument/2006/relationships/hyperlink" Target="https://doi.org/10.1007/s12144-024-06226-8" TargetMode="External"/><Relationship Id="rId36" Type="http://schemas.openxmlformats.org/officeDocument/2006/relationships/hyperlink" Target="https://doi.org/10.1177/13623613241257601" TargetMode="External"/><Relationship Id="rId10" Type="http://schemas.openxmlformats.org/officeDocument/2006/relationships/header" Target="header1.xml"/><Relationship Id="rId19" Type="http://schemas.openxmlformats.org/officeDocument/2006/relationships/hyperlink" Target="https://doi.org/10.5334/ijic.6693" TargetMode="External"/><Relationship Id="rId31" Type="http://schemas.openxmlformats.org/officeDocument/2006/relationships/hyperlink" Target="https://doi.org/10.13140/RG.2.2.30604.97926"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177/09685332231158740" TargetMode="External"/><Relationship Id="rId22" Type="http://schemas.openxmlformats.org/officeDocument/2006/relationships/hyperlink" Target="https://doi.org/10.1186/s13229-021-00421-1" TargetMode="External"/><Relationship Id="rId27" Type="http://schemas.openxmlformats.org/officeDocument/2006/relationships/hyperlink" Target="https://doi.org/10.1002/aur.3299" TargetMode="External"/><Relationship Id="rId30" Type="http://schemas.openxmlformats.org/officeDocument/2006/relationships/hyperlink" Target="https://doi.org/10.1186/s13229-023-00544-7" TargetMode="External"/><Relationship Id="rId35" Type="http://schemas.openxmlformats.org/officeDocument/2006/relationships/hyperlink" Target="https://doi.org/10.1016/j.newideapsych.2022.100992" TargetMode="External"/><Relationship Id="rId43"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doi.org/10.1177/13623613261420085" TargetMode="External"/><Relationship Id="rId17" Type="http://schemas.openxmlformats.org/officeDocument/2006/relationships/hyperlink" Target="https://doi.org/10.1177/13594575221090182" TargetMode="External"/><Relationship Id="rId25" Type="http://schemas.openxmlformats.org/officeDocument/2006/relationships/hyperlink" Target="https://doi.org/10.1108/er-12-2024-0731" TargetMode="External"/><Relationship Id="rId33" Type="http://schemas.openxmlformats.org/officeDocument/2006/relationships/hyperlink" Target="https://doi.org/10.31219/osf.io/6rwa5" TargetMode="External"/><Relationship Id="rId38" Type="http://schemas.openxmlformats.org/officeDocument/2006/relationships/hyperlink" Target="https://doi.org/10.1177/1362361324123553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58DDD1-78ED-4DE8-BAFC-F79A8104A60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6654</Words>
  <Characters>37932</Characters>
  <Application>Microsoft Office Word</Application>
  <DocSecurity>0</DocSecurity>
  <Lines>316</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Sameena Iqbal (2315950)</cp:lastModifiedBy>
  <cp:revision>2</cp:revision>
  <dcterms:created xsi:type="dcterms:W3CDTF">2026-03-28T15:25:00Z</dcterms:created>
  <dcterms:modified xsi:type="dcterms:W3CDTF">2026-03-28T15:25:00Z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d0b98868-bb51-4e75-bb1b-71451325eb66</vt:lpwstr>
  </property>
</Properties>
</file>