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200" w:line="276" w:lineRule="auto"/>
        <w:ind w:left="0" w:right="0" w:firstLine="0"/>
        <w:jc w:val="right"/>
        <w:rPr>
          <w:rFonts w:hint="default" w:ascii="Times New Roman Bold" w:hAnsi="Times New Roman Bold" w:cs="Times New Roman Bold" w:eastAsiaTheme="minorHAnsi"/>
          <w:b/>
          <w:bCs/>
          <w:color w:val="000000"/>
          <w:kern w:val="0"/>
          <w:sz w:val="28"/>
          <w:szCs w:val="28"/>
          <w:lang w:val="en-US" w:eastAsia="zh-CN"/>
          <w14:ligatures w14:val="none"/>
        </w:rPr>
      </w:pPr>
      <w:r>
        <w:drawing>
          <wp:inline distT="0" distB="0" distL="114300" distR="114300">
            <wp:extent cx="4781550" cy="1638300"/>
            <wp:effectExtent l="0" t="0" r="19050"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4781550" cy="1638300"/>
                    </a:xfrm>
                    <a:prstGeom prst="rect">
                      <a:avLst/>
                    </a:prstGeom>
                    <a:noFill/>
                    <a:ln>
                      <a:noFill/>
                    </a:ln>
                  </pic:spPr>
                </pic:pic>
              </a:graphicData>
            </a:graphic>
          </wp:inline>
        </w:drawing>
      </w: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keepNext w:val="0"/>
        <w:keepLines w:val="0"/>
        <w:widowControl/>
        <w:suppressLineNumbers w:val="0"/>
        <w:jc w:val="center"/>
        <w:rPr>
          <w:rFonts w:hint="default" w:ascii="Times New Roman Bold" w:hAnsi="Times New Roman Bold" w:eastAsia="宋体" w:cs="Times New Roman Bold"/>
          <w:b/>
          <w:bCs/>
          <w:color w:val="000000"/>
          <w:kern w:val="0"/>
          <w:sz w:val="36"/>
          <w:szCs w:val="36"/>
          <w:lang w:val="en-US" w:eastAsia="zh-CN" w:bidi="ar"/>
        </w:rPr>
      </w:pPr>
      <w:r>
        <w:rPr>
          <w:rFonts w:hint="default" w:ascii="Times New Roman Bold" w:hAnsi="Times New Roman Bold" w:eastAsia="宋体" w:cs="Times New Roman Bold"/>
          <w:b/>
          <w:bCs/>
          <w:color w:val="000000"/>
          <w:kern w:val="0"/>
          <w:sz w:val="36"/>
          <w:szCs w:val="36"/>
          <w:lang w:val="en-US" w:eastAsia="zh-CN" w:bidi="ar"/>
        </w:rPr>
        <w:t xml:space="preserve">An analysis of the Incentive Mechanisms to Inhance Individual Performance in </w:t>
      </w:r>
    </w:p>
    <w:p>
      <w:pPr>
        <w:keepNext w:val="0"/>
        <w:keepLines w:val="0"/>
        <w:widowControl/>
        <w:suppressLineNumbers w:val="0"/>
        <w:jc w:val="center"/>
        <w:rPr>
          <w:rFonts w:hint="default" w:ascii="Times New Roman Bold" w:hAnsi="Times New Roman Bold" w:cs="Times New Roman Bold"/>
          <w:b/>
          <w:bCs/>
          <w:sz w:val="24"/>
          <w:szCs w:val="32"/>
          <w:lang w:val="en-US"/>
        </w:rPr>
      </w:pPr>
      <w:r>
        <w:rPr>
          <w:rFonts w:hint="default" w:ascii="Times New Roman Bold" w:hAnsi="Times New Roman Bold" w:eastAsia="宋体" w:cs="Times New Roman Bold"/>
          <w:b/>
          <w:bCs/>
          <w:color w:val="000000"/>
          <w:kern w:val="0"/>
          <w:sz w:val="36"/>
          <w:szCs w:val="36"/>
          <w:lang w:val="en-US" w:eastAsia="zh-CN" w:bidi="ar"/>
        </w:rPr>
        <w:t xml:space="preserve">Chinese Higher Vocational Education </w:t>
      </w: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keepNext w:val="0"/>
        <w:keepLines w:val="0"/>
        <w:widowControl/>
        <w:suppressLineNumbers w:val="0"/>
        <w:jc w:val="left"/>
      </w:pPr>
      <w:r>
        <w:rPr>
          <w:rFonts w:hint="default" w:ascii="Times New Roman" w:hAnsi="Times New Roman" w:eastAsia="宋体" w:cs="Times New Roman"/>
          <w:b/>
          <w:bCs/>
          <w:color w:val="000000"/>
          <w:kern w:val="0"/>
          <w:sz w:val="24"/>
          <w:szCs w:val="24"/>
          <w:lang w:val="en-US" w:eastAsia="zh-CN" w:bidi="ar"/>
        </w:rPr>
        <w:t xml:space="preserve">DBA CANDIDATE: </w:t>
      </w:r>
    </w:p>
    <w:p>
      <w:pPr>
        <w:keepNext w:val="0"/>
        <w:keepLines w:val="0"/>
        <w:widowControl/>
        <w:suppressLineNumbers w:val="0"/>
        <w:jc w:val="left"/>
      </w:pPr>
      <w:r>
        <w:rPr>
          <w:rFonts w:hint="default" w:ascii="Times New Roman" w:hAnsi="Times New Roman" w:eastAsia="宋体" w:cs="Times New Roman"/>
          <w:b/>
          <w:bCs/>
          <w:color w:val="000000"/>
          <w:kern w:val="0"/>
          <w:sz w:val="24"/>
          <w:szCs w:val="24"/>
          <w:lang w:val="en-US" w:eastAsia="zh-CN" w:bidi="ar"/>
        </w:rPr>
        <w:t>Xin Wang</w:t>
      </w: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keepNext w:val="0"/>
        <w:keepLines w:val="0"/>
        <w:widowControl/>
        <w:suppressLineNumbers w:val="0"/>
        <w:ind w:left="0" w:leftChars="0" w:firstLine="480" w:firstLineChars="200"/>
        <w:jc w:val="left"/>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Critical Literature Review for Doctoral Research </w:t>
      </w:r>
    </w:p>
    <w:p>
      <w:pPr>
        <w:keepNext w:val="0"/>
        <w:keepLines w:val="0"/>
        <w:widowControl/>
        <w:suppressLineNumbers w:val="0"/>
        <w:ind w:left="0" w:leftChars="0" w:firstLine="480" w:firstLineChars="200"/>
        <w:jc w:val="left"/>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Module Leader: Dr Steve Griffiths</w:t>
      </w:r>
    </w:p>
    <w:p>
      <w:pPr>
        <w:spacing w:after="14" w:line="259" w:lineRule="auto"/>
        <w:ind w:left="0" w:leftChars="0" w:right="0" w:firstLine="0" w:firstLineChars="0"/>
        <w:jc w:val="left"/>
        <w:rPr>
          <w:b/>
        </w:rPr>
      </w:pPr>
    </w:p>
    <w:p>
      <w:pPr>
        <w:ind w:left="0" w:leftChars="0" w:firstLine="0" w:firstLineChars="0"/>
        <w:jc w:val="both"/>
        <w:rPr>
          <w:rFonts w:ascii="Times New Roman" w:hAnsi="Times New Roman" w:cs="Times New Roman"/>
          <w:b/>
          <w:sz w:val="28"/>
          <w:szCs w:val="28"/>
        </w:rPr>
      </w:pPr>
      <w:r>
        <w:rPr>
          <w:rFonts w:ascii="Times New Roman" w:hAnsi="Times New Roman" w:cs="Times New Roman"/>
          <w:b/>
          <w:sz w:val="28"/>
          <w:szCs w:val="28"/>
        </w:rPr>
        <w:t xml:space="preserve">Part 1. </w:t>
      </w:r>
    </w:p>
    <w:p>
      <w:pPr>
        <w:ind w:left="0" w:leftChars="0" w:firstLine="0" w:firstLineChars="0"/>
        <w:jc w:val="both"/>
        <w:rPr>
          <w:rFonts w:ascii="Times New Roman" w:hAnsi="Times New Roman" w:cs="Times New Roman"/>
          <w:b/>
          <w:sz w:val="28"/>
          <w:szCs w:val="28"/>
        </w:rPr>
      </w:pPr>
      <w:r>
        <w:rPr>
          <w:rFonts w:hint="eastAsia" w:ascii="Times New Roman" w:hAnsi="Times New Roman" w:eastAsia="宋体" w:cs="Times New Roman"/>
          <w:b/>
          <w:sz w:val="28"/>
          <w:szCs w:val="28"/>
          <w:lang w:val="en-US" w:eastAsia="zh-CN"/>
        </w:rPr>
        <w:t xml:space="preserve">1 </w:t>
      </w:r>
      <w:r>
        <w:rPr>
          <w:rFonts w:ascii="Times New Roman" w:hAnsi="Times New Roman" w:cs="Times New Roman"/>
          <w:b/>
          <w:sz w:val="28"/>
          <w:szCs w:val="28"/>
        </w:rPr>
        <w:t>Introduction:</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ascii="Times New Roman" w:hAnsi="Times New Roman" w:cs="Times New Roman" w:eastAsiaTheme="minorHAnsi"/>
          <w:kern w:val="0"/>
          <w:sz w:val="28"/>
          <w:szCs w:val="28"/>
          <w:lang w:val="en-US" w:eastAsia="zh-CN"/>
          <w14:ligatures w14:val="none"/>
        </w:rPr>
        <w:t xml:space="preserve">Literature review is a form of academic writing, following the selection of a specific topic, one delves into extensive reading and understanding of the existing literature within the research domain </w:t>
      </w:r>
      <w:r>
        <w:rPr>
          <w:rFonts w:hint="eastAsia" w:ascii="Times New Roman" w:hAnsi="Times New Roman" w:cs="Times New Roman" w:eastAsiaTheme="minorHAnsi"/>
          <w:kern w:val="0"/>
          <w:sz w:val="28"/>
          <w:szCs w:val="28"/>
          <w:lang w:val="en-US" w:eastAsia="zh-CN"/>
          <w14:ligatures w14:val="none"/>
        </w:rPr>
        <w:t>covered by the selected topic</w:t>
      </w:r>
      <w:r>
        <w:rPr>
          <w:rFonts w:hint="default" w:ascii="Times New Roman" w:hAnsi="Times New Roman" w:cs="Times New Roman" w:eastAsiaTheme="minorHAnsi"/>
          <w:kern w:val="0"/>
          <w:sz w:val="28"/>
          <w:szCs w:val="28"/>
          <w:lang w:val="en-US" w:eastAsia="zh-CN"/>
          <w14:ligatures w14:val="none"/>
        </w:rPr>
        <w:t>(</w:t>
      </w:r>
      <w:r>
        <w:rPr>
          <w:rFonts w:hint="eastAsia" w:ascii="Times New Roman" w:hAnsi="Times New Roman" w:cs="Times New Roman" w:eastAsiaTheme="minorHAnsi"/>
          <w:kern w:val="0"/>
          <w:sz w:val="28"/>
          <w:szCs w:val="28"/>
          <w:lang w:val="en-US" w:eastAsia="zh-CN"/>
          <w14:ligatures w14:val="none"/>
        </w:rPr>
        <w:t xml:space="preserve">Nakano, &amp; Muniz </w:t>
      </w:r>
      <w:r>
        <w:rPr>
          <w:rFonts w:hint="default" w:ascii="Times New Roman" w:hAnsi="Times New Roman" w:cs="Times New Roman" w:eastAsiaTheme="minorHAnsi"/>
          <w:kern w:val="0"/>
          <w:sz w:val="28"/>
          <w:szCs w:val="28"/>
          <w:lang w:val="en-US" w:eastAsia="zh-CN"/>
          <w14:ligatures w14:val="none"/>
        </w:rPr>
        <w:t xml:space="preserve">, </w:t>
      </w:r>
      <w:r>
        <w:rPr>
          <w:rFonts w:hint="eastAsia" w:ascii="Times New Roman" w:hAnsi="Times New Roman" w:cs="Times New Roman" w:eastAsiaTheme="minorHAnsi"/>
          <w:kern w:val="0"/>
          <w:sz w:val="28"/>
          <w:szCs w:val="28"/>
          <w:lang w:val="en-US" w:eastAsia="zh-CN"/>
          <w14:ligatures w14:val="none"/>
        </w:rPr>
        <w:t>2018</w:t>
      </w:r>
      <w:r>
        <w:rPr>
          <w:rFonts w:hint="default" w:ascii="Times New Roman" w:hAnsi="Times New Roman" w:cs="Times New Roman" w:eastAsiaTheme="minorHAnsi"/>
          <w:kern w:val="0"/>
          <w:sz w:val="28"/>
          <w:szCs w:val="28"/>
          <w:lang w:val="en-US" w:eastAsia="zh-CN"/>
          <w14:ligatures w14:val="none"/>
        </w:rPr>
        <w:t>). This process entails a thorough analysis, summarization, organization, and critique of the current state of research, emerging dynamics, novel technologies, discoveries, and future developmental prospects within the field (Han</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Ma, 2017).</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 xml:space="preserve">According to </w:t>
      </w:r>
      <w:r>
        <w:rPr>
          <w:rFonts w:hint="eastAsia" w:ascii="Times New Roman" w:hAnsi="Times New Roman" w:cs="Times New Roman" w:eastAsiaTheme="minorHAnsi"/>
          <w:kern w:val="0"/>
          <w:sz w:val="28"/>
          <w:szCs w:val="28"/>
          <w:lang w:val="en-US" w:eastAsia="zh-CN"/>
          <w14:ligatures w14:val="none"/>
        </w:rPr>
        <w:t>Tranfield, Denyer &amp; Smart</w:t>
      </w:r>
      <w:r>
        <w:rPr>
          <w:rFonts w:hint="default" w:ascii="Times New Roman" w:hAnsi="Times New Roman" w:cs="Times New Roman" w:eastAsiaTheme="minorHAnsi"/>
          <w:kern w:val="0"/>
          <w:sz w:val="28"/>
          <w:szCs w:val="28"/>
          <w:lang w:val="en-US" w:eastAsia="zh-CN"/>
          <w14:ligatures w14:val="none"/>
        </w:rPr>
        <w:t xml:space="preserve"> </w:t>
      </w:r>
      <w:r>
        <w:rPr>
          <w:rFonts w:hint="eastAsia" w:ascii="Times New Roman" w:hAnsi="Times New Roman" w:cs="Times New Roman" w:eastAsiaTheme="minorHAnsi"/>
          <w:kern w:val="0"/>
          <w:sz w:val="28"/>
          <w:szCs w:val="28"/>
          <w:lang w:val="en-US" w:eastAsia="zh-CN"/>
          <w14:ligatures w14:val="none"/>
        </w:rPr>
        <w:t>(2003)</w:t>
      </w:r>
      <w:r>
        <w:rPr>
          <w:rFonts w:hint="default" w:ascii="Times New Roman" w:hAnsi="Times New Roman" w:cs="Times New Roman" w:eastAsiaTheme="minorHAnsi"/>
          <w:kern w:val="0"/>
          <w:sz w:val="28"/>
          <w:szCs w:val="28"/>
          <w:lang w:val="en-US" w:eastAsia="zh-CN"/>
          <w14:ligatures w14:val="none"/>
        </w:rPr>
        <w:t>, the researcher is required not only with comprehensively organizing and presenting the primary ideas derived from the reviewed information but also with engaging in a more specialized, thorough, in-depth, and systematic discussion, along with a corresponding evaluation of the literature.</w:t>
      </w:r>
      <w:r>
        <w:rPr>
          <w:rFonts w:hint="eastAsia" w:ascii="Times New Roman" w:hAnsi="Times New Roman" w:cs="Times New Roman" w:eastAsiaTheme="minorHAnsi"/>
          <w:kern w:val="0"/>
          <w:sz w:val="28"/>
          <w:szCs w:val="28"/>
          <w:lang w:val="en-US" w:eastAsia="zh-CN"/>
          <w14:ligatures w14:val="none"/>
        </w:rPr>
        <w:t xml:space="preserve"> This evaluation should be conducted based on the researcher</w:t>
      </w:r>
      <w:r>
        <w:rPr>
          <w:rFonts w:hint="default" w:ascii="Times New Roman" w:hAnsi="Times New Roman" w:cs="Times New Roman" w:eastAsiaTheme="minorHAnsi"/>
          <w:kern w:val="0"/>
          <w:sz w:val="28"/>
          <w:szCs w:val="28"/>
          <w:lang w:val="en-US" w:eastAsia="zh-CN"/>
          <w14:ligatures w14:val="none"/>
        </w:rPr>
        <w:t>’</w:t>
      </w:r>
      <w:r>
        <w:rPr>
          <w:rFonts w:hint="eastAsia" w:ascii="Times New Roman" w:hAnsi="Times New Roman" w:cs="Times New Roman" w:eastAsiaTheme="minorHAnsi"/>
          <w:kern w:val="0"/>
          <w:sz w:val="28"/>
          <w:szCs w:val="28"/>
          <w:lang w:val="en-US" w:eastAsia="zh-CN"/>
          <w14:ligatures w14:val="none"/>
        </w:rPr>
        <w:t>s</w:t>
      </w:r>
      <w:r>
        <w:rPr>
          <w:rFonts w:hint="default" w:ascii="Times New Roman" w:hAnsi="Times New Roman" w:cs="Times New Roman" w:eastAsiaTheme="minorHAnsi"/>
          <w:kern w:val="0"/>
          <w:sz w:val="28"/>
          <w:szCs w:val="28"/>
          <w:lang w:val="en-US" w:eastAsia="zh-CN"/>
          <w14:ligatures w14:val="none"/>
        </w:rPr>
        <w:t xml:space="preserve"> </w:t>
      </w:r>
      <w:r>
        <w:rPr>
          <w:rFonts w:hint="eastAsia" w:ascii="Times New Roman" w:hAnsi="Times New Roman" w:cs="Times New Roman" w:eastAsiaTheme="minorHAnsi"/>
          <w:kern w:val="0"/>
          <w:sz w:val="28"/>
          <w:szCs w:val="28"/>
          <w:lang w:val="en-US" w:eastAsia="zh-CN"/>
          <w14:ligatures w14:val="none"/>
        </w:rPr>
        <w:t>own understanding and knowledge, rather than merely accumulating academic research from related fields</w:t>
      </w:r>
      <w:r>
        <w:rPr>
          <w:rFonts w:hint="default" w:ascii="Times New Roman" w:hAnsi="Times New Roman" w:cs="Times New Roman" w:eastAsiaTheme="minorHAnsi"/>
          <w:kern w:val="0"/>
          <w:sz w:val="28"/>
          <w:szCs w:val="28"/>
          <w:lang w:val="en-US" w:eastAsia="zh-CN"/>
          <w14:ligatures w14:val="none"/>
        </w:rPr>
        <w:t xml:space="preserve"> (Okoli</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Schabram,</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2015). This part therefore critically explores the purpose, content and format of a critical literature review for doctoral research.</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ind w:left="0" w:leftChars="0" w:firstLine="0" w:firstLineChars="0"/>
        <w:jc w:val="both"/>
        <w:rPr>
          <w:rFonts w:ascii="Times New Roman" w:hAnsi="Times New Roman" w:cs="Times New Roman"/>
          <w:b/>
          <w:sz w:val="28"/>
          <w:szCs w:val="28"/>
          <w:lang w:val="en-US"/>
        </w:rPr>
      </w:pPr>
      <w:r>
        <w:rPr>
          <w:rFonts w:hint="eastAsia" w:ascii="Times New Roman" w:hAnsi="Times New Roman" w:eastAsia="宋体" w:cs="Times New Roman"/>
          <w:b/>
          <w:sz w:val="28"/>
          <w:szCs w:val="28"/>
          <w:lang w:val="en-US" w:eastAsia="zh-CN"/>
        </w:rPr>
        <w:t xml:space="preserve">2 </w:t>
      </w:r>
      <w:r>
        <w:rPr>
          <w:rFonts w:ascii="Times New Roman" w:hAnsi="Times New Roman" w:cs="Times New Roman"/>
          <w:b/>
          <w:sz w:val="28"/>
          <w:szCs w:val="28"/>
          <w:lang w:val="en-US"/>
        </w:rPr>
        <w:t>Critical review of the purpose and content of a literature review</w:t>
      </w:r>
    </w:p>
    <w:p>
      <w:pPr>
        <w:ind w:left="0" w:leftChars="0" w:firstLine="0" w:firstLineChars="0"/>
        <w:jc w:val="both"/>
        <w:rPr>
          <w:rFonts w:ascii="Times New Roman" w:hAnsi="Times New Roman" w:cs="Times New Roman"/>
          <w:b/>
          <w:sz w:val="28"/>
          <w:szCs w:val="28"/>
        </w:rPr>
      </w:pPr>
      <w:r>
        <w:rPr>
          <w:rFonts w:hint="eastAsia" w:ascii="Times New Roman" w:hAnsi="Times New Roman" w:eastAsia="宋体" w:cs="Times New Roman"/>
          <w:b/>
          <w:sz w:val="28"/>
          <w:szCs w:val="28"/>
          <w:lang w:val="en-US" w:eastAsia="zh-CN"/>
        </w:rPr>
        <w:t xml:space="preserve">2.1 </w:t>
      </w:r>
      <w:r>
        <w:rPr>
          <w:rFonts w:ascii="Times New Roman" w:hAnsi="Times New Roman" w:cs="Times New Roman"/>
          <w:b/>
          <w:sz w:val="28"/>
          <w:szCs w:val="28"/>
        </w:rPr>
        <w:t>What is a Literature Review?</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A literature review is a fundamental aspect of scholarly discourse, commonly employed in scientific and technical research to expound upon the research’s content. Dahlberg, Mallat, Ondrus</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Zmijewska</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(2008)</w:t>
      </w:r>
      <w:r>
        <w:rPr>
          <w:rFonts w:hint="eastAsia" w:ascii="Times New Roman" w:hAnsi="Times New Roman" w:cs="Times New Roman" w:eastAsiaTheme="minorHAnsi"/>
          <w:kern w:val="0"/>
          <w:sz w:val="28"/>
          <w:szCs w:val="28"/>
          <w:lang w:val="en-US" w:eastAsia="zh-CN"/>
          <w14:ligatures w14:val="none"/>
        </w:rPr>
        <w:t xml:space="preserve"> point that i</w:t>
      </w:r>
      <w:r>
        <w:rPr>
          <w:rFonts w:hint="default" w:ascii="Times New Roman" w:hAnsi="Times New Roman" w:cs="Times New Roman" w:eastAsiaTheme="minorHAnsi"/>
          <w:kern w:val="0"/>
          <w:sz w:val="28"/>
          <w:szCs w:val="28"/>
          <w:lang w:val="en-US" w:eastAsia="zh-CN"/>
          <w14:ligatures w14:val="none"/>
        </w:rPr>
        <w:t>t serves as a comprehensive examination of the historical context, prior research, ongoing debates, current research status, and future directions pertaining to a specific subject, all from the researcher’s perspective.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essence, a literature review is a methodical and thorough evaluation of existing scientific literature, imbued with the researcher’s insights and viewpoints. It goes beyond merely summarizing research findings and data. It encompasses analysis, critique, and the presentation of theoretical perspectives. Crucially, a literature review distinguishes itself from a mere report by its emphasis on critical evaluation and discussion of the gathered material</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(Okoli</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Schabram</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 2015).</w:t>
      </w:r>
    </w:p>
    <w:p>
      <w:pPr>
        <w:spacing w:after="200" w:line="276" w:lineRule="auto"/>
        <w:ind w:left="0" w:right="0" w:firstLine="0"/>
        <w:jc w:val="both"/>
        <w:rPr>
          <w:rFonts w:hint="eastAsia"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According to Dahlberg,</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Mallat, Ondrus</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Zmijewska</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(2008), it involves systematically reviewing and evaluating a wide range of sources, including peer-reviewed articles, books, dissertations, and conference papers. The primary objective of literature review is to provide a comprehensive overview of existing knowledge in the field, identify gaps or inconsistencies in the literature, and propose directions for future research. Literature review encompasses various stages, including defining the scope and objectives of the review, conducting a thorough search of relevant literature, critically evaluating the retrieved sources, synthesizing the findings, and presenting a coherent narrative that contextualizes the research within the broader scholarly discourse (Efron</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Ravid</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2018).</w:t>
      </w:r>
      <w:r>
        <w:rPr>
          <w:rFonts w:hint="eastAsia" w:ascii="Times New Roman" w:hAnsi="Times New Roman" w:cs="Times New Roman" w:eastAsiaTheme="minorHAnsi"/>
          <w:kern w:val="0"/>
          <w:sz w:val="28"/>
          <w:szCs w:val="28"/>
          <w:lang w:val="en-US" w:eastAsia="zh-CN"/>
          <w14:ligatures w14:val="none"/>
        </w:rPr>
        <w:t xml:space="preserve"> </w:t>
      </w:r>
    </w:p>
    <w:p>
      <w:pPr>
        <w:spacing w:after="200" w:line="276" w:lineRule="auto"/>
        <w:ind w:left="0" w:right="0" w:firstLine="0"/>
        <w:jc w:val="both"/>
        <w:rPr>
          <w:rFonts w:hint="default" w:ascii="Times New Roman" w:hAnsi="Times New Roman" w:cs="Times New Roman" w:eastAsiaTheme="minorHAnsi"/>
          <w:kern w:val="0"/>
          <w:sz w:val="24"/>
          <w:szCs w:val="24"/>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In the process of writing a doctoral thesis, the literature review is typically the first task undertaken after determining the topic. Combining reading with critical analysis can help refine the research questions and framework. Conducting a literature review before embarking on new investigations can establish familiarity with and understanding of current research in a specific field. After completing the literature review, researchers can ascertain what studies have already been conducted in the relevant field and identify the </w:t>
      </w:r>
      <w:r>
        <w:rPr>
          <w:rFonts w:hint="eastAsia" w:ascii="Times New Roman" w:hAnsi="Times New Roman" w:cs="Times New Roman" w:eastAsiaTheme="minorHAnsi"/>
          <w:kern w:val="0"/>
          <w:sz w:val="28"/>
          <w:szCs w:val="28"/>
          <w:lang w:val="en-US" w:eastAsia="zh-CN"/>
          <w14:ligatures w14:val="none"/>
        </w:rPr>
        <w:t>blank</w:t>
      </w:r>
      <w:r>
        <w:rPr>
          <w:rFonts w:hint="default" w:ascii="Times New Roman" w:hAnsi="Times New Roman" w:cs="Times New Roman" w:eastAsiaTheme="minorHAnsi"/>
          <w:kern w:val="0"/>
          <w:sz w:val="28"/>
          <w:szCs w:val="28"/>
          <w:lang w:val="en-US" w:eastAsia="zh-CN"/>
          <w14:ligatures w14:val="none"/>
        </w:rPr>
        <w:t xml:space="preserve"> within the topic area.</w:t>
      </w:r>
    </w:p>
    <w:p>
      <w:pPr>
        <w:ind w:left="0" w:leftChars="0" w:firstLine="0" w:firstLineChars="0"/>
        <w:jc w:val="both"/>
        <w:rPr>
          <w:rFonts w:hint="default" w:ascii="Times New Roman" w:hAnsi="Times New Roman" w:cs="Times New Roman"/>
          <w:b/>
          <w:sz w:val="24"/>
          <w:szCs w:val="24"/>
          <w:lang w:val="en-US" w:eastAsia="zh-CN"/>
        </w:rPr>
      </w:pPr>
      <w:r>
        <w:rPr>
          <w:rFonts w:hint="eastAsia" w:ascii="Times New Roman" w:hAnsi="Times New Roman" w:cs="Times New Roman"/>
          <w:b/>
          <w:sz w:val="28"/>
          <w:szCs w:val="28"/>
          <w:lang w:val="en-US" w:eastAsia="zh-CN"/>
        </w:rPr>
        <w:t xml:space="preserve">2.2 </w:t>
      </w:r>
      <w:r>
        <w:rPr>
          <w:rFonts w:hint="default" w:ascii="Times New Roman" w:hAnsi="Times New Roman" w:cs="Times New Roman"/>
          <w:b/>
          <w:sz w:val="28"/>
          <w:szCs w:val="28"/>
          <w:lang w:val="en-US" w:eastAsia="zh-CN"/>
        </w:rPr>
        <w:t xml:space="preserve">Purpose </w:t>
      </w:r>
      <w:r>
        <w:rPr>
          <w:rFonts w:hint="eastAsia" w:ascii="Times New Roman" w:hAnsi="Times New Roman" w:cs="Times New Roman"/>
          <w:b/>
          <w:sz w:val="28"/>
          <w:szCs w:val="28"/>
          <w:lang w:val="en-US" w:eastAsia="zh-CN"/>
        </w:rPr>
        <w:t xml:space="preserve">and Content </w:t>
      </w:r>
      <w:r>
        <w:rPr>
          <w:rFonts w:hint="default" w:ascii="Times New Roman" w:hAnsi="Times New Roman" w:cs="Times New Roman"/>
          <w:b/>
          <w:sz w:val="28"/>
          <w:szCs w:val="28"/>
          <w:lang w:val="en-US" w:eastAsia="zh-CN"/>
        </w:rPr>
        <w:t xml:space="preserve">of </w:t>
      </w:r>
      <w:r>
        <w:rPr>
          <w:rFonts w:hint="eastAsia" w:ascii="Times New Roman" w:hAnsi="Times New Roman" w:cs="Times New Roman"/>
          <w:b/>
          <w:sz w:val="28"/>
          <w:szCs w:val="28"/>
          <w:lang w:val="en-US" w:eastAsia="zh-CN"/>
        </w:rPr>
        <w:t>a</w:t>
      </w:r>
      <w:r>
        <w:rPr>
          <w:rFonts w:hint="default" w:ascii="Times New Roman" w:hAnsi="Times New Roman" w:cs="Times New Roman"/>
          <w:b/>
          <w:sz w:val="28"/>
          <w:szCs w:val="28"/>
          <w:lang w:val="en-US" w:eastAsia="zh-CN"/>
        </w:rPr>
        <w:t xml:space="preserve"> Literature Review</w:t>
      </w:r>
    </w:p>
    <w:p>
      <w:pPr>
        <w:ind w:left="0" w:leftChars="0" w:firstLine="0" w:firstLineChars="0"/>
        <w:jc w:val="both"/>
        <w:rPr>
          <w:rFonts w:hint="default" w:ascii="Times New Roman" w:hAnsi="Times New Roman" w:cs="Times New Roman"/>
          <w:b w:val="0"/>
          <w:bCs/>
          <w:sz w:val="28"/>
          <w:szCs w:val="28"/>
          <w:lang w:val="en-US" w:eastAsia="zh-CN"/>
        </w:rPr>
      </w:pPr>
      <w:r>
        <w:rPr>
          <w:rFonts w:hint="default" w:ascii="Times New Roman" w:hAnsi="Times New Roman" w:cs="Times New Roman" w:eastAsiaTheme="minorHAnsi"/>
          <w:kern w:val="0"/>
          <w:sz w:val="28"/>
          <w:szCs w:val="28"/>
          <w:lang w:val="en-US" w:eastAsia="zh-CN"/>
          <w14:ligatures w14:val="none"/>
        </w:rPr>
        <w:t>The concept of a literature review was defined in the 1970s, and it is the basis for research in almost all academic fields. The literature review serves to familiarize and comprehend existing research outcomes related to the chosen research problem, thereby averting redundant endeavors (Rejeb, Suhaiza, Rejeb,</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Seuring</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Treiblmaier, 2022).</w:t>
      </w:r>
      <w:r>
        <w:rPr>
          <w:rFonts w:hint="eastAsia" w:ascii="Times New Roman" w:hAnsi="Times New Roman" w:cs="Times New Roman" w:eastAsiaTheme="minorHAnsi"/>
          <w:kern w:val="0"/>
          <w:sz w:val="28"/>
          <w:szCs w:val="28"/>
          <w:lang w:val="en-US" w:eastAsia="zh-CN"/>
          <w14:ligatures w14:val="none"/>
        </w:rPr>
        <w:t xml:space="preserve"> By systematically reviewing extant literature on a particular issue, the researcher can judge the progress made in addressing the research problem and identify areas where significant research outcomes have been achieved. If there is insufficient evidence to refute established answers, the researcher may be faced with the risk of duplicating previous studies. </w:t>
      </w:r>
      <w:r>
        <w:rPr>
          <w:rFonts w:hint="default" w:ascii="Times New Roman" w:hAnsi="Times New Roman" w:cs="Times New Roman" w:eastAsiaTheme="minorHAnsi"/>
          <w:kern w:val="0"/>
          <w:sz w:val="28"/>
          <w:szCs w:val="28"/>
          <w:lang w:val="en-US" w:eastAsia="zh-CN"/>
          <w14:ligatures w14:val="none"/>
        </w:rPr>
        <w:t>According to Udegbe,</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Ebulue</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Ekesiobi</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(2024), the l</w:t>
      </w:r>
      <w:r>
        <w:rPr>
          <w:rFonts w:hint="eastAsia" w:ascii="Times New Roman" w:hAnsi="Times New Roman" w:cs="Times New Roman" w:eastAsiaTheme="minorHAnsi"/>
          <w:kern w:val="0"/>
          <w:sz w:val="28"/>
          <w:szCs w:val="28"/>
          <w:lang w:val="en-US" w:eastAsia="zh-CN"/>
          <w14:ligatures w14:val="none"/>
        </w:rPr>
        <w:t>iterature review facilitate the identification of cutting-edge issues.</w:t>
      </w:r>
      <w:r>
        <w:rPr>
          <w:rFonts w:hint="default" w:ascii="Times New Roman" w:hAnsi="Times New Roman" w:cs="Times New Roman" w:eastAsiaTheme="minorHAnsi"/>
          <w:kern w:val="0"/>
          <w:sz w:val="28"/>
          <w:szCs w:val="28"/>
          <w:lang w:val="en-US" w:eastAsia="zh-CN"/>
          <w14:ligatures w14:val="none"/>
        </w:rPr>
        <w:t xml:space="preserve"> Through the process of reviewing and analyzing existing literature, one can discern the progress made in addressing related research questions. Leveraging these research findings as a foundation for further investigation into certain issues and identifying areas not yet explored by existing research can lead to the formulation of research questions at the forefront of scholarly inquiry. Simultaneously, it provides a clear understanding of the position of one’s research questions within academic development and the potential contributions we could make. Additionally, literature reviews contribute to the expansion of research perspectives and methodologies (Fink,2019). The literature review process also entails understanding the perspectives, strategies, methodologies, tools, and techniques employed by previous researchers. These insights serve as valuable references for future research endeavors. Additionally, literature review can assist in identifying and utilizing operational methods and measurement indicators for key variables from existing research, as well as tools and scales used in measuring certain key concepts or variables. Smallbone</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&amp; Quinton</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 xml:space="preserve">(2011) advocate that literature reviews enhance deductive, analytical, and synthesis skills, thereby improving research capabilities and academic writing proficiency. By gaining a systematic and comprehensive understanding of the research problem at hand, the researcher develops a clearer comprehension of it. Through the writing process of a literature review, skills in deducing, analyzing, and summarizing research problems are enhanced, thus improving problem-solving abilities and laying a solid foundation for </w:t>
      </w:r>
      <w:r>
        <w:rPr>
          <w:rFonts w:hint="default" w:ascii="Times New Roman" w:hAnsi="Times New Roman" w:cs="Times New Roman"/>
          <w:b w:val="0"/>
          <w:bCs/>
          <w:sz w:val="28"/>
          <w:szCs w:val="28"/>
          <w:lang w:val="en-US" w:eastAsia="zh-CN"/>
        </w:rPr>
        <w:t>further scientific research and academic writing.</w:t>
      </w:r>
    </w:p>
    <w:p>
      <w:pPr>
        <w:ind w:left="0" w:leftChars="0" w:firstLine="0" w:firstLineChars="0"/>
        <w:jc w:val="both"/>
        <w:rPr>
          <w:rFonts w:hint="eastAsia"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3 Common Types of Review</w:t>
      </w:r>
    </w:p>
    <w:p>
      <w:pPr>
        <w:ind w:left="0" w:leftChars="0" w:firstLine="0" w:firstLineChars="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xml:space="preserve">An article from Charles Sturt University outlines several types of literature reviews, including traditional or narrative reviews, scoping reviews, systematic reviews, and annotated bibliographies. Traditional or narrative reviews synthesize existing literature, providing background and critical analysis, suitable for exploratory research. Scoping reviews map out the scope and key concepts of a research area, ideal for new or complex topics. Systematic reviews follow a strict methodology to comprehensively evaluate specific research questions, often used in medical and health research. Annotated bibliographies list relevant literature with descriptions and comments, useful for academic research and project preparation. Researchers should choose the appropriate review type based on their specific research needs. </w:t>
      </w:r>
    </w:p>
    <w:p>
      <w:pPr>
        <w:ind w:left="0" w:leftChars="0" w:firstLine="0" w:firstLineChars="0"/>
        <w:jc w:val="both"/>
        <w:rPr>
          <w:rFonts w:hint="eastAsia" w:ascii="Times New Roman" w:hAnsi="Times New Roman" w:cs="Times New Roman"/>
          <w:b/>
          <w:sz w:val="28"/>
          <w:szCs w:val="28"/>
          <w:lang w:val="en-US" w:eastAsia="zh-CN"/>
        </w:rPr>
      </w:pPr>
    </w:p>
    <w:p>
      <w:pPr>
        <w:shd w:val="clear" w:color="auto" w:fill="FFFFFF"/>
        <w:spacing w:after="150" w:line="240" w:lineRule="auto"/>
        <w:ind w:left="0" w:right="0" w:firstLine="0"/>
        <w:jc w:val="left"/>
        <w:rPr>
          <w:rFonts w:eastAsia="Times New Roman"/>
          <w:color w:val="333333"/>
          <w:kern w:val="0"/>
          <w:sz w:val="21"/>
          <w:szCs w:val="21"/>
          <w:lang w:eastAsia="en-GB"/>
          <w14:ligatures w14:val="none"/>
        </w:rPr>
      </w:pPr>
      <w:r>
        <w:rPr>
          <w:rFonts w:eastAsia="Times New Roman"/>
          <w:color w:val="333333"/>
          <w:kern w:val="0"/>
          <w:sz w:val="21"/>
          <w:szCs w:val="21"/>
          <w:lang w:eastAsia="en-GB"/>
          <w14:ligatures w14:val="none"/>
        </w:rPr>
        <w:drawing>
          <wp:inline distT="0" distB="0" distL="0" distR="0">
            <wp:extent cx="5170805" cy="3549650"/>
            <wp:effectExtent l="0" t="0" r="10795" b="6350"/>
            <wp:docPr id="1" name="Picture 1" descr="Description of the differences between review types in image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of the differences between review types in image for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170805" cy="3549650"/>
                    </a:xfrm>
                    <a:prstGeom prst="rect">
                      <a:avLst/>
                    </a:prstGeom>
                    <a:noFill/>
                    <a:ln>
                      <a:noFill/>
                    </a:ln>
                  </pic:spPr>
                </pic:pic>
              </a:graphicData>
            </a:graphic>
          </wp:inline>
        </w:drawing>
      </w:r>
    </w:p>
    <w:p>
      <w:pPr>
        <w:shd w:val="clear" w:color="auto" w:fill="FFFFFF"/>
        <w:spacing w:after="150" w:line="240" w:lineRule="auto"/>
        <w:ind w:left="0" w:right="0" w:firstLine="0"/>
        <w:jc w:val="center"/>
        <w:rPr>
          <w:rFonts w:hint="default" w:ascii="Arial" w:hAnsi="Arial" w:eastAsia="Times New Roman" w:cs="Arial"/>
          <w:b w:val="0"/>
          <w:bCs w:val="0"/>
          <w:color w:val="333333"/>
          <w:kern w:val="0"/>
          <w:sz w:val="21"/>
          <w:szCs w:val="21"/>
          <w:lang w:eastAsia="en-GB"/>
          <w14:ligatures w14:val="none"/>
        </w:rPr>
      </w:pPr>
      <w:r>
        <w:rPr>
          <w:rFonts w:hint="default" w:ascii="Arial" w:hAnsi="Arial" w:eastAsia="宋体" w:cs="Arial"/>
          <w:b w:val="0"/>
          <w:bCs w:val="0"/>
          <w:color w:val="333333"/>
          <w:kern w:val="0"/>
          <w:sz w:val="21"/>
          <w:szCs w:val="21"/>
          <w:lang w:val="en-US" w:eastAsia="zh-CN"/>
          <w14:ligatures w14:val="none"/>
        </w:rPr>
        <w:t xml:space="preserve">Figure 1: </w:t>
      </w:r>
      <w:r>
        <w:rPr>
          <w:rFonts w:hint="default" w:ascii="Arial" w:hAnsi="Arial" w:eastAsia="Times New Roman" w:cs="Arial"/>
          <w:b w:val="0"/>
          <w:bCs w:val="0"/>
          <w:color w:val="333333"/>
          <w:kern w:val="0"/>
          <w:sz w:val="21"/>
          <w:szCs w:val="21"/>
          <w:lang w:val="en-US" w:eastAsia="en-GB"/>
          <w14:ligatures w14:val="none"/>
        </w:rPr>
        <w:t>common review types in terms of speed, detail, risk of bias, and comprehensiveness</w:t>
      </w:r>
    </w:p>
    <w:p>
      <w:pPr>
        <w:shd w:val="clear" w:color="auto" w:fill="FFFFFF"/>
        <w:spacing w:after="150" w:line="240" w:lineRule="auto"/>
        <w:ind w:left="0" w:right="0" w:firstLine="2100" w:firstLineChars="1000"/>
        <w:jc w:val="left"/>
        <w:rPr>
          <w:rFonts w:hint="eastAsia" w:eastAsia="Times New Roman"/>
          <w:color w:val="333333"/>
          <w:kern w:val="0"/>
          <w:sz w:val="21"/>
          <w:szCs w:val="21"/>
          <w:lang w:eastAsia="en-GB"/>
          <w14:ligatures w14:val="none"/>
        </w:rPr>
      </w:pPr>
      <w:r>
        <w:rPr>
          <w:rFonts w:hint="eastAsia" w:eastAsia="宋体"/>
          <w:color w:val="333333"/>
          <w:kern w:val="0"/>
          <w:sz w:val="21"/>
          <w:szCs w:val="21"/>
          <w:lang w:val="en-US" w:eastAsia="zh-CN"/>
          <w14:ligatures w14:val="none"/>
        </w:rPr>
        <w:t>source：</w:t>
      </w:r>
      <w:r>
        <w:rPr>
          <w:rFonts w:hint="eastAsia" w:eastAsia="Times New Roman"/>
          <w:color w:val="333333"/>
          <w:kern w:val="0"/>
          <w:sz w:val="21"/>
          <w:szCs w:val="21"/>
          <w:lang w:eastAsia="en-GB"/>
          <w14:ligatures w14:val="none"/>
        </w:rPr>
        <w:fldChar w:fldCharType="begin"/>
      </w:r>
      <w:r>
        <w:rPr>
          <w:rFonts w:hint="eastAsia" w:eastAsia="Times New Roman"/>
          <w:color w:val="333333"/>
          <w:kern w:val="0"/>
          <w:sz w:val="21"/>
          <w:szCs w:val="21"/>
          <w:lang w:eastAsia="en-GB"/>
          <w14:ligatures w14:val="none"/>
        </w:rPr>
        <w:instrText xml:space="preserve"> HYPERLINK "https://libguides.csu.edu.au/review/Types" </w:instrText>
      </w:r>
      <w:r>
        <w:rPr>
          <w:rFonts w:hint="eastAsia" w:eastAsia="Times New Roman"/>
          <w:color w:val="333333"/>
          <w:kern w:val="0"/>
          <w:sz w:val="21"/>
          <w:szCs w:val="21"/>
          <w:lang w:eastAsia="en-GB"/>
          <w14:ligatures w14:val="none"/>
        </w:rPr>
        <w:fldChar w:fldCharType="separate"/>
      </w:r>
      <w:r>
        <w:rPr>
          <w:rStyle w:val="9"/>
          <w:rFonts w:hint="eastAsia" w:eastAsia="Times New Roman"/>
          <w:color w:val="333333"/>
          <w:kern w:val="0"/>
          <w:sz w:val="21"/>
          <w:szCs w:val="21"/>
          <w:lang w:eastAsia="en-GB"/>
          <w14:ligatures w14:val="none"/>
        </w:rPr>
        <w:t>https://libguides.csu.edu.au/review/Types</w:t>
      </w:r>
      <w:r>
        <w:rPr>
          <w:rFonts w:hint="eastAsia" w:eastAsia="Times New Roman"/>
          <w:color w:val="333333"/>
          <w:kern w:val="0"/>
          <w:sz w:val="21"/>
          <w:szCs w:val="21"/>
          <w:lang w:eastAsia="en-GB"/>
          <w14:ligatures w14:val="none"/>
        </w:rPr>
        <w:fldChar w:fldCharType="end"/>
      </w:r>
    </w:p>
    <w:p>
      <w:pPr>
        <w:shd w:val="clear" w:color="auto" w:fill="FFFFFF"/>
        <w:spacing w:after="150" w:line="240" w:lineRule="auto"/>
        <w:ind w:left="0" w:right="0" w:firstLine="2100" w:firstLineChars="1000"/>
        <w:jc w:val="left"/>
        <w:rPr>
          <w:rFonts w:hint="eastAsia" w:eastAsia="Times New Roman"/>
          <w:color w:val="333333"/>
          <w:kern w:val="0"/>
          <w:sz w:val="21"/>
          <w:szCs w:val="21"/>
          <w:lang w:eastAsia="en-GB"/>
          <w14:ligatures w14:val="none"/>
        </w:rPr>
      </w:pPr>
    </w:p>
    <w:p>
      <w:pPr>
        <w:spacing w:after="200" w:line="276" w:lineRule="auto"/>
        <w:ind w:left="0" w:right="0" w:firstLine="0"/>
        <w:jc w:val="both"/>
        <w:rPr>
          <w:rFonts w:hint="default" w:eastAsia="Times New Roman"/>
          <w:color w:val="333333"/>
          <w:kern w:val="0"/>
          <w:sz w:val="21"/>
          <w:szCs w:val="21"/>
          <w:lang w:val="en-US" w:eastAsia="zh-CN"/>
          <w14:ligatures w14:val="none"/>
        </w:rPr>
      </w:pPr>
      <w:r>
        <w:rPr>
          <w:rFonts w:hint="eastAsia" w:ascii="Times New Roman" w:hAnsi="Times New Roman" w:cs="Times New Roman" w:eastAsiaTheme="minorHAnsi"/>
          <w:kern w:val="0"/>
          <w:sz w:val="28"/>
          <w:szCs w:val="28"/>
          <w:lang w:val="en-US" w:eastAsia="zh-CN"/>
          <w14:ligatures w14:val="none"/>
        </w:rPr>
        <w:t>Choosing a traditional or narrative review is suitable for my research topic, which aims to explore the incentive mechanisms in Chinese higher vocational education and their impact on employee performance. This type of review allows me to broadly collect and analyze existing literature, providing comprehensive background and critical analysis. Given the 3500-word limit and the need to complete the work within a relatively short time frame, a narrative review efficiently integrates diverse information, systematically summarizing and evaluating current research findings. This method helps quickly identify major trends and gaps, thereby proposing new research questions.</w:t>
      </w:r>
    </w:p>
    <w:p>
      <w:pPr>
        <w:spacing w:after="200" w:line="276" w:lineRule="auto"/>
        <w:ind w:left="0" w:right="0" w:firstLine="0"/>
        <w:jc w:val="both"/>
        <w:rPr>
          <w:rFonts w:hint="default" w:ascii="Times New Roman Bold" w:hAnsi="Times New Roman Bold" w:cs="Times New Roman Bold" w:eastAsiaTheme="minorHAnsi"/>
          <w:b/>
          <w:bCs/>
          <w:kern w:val="0"/>
          <w:sz w:val="28"/>
          <w:szCs w:val="28"/>
          <w:lang w:val="en-US" w:eastAsia="zh-CN"/>
          <w14:ligatures w14:val="none"/>
        </w:rPr>
      </w:pPr>
      <w:r>
        <w:rPr>
          <w:rFonts w:hint="default" w:ascii="Times New Roman Bold" w:hAnsi="Times New Roman Bold" w:cs="Times New Roman Bold" w:eastAsiaTheme="minorHAnsi"/>
          <w:b/>
          <w:bCs/>
          <w:kern w:val="0"/>
          <w:sz w:val="28"/>
          <w:szCs w:val="28"/>
          <w:lang w:val="en-US" w:eastAsia="zh-CN"/>
          <w14:ligatures w14:val="none"/>
        </w:rPr>
        <w:t>4 How to Write a Literature Review</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The quality of a literature review is crucial in academic research, shaping the clarity and progression of the writing process. By following these steps meticulously, researchers can ensure coherence and effectiveness.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Bold" w:hAnsi="Times New Roman Bold" w:cs="Times New Roman Bold" w:eastAsiaTheme="minorHAnsi"/>
          <w:b/>
          <w:bCs/>
          <w:kern w:val="0"/>
          <w:sz w:val="28"/>
          <w:szCs w:val="28"/>
          <w:lang w:val="en-US" w:eastAsia="zh-CN"/>
          <w14:ligatures w14:val="none"/>
        </w:rPr>
        <w:t>Step 1: Topic Selection</w:t>
      </w:r>
      <w:r>
        <w:rPr>
          <w:rFonts w:hint="default" w:ascii="Times New Roman" w:hAnsi="Times New Roman" w:cs="Times New Roman" w:eastAsiaTheme="minorHAnsi"/>
          <w:kern w:val="0"/>
          <w:sz w:val="28"/>
          <w:szCs w:val="28"/>
          <w:lang w:val="en-US" w:eastAsia="zh-CN"/>
          <w14:ligatures w14:val="none"/>
        </w:rPr>
        <w:br w:type="textWrapping"/>
      </w:r>
      <w:r>
        <w:rPr>
          <w:rFonts w:hint="default" w:ascii="Times New Roman" w:hAnsi="Times New Roman" w:cs="Times New Roman" w:eastAsiaTheme="minorHAnsi"/>
          <w:kern w:val="0"/>
          <w:sz w:val="28"/>
          <w:szCs w:val="28"/>
          <w:lang w:val="en-US" w:eastAsia="zh-CN"/>
          <w14:ligatures w14:val="none"/>
        </w:rPr>
        <w:t>Selecting a suitable topic is foundational. Zhou (2021) highlights that the topic should align with the researcher’s interests and expertise, present opportunities for novel exploration, and strike a balance in scope to allow comprehensive coverage without being overwhelming.</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Bold" w:hAnsi="Times New Roman Bold" w:cs="Times New Roman Bold" w:eastAsiaTheme="minorHAnsi"/>
          <w:b/>
          <w:bCs/>
          <w:kern w:val="0"/>
          <w:sz w:val="28"/>
          <w:szCs w:val="28"/>
          <w:lang w:val="en-US" w:eastAsia="zh-CN"/>
          <w14:ligatures w14:val="none"/>
        </w:rPr>
        <w:t>Step 2: Literature Collection and Reading</w:t>
      </w:r>
      <w:r>
        <w:rPr>
          <w:rFonts w:hint="default" w:ascii="Times New Roman" w:hAnsi="Times New Roman" w:cs="Times New Roman" w:eastAsiaTheme="minorHAnsi"/>
          <w:kern w:val="0"/>
          <w:sz w:val="28"/>
          <w:szCs w:val="28"/>
          <w:lang w:val="en-US" w:eastAsia="zh-CN"/>
          <w14:ligatures w14:val="none"/>
        </w:rPr>
        <w:br w:type="textWrapping"/>
      </w:r>
      <w:r>
        <w:rPr>
          <w:rFonts w:hint="default" w:ascii="Times New Roman" w:hAnsi="Times New Roman" w:cs="Times New Roman" w:eastAsiaTheme="minorHAnsi"/>
          <w:kern w:val="0"/>
          <w:sz w:val="28"/>
          <w:szCs w:val="28"/>
          <w:lang w:val="en-US" w:eastAsia="zh-CN"/>
          <w14:ligatures w14:val="none"/>
        </w:rPr>
        <w:t>After determining the topic, researchers gather and read relevant literature, prioritizing recent publications. Initially, abstracts and summaries are assessed for relevance, followed by thorough reading of selected materials (Ridley, 2012). Information is organized to identify key themes, perspectives, and gaps in the existing literature.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Bold" w:hAnsi="Times New Roman Bold" w:cs="Times New Roman Bold" w:eastAsiaTheme="minorHAnsi"/>
          <w:b/>
          <w:bCs/>
          <w:kern w:val="0"/>
          <w:sz w:val="28"/>
          <w:szCs w:val="28"/>
          <w:lang w:val="en-US" w:eastAsia="zh-CN"/>
          <w14:ligatures w14:val="none"/>
        </w:rPr>
        <w:t>Step 3: Outline Formulation</w:t>
      </w:r>
      <w:r>
        <w:rPr>
          <w:rFonts w:hint="default" w:ascii="Times New Roman" w:hAnsi="Times New Roman" w:cs="Times New Roman" w:eastAsiaTheme="minorHAnsi"/>
          <w:kern w:val="0"/>
          <w:sz w:val="28"/>
          <w:szCs w:val="28"/>
          <w:lang w:val="en-US" w:eastAsia="zh-CN"/>
          <w14:ligatures w14:val="none"/>
        </w:rPr>
        <w:br w:type="textWrapping"/>
      </w:r>
      <w:r>
        <w:rPr>
          <w:rFonts w:hint="default" w:ascii="Times New Roman" w:hAnsi="Times New Roman" w:cs="Times New Roman" w:eastAsiaTheme="minorHAnsi"/>
          <w:kern w:val="0"/>
          <w:sz w:val="28"/>
          <w:szCs w:val="28"/>
          <w:lang w:val="en-US" w:eastAsia="zh-CN"/>
          <w14:ligatures w14:val="none"/>
        </w:rPr>
        <w:t>An outline based on insights from the literature is developed, framing the main themes and subtopics of the review. Booth et al. (2021) emphasize that the outline ensures logical coherence, clarity, and alignment with research objectives, facilitating a smooth transition to writing.</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Bold" w:hAnsi="Times New Roman Bold" w:cs="Times New Roman Bold" w:eastAsiaTheme="minorHAnsi"/>
          <w:b/>
          <w:bCs/>
          <w:kern w:val="0"/>
          <w:sz w:val="28"/>
          <w:szCs w:val="28"/>
          <w:lang w:val="en-US" w:eastAsia="zh-CN"/>
          <w14:ligatures w14:val="none"/>
        </w:rPr>
        <w:t>Step 4: Writing and Revision</w:t>
      </w:r>
      <w:r>
        <w:rPr>
          <w:rFonts w:hint="default" w:ascii="Times New Roman" w:hAnsi="Times New Roman" w:cs="Times New Roman" w:eastAsiaTheme="minorHAnsi"/>
          <w:kern w:val="0"/>
          <w:sz w:val="28"/>
          <w:szCs w:val="28"/>
          <w:lang w:val="en-US" w:eastAsia="zh-CN"/>
          <w14:ligatures w14:val="none"/>
        </w:rPr>
        <w:br w:type="textWrapping"/>
      </w:r>
      <w:r>
        <w:rPr>
          <w:rFonts w:hint="default" w:ascii="Times New Roman" w:hAnsi="Times New Roman" w:cs="Times New Roman" w:eastAsiaTheme="minorHAnsi"/>
          <w:kern w:val="0"/>
          <w:sz w:val="28"/>
          <w:szCs w:val="28"/>
          <w:lang w:val="en-US" w:eastAsia="zh-CN"/>
          <w14:ligatures w14:val="none"/>
        </w:rPr>
        <w:t>The outline is translated into a coherent literature review, with careful attention to accuracy, objectivity, and the integration of the researcher’s insights. Multiple revisions refine the content, address inconsistencies, and enhance readability. Researchers may revisit earlier steps if new ideas emerge during writing (Ridley, 2012).</w:t>
      </w:r>
    </w:p>
    <w:p>
      <w:pPr>
        <w:ind w:left="0" w:leftChars="0" w:firstLine="0" w:firstLineChars="0"/>
        <w:jc w:val="both"/>
        <w:rPr>
          <w:rFonts w:hint="default"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 xml:space="preserve">5 </w:t>
      </w:r>
      <w:r>
        <w:rPr>
          <w:rFonts w:hint="default" w:ascii="Times New Roman" w:hAnsi="Times New Roman" w:cs="Times New Roman"/>
          <w:b/>
          <w:sz w:val="28"/>
          <w:szCs w:val="28"/>
          <w:lang w:val="en-US" w:eastAsia="zh-CN"/>
        </w:rPr>
        <w:t>Recommendations</w:t>
      </w:r>
      <w:r>
        <w:rPr>
          <w:rFonts w:hint="eastAsia" w:ascii="Times New Roman" w:hAnsi="Times New Roman" w:cs="Times New Roman"/>
          <w:b/>
          <w:sz w:val="28"/>
          <w:szCs w:val="28"/>
          <w:lang w:val="en-US" w:eastAsia="zh-CN"/>
        </w:rPr>
        <w:t xml:space="preserve"> and </w:t>
      </w:r>
      <w:r>
        <w:rPr>
          <w:rFonts w:hint="default" w:ascii="Times New Roman" w:hAnsi="Times New Roman" w:cs="Times New Roman"/>
          <w:b/>
          <w:sz w:val="28"/>
          <w:szCs w:val="28"/>
          <w:lang w:val="en-US" w:eastAsia="zh-CN"/>
        </w:rPr>
        <w:t xml:space="preserve">Conclusions </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academic research, literature review plays a crucial role. Hart (2018) thinks its structure resembles that of history textbooks or works, where research findings can be narrated either chronologically or based on scholarly perspectives. Additionally, research outcomes can also be categorized into several questions or topics for detailed exposition. Such structural patterns are particularly common in fields like educational history. However, regardless of the chosen structure, ensuring clarity of logical relationships is fundamental to assessing the quality of the paper (Zhang, Gable &amp; Rai, 2016).</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Literature reviews should not only summarize the viewpoints and propositions of original authors but also be expressed in one’s own language to ensure clarity of logical relationships (Boell &amp; Kecmanovic, 2015). Thus, in writing, it is advisable to use one’s own words to encapsulate the main points and arguments of original authors, avoiding excessive direct quotations. This approach not only enhances the readability of the article but also better articulates the author’s unique perspective and understanding(Jesson, Lacey &amp; Matheson, 2011).</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conclusion, literature review is an indispensable aspect of academic research, and its quality and clarity of logical relationships directly impact the overall quality and value of the paper. Therefore, when writing a review, it is essential to integrate original sources, summarize, and interpret them in one’s own words to ensure logical clarity and articulate viewpoints, thus providing readers with valuable scholarly insights.</w:t>
      </w:r>
    </w:p>
    <w:p>
      <w:pPr>
        <w:spacing w:after="14" w:line="259" w:lineRule="auto"/>
        <w:ind w:left="0" w:leftChars="0" w:right="0" w:firstLine="0" w:firstLineChars="0"/>
        <w:jc w:val="left"/>
        <w:rPr>
          <w:rFonts w:hint="eastAsia" w:eastAsia="宋体"/>
          <w:b/>
          <w:lang w:val="en-US" w:eastAsia="zh-CN"/>
        </w:rPr>
      </w:pPr>
    </w:p>
    <w:p>
      <w:pPr>
        <w:spacing w:after="14" w:line="259" w:lineRule="auto"/>
        <w:ind w:left="0" w:leftChars="0" w:right="0" w:firstLine="0" w:firstLineChars="0"/>
        <w:jc w:val="left"/>
        <w:rPr>
          <w:rFonts w:hint="eastAsia" w:eastAsia="宋体"/>
          <w:b/>
          <w:lang w:val="en-US" w:eastAsia="zh-CN"/>
        </w:rPr>
      </w:pPr>
    </w:p>
    <w:p>
      <w:pPr>
        <w:spacing w:after="14" w:line="259" w:lineRule="auto"/>
        <w:ind w:left="0" w:leftChars="0" w:right="0" w:firstLine="0" w:firstLineChars="0"/>
        <w:jc w:val="left"/>
        <w:rPr>
          <w:rFonts w:hint="eastAsia" w:eastAsia="宋体"/>
          <w:b/>
          <w:lang w:val="en-US" w:eastAsia="zh-CN"/>
        </w:rPr>
      </w:pPr>
    </w:p>
    <w:p>
      <w:pPr>
        <w:keepNext w:val="0"/>
        <w:keepLines w:val="0"/>
        <w:widowControl/>
        <w:suppressLineNumbers w:val="0"/>
        <w:ind w:left="0" w:leftChars="0" w:firstLine="0" w:firstLineChars="0"/>
        <w:jc w:val="left"/>
        <w:rPr>
          <w:rFonts w:hint="default" w:ascii="Arial Bold" w:hAnsi="Arial Bold" w:eastAsia="宋体" w:cs="Arial Bold"/>
          <w:b/>
          <w:bCs/>
          <w:i w:val="0"/>
          <w:iCs w:val="0"/>
          <w:caps w:val="0"/>
          <w:color w:val="000000"/>
          <w:spacing w:val="0"/>
          <w:kern w:val="0"/>
          <w:sz w:val="28"/>
          <w:szCs w:val="28"/>
          <w:u w:val="none"/>
          <w:shd w:val="clear" w:fill="FFFFFF"/>
          <w:lang w:val="en-US" w:eastAsia="zh-CN" w:bidi="ar"/>
          <w14:ligatures w14:val="standardContextual"/>
        </w:rPr>
      </w:pPr>
    </w:p>
    <w:p>
      <w:pPr>
        <w:keepNext w:val="0"/>
        <w:keepLines w:val="0"/>
        <w:widowControl/>
        <w:suppressLineNumbers w:val="0"/>
        <w:ind w:left="0" w:leftChars="0" w:firstLine="0" w:firstLineChars="0"/>
        <w:jc w:val="left"/>
        <w:rPr>
          <w:rFonts w:hint="default" w:ascii="Arial Bold" w:hAnsi="Arial Bold" w:eastAsia="宋体" w:cs="Arial Bold"/>
          <w:b/>
          <w:bCs/>
          <w:i w:val="0"/>
          <w:iCs w:val="0"/>
          <w:caps w:val="0"/>
          <w:color w:val="000000"/>
          <w:spacing w:val="0"/>
          <w:kern w:val="0"/>
          <w:sz w:val="28"/>
          <w:szCs w:val="28"/>
          <w:u w:val="none"/>
          <w:shd w:val="clear" w:fill="FFFFFF"/>
          <w:lang w:val="en-US" w:eastAsia="zh-CN" w:bidi="ar"/>
          <w14:ligatures w14:val="standardContextual"/>
        </w:rPr>
      </w:pPr>
    </w:p>
    <w:p>
      <w:pPr>
        <w:keepNext w:val="0"/>
        <w:keepLines w:val="0"/>
        <w:widowControl/>
        <w:suppressLineNumbers w:val="0"/>
        <w:ind w:left="0" w:leftChars="0" w:firstLine="0" w:firstLineChars="0"/>
        <w:jc w:val="left"/>
        <w:rPr>
          <w:rFonts w:hint="default" w:ascii="Arial Bold" w:hAnsi="Arial Bold" w:eastAsia="宋体" w:cs="Arial Bold"/>
          <w:b/>
          <w:bCs/>
          <w:i w:val="0"/>
          <w:iCs w:val="0"/>
          <w:caps w:val="0"/>
          <w:color w:val="000000"/>
          <w:spacing w:val="0"/>
          <w:kern w:val="0"/>
          <w:sz w:val="28"/>
          <w:szCs w:val="28"/>
          <w:u w:val="none"/>
          <w:shd w:val="clear" w:fill="FFFFFF"/>
          <w:lang w:val="en-US" w:eastAsia="zh-CN" w:bidi="ar"/>
          <w14:ligatures w14:val="standardContextual"/>
        </w:rPr>
      </w:pPr>
    </w:p>
    <w:p>
      <w:pPr>
        <w:keepNext w:val="0"/>
        <w:keepLines w:val="0"/>
        <w:widowControl/>
        <w:suppressLineNumbers w:val="0"/>
        <w:ind w:left="0" w:leftChars="0" w:firstLine="0" w:firstLineChars="0"/>
        <w:jc w:val="left"/>
        <w:rPr>
          <w:rFonts w:hint="default" w:ascii="Arial Bold" w:hAnsi="Arial Bold" w:eastAsia="宋体" w:cs="Arial Bold"/>
          <w:b/>
          <w:bCs/>
          <w:i w:val="0"/>
          <w:iCs w:val="0"/>
          <w:caps w:val="0"/>
          <w:color w:val="000000"/>
          <w:spacing w:val="0"/>
          <w:kern w:val="0"/>
          <w:sz w:val="28"/>
          <w:szCs w:val="28"/>
          <w:u w:val="none"/>
          <w:shd w:val="clear" w:fill="FFFFFF"/>
          <w:lang w:val="en-US" w:eastAsia="zh-CN" w:bidi="ar"/>
          <w14:ligatures w14:val="standardContextual"/>
        </w:rPr>
      </w:pPr>
      <w:r>
        <w:rPr>
          <w:rFonts w:hint="default" w:ascii="Arial Bold" w:hAnsi="Arial Bold" w:eastAsia="宋体" w:cs="Arial Bold"/>
          <w:b/>
          <w:bCs/>
          <w:i w:val="0"/>
          <w:iCs w:val="0"/>
          <w:caps w:val="0"/>
          <w:color w:val="000000"/>
          <w:spacing w:val="0"/>
          <w:kern w:val="0"/>
          <w:sz w:val="28"/>
          <w:szCs w:val="28"/>
          <w:u w:val="none"/>
          <w:shd w:val="clear" w:fill="FFFFFF"/>
          <w:lang w:val="en-US" w:eastAsia="zh-CN" w:bidi="ar"/>
          <w14:ligatures w14:val="standardContextual"/>
        </w:rPr>
        <w:t>References</w:t>
      </w:r>
    </w:p>
    <w:p>
      <w:pPr>
        <w:ind w:left="0" w:leftChars="0" w:firstLine="0" w:firstLineChars="0"/>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Boell, S. K., &amp; Cecez-Kecmanovic, D. (2015). On being ‘systematic’in literature reviews. Formulating Research Methods for Information Systems: Volume 2, 48-78.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Booth, A., Sutton, A., Clowes, M., &amp; Martyn-St James, M. (2021). Systematic approaches to a successful literature review.</w:t>
      </w:r>
    </w:p>
    <w:p>
      <w:pPr>
        <w:spacing w:after="200" w:line="276" w:lineRule="auto"/>
        <w:ind w:left="280" w:right="0" w:hanging="280" w:hangingChars="100"/>
        <w:jc w:val="both"/>
        <w:rPr>
          <w:rFonts w:hint="eastAsia"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Dahlberg, T., Mallat, N., Ondrus, J., &amp; Zmijewska, A. (2008). Past, present and future of mobile payments research: A literature review. Electronic commerce research and applications, 7(2), 165-181.</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Efron, S. E., &amp; Ravid, R. (2018). Writing the literature review: A practical guide.</w:t>
      </w:r>
    </w:p>
    <w:p>
      <w:pPr>
        <w:spacing w:after="200" w:line="276" w:lineRule="auto"/>
        <w:ind w:left="280" w:right="0" w:hanging="280" w:hangingChars="100"/>
        <w:jc w:val="both"/>
        <w:rPr>
          <w:rFonts w:hint="eastAsia"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Fink, A. (2019). Conducting research literature reviews: From the internet to paper. Sage publications.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xml:space="preserve">Han Yingxiong &amp; Ma Fufeng.(2017). Literature review and writing. Publishing and printing (01), 64-69. </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Hart, C. (2018). Doing a literature review: Releasing the research imagination.</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Jesson, J., Lacey, F. M., &amp; Matheson, L. (2011). Doing your literature review: Traditional and systematic techniques.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Nakano, D., &amp; Muniz Jr, J. (2018). Writing the literature review for empirical papers. Production, 28, e20170086.</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Okoli, C., &amp; Schabram, K. (2015). A guide to conducting a systematic literature review of information systems research.</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Rejeb, A., Suhaiza, Z., Rejeb, K., Seuring, S., &amp; Treiblmaier, H. (2022). The Internet of Things and the circular economy: A systematic literature review and research agenda. Journal of Cleaner Production, 350, 131439.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Ridley, D. (2012). The literature review: A step-by-step guide for students.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Smallbone, T., &amp; Quinton, S. (2011). A three-stage framework for teaching literature reviews: A new approach. International Journal of Management Education (Oxford Brookes University), 9(4).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Tranfield, D., Denyer, D., &amp; Smart, P. (2003). Towards a methodology for developing evidence‐informed management knowledge by means of systematic review. British journal of management, 14(3), 207-222.</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Udegbe, F. C., Ebulue, O. R., Ebulue, C. C., &amp; Ekesiobi, C. S. (2024). Synthetic biology and its potential in US medical therapeutics: A comprehensive review: Exploring the cutting-edge intersections of biology and engineering in drug development and treatments. Engineering Science &amp; Technology Journal, 5(4), 1395-1414.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Zhang, M., Gable, G., &amp; Rai, A. (2016). Toward principles of construct clarity: Exploring the usefulness of facet theory in guiding conceptualization. Australasian Journal of Information Systems, 20.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Zhou Daming.(2021). How to Establish academic Questions -- The Purpose and method of literature review writing. Guangdong technology normal university journal (04), 1-7.</w:t>
      </w: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p>
    <w:p>
      <w:pPr>
        <w:ind w:left="0" w:leftChars="0" w:firstLine="0" w:firstLineChars="0"/>
        <w:jc w:val="both"/>
        <w:rPr>
          <w:rFonts w:ascii="Times New Roman" w:hAnsi="Times New Roman" w:cs="Times New Roman"/>
          <w:b/>
          <w:sz w:val="28"/>
          <w:szCs w:val="28"/>
        </w:rPr>
      </w:pPr>
      <w:r>
        <w:rPr>
          <w:rFonts w:ascii="Times New Roman" w:hAnsi="Times New Roman" w:cs="Times New Roman"/>
          <w:b/>
          <w:sz w:val="28"/>
          <w:szCs w:val="28"/>
        </w:rPr>
        <w:t xml:space="preserve">Part </w:t>
      </w:r>
      <w:r>
        <w:rPr>
          <w:rFonts w:hint="default" w:ascii="Times New Roman" w:hAnsi="Times New Roman" w:cs="Times New Roman"/>
          <w:b/>
          <w:sz w:val="28"/>
          <w:szCs w:val="28"/>
          <w:lang w:val="en-US"/>
        </w:rPr>
        <w:t>2</w:t>
      </w:r>
      <w:r>
        <w:rPr>
          <w:rFonts w:ascii="Times New Roman" w:hAnsi="Times New Roman" w:cs="Times New Roman"/>
          <w:b/>
          <w:sz w:val="28"/>
          <w:szCs w:val="28"/>
        </w:rPr>
        <w:t xml:space="preserve">. </w:t>
      </w:r>
    </w:p>
    <w:p>
      <w:pPr>
        <w:ind w:left="0" w:leftChars="0" w:firstLine="0" w:firstLineChars="0"/>
        <w:jc w:val="both"/>
        <w:rPr>
          <w:rFonts w:hint="eastAsia"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1 Aim and Objectives</w:t>
      </w:r>
    </w:p>
    <w:p>
      <w:pPr>
        <w:ind w:left="0" w:leftChars="0" w:firstLine="0" w:firstLineChars="0"/>
        <w:jc w:val="both"/>
        <w:rPr>
          <w:rFonts w:hint="default"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1.1 Aims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In order t</w:t>
      </w:r>
      <w:r>
        <w:rPr>
          <w:rFonts w:hint="default" w:ascii="Times New Roman" w:hAnsi="Times New Roman" w:cs="Times New Roman" w:eastAsiaTheme="minorHAnsi"/>
          <w:kern w:val="0"/>
          <w:sz w:val="28"/>
          <w:szCs w:val="28"/>
          <w:lang w:val="en-US" w:eastAsia="zh-CN"/>
          <w14:ligatures w14:val="none"/>
        </w:rPr>
        <w:t xml:space="preserve">o comprehensively comprehend the impact of incentive mechanisms on the individual performance of employees in Chinese </w:t>
      </w:r>
      <w:bookmarkStart w:id="0" w:name="_GoBack"/>
      <w:bookmarkEnd w:id="0"/>
      <w:r>
        <w:rPr>
          <w:rFonts w:hint="default" w:ascii="Times New Roman" w:hAnsi="Times New Roman" w:cs="Times New Roman" w:eastAsiaTheme="minorHAnsi"/>
          <w:kern w:val="0"/>
          <w:sz w:val="28"/>
          <w:szCs w:val="28"/>
          <w:lang w:val="en-US" w:eastAsia="zh-CN"/>
          <w14:ligatures w14:val="none"/>
        </w:rPr>
        <w:t>higher vocational education, the study aims to delve deeply into the various factors influencing their work dynamics. By scrutinizing incentive structures and their effects, the research endeavors to uncover nuanced insights into how incentives shape employee behavior and productivity within this unique educational context. Moreover, the study seeks to identify practical solutions geared towards enhancing employee capabilities and overall professional performance. These solutions will be meticulously crafted to address the specific challenges and requirements of the higher vocational education sector in China, with a focus on fostering a conducive environment for employee growth and success. Through this holistic approach, the research endeavors to contribute valuable recommendations that can positively impact employee motivation, job satisfaction, and overall organizational effectiveness in Chinese higher vocational institutions.</w:t>
      </w:r>
    </w:p>
    <w:p>
      <w:pPr>
        <w:spacing w:after="200" w:line="276" w:lineRule="auto"/>
        <w:ind w:left="0" w:right="0" w:firstLine="0"/>
        <w:jc w:val="both"/>
        <w:rPr>
          <w:rFonts w:hint="eastAsia" w:ascii="Times New Roman" w:hAnsi="Times New Roman" w:cs="Times New Roman"/>
          <w:b/>
          <w:sz w:val="28"/>
          <w:szCs w:val="28"/>
          <w:lang w:val="en-US" w:eastAsia="zh-CN"/>
        </w:rPr>
      </w:pPr>
      <w:r>
        <w:rPr>
          <w:rFonts w:hint="eastAsia" w:ascii="Times New Roman" w:hAnsi="Times New Roman" w:cs="Times New Roman"/>
          <w:b/>
          <w:sz w:val="28"/>
          <w:szCs w:val="28"/>
          <w:lang w:val="en-US" w:eastAsia="zh-CN"/>
        </w:rPr>
        <w:t>1.2 Objectives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To explore the current incentive systems in Chinese higher vocational education</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E</w:t>
      </w:r>
      <w:r>
        <w:rPr>
          <w:rFonts w:hint="default" w:ascii="Times New Roman" w:hAnsi="Times New Roman" w:cs="Times New Roman" w:eastAsiaTheme="minorHAnsi"/>
          <w:kern w:val="0"/>
          <w:sz w:val="28"/>
          <w:szCs w:val="28"/>
          <w:lang w:val="en-US" w:eastAsia="zh-CN"/>
          <w14:ligatures w14:val="none"/>
        </w:rPr>
        <w:t>valuate the</w:t>
      </w:r>
      <w:r>
        <w:rPr>
          <w:rFonts w:hint="eastAsia" w:ascii="Times New Roman" w:hAnsi="Times New Roman" w:cs="Times New Roman" w:eastAsiaTheme="minorHAnsi"/>
          <w:kern w:val="0"/>
          <w:sz w:val="28"/>
          <w:szCs w:val="28"/>
          <w:lang w:val="en-US" w:eastAsia="zh-CN"/>
          <w14:ligatures w14:val="none"/>
        </w:rPr>
        <w:t>ir</w:t>
      </w:r>
      <w:r>
        <w:rPr>
          <w:rFonts w:hint="default" w:ascii="Times New Roman" w:hAnsi="Times New Roman" w:cs="Times New Roman" w:eastAsiaTheme="minorHAnsi"/>
          <w:kern w:val="0"/>
          <w:sz w:val="28"/>
          <w:szCs w:val="28"/>
          <w:lang w:val="en-US" w:eastAsia="zh-CN"/>
          <w14:ligatures w14:val="none"/>
        </w:rPr>
        <w:t xml:space="preserve"> effects on employee performance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I</w:t>
      </w:r>
      <w:r>
        <w:rPr>
          <w:rFonts w:hint="default" w:ascii="Times New Roman" w:hAnsi="Times New Roman" w:cs="Times New Roman" w:eastAsiaTheme="minorHAnsi"/>
          <w:kern w:val="0"/>
          <w:sz w:val="28"/>
          <w:szCs w:val="28"/>
          <w:lang w:val="en-US" w:eastAsia="zh-CN"/>
          <w14:ligatures w14:val="none"/>
        </w:rPr>
        <w:t>dentify inherent challenges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 O</w:t>
      </w:r>
      <w:r>
        <w:rPr>
          <w:rFonts w:hint="default" w:ascii="Times New Roman" w:hAnsi="Times New Roman" w:cs="Times New Roman" w:eastAsiaTheme="minorHAnsi"/>
          <w:kern w:val="0"/>
          <w:sz w:val="28"/>
          <w:szCs w:val="28"/>
          <w:lang w:val="en-US" w:eastAsia="zh-CN"/>
          <w14:ligatures w14:val="none"/>
        </w:rPr>
        <w:t>ffer recommendations for enhancing individual performance</w:t>
      </w:r>
    </w:p>
    <w:p>
      <w:pPr>
        <w:numPr>
          <w:ilvl w:val="0"/>
          <w:numId w:val="0"/>
        </w:numPr>
        <w:ind w:right="665" w:rightChars="0"/>
        <w:jc w:val="both"/>
        <w:rPr>
          <w:rFonts w:hint="eastAsia"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 xml:space="preserve">2 </w:t>
      </w:r>
      <w:r>
        <w:rPr>
          <w:rFonts w:hint="eastAsia" w:ascii="Times New Roman" w:hAnsi="Times New Roman" w:eastAsia="宋体" w:cs="Times New Roman"/>
          <w:b/>
          <w:sz w:val="28"/>
          <w:szCs w:val="28"/>
          <w:lang w:val="en-US" w:eastAsia="zh-CN"/>
        </w:rPr>
        <w:t>Literature Review</w:t>
      </w:r>
    </w:p>
    <w:p>
      <w:pPr>
        <w:numPr>
          <w:ilvl w:val="0"/>
          <w:numId w:val="0"/>
        </w:numPr>
        <w:spacing w:after="200" w:line="276" w:lineRule="auto"/>
        <w:ind w:leftChars="0" w:right="0" w:rightChars="0"/>
        <w:jc w:val="both"/>
        <w:rPr>
          <w:rFonts w:hint="default" w:ascii="Times New Roman Bold" w:hAnsi="Times New Roman Bold" w:cs="Times New Roman Bold" w:eastAsiaTheme="minorHAnsi"/>
          <w:b/>
          <w:bCs/>
          <w:kern w:val="0"/>
          <w:sz w:val="28"/>
          <w:szCs w:val="28"/>
          <w:lang w:val="en-US" w:eastAsia="zh-CN"/>
          <w14:ligatures w14:val="none"/>
        </w:rPr>
      </w:pPr>
      <w:r>
        <w:rPr>
          <w:rFonts w:hint="eastAsia" w:ascii="Times New Roman Bold" w:hAnsi="Times New Roman Bold" w:cs="Times New Roman Bold" w:eastAsiaTheme="minorHAnsi"/>
          <w:b/>
          <w:bCs/>
          <w:kern w:val="0"/>
          <w:sz w:val="28"/>
          <w:szCs w:val="28"/>
          <w:lang w:val="en-US" w:eastAsia="zh-CN"/>
          <w14:ligatures w14:val="none"/>
        </w:rPr>
        <w:t xml:space="preserve">2.1 </w:t>
      </w:r>
      <w:r>
        <w:rPr>
          <w:rFonts w:hint="default" w:ascii="Times New Roman Bold" w:hAnsi="Times New Roman Bold" w:cs="Times New Roman Bold" w:eastAsiaTheme="minorHAnsi"/>
          <w:b/>
          <w:bCs/>
          <w:kern w:val="0"/>
          <w:sz w:val="28"/>
          <w:szCs w:val="28"/>
          <w:lang w:val="en-US" w:eastAsia="zh-CN"/>
          <w14:ligatures w14:val="none"/>
        </w:rPr>
        <w:t>Introduction</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In higher education, employee performance is influenced by various factors including emotional states, psychological health, and work environment. Understanding these factors is crucial for developing effective incentive mechanisms. This </w:t>
      </w:r>
      <w:r>
        <w:rPr>
          <w:rFonts w:hint="eastAsia" w:ascii="Times New Roman" w:hAnsi="Times New Roman" w:cs="Times New Roman" w:eastAsiaTheme="minorHAnsi"/>
          <w:kern w:val="0"/>
          <w:sz w:val="28"/>
          <w:szCs w:val="28"/>
          <w:lang w:val="en-US" w:eastAsia="zh-CN"/>
          <w14:ligatures w14:val="none"/>
        </w:rPr>
        <w:t>review</w:t>
      </w:r>
      <w:r>
        <w:rPr>
          <w:rFonts w:hint="default" w:ascii="Times New Roman" w:hAnsi="Times New Roman" w:cs="Times New Roman" w:eastAsiaTheme="minorHAnsi"/>
          <w:kern w:val="0"/>
          <w:sz w:val="28"/>
          <w:szCs w:val="28"/>
          <w:lang w:val="en-US" w:eastAsia="zh-CN"/>
          <w14:ligatures w14:val="none"/>
        </w:rPr>
        <w:t xml:space="preserve"> is divided into two main sections, aiming to explore the relationship between these factors and incentive mechanisms.</w:t>
      </w:r>
    </w:p>
    <w:p>
      <w:pPr>
        <w:spacing w:after="200" w:line="276" w:lineRule="auto"/>
        <w:ind w:left="0" w:right="0" w:firstLine="0"/>
        <w:jc w:val="both"/>
        <w:rPr>
          <w:rFonts w:hint="default" w:ascii="Times New Roman Bold" w:hAnsi="Times New Roman Bold" w:cs="Times New Roman Bold" w:eastAsiaTheme="minorHAnsi"/>
          <w:b/>
          <w:bCs/>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The first section reviews recent research on factors affecting employee performance, focusing on emotions, stress, confidence, mental health, and sleep quality. The second section critically examines the current state of incentive policies in higher education in China, the United States, the United Kingdom, and Germany through the lens of motivation theories. The two sections are interconnected by exploring how understanding the key factors affecting performance can inform the development of improved incentive policies. This integration not only helps enhance educators’ motivation and performance but also provides a strong theoretical basis for policy-making, ultimately promoting the overall development of higher vocational education.</w:t>
      </w:r>
    </w:p>
    <w:p>
      <w:pPr>
        <w:spacing w:after="200" w:line="276" w:lineRule="auto"/>
        <w:ind w:left="0" w:right="0" w:firstLine="0"/>
        <w:jc w:val="both"/>
        <w:rPr>
          <w:rFonts w:hint="default" w:ascii="Times New Roman Bold" w:hAnsi="Times New Roman Bold" w:cs="Times New Roman Bold" w:eastAsiaTheme="minorHAnsi"/>
          <w:b/>
          <w:bCs/>
          <w:kern w:val="0"/>
          <w:sz w:val="28"/>
          <w:szCs w:val="28"/>
          <w:lang w:val="en-US" w:eastAsia="zh-CN"/>
          <w14:ligatures w14:val="none"/>
        </w:rPr>
      </w:pPr>
      <w:r>
        <w:rPr>
          <w:rFonts w:hint="eastAsia" w:ascii="Times New Roman Bold" w:hAnsi="Times New Roman Bold" w:cs="Times New Roman Bold" w:eastAsiaTheme="minorHAnsi"/>
          <w:b/>
          <w:bCs/>
          <w:kern w:val="0"/>
          <w:sz w:val="28"/>
          <w:szCs w:val="28"/>
          <w:lang w:val="en-US" w:eastAsia="zh-CN"/>
          <w14:ligatures w14:val="none"/>
        </w:rPr>
        <w:t xml:space="preserve">2.2 Recent Research of </w:t>
      </w:r>
      <w:r>
        <w:rPr>
          <w:rFonts w:hint="default" w:ascii="Times New Roman Bold" w:hAnsi="Times New Roman Bold" w:cs="Times New Roman Bold" w:eastAsiaTheme="minorHAnsi"/>
          <w:b/>
          <w:bCs/>
          <w:kern w:val="0"/>
          <w:sz w:val="28"/>
          <w:szCs w:val="28"/>
          <w:lang w:val="en-US" w:eastAsia="zh-CN"/>
          <w14:ligatures w14:val="none"/>
        </w:rPr>
        <w:t xml:space="preserve">Factors </w:t>
      </w:r>
      <w:r>
        <w:rPr>
          <w:rFonts w:hint="eastAsia" w:ascii="Times New Roman Bold" w:hAnsi="Times New Roman Bold" w:cs="Times New Roman Bold" w:eastAsiaTheme="minorHAnsi"/>
          <w:b/>
          <w:bCs/>
          <w:kern w:val="0"/>
          <w:sz w:val="28"/>
          <w:szCs w:val="28"/>
          <w:lang w:val="en-US" w:eastAsia="zh-CN"/>
          <w14:ligatures w14:val="none"/>
        </w:rPr>
        <w:t>A</w:t>
      </w:r>
      <w:r>
        <w:rPr>
          <w:rFonts w:hint="default" w:ascii="Times New Roman Bold" w:hAnsi="Times New Roman Bold" w:cs="Times New Roman Bold" w:eastAsiaTheme="minorHAnsi"/>
          <w:b/>
          <w:bCs/>
          <w:kern w:val="0"/>
          <w:sz w:val="28"/>
          <w:szCs w:val="28"/>
          <w:lang w:val="en-US" w:eastAsia="zh-CN"/>
          <w14:ligatures w14:val="none"/>
        </w:rPr>
        <w:t xml:space="preserve">ffecting </w:t>
      </w:r>
      <w:r>
        <w:rPr>
          <w:rFonts w:hint="eastAsia" w:ascii="Times New Roman Bold" w:hAnsi="Times New Roman Bold" w:cs="Times New Roman Bold" w:eastAsiaTheme="minorHAnsi"/>
          <w:b/>
          <w:bCs/>
          <w:kern w:val="0"/>
          <w:sz w:val="28"/>
          <w:szCs w:val="28"/>
          <w:lang w:val="en-US" w:eastAsia="zh-CN"/>
          <w14:ligatures w14:val="none"/>
        </w:rPr>
        <w:t>E</w:t>
      </w:r>
      <w:r>
        <w:rPr>
          <w:rFonts w:hint="default" w:ascii="Times New Roman Bold" w:hAnsi="Times New Roman Bold" w:cs="Times New Roman Bold" w:eastAsiaTheme="minorHAnsi"/>
          <w:b/>
          <w:bCs/>
          <w:kern w:val="0"/>
          <w:sz w:val="28"/>
          <w:szCs w:val="28"/>
          <w:lang w:val="en-US" w:eastAsia="zh-CN"/>
          <w14:ligatures w14:val="none"/>
        </w:rPr>
        <w:t xml:space="preserve">mployee </w:t>
      </w:r>
      <w:r>
        <w:rPr>
          <w:rFonts w:hint="eastAsia" w:ascii="Times New Roman Bold" w:hAnsi="Times New Roman Bold" w:cs="Times New Roman Bold" w:eastAsiaTheme="minorHAnsi"/>
          <w:b/>
          <w:bCs/>
          <w:kern w:val="0"/>
          <w:sz w:val="28"/>
          <w:szCs w:val="28"/>
          <w:lang w:val="en-US" w:eastAsia="zh-CN"/>
          <w14:ligatures w14:val="none"/>
        </w:rPr>
        <w:t>P</w:t>
      </w:r>
      <w:r>
        <w:rPr>
          <w:rFonts w:hint="default" w:ascii="Times New Roman Bold" w:hAnsi="Times New Roman Bold" w:cs="Times New Roman Bold" w:eastAsiaTheme="minorHAnsi"/>
          <w:b/>
          <w:bCs/>
          <w:kern w:val="0"/>
          <w:sz w:val="28"/>
          <w:szCs w:val="28"/>
          <w:lang w:val="en-US" w:eastAsia="zh-CN"/>
          <w14:ligatures w14:val="none"/>
        </w:rPr>
        <w:t>erformance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The study of factors influencing employee performance has evolved significantly over the years, reflecting changes in management theories, </w:t>
      </w:r>
      <w:r>
        <w:rPr>
          <w:rFonts w:hint="eastAsia" w:ascii="Times New Roman" w:hAnsi="Times New Roman" w:cs="Times New Roman" w:eastAsiaTheme="minorHAnsi"/>
          <w:kern w:val="0"/>
          <w:sz w:val="28"/>
          <w:szCs w:val="28"/>
          <w:lang w:val="en-US" w:eastAsia="zh-CN"/>
          <w14:ligatures w14:val="none"/>
        </w:rPr>
        <w:t>o</w:t>
      </w:r>
      <w:r>
        <w:rPr>
          <w:rFonts w:hint="default" w:ascii="Times New Roman" w:hAnsi="Times New Roman" w:cs="Times New Roman" w:eastAsiaTheme="minorHAnsi"/>
          <w:kern w:val="0"/>
          <w:sz w:val="28"/>
          <w:szCs w:val="28"/>
          <w:lang w:val="en-US" w:eastAsia="zh-CN"/>
          <w14:ligatures w14:val="none"/>
        </w:rPr>
        <w:t>rganizational behavior, and understanding of human psychology. This evolution has been driven by the need to optimize productivity and create more effective work environments. Early management theories primarily focused on mechanical and efficiency aspects, with little regard for the human element of labor. However, over time, the recognition of the importance of psychological and social factors has reshaped how organizations approach employee performance.</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 xml:space="preserve">This </w:t>
      </w:r>
      <w:r>
        <w:rPr>
          <w:rFonts w:hint="eastAsia" w:ascii="Times New Roman" w:hAnsi="Times New Roman" w:cs="Times New Roman" w:eastAsiaTheme="minorHAnsi"/>
          <w:kern w:val="0"/>
          <w:sz w:val="28"/>
          <w:szCs w:val="28"/>
          <w:lang w:val="en-US" w:eastAsia="zh-CN"/>
          <w14:ligatures w14:val="none"/>
        </w:rPr>
        <w:t>part</w:t>
      </w:r>
      <w:r>
        <w:rPr>
          <w:rFonts w:hint="default" w:ascii="Times New Roman" w:hAnsi="Times New Roman" w:cs="Times New Roman" w:eastAsiaTheme="minorHAnsi"/>
          <w:kern w:val="0"/>
          <w:sz w:val="28"/>
          <w:szCs w:val="28"/>
          <w:lang w:val="en-US" w:eastAsia="zh-CN"/>
          <w14:ligatures w14:val="none"/>
        </w:rPr>
        <w:t xml:space="preserve"> traces the development of these concepts through a historical lens, integrating recent findings on emotions, stress, confidence, motivation, mental health, and sleep quality.</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Recent research has increasingly focused on the role of emotional states in influencing performance, highlighting the profound impact that emotions can have on various aspects of workplace productivity and employee well-being. Positive emotions such as happiness and excitement can enhance creativity, efficiency, and overall job satisfaction. For instance, Fredrickson’s broaden-and-build theory posits that positive emotions broaden individuals’ thought-action repertoires, enabling them to build enduring personal resources (Fredrickson, 2001). This broadened perspective can lead to innovative thinking and problem-solving, which are crucial for organizational success. Employees who experience positive emotions are more likely to engage in proactive behaviors, exhibit resilience in the face of challenges, and build stronger interpersonal relationships at work, contributing to a more cohesive and productive work environment. On the other hand, negative emotions like anxiety and anger can impair cognitive functions and reduce productivity. High levels of stress and negative affect can lead to cognitive overload, making it difficult for employees to concentrate, make decisions, and complete tasks effectively (Sonnentag, 2010). Anxiety, in particular, can lead to a heightened sense of threat and constant worry, which detracts from cognitive resources that could otherwise be used for productive work. Anger can also lead to conflicts and a hostile work environment, further diminishing overall organizational performance. Emotional intelligence (EI), defined as the ability to perceive, understand, manage, and regulate emotions in oneself and others, has been linked to better job performance and leadership effectiveness (Goleman, 1995). Studies have shown that employees with high EI are better at navigating social complexities in the workplace, leading to improved teamwork and communication (Mayer, 2008). Moreover, leaders with high EI are more adept at motivating their teams, managing stress, and fostering a positive work environment, which can result in higher employee engagement and reduced turnover (Ashkanasy &amp; Daus, 2002). The growing body of research underscores the importance of emotional management in the workplace and the benefits of cultivating a positive emotional environment. Organizations can implement various strategies to enhance emotional well-being among employees. For example, promoting a culture of recognition and appreciation can boost positive emotions and morale (Fisher, 2010). Providing access to mental health resources and stress management programs can help mitigate the adverse effects of negative emotions. Additionally, training programs aimed at improving emotional intelligence can equip employees with the skills necessary to handle emotional challenges effectively (Cherniss &amp; Goleman, 2001).</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However, it is important to recognize the complexity of the relationship between emotions and performance. While positive emotions generally enhance performance, an overly positive environment without realistic assessments and constructive feedback can lead to complacency and a lack of critical thinking (Barsade &amp; Gibson, 2007). Similarly, while managing negative emotions is crucial, completely eliminating stress and anxiety is neither practical nor desirable, as moderate levels of stress (eustress) can serve as a motivator and drive performance (Lazarus &amp; Folkman, 1984). The role of emotional states in influencing performance is multifaceted and significant. Positive emotions and high emotional intelligence contribute to improved creativity, efficiency, and job satisfaction, while negative emotions can impair cognitive functions and reduce productivity. Organizations must strive to balance the promotion of positive emotions with the management of negative ones, ensuring a supportive environment that fosters both emotional well-being and high performance. This balanced approach is essential for creating a resilient, motivated, and productive workforce in today’s dynamic and often challenging work environments.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Mental health issues such as depression and anxiety have a profound impact on work performance, affecting various cognitive and functional abilities that are crucial for effective job execution. These conditions can cause decreased concentration, impaired memory, and poor decision-making abilities (Kessler, 2008). For example, employees suffering from depression may experience difficulties in maintaining focus on tasks, which can lead to errors and decreased productivity. Anxiety can exacerbate these issues by causing excessive worry and fear, which not only distracts from work but also consumes cognitive resources that could otherwise be directed toward productive activities (Bonde, 2008).</w:t>
      </w:r>
      <w:r>
        <w:rPr>
          <w:rFonts w:hint="eastAsia" w:ascii="Times New Roman" w:hAnsi="Times New Roman" w:cs="Times New Roman" w:eastAsiaTheme="minorHAnsi"/>
          <w:kern w:val="0"/>
          <w:sz w:val="28"/>
          <w:szCs w:val="28"/>
          <w:lang w:val="en-US" w:eastAsia="zh-CN"/>
          <w14:ligatures w14:val="none"/>
        </w:rPr>
        <w:t xml:space="preserve"> The implications of poor mental health extend beyond individual performance to affect overall organizational efficiency. A workforce plagued by mental health issues can result in higher absenteeism rates, as employees may take more sick days to cope with their conditions (Dewa et, 2007). Even when employees are present, they might engage in presenteeism, where they are physically at work but not functioning at full capacity due to their mental health struggles. This can significantly diminish the quality and quantity of work output (Johns, 2010). Organizations are increasingly recognizing the importance of supporting employees</w:t>
      </w:r>
      <w:r>
        <w:rPr>
          <w:rFonts w:hint="default" w:ascii="Times New Roman" w:hAnsi="Times New Roman" w:cs="Times New Roman" w:eastAsiaTheme="minorHAnsi"/>
          <w:kern w:val="0"/>
          <w:sz w:val="28"/>
          <w:szCs w:val="28"/>
          <w:lang w:val="en-US" w:eastAsia="zh-CN"/>
          <w14:ligatures w14:val="none"/>
        </w:rPr>
        <w:t>’</w:t>
      </w:r>
      <w:r>
        <w:rPr>
          <w:rFonts w:hint="eastAsia" w:ascii="Times New Roman" w:hAnsi="Times New Roman" w:cs="Times New Roman" w:eastAsiaTheme="minorHAnsi"/>
          <w:kern w:val="0"/>
          <w:sz w:val="28"/>
          <w:szCs w:val="28"/>
          <w:lang w:val="en-US" w:eastAsia="zh-CN"/>
          <w14:ligatures w14:val="none"/>
        </w:rPr>
        <w:t xml:space="preserve"> mental health through counseling services and wellness programs to maintain high performance levels (Cooper &amp; Cartwright, </w:t>
      </w:r>
      <w:r>
        <w:rPr>
          <w:rFonts w:hint="default" w:ascii="Times New Roman" w:hAnsi="Times New Roman" w:cs="Times New Roman" w:eastAsiaTheme="minorHAnsi"/>
          <w:kern w:val="0"/>
          <w:sz w:val="28"/>
          <w:szCs w:val="28"/>
          <w:lang w:val="en-US" w:eastAsia="zh-CN"/>
          <w14:ligatures w14:val="none"/>
        </w:rPr>
        <w:t>2018</w:t>
      </w:r>
      <w:r>
        <w:rPr>
          <w:rFonts w:hint="eastAsia" w:ascii="Times New Roman" w:hAnsi="Times New Roman" w:cs="Times New Roman" w:eastAsiaTheme="minorHAnsi"/>
          <w:kern w:val="0"/>
          <w:sz w:val="28"/>
          <w:szCs w:val="28"/>
          <w:lang w:val="en-US" w:eastAsia="zh-CN"/>
          <w14:ligatures w14:val="none"/>
        </w:rPr>
        <w:t>). These initiatives are not merely acts of corporate social responsibility but are strategic investments in the workforce</w:t>
      </w:r>
      <w:r>
        <w:rPr>
          <w:rFonts w:hint="default" w:ascii="Times New Roman" w:hAnsi="Times New Roman" w:cs="Times New Roman" w:eastAsiaTheme="minorHAnsi"/>
          <w:kern w:val="0"/>
          <w:sz w:val="28"/>
          <w:szCs w:val="28"/>
          <w:lang w:val="en-US" w:eastAsia="zh-CN"/>
          <w14:ligatures w14:val="none"/>
        </w:rPr>
        <w:t>’</w:t>
      </w:r>
      <w:r>
        <w:rPr>
          <w:rFonts w:hint="eastAsia" w:ascii="Times New Roman" w:hAnsi="Times New Roman" w:cs="Times New Roman" w:eastAsiaTheme="minorHAnsi"/>
          <w:kern w:val="0"/>
          <w:sz w:val="28"/>
          <w:szCs w:val="28"/>
          <w:lang w:val="en-US" w:eastAsia="zh-CN"/>
          <w14:ligatures w14:val="none"/>
        </w:rPr>
        <w:t>s overall productivity and sustainability. For instance, Employee Assistance Programs (EAPs) that offer confidential counseling and support can help employees manage their mental health issues more effectively, leading to improved work performance and reduced absenteeism (Attridge, 2009). Wellness programs that include stress management workshops, mindfulness training, and physical fitness activities can also contribute to better mental health by providing employees with tools to cope with stress and maintain a balanced lifestyle (Richardson &amp; Rothstein, 2008).</w:t>
      </w:r>
      <w:r>
        <w:rPr>
          <w:rFonts w:hint="default" w:ascii="Times New Roman" w:hAnsi="Times New Roman" w:cs="Times New Roman" w:eastAsiaTheme="minorHAnsi"/>
          <w:kern w:val="0"/>
          <w:sz w:val="28"/>
          <w:szCs w:val="28"/>
          <w:lang w:val="en-US" w:eastAsia="zh-CN"/>
          <w14:ligatures w14:val="none"/>
        </w:rPr>
        <w:t xml:space="preserve"> However, the implementation of such programs must be thoughtful and inclusive. It’s essential to create a workplace culture that encourages employees to seek help without fear of judgment (Corrigan, 2014). Employers must ensure that mental health resources are accessible and adequately communicated to all employees. Additionally, there should be ongoing evaluation of these programs to assess their effectiveness and make necessary adjustments based on feedback and outcomes (Goetzel, 2002). Moreover, it is important to acknowledge that mental health is influenced by various external factors beyond the workplace, such as socioeconomic conditions, personal relationships, and broader societal issues (Patel, 2018). While workplace interventions are crucial, they must be part of a larger, more comprehensive approach to mental health that includes community support and public health policies.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The influence of the work environment, encompassing both physical and cultural aspects, profoundly impacts employee performance. A supportive, dynamic work environment fosters creativity, efficiency, and overall job satisfaction. Such environments are characterized by elements like ergonomic design, adequate lighting, and comfortable workspaces, which contribute to physical well-being, and cultural elements like inclusivity, recognition, and opportunities for professional growth, which cater to psychological needs (Oldham &amp; Fried, 1987). When employees feel physically comfortable and psychologically supported, their ability to innovate and perform efficiently is significantly enhanced.</w:t>
      </w:r>
      <w:r>
        <w:rPr>
          <w:rFonts w:hint="eastAsia" w:ascii="Times New Roman" w:hAnsi="Times New Roman" w:cs="Times New Roman" w:eastAsiaTheme="minorHAnsi"/>
          <w:kern w:val="0"/>
          <w:sz w:val="28"/>
          <w:szCs w:val="28"/>
          <w:lang w:val="en-US" w:eastAsia="zh-CN"/>
          <w14:ligatures w14:val="none"/>
        </w:rPr>
        <w:t xml:space="preserve"> Studies indicate that a positive work environment, characterized by mutual support, open communication, and a sense of community, enhances employee engagement and performance. For example, Bakker and Demerouti (2007) found that job resources, such as social support, feedback, and opportunities for learning, were positively related to work engagement and performance. Engaged employees are more likely to go above and beyond their job requirements, demonstrating increased initiative, creativity, and commitment to their organization. Moreover, an environment that promotes open communication allows for the free flow of ideas and feedback, which can lead to better problem-solving and continuous improvement. Conversely, a negative work environment can lead to stress, reduced productivity, and high turnover rates. Factors contributing to a toxic work environment include poor management practices, lack of support, high demands with low control, and workplace bullying or harassment (Maslach, Schaufeli, &amp; Leiter, 2001). Such environments can result in burnout, characterized by emotional exhaustion and a reduced sense of personal accomplishment. Burnout not only affects individual well-being but also has organizational consequences, such as decreased productivity, higher absenteeism, and increased turnover. Furthermore, the physical layout of the workspace can influence employee interactions and productivity. Open-plan offices, while designed to promote collaboration, can sometimes lead to increased noise levels and distractions, which may hinder concentration and performance. Research by Bernstein and Turban (2018) suggests that open-plan offices can actually reduce face-to-face communication and increase electronic communication, potentially diminishing the intended collaborative benefits. Therefore, organizations must carefully consider the design of their physical workspace to balance collaboration with the need for focused, individual work. Despite the clear benefits of a positive work environment, some challenges and criticisms exist. Implementing changes to improve the work environment can be costly and time-consuming. Additionally, there is a risk that well-intentioned initiatives may not be effective if they are not aligned with the specific needs and preferences of employees. For example, while flexible working arrangements can enhance work-life balance for many employees, they may not suit everyone, particularly those who prefer a traditional office environment (Kossek &amp; Michel, 2011). Therefore, organizations must adopt a tailored approach, considering the unique needs and preferences of their workforce to implement effective changes. Moreover, some critics argue that focusing too heavily on creating a positive work environment can lead to superficial or performative actions that do not address deeper systemic issues. For instance, initiatives like wellness programs and employee engagement surveys might be implemented without genuine commitment to change or without addressing fundamental issues such as fair compensation, job security, and workload management (Laschinger, 2014). It is essential that efforts to improve the work environment are authentic and comprehensive, addressing both surface-level and underlying issues.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eastAsia" w:ascii="Times New Roman" w:hAnsi="Times New Roman" w:cs="Times New Roman" w:eastAsiaTheme="minorHAnsi"/>
          <w:kern w:val="0"/>
          <w:sz w:val="28"/>
          <w:szCs w:val="28"/>
          <w:lang w:val="en-US" w:eastAsia="zh-CN"/>
          <w14:ligatures w14:val="none"/>
        </w:rPr>
        <w:t>Overall，t</w:t>
      </w:r>
      <w:r>
        <w:rPr>
          <w:rFonts w:hint="default" w:ascii="Times New Roman" w:hAnsi="Times New Roman" w:cs="Times New Roman" w:eastAsiaTheme="minorHAnsi"/>
          <w:kern w:val="0"/>
          <w:sz w:val="28"/>
          <w:szCs w:val="28"/>
          <w:lang w:val="en-US" w:eastAsia="zh-CN"/>
          <w14:ligatures w14:val="none"/>
        </w:rPr>
        <w:t>he understanding of factors influencing employee performance has evolved from focusing on mechanical efficiency to embracing a holistic view that includes emotional, psychological, and physiological aspects. Early theories laid the groundwork for recognizing the importance of standardization and motivation. Later developments highlighted the critical roles of self-efficacy, emotional states, stress, confidence, mental health, and sleep quality. Organizations seeking to enhance performance must adopt a comprehensive approach that integrates these diverse factors, ensuring that employees are motivated, supported, and healthy. Continuous adaptation and incorporation of new research findings are essential for maintaining a productive and satisfied workforce.</w:t>
      </w:r>
    </w:p>
    <w:p>
      <w:pPr>
        <w:spacing w:after="200" w:line="276" w:lineRule="auto"/>
        <w:ind w:left="0" w:right="0" w:firstLine="0"/>
        <w:jc w:val="both"/>
        <w:rPr>
          <w:rFonts w:hint="default" w:ascii="Times New Roman Bold" w:hAnsi="Times New Roman Bold" w:cs="Times New Roman Bold" w:eastAsiaTheme="minorHAnsi"/>
          <w:b/>
          <w:bCs/>
          <w:kern w:val="0"/>
          <w:sz w:val="28"/>
          <w:szCs w:val="28"/>
          <w:lang w:val="en-US" w:eastAsia="zh-CN"/>
          <w14:ligatures w14:val="none"/>
        </w:rPr>
      </w:pPr>
      <w:r>
        <w:rPr>
          <w:rFonts w:hint="eastAsia" w:ascii="Times New Roman Bold" w:hAnsi="Times New Roman Bold" w:cs="Times New Roman Bold" w:eastAsiaTheme="minorHAnsi"/>
          <w:b/>
          <w:bCs/>
          <w:kern w:val="0"/>
          <w:sz w:val="28"/>
          <w:szCs w:val="28"/>
          <w:lang w:val="en-US" w:eastAsia="zh-CN"/>
          <w14:ligatures w14:val="none"/>
        </w:rPr>
        <w:t>2.3</w:t>
      </w:r>
      <w:r>
        <w:rPr>
          <w:rFonts w:hint="default" w:ascii="Times New Roman Bold" w:hAnsi="Times New Roman Bold" w:cs="Times New Roman Bold" w:eastAsiaTheme="minorHAnsi"/>
          <w:b/>
          <w:bCs/>
          <w:kern w:val="0"/>
          <w:sz w:val="28"/>
          <w:szCs w:val="28"/>
          <w:lang w:val="en-US" w:eastAsia="zh-CN"/>
          <w14:ligatures w14:val="none"/>
        </w:rPr>
        <w:t xml:space="preserve"> The Current State of Incentive Policies in Higher Education: A Critical Perspective Based on Motivation Theories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Higher education plays a crucial role in societal and economic development. As the core force of higher education, teachers’ motivation and performance directly impact the quality of education and student development. Therefore, establishing effective incentive mechanisms to unlock teachers’ potential is a significant focus for educational management globally. By comparing incentive mechanisms in higher education across China, the United States, the United Kingdom, and Germany, this part seeks to explore the effectiveness and limitations of these mechanisms from the perspective of motivation theories. The differences in incentive policies among various countries provide rich opportunities for reflection and learning. Through a combination of theoretical and practical analysis, the researcher aims to deeply investigate and evaluate the strengths and weaknesses of incentive mechanisms in different countries, providing improvement suggestions for Chinese higher vocational education. </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In Chinese higher vocational colleges, performance-based salary systems have become the primary incentive mechanism, aimed at reducing negative work behaviors and aligning compensation with the diverse labor market. However, these systems face significant challenges due to cultural, managerial, and systemic issues. Zhao and Wei (2019) argue that the intrinsic, value-driven contributions of educators are difficult to quantify using traditional performance </w:t>
      </w:r>
      <w:r>
        <w:rPr>
          <w:rFonts w:hint="eastAsia" w:ascii="Times New Roman" w:hAnsi="Times New Roman" w:cs="Times New Roman" w:eastAsiaTheme="minorHAnsi"/>
          <w:kern w:val="0"/>
          <w:sz w:val="28"/>
          <w:szCs w:val="28"/>
          <w:lang w:val="en-US" w:eastAsia="zh-CN"/>
          <w14:ligatures w14:val="none"/>
        </w:rPr>
        <w:t>incentives</w:t>
      </w:r>
      <w:r>
        <w:rPr>
          <w:rFonts w:hint="default" w:ascii="Times New Roman" w:hAnsi="Times New Roman" w:cs="Times New Roman" w:eastAsiaTheme="minorHAnsi"/>
          <w:kern w:val="0"/>
          <w:sz w:val="28"/>
          <w:szCs w:val="28"/>
          <w:lang w:val="en-US" w:eastAsia="zh-CN"/>
          <w14:ligatures w14:val="none"/>
        </w:rPr>
        <w:t>, making it challenging to capture their intrinsic motivation. Han (2010) highlights the lack of engagement among managers, who often view performance management as solely the responsibility of human resources, leading to annual performance evaluations becoming mere formalities. The disconnect between managerial practices and employee expectations further complicates the effectiveness of performance-based incentives (Li &amp; Wang, 2018).</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Maslow’s hierarchy of needs and Herzberg’s two-factor theory reveal the nature of these challenges. Maslow’s theory suggests that employee motivation is driven by a progression of needs, from basic physiological requirements to higher-order self-actualization. Herzberg’s two-factor theory distinguishes between hygiene factors (such as salary and work conditions) and motivators (such as recognition and achievement). The current performance-based salary system in China focuses mainly on hygiene factors but fails to address higher-order needs effectively. Additionally, the differences in career development and title evaluation between young and senior teachers exacerbate these challenges. (Smethem, 2007).</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To effectively implement these theories in the context of Chinese higher vocational education, it’s important to understand the nuances of the teacher population. For instance, younger teachers, who are at the beginning of their careers, might be more driven by opportunities for professional development and recognition. They are in the phase where self-actualization needs (according to Maslow) and motivators like achievement (according to Herzberg) are particularly </w:t>
      </w:r>
      <w:r>
        <w:rPr>
          <w:rFonts w:hint="eastAsia" w:ascii="Times New Roman" w:hAnsi="Times New Roman" w:cs="Times New Roman" w:eastAsiaTheme="minorHAnsi"/>
          <w:kern w:val="0"/>
          <w:sz w:val="28"/>
          <w:szCs w:val="28"/>
          <w:lang w:val="en-US" w:eastAsia="zh-CN"/>
          <w14:ligatures w14:val="none"/>
        </w:rPr>
        <w:t>important</w:t>
      </w:r>
      <w:r>
        <w:rPr>
          <w:rFonts w:hint="default" w:ascii="Times New Roman" w:hAnsi="Times New Roman" w:cs="Times New Roman" w:eastAsiaTheme="minorHAnsi"/>
          <w:kern w:val="0"/>
          <w:sz w:val="28"/>
          <w:szCs w:val="28"/>
          <w:lang w:val="en-US" w:eastAsia="zh-CN"/>
          <w14:ligatures w14:val="none"/>
        </w:rPr>
        <w:t>. In contrast, senior teachers, who have already achieved significant milestones in their careers, may prioritize job security, stable income, and long-term benefits, aligning more with the lower tiers of Maslow’s hierarchy and hygiene factors in Herzberg’s framework.</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Furthermore, the distinction between research-oriented and teaching-oriented scholars in China adds another layer of complexity. Research-oriented scholars are typically incentivized by research outputs and publication counts, which directly contribute to their professional growth and recognition. Teaching-oriented scholars, however, might find greater motivation in student feedback, teaching quality, and innovations. A one-size-fits-all approach to incentives fails to account for these differences, thus highlighting the need for more tailored and flexible incentive mechanisms.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contrast, the United States, the United Kingdom, and Germany have developed unique incentive systems, providing valuable lessons. These systems integrate insights from motivation theories, creating more comprehensive and effective approaches.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In the United States, performance-based salary systems have evolved to include professional title promotions, aiming to increase teacher income and encourage innovative teaching methods. However, implementation challenges arise at the local level, requiring contextualization within a market-oriented, high-mobility economy (Palma, 2022), </w:t>
      </w:r>
      <w:r>
        <w:rPr>
          <w:rFonts w:hint="eastAsia" w:ascii="Times New Roman" w:hAnsi="Times New Roman" w:cs="Times New Roman" w:eastAsiaTheme="minorHAnsi"/>
          <w:kern w:val="0"/>
          <w:sz w:val="28"/>
          <w:szCs w:val="28"/>
          <w:lang w:val="en-US" w:eastAsia="zh-CN"/>
          <w14:ligatures w14:val="none"/>
        </w:rPr>
        <w:t>because the economic and social environments of different regions will affect the actual outcomes of the policy, requiring adjustments and optimizations tailored to local conditions.</w:t>
      </w:r>
      <w:r>
        <w:rPr>
          <w:rFonts w:hint="default" w:ascii="Times New Roman" w:hAnsi="Times New Roman" w:cs="Times New Roman" w:eastAsiaTheme="minorHAnsi"/>
          <w:kern w:val="0"/>
          <w:sz w:val="28"/>
          <w:szCs w:val="28"/>
          <w:lang w:val="en-US" w:eastAsia="zh-CN"/>
          <w14:ligatures w14:val="none"/>
        </w:rPr>
        <w:t xml:space="preserve"> Lavy (2007) and Burger (2012) warn that these systems can lead to administrative bias, highlighting the need for a robust peer review system to ensure fairness (Smith, 2020). The U.S. approach reflects Deci and Ryan’s self-determination theory, which emphasizes autonomy, competence, and relatedness as key drivers of intrinsic motivation. Self-determination theory posits that when employees feel autonomous and competent, their intrinsic motivation and job performance significantly improve.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The United Kingdom initially adopted a rigorous, punitive performance evaluation system in the early 1980s but later transitioned to linking performance evaluations closely with professional development opportunities, emphasizing personal growth and autonomy (Glover, 2016). Despite improvements, vague evaluation criteria led to practical difficulties, underscoring the importance of government oversight in ensuring objectivity and fairness (Ball, 1994; Tao, 2014). Marsden (2004) supports transparent evaluation criteria to improve performance outcomes in the public sector. This evolution aligns with the Human Relations Movement, which emphasizes employee well-being and harmonious work environments.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Germany aligns employee career development with the strategic goals of educational institutions, focusing on supportive policies like work-life balance and providing ample resources for teaching and research (Deissinger, 2004; Durham, 2011). Performance assessments are strategically implemented at various career stages to effectively guide professional growth (Terhart, 2019). Chang (2014) advocates for personalized performance evaluations in China, inspired by Germany’s tailored approach. This approach reflects Alderfer’s ERG theory, which allows for the simultaneous pursuit of multiple needs, and Bandura’s concept of self-efficacy, emphasizing the importance of fostering positive self-beliefs in employees to enhance performance.</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Germany, the alignment of career development with strategic institutional goals demonstrates a sophisticated application of motivation theories. For instance, the provision of ample resources for both teaching and research reflects an understanding of Herzberg’s motivators, ensuring that employees find their work rewarding and meaningful. Additionally, the supportive policies for work-life balance cater to Maslow’s higher-order needs, fostering an environment where employees can achieve self-actualization.</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Overall, incentive mechanisms in Chinese higher vocational education face significant challenges due to cultural, managerial, and systemic issues. In contrast, Western countries provide valuable experiences by emphasizing transparency, fairness, and alignment with career development. Motivation theories highlight the importance of balancing extrinsic and intrinsic factors, advocating a comprehensive approach to performance management. By critically analyzing these practices, Chinese higher vocational colleges can improve their incentive mechanisms, enhancing employee motivation and institutional excellence. Considering the varying needs of teachers based on age, experience, titles, and the distinction between research-oriented and teaching-oriented scholars will help create more effective incentive policies.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In conclusion, the application of motivation theories to the incentive mechanisms in higher education reveals the need for a more flexible approach. By understanding and addressing the specific needs of different groups within the academic workforce, institutions can develop more effective incentive policies that not only enhance performance but also foster a positive and motivating work environment. This holistic approach, integrating insights from both Western practices and local cultural contexts, can lead to significant improvements in the overall effectiveness of higher vocational education in China.</w:t>
      </w:r>
    </w:p>
    <w:p>
      <w:pPr>
        <w:spacing w:after="200" w:line="276" w:lineRule="auto"/>
        <w:ind w:left="0" w:right="0" w:firstLine="0"/>
        <w:jc w:val="both"/>
        <w:rPr>
          <w:rFonts w:hint="eastAsia" w:ascii="Times New Roman Bold" w:hAnsi="Times New Roman Bold" w:cs="Times New Roman Bold" w:eastAsiaTheme="minorHAnsi"/>
          <w:b/>
          <w:bCs/>
          <w:kern w:val="0"/>
          <w:sz w:val="28"/>
          <w:szCs w:val="28"/>
          <w:lang w:val="en-US" w:eastAsia="zh-CN"/>
          <w14:ligatures w14:val="none"/>
        </w:rPr>
      </w:pPr>
      <w:r>
        <w:rPr>
          <w:rFonts w:hint="eastAsia" w:ascii="Times New Roman Bold" w:hAnsi="Times New Roman Bold" w:cs="Times New Roman Bold" w:eastAsiaTheme="minorHAnsi"/>
          <w:b/>
          <w:bCs/>
          <w:kern w:val="0"/>
          <w:sz w:val="28"/>
          <w:szCs w:val="28"/>
          <w:lang w:val="en-US" w:eastAsia="zh-CN"/>
          <w14:ligatures w14:val="none"/>
        </w:rPr>
        <w:t>2.4 Conclusion</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In conclusion, this review has comprehensively explored the intricate relationship between various factors affecting employee performance and the implementation of incentive mechanisms in higher education. By integrating insights from recent research on emotional states, mental health, and work environment, we have established a solid foundation for understanding the multifaceted nature of employee performance. </w:t>
      </w:r>
      <w:r>
        <w:rPr>
          <w:rFonts w:hint="eastAsia" w:ascii="Times New Roman" w:hAnsi="Times New Roman" w:cs="Times New Roman" w:eastAsiaTheme="minorHAnsi"/>
          <w:kern w:val="0"/>
          <w:sz w:val="28"/>
          <w:szCs w:val="28"/>
          <w:lang w:val="en-US" w:eastAsia="zh-CN"/>
          <w14:ligatures w14:val="none"/>
        </w:rPr>
        <w:t>Recent researches</w:t>
      </w:r>
      <w:r>
        <w:rPr>
          <w:rFonts w:hint="default" w:ascii="Times New Roman" w:hAnsi="Times New Roman" w:cs="Times New Roman" w:eastAsiaTheme="minorHAnsi"/>
          <w:kern w:val="0"/>
          <w:sz w:val="28"/>
          <w:szCs w:val="28"/>
          <w:lang w:val="en-US" w:eastAsia="zh-CN"/>
          <w14:ligatures w14:val="none"/>
        </w:rPr>
        <w:t xml:space="preserve"> suggest that while positive emotions, mental health support, and a conducive work environment significantly enhance employee performance, the effectiveness of incentive mechanisms depends heavily on their alignment with intrinsic and extrinsic motivational factors. Furthermore, the comparative analysis of incentive policies in China, the United States, the United Kingdom, and Germany, grounded in motivation theories, has highlighted both the strengths and limitations of these systems.</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The critical evaluation of different international practices underscores the need for a balanced approach that considers the diverse needs of educators, including career development opportunities, recognition, and job security.</w:t>
      </w:r>
      <w:r>
        <w:rPr>
          <w:rFonts w:hint="eastAsia" w:ascii="Times New Roman" w:hAnsi="Times New Roman" w:cs="Times New Roman" w:eastAsiaTheme="minorHAnsi"/>
          <w:kern w:val="0"/>
          <w:sz w:val="28"/>
          <w:szCs w:val="28"/>
          <w:lang w:val="en-US" w:eastAsia="zh-CN"/>
          <w14:ligatures w14:val="none"/>
        </w:rPr>
        <w:t xml:space="preserve"> </w:t>
      </w:r>
      <w:r>
        <w:rPr>
          <w:rFonts w:hint="default" w:ascii="Times New Roman" w:hAnsi="Times New Roman" w:cs="Times New Roman" w:eastAsiaTheme="minorHAnsi"/>
          <w:kern w:val="0"/>
          <w:sz w:val="28"/>
          <w:szCs w:val="28"/>
          <w:lang w:val="en-US" w:eastAsia="zh-CN"/>
          <w14:ligatures w14:val="none"/>
        </w:rPr>
        <w:t>For Chinese higher vocational education, adopting a flexible incentive policy that addresses these varying needs and integrates best practices from global examples can lead to improved motivation and performance among educators. This holistic approach not only fosters a positive and motivating work environment but also contributes to the overall excellence and development of the educational institution. Through continued research and thoughtful application of motivation theories, higher vocational education in China can achieve significant advancements in both educator satisfaction and institutional success.</w:t>
      </w: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w:t>
      </w:r>
    </w:p>
    <w:p>
      <w:pPr>
        <w:spacing w:after="200" w:line="276" w:lineRule="auto"/>
        <w:ind w:left="0" w:right="0" w:firstLine="0"/>
        <w:jc w:val="both"/>
        <w:rPr>
          <w:rFonts w:hint="default" w:ascii="Times New Roman Bold" w:hAnsi="Times New Roman Bold" w:cs="Times New Roman Bold" w:eastAsiaTheme="minorHAnsi"/>
          <w:b/>
          <w:bCs/>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eastAsia="宋体" w:cs="Times New Roman Regular"/>
          <w:b/>
          <w:bCs/>
          <w:i w:val="0"/>
          <w:iCs w:val="0"/>
          <w:caps w:val="0"/>
          <w:color w:val="000000"/>
          <w:spacing w:val="0"/>
          <w:kern w:val="0"/>
          <w:sz w:val="28"/>
          <w:szCs w:val="28"/>
          <w:u w:val="none"/>
          <w:shd w:val="clear" w:fill="FFFFFF"/>
          <w:lang w:val="en-US" w:eastAsia="zh-CN" w:bidi="ar"/>
          <w14:ligatures w14:val="standardContextual"/>
        </w:rPr>
        <w:t>References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Alderfer, C. P. (1969). An empirical test of a new theory of</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Ashkanasy, N. M., &amp; Daus, C. S. (2002). Emotion in the workplace: The new challenge for managers. Academy of Management Perspectives, 16(1), 76-86.</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Attridge, M. (2009). Employee Assistance Programs: A Research‐Based Primer. International handbook of work and health psychology, 383-407.</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Ball, S. J. (1994). Education Reform: A Critical and Post-Structural Approach. Buckingham: Open University Press.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Bakker, A. B., Hakanen, J. J., Demerouti, E., &amp; Xanthopoulou, D. (2007). Job resources boost work engagement, particularly when job demands are high. Journal of educational psychology, 99(2), 274.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Bandura, A. (1977). Self-efficacy: toward a unifying theory of behavioral change. Psychological review, 84(2), 191.</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Baritz, L. (1960). Human Relations and Power.</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Barnes, C. M. (2012). Working in our sleep: Sleep and self-regulation in organizations. Organizational Psychology Review, 2(3), 234-257.</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Barsade, S. G., &amp; Gibson, D. E. (2007). Why does affect matter in organizations?. Academy of management perspectives, 21(1), 36-59.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Bauer, T. N., Bodner, T., Erdogan, B., Truxillo, D. M., &amp; Tucker, J. S. (2007). Newcomer adjustment during organizational socialization: a meta-analytic review of antecedents, outcomes, and methods. Journal of applied psychology, 92(3), 707.</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Bendix, R. (1956). Work and authority in industry.</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Bernstein, E. S., &amp; Turban, S. (2018). The impact of the ‘open’workspace on human collaboration. Philosophical Transactions of the Royal Society B: Biological Sciences, 373(1753), 20170239.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Bock, L. (2015). Work rules!: Insights from inside Google that will transform how you live and lead. Twelve.</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Bonde, J. P. E. (2008). Psychosocial factors at work and risk of depression: a systematic review of the epidemiological evidence. Occupational and environmental medicine, 65(7), 438-445.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Braverman, H. (1998). Labor and monopoly capital: The degradation of work in the twentieth century. nyu Press.</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Burger, J. (2012). The challenge of performance-based pay in education. Educational Management Administration &amp; Leadership, 40(3), 403-416.</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Cartwright, S., &amp; Cooper, C. L. (1994). The human effects of mergers and acquisitions. Journal of Organizational Behavior (1986-1998), 47.</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Chang, Y. (2014). Chang, Y. (2014). Personalized Performance Evaluations in China: Challenges and Opportunities. Journal of Educational Management, 12(3), 150-165.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Cohen, S., &amp; Wills, T. A. (1985). Stress, social support, and the buffering hypothesis. Psychological bulletin, 98(2), 310.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Cooper, C. L., &amp; Cartwright, S. (2018). Stress-management interventions in the workplace: Stress counselling and stress audits. British Journal of Guidance &amp; Counselling, 22(1), 65-73.</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Corrigan, P. W., Druss, B. G., &amp; Perlick, D. A. (2014). The impact of mental illness stigma on seeking and participating in mental health care. Psychological Science in the Public Interest, 15(2), 37-70.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Deissinger, T. (2004). Apprenticeship systems in England and Germany: Decline and survival. In G. Bosch &amp; J. Charest (Eds.), Vocational Training: International Perspectives. New York: Routledge.</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Dewa, C. S., Thompson, A. H., &amp; Jacobs, P. (2011). The association of treatment of depressive episodes and work productivity. The Canadian Journal of Psychiatry, 56(12), 743-750.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Durham, M. (2011). Performance management in the public sector: The case of the German federal employment agency. Public Administration Review, 71(2), 308-318.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Eden, D., &amp; Aviram, A. (1993). Self-efficacy training to speed reemployment: Helping people to help themselves. Journal of applied Psychology, 78(3), 352.</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Fisher, C. D. (2010). Happiness at work. International journal of management reviews, 12(4), 384-412.</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Franke, R. H., &amp; Kaul, J. D. (1978). The Hawthorne experiments: First statistical interpretation. American sociological review, 623-643.</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Fredrickson, B. L. (2001). The role of positive emotions in positive psychology: The broaden-and-build theory of positive emotions. American psychologist, 56(3), 218.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Gist, M. E., &amp; Mitchell, T. R. (1992). Self-efficacy: A theoretical analysis of its determinants and malleability. Academy of Management review, 17(2), 183-211.</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Glover, D. (2016). The evolution of performance management in UK schools: Linking assessment to development. British Educational Research Journal, 42(3), 463-478.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Goetzel, R. Z., Ozminkowski, R. J., Sederer, L. I., &amp; Mark, T. L. (2002). The business case for quality mental health services: why employers should care about the mental health and well-being of their employees. Journal of occupational and environmental medicine, 44(4), 320-330.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Goleman, D., &amp; Cherniss, C. (2001). The emotionally intelligent workplace: How to select for, measure, and improve emotional intelligence in individuals, groups, and organizations (pp. 121-128). San Francisco, CA: Jossey-Bass.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Goleman, D., &amp; Intelligence, E. (1995). Why it can matter more than IQ. Emotional intelligence.</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Han, Y. (2010). The pitfalls of performance management in Chinese vocational colleges. Asian Education and Development Studies, 9(2), 150-165.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Herzberg, F. I. (1966). Work and the Nature of Man.</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Hodson, R. (2001). Dignity at work. Cambridge University Press.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humanneeds. Organizational behavior and human performance, 4(2), 142-175.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Johns, G. (2010). Presenteeism in the workplace: A review and research agenda. Journal of organizational behavior, 31(4), 519-542.</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Kaufman, B. E. (2008). The past and future of unionization in the United States. Journal of Labor Research, 29(3), 263-283.</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Kessler, R. C., &amp; Wang, P. S. (2008). The descriptive epidemiology of commonly occurring mental disorders in the United States. Annu. Rev. Public Health, 29, 115-129.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King, N. (1970). Clarification and evaluation of the two-factor theory of job satisfaction. Psychological bulletin, 74(1), 18.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Kossek, E. E., &amp; Michel, J. S. (2011). Flexible work schedules.</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Lavy, V. (2007). Using performance-based pay to improve the quality of teachers. The Future of Children, 17(1), 87-109.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Lazarus, R. S., &amp; Folkman, S. (1984). Stress, appraisal, and coping. Springer publishing company.</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Littler, C. R. (1978). Understanding taylorism. British Journal of Sociology, 185-202.</w:t>
      </w:r>
    </w:p>
    <w:p>
      <w:pPr>
        <w:autoSpaceDE w:val="0"/>
        <w:autoSpaceDN w:val="0"/>
        <w:adjustRightInd w:val="0"/>
        <w:spacing w:line="360" w:lineRule="auto"/>
        <w:ind w:left="280" w:hanging="280" w:hangingChars="100"/>
        <w:contextualSpacing/>
        <w:jc w:val="both"/>
        <w:rPr>
          <w:rFonts w:hint="default" w:ascii="Times New Roman Regular" w:hAnsi="Times New Roman Regular" w:cs="Times New Roman Regular"/>
          <w:sz w:val="28"/>
          <w:szCs w:val="28"/>
          <w:lang w:val="en-US" w:eastAsia="zh-CN" w:bidi="ar"/>
        </w:rPr>
      </w:pPr>
      <w:r>
        <w:rPr>
          <w:rFonts w:hint="default" w:ascii="Times New Roman Regular" w:hAnsi="Times New Roman Regular" w:cs="Times New Roman Regular"/>
          <w:sz w:val="28"/>
          <w:szCs w:val="28"/>
          <w:lang w:val="en-US" w:eastAsia="zh-CN" w:bidi="ar"/>
        </w:rPr>
        <w:t>Li, J., &amp; Wang, S. (2018). Aligning compensation with educational values: The case of performance-based pay in Chinese higher education. Journal of Human Resource Management, 36(3), 255-268.</w:t>
      </w:r>
    </w:p>
    <w:p>
      <w:pPr>
        <w:autoSpaceDE w:val="0"/>
        <w:autoSpaceDN w:val="0"/>
        <w:adjustRightInd w:val="0"/>
        <w:spacing w:line="360" w:lineRule="auto"/>
        <w:ind w:left="280" w:hanging="280" w:hangingChars="100"/>
        <w:contextualSpacing/>
        <w:jc w:val="both"/>
        <w:rPr>
          <w:rFonts w:hint="default" w:ascii="Times New Roman Regular" w:hAnsi="Times New Roman Regular" w:cs="Times New Roman Regular"/>
          <w:sz w:val="28"/>
          <w:szCs w:val="28"/>
          <w:lang w:val="en-US" w:eastAsia="zh-CN" w:bidi="ar"/>
        </w:rPr>
      </w:pPr>
      <w:r>
        <w:rPr>
          <w:rFonts w:hint="default" w:ascii="Times New Roman Regular" w:hAnsi="Times New Roman Regular" w:cs="Times New Roman Regular"/>
          <w:sz w:val="28"/>
          <w:szCs w:val="28"/>
          <w:lang w:val="en-US" w:eastAsia="zh-CN" w:bidi="ar"/>
        </w:rPr>
        <w:t xml:space="preserve">Marsden, D. (2004) 'The role of performance-related pay in renegotiating the "effort bargain": the case of the British public service', Industrial and Labor Relations Review, 57(3), pp. 350-370. </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Maslach, C., Schaufeli, W. B., &amp; Leiter, M. P. (2001). Job burnout. Annual review of psychology, 52(1), 397-422.</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Maslow, A. H. (1954). The instinctoid nature of basic needs. Journal of personality.</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Mayer, J. D., Salovey, P., &amp; Caruso, D. R. (2008). Emotional intelligence: New ability or eclectic traits?. American psychologist, 63(6), 503.</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Mayo, E. (2004). The human problems of an industrial civilization. Routledge.</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Nelson, D. L. (1987). Organizational socialization: A stress perspective. Journal of Organizational Behavior, 8(4), 311-324.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Noe, R. A., Tews, M. J., &amp; McConnell Dachner, A. (2010). Learner engagement: A new perspective for enhancing our understanding of learner motivation and workplace learning. The Academy of Management Annals, 4(1), 279-315.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Oldham, G. R., &amp; Fried, Y. (1987). Employee reactions to workspace characteristics. Journal of Applied Psychology, 72(1), 75.</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Palma, J. (2022). Performance-based pay and the teaching profession in the United States: An analysis of current trends and future outlooks. Journal of Educational Research and Reviews, 10(1), 22-35.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Patel, V., Saxena, S., Lund, C., Thornicroft, G., Baingana, F., Bolton, P., ... &amp; Unützer, J. (2018). The Lancet Commission on global mental health and sustainable development. The lancet, 392(10157), 1553-1598.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Quick, J. C., Quick, J. D., Nelson, D. L., &amp; Hurrell Jr, J. J. (1997). Preventive stress management in organizations. American Psychological Association.</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Richardson, K. M., &amp; Rothstein, H. R. (2008). Effects of occupational stress management intervention programs: a meta-analysis. Journal of occupational health psychology, 13(1), 69.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Roethlisberger, F. J., &amp; Dickson, W. J. (2003). Management and the Worker (Vol. 5). Psychology press.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Sachau, D. A. (2007). Resurrecting the motivation-hygiene theory: Herzberg and the positive psychology movement. Human resource development review, 6(4), 377-393.</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Salas, E., Tannenbaum, S. I., Kraiger, K., &amp; Smith-Jentsch, K. A. (2012). The science of training and development in organizations: What matters in practice. Psychological science in the public interest, 13(2), 74-101.</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Skorstad, E. J. (2016). The ambiguity of flexibility. In Flexible Organizations and the New Working Life (pp. 17-42). Routledge.</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Smith, J. (2020). Ensuring fairness in performance-based pay systems: The role of peer review. American Educational Research Journal, 57(4), 1312-1341.</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Smith, L. R. (2001, November). Six Sigma and the evolution of quality in product development. In Six Sigma Forum Magazine(Vol. 1, No. 1, pp. 28-35). ASQ.</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Sonnentag, S., Mojza, E. J., Binnewies, C., &amp; Scholl, A. (2008). Being engaged at work and detached at home: A week-level study on work engagement, psychological detachment, and affect. Work &amp; Stress, 22(3), 257-276.</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Spence Laschinger, H. K., Wong, C. A., Cummings, G. G., &amp; Grau, A. L. (2014). Resonant leadership and workplace empowerment: The value of positive organizational cultures in reducing workplace incivility. Nursing Economics, 32(1), 5-44.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Stajkovic, A. D., &amp; Luthans, F. (1998). Self-efficacy and work-related performance: A meta-analysis. Psychological bulletin, 124(2), 240.</w:t>
      </w:r>
    </w:p>
    <w:p>
      <w:pPr>
        <w:autoSpaceDE w:val="0"/>
        <w:autoSpaceDN w:val="0"/>
        <w:adjustRightInd w:val="0"/>
        <w:spacing w:line="360" w:lineRule="auto"/>
        <w:ind w:left="280" w:hanging="280" w:hangingChars="100"/>
        <w:contextualSpacing/>
        <w:jc w:val="both"/>
        <w:rPr>
          <w:rFonts w:hint="default" w:ascii="Times New Roman" w:hAnsi="Times New Roman" w:cs="Times New Roman" w:eastAsiaTheme="minorHAnsi"/>
          <w:kern w:val="0"/>
          <w:sz w:val="28"/>
          <w:szCs w:val="28"/>
          <w:lang w:val="en-US" w:eastAsia="zh-CN"/>
          <w14:ligatures w14:val="none"/>
        </w:rPr>
      </w:pPr>
      <w:r>
        <w:rPr>
          <w:rFonts w:hint="default" w:ascii="Times New Roman Regular" w:hAnsi="Times New Roman Regular" w:cs="Times New Roman Regular"/>
          <w:sz w:val="28"/>
          <w:szCs w:val="28"/>
          <w:lang w:val="en-US" w:eastAsia="zh-CN" w:bidi="ar"/>
        </w:rPr>
        <w:t>Tao, J. (2014). Government involvement in the design of performance evaluation systems. Journal of Educational Administration, 52(3), 357-370.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Taormina, R. J., &amp; Gao, J. H. (2013). Maslow and the motivation hierarchy: Measuring satisfaction of the needs. The American journal of psychology, 126(2), 155-177.</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 xml:space="preserve">Taylor, F. W. (2004). Scientific management. Routledge. </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Terhart, E. (2019). Terhart, E. (2019). Teacher Education in Germany: Development, Status Quo, and Challenges. In J. E. Clandinin &amp; J. Husu (Eds.), The SAGE Handbook of Research on Teacher Education (pp. 41-54). SAGE Publications.</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Vallerand, R. J. (2000). Deci and Ryan's self-determination theory: A view from the hierarchical model of intrinsic and extrinsic motivation. Psychological inquiry, 11(4), 312-318.</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Vancouver, J. B., Thompson, C. M., &amp; Williams, A. A. (2001). The changing signs in the relationships among self-efficacy, personal goals, and performance. Journal of applied psychology, 86(4), 605.</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Wahba, M. A., &amp; Bridwell, L. G. (1976). Maslow reconsidered: A review of research on the need hierarchy theory. Organizational behavior and human performance, 15(2), 212-240.</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Walker, M. (2017). Why we sleep: Unlocking the power of sleep and dreams. Simon and Schuster.</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Wood, R., &amp; Bandura, A. (1989). Social cognitive theory of organizational management. Academy of management Review, 14(3), 361-384.</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r>
        <w:rPr>
          <w:rFonts w:hint="default" w:ascii="Times New Roman" w:hAnsi="Times New Roman" w:cs="Times New Roman" w:eastAsiaTheme="minorHAnsi"/>
          <w:kern w:val="0"/>
          <w:sz w:val="28"/>
          <w:szCs w:val="28"/>
          <w:lang w:val="en-US" w:eastAsia="zh-CN"/>
          <w14:ligatures w14:val="none"/>
        </w:rPr>
        <w:t>Wren, J. T. (1994). Teaching leadership: The art of the possible. Journal of Leadership Studies, 1(2), 73-93.</w:t>
      </w:r>
    </w:p>
    <w:p>
      <w:pPr>
        <w:autoSpaceDE w:val="0"/>
        <w:autoSpaceDN w:val="0"/>
        <w:adjustRightInd w:val="0"/>
        <w:spacing w:line="360" w:lineRule="auto"/>
        <w:ind w:left="280" w:hanging="280" w:hangingChars="100"/>
        <w:contextualSpacing/>
        <w:jc w:val="both"/>
        <w:rPr>
          <w:rFonts w:hint="default" w:ascii="Times New Roman Regular" w:hAnsi="Times New Roman Regular" w:cs="Times New Roman Regular"/>
          <w:sz w:val="28"/>
          <w:szCs w:val="28"/>
          <w:lang w:val="en-US" w:eastAsia="zh-CN" w:bidi="ar"/>
        </w:rPr>
      </w:pPr>
      <w:r>
        <w:rPr>
          <w:rFonts w:hint="default" w:ascii="Times New Roman Regular" w:hAnsi="Times New Roman Regular" w:cs="Times New Roman Regular"/>
          <w:sz w:val="28"/>
          <w:szCs w:val="28"/>
          <w:lang w:val="en-US" w:eastAsia="zh-CN" w:bidi="ar"/>
        </w:rPr>
        <w:t>Zhao, X., &amp; Wei, H. (2019). Performance evaluation in higher vocational education: Challenges and perspectives. Journal of Educational Research, 32(4), 276-289.</w:t>
      </w:r>
    </w:p>
    <w:p>
      <w:pPr>
        <w:spacing w:after="200" w:line="276" w:lineRule="auto"/>
        <w:ind w:left="280" w:right="0" w:hanging="280" w:hangingChars="10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eastAsia="宋体" w:cs="Times New Roman"/>
          <w:b w:val="0"/>
          <w:bCs w:val="0"/>
          <w:i w:val="0"/>
          <w:iCs w:val="0"/>
          <w:caps w:val="0"/>
          <w:color w:val="000000"/>
          <w:spacing w:val="0"/>
          <w:kern w:val="0"/>
          <w:sz w:val="26"/>
          <w:szCs w:val="26"/>
          <w:u w:val="none"/>
          <w:shd w:val="clear" w:fill="FFFFFF"/>
          <w:lang w:val="en-US" w:eastAsia="zh-CN" w:bidi="ar"/>
          <w14:ligatures w14:val="standardContextual"/>
        </w:rPr>
      </w:pPr>
    </w:p>
    <w:p>
      <w:pPr>
        <w:spacing w:after="200" w:line="276" w:lineRule="auto"/>
        <w:ind w:left="0" w:right="0" w:firstLine="0"/>
        <w:jc w:val="both"/>
        <w:rPr>
          <w:rFonts w:hint="default" w:eastAsia="宋体" w:cs="Arial"/>
          <w:i w:val="0"/>
          <w:iCs w:val="0"/>
          <w:caps w:val="0"/>
          <w:color w:val="000000"/>
          <w:spacing w:val="0"/>
          <w:kern w:val="0"/>
          <w:sz w:val="26"/>
          <w:szCs w:val="26"/>
          <w:u w:val="none"/>
          <w:shd w:val="clear" w:fill="FFFFFF"/>
          <w:lang w:val="en-US" w:eastAsia="zh-CN" w:bidi="ar"/>
          <w14:ligatures w14:val="standardContextual"/>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200" w:line="276" w:lineRule="auto"/>
        <w:ind w:left="0" w:right="0" w:firstLine="0"/>
        <w:jc w:val="both"/>
        <w:rPr>
          <w:rFonts w:hint="default" w:ascii="Times New Roman" w:hAnsi="Times New Roman" w:cs="Times New Roman" w:eastAsiaTheme="minorHAnsi"/>
          <w:kern w:val="0"/>
          <w:sz w:val="28"/>
          <w:szCs w:val="28"/>
          <w:lang w:val="en-US" w:eastAsia="zh-CN"/>
          <w14:ligatures w14:val="none"/>
        </w:rPr>
      </w:pPr>
    </w:p>
    <w:p>
      <w:pPr>
        <w:spacing w:after="14" w:line="259" w:lineRule="auto"/>
        <w:ind w:left="420" w:right="0" w:firstLine="0"/>
        <w:jc w:val="left"/>
        <w:rPr>
          <w:rFonts w:hint="eastAsia" w:eastAsia="宋体"/>
          <w:b/>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Bold">
    <w:panose1 w:val="02020603050405020304"/>
    <w:charset w:val="00"/>
    <w:family w:val="auto"/>
    <w:pitch w:val="default"/>
    <w:sig w:usb0="E0002AEF" w:usb1="C0007841" w:usb2="00000009" w:usb3="00000000" w:csb0="400001FF" w:csb1="FFFF0000"/>
  </w:font>
  <w:font w:name="Arial Bold">
    <w:panose1 w:val="020B0604020202090204"/>
    <w:charset w:val="00"/>
    <w:family w:val="auto"/>
    <w:pitch w:val="default"/>
    <w:sig w:usb0="E0000AFF" w:usb1="00007843" w:usb2="00000001" w:usb3="00000000" w:csb0="400001BF" w:csb1="DFF70000"/>
  </w:font>
  <w:font w:name="Times New Roman Regular">
    <w:panose1 w:val="02020603050405020304"/>
    <w:charset w:val="00"/>
    <w:family w:val="auto"/>
    <w:pitch w:val="default"/>
    <w:sig w:usb0="E0002AEF" w:usb1="C0007841"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Helvetica">
    <w:panose1 w:val="00000000000000000000"/>
    <w:charset w:val="00"/>
    <w:family w:val="auto"/>
    <w:pitch w:val="default"/>
    <w:sig w:usb0="E00002FF" w:usb1="5000785B" w:usb2="00000000" w:usb3="00000000" w:csb0="2000019F" w:csb1="4F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16" w:lineRule="auto"/>
      </w:pPr>
      <w:r>
        <w:separator/>
      </w:r>
    </w:p>
  </w:footnote>
  <w:footnote w:type="continuationSeparator" w:id="1">
    <w:p>
      <w:pPr>
        <w:spacing w:before="0" w:after="0" w:line="41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DF2EB5"/>
    <w:rsid w:val="1DFDABA2"/>
    <w:rsid w:val="2FCDA355"/>
    <w:rsid w:val="3EFFBBA4"/>
    <w:rsid w:val="51FDB96F"/>
    <w:rsid w:val="555D9692"/>
    <w:rsid w:val="5A57A76A"/>
    <w:rsid w:val="6EFDF687"/>
    <w:rsid w:val="6F58BA3E"/>
    <w:rsid w:val="72EF67A0"/>
    <w:rsid w:val="77DE444E"/>
    <w:rsid w:val="7BF7A15F"/>
    <w:rsid w:val="7CDDA4D4"/>
    <w:rsid w:val="7D750F14"/>
    <w:rsid w:val="7DEB3D82"/>
    <w:rsid w:val="7F98E904"/>
    <w:rsid w:val="7FDDA70D"/>
    <w:rsid w:val="7FFD3959"/>
    <w:rsid w:val="7FFDBAD7"/>
    <w:rsid w:val="8FDA98B1"/>
    <w:rsid w:val="97EEC269"/>
    <w:rsid w:val="9FEAB8E0"/>
    <w:rsid w:val="A4F46D06"/>
    <w:rsid w:val="A7FDE1D2"/>
    <w:rsid w:val="AB6FD2BD"/>
    <w:rsid w:val="BAAD08EB"/>
    <w:rsid w:val="BEB29A2F"/>
    <w:rsid w:val="BFDB67D0"/>
    <w:rsid w:val="CFBE3D60"/>
    <w:rsid w:val="D72E5E9D"/>
    <w:rsid w:val="D7B66097"/>
    <w:rsid w:val="D7BB4B2A"/>
    <w:rsid w:val="D8FEA337"/>
    <w:rsid w:val="DBFF41EE"/>
    <w:rsid w:val="F3E6E50C"/>
    <w:rsid w:val="FADB108E"/>
    <w:rsid w:val="FBECF85E"/>
    <w:rsid w:val="FDFB28CA"/>
    <w:rsid w:val="FFDF2EB5"/>
    <w:rsid w:val="FFFE5262"/>
    <w:rsid w:val="FFFECDF9"/>
    <w:rsid w:val="FFFF79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3" w:line="416" w:lineRule="auto"/>
      <w:ind w:left="430" w:right="665" w:hanging="10"/>
      <w:jc w:val="both"/>
    </w:pPr>
    <w:rPr>
      <w:rFonts w:ascii="Arial" w:hAnsi="Arial" w:eastAsia="Arial" w:cs="Arial"/>
      <w:color w:val="000000"/>
      <w:kern w:val="2"/>
      <w:sz w:val="24"/>
      <w:szCs w:val="24"/>
      <w:lang w:val="en-GB" w:eastAsia="zh-CN" w:bidi="ar-SA"/>
      <w14:ligatures w14:val="standardContextual"/>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qFormat/>
    <w:uiPriority w:val="0"/>
    <w:rPr>
      <w:i/>
    </w:rPr>
  </w:style>
  <w:style w:type="character" w:styleId="9">
    <w:name w:val="Hyperlink"/>
    <w:basedOn w:val="6"/>
    <w:uiPriority w:val="0"/>
    <w:rPr>
      <w:color w:val="0000FF"/>
      <w:u w:val="single"/>
    </w:rPr>
  </w:style>
  <w:style w:type="paragraph" w:customStyle="1" w:styleId="10">
    <w:name w:val="p1"/>
    <w:basedOn w:val="1"/>
    <w:uiPriority w:val="0"/>
    <w:pPr>
      <w:spacing w:before="0" w:beforeAutospacing="0" w:after="0" w:afterAutospacing="0"/>
      <w:ind w:left="0" w:right="0"/>
      <w:jc w:val="left"/>
    </w:pPr>
    <w:rPr>
      <w:rFonts w:ascii="Helvetica Neue" w:hAnsi="Helvetica Neue" w:eastAsia="Helvetica Neue" w:cs="Helvetica Neue"/>
      <w:color w:val="EDEDED"/>
      <w:kern w:val="0"/>
      <w:sz w:val="34"/>
      <w:szCs w:val="3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0</Words>
  <Characters>0</Characters>
  <Lines>0</Lines>
  <Paragraphs>0</Paragraphs>
  <TotalTime>34</TotalTime>
  <ScaleCrop>false</ScaleCrop>
  <LinksUpToDate>false</LinksUpToDate>
  <CharactersWithSpaces>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2024-05-15T21:17:00Z</dcterms:created>
  <dc:creator>蜡笔小馨</dc:creator>
  <cp:lastModifiedBy>蜡笔小馨</cp:lastModifiedBy>
  <dcterms:modified xsi:type="dcterms:W3CDTF">2024-06-04T12:38:40Z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3A3C2BA7B2651028F8B544660F378259_41</vt:lpwstr>
  </property>
</Properties>
</file>