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412BD25C" w:rsidRDefault="412BD25C" w14:paraId="7D006C04" w14:textId="406BA1B5">
      <w:r w:rsidRPr="412BD25C" w:rsidR="412BD25C">
        <w:rPr>
          <w:rFonts w:ascii="Calibri" w:hAnsi="Calibri" w:eastAsia="Calibri" w:cs="Calibri"/>
          <w:noProof w:val="0"/>
          <w:sz w:val="24"/>
          <w:szCs w:val="24"/>
          <w:lang w:val="en-GB"/>
        </w:rPr>
        <w:t>Qualification: CIPD Diploma in Applied Human Resources</w:t>
      </w:r>
    </w:p>
    <w:p w:rsidR="412BD25C" w:rsidP="412BD25C" w:rsidRDefault="412BD25C" w14:paraId="1848997E" w14:textId="4CACD11C">
      <w:pPr>
        <w:rPr>
          <w:rFonts w:ascii="Calibri" w:hAnsi="Calibri" w:eastAsia="Calibri" w:cs="Calibri"/>
          <w:noProof w:val="0"/>
          <w:sz w:val="24"/>
          <w:szCs w:val="24"/>
          <w:lang w:val="en-GB"/>
        </w:rPr>
      </w:pPr>
      <w:r w:rsidRPr="412BD25C" w:rsidR="412BD25C">
        <w:rPr>
          <w:rFonts w:ascii="Calibri" w:hAnsi="Calibri" w:eastAsia="Calibri" w:cs="Calibri"/>
          <w:noProof w:val="0"/>
          <w:sz w:val="24"/>
          <w:szCs w:val="24"/>
          <w:lang w:val="en-GB"/>
        </w:rPr>
        <w:t xml:space="preserve">Module Name: Understanding Employee </w:t>
      </w:r>
      <w:r w:rsidRPr="412BD25C" w:rsidR="412BD25C">
        <w:rPr>
          <w:rFonts w:ascii="Calibri" w:hAnsi="Calibri" w:eastAsia="Calibri" w:cs="Calibri"/>
          <w:noProof w:val="0"/>
          <w:sz w:val="24"/>
          <w:szCs w:val="24"/>
          <w:lang w:val="en-GB"/>
        </w:rPr>
        <w:t>Engagement</w:t>
      </w:r>
    </w:p>
    <w:p w:rsidR="412BD25C" w:rsidRDefault="412BD25C" w14:paraId="172C186D" w14:textId="598632DB">
      <w:r w:rsidRPr="412BD25C" w:rsidR="412BD25C">
        <w:rPr>
          <w:rFonts w:ascii="Calibri" w:hAnsi="Calibri" w:eastAsia="Calibri" w:cs="Calibri"/>
          <w:noProof w:val="0"/>
          <w:sz w:val="24"/>
          <w:szCs w:val="24"/>
          <w:lang w:val="en-GB"/>
        </w:rPr>
        <w:t>Word Count: 3226</w:t>
      </w:r>
    </w:p>
    <w:p w:rsidR="412BD25C" w:rsidRDefault="412BD25C" w14:paraId="6E7655AE" w14:textId="038A73DA">
      <w:r w:rsidRPr="412BD25C" w:rsidR="412BD25C">
        <w:rPr>
          <w:rFonts w:ascii="Calibri" w:hAnsi="Calibri" w:eastAsia="Calibri" w:cs="Calibri"/>
          <w:noProof w:val="0"/>
          <w:sz w:val="24"/>
          <w:szCs w:val="24"/>
          <w:lang w:val="en-GB"/>
        </w:rPr>
        <w:t>Student Name: Sarah Chislett</w:t>
      </w:r>
    </w:p>
    <w:p w:rsidR="412BD25C" w:rsidRDefault="412BD25C" w14:paraId="0DCCF073" w14:textId="5162A2DD">
      <w:r w:rsidRPr="412BD25C" w:rsidR="412BD25C">
        <w:rPr>
          <w:rFonts w:ascii="Calibri" w:hAnsi="Calibri" w:eastAsia="Calibri" w:cs="Calibri"/>
          <w:noProof w:val="0"/>
          <w:sz w:val="24"/>
          <w:szCs w:val="24"/>
          <w:lang w:val="en-GB"/>
        </w:rPr>
        <w:t>Student Number: 1810599</w:t>
      </w:r>
    </w:p>
    <w:p w:rsidR="412BD25C" w:rsidRDefault="412BD25C" w14:paraId="07BEF68F" w14:textId="1725863F">
      <w:r w:rsidRPr="412BD25C" w:rsidR="412BD25C">
        <w:rPr>
          <w:rFonts w:ascii="Calibri" w:hAnsi="Calibri" w:eastAsia="Calibri" w:cs="Calibri"/>
          <w:noProof w:val="0"/>
          <w:sz w:val="24"/>
          <w:szCs w:val="24"/>
          <w:lang w:val="en-GB"/>
        </w:rPr>
        <w:t>CIPD Membership Number: 42778293</w:t>
      </w:r>
    </w:p>
    <w:p w:rsidR="412BD25C" w:rsidP="412BD25C" w:rsidRDefault="412BD25C" w14:paraId="54E31D73" w14:textId="5B136684">
      <w:pPr>
        <w:pStyle w:val="Normal"/>
        <w:rPr>
          <w:rFonts w:ascii="Calibri" w:hAnsi="Calibri" w:eastAsia="Calibri" w:cs="Calibri"/>
          <w:noProof w:val="0"/>
          <w:sz w:val="24"/>
          <w:szCs w:val="24"/>
          <w:lang w:val="en-GB"/>
        </w:rPr>
      </w:pPr>
    </w:p>
    <w:p w:rsidR="412BD25C" w:rsidP="412BD25C" w:rsidRDefault="412BD25C" w14:paraId="7EC02787" w14:textId="3FB9B0F3">
      <w:pPr>
        <w:pStyle w:val="Normal"/>
        <w:rPr>
          <w:rFonts w:ascii="Calibri" w:hAnsi="Calibri" w:eastAsia="Calibri" w:cs="Calibri"/>
          <w:noProof w:val="0"/>
          <w:sz w:val="24"/>
          <w:szCs w:val="24"/>
          <w:lang w:val="en-GB"/>
        </w:rPr>
      </w:pPr>
    </w:p>
    <w:p w:rsidR="412BD25C" w:rsidP="412BD25C" w:rsidRDefault="412BD25C" w14:paraId="45EDD56B" w14:textId="7CD9BF63">
      <w:pPr>
        <w:pStyle w:val="Normal"/>
        <w:rPr>
          <w:rFonts w:ascii="Calibri" w:hAnsi="Calibri" w:eastAsia="Calibri" w:cs="Calibri"/>
          <w:noProof w:val="0"/>
          <w:sz w:val="24"/>
          <w:szCs w:val="24"/>
          <w:lang w:val="en-GB"/>
        </w:rPr>
      </w:pPr>
    </w:p>
    <w:p w:rsidR="412BD25C" w:rsidP="412BD25C" w:rsidRDefault="412BD25C" w14:paraId="1A8C16CC" w14:textId="294CA479">
      <w:pPr>
        <w:pStyle w:val="Normal"/>
        <w:rPr>
          <w:rFonts w:ascii="Calibri" w:hAnsi="Calibri" w:eastAsia="Calibri" w:cs="Calibri"/>
          <w:noProof w:val="0"/>
          <w:sz w:val="24"/>
          <w:szCs w:val="24"/>
          <w:lang w:val="en-GB"/>
        </w:rPr>
      </w:pPr>
    </w:p>
    <w:p w:rsidR="412BD25C" w:rsidP="412BD25C" w:rsidRDefault="412BD25C" w14:paraId="43A06D13" w14:textId="01A2A4AF">
      <w:pPr>
        <w:pStyle w:val="Normal"/>
        <w:rPr>
          <w:rFonts w:ascii="Calibri" w:hAnsi="Calibri" w:eastAsia="Calibri" w:cs="Calibri"/>
          <w:noProof w:val="0"/>
          <w:sz w:val="24"/>
          <w:szCs w:val="24"/>
          <w:lang w:val="en-GB"/>
        </w:rPr>
      </w:pPr>
    </w:p>
    <w:p w:rsidR="412BD25C" w:rsidP="412BD25C" w:rsidRDefault="412BD25C" w14:paraId="4BB85302" w14:textId="0829A9D9">
      <w:pPr>
        <w:pStyle w:val="Normal"/>
        <w:rPr>
          <w:rFonts w:ascii="Calibri" w:hAnsi="Calibri" w:eastAsia="Calibri" w:cs="Calibri"/>
          <w:noProof w:val="0"/>
          <w:sz w:val="24"/>
          <w:szCs w:val="24"/>
          <w:lang w:val="en-GB"/>
        </w:rPr>
      </w:pPr>
    </w:p>
    <w:p w:rsidR="412BD25C" w:rsidP="412BD25C" w:rsidRDefault="412BD25C" w14:paraId="460BFAE9" w14:textId="1FCAA5AE">
      <w:pPr>
        <w:pStyle w:val="Normal"/>
        <w:rPr>
          <w:rFonts w:ascii="Calibri" w:hAnsi="Calibri" w:eastAsia="Calibri" w:cs="Calibri"/>
          <w:noProof w:val="0"/>
          <w:sz w:val="24"/>
          <w:szCs w:val="24"/>
          <w:lang w:val="en-GB"/>
        </w:rPr>
      </w:pPr>
    </w:p>
    <w:p w:rsidR="412BD25C" w:rsidP="412BD25C" w:rsidRDefault="412BD25C" w14:paraId="3F97798D" w14:textId="648266FB">
      <w:pPr>
        <w:pStyle w:val="Normal"/>
        <w:rPr>
          <w:rFonts w:ascii="Calibri" w:hAnsi="Calibri" w:eastAsia="Calibri" w:cs="Calibri"/>
          <w:noProof w:val="0"/>
          <w:sz w:val="24"/>
          <w:szCs w:val="24"/>
          <w:lang w:val="en-GB"/>
        </w:rPr>
      </w:pPr>
    </w:p>
    <w:p w:rsidR="412BD25C" w:rsidRDefault="412BD25C" w14:paraId="3F9BDD58" w14:textId="564CC5F0">
      <w:r w:rsidRPr="412BD25C" w:rsidR="412BD25C">
        <w:rPr>
          <w:rFonts w:ascii="Calibri" w:hAnsi="Calibri" w:eastAsia="Calibri" w:cs="Calibri"/>
          <w:noProof w:val="0"/>
          <w:sz w:val="24"/>
          <w:szCs w:val="24"/>
          <w:lang w:val="en-GB"/>
        </w:rPr>
        <w:t>By signing below, I confirm that the work/evidence presented is my own, unaided</w:t>
      </w:r>
    </w:p>
    <w:p w:rsidR="412BD25C" w:rsidRDefault="412BD25C" w14:paraId="3AFFEA75" w14:textId="76043661">
      <w:r w:rsidRPr="412BD25C" w:rsidR="412BD25C">
        <w:rPr>
          <w:rFonts w:ascii="Calibri" w:hAnsi="Calibri" w:eastAsia="Calibri" w:cs="Calibri"/>
          <w:noProof w:val="0"/>
          <w:sz w:val="24"/>
          <w:szCs w:val="24"/>
          <w:lang w:val="en-GB"/>
        </w:rPr>
        <w:t>work. I understand the regulations pertaining to candidate malpractice and the action</w:t>
      </w:r>
    </w:p>
    <w:p w:rsidR="412BD25C" w:rsidRDefault="412BD25C" w14:paraId="6F2D5B5C" w14:textId="0206126E">
      <w:r w:rsidRPr="412BD25C" w:rsidR="412BD25C">
        <w:rPr>
          <w:rFonts w:ascii="Calibri" w:hAnsi="Calibri" w:eastAsia="Calibri" w:cs="Calibri"/>
          <w:noProof w:val="0"/>
          <w:sz w:val="24"/>
          <w:szCs w:val="24"/>
          <w:lang w:val="en-GB"/>
        </w:rPr>
        <w:t>that may be taken as a result.</w:t>
      </w:r>
    </w:p>
    <w:p w:rsidR="412BD25C" w:rsidRDefault="412BD25C" w14:paraId="08C98115" w14:textId="202A3BF9">
      <w:r w:rsidRPr="412BD25C" w:rsidR="412BD25C">
        <w:rPr>
          <w:rFonts w:ascii="Calibri" w:hAnsi="Calibri" w:eastAsia="Calibri" w:cs="Calibri"/>
          <w:noProof w:val="0"/>
          <w:sz w:val="24"/>
          <w:szCs w:val="24"/>
          <w:lang w:val="en-GB"/>
        </w:rPr>
        <w:t>Signed: Sarah Chislett</w:t>
      </w:r>
    </w:p>
    <w:p w:rsidR="412BD25C" w:rsidP="412BD25C" w:rsidRDefault="412BD25C" w14:paraId="542F01D4" w14:textId="52E53375">
      <w:pPr>
        <w:pStyle w:val="Normal"/>
      </w:pPr>
      <w:r w:rsidRPr="412BD25C" w:rsidR="412BD25C">
        <w:rPr>
          <w:rFonts w:ascii="Calibri" w:hAnsi="Calibri" w:eastAsia="Calibri" w:cs="Calibri"/>
          <w:noProof w:val="0"/>
          <w:sz w:val="24"/>
          <w:szCs w:val="24"/>
          <w:lang w:val="en-GB"/>
        </w:rPr>
        <w:t>Date: 30/09/2019</w:t>
      </w:r>
    </w:p>
    <w:p w:rsidR="412BD25C" w:rsidP="412BD25C" w:rsidRDefault="412BD25C" w14:paraId="3AB0DF0B" w14:textId="57365B81">
      <w:pPr>
        <w:pStyle w:val="Normal"/>
        <w:rPr>
          <w:rFonts w:ascii="Calibri" w:hAnsi="Calibri" w:eastAsia="Calibri" w:cs="Calibri"/>
          <w:noProof w:val="0"/>
          <w:sz w:val="24"/>
          <w:szCs w:val="24"/>
          <w:lang w:val="en-GB"/>
        </w:rPr>
      </w:pPr>
    </w:p>
    <w:p w:rsidR="412BD25C" w:rsidP="412BD25C" w:rsidRDefault="412BD25C" w14:paraId="5F8A2DE2" w14:textId="609D950B">
      <w:pPr>
        <w:pStyle w:val="Normal"/>
        <w:rPr>
          <w:rFonts w:ascii="Calibri" w:hAnsi="Calibri" w:eastAsia="Calibri" w:cs="Calibri"/>
          <w:noProof w:val="0"/>
          <w:sz w:val="24"/>
          <w:szCs w:val="24"/>
          <w:lang w:val="en-GB"/>
        </w:rPr>
      </w:pPr>
    </w:p>
    <w:p w:rsidR="412BD25C" w:rsidP="412BD25C" w:rsidRDefault="412BD25C" w14:paraId="2C59EA21" w14:textId="17AA4678">
      <w:pPr>
        <w:pStyle w:val="Normal"/>
        <w:rPr>
          <w:rFonts w:ascii="Calibri" w:hAnsi="Calibri" w:eastAsia="Calibri" w:cs="Calibri"/>
          <w:noProof w:val="0"/>
          <w:sz w:val="24"/>
          <w:szCs w:val="24"/>
          <w:lang w:val="en-GB"/>
        </w:rPr>
      </w:pPr>
    </w:p>
    <w:p w:rsidR="412BD25C" w:rsidP="412BD25C" w:rsidRDefault="412BD25C" w14:paraId="711CA22F" w14:textId="3BC67C26">
      <w:pPr>
        <w:pStyle w:val="Normal"/>
        <w:rPr>
          <w:rFonts w:ascii="Calibri" w:hAnsi="Calibri" w:eastAsia="Calibri" w:cs="Calibri"/>
          <w:noProof w:val="0"/>
          <w:sz w:val="24"/>
          <w:szCs w:val="24"/>
          <w:lang w:val="en-GB"/>
        </w:rPr>
      </w:pPr>
    </w:p>
    <w:p w:rsidR="412BD25C" w:rsidP="412BD25C" w:rsidRDefault="412BD25C" w14:paraId="56B5C996" w14:textId="3EFAD766">
      <w:pPr>
        <w:pStyle w:val="Normal"/>
        <w:rPr>
          <w:rFonts w:ascii="Calibri" w:hAnsi="Calibri" w:eastAsia="Calibri" w:cs="Calibri"/>
          <w:noProof w:val="0"/>
          <w:sz w:val="24"/>
          <w:szCs w:val="24"/>
          <w:lang w:val="en-GB"/>
        </w:rPr>
      </w:pPr>
    </w:p>
    <w:p w:rsidR="412BD25C" w:rsidP="412BD25C" w:rsidRDefault="412BD25C" w14:paraId="607F4BFF" w14:textId="4469A829">
      <w:pPr>
        <w:pStyle w:val="Normal"/>
        <w:rPr>
          <w:rFonts w:ascii="Calibri" w:hAnsi="Calibri" w:eastAsia="Calibri" w:cs="Calibri"/>
          <w:noProof w:val="0"/>
          <w:sz w:val="24"/>
          <w:szCs w:val="24"/>
          <w:lang w:val="en-GB"/>
        </w:rPr>
      </w:pPr>
    </w:p>
    <w:p w:rsidR="412BD25C" w:rsidP="412BD25C" w:rsidRDefault="412BD25C" w14:paraId="6560EFB6" w14:textId="7CB72E0C">
      <w:pPr>
        <w:pStyle w:val="Normal"/>
        <w:rPr>
          <w:rFonts w:ascii="Calibri" w:hAnsi="Calibri" w:eastAsia="Calibri" w:cs="Calibri"/>
          <w:noProof w:val="0"/>
          <w:sz w:val="24"/>
          <w:szCs w:val="24"/>
          <w:lang w:val="en-GB"/>
        </w:rPr>
      </w:pPr>
    </w:p>
    <w:p w:rsidR="412BD25C" w:rsidP="412BD25C" w:rsidRDefault="412BD25C" w14:paraId="73B47D51" w14:textId="3E971ABC">
      <w:pPr>
        <w:pStyle w:val="Normal"/>
        <w:rPr>
          <w:rFonts w:ascii="Calibri" w:hAnsi="Calibri" w:eastAsia="Calibri" w:cs="Calibri"/>
          <w:noProof w:val="0"/>
          <w:sz w:val="24"/>
          <w:szCs w:val="24"/>
          <w:lang w:val="en-GB"/>
        </w:rPr>
      </w:pPr>
    </w:p>
    <w:p w:rsidR="412BD25C" w:rsidP="412BD25C" w:rsidRDefault="412BD25C" w14:paraId="1EAED2E6" w14:textId="1F55AB89">
      <w:pPr>
        <w:pStyle w:val="Normal"/>
        <w:rPr>
          <w:rFonts w:ascii="Calibri" w:hAnsi="Calibri" w:eastAsia="Calibri" w:cs="Calibri"/>
          <w:noProof w:val="0"/>
          <w:sz w:val="24"/>
          <w:szCs w:val="24"/>
          <w:lang w:val="en-GB"/>
        </w:rPr>
      </w:pPr>
    </w:p>
    <w:p w:rsidR="412BD25C" w:rsidP="412BD25C" w:rsidRDefault="412BD25C" w14:paraId="5CF3F228" w14:textId="09EFDEEB">
      <w:pPr>
        <w:pStyle w:val="Normal"/>
        <w:rPr>
          <w:rFonts w:ascii="Calibri" w:hAnsi="Calibri" w:eastAsia="Calibri" w:cs="Calibri"/>
          <w:noProof w:val="0"/>
          <w:sz w:val="24"/>
          <w:szCs w:val="24"/>
          <w:lang w:val="en-GB"/>
        </w:rPr>
      </w:pPr>
    </w:p>
    <w:p w:rsidR="412BD25C" w:rsidP="412BD25C" w:rsidRDefault="412BD25C" w14:paraId="5F12B0C3" w14:textId="07F71D9F">
      <w:pPr>
        <w:pStyle w:val="Normal"/>
        <w:rPr>
          <w:rFonts w:ascii="Calibri" w:hAnsi="Calibri" w:eastAsia="Calibri" w:cs="Calibri"/>
          <w:noProof w:val="0"/>
          <w:sz w:val="24"/>
          <w:szCs w:val="24"/>
          <w:lang w:val="en-GB"/>
        </w:rPr>
      </w:pPr>
    </w:p>
    <w:p w:rsidR="412BD25C" w:rsidP="412BD25C" w:rsidRDefault="412BD25C" w14:paraId="386D1393" w14:textId="36FFC775">
      <w:pPr>
        <w:pStyle w:val="Normal"/>
        <w:rPr>
          <w:rFonts w:ascii="Calibri" w:hAnsi="Calibri" w:eastAsia="Calibri" w:cs="Calibri"/>
          <w:noProof w:val="0"/>
          <w:sz w:val="24"/>
          <w:szCs w:val="24"/>
          <w:lang w:val="en-GB"/>
        </w:rPr>
      </w:pPr>
    </w:p>
    <w:p w:rsidR="412BD25C" w:rsidP="412BD25C" w:rsidRDefault="412BD25C" w14:paraId="170F83CD" w14:textId="5E820B67">
      <w:pPr>
        <w:pStyle w:val="Normal"/>
        <w:rPr>
          <w:rFonts w:ascii="Calibri" w:hAnsi="Calibri" w:eastAsia="Calibri" w:cs="Calibri"/>
          <w:noProof w:val="0"/>
          <w:sz w:val="24"/>
          <w:szCs w:val="24"/>
          <w:lang w:val="en-GB"/>
        </w:rPr>
      </w:pPr>
    </w:p>
    <w:p w:rsidR="412BD25C" w:rsidP="412BD25C" w:rsidRDefault="412BD25C" w14:paraId="457EC069" w14:textId="76829AE8">
      <w:pPr>
        <w:pStyle w:val="Normal"/>
        <w:rPr>
          <w:rFonts w:ascii="Calibri" w:hAnsi="Calibri" w:eastAsia="Calibri" w:cs="Calibri"/>
          <w:noProof w:val="0"/>
          <w:sz w:val="24"/>
          <w:szCs w:val="24"/>
          <w:lang w:val="en-GB"/>
        </w:rPr>
      </w:pPr>
    </w:p>
    <w:p w:rsidR="412BD25C" w:rsidP="412BD25C" w:rsidRDefault="412BD25C" w14:paraId="0B127E37" w14:textId="31A2657E">
      <w:pPr>
        <w:pStyle w:val="Normal"/>
        <w:rPr>
          <w:rFonts w:ascii="Calibri" w:hAnsi="Calibri" w:eastAsia="Calibri" w:cs="Calibri"/>
          <w:noProof w:val="0"/>
          <w:sz w:val="24"/>
          <w:szCs w:val="24"/>
          <w:lang w:val="en-GB"/>
        </w:rPr>
      </w:pPr>
    </w:p>
    <w:p w:rsidR="412BD25C" w:rsidP="412BD25C" w:rsidRDefault="412BD25C" w14:paraId="595C2BE1" w14:textId="27E27874">
      <w:pPr>
        <w:pStyle w:val="Normal"/>
        <w:rPr>
          <w:rFonts w:ascii="Calibri" w:hAnsi="Calibri" w:eastAsia="Calibri" w:cs="Calibri"/>
          <w:noProof w:val="0"/>
          <w:sz w:val="24"/>
          <w:szCs w:val="24"/>
          <w:lang w:val="en-GB"/>
        </w:rPr>
      </w:pPr>
    </w:p>
    <w:p w:rsidR="412BD25C" w:rsidP="412BD25C" w:rsidRDefault="412BD25C" w14:paraId="3D5842E0" w14:textId="50E6FF71">
      <w:pPr>
        <w:pStyle w:val="Normal"/>
        <w:rPr>
          <w:rFonts w:ascii="Calibri" w:hAnsi="Calibri" w:eastAsia="Calibri" w:cs="Calibri"/>
          <w:noProof w:val="0"/>
          <w:sz w:val="24"/>
          <w:szCs w:val="24"/>
          <w:lang w:val="en-GB"/>
        </w:rPr>
      </w:pPr>
    </w:p>
    <w:p w:rsidR="412BD25C" w:rsidP="412BD25C" w:rsidRDefault="412BD25C" w14:paraId="74465625" w14:textId="7A24C743">
      <w:pPr>
        <w:pStyle w:val="Normal"/>
        <w:rPr>
          <w:rFonts w:ascii="Calibri" w:hAnsi="Calibri" w:eastAsia="Calibri" w:cs="Calibri"/>
          <w:noProof w:val="0"/>
          <w:sz w:val="24"/>
          <w:szCs w:val="24"/>
          <w:lang w:val="en-GB"/>
        </w:rPr>
      </w:pPr>
    </w:p>
    <w:p w:rsidR="412BD25C" w:rsidP="412BD25C" w:rsidRDefault="412BD25C" w14:paraId="349CFD27" w14:textId="1E816975">
      <w:pPr>
        <w:pStyle w:val="Normal"/>
        <w:rPr>
          <w:rFonts w:ascii="Calibri" w:hAnsi="Calibri" w:eastAsia="Calibri" w:cs="Calibri"/>
          <w:noProof w:val="0"/>
          <w:sz w:val="24"/>
          <w:szCs w:val="24"/>
          <w:lang w:val="en-GB"/>
        </w:rPr>
      </w:pPr>
    </w:p>
    <w:p w:rsidR="412BD25C" w:rsidP="412BD25C" w:rsidRDefault="412BD25C" w14:paraId="105AB48A" w14:textId="705C633B">
      <w:pPr>
        <w:pStyle w:val="Normal"/>
        <w:rPr>
          <w:rFonts w:ascii="Calibri" w:hAnsi="Calibri" w:eastAsia="Calibri" w:cs="Calibri"/>
          <w:noProof w:val="0"/>
          <w:sz w:val="24"/>
          <w:szCs w:val="24"/>
          <w:lang w:val="en-GB"/>
        </w:rPr>
      </w:pPr>
    </w:p>
    <w:p w:rsidR="412BD25C" w:rsidP="412BD25C" w:rsidRDefault="412BD25C" w14:paraId="0D093948" w14:textId="0FD977DE">
      <w:pPr>
        <w:pStyle w:val="Normal"/>
        <w:rPr>
          <w:rFonts w:ascii="Calibri" w:hAnsi="Calibri" w:eastAsia="Calibri" w:cs="Calibri"/>
          <w:noProof w:val="0"/>
          <w:sz w:val="24"/>
          <w:szCs w:val="24"/>
          <w:lang w:val="en-GB"/>
        </w:rPr>
      </w:pPr>
    </w:p>
    <w:p w:rsidR="412BD25C" w:rsidP="412BD25C" w:rsidRDefault="412BD25C" w14:paraId="7CF68C30" w14:textId="07946F12">
      <w:pPr>
        <w:pStyle w:val="Normal"/>
        <w:rPr>
          <w:rFonts w:ascii="Calibri" w:hAnsi="Calibri" w:eastAsia="Calibri" w:cs="Calibri"/>
          <w:noProof w:val="0"/>
          <w:sz w:val="24"/>
          <w:szCs w:val="24"/>
          <w:lang w:val="en-GB"/>
        </w:rPr>
      </w:pPr>
    </w:p>
    <w:p w:rsidR="412BD25C" w:rsidP="412BD25C" w:rsidRDefault="412BD25C" w14:paraId="01C56E49" w14:textId="572CD707">
      <w:pPr>
        <w:pStyle w:val="Normal"/>
        <w:rPr>
          <w:rFonts w:ascii="Calibri" w:hAnsi="Calibri" w:eastAsia="Calibri" w:cs="Calibri"/>
          <w:noProof w:val="0"/>
          <w:sz w:val="24"/>
          <w:szCs w:val="24"/>
          <w:lang w:val="en-GB"/>
        </w:rPr>
      </w:pPr>
    </w:p>
    <w:p w:rsidR="412BD25C" w:rsidP="412BD25C" w:rsidRDefault="412BD25C" w14:paraId="0930B5C4" w14:textId="606CCFA0">
      <w:pPr>
        <w:pStyle w:val="Normal"/>
        <w:rPr>
          <w:rFonts w:ascii="Calibri" w:hAnsi="Calibri" w:eastAsia="Calibri" w:cs="Calibri"/>
          <w:noProof w:val="0"/>
          <w:sz w:val="24"/>
          <w:szCs w:val="24"/>
          <w:lang w:val="en-GB"/>
        </w:rPr>
      </w:pPr>
    </w:p>
    <w:p w:rsidR="412BD25C" w:rsidP="412BD25C" w:rsidRDefault="412BD25C" w14:paraId="2B3A9BFD" w14:textId="263DAFD9">
      <w:pPr>
        <w:pStyle w:val="Normal"/>
        <w:rPr>
          <w:rFonts w:ascii="Calibri" w:hAnsi="Calibri" w:eastAsia="Calibri" w:cs="Calibri"/>
          <w:noProof w:val="0"/>
          <w:sz w:val="24"/>
          <w:szCs w:val="24"/>
          <w:lang w:val="en-GB"/>
        </w:rPr>
      </w:pPr>
    </w:p>
    <w:p w:rsidR="412BD25C" w:rsidP="412BD25C" w:rsidRDefault="412BD25C" w14:paraId="2D1530B1" w14:textId="37E5A4A6">
      <w:pPr>
        <w:pStyle w:val="Normal"/>
        <w:rPr>
          <w:rFonts w:ascii="Calibri" w:hAnsi="Calibri" w:eastAsia="Calibri" w:cs="Calibri"/>
          <w:noProof w:val="0"/>
          <w:sz w:val="24"/>
          <w:szCs w:val="24"/>
          <w:lang w:val="en-GB"/>
        </w:rPr>
      </w:pPr>
    </w:p>
    <w:p w:rsidR="412BD25C" w:rsidP="412BD25C" w:rsidRDefault="412BD25C" w14:paraId="21AAFB52" w14:textId="76BDC0B0">
      <w:pPr>
        <w:pStyle w:val="Normal"/>
        <w:rPr>
          <w:rFonts w:ascii="Calibri" w:hAnsi="Calibri" w:eastAsia="Calibri" w:cs="Calibri"/>
          <w:noProof w:val="0"/>
          <w:sz w:val="24"/>
          <w:szCs w:val="24"/>
          <w:lang w:val="en-GB"/>
        </w:rPr>
      </w:pPr>
    </w:p>
    <w:p xmlns:wp14="http://schemas.microsoft.com/office/word/2010/wordml" w:rsidP="34F84769" w14:paraId="5E5787A5" wp14:textId="6555DE3B">
      <w:pPr>
        <w:rPr>
          <w:sz w:val="24"/>
          <w:szCs w:val="24"/>
          <w:u w:val="single"/>
        </w:rPr>
      </w:pPr>
      <w:bookmarkStart w:name="_GoBack" w:id="0"/>
      <w:bookmarkEnd w:id="0"/>
      <w:r w:rsidRPr="34F84769" w:rsidR="2D0A8BC6">
        <w:rPr>
          <w:sz w:val="24"/>
          <w:szCs w:val="24"/>
          <w:u w:val="single"/>
        </w:rPr>
        <w:t xml:space="preserve">Understanding Employee </w:t>
      </w:r>
      <w:r w:rsidRPr="34F84769" w:rsidR="2D0A8BC6">
        <w:rPr>
          <w:sz w:val="24"/>
          <w:szCs w:val="24"/>
          <w:u w:val="single"/>
        </w:rPr>
        <w:t>Engagement</w:t>
      </w:r>
    </w:p>
    <w:p w:rsidR="34F84769" w:rsidP="34F84769" w:rsidRDefault="34F84769" w14:paraId="0FB48038" w14:textId="57971303">
      <w:pPr>
        <w:pStyle w:val="Normal"/>
        <w:rPr>
          <w:sz w:val="24"/>
          <w:szCs w:val="24"/>
          <w:u w:val="single"/>
        </w:rPr>
      </w:pPr>
    </w:p>
    <w:p w:rsidR="5D731A10" w:rsidP="34F84769" w:rsidRDefault="5D731A10" w14:paraId="3E2F6A2F" w14:textId="1BF92BD7">
      <w:pPr>
        <w:pStyle w:val="Normal"/>
        <w:rPr>
          <w:sz w:val="24"/>
          <w:szCs w:val="24"/>
          <w:u w:val="single"/>
        </w:rPr>
      </w:pPr>
      <w:r w:rsidRPr="34F84769" w:rsidR="5D731A10">
        <w:rPr>
          <w:sz w:val="24"/>
          <w:szCs w:val="24"/>
          <w:u w:val="single"/>
        </w:rPr>
        <w:t>Introduction</w:t>
      </w:r>
    </w:p>
    <w:p w:rsidR="236AA97B" w:rsidP="2BDEC811" w:rsidRDefault="236AA97B" w14:paraId="2AD57158" w14:textId="4F4808A0">
      <w:pPr>
        <w:pStyle w:val="Normal"/>
        <w:rPr>
          <w:rFonts w:ascii="Calibri" w:hAnsi="Calibri" w:eastAsia="Calibri" w:cs="Calibri"/>
          <w:b w:val="0"/>
          <w:bCs w:val="0"/>
          <w:i w:val="0"/>
          <w:iCs w:val="0"/>
          <w:noProof w:val="0"/>
          <w:color w:val="000000" w:themeColor="text1" w:themeTint="FF" w:themeShade="FF"/>
          <w:sz w:val="24"/>
          <w:szCs w:val="24"/>
          <w:lang w:val="en-GB"/>
        </w:rPr>
      </w:pPr>
      <w:r w:rsidRPr="2BDEC811" w:rsidR="2BDEC811">
        <w:rPr>
          <w:sz w:val="24"/>
          <w:szCs w:val="24"/>
          <w:u w:val="none"/>
        </w:rPr>
        <w:t xml:space="preserve">Employee engagement is described as a workplace approach to give all employees the right conditions to deliver their best work and a daily basis, working towards an organisations goals and Objectives ensuring they are committed to supporting the organisations success </w:t>
      </w:r>
      <w:r w:rsidRPr="2BDEC811" w:rsidR="2BDEC811">
        <w:rPr>
          <w:rFonts w:ascii="Calibri" w:hAnsi="Calibri" w:eastAsia="Calibri" w:cs="Calibri"/>
          <w:b w:val="0"/>
          <w:bCs w:val="0"/>
          <w:i w:val="0"/>
          <w:iCs w:val="0"/>
          <w:noProof w:val="0"/>
          <w:color w:val="000000" w:themeColor="text1" w:themeTint="FF" w:themeShade="FF"/>
          <w:sz w:val="24"/>
          <w:szCs w:val="24"/>
          <w:lang w:val="en-GB"/>
        </w:rPr>
        <w:t>(Engage for Success, n.d.). There is no exact definition for employee engagement (Woodhams, 2016, pp.80). David Macleod states that ‘It is about how we create conditions in which employees offer more than just their capability and potential’ (Engage for Success, n.d.).</w:t>
      </w:r>
    </w:p>
    <w:p w:rsidR="78E4C60C" w:rsidP="412BD25C" w:rsidRDefault="78E4C60C" w14:paraId="28358C1E" w14:textId="39183E0C">
      <w:pPr>
        <w:pStyle w:val="Normal"/>
        <w:rPr>
          <w:rFonts w:ascii="Calibri" w:hAnsi="Calibri" w:eastAsia="Calibri" w:cs="Calibri"/>
          <w:b w:val="0"/>
          <w:bCs w:val="0"/>
          <w:i w:val="0"/>
          <w:iCs w:val="0"/>
          <w:noProof w:val="0"/>
          <w:color w:val="000000" w:themeColor="text1" w:themeTint="FF" w:themeShade="FF"/>
          <w:sz w:val="24"/>
          <w:szCs w:val="24"/>
          <w:lang w:val="en-GB"/>
        </w:rPr>
      </w:pPr>
      <w:r w:rsidRPr="412BD25C" w:rsidR="412BD25C">
        <w:rPr>
          <w:rFonts w:ascii="Calibri" w:hAnsi="Calibri" w:eastAsia="Calibri" w:cs="Calibri"/>
          <w:b w:val="0"/>
          <w:bCs w:val="0"/>
          <w:i w:val="0"/>
          <w:iCs w:val="0"/>
          <w:noProof w:val="0"/>
          <w:color w:val="000000" w:themeColor="text1" w:themeTint="FF" w:themeShade="FF"/>
          <w:sz w:val="24"/>
          <w:szCs w:val="24"/>
          <w:lang w:val="en-GB"/>
        </w:rPr>
        <w:t>Employee engagement is built on trust, integrity, commitment and communication between an organisation and its employees. Employee engagement can be measured, can be poor or can be great. Employee engagement is discretionary and Woodhams states that the implication of this conceptualisation is that ‘one size does not fit all, and this means that employers have to understand the different drivers of engagement in different parts of their business (Purcell, 2010. p4).</w:t>
      </w:r>
    </w:p>
    <w:p w:rsidR="34F84769" w:rsidP="34F84769" w:rsidRDefault="34F84769" w14:paraId="07CED499" w14:textId="547FC9C8">
      <w:pPr>
        <w:pStyle w:val="Normal"/>
        <w:rPr>
          <w:sz w:val="24"/>
          <w:szCs w:val="24"/>
          <w:u w:val="single"/>
        </w:rPr>
      </w:pPr>
    </w:p>
    <w:p w:rsidR="630D1A0B" w:rsidP="630D1A0B" w:rsidRDefault="630D1A0B" w14:paraId="676244A7" w14:textId="344E75F9">
      <w:pPr>
        <w:pStyle w:val="ListParagraph"/>
        <w:numPr>
          <w:ilvl w:val="0"/>
          <w:numId w:val="1"/>
        </w:numPr>
        <w:rPr>
          <w:sz w:val="24"/>
          <w:szCs w:val="24"/>
        </w:rPr>
      </w:pPr>
      <w:r w:rsidRPr="630D1A0B" w:rsidR="630D1A0B">
        <w:rPr>
          <w:sz w:val="24"/>
          <w:szCs w:val="24"/>
          <w:u w:val="single"/>
        </w:rPr>
        <w:t>Define employee engagement</w:t>
      </w:r>
      <w:r w:rsidRPr="630D1A0B" w:rsidR="630D1A0B">
        <w:rPr>
          <w:sz w:val="24"/>
          <w:szCs w:val="24"/>
        </w:rPr>
        <w:t xml:space="preserve"> </w:t>
      </w:r>
    </w:p>
    <w:p w:rsidR="630D1A0B" w:rsidP="412BD25C" w:rsidRDefault="630D1A0B" w14:paraId="276A573E" w14:textId="734A5458">
      <w:pPr>
        <w:pStyle w:val="Normal"/>
        <w:ind w:left="0"/>
        <w:rPr>
          <w:sz w:val="24"/>
          <w:szCs w:val="24"/>
        </w:rPr>
      </w:pPr>
      <w:r w:rsidRPr="412BD25C" w:rsidR="412BD25C">
        <w:rPr>
          <w:sz w:val="24"/>
          <w:szCs w:val="24"/>
        </w:rPr>
        <w:t xml:space="preserve">CIPD (2018) state that </w:t>
      </w:r>
      <w:r w:rsidRPr="412BD25C" w:rsidR="412BD25C">
        <w:rPr>
          <w:sz w:val="24"/>
          <w:szCs w:val="24"/>
        </w:rPr>
        <w:t xml:space="preserve">an </w:t>
      </w:r>
      <w:r w:rsidRPr="412BD25C" w:rsidR="412BD25C">
        <w:rPr>
          <w:sz w:val="24"/>
          <w:szCs w:val="24"/>
        </w:rPr>
        <w:t>employee who ha</w:t>
      </w:r>
      <w:r w:rsidRPr="412BD25C" w:rsidR="412BD25C">
        <w:rPr>
          <w:sz w:val="24"/>
          <w:szCs w:val="24"/>
        </w:rPr>
        <w:t>ve</w:t>
      </w:r>
      <w:r w:rsidRPr="412BD25C" w:rsidR="412BD25C">
        <w:rPr>
          <w:sz w:val="24"/>
          <w:szCs w:val="24"/>
        </w:rPr>
        <w:t xml:space="preserve"> good quality jobs and are managed well will be happier, healthier and more productive. Employee engagement is known as a three dimensional concept, people employ and express themselves Physically, Cognitively and </w:t>
      </w:r>
      <w:r w:rsidRPr="412BD25C" w:rsidR="412BD25C">
        <w:rPr>
          <w:sz w:val="24"/>
          <w:szCs w:val="24"/>
        </w:rPr>
        <w:t>E</w:t>
      </w:r>
      <w:r w:rsidRPr="412BD25C" w:rsidR="412BD25C">
        <w:rPr>
          <w:sz w:val="24"/>
          <w:szCs w:val="24"/>
        </w:rPr>
        <w:t xml:space="preserve">motionally (Khan,1990) When it comes to retaining employees, it is no longer about doing one thing really well it is about doing lots extremely well in a systematic repetitive fashion </w:t>
      </w:r>
      <w:r w:rsidRPr="412BD25C" w:rsidR="412BD25C">
        <w:rPr>
          <w:rFonts w:ascii="Calibri" w:hAnsi="Calibri" w:eastAsia="Calibri" w:cs="Calibri"/>
          <w:b w:val="0"/>
          <w:bCs w:val="0"/>
          <w:i w:val="0"/>
          <w:iCs w:val="0"/>
          <w:noProof w:val="0"/>
          <w:color w:val="000000" w:themeColor="text1" w:themeTint="FF" w:themeShade="FF"/>
          <w:sz w:val="24"/>
          <w:szCs w:val="24"/>
          <w:lang w:val="en-GB"/>
        </w:rPr>
        <w:t>(Corless, 2017).</w:t>
      </w:r>
    </w:p>
    <w:p w:rsidR="2F8DC101" w:rsidP="412BD25C" w:rsidRDefault="2F8DC101" w14:paraId="37785503" w14:textId="3803A2EA">
      <w:pPr>
        <w:pStyle w:val="Normal"/>
        <w:ind w:left="0"/>
        <w:rPr>
          <w:rFonts w:ascii="Calibri" w:hAnsi="Calibri" w:eastAsia="Calibri" w:cs="Calibri"/>
          <w:b w:val="0"/>
          <w:bCs w:val="0"/>
          <w:i w:val="0"/>
          <w:iCs w:val="0"/>
          <w:noProof w:val="0"/>
          <w:color w:val="000000" w:themeColor="text1" w:themeTint="FF" w:themeShade="FF"/>
          <w:sz w:val="24"/>
          <w:szCs w:val="24"/>
          <w:lang w:val="en-GB"/>
        </w:rPr>
      </w:pPr>
      <w:r w:rsidRPr="412BD25C" w:rsidR="412BD25C">
        <w:rPr>
          <w:rFonts w:ascii="Calibri" w:hAnsi="Calibri" w:eastAsia="Calibri" w:cs="Calibri"/>
          <w:b w:val="0"/>
          <w:bCs w:val="0"/>
          <w:i w:val="0"/>
          <w:iCs w:val="0"/>
          <w:noProof w:val="0"/>
          <w:color w:val="000000" w:themeColor="text1" w:themeTint="FF" w:themeShade="FF"/>
          <w:sz w:val="24"/>
          <w:szCs w:val="24"/>
          <w:lang w:val="en-GB"/>
        </w:rPr>
        <w:t xml:space="preserve">In a fact sheet on </w:t>
      </w:r>
      <w:r w:rsidRPr="412BD25C" w:rsidR="412BD25C">
        <w:rPr>
          <w:rFonts w:ascii="Calibri" w:hAnsi="Calibri" w:eastAsia="Calibri" w:cs="Calibri"/>
          <w:b w:val="0"/>
          <w:bCs w:val="0"/>
          <w:i w:val="0"/>
          <w:iCs w:val="0"/>
          <w:noProof w:val="0"/>
          <w:color w:val="000000" w:themeColor="text1" w:themeTint="FF" w:themeShade="FF"/>
          <w:sz w:val="24"/>
          <w:szCs w:val="24"/>
          <w:lang w:val="en-GB"/>
        </w:rPr>
        <w:t>E</w:t>
      </w:r>
      <w:r w:rsidRPr="412BD25C" w:rsidR="412BD25C">
        <w:rPr>
          <w:rFonts w:ascii="Calibri" w:hAnsi="Calibri" w:eastAsia="Calibri" w:cs="Calibri"/>
          <w:b w:val="0"/>
          <w:bCs w:val="0"/>
          <w:i w:val="0"/>
          <w:iCs w:val="0"/>
          <w:noProof w:val="0"/>
          <w:color w:val="000000" w:themeColor="text1" w:themeTint="FF" w:themeShade="FF"/>
          <w:sz w:val="24"/>
          <w:szCs w:val="24"/>
          <w:lang w:val="en-GB"/>
        </w:rPr>
        <w:t xml:space="preserve">mployee engagement, CIPD (2018) states that </w:t>
      </w:r>
      <w:r w:rsidRPr="412BD25C" w:rsidR="412BD25C">
        <w:rPr>
          <w:rFonts w:ascii="Calibri" w:hAnsi="Calibri" w:eastAsia="Calibri" w:cs="Calibri"/>
          <w:b w:val="0"/>
          <w:bCs w:val="0"/>
          <w:i w:val="0"/>
          <w:iCs w:val="0"/>
          <w:noProof w:val="0"/>
          <w:color w:val="000000" w:themeColor="text1" w:themeTint="FF" w:themeShade="FF"/>
          <w:sz w:val="24"/>
          <w:szCs w:val="24"/>
          <w:lang w:val="en-GB"/>
        </w:rPr>
        <w:t>E</w:t>
      </w:r>
      <w:r w:rsidRPr="412BD25C" w:rsidR="412BD25C">
        <w:rPr>
          <w:rFonts w:ascii="Calibri" w:hAnsi="Calibri" w:eastAsia="Calibri" w:cs="Calibri"/>
          <w:b w:val="0"/>
          <w:bCs w:val="0"/>
          <w:i w:val="0"/>
          <w:iCs w:val="0"/>
          <w:noProof w:val="0"/>
          <w:color w:val="000000" w:themeColor="text1" w:themeTint="FF" w:themeShade="FF"/>
          <w:sz w:val="24"/>
          <w:szCs w:val="24"/>
          <w:lang w:val="en-GB"/>
        </w:rPr>
        <w:t>mployee engagement is ‘a combination of commitment to the organisation and its values plus a willingness to help colleagues’ this is known as organisational citizenship where a  person has a wider understanding of an organisation and are committed, passionate and share knowledge with others (Woodhams, 2016, pp. 81).</w:t>
      </w:r>
    </w:p>
    <w:p w:rsidR="2F8DC101" w:rsidP="2BDEC811" w:rsidRDefault="2F8DC101" w14:paraId="4A8102A7" w14:textId="1F4CC118">
      <w:pPr>
        <w:pStyle w:val="Normal"/>
        <w:ind w:left="0"/>
        <w:rPr>
          <w:rFonts w:ascii="Calibri" w:hAnsi="Calibri" w:eastAsia="Calibri" w:cs="Calibri"/>
          <w:b w:val="0"/>
          <w:bCs w:val="0"/>
          <w:i w:val="0"/>
          <w:iCs w:val="0"/>
          <w:noProof w:val="0"/>
          <w:color w:val="000000" w:themeColor="text1" w:themeTint="FF" w:themeShade="FF"/>
          <w:sz w:val="24"/>
          <w:szCs w:val="24"/>
          <w:lang w:val="en-GB"/>
        </w:rPr>
      </w:pPr>
      <w:r w:rsidRPr="2BDEC811" w:rsidR="2BDEC811">
        <w:rPr>
          <w:rFonts w:ascii="Calibri" w:hAnsi="Calibri" w:eastAsia="Calibri" w:cs="Calibri"/>
          <w:b w:val="0"/>
          <w:bCs w:val="0"/>
          <w:i w:val="0"/>
          <w:iCs w:val="0"/>
          <w:noProof w:val="0"/>
          <w:color w:val="000000" w:themeColor="text1" w:themeTint="FF" w:themeShade="FF"/>
          <w:sz w:val="24"/>
          <w:szCs w:val="24"/>
          <w:lang w:val="en-GB"/>
        </w:rPr>
        <w:t>Recent research from the CIPD (2012) suggests that  employees can engage on different levels and that there is two forms of engagement, First there is Emotional engagement defined as someone having emotional attachment to one or more aspects of their job, Second is Transactional engagement which is defined as someone who is happy to display the required behaviours of a job role but is not commitment to their job or organisation and would be willing to leave for a better job elsewhere (Woodhams, 2016,pp.81).</w:t>
      </w:r>
    </w:p>
    <w:p w:rsidR="2F8DC101" w:rsidP="412BD25C" w:rsidRDefault="2F8DC101" w14:paraId="565C1DF4" w14:textId="3385EDBB">
      <w:pPr>
        <w:pStyle w:val="Normal"/>
        <w:ind w:left="0"/>
        <w:rPr>
          <w:rFonts w:ascii="Calibri" w:hAnsi="Calibri" w:eastAsia="Calibri" w:cs="Calibri"/>
          <w:b w:val="0"/>
          <w:bCs w:val="0"/>
          <w:i w:val="0"/>
          <w:iCs w:val="0"/>
          <w:noProof w:val="0"/>
          <w:color w:val="000000" w:themeColor="text1" w:themeTint="FF" w:themeShade="FF"/>
          <w:sz w:val="24"/>
          <w:szCs w:val="24"/>
          <w:lang w:val="en-GB"/>
        </w:rPr>
      </w:pPr>
      <w:r w:rsidRPr="412BD25C" w:rsidR="412BD25C">
        <w:rPr>
          <w:rFonts w:ascii="Calibri" w:hAnsi="Calibri" w:eastAsia="Calibri" w:cs="Calibri"/>
          <w:b w:val="0"/>
          <w:bCs w:val="0"/>
          <w:i w:val="0"/>
          <w:iCs w:val="0"/>
          <w:noProof w:val="0"/>
          <w:color w:val="000000" w:themeColor="text1" w:themeTint="FF" w:themeShade="FF"/>
          <w:sz w:val="24"/>
          <w:szCs w:val="24"/>
          <w:lang w:val="en-GB"/>
        </w:rPr>
        <w:t>Organisational commitment is an individual's Psychological attachment to a company. There are 3 different mindsets that can characterise an individual's commitment to their organisation: affective, continuance and normative</w:t>
      </w:r>
      <w:r w:rsidRPr="412BD25C" w:rsidR="412BD25C">
        <w:rPr>
          <w:rFonts w:ascii="Calibri" w:hAnsi="Calibri" w:eastAsia="Calibri" w:cs="Calibri"/>
          <w:b w:val="0"/>
          <w:bCs w:val="0"/>
          <w:i w:val="1"/>
          <w:iCs w:val="1"/>
          <w:noProof w:val="0"/>
          <w:color w:val="000000" w:themeColor="text1" w:themeTint="FF" w:themeShade="FF"/>
          <w:sz w:val="24"/>
          <w:szCs w:val="24"/>
          <w:lang w:val="en-GB"/>
        </w:rPr>
        <w:t xml:space="preserve"> (The Oxford Review, n.d.)</w:t>
      </w:r>
      <w:r w:rsidRPr="412BD25C" w:rsidR="412BD25C">
        <w:rPr>
          <w:rFonts w:ascii="Calibri" w:hAnsi="Calibri" w:eastAsia="Calibri" w:cs="Calibri"/>
          <w:b w:val="0"/>
          <w:bCs w:val="0"/>
          <w:i w:val="0"/>
          <w:iCs w:val="0"/>
          <w:noProof w:val="0"/>
          <w:color w:val="000000" w:themeColor="text1" w:themeTint="FF" w:themeShade="FF"/>
          <w:sz w:val="24"/>
          <w:szCs w:val="24"/>
          <w:lang w:val="en-GB"/>
        </w:rPr>
        <w:t xml:space="preserve">. Affective refers to an employee's positive emotional attachment to the organisation Continuance is a form of commitment which is more negative in character where an individual fears to leave the organisation for fear of social losses such as unemployment or work relationships they have built, and Normative is where individuals comit to and remain with an organisation due to feelings of Obligation and Indebtedness (Woodhams, 2016,pp.82).  Employee satisfaction is a term used to describe how happy an employee is within an organisation (Bamboohr.com, 2019). Both concepts link with employee engagement, to ensure an employee is satisfied within their organisation there are many things that organisations can do such as given the employee job security, recognition and to look after their wellbeing. With organisational commitment employee need to ensure that they are thinking about the bigger picture to get an employee to build into their long term plan, how they are treated at work the opportunity to be heard and how they feel they fit in with an organisation are all things that could make an employee commit to an organisation. All employees need to understand how they fit into an organisation and this should be reflected in all policies and HR strategies. The CIPD (2019) states that HR strategies is an approach to managing HR that supports long term business goals and outcomes with a strategic framework, by sharing this kind of information with employees they would feel involved in an organisation and want to commit to them long term </w:t>
      </w:r>
      <w:proofErr w:type="spellStart"/>
      <w:proofErr w:type="spellEnd"/>
    </w:p>
    <w:p w:rsidR="34F84769" w:rsidP="34F84769" w:rsidRDefault="34F84769" w14:paraId="77604EFD" w14:textId="10BAAA77">
      <w:pPr>
        <w:pStyle w:val="Normal"/>
        <w:ind w:left="360"/>
        <w:rPr>
          <w:sz w:val="24"/>
          <w:szCs w:val="24"/>
        </w:rPr>
      </w:pPr>
    </w:p>
    <w:p w:rsidR="11ED4C8F" w:rsidP="657066D7" w:rsidRDefault="11ED4C8F" w14:paraId="3604415F" w14:textId="24872916">
      <w:pPr>
        <w:pStyle w:val="ListParagraph"/>
        <w:numPr>
          <w:ilvl w:val="0"/>
          <w:numId w:val="1"/>
        </w:numPr>
        <w:rPr>
          <w:sz w:val="24"/>
          <w:szCs w:val="24"/>
        </w:rPr>
      </w:pPr>
      <w:r w:rsidRPr="657066D7" w:rsidR="657066D7">
        <w:rPr>
          <w:sz w:val="24"/>
          <w:szCs w:val="24"/>
          <w:u w:val="single"/>
        </w:rPr>
        <w:t>Describe</w:t>
      </w:r>
      <w:r w:rsidRPr="657066D7" w:rsidR="657066D7">
        <w:rPr>
          <w:sz w:val="24"/>
          <w:szCs w:val="24"/>
          <w:u w:val="single"/>
        </w:rPr>
        <w:t xml:space="preserve"> the HR, leadership and cultural elements of organisations</w:t>
      </w:r>
      <w:r w:rsidRPr="657066D7" w:rsidR="657066D7">
        <w:rPr>
          <w:sz w:val="24"/>
          <w:szCs w:val="24"/>
        </w:rPr>
        <w:t xml:space="preserve"> </w:t>
      </w:r>
    </w:p>
    <w:p w:rsidR="657066D7" w:rsidP="657066D7" w:rsidRDefault="657066D7" w14:paraId="776876C4" w14:textId="67E21E87">
      <w:pPr>
        <w:pStyle w:val="Normal"/>
        <w:ind w:left="0"/>
        <w:rPr>
          <w:sz w:val="24"/>
          <w:szCs w:val="24"/>
        </w:rPr>
      </w:pPr>
      <w:r w:rsidRPr="657066D7" w:rsidR="657066D7">
        <w:rPr>
          <w:sz w:val="24"/>
          <w:szCs w:val="24"/>
        </w:rPr>
        <w:t xml:space="preserve">MacLeod (2009) identifies 4 enablers of employee engagement Strategic Narrative, Engaging mangers, Employee Voice and Integrity (Woodhams, 2016, pp. 83). Strategic Narrative is defined as a’ strong explicit organisational culture which gives employees a line of sight between their job and the vision and aims of the organisation’ (Macleod and Clarke 2009, p31). Engaging mangers are ones who offer clarity, appreciation of employee's effort and contribution and managers who treat employees as individuals. They ensure that work is efficient and organised, so employees feel values and equipped to do their jobs (MacLeod and Clarke 2009, p80). Employee Voice is a forum where employee views are sight out, they are listened too and see that their opinions count and make a difference (MacLeod and Clarke 2009, p.79). Finally, Integrity this is defined as a belief among employees that the organisation lives its values and adopt behaviours resulting in trust and a sense of integrity (Macleod and Clarke 2009, p.33). </w:t>
      </w:r>
    </w:p>
    <w:p w:rsidR="657066D7" w:rsidP="657066D7" w:rsidRDefault="657066D7" w14:paraId="682D004D" w14:textId="4DA64D64">
      <w:pPr>
        <w:pStyle w:val="Normal"/>
        <w:ind w:left="0"/>
        <w:rPr>
          <w:sz w:val="24"/>
          <w:szCs w:val="24"/>
        </w:rPr>
      </w:pPr>
      <w:r w:rsidRPr="657066D7" w:rsidR="657066D7">
        <w:rPr>
          <w:sz w:val="24"/>
          <w:szCs w:val="24"/>
        </w:rPr>
        <w:t xml:space="preserve">The Macleod report alongside Purcell's research (2010) emphasis that the role of managers is in promoting culture with these four enablers (Woodhams, 2016, pp.83). Along with this Robinson and </w:t>
      </w:r>
      <w:proofErr w:type="spellStart"/>
      <w:r w:rsidRPr="657066D7" w:rsidR="657066D7">
        <w:rPr>
          <w:sz w:val="24"/>
          <w:szCs w:val="24"/>
        </w:rPr>
        <w:t>Hayday</w:t>
      </w:r>
      <w:proofErr w:type="spellEnd"/>
      <w:r w:rsidRPr="657066D7" w:rsidR="657066D7">
        <w:rPr>
          <w:sz w:val="24"/>
          <w:szCs w:val="24"/>
        </w:rPr>
        <w:t xml:space="preserve"> (2009) who on behalf of the Institute of Employee studies (IES) have produced a report on behaviours of engaging managers, these behaviours include they communicate and make clear what is expected, they listen, value and involve their teams, they focus on targets rather than processes, they have and share a clear, strategic vision, they show an active interest in others, they exercise good leadership skills , through positive role modelling and they act with respect and in turn are respected (Woodhams, 206, pp. 83).</w:t>
      </w:r>
    </w:p>
    <w:p w:rsidR="657066D7" w:rsidP="2053A4AC" w:rsidRDefault="657066D7" w14:paraId="701E6EA1" w14:textId="2FD3C7A9">
      <w:pPr>
        <w:pStyle w:val="Normal"/>
        <w:ind w:left="0"/>
        <w:rPr>
          <w:sz w:val="24"/>
          <w:szCs w:val="24"/>
        </w:rPr>
      </w:pPr>
      <w:r w:rsidRPr="2053A4AC" w:rsidR="2053A4AC">
        <w:rPr>
          <w:sz w:val="24"/>
          <w:szCs w:val="24"/>
        </w:rPr>
        <w:t>The MacLeod report also states, ‘it is our firm belief that engagement can be a triple win: for the individual at work, the enterprise or service and for the country as a whole’ (MacLeod 2009: p6). Towers Perrin 2007/2008 Global workforce study (2009)  was one of the most significant reports and clearly demonstrated the links between high engagement and high performance whilst CIPD (2014) expresses ‘Employees want engaged employees because as well as being happier and healthier they deliver improved business performance’ (Woodhams, 201, pp 84). When reviewing organisations there have been proven links to high employee engagement levels benefiting from increased operating income compared to low engagement levels showing a decrease (Woodhams, 2019, pp.85).</w:t>
      </w:r>
      <w:r w:rsidRPr="2053A4AC" w:rsidR="2053A4AC">
        <w:rPr>
          <w:sz w:val="24"/>
          <w:szCs w:val="24"/>
        </w:rPr>
        <w:t xml:space="preserve"> Macleod states that since 2004 there has been a greater organisational commitment and employees were more willing to put in the discretionary effort as they got a greater sense of achievement from their job. </w:t>
      </w:r>
    </w:p>
    <w:p w:rsidR="657066D7" w:rsidP="412BD25C" w:rsidRDefault="657066D7" w14:paraId="4A07FA48" w14:textId="6FB2CF2A">
      <w:pPr>
        <w:pStyle w:val="Normal"/>
        <w:ind w:left="0"/>
        <w:rPr>
          <w:sz w:val="24"/>
          <w:szCs w:val="24"/>
        </w:rPr>
      </w:pPr>
      <w:r w:rsidRPr="412BD25C" w:rsidR="412BD25C">
        <w:rPr>
          <w:sz w:val="24"/>
          <w:szCs w:val="24"/>
        </w:rPr>
        <w:t>Other research shows high levels of employee engagement are positively supported with organisational commitment (Saks, 2006) Customer satisfaction, employee loyalty, profitability and productivity all improve (Harter et al 2002). The Gallup organisation which shows that work engagement produced higher profitability and high monthly revenues and sales. Several of the Gallop studies have demonstrated benefits of employee and customer engagement. Reviewing such evidence, it is important to remember that profits and profitability will depend on complex considerations, their maybe other factors which produce high levels of engagement but it shouldn't be taken for granted that employee engagement is the only way to cause profitability to rise (Woodhams, 206, pp.87).</w:t>
      </w:r>
    </w:p>
    <w:p w:rsidR="34F84769" w:rsidP="657066D7" w:rsidRDefault="34F84769" w14:paraId="46A68675" w14:textId="620CBA68">
      <w:pPr>
        <w:pStyle w:val="Normal"/>
        <w:ind w:left="360"/>
        <w:rPr>
          <w:sz w:val="24"/>
          <w:szCs w:val="24"/>
        </w:rPr>
      </w:pPr>
    </w:p>
    <w:p w:rsidR="7574B655" w:rsidP="657066D7" w:rsidRDefault="7574B655" w14:paraId="5303EC6E" w14:textId="520DE6F5">
      <w:pPr>
        <w:pStyle w:val="ListParagraph"/>
        <w:numPr>
          <w:ilvl w:val="0"/>
          <w:numId w:val="1"/>
        </w:numPr>
        <w:rPr>
          <w:sz w:val="24"/>
          <w:szCs w:val="24"/>
        </w:rPr>
      </w:pPr>
      <w:r w:rsidRPr="657066D7" w:rsidR="657066D7">
        <w:rPr>
          <w:sz w:val="24"/>
          <w:szCs w:val="24"/>
          <w:u w:val="single"/>
        </w:rPr>
        <w:t xml:space="preserve">Explain why employee </w:t>
      </w:r>
      <w:r w:rsidRPr="657066D7" w:rsidR="657066D7">
        <w:rPr>
          <w:sz w:val="24"/>
          <w:szCs w:val="24"/>
          <w:u w:val="single"/>
        </w:rPr>
        <w:t>engagement</w:t>
      </w:r>
      <w:r w:rsidRPr="657066D7" w:rsidR="657066D7">
        <w:rPr>
          <w:sz w:val="24"/>
          <w:szCs w:val="24"/>
          <w:u w:val="single"/>
        </w:rPr>
        <w:t xml:space="preserve"> is increasingly a Vital </w:t>
      </w:r>
      <w:r w:rsidRPr="657066D7" w:rsidR="657066D7">
        <w:rPr>
          <w:sz w:val="24"/>
          <w:szCs w:val="24"/>
          <w:u w:val="single"/>
        </w:rPr>
        <w:t>dimension</w:t>
      </w:r>
      <w:r w:rsidRPr="657066D7" w:rsidR="657066D7">
        <w:rPr>
          <w:sz w:val="24"/>
          <w:szCs w:val="24"/>
          <w:u w:val="single"/>
        </w:rPr>
        <w:t xml:space="preserve"> of HR strategy</w:t>
      </w:r>
      <w:r w:rsidRPr="657066D7" w:rsidR="657066D7">
        <w:rPr>
          <w:sz w:val="24"/>
          <w:szCs w:val="24"/>
          <w:u w:val="single"/>
        </w:rPr>
        <w:t xml:space="preserve"> and Practise.</w:t>
      </w:r>
    </w:p>
    <w:p w:rsidR="657066D7" w:rsidP="2BDEC811" w:rsidRDefault="657066D7" w14:paraId="0574FB9D" w14:textId="7242BF10">
      <w:pPr>
        <w:pStyle w:val="Normal"/>
        <w:ind w:left="0"/>
        <w:rPr>
          <w:sz w:val="24"/>
          <w:szCs w:val="24"/>
          <w:u w:val="single"/>
        </w:rPr>
      </w:pPr>
      <w:r w:rsidRPr="2BDEC811" w:rsidR="2BDEC811">
        <w:rPr>
          <w:sz w:val="24"/>
          <w:szCs w:val="24"/>
          <w:u w:val="none"/>
        </w:rPr>
        <w:t xml:space="preserve">When considering HR strategy and Practise it is not something that can or should be done on impulse, there should be considerations and a compelling and convincing </w:t>
      </w:r>
      <w:r w:rsidRPr="2BDEC811" w:rsidR="2BDEC811">
        <w:rPr>
          <w:sz w:val="24"/>
          <w:szCs w:val="24"/>
          <w:u w:val="none"/>
        </w:rPr>
        <w:t>business</w:t>
      </w:r>
      <w:r w:rsidRPr="2BDEC811" w:rsidR="2BDEC811">
        <w:rPr>
          <w:sz w:val="24"/>
          <w:szCs w:val="24"/>
          <w:u w:val="none"/>
        </w:rPr>
        <w:t xml:space="preserve"> case (Woodhams, 206, pp.90).</w:t>
      </w:r>
    </w:p>
    <w:p w:rsidR="657066D7" w:rsidP="412BD25C" w:rsidRDefault="657066D7" w14:paraId="4E3F1011" w14:textId="2081F08E">
      <w:pPr>
        <w:pStyle w:val="Normal"/>
        <w:ind w:left="0"/>
        <w:rPr>
          <w:sz w:val="24"/>
          <w:szCs w:val="24"/>
          <w:u w:val="none"/>
        </w:rPr>
      </w:pPr>
      <w:r w:rsidRPr="412BD25C" w:rsidR="412BD25C">
        <w:rPr>
          <w:sz w:val="24"/>
          <w:szCs w:val="24"/>
          <w:u w:val="none"/>
        </w:rPr>
        <w:t xml:space="preserve">Purcell (2010) states that there are some common factors associated with engagement as he describes these as building blocks. These building clocks are the drivers of employee engagement, they include: - Employee trust in managers, Satisfaction with the work itself satisfaction with their involvement in decision making, Quality of relationships between employees and managers, Satisfaction with the pay they </w:t>
      </w:r>
      <w:r w:rsidRPr="412BD25C" w:rsidR="412BD25C">
        <w:rPr>
          <w:sz w:val="24"/>
          <w:szCs w:val="24"/>
          <w:u w:val="none"/>
        </w:rPr>
        <w:t>rec</w:t>
      </w:r>
      <w:r w:rsidRPr="412BD25C" w:rsidR="412BD25C">
        <w:rPr>
          <w:sz w:val="24"/>
          <w:szCs w:val="24"/>
          <w:u w:val="none"/>
        </w:rPr>
        <w:t>ei</w:t>
      </w:r>
      <w:r w:rsidRPr="412BD25C" w:rsidR="412BD25C">
        <w:rPr>
          <w:sz w:val="24"/>
          <w:szCs w:val="24"/>
          <w:u w:val="none"/>
        </w:rPr>
        <w:t>ve</w:t>
      </w:r>
      <w:r w:rsidRPr="412BD25C" w:rsidR="412BD25C">
        <w:rPr>
          <w:sz w:val="24"/>
          <w:szCs w:val="24"/>
          <w:u w:val="none"/>
        </w:rPr>
        <w:t>, Job challenge and Satisfaction with the sense of achievement from work Woodhams, 2016, pp.89).</w:t>
      </w:r>
    </w:p>
    <w:p w:rsidR="657066D7" w:rsidP="412BD25C" w:rsidRDefault="657066D7" w14:paraId="3D37B10A" w14:textId="5E8EA9FB">
      <w:pPr>
        <w:pStyle w:val="Normal"/>
        <w:ind w:left="0"/>
        <w:rPr>
          <w:rFonts w:ascii="Calibri" w:hAnsi="Calibri" w:eastAsia="Calibri" w:cs="Calibri"/>
          <w:b w:val="0"/>
          <w:bCs w:val="0"/>
          <w:i w:val="0"/>
          <w:iCs w:val="0"/>
          <w:noProof w:val="0"/>
          <w:color w:val="000000" w:themeColor="text1" w:themeTint="FF" w:themeShade="FF"/>
          <w:sz w:val="24"/>
          <w:szCs w:val="24"/>
          <w:lang w:val="en-GB"/>
        </w:rPr>
      </w:pPr>
      <w:r w:rsidRPr="412BD25C" w:rsidR="412BD25C">
        <w:rPr>
          <w:rFonts w:ascii="Calibri" w:hAnsi="Calibri" w:eastAsia="Calibri" w:cs="Calibri"/>
          <w:b w:val="0"/>
          <w:bCs w:val="0"/>
          <w:i w:val="0"/>
          <w:iCs w:val="0"/>
          <w:noProof w:val="0"/>
          <w:color w:val="000000" w:themeColor="text1" w:themeTint="FF" w:themeShade="FF"/>
          <w:sz w:val="24"/>
          <w:szCs w:val="24"/>
          <w:lang w:val="en-GB"/>
        </w:rPr>
        <w:t>Taking into account</w:t>
      </w:r>
      <w:r w:rsidRPr="412BD25C" w:rsidR="412BD25C">
        <w:rPr>
          <w:rFonts w:ascii="Calibri" w:hAnsi="Calibri" w:eastAsia="Calibri" w:cs="Calibri"/>
          <w:b w:val="0"/>
          <w:bCs w:val="0"/>
          <w:i w:val="0"/>
          <w:iCs w:val="0"/>
          <w:noProof w:val="0"/>
          <w:color w:val="000000" w:themeColor="text1" w:themeTint="FF" w:themeShade="FF"/>
          <w:sz w:val="24"/>
          <w:szCs w:val="24"/>
          <w:lang w:val="en-GB"/>
        </w:rPr>
        <w:t xml:space="preserve"> </w:t>
      </w:r>
      <w:r w:rsidRPr="412BD25C" w:rsidR="412BD25C">
        <w:rPr>
          <w:rFonts w:ascii="Calibri" w:hAnsi="Calibri" w:eastAsia="Calibri" w:cs="Calibri"/>
          <w:b w:val="0"/>
          <w:bCs w:val="0"/>
          <w:i w:val="0"/>
          <w:iCs w:val="0"/>
          <w:noProof w:val="0"/>
          <w:color w:val="000000" w:themeColor="text1" w:themeTint="FF" w:themeShade="FF"/>
          <w:sz w:val="24"/>
          <w:szCs w:val="24"/>
          <w:lang w:val="en-GB"/>
        </w:rPr>
        <w:t>the benefits to employee engagement for all parties some of the key things consider for stakeholders within an organisation would be higher retention and lower turnover, lower absence, higher productivity and higher profit (</w:t>
      </w:r>
      <w:proofErr w:type="spellStart"/>
      <w:r w:rsidRPr="412BD25C" w:rsidR="412BD25C">
        <w:rPr>
          <w:rFonts w:ascii="Calibri" w:hAnsi="Calibri" w:eastAsia="Calibri" w:cs="Calibri"/>
          <w:b w:val="0"/>
          <w:bCs w:val="0"/>
          <w:i w:val="0"/>
          <w:iCs w:val="0"/>
          <w:noProof w:val="0"/>
          <w:color w:val="000000" w:themeColor="text1" w:themeTint="FF" w:themeShade="FF"/>
          <w:sz w:val="24"/>
          <w:szCs w:val="24"/>
          <w:lang w:val="en-GB"/>
        </w:rPr>
        <w:t>Officevibe</w:t>
      </w:r>
      <w:proofErr w:type="spellEnd"/>
      <w:r w:rsidRPr="412BD25C" w:rsidR="412BD25C">
        <w:rPr>
          <w:rFonts w:ascii="Calibri" w:hAnsi="Calibri" w:eastAsia="Calibri" w:cs="Calibri"/>
          <w:b w:val="0"/>
          <w:bCs w:val="0"/>
          <w:i w:val="0"/>
          <w:iCs w:val="0"/>
          <w:noProof w:val="0"/>
          <w:color w:val="000000" w:themeColor="text1" w:themeTint="FF" w:themeShade="FF"/>
          <w:sz w:val="24"/>
          <w:szCs w:val="24"/>
          <w:lang w:val="en-GB"/>
        </w:rPr>
        <w:t>, 2017).</w:t>
      </w:r>
    </w:p>
    <w:p w:rsidR="657066D7" w:rsidP="412BD25C" w:rsidRDefault="657066D7" w14:paraId="084EE67D" w14:textId="29C91486">
      <w:pPr>
        <w:pStyle w:val="Normal"/>
        <w:ind w:left="0"/>
        <w:rPr>
          <w:rFonts w:ascii="Calibri" w:hAnsi="Calibri" w:eastAsia="Calibri" w:cs="Calibri"/>
          <w:b w:val="0"/>
          <w:bCs w:val="0"/>
          <w:i w:val="0"/>
          <w:iCs w:val="0"/>
          <w:noProof w:val="0"/>
          <w:color w:val="000000" w:themeColor="text1" w:themeTint="FF" w:themeShade="FF"/>
          <w:sz w:val="24"/>
          <w:szCs w:val="24"/>
          <w:lang w:val="en-GB"/>
        </w:rPr>
      </w:pPr>
      <w:r w:rsidRPr="412BD25C" w:rsidR="412BD25C">
        <w:rPr>
          <w:rFonts w:ascii="Calibri" w:hAnsi="Calibri" w:eastAsia="Calibri" w:cs="Calibri"/>
          <w:b w:val="0"/>
          <w:bCs w:val="0"/>
          <w:i w:val="0"/>
          <w:iCs w:val="0"/>
          <w:noProof w:val="0"/>
          <w:color w:val="000000" w:themeColor="text1" w:themeTint="FF" w:themeShade="FF"/>
          <w:sz w:val="24"/>
          <w:szCs w:val="24"/>
          <w:lang w:val="en-GB"/>
        </w:rPr>
        <w:t xml:space="preserve">For employees Maslow’s Hierarchy of needs is an attractive way to think about people's needs and what </w:t>
      </w:r>
      <w:r w:rsidRPr="412BD25C" w:rsidR="412BD25C">
        <w:rPr>
          <w:rFonts w:ascii="Calibri" w:hAnsi="Calibri" w:eastAsia="Calibri" w:cs="Calibri"/>
          <w:b w:val="0"/>
          <w:bCs w:val="0"/>
          <w:i w:val="0"/>
          <w:iCs w:val="0"/>
          <w:noProof w:val="0"/>
          <w:color w:val="000000" w:themeColor="text1" w:themeTint="FF" w:themeShade="FF"/>
          <w:sz w:val="24"/>
          <w:szCs w:val="24"/>
          <w:lang w:val="en-GB"/>
        </w:rPr>
        <w:t>actually engages</w:t>
      </w:r>
      <w:r w:rsidRPr="412BD25C" w:rsidR="412BD25C">
        <w:rPr>
          <w:rFonts w:ascii="Calibri" w:hAnsi="Calibri" w:eastAsia="Calibri" w:cs="Calibri"/>
          <w:b w:val="0"/>
          <w:bCs w:val="0"/>
          <w:i w:val="0"/>
          <w:iCs w:val="0"/>
          <w:noProof w:val="0"/>
          <w:color w:val="000000" w:themeColor="text1" w:themeTint="FF" w:themeShade="FF"/>
          <w:sz w:val="24"/>
          <w:szCs w:val="24"/>
          <w:lang w:val="en-GB"/>
        </w:rPr>
        <w:t xml:space="preserve"> them.  Maslow had a five-tier model of human needs; this was often presented as a pyramid. The bottom tier of the structure is basic needs in an organisation this is often things like toilets, canteens and work hours, the second tier is Safety needs such as health and safety in the workplace and an employee voice within an organisation, these are known as basic needs. The third tier is belonging, and love needs, in an organisation this is part of forming relationships and making work friends. The fourth tier is esteem needs and its built from feeling accomplished within an organisation. The third and fourth tier will be psychologic needs. The final tier of the pyramid is self-actualisation, and this is when an employee feels as though they can deliver to their full potential in their current role but knows that there is an option for personal growth and development this is known as self-fulfilment needs (MacLeod, 2018).</w:t>
      </w:r>
    </w:p>
    <w:p w:rsidR="657066D7" w:rsidP="2BDEC811" w:rsidRDefault="657066D7" w14:paraId="7D54291C" w14:textId="395C7188">
      <w:pPr>
        <w:pStyle w:val="Normal"/>
        <w:ind w:left="0"/>
        <w:rPr>
          <w:rFonts w:ascii="Calibri" w:hAnsi="Calibri" w:eastAsia="Calibri" w:cs="Calibri"/>
          <w:b w:val="0"/>
          <w:bCs w:val="0"/>
          <w:i w:val="0"/>
          <w:iCs w:val="0"/>
          <w:noProof w:val="0"/>
          <w:color w:val="000000" w:themeColor="text1" w:themeTint="FF" w:themeShade="FF"/>
          <w:sz w:val="24"/>
          <w:szCs w:val="24"/>
          <w:lang w:val="en-GB"/>
        </w:rPr>
      </w:pPr>
      <w:r w:rsidRPr="2BDEC811" w:rsidR="2BDEC811">
        <w:rPr>
          <w:sz w:val="24"/>
          <w:szCs w:val="24"/>
          <w:u w:val="none"/>
        </w:rPr>
        <w:t xml:space="preserve">Hertzberg Motivators and Hygiene factors show what it is people want a need out of a job  The factors employees need out of a job would be things such as achievement, recognition, progression and responsibilities and the Hygiene factor are things such as a salary, supervision, work conditions and company policies </w:t>
      </w:r>
      <w:r w:rsidRPr="2BDEC811" w:rsidR="2BDEC811">
        <w:rPr>
          <w:rFonts w:ascii="Calibri" w:hAnsi="Calibri" w:eastAsia="Calibri" w:cs="Calibri"/>
          <w:b w:val="0"/>
          <w:bCs w:val="0"/>
          <w:i w:val="0"/>
          <w:iCs w:val="0"/>
          <w:noProof w:val="0"/>
          <w:color w:val="000000" w:themeColor="text1" w:themeTint="FF" w:themeShade="FF"/>
          <w:sz w:val="24"/>
          <w:szCs w:val="24"/>
          <w:lang w:val="en-GB"/>
        </w:rPr>
        <w:t>(Mindtools.com, n.d.). This why it is important that HR policies and strategies are designed to increase engagement levels need to be informed by contextual factors (Woodhams, 2016, pp91).</w:t>
      </w:r>
    </w:p>
    <w:p w:rsidR="657066D7" w:rsidP="412BD25C" w:rsidRDefault="657066D7" w14:paraId="3DE6DB4D" w14:textId="2A77826B">
      <w:pPr>
        <w:pStyle w:val="Normal"/>
        <w:ind w:left="0"/>
        <w:rPr>
          <w:sz w:val="24"/>
          <w:szCs w:val="24"/>
          <w:u w:val="none"/>
        </w:rPr>
      </w:pPr>
      <w:r w:rsidRPr="412BD25C" w:rsidR="412BD25C">
        <w:rPr>
          <w:sz w:val="24"/>
          <w:szCs w:val="24"/>
          <w:u w:val="none"/>
        </w:rPr>
        <w:t xml:space="preserve">Guest (2015) proposes a strategy for promoting employee engagement which includes, Implementing engagement by managers and leaders promoting engagement values, Creating and Reinforcing a climate for engagement by treating employees with fairness and trust, promoting engagement through recruitment of employees who welcome engaging jobs and Monitoring progress towards high engagement through surveys and feedback with action planning (Woodhams, 2016, pp.91). This strategy requires </w:t>
      </w:r>
      <w:r w:rsidRPr="412BD25C" w:rsidR="412BD25C">
        <w:rPr>
          <w:sz w:val="24"/>
          <w:szCs w:val="24"/>
          <w:u w:val="none"/>
        </w:rPr>
        <w:t>E</w:t>
      </w:r>
      <w:r w:rsidRPr="412BD25C" w:rsidR="412BD25C">
        <w:rPr>
          <w:sz w:val="24"/>
          <w:szCs w:val="24"/>
          <w:u w:val="none"/>
        </w:rPr>
        <w:t>mployee engagement to be integrated into an organisations vison through thier policies and practices.</w:t>
      </w:r>
    </w:p>
    <w:p w:rsidR="34F84769" w:rsidP="34F84769" w:rsidRDefault="34F84769" w14:paraId="277DB628" w14:textId="3BEFA4D4">
      <w:pPr>
        <w:pStyle w:val="Normal"/>
        <w:ind w:left="360"/>
        <w:rPr>
          <w:sz w:val="24"/>
          <w:szCs w:val="24"/>
          <w:u w:val="single"/>
        </w:rPr>
      </w:pPr>
    </w:p>
    <w:p w:rsidR="5A926005" w:rsidP="20BDA442" w:rsidRDefault="5A926005" w14:paraId="66503AA6" w14:textId="2F9413AF">
      <w:pPr>
        <w:pStyle w:val="ListParagraph"/>
        <w:numPr>
          <w:ilvl w:val="0"/>
          <w:numId w:val="1"/>
        </w:numPr>
        <w:rPr>
          <w:sz w:val="24"/>
          <w:szCs w:val="24"/>
        </w:rPr>
      </w:pPr>
      <w:r w:rsidRPr="2053A4AC" w:rsidR="2053A4AC">
        <w:rPr>
          <w:sz w:val="24"/>
          <w:szCs w:val="24"/>
          <w:u w:val="single"/>
        </w:rPr>
        <w:t>Summarise</w:t>
      </w:r>
      <w:r w:rsidRPr="2053A4AC" w:rsidR="2053A4AC">
        <w:rPr>
          <w:sz w:val="24"/>
          <w:szCs w:val="24"/>
          <w:u w:val="single"/>
        </w:rPr>
        <w:t xml:space="preserve"> Key Sources of employee </w:t>
      </w:r>
      <w:r w:rsidRPr="2053A4AC" w:rsidR="2053A4AC">
        <w:rPr>
          <w:sz w:val="24"/>
          <w:szCs w:val="24"/>
          <w:u w:val="single"/>
        </w:rPr>
        <w:t>engageme</w:t>
      </w:r>
      <w:r w:rsidRPr="2053A4AC" w:rsidR="2053A4AC">
        <w:rPr>
          <w:sz w:val="24"/>
          <w:szCs w:val="24"/>
          <w:u w:val="single"/>
        </w:rPr>
        <w:t>nt</w:t>
      </w:r>
    </w:p>
    <w:p w:rsidR="2BDEC811" w:rsidP="2053A4AC" w:rsidRDefault="2BDEC811" w14:paraId="74990740" w14:textId="516EFC96">
      <w:pPr>
        <w:pStyle w:val="Normal"/>
        <w:rPr>
          <w:rFonts w:ascii="Calibri" w:hAnsi="Calibri" w:eastAsia="Calibri" w:cs="Calibri"/>
          <w:b w:val="0"/>
          <w:bCs w:val="0"/>
          <w:i w:val="0"/>
          <w:iCs w:val="0"/>
          <w:noProof w:val="0"/>
          <w:color w:val="000000" w:themeColor="text1" w:themeTint="FF" w:themeShade="FF"/>
          <w:sz w:val="24"/>
          <w:szCs w:val="24"/>
          <w:lang w:val="en-GB"/>
        </w:rPr>
      </w:pPr>
      <w:r w:rsidRPr="2053A4AC" w:rsidR="2053A4AC">
        <w:rPr>
          <w:sz w:val="24"/>
          <w:szCs w:val="24"/>
          <w:u w:val="none"/>
        </w:rPr>
        <w:t>If an employee is engaged at work and they feel happy and have all the basic hygiene factors the motivations factors should fall into place. It has been said that if an employee is healthy this boosts commitment and productivity (</w:t>
      </w:r>
      <w:r w:rsidRPr="2053A4AC" w:rsidR="2053A4AC">
        <w:rPr>
          <w:rFonts w:ascii="Calibri" w:hAnsi="Calibri" w:eastAsia="Calibri" w:cs="Calibri"/>
          <w:b w:val="0"/>
          <w:bCs w:val="0"/>
          <w:i w:val="0"/>
          <w:iCs w:val="0"/>
          <w:noProof w:val="0"/>
          <w:color w:val="000000" w:themeColor="text1" w:themeTint="FF" w:themeShade="FF"/>
          <w:sz w:val="24"/>
          <w:szCs w:val="24"/>
          <w:lang w:val="en-GB"/>
        </w:rPr>
        <w:t xml:space="preserve">Today, P. 2013). </w:t>
      </w:r>
      <w:r w:rsidRPr="2053A4AC" w:rsidR="2053A4AC">
        <w:rPr>
          <w:rFonts w:ascii="Calibri" w:hAnsi="Calibri" w:eastAsia="Calibri" w:cs="Calibri"/>
          <w:b w:val="0"/>
          <w:bCs w:val="0"/>
          <w:i w:val="0"/>
          <w:iCs w:val="0"/>
          <w:noProof w:val="0"/>
          <w:color w:val="000000" w:themeColor="text1" w:themeTint="FF" w:themeShade="FF"/>
          <w:sz w:val="24"/>
          <w:szCs w:val="24"/>
          <w:lang w:val="en-GB"/>
        </w:rPr>
        <w:t xml:space="preserve"> </w:t>
      </w:r>
    </w:p>
    <w:p w:rsidR="2BDEC811" w:rsidP="412BD25C" w:rsidRDefault="2BDEC811" w14:paraId="49BCD542" w14:textId="6E0018DE">
      <w:pPr>
        <w:pStyle w:val="Normal"/>
        <w:rPr>
          <w:rFonts w:ascii="Calibri" w:hAnsi="Calibri" w:eastAsia="Calibri" w:cs="Calibri"/>
          <w:b w:val="0"/>
          <w:bCs w:val="0"/>
          <w:i w:val="0"/>
          <w:iCs w:val="0"/>
          <w:noProof w:val="0"/>
          <w:color w:val="000000" w:themeColor="text1" w:themeTint="FF" w:themeShade="FF"/>
          <w:sz w:val="24"/>
          <w:szCs w:val="24"/>
          <w:lang w:val="en-GB"/>
        </w:rPr>
      </w:pPr>
      <w:r w:rsidRPr="412BD25C" w:rsidR="412BD25C">
        <w:rPr>
          <w:rFonts w:ascii="Calibri" w:hAnsi="Calibri" w:eastAsia="Calibri" w:cs="Calibri"/>
          <w:b w:val="0"/>
          <w:bCs w:val="0"/>
          <w:i w:val="0"/>
          <w:iCs w:val="0"/>
          <w:noProof w:val="0"/>
          <w:color w:val="000000" w:themeColor="text1" w:themeTint="FF" w:themeShade="FF"/>
          <w:sz w:val="24"/>
          <w:szCs w:val="24"/>
          <w:lang w:val="en-GB"/>
        </w:rPr>
        <w:t xml:space="preserve">When </w:t>
      </w:r>
      <w:r w:rsidRPr="412BD25C" w:rsidR="412BD25C">
        <w:rPr>
          <w:sz w:val="24"/>
          <w:szCs w:val="24"/>
          <w:u w:val="none"/>
        </w:rPr>
        <w:t xml:space="preserve">reviewing </w:t>
      </w:r>
      <w:r w:rsidRPr="412BD25C" w:rsidR="412BD25C">
        <w:rPr>
          <w:sz w:val="24"/>
          <w:szCs w:val="24"/>
          <w:u w:val="none"/>
        </w:rPr>
        <w:t>E</w:t>
      </w:r>
      <w:r w:rsidRPr="412BD25C" w:rsidR="412BD25C">
        <w:rPr>
          <w:sz w:val="24"/>
          <w:szCs w:val="24"/>
          <w:u w:val="none"/>
        </w:rPr>
        <w:t xml:space="preserve">mployee engagement and the data that is attached there are certain reports from the CIPD that show the benefits of employee engagement. Health and Wellbeing is a growing factor within employee engagement as they sit side by side. </w:t>
      </w:r>
    </w:p>
    <w:p w:rsidR="2053A4AC" w:rsidP="412BD25C" w:rsidRDefault="2053A4AC" w14:paraId="7D9CC0B3" w14:textId="11CBB3B6">
      <w:pPr>
        <w:pStyle w:val="Normal"/>
        <w:rPr>
          <w:rFonts w:ascii="Calibri" w:hAnsi="Calibri" w:eastAsia="Calibri" w:cs="Calibri"/>
          <w:b w:val="0"/>
          <w:bCs w:val="0"/>
          <w:i w:val="0"/>
          <w:iCs w:val="0"/>
          <w:noProof w:val="0"/>
          <w:color w:val="000000" w:themeColor="text1" w:themeTint="FF" w:themeShade="FF"/>
          <w:sz w:val="19"/>
          <w:szCs w:val="19"/>
          <w:lang w:val="en-GB"/>
        </w:rPr>
      </w:pPr>
      <w:r w:rsidRPr="412BD25C" w:rsidR="412BD25C">
        <w:rPr>
          <w:sz w:val="24"/>
          <w:szCs w:val="24"/>
          <w:u w:val="none"/>
        </w:rPr>
        <w:t xml:space="preserve">The CIPD publish a report known as the UK working lives report, this report focuses on job quality and how what good work looks like (CIPD, 2019). The focus on this survey was seven dimensions of good work. These dimensions were pay and benefits, contracts, job design, WorkLife balance, voice and representation and health and wellbeing all things that filter into employee engagement (CIPD, 2019). The survey also considered equality, diversity and inclusion and inclusion assessing who has better or worse jobs pointing out that it paid </w:t>
      </w:r>
      <w:r w:rsidRPr="412BD25C" w:rsidR="412BD25C">
        <w:rPr>
          <w:sz w:val="24"/>
          <w:szCs w:val="24"/>
          <w:u w:val="none"/>
        </w:rPr>
        <w:t>particular attention</w:t>
      </w:r>
      <w:r w:rsidRPr="412BD25C" w:rsidR="412BD25C">
        <w:rPr>
          <w:sz w:val="24"/>
          <w:szCs w:val="24"/>
          <w:u w:val="none"/>
        </w:rPr>
        <w:t xml:space="preserve"> to gender, age, disability and presence (CIPD,2019) This report was completed in a survey format in which 350,000 working adults completed. </w:t>
      </w:r>
    </w:p>
    <w:p w:rsidR="05222449" w:rsidP="412BD25C" w:rsidRDefault="05222449" w14:paraId="5BA9A0A0" w14:textId="29F98565">
      <w:pPr>
        <w:pStyle w:val="Normal"/>
        <w:rPr>
          <w:rFonts w:ascii="Calibri" w:hAnsi="Calibri" w:eastAsia="Calibri" w:cs="Calibri"/>
          <w:noProof w:val="0"/>
          <w:sz w:val="24"/>
          <w:szCs w:val="24"/>
          <w:lang w:val="en-GB"/>
        </w:rPr>
      </w:pPr>
      <w:r w:rsidRPr="412BD25C" w:rsidR="412BD25C">
        <w:rPr>
          <w:sz w:val="24"/>
          <w:szCs w:val="24"/>
          <w:u w:val="none"/>
        </w:rPr>
        <w:t xml:space="preserve">MacLeod and Clarke’s 2009 report </w:t>
      </w:r>
      <w:r w:rsidRPr="412BD25C" w:rsidR="412BD25C">
        <w:rPr>
          <w:sz w:val="24"/>
          <w:szCs w:val="24"/>
          <w:u w:val="none"/>
        </w:rPr>
        <w:t>was</w:t>
      </w:r>
      <w:r w:rsidRPr="412BD25C" w:rsidR="412BD25C">
        <w:rPr>
          <w:sz w:val="24"/>
          <w:szCs w:val="24"/>
          <w:u w:val="none"/>
        </w:rPr>
        <w:t xml:space="preserve"> heavily linked towards the success of employee engagement bringing the four enablers to life. </w:t>
      </w:r>
      <w:r w:rsidRPr="412BD25C" w:rsidR="412BD25C">
        <w:rPr>
          <w:sz w:val="24"/>
          <w:szCs w:val="24"/>
          <w:u w:val="none"/>
        </w:rPr>
        <w:t xml:space="preserve"> The IPA Methodology is used to promote the involvement and participation in the workplace and through doing so improve their quality of working lives</w:t>
      </w:r>
      <w:r w:rsidRPr="412BD25C" w:rsidR="412BD25C">
        <w:rPr>
          <w:rFonts w:ascii="Calibri" w:hAnsi="Calibri" w:eastAsia="Calibri" w:cs="Calibri"/>
          <w:noProof w:val="0"/>
          <w:sz w:val="24"/>
          <w:szCs w:val="24"/>
          <w:lang w:val="en-GB"/>
        </w:rPr>
        <w:t xml:space="preserve"> (</w:t>
      </w:r>
      <w:r w:rsidRPr="412BD25C" w:rsidR="412BD25C">
        <w:rPr>
          <w:rFonts w:ascii="Calibri" w:hAnsi="Calibri" w:eastAsia="Calibri" w:cs="Calibri"/>
          <w:noProof w:val="0"/>
          <w:sz w:val="24"/>
          <w:szCs w:val="24"/>
          <w:lang w:val="en-GB"/>
        </w:rPr>
        <w:t>M.acas.org.uk. (2014).</w:t>
      </w:r>
      <w:r w:rsidRPr="412BD25C" w:rsidR="412BD25C">
        <w:rPr>
          <w:sz w:val="24"/>
          <w:szCs w:val="24"/>
          <w:u w:val="none"/>
        </w:rPr>
        <w:t xml:space="preserve"> </w:t>
      </w:r>
      <w:r w:rsidRPr="412BD25C" w:rsidR="412BD25C">
        <w:rPr>
          <w:sz w:val="24"/>
          <w:szCs w:val="24"/>
          <w:u w:val="none"/>
        </w:rPr>
        <w:t>The Workplace employment relation studies reported on 22000 employees from across 2680 organisations which examined the impact on the recession on employee relations and engagement (</w:t>
      </w:r>
      <w:r w:rsidRPr="412BD25C" w:rsidR="412BD25C">
        <w:rPr>
          <w:rFonts w:ascii="Calibri" w:hAnsi="Calibri" w:eastAsia="Calibri" w:cs="Calibri"/>
          <w:noProof w:val="0"/>
          <w:sz w:val="24"/>
          <w:szCs w:val="24"/>
          <w:lang w:val="en-GB"/>
        </w:rPr>
        <w:t>Researchonline.org.uk. (2019).</w:t>
      </w:r>
      <w:r w:rsidRPr="412BD25C" w:rsidR="412BD25C">
        <w:rPr>
          <w:rFonts w:ascii="Calibri" w:hAnsi="Calibri" w:eastAsia="Calibri" w:cs="Calibri"/>
          <w:noProof w:val="0"/>
          <w:sz w:val="24"/>
          <w:szCs w:val="24"/>
          <w:lang w:val="en-GB"/>
        </w:rPr>
        <w:t xml:space="preserve"> Woodhams states that one of the main responses by employees was that the recession has frozen wages and recruitment and change within the </w:t>
      </w:r>
      <w:r w:rsidRPr="412BD25C" w:rsidR="412BD25C">
        <w:rPr>
          <w:rFonts w:ascii="Calibri" w:hAnsi="Calibri" w:eastAsia="Calibri" w:cs="Calibri"/>
          <w:noProof w:val="0"/>
          <w:sz w:val="24"/>
          <w:szCs w:val="24"/>
          <w:lang w:val="en-GB"/>
        </w:rPr>
        <w:t>organisation</w:t>
      </w:r>
      <w:r w:rsidRPr="412BD25C" w:rsidR="412BD25C">
        <w:rPr>
          <w:rFonts w:ascii="Calibri" w:hAnsi="Calibri" w:eastAsia="Calibri" w:cs="Calibri"/>
          <w:noProof w:val="0"/>
          <w:sz w:val="24"/>
          <w:szCs w:val="24"/>
          <w:lang w:val="en-GB"/>
        </w:rPr>
        <w:t xml:space="preserve"> of work all of which could be a barrier to organisations securing that discretionary effort from their employees (2016, pp.91). </w:t>
      </w:r>
    </w:p>
    <w:p w:rsidR="05222449" w:rsidP="412BD25C" w:rsidRDefault="05222449" w14:paraId="623ECAFC" w14:textId="656FBF88">
      <w:pPr>
        <w:pStyle w:val="Normal"/>
        <w:rPr>
          <w:rFonts w:ascii="Calibri" w:hAnsi="Calibri" w:eastAsia="Calibri" w:cs="Calibri"/>
          <w:noProof w:val="0"/>
          <w:sz w:val="24"/>
          <w:szCs w:val="24"/>
          <w:lang w:val="en-GB"/>
        </w:rPr>
      </w:pPr>
      <w:r w:rsidRPr="412BD25C" w:rsidR="412BD25C">
        <w:rPr>
          <w:rFonts w:ascii="Calibri" w:hAnsi="Calibri" w:eastAsia="Calibri" w:cs="Calibri"/>
          <w:noProof w:val="0"/>
          <w:sz w:val="24"/>
          <w:szCs w:val="24"/>
          <w:lang w:val="en-GB"/>
        </w:rPr>
        <w:t xml:space="preserve">The CIPD also publishes a report which provides a set of forward-looking labour market indicators (CIPD, 2019) they look at recruitment, redundancy, pay and intentions for the remainder of the year as it took place in June 2019 for 2104 organisations. This report shows that </w:t>
      </w:r>
      <w:r w:rsidRPr="412BD25C" w:rsidR="412BD25C">
        <w:rPr>
          <w:rFonts w:ascii="Calibri" w:hAnsi="Calibri" w:eastAsia="Calibri" w:cs="Calibri"/>
          <w:noProof w:val="0"/>
          <w:sz w:val="24"/>
          <w:szCs w:val="24"/>
          <w:lang w:val="en-GB"/>
        </w:rPr>
        <w:t xml:space="preserve">employment confidence is at its highest in Wales and Scotland and lowest in wales and east of England (CIPD, 2019). CIPD state that a potential consequence for employment growth is the tightening labour market. The report </w:t>
      </w:r>
      <w:r w:rsidRPr="412BD25C" w:rsidR="412BD25C">
        <w:rPr>
          <w:rFonts w:ascii="Calibri" w:hAnsi="Calibri" w:eastAsia="Calibri" w:cs="Calibri"/>
          <w:noProof w:val="0"/>
          <w:sz w:val="24"/>
          <w:szCs w:val="24"/>
          <w:lang w:val="en-GB"/>
        </w:rPr>
        <w:t>suggests</w:t>
      </w:r>
      <w:r w:rsidRPr="412BD25C" w:rsidR="412BD25C">
        <w:rPr>
          <w:rFonts w:ascii="Calibri" w:hAnsi="Calibri" w:eastAsia="Calibri" w:cs="Calibri"/>
          <w:noProof w:val="0"/>
          <w:sz w:val="24"/>
          <w:szCs w:val="24"/>
          <w:lang w:val="en-GB"/>
        </w:rPr>
        <w:t xml:space="preserve"> that in the last year there has been a lower number of applications for low skills roles but the number of medium to high skill roles remains </w:t>
      </w:r>
      <w:proofErr w:type="gramStart"/>
      <w:r w:rsidRPr="412BD25C" w:rsidR="412BD25C">
        <w:rPr>
          <w:rFonts w:ascii="Calibri" w:hAnsi="Calibri" w:eastAsia="Calibri" w:cs="Calibri"/>
          <w:noProof w:val="0"/>
          <w:sz w:val="24"/>
          <w:szCs w:val="24"/>
          <w:lang w:val="en-GB"/>
        </w:rPr>
        <w:t>similar to</w:t>
      </w:r>
      <w:proofErr w:type="gramEnd"/>
      <w:r w:rsidRPr="412BD25C" w:rsidR="412BD25C">
        <w:rPr>
          <w:rFonts w:ascii="Calibri" w:hAnsi="Calibri" w:eastAsia="Calibri" w:cs="Calibri"/>
          <w:noProof w:val="0"/>
          <w:sz w:val="24"/>
          <w:szCs w:val="24"/>
          <w:lang w:val="en-GB"/>
        </w:rPr>
        <w:t xml:space="preserve"> the report from 2018 (CIPD, 2019). </w:t>
      </w:r>
    </w:p>
    <w:p w:rsidR="412BD25C" w:rsidP="412BD25C" w:rsidRDefault="412BD25C" w14:paraId="47A340BB" w14:textId="71EEB062">
      <w:pPr>
        <w:pStyle w:val="Normal"/>
        <w:rPr>
          <w:rFonts w:ascii="Calibri" w:hAnsi="Calibri" w:eastAsia="Calibri" w:cs="Calibri"/>
          <w:noProof w:val="0"/>
          <w:sz w:val="24"/>
          <w:szCs w:val="24"/>
          <w:lang w:val="en-GB"/>
        </w:rPr>
      </w:pPr>
      <w:r w:rsidRPr="412BD25C" w:rsidR="412BD25C">
        <w:rPr>
          <w:rFonts w:ascii="Calibri" w:hAnsi="Calibri" w:eastAsia="Calibri" w:cs="Calibri"/>
          <w:noProof w:val="0"/>
          <w:sz w:val="24"/>
          <w:szCs w:val="24"/>
          <w:lang w:val="en-GB"/>
        </w:rPr>
        <w:t xml:space="preserve">Each of these different sources of data each have their own views on employee engagement but there are key themes which will continue to support engagement within an organisation as it continues to unfold </w:t>
      </w:r>
      <w:r w:rsidRPr="412BD25C" w:rsidR="412BD25C">
        <w:rPr>
          <w:rFonts w:ascii="Calibri" w:hAnsi="Calibri" w:eastAsia="Calibri" w:cs="Calibri"/>
          <w:noProof w:val="0"/>
          <w:sz w:val="24"/>
          <w:szCs w:val="24"/>
          <w:lang w:val="en-GB"/>
        </w:rPr>
        <w:t>throughout</w:t>
      </w:r>
      <w:r w:rsidRPr="412BD25C" w:rsidR="412BD25C">
        <w:rPr>
          <w:rFonts w:ascii="Calibri" w:hAnsi="Calibri" w:eastAsia="Calibri" w:cs="Calibri"/>
          <w:noProof w:val="0"/>
          <w:sz w:val="24"/>
          <w:szCs w:val="24"/>
          <w:lang w:val="en-GB"/>
        </w:rPr>
        <w:t xml:space="preserve"> the years. </w:t>
      </w:r>
    </w:p>
    <w:p w:rsidR="2053A4AC" w:rsidP="2053A4AC" w:rsidRDefault="2053A4AC" w14:paraId="2EC1A83B" w14:textId="60E25F62">
      <w:pPr>
        <w:pStyle w:val="Normal"/>
        <w:rPr>
          <w:sz w:val="24"/>
          <w:szCs w:val="24"/>
          <w:u w:val="none"/>
        </w:rPr>
      </w:pPr>
    </w:p>
    <w:p w:rsidR="7574B655" w:rsidP="70337E5E" w:rsidRDefault="7574B655" w14:paraId="31A60D9F" w14:textId="0262391E">
      <w:pPr>
        <w:pStyle w:val="ListParagraph"/>
        <w:numPr>
          <w:ilvl w:val="0"/>
          <w:numId w:val="1"/>
        </w:numPr>
        <w:rPr>
          <w:sz w:val="24"/>
          <w:szCs w:val="24"/>
        </w:rPr>
      </w:pPr>
      <w:r w:rsidRPr="20BDA442" w:rsidR="20BDA442">
        <w:rPr>
          <w:sz w:val="24"/>
          <w:szCs w:val="24"/>
          <w:u w:val="single"/>
        </w:rPr>
        <w:t xml:space="preserve">Outline the findings of recent studies on employee </w:t>
      </w:r>
      <w:r w:rsidRPr="20BDA442" w:rsidR="20BDA442">
        <w:rPr>
          <w:sz w:val="24"/>
          <w:szCs w:val="24"/>
          <w:u w:val="single"/>
        </w:rPr>
        <w:t>engagement</w:t>
      </w:r>
    </w:p>
    <w:p w:rsidR="70337E5E" w:rsidP="70337E5E" w:rsidRDefault="70337E5E" w14:paraId="4FE4EAD4" w14:textId="63FA17BD">
      <w:pPr>
        <w:pStyle w:val="Normal"/>
        <w:ind w:left="0"/>
        <w:rPr>
          <w:sz w:val="24"/>
          <w:szCs w:val="24"/>
          <w:u w:val="single"/>
        </w:rPr>
      </w:pPr>
      <w:r w:rsidRPr="70337E5E" w:rsidR="70337E5E">
        <w:rPr>
          <w:sz w:val="24"/>
          <w:szCs w:val="24"/>
          <w:u w:val="none"/>
        </w:rPr>
        <w:t xml:space="preserve">When considering Key trends on employee engagement there are many factors which need to be considered. Currently one of the biggest factors to consider is diversity and inclusion in the workplace. Gallup has stated that over the last two years there has been an uptick in organisations and society in identifying and truly understanding the unique differences among individuals.  Gallops research indicates that recognising diversity and inclusion are key steps in moving forward with diverse and inclusive workplace cultures </w:t>
      </w:r>
      <w:r w:rsidRPr="70337E5E" w:rsidR="70337E5E">
        <w:rPr>
          <w:rFonts w:ascii="Calibri" w:hAnsi="Calibri" w:eastAsia="Calibri" w:cs="Calibri"/>
          <w:b w:val="0"/>
          <w:bCs w:val="0"/>
          <w:i w:val="0"/>
          <w:iCs w:val="0"/>
          <w:noProof w:val="0"/>
          <w:color w:val="000000" w:themeColor="text1" w:themeTint="FF" w:themeShade="FF"/>
          <w:sz w:val="24"/>
          <w:szCs w:val="24"/>
          <w:lang w:val="en-GB"/>
        </w:rPr>
        <w:t>(Gallup, 2018).</w:t>
      </w:r>
    </w:p>
    <w:p w:rsidR="70337E5E" w:rsidP="70337E5E" w:rsidRDefault="70337E5E" w14:paraId="736A3F19" w14:textId="3EEA36E5">
      <w:pPr>
        <w:pStyle w:val="Normal"/>
        <w:ind w:left="0"/>
        <w:rPr>
          <w:rFonts w:ascii="Calibri" w:hAnsi="Calibri" w:eastAsia="Calibri" w:cs="Calibri"/>
          <w:b w:val="0"/>
          <w:bCs w:val="0"/>
          <w:i w:val="0"/>
          <w:iCs w:val="0"/>
          <w:noProof w:val="0"/>
          <w:color w:val="000000" w:themeColor="text1" w:themeTint="FF" w:themeShade="FF"/>
          <w:sz w:val="24"/>
          <w:szCs w:val="24"/>
          <w:lang w:val="en-GB"/>
        </w:rPr>
      </w:pPr>
      <w:r w:rsidRPr="70337E5E" w:rsidR="70337E5E">
        <w:rPr>
          <w:rFonts w:ascii="Calibri" w:hAnsi="Calibri" w:eastAsia="Calibri" w:cs="Calibri"/>
          <w:b w:val="0"/>
          <w:bCs w:val="0"/>
          <w:i w:val="0"/>
          <w:iCs w:val="0"/>
          <w:noProof w:val="0"/>
          <w:color w:val="000000" w:themeColor="text1" w:themeTint="FF" w:themeShade="FF"/>
          <w:sz w:val="24"/>
          <w:szCs w:val="24"/>
          <w:lang w:val="en-GB"/>
        </w:rPr>
        <w:t xml:space="preserve">When considering Diversity there is a large demographic spectrum to cover, race, religion, gender, sextual orientation, age and physical disability to name just a few. Gallup has stated that building diversity throughout a workforce has now become a need to do rather than a nice to do for ethical and business reasons (Gallup, 2018). </w:t>
      </w:r>
    </w:p>
    <w:p w:rsidR="70337E5E" w:rsidP="05222449" w:rsidRDefault="70337E5E" w14:paraId="0B46377D" w14:textId="0FFB3C32">
      <w:pPr>
        <w:pStyle w:val="Normal"/>
        <w:ind w:left="0"/>
        <w:rPr>
          <w:rFonts w:ascii="Calibri" w:hAnsi="Calibri" w:eastAsia="Calibri" w:cs="Calibri"/>
          <w:b w:val="0"/>
          <w:bCs w:val="0"/>
          <w:i w:val="0"/>
          <w:iCs w:val="0"/>
          <w:noProof w:val="0"/>
          <w:color w:val="000000" w:themeColor="text1" w:themeTint="FF" w:themeShade="FF"/>
          <w:sz w:val="24"/>
          <w:szCs w:val="24"/>
          <w:lang w:val="en-GB"/>
        </w:rPr>
      </w:pPr>
      <w:r w:rsidRPr="05222449" w:rsidR="05222449">
        <w:rPr>
          <w:rFonts w:ascii="Calibri" w:hAnsi="Calibri" w:eastAsia="Calibri" w:cs="Calibri"/>
          <w:b w:val="0"/>
          <w:bCs w:val="0"/>
          <w:i w:val="0"/>
          <w:iCs w:val="0"/>
          <w:noProof w:val="0"/>
          <w:color w:val="000000" w:themeColor="text1" w:themeTint="FF" w:themeShade="FF"/>
          <w:sz w:val="24"/>
          <w:szCs w:val="24"/>
          <w:lang w:val="en-GB"/>
        </w:rPr>
        <w:t xml:space="preserve">Inclusion needs to be further considered, having an inclusive workforce will not have a positive effect on an organisations bottom line if they do not feel welcomes into an organisation (Gallup, 2018). Inclusion within the workplace is a culture of feeling as if you belong and are welcome and wanted. The CIPD state that people matter, and organisations must ensure that no people management approaches puts any group at a disadvantage (CIPD, 2019) The UK working lives report paid particular attention to this when they completed the report reviewing who had better or worse jobs depending upon their </w:t>
      </w:r>
      <w:r w:rsidRPr="05222449" w:rsidR="05222449">
        <w:rPr>
          <w:rFonts w:ascii="Calibri" w:hAnsi="Calibri" w:eastAsia="Calibri" w:cs="Calibri"/>
          <w:b w:val="0"/>
          <w:bCs w:val="0"/>
          <w:i w:val="0"/>
          <w:iCs w:val="0"/>
          <w:noProof w:val="0"/>
          <w:color w:val="000000" w:themeColor="text1" w:themeTint="FF" w:themeShade="FF"/>
          <w:sz w:val="24"/>
          <w:szCs w:val="24"/>
          <w:lang w:val="en-GB"/>
        </w:rPr>
        <w:t>character</w:t>
      </w:r>
      <w:r w:rsidRPr="05222449" w:rsidR="05222449">
        <w:rPr>
          <w:rFonts w:ascii="Calibri" w:hAnsi="Calibri" w:eastAsia="Calibri" w:cs="Calibri"/>
          <w:b w:val="0"/>
          <w:bCs w:val="0"/>
          <w:i w:val="0"/>
          <w:iCs w:val="0"/>
          <w:noProof w:val="0"/>
          <w:color w:val="000000" w:themeColor="text1" w:themeTint="FF" w:themeShade="FF"/>
          <w:sz w:val="24"/>
          <w:szCs w:val="24"/>
          <w:lang w:val="en-GB"/>
        </w:rPr>
        <w:t>is</w:t>
      </w:r>
      <w:r w:rsidRPr="05222449" w:rsidR="05222449">
        <w:rPr>
          <w:rFonts w:ascii="Calibri" w:hAnsi="Calibri" w:eastAsia="Calibri" w:cs="Calibri"/>
          <w:b w:val="0"/>
          <w:bCs w:val="0"/>
          <w:i w:val="0"/>
          <w:iCs w:val="0"/>
          <w:noProof w:val="0"/>
          <w:color w:val="000000" w:themeColor="text1" w:themeTint="FF" w:themeShade="FF"/>
          <w:sz w:val="24"/>
          <w:szCs w:val="24"/>
          <w:lang w:val="en-GB"/>
        </w:rPr>
        <w:t>tics</w:t>
      </w:r>
      <w:r w:rsidRPr="05222449" w:rsidR="05222449">
        <w:rPr>
          <w:rFonts w:ascii="Calibri" w:hAnsi="Calibri" w:eastAsia="Calibri" w:cs="Calibri"/>
          <w:b w:val="0"/>
          <w:bCs w:val="0"/>
          <w:i w:val="0"/>
          <w:iCs w:val="0"/>
          <w:noProof w:val="0"/>
          <w:color w:val="000000" w:themeColor="text1" w:themeTint="FF" w:themeShade="FF"/>
          <w:sz w:val="24"/>
          <w:szCs w:val="24"/>
          <w:lang w:val="en-GB"/>
        </w:rPr>
        <w:t xml:space="preserve">. </w:t>
      </w:r>
    </w:p>
    <w:p w:rsidR="70337E5E" w:rsidP="2BDEC811" w:rsidRDefault="70337E5E" w14:paraId="2429A3A9" w14:textId="09E1DA2C">
      <w:pPr>
        <w:pStyle w:val="Normal"/>
        <w:ind w:left="0"/>
        <w:rPr>
          <w:rFonts w:ascii="Calibri" w:hAnsi="Calibri" w:eastAsia="Calibri" w:cs="Calibri"/>
          <w:b w:val="0"/>
          <w:bCs w:val="0"/>
          <w:i w:val="0"/>
          <w:iCs w:val="0"/>
          <w:noProof w:val="0"/>
          <w:color w:val="000000" w:themeColor="text1" w:themeTint="FF" w:themeShade="FF"/>
          <w:sz w:val="24"/>
          <w:szCs w:val="24"/>
          <w:lang w:val="en-GB"/>
        </w:rPr>
      </w:pPr>
      <w:r w:rsidRPr="2BDEC811" w:rsidR="2BDEC811">
        <w:rPr>
          <w:rFonts w:ascii="Calibri" w:hAnsi="Calibri" w:eastAsia="Calibri" w:cs="Calibri"/>
          <w:b w:val="0"/>
          <w:bCs w:val="0"/>
          <w:i w:val="0"/>
          <w:iCs w:val="0"/>
          <w:noProof w:val="0"/>
          <w:color w:val="000000" w:themeColor="text1" w:themeTint="FF" w:themeShade="FF"/>
          <w:sz w:val="24"/>
          <w:szCs w:val="24"/>
          <w:lang w:val="en-GB"/>
        </w:rPr>
        <w:t xml:space="preserve">Gallup states that there are three pillars to diversity and inclusion to get them right, Employees are treated with respect creating a culture of inclusiveness, Employees are valued for their strengths they are effective and work collaboratively bringing profit along with them and finally Leaders do the right thing, Leaders she be role modelling the desired behaviours creating environments where people feel safe and can freely be themselves </w:t>
      </w:r>
      <w:r w:rsidRPr="2BDEC811" w:rsidR="2BDEC811">
        <w:rPr>
          <w:rFonts w:ascii="Calibri" w:hAnsi="Calibri" w:eastAsia="Calibri" w:cs="Calibri"/>
          <w:b w:val="0"/>
          <w:bCs w:val="0"/>
          <w:i w:val="0"/>
          <w:iCs w:val="0"/>
          <w:noProof w:val="0"/>
          <w:color w:val="000000" w:themeColor="text1" w:themeTint="FF" w:themeShade="FF"/>
          <w:sz w:val="24"/>
          <w:szCs w:val="24"/>
          <w:lang w:val="en-GB"/>
        </w:rPr>
        <w:t>Gallup, I. (2018)</w:t>
      </w:r>
      <w:r w:rsidRPr="2BDEC811" w:rsidR="2BDEC811">
        <w:rPr>
          <w:rFonts w:ascii="Calibri" w:hAnsi="Calibri" w:eastAsia="Calibri" w:cs="Calibri"/>
          <w:b w:val="0"/>
          <w:bCs w:val="0"/>
          <w:i w:val="0"/>
          <w:iCs w:val="0"/>
          <w:noProof w:val="0"/>
          <w:color w:val="000000" w:themeColor="text1" w:themeTint="FF" w:themeShade="FF"/>
          <w:sz w:val="24"/>
          <w:szCs w:val="24"/>
          <w:lang w:val="en-GB"/>
        </w:rPr>
        <w:t xml:space="preserve">. </w:t>
      </w:r>
    </w:p>
    <w:p w:rsidR="2BDEC811" w:rsidP="412BD25C" w:rsidRDefault="2BDEC811" w14:paraId="29178BD6" w14:textId="4CE307E8">
      <w:pPr>
        <w:pStyle w:val="Normal"/>
        <w:ind w:left="0"/>
        <w:rPr>
          <w:rFonts w:ascii="Calibri" w:hAnsi="Calibri" w:eastAsia="Calibri" w:cs="Calibri"/>
          <w:b w:val="0"/>
          <w:bCs w:val="0"/>
          <w:i w:val="0"/>
          <w:iCs w:val="0"/>
          <w:noProof w:val="0"/>
          <w:color w:val="000000" w:themeColor="text1" w:themeTint="FF" w:themeShade="FF"/>
          <w:sz w:val="24"/>
          <w:szCs w:val="24"/>
          <w:lang w:val="en-GB"/>
        </w:rPr>
      </w:pPr>
      <w:r w:rsidRPr="412BD25C" w:rsidR="412BD25C">
        <w:rPr>
          <w:rFonts w:ascii="Calibri" w:hAnsi="Calibri" w:eastAsia="Calibri" w:cs="Calibri"/>
          <w:b w:val="0"/>
          <w:bCs w:val="0"/>
          <w:i w:val="0"/>
          <w:iCs w:val="0"/>
          <w:noProof w:val="0"/>
          <w:color w:val="000000" w:themeColor="text1" w:themeTint="FF" w:themeShade="FF"/>
          <w:sz w:val="24"/>
          <w:szCs w:val="24"/>
          <w:lang w:val="en-GB"/>
        </w:rPr>
        <w:t xml:space="preserve">A recent trend in </w:t>
      </w:r>
      <w:r w:rsidRPr="412BD25C" w:rsidR="412BD25C">
        <w:rPr>
          <w:rFonts w:ascii="Calibri" w:hAnsi="Calibri" w:eastAsia="Calibri" w:cs="Calibri"/>
          <w:b w:val="0"/>
          <w:bCs w:val="0"/>
          <w:i w:val="0"/>
          <w:iCs w:val="0"/>
          <w:noProof w:val="0"/>
          <w:color w:val="000000" w:themeColor="text1" w:themeTint="FF" w:themeShade="FF"/>
          <w:sz w:val="24"/>
          <w:szCs w:val="24"/>
          <w:lang w:val="en-GB"/>
        </w:rPr>
        <w:t>E</w:t>
      </w:r>
      <w:r w:rsidRPr="412BD25C" w:rsidR="412BD25C">
        <w:rPr>
          <w:rFonts w:ascii="Calibri" w:hAnsi="Calibri" w:eastAsia="Calibri" w:cs="Calibri"/>
          <w:b w:val="0"/>
          <w:bCs w:val="0"/>
          <w:i w:val="0"/>
          <w:iCs w:val="0"/>
          <w:noProof w:val="0"/>
          <w:color w:val="000000" w:themeColor="text1" w:themeTint="FF" w:themeShade="FF"/>
          <w:sz w:val="24"/>
          <w:szCs w:val="24"/>
          <w:lang w:val="en-GB"/>
        </w:rPr>
        <w:t>mployee engagement has been employee wellbeing. For most employees they know that an engaged workforce is like to be more productive. Wellbeing is an essential part of engagement, CIPD (2012) state that in order to get the best out of people managers should be adept at preventing stress (Gray, 2014). In the Deloitte global human capitol trends report (2018) it was indicated that wellbeing programs are critical to an organisations brand and culture however there are still significant gaps between what workers expect and what organisations deliver (Deloitte United States, 2018).</w:t>
      </w:r>
    </w:p>
    <w:p w:rsidR="2BDEC811" w:rsidP="412BD25C" w:rsidRDefault="2BDEC811" w14:paraId="74501B21" w14:textId="5BD167C7">
      <w:pPr>
        <w:pStyle w:val="Normal"/>
        <w:ind w:left="0"/>
        <w:rPr>
          <w:rFonts w:ascii="Calibri" w:hAnsi="Calibri" w:eastAsia="Calibri" w:cs="Calibri"/>
          <w:noProof w:val="0"/>
          <w:sz w:val="24"/>
          <w:szCs w:val="24"/>
          <w:lang w:val="en-GB"/>
        </w:rPr>
      </w:pPr>
      <w:r w:rsidRPr="412BD25C" w:rsidR="412BD25C">
        <w:rPr>
          <w:b w:val="0"/>
          <w:bCs w:val="0"/>
          <w:i w:val="0"/>
          <w:iCs w:val="0"/>
          <w:noProof w:val="0"/>
          <w:color w:val="000000" w:themeColor="text1" w:themeTint="FF" w:themeShade="FF"/>
          <w:sz w:val="24"/>
          <w:szCs w:val="24"/>
          <w:lang w:val="en-GB"/>
        </w:rPr>
        <w:t>When considering trends within employee engagement it is always important to look at why there is low levels or engagement within an organisation. One of the most common concepts is the thought of how to measure engagement. The engagement survey is the most commonly used approach to measure engagement however it is said that you need to do more than just take a survey to get engagement right within an organisation (</w:t>
      </w:r>
      <w:r w:rsidRPr="412BD25C" w:rsidR="412BD25C">
        <w:rPr>
          <w:noProof w:val="0"/>
          <w:lang w:val="en-GB"/>
        </w:rPr>
        <w:t>Macleod and Clarke</w:t>
      </w:r>
      <w:r w:rsidRPr="412BD25C" w:rsidR="412BD25C">
        <w:rPr>
          <w:rFonts w:ascii="Calibri" w:hAnsi="Calibri" w:eastAsia="Calibri" w:cs="Calibri"/>
          <w:noProof w:val="0"/>
          <w:sz w:val="24"/>
          <w:szCs w:val="24"/>
          <w:lang w:val="en-GB"/>
        </w:rPr>
        <w:t xml:space="preserve"> 2009). Other thoughts for low level engagement suggest that burnout, work satisfaction and Lack of work life balance all can have a negative impact on how engaged an employee is</w:t>
      </w:r>
      <w:r w:rsidRPr="412BD25C" w:rsidR="412BD25C">
        <w:rPr>
          <w:rFonts w:ascii="Calibri" w:hAnsi="Calibri" w:eastAsia="Calibri" w:cs="Calibri"/>
          <w:noProof w:val="0"/>
          <w:sz w:val="24"/>
          <w:szCs w:val="24"/>
          <w:lang w:val="en-GB"/>
        </w:rPr>
        <w:t xml:space="preserve"> (Woodhams, 2016, pp. 89). </w:t>
      </w:r>
    </w:p>
    <w:p w:rsidR="2BDEC811" w:rsidP="412BD25C" w:rsidRDefault="2BDEC811" w14:paraId="3DE647A1" w14:textId="00636783">
      <w:pPr>
        <w:pStyle w:val="Normal"/>
        <w:ind w:left="0"/>
        <w:rPr>
          <w:rFonts w:ascii="Calibri" w:hAnsi="Calibri" w:eastAsia="Calibri" w:cs="Calibri"/>
          <w:b w:val="0"/>
          <w:bCs w:val="0"/>
          <w:i w:val="0"/>
          <w:iCs w:val="0"/>
          <w:noProof w:val="0"/>
          <w:color w:val="000000" w:themeColor="text1" w:themeTint="FF" w:themeShade="FF"/>
          <w:sz w:val="24"/>
          <w:szCs w:val="24"/>
          <w:lang w:val="en-GB"/>
        </w:rPr>
      </w:pPr>
      <w:r w:rsidRPr="412BD25C" w:rsidR="412BD25C">
        <w:rPr>
          <w:sz w:val="24"/>
          <w:szCs w:val="24"/>
          <w:u w:val="none"/>
        </w:rPr>
        <w:t xml:space="preserve">Forbes states that there are 4 employee engagement trends that all leaders need to know, the first is non-monetary benefits or perks, Forbes expresses that employees are looking for an experience not a job and opportunities that enhance their day has a positive effect on how engaged an employee is. Secondly are agile working environments stating that allowing employees to work in different environments and to work collaboratively empowers an employee. Thirdly are employees wanting to make a difference stating that there is a ubiquitous desire to feel as though they have had a positive impact whilst at work. Finally, Forbes describes a workplace culture as being King, stating that employees want transparency and accountability form their employer. Forbes expresses that if we give our employees an exceptional employee experience, they will then give our customers an exceptional customer experience </w:t>
      </w:r>
      <w:r w:rsidRPr="412BD25C" w:rsidR="412BD25C">
        <w:rPr>
          <w:b w:val="0"/>
          <w:bCs w:val="0"/>
          <w:i w:val="0"/>
          <w:iCs w:val="0"/>
          <w:noProof w:val="0"/>
          <w:color w:val="000000" w:themeColor="text1" w:themeTint="FF" w:themeShade="FF"/>
          <w:sz w:val="24"/>
          <w:szCs w:val="24"/>
          <w:lang w:val="en-GB"/>
        </w:rPr>
        <w:t>Forbes.com. (2019).</w:t>
      </w:r>
    </w:p>
    <w:p w:rsidR="34F84769" w:rsidP="34F84769" w:rsidRDefault="34F84769" w14:paraId="3EBEA0DD" w14:textId="062A65C1">
      <w:pPr>
        <w:pStyle w:val="Normal"/>
        <w:rPr>
          <w:sz w:val="24"/>
          <w:szCs w:val="24"/>
          <w:u w:val="single"/>
        </w:rPr>
      </w:pPr>
    </w:p>
    <w:p w:rsidR="7574B655" w:rsidP="20BDA442" w:rsidRDefault="7574B655" w14:paraId="208C1BF5" w14:textId="40655224">
      <w:pPr>
        <w:pStyle w:val="ListParagraph"/>
        <w:numPr>
          <w:ilvl w:val="0"/>
          <w:numId w:val="1"/>
        </w:numPr>
        <w:rPr>
          <w:sz w:val="24"/>
          <w:szCs w:val="24"/>
        </w:rPr>
      </w:pPr>
      <w:r w:rsidRPr="20BDA442" w:rsidR="20BDA442">
        <w:rPr>
          <w:sz w:val="24"/>
          <w:szCs w:val="24"/>
          <w:u w:val="single"/>
        </w:rPr>
        <w:t xml:space="preserve">Summary the future of employee </w:t>
      </w:r>
      <w:r w:rsidRPr="20BDA442" w:rsidR="20BDA442">
        <w:rPr>
          <w:sz w:val="24"/>
          <w:szCs w:val="24"/>
          <w:u w:val="single"/>
        </w:rPr>
        <w:t>engagement</w:t>
      </w:r>
    </w:p>
    <w:p w:rsidR="20BDA442" w:rsidP="2BDEC811" w:rsidRDefault="20BDA442" w14:paraId="466F004A" w14:textId="3B3C8617">
      <w:pPr>
        <w:pStyle w:val="Normal"/>
        <w:rPr>
          <w:sz w:val="24"/>
          <w:szCs w:val="24"/>
          <w:u w:val="single"/>
        </w:rPr>
      </w:pPr>
      <w:r w:rsidRPr="2BDEC811" w:rsidR="2BDEC811">
        <w:rPr>
          <w:sz w:val="24"/>
          <w:szCs w:val="24"/>
          <w:u w:val="none"/>
        </w:rPr>
        <w:t>When considering the future of employee engagement</w:t>
      </w:r>
      <w:r w:rsidRPr="2BDEC811" w:rsidR="2BDEC811">
        <w:rPr>
          <w:sz w:val="24"/>
          <w:szCs w:val="24"/>
          <w:u w:val="single"/>
        </w:rPr>
        <w:t xml:space="preserve"> </w:t>
      </w:r>
      <w:r w:rsidRPr="2BDEC811" w:rsidR="2BDEC811">
        <w:rPr>
          <w:sz w:val="24"/>
          <w:szCs w:val="24"/>
          <w:u w:val="none"/>
        </w:rPr>
        <w:t xml:space="preserve">one thing that is clear is that employee engagement is not going anywhere Woodhams states whilst employee engagement is still evolving due to some organisations not quite getting to grips with it (Woodhams, </w:t>
      </w:r>
      <w:r w:rsidRPr="2BDEC811" w:rsidR="2BDEC811">
        <w:rPr>
          <w:sz w:val="24"/>
          <w:szCs w:val="24"/>
          <w:u w:val="none"/>
        </w:rPr>
        <w:t>2016,</w:t>
      </w:r>
      <w:r w:rsidRPr="2BDEC811" w:rsidR="2BDEC811">
        <w:rPr>
          <w:sz w:val="24"/>
          <w:szCs w:val="24"/>
          <w:u w:val="none"/>
        </w:rPr>
        <w:t xml:space="preserve"> </w:t>
      </w:r>
      <w:r w:rsidRPr="2BDEC811" w:rsidR="2BDEC811">
        <w:rPr>
          <w:sz w:val="24"/>
          <w:szCs w:val="24"/>
          <w:u w:val="none"/>
        </w:rPr>
        <w:t>pp.</w:t>
      </w:r>
      <w:r w:rsidRPr="2BDEC811" w:rsidR="2BDEC811">
        <w:rPr>
          <w:sz w:val="24"/>
          <w:szCs w:val="24"/>
          <w:u w:val="none"/>
        </w:rPr>
        <w:t>93).</w:t>
      </w:r>
    </w:p>
    <w:p w:rsidR="2BDEC811" w:rsidP="2BDEC811" w:rsidRDefault="2BDEC811" w14:paraId="4FB99B22" w14:textId="669D4050">
      <w:pPr>
        <w:pStyle w:val="Normal"/>
        <w:ind w:left="0"/>
        <w:rPr>
          <w:sz w:val="24"/>
          <w:szCs w:val="24"/>
          <w:u w:val="none"/>
        </w:rPr>
      </w:pPr>
      <w:r w:rsidRPr="2BDEC811" w:rsidR="2BDEC811">
        <w:rPr>
          <w:sz w:val="24"/>
          <w:szCs w:val="24"/>
          <w:u w:val="none"/>
        </w:rPr>
        <w:t>Tress et al (2104) identifies seven key questions for further development of the future:</w:t>
      </w:r>
    </w:p>
    <w:p w:rsidR="2BDEC811" w:rsidP="2BDEC811" w:rsidRDefault="2BDEC811" w14:paraId="6809D8AE" w14:textId="026DF3B3">
      <w:pPr>
        <w:pStyle w:val="ListParagraph"/>
        <w:numPr>
          <w:ilvl w:val="0"/>
          <w:numId w:val="3"/>
        </w:numPr>
        <w:bidi w:val="0"/>
        <w:spacing w:before="0" w:beforeAutospacing="off" w:after="160" w:afterAutospacing="off" w:line="259" w:lineRule="auto"/>
        <w:ind w:right="0"/>
        <w:jc w:val="left"/>
        <w:rPr>
          <w:sz w:val="24"/>
          <w:szCs w:val="24"/>
          <w:u w:val="none"/>
        </w:rPr>
      </w:pPr>
      <w:r w:rsidRPr="2BDEC811" w:rsidR="2BDEC811">
        <w:rPr>
          <w:sz w:val="24"/>
          <w:szCs w:val="24"/>
          <w:u w:val="none"/>
        </w:rPr>
        <w:t>What is engagement?</w:t>
      </w:r>
    </w:p>
    <w:p w:rsidR="2BDEC811" w:rsidP="2BDEC811" w:rsidRDefault="2BDEC811" w14:paraId="67547B9F" w14:textId="578F5793">
      <w:pPr>
        <w:pStyle w:val="ListParagraph"/>
        <w:numPr>
          <w:ilvl w:val="0"/>
          <w:numId w:val="3"/>
        </w:numPr>
        <w:bidi w:val="0"/>
        <w:spacing w:before="0" w:beforeAutospacing="off" w:after="160" w:afterAutospacing="off" w:line="259" w:lineRule="auto"/>
        <w:ind w:right="0"/>
        <w:jc w:val="left"/>
        <w:rPr>
          <w:sz w:val="24"/>
          <w:szCs w:val="24"/>
          <w:u w:val="none"/>
        </w:rPr>
      </w:pPr>
      <w:r w:rsidRPr="2BDEC811" w:rsidR="2BDEC811">
        <w:rPr>
          <w:sz w:val="24"/>
          <w:szCs w:val="24"/>
          <w:u w:val="none"/>
        </w:rPr>
        <w:t>What is the link between engagement and Human Resource Management?</w:t>
      </w:r>
    </w:p>
    <w:p w:rsidR="2BDEC811" w:rsidP="2BDEC811" w:rsidRDefault="2BDEC811" w14:paraId="1795BC33" w14:textId="4B98E47B">
      <w:pPr>
        <w:pStyle w:val="ListParagraph"/>
        <w:numPr>
          <w:ilvl w:val="0"/>
          <w:numId w:val="3"/>
        </w:numPr>
        <w:bidi w:val="0"/>
        <w:spacing w:before="0" w:beforeAutospacing="off" w:after="160" w:afterAutospacing="off" w:line="259" w:lineRule="auto"/>
        <w:ind w:right="0"/>
        <w:jc w:val="left"/>
        <w:rPr>
          <w:sz w:val="24"/>
          <w:szCs w:val="24"/>
          <w:u w:val="none"/>
        </w:rPr>
      </w:pPr>
      <w:r w:rsidRPr="2BDEC811" w:rsidR="2BDEC811">
        <w:rPr>
          <w:sz w:val="24"/>
          <w:szCs w:val="24"/>
          <w:u w:val="none"/>
        </w:rPr>
        <w:t>How can employee engagement strategies be evaluated?</w:t>
      </w:r>
    </w:p>
    <w:p w:rsidR="2BDEC811" w:rsidP="2BDEC811" w:rsidRDefault="2BDEC811" w14:paraId="6382B20E" w14:textId="16D68777">
      <w:pPr>
        <w:pStyle w:val="ListParagraph"/>
        <w:numPr>
          <w:ilvl w:val="0"/>
          <w:numId w:val="3"/>
        </w:numPr>
        <w:bidi w:val="0"/>
        <w:spacing w:before="0" w:beforeAutospacing="off" w:after="160" w:afterAutospacing="off" w:line="259" w:lineRule="auto"/>
        <w:ind w:right="0"/>
        <w:jc w:val="left"/>
        <w:rPr>
          <w:sz w:val="24"/>
          <w:szCs w:val="24"/>
          <w:u w:val="none"/>
        </w:rPr>
      </w:pPr>
      <w:r w:rsidRPr="2BDEC811" w:rsidR="2BDEC811">
        <w:rPr>
          <w:sz w:val="24"/>
          <w:szCs w:val="24"/>
          <w:u w:val="none"/>
        </w:rPr>
        <w:t>How is engagement related to the wider internal and external context?</w:t>
      </w:r>
    </w:p>
    <w:p w:rsidR="2BDEC811" w:rsidP="2BDEC811" w:rsidRDefault="2BDEC811" w14:paraId="41107358" w14:textId="73509F97">
      <w:pPr>
        <w:pStyle w:val="ListParagraph"/>
        <w:numPr>
          <w:ilvl w:val="0"/>
          <w:numId w:val="3"/>
        </w:numPr>
        <w:bidi w:val="0"/>
        <w:spacing w:before="0" w:beforeAutospacing="off" w:after="160" w:afterAutospacing="off" w:line="259" w:lineRule="auto"/>
        <w:ind w:right="0"/>
        <w:jc w:val="left"/>
        <w:rPr>
          <w:sz w:val="24"/>
          <w:szCs w:val="24"/>
          <w:u w:val="none"/>
        </w:rPr>
      </w:pPr>
      <w:r w:rsidRPr="2BDEC811" w:rsidR="2BDEC811">
        <w:rPr>
          <w:sz w:val="24"/>
          <w:szCs w:val="24"/>
          <w:u w:val="none"/>
        </w:rPr>
        <w:t>How does engagement work in the group or team level?</w:t>
      </w:r>
    </w:p>
    <w:p w:rsidR="2BDEC811" w:rsidP="2BDEC811" w:rsidRDefault="2BDEC811" w14:paraId="4AD6491D" w14:textId="590469AE">
      <w:pPr>
        <w:pStyle w:val="ListParagraph"/>
        <w:numPr>
          <w:ilvl w:val="0"/>
          <w:numId w:val="3"/>
        </w:numPr>
        <w:bidi w:val="0"/>
        <w:spacing w:before="0" w:beforeAutospacing="off" w:after="160" w:afterAutospacing="off" w:line="259" w:lineRule="auto"/>
        <w:ind w:right="0"/>
        <w:jc w:val="left"/>
        <w:rPr>
          <w:sz w:val="24"/>
          <w:szCs w:val="24"/>
          <w:u w:val="none"/>
        </w:rPr>
      </w:pPr>
      <w:r w:rsidRPr="2BDEC811" w:rsidR="2BDEC811">
        <w:rPr>
          <w:sz w:val="24"/>
          <w:szCs w:val="24"/>
          <w:u w:val="none"/>
        </w:rPr>
        <w:t xml:space="preserve">How </w:t>
      </w:r>
      <w:r w:rsidRPr="2BDEC811" w:rsidR="2BDEC811">
        <w:rPr>
          <w:sz w:val="24"/>
          <w:szCs w:val="24"/>
          <w:u w:val="none"/>
        </w:rPr>
        <w:t>does engagement</w:t>
      </w:r>
      <w:r w:rsidRPr="2BDEC811" w:rsidR="2BDEC811">
        <w:rPr>
          <w:sz w:val="24"/>
          <w:szCs w:val="24"/>
          <w:u w:val="none"/>
        </w:rPr>
        <w:t xml:space="preserve"> interact with diversity?</w:t>
      </w:r>
    </w:p>
    <w:p w:rsidR="2BDEC811" w:rsidP="2BDEC811" w:rsidRDefault="2BDEC811" w14:paraId="68D0A9AE" w14:textId="674E573C">
      <w:pPr>
        <w:pStyle w:val="ListParagraph"/>
        <w:numPr>
          <w:ilvl w:val="0"/>
          <w:numId w:val="3"/>
        </w:numPr>
        <w:bidi w:val="0"/>
        <w:spacing w:before="0" w:beforeAutospacing="off" w:after="160" w:afterAutospacing="off" w:line="259" w:lineRule="auto"/>
        <w:ind w:right="0"/>
        <w:jc w:val="left"/>
        <w:rPr>
          <w:sz w:val="24"/>
          <w:szCs w:val="24"/>
          <w:u w:val="none"/>
        </w:rPr>
      </w:pPr>
      <w:r w:rsidRPr="2BDEC811" w:rsidR="2BDEC811">
        <w:rPr>
          <w:sz w:val="24"/>
          <w:szCs w:val="24"/>
          <w:u w:val="none"/>
        </w:rPr>
        <w:t xml:space="preserve">How is engagement from a more </w:t>
      </w:r>
      <w:r w:rsidRPr="2BDEC811" w:rsidR="2BDEC811">
        <w:rPr>
          <w:sz w:val="24"/>
          <w:szCs w:val="24"/>
          <w:u w:val="none"/>
        </w:rPr>
        <w:t>critical</w:t>
      </w:r>
      <w:r w:rsidRPr="2BDEC811" w:rsidR="2BDEC811">
        <w:rPr>
          <w:sz w:val="24"/>
          <w:szCs w:val="24"/>
          <w:u w:val="none"/>
        </w:rPr>
        <w:t xml:space="preserve"> perspective?</w:t>
      </w:r>
    </w:p>
    <w:p w:rsidR="2BDEC811" w:rsidP="2BDEC811" w:rsidRDefault="2BDEC811" w14:paraId="409921A8" w14:textId="2740E898">
      <w:pPr>
        <w:pStyle w:val="Normal"/>
        <w:bidi w:val="0"/>
        <w:spacing w:before="0" w:beforeAutospacing="off" w:after="160" w:afterAutospacing="off" w:line="259" w:lineRule="auto"/>
        <w:ind w:left="0" w:right="0"/>
        <w:jc w:val="left"/>
        <w:rPr>
          <w:sz w:val="24"/>
          <w:szCs w:val="24"/>
          <w:u w:val="none"/>
        </w:rPr>
      </w:pPr>
      <w:r w:rsidRPr="2BDEC811" w:rsidR="2BDEC811">
        <w:rPr>
          <w:sz w:val="24"/>
          <w:szCs w:val="24"/>
          <w:u w:val="none"/>
        </w:rPr>
        <w:t xml:space="preserve">Tress et al (2014) believes that these seven questions can develop and continue to gain insight into engagement for the future (Woodhams, </w:t>
      </w:r>
      <w:r w:rsidRPr="2BDEC811" w:rsidR="2BDEC811">
        <w:rPr>
          <w:sz w:val="24"/>
          <w:szCs w:val="24"/>
          <w:u w:val="none"/>
        </w:rPr>
        <w:t>2016, pp.</w:t>
      </w:r>
      <w:r w:rsidRPr="2BDEC811" w:rsidR="2BDEC811">
        <w:rPr>
          <w:sz w:val="24"/>
          <w:szCs w:val="24"/>
          <w:u w:val="none"/>
        </w:rPr>
        <w:t>93).</w:t>
      </w:r>
    </w:p>
    <w:p w:rsidR="2BDEC811" w:rsidP="2BDEC811" w:rsidRDefault="2BDEC811" w14:paraId="2429356B" w14:textId="12DD1CBF">
      <w:pPr>
        <w:pStyle w:val="Normal"/>
        <w:bidi w:val="0"/>
        <w:spacing w:before="0" w:beforeAutospacing="off" w:after="160" w:afterAutospacing="off" w:line="259" w:lineRule="auto"/>
        <w:ind w:left="0" w:right="0"/>
        <w:jc w:val="left"/>
        <w:rPr>
          <w:sz w:val="24"/>
          <w:szCs w:val="24"/>
          <w:u w:val="none"/>
        </w:rPr>
      </w:pPr>
      <w:r w:rsidRPr="2BDEC811" w:rsidR="2BDEC811">
        <w:rPr>
          <w:sz w:val="24"/>
          <w:szCs w:val="24"/>
          <w:u w:val="none"/>
        </w:rPr>
        <w:t xml:space="preserve">CIPD (2014) states that the way a work force feels about an organisation will materially affect the way the organisation performs. Culture within an organisation is not something that happens overnight, it takes time and commitment. </w:t>
      </w:r>
      <w:r w:rsidRPr="2BDEC811" w:rsidR="2BDEC811">
        <w:rPr>
          <w:sz w:val="24"/>
          <w:szCs w:val="24"/>
          <w:u w:val="none"/>
        </w:rPr>
        <w:t>CIPD (</w:t>
      </w:r>
      <w:r w:rsidRPr="2BDEC811" w:rsidR="2BDEC811">
        <w:rPr>
          <w:sz w:val="24"/>
          <w:szCs w:val="24"/>
          <w:u w:val="none"/>
        </w:rPr>
        <w:t>2014) state they also have several key things which will support the future of employee engagement:</w:t>
      </w:r>
    </w:p>
    <w:p w:rsidR="2BDEC811" w:rsidP="2BDEC811" w:rsidRDefault="2BDEC811" w14:paraId="389EC981" w14:textId="390D98F7">
      <w:pPr>
        <w:pStyle w:val="ListParagraph"/>
        <w:numPr>
          <w:ilvl w:val="0"/>
          <w:numId w:val="4"/>
        </w:numPr>
        <w:bidi w:val="0"/>
        <w:spacing w:before="0" w:beforeAutospacing="off" w:after="160" w:afterAutospacing="off" w:line="259" w:lineRule="auto"/>
        <w:ind w:right="0"/>
        <w:jc w:val="left"/>
        <w:rPr>
          <w:sz w:val="24"/>
          <w:szCs w:val="24"/>
          <w:u w:val="none"/>
        </w:rPr>
      </w:pPr>
      <w:r w:rsidRPr="2BDEC811" w:rsidR="2BDEC811">
        <w:rPr>
          <w:sz w:val="24"/>
          <w:szCs w:val="24"/>
          <w:u w:val="none"/>
        </w:rPr>
        <w:t>The purpose should be clearly translated</w:t>
      </w:r>
    </w:p>
    <w:p w:rsidR="2BDEC811" w:rsidP="2BDEC811" w:rsidRDefault="2BDEC811" w14:paraId="1206A844" w14:textId="266F9624">
      <w:pPr>
        <w:pStyle w:val="ListParagraph"/>
        <w:numPr>
          <w:ilvl w:val="0"/>
          <w:numId w:val="4"/>
        </w:numPr>
        <w:bidi w:val="0"/>
        <w:spacing w:before="0" w:beforeAutospacing="off" w:after="160" w:afterAutospacing="off" w:line="259" w:lineRule="auto"/>
        <w:ind w:right="0"/>
        <w:jc w:val="left"/>
        <w:rPr>
          <w:sz w:val="24"/>
          <w:szCs w:val="24"/>
          <w:u w:val="none"/>
        </w:rPr>
      </w:pPr>
      <w:r w:rsidRPr="2BDEC811" w:rsidR="2BDEC811">
        <w:rPr>
          <w:sz w:val="24"/>
          <w:szCs w:val="24"/>
          <w:u w:val="none"/>
        </w:rPr>
        <w:t>Organisations need to provide more autonomy</w:t>
      </w:r>
    </w:p>
    <w:p w:rsidR="2BDEC811" w:rsidP="2BDEC811" w:rsidRDefault="2BDEC811" w14:paraId="3FB5D6EB" w14:textId="2F1E92A8">
      <w:pPr>
        <w:pStyle w:val="ListParagraph"/>
        <w:numPr>
          <w:ilvl w:val="0"/>
          <w:numId w:val="4"/>
        </w:numPr>
        <w:bidi w:val="0"/>
        <w:spacing w:before="0" w:beforeAutospacing="off" w:after="160" w:afterAutospacing="off" w:line="259" w:lineRule="auto"/>
        <w:ind w:right="0"/>
        <w:jc w:val="left"/>
        <w:rPr>
          <w:sz w:val="24"/>
          <w:szCs w:val="24"/>
          <w:u w:val="none"/>
        </w:rPr>
      </w:pPr>
      <w:r w:rsidRPr="2BDEC811" w:rsidR="2BDEC811">
        <w:rPr>
          <w:sz w:val="24"/>
          <w:szCs w:val="24"/>
          <w:u w:val="none"/>
        </w:rPr>
        <w:t xml:space="preserve">The </w:t>
      </w:r>
      <w:r w:rsidRPr="2BDEC811" w:rsidR="2BDEC811">
        <w:rPr>
          <w:sz w:val="24"/>
          <w:szCs w:val="24"/>
          <w:u w:val="none"/>
        </w:rPr>
        <w:t>importance</w:t>
      </w:r>
      <w:r w:rsidRPr="2BDEC811" w:rsidR="2BDEC811">
        <w:rPr>
          <w:sz w:val="24"/>
          <w:szCs w:val="24"/>
          <w:u w:val="none"/>
        </w:rPr>
        <w:t xml:space="preserve"> of employee voice</w:t>
      </w:r>
    </w:p>
    <w:p w:rsidR="2BDEC811" w:rsidP="2BDEC811" w:rsidRDefault="2BDEC811" w14:paraId="146FEDBB" w14:textId="0758E0E4">
      <w:pPr>
        <w:pStyle w:val="ListParagraph"/>
        <w:numPr>
          <w:ilvl w:val="0"/>
          <w:numId w:val="4"/>
        </w:numPr>
        <w:bidi w:val="0"/>
        <w:spacing w:before="0" w:beforeAutospacing="off" w:after="160" w:afterAutospacing="off" w:line="259" w:lineRule="auto"/>
        <w:ind w:right="0"/>
        <w:jc w:val="left"/>
        <w:rPr>
          <w:sz w:val="24"/>
          <w:szCs w:val="24"/>
          <w:u w:val="none"/>
        </w:rPr>
      </w:pPr>
      <w:r w:rsidRPr="2BDEC811" w:rsidR="2BDEC811">
        <w:rPr>
          <w:sz w:val="24"/>
          <w:szCs w:val="24"/>
          <w:u w:val="none"/>
        </w:rPr>
        <w:t>Sustaining employee engagement</w:t>
      </w:r>
    </w:p>
    <w:p w:rsidR="2BDEC811" w:rsidP="2BDEC811" w:rsidRDefault="2BDEC811" w14:paraId="65D2347A" w14:textId="567DCDA6">
      <w:pPr>
        <w:pStyle w:val="ListParagraph"/>
        <w:numPr>
          <w:ilvl w:val="0"/>
          <w:numId w:val="4"/>
        </w:numPr>
        <w:bidi w:val="0"/>
        <w:spacing w:before="0" w:beforeAutospacing="off" w:after="160" w:afterAutospacing="off" w:line="259" w:lineRule="auto"/>
        <w:ind w:right="0"/>
        <w:jc w:val="left"/>
        <w:rPr>
          <w:sz w:val="24"/>
          <w:szCs w:val="24"/>
          <w:u w:val="none"/>
        </w:rPr>
      </w:pPr>
      <w:r w:rsidRPr="2BDEC811" w:rsidR="2BDEC811">
        <w:rPr>
          <w:sz w:val="24"/>
          <w:szCs w:val="24"/>
          <w:u w:val="none"/>
        </w:rPr>
        <w:t xml:space="preserve">Importance of trust within an </w:t>
      </w:r>
      <w:r w:rsidRPr="2BDEC811" w:rsidR="2BDEC811">
        <w:rPr>
          <w:sz w:val="24"/>
          <w:szCs w:val="24"/>
          <w:u w:val="none"/>
        </w:rPr>
        <w:t>organisation</w:t>
      </w:r>
    </w:p>
    <w:p w:rsidR="412BD25C" w:rsidP="412BD25C" w:rsidRDefault="412BD25C" w14:paraId="7F4E9DD3" w14:textId="38CCA4ED">
      <w:pPr>
        <w:pStyle w:val="Normal"/>
        <w:spacing w:before="0" w:beforeAutospacing="off" w:after="160" w:afterAutospacing="off" w:line="259" w:lineRule="auto"/>
        <w:ind w:left="0" w:right="0"/>
        <w:jc w:val="left"/>
        <w:rPr>
          <w:sz w:val="24"/>
          <w:szCs w:val="24"/>
          <w:u w:val="none"/>
        </w:rPr>
      </w:pPr>
      <w:r w:rsidRPr="412BD25C" w:rsidR="412BD25C">
        <w:rPr>
          <w:sz w:val="24"/>
          <w:szCs w:val="24"/>
          <w:u w:val="none"/>
        </w:rPr>
        <w:t>CIPD (2014) state that it is important to remember when dealing with employee engagement that it is embracing the philosophy and culture of people management. Managers should be developed into engaging managers who makes employees feel supported empowered and inspired (CIPD, 2014).</w:t>
      </w:r>
    </w:p>
    <w:p w:rsidR="2BDEC811" w:rsidP="412BD25C" w:rsidRDefault="2BDEC811" w14:paraId="12E85A95" w14:textId="77B5EAEC">
      <w:pPr>
        <w:pStyle w:val="Normal"/>
        <w:ind/>
        <w:rPr>
          <w:sz w:val="24"/>
          <w:szCs w:val="24"/>
          <w:u w:val="single"/>
        </w:rPr>
      </w:pPr>
      <w:r w:rsidRPr="412BD25C" w:rsidR="412BD25C">
        <w:rPr>
          <w:sz w:val="24"/>
          <w:szCs w:val="24"/>
          <w:u w:val="single"/>
        </w:rPr>
        <w:t>Conclusion</w:t>
      </w:r>
    </w:p>
    <w:p w:rsidR="2BDEC811" w:rsidP="412BD25C" w:rsidRDefault="2BDEC811" w14:paraId="7C695C9C" w14:textId="46305530">
      <w:pPr>
        <w:pStyle w:val="Normal"/>
        <w:ind w:left="0"/>
        <w:rPr>
          <w:sz w:val="24"/>
          <w:szCs w:val="24"/>
          <w:u w:val="none"/>
        </w:rPr>
      </w:pPr>
      <w:r w:rsidRPr="412BD25C" w:rsidR="412BD25C">
        <w:rPr>
          <w:sz w:val="24"/>
          <w:szCs w:val="24"/>
          <w:u w:val="none"/>
        </w:rPr>
        <w:t xml:space="preserve">In conclusion </w:t>
      </w:r>
      <w:r w:rsidRPr="412BD25C" w:rsidR="412BD25C">
        <w:rPr>
          <w:sz w:val="24"/>
          <w:szCs w:val="24"/>
          <w:u w:val="none"/>
        </w:rPr>
        <w:t>E</w:t>
      </w:r>
      <w:r w:rsidRPr="412BD25C" w:rsidR="412BD25C">
        <w:rPr>
          <w:sz w:val="24"/>
          <w:szCs w:val="24"/>
          <w:u w:val="none"/>
        </w:rPr>
        <w:t>mployee engagement is here to stay (Woodhams, 2016, pp. 93). Engagement is evolving day on day, Woodhams (2016) states that today's high engagement culture is not necessarily tomorrows competitive winner. Within in all organisations it is clear that Man</w:t>
      </w:r>
      <w:r w:rsidRPr="412BD25C" w:rsidR="412BD25C">
        <w:rPr>
          <w:sz w:val="24"/>
          <w:szCs w:val="24"/>
          <w:u w:val="none"/>
        </w:rPr>
        <w:t>a</w:t>
      </w:r>
      <w:r w:rsidRPr="412BD25C" w:rsidR="412BD25C">
        <w:rPr>
          <w:sz w:val="24"/>
          <w:szCs w:val="24"/>
          <w:u w:val="none"/>
        </w:rPr>
        <w:t>gers and Leaders have a key role to play within employee engagement they need to ensure they are creating and sustaining through their overall approach in managing people (Woodhams, 2016, pp.93).</w:t>
      </w:r>
    </w:p>
    <w:p w:rsidR="2BDEC811" w:rsidP="2BDEC811" w:rsidRDefault="2BDEC811" w14:paraId="2E056C1F" w14:textId="1BC5A6E7">
      <w:pPr>
        <w:pStyle w:val="Normal"/>
        <w:ind w:left="0"/>
        <w:rPr>
          <w:sz w:val="24"/>
          <w:szCs w:val="24"/>
          <w:u w:val="none"/>
        </w:rPr>
      </w:pPr>
      <w:r w:rsidRPr="2BDEC811" w:rsidR="2BDEC811">
        <w:rPr>
          <w:sz w:val="24"/>
          <w:szCs w:val="24"/>
          <w:u w:val="none"/>
        </w:rPr>
        <w:t xml:space="preserve">Woodhams (2016) states that certain factors will continue to play a key part in developing, embedding and benefitting from Employee engagement, some of these factors are  coherent and consistent role modelling from the top, Good quality management at all levels, two way open communication, A customer centric focus, commitment to wellbeing and most importantly for HR clear and accessible policies and practises. </w:t>
      </w:r>
    </w:p>
    <w:p w:rsidR="34F84769" w:rsidP="2BDEC811" w:rsidRDefault="34F84769" w14:paraId="5F7B6FD6" w14:textId="66934829">
      <w:pPr>
        <w:pStyle w:val="Normal"/>
        <w:ind w:left="0"/>
        <w:rPr>
          <w:sz w:val="24"/>
          <w:szCs w:val="24"/>
          <w:u w:val="none"/>
        </w:rPr>
      </w:pPr>
    </w:p>
    <w:p w:rsidR="34F84769" w:rsidP="34F84769" w:rsidRDefault="34F84769" w14:paraId="2EDD5556" w14:textId="5F60D140">
      <w:pPr>
        <w:pStyle w:val="Normal"/>
        <w:ind w:left="0"/>
        <w:rPr>
          <w:sz w:val="24"/>
          <w:szCs w:val="24"/>
          <w:u w:val="single"/>
        </w:rPr>
      </w:pPr>
    </w:p>
    <w:p w:rsidR="7574B655" w:rsidP="412BD25C" w:rsidRDefault="7574B655" w14:paraId="4B179345" w14:textId="7A227C9A">
      <w:pPr>
        <w:pStyle w:val="Normal"/>
        <w:ind w:left="0"/>
        <w:rPr>
          <w:sz w:val="24"/>
          <w:szCs w:val="24"/>
          <w:u w:val="single"/>
        </w:rPr>
      </w:pPr>
      <w:r w:rsidRPr="412BD25C" w:rsidR="412BD25C">
        <w:rPr>
          <w:sz w:val="24"/>
          <w:szCs w:val="24"/>
          <w:u w:val="single"/>
        </w:rPr>
        <w:t>References</w:t>
      </w:r>
    </w:p>
    <w:p w:rsidR="412BD25C" w:rsidP="412BD25C" w:rsidRDefault="412BD25C" w14:paraId="613874B5" w14:textId="61EBF26D">
      <w:pPr>
        <w:pStyle w:val="ListParagraph"/>
        <w:numPr>
          <w:ilvl w:val="0"/>
          <w:numId w:val="2"/>
        </w:numPr>
        <w:rPr>
          <w:sz w:val="24"/>
          <w:szCs w:val="24"/>
        </w:rPr>
      </w:pPr>
      <w:r w:rsidRPr="412BD25C" w:rsidR="412BD25C">
        <w:rPr>
          <w:rFonts w:ascii="Calibri" w:hAnsi="Calibri" w:eastAsia="Calibri" w:cs="Calibri"/>
          <w:noProof w:val="0"/>
          <w:sz w:val="24"/>
          <w:szCs w:val="24"/>
          <w:lang w:val="en-GB"/>
        </w:rPr>
        <w:t>M.acas.org.uk. (2014). [online] Available at: https://m.acas.org.uk/media/4029/MacLeod-and-Clarkes-Concept-of-Employee-Engagement-An-Analysis-based-on-the-Workplace-Employment-Relations-Study/pdf/08140-MacLeod-Clarkes-Concept-of-Employee-Engagement.pdf [Accessed 30 Sep. 2019].</w:t>
      </w:r>
    </w:p>
    <w:p w:rsidR="630D1A0B" w:rsidP="2BDEC811" w:rsidRDefault="630D1A0B" w14:paraId="73886E53" w14:textId="567884C9">
      <w:pPr>
        <w:pStyle w:val="ListParagraph"/>
        <w:numPr>
          <w:ilvl w:val="0"/>
          <w:numId w:val="2"/>
        </w:numPr>
        <w:rPr>
          <w:b w:val="0"/>
          <w:bCs w:val="0"/>
          <w:i w:val="0"/>
          <w:iCs w:val="0"/>
          <w:noProof w:val="0"/>
          <w:color w:val="000000" w:themeColor="text1" w:themeTint="FF" w:themeShade="FF"/>
          <w:sz w:val="24"/>
          <w:szCs w:val="24"/>
          <w:lang w:val="en-GB"/>
        </w:rPr>
      </w:pPr>
      <w:r w:rsidRPr="2BDEC811" w:rsidR="2BDEC811">
        <w:rPr>
          <w:b w:val="0"/>
          <w:bCs w:val="0"/>
          <w:i w:val="0"/>
          <w:iCs w:val="0"/>
          <w:noProof w:val="0"/>
          <w:color w:val="000000" w:themeColor="text1" w:themeTint="FF" w:themeShade="FF"/>
          <w:sz w:val="24"/>
          <w:szCs w:val="24"/>
          <w:lang w:val="en-GB"/>
        </w:rPr>
        <w:t xml:space="preserve">Bamboohr.com. (2019). </w:t>
      </w:r>
      <w:r w:rsidRPr="2BDEC811" w:rsidR="2BDEC811">
        <w:rPr>
          <w:b w:val="0"/>
          <w:bCs w:val="0"/>
          <w:i w:val="1"/>
          <w:iCs w:val="1"/>
          <w:noProof w:val="0"/>
          <w:color w:val="000000" w:themeColor="text1" w:themeTint="FF" w:themeShade="FF"/>
          <w:sz w:val="24"/>
          <w:szCs w:val="24"/>
          <w:lang w:val="en-GB"/>
        </w:rPr>
        <w:t>What is Employee Satisfaction? | BambooHR</w:t>
      </w:r>
      <w:r w:rsidRPr="2BDEC811" w:rsidR="2BDEC811">
        <w:rPr>
          <w:b w:val="0"/>
          <w:bCs w:val="0"/>
          <w:i w:val="0"/>
          <w:iCs w:val="0"/>
          <w:noProof w:val="0"/>
          <w:color w:val="000000" w:themeColor="text1" w:themeTint="FF" w:themeShade="FF"/>
          <w:sz w:val="24"/>
          <w:szCs w:val="24"/>
          <w:lang w:val="en-GB"/>
        </w:rPr>
        <w:t>. [online] Available at: https://www.bamboohr.com/hr-glossary/employee-satisfaction/ [Accessed 18 Sep. 2019].</w:t>
      </w:r>
      <w:r w:rsidRPr="2BDEC811" w:rsidR="2BDEC811">
        <w:rPr>
          <w:b w:val="0"/>
          <w:bCs w:val="0"/>
          <w:i w:val="0"/>
          <w:iCs w:val="0"/>
          <w:noProof w:val="0"/>
          <w:color w:val="000000" w:themeColor="text1" w:themeTint="FF" w:themeShade="FF"/>
          <w:sz w:val="24"/>
          <w:szCs w:val="24"/>
          <w:lang w:val="en-GB"/>
        </w:rPr>
        <w:t xml:space="preserve"> </w:t>
      </w:r>
    </w:p>
    <w:p w:rsidR="2BDEC811" w:rsidP="2BDEC811" w:rsidRDefault="2BDEC811" w14:paraId="1F6BCAED" w14:textId="40BA846F">
      <w:pPr>
        <w:pStyle w:val="ListParagraph"/>
        <w:numPr>
          <w:ilvl w:val="0"/>
          <w:numId w:val="2"/>
        </w:numPr>
        <w:rPr>
          <w:b w:val="0"/>
          <w:bCs w:val="0"/>
          <w:i w:val="0"/>
          <w:iCs w:val="0"/>
          <w:noProof w:val="0"/>
          <w:color w:val="000000" w:themeColor="text1" w:themeTint="FF" w:themeShade="FF"/>
          <w:sz w:val="24"/>
          <w:szCs w:val="24"/>
          <w:lang w:val="en-GB"/>
        </w:rPr>
      </w:pPr>
      <w:r w:rsidRPr="2BDEC811" w:rsidR="2BDEC811">
        <w:rPr>
          <w:b w:val="0"/>
          <w:bCs w:val="0"/>
          <w:i w:val="0"/>
          <w:iCs w:val="0"/>
          <w:noProof w:val="0"/>
          <w:color w:val="000000" w:themeColor="text1" w:themeTint="FF" w:themeShade="FF"/>
          <w:sz w:val="24"/>
          <w:szCs w:val="24"/>
          <w:lang w:val="en-GB"/>
        </w:rPr>
        <w:t xml:space="preserve">CIPD (2012) </w:t>
      </w:r>
      <w:r w:rsidRPr="2BDEC811" w:rsidR="2BDEC811">
        <w:rPr>
          <w:b w:val="0"/>
          <w:bCs w:val="0"/>
          <w:i w:val="1"/>
          <w:iCs w:val="1"/>
          <w:noProof w:val="0"/>
          <w:color w:val="000000" w:themeColor="text1" w:themeTint="FF" w:themeShade="FF"/>
          <w:sz w:val="24"/>
          <w:szCs w:val="24"/>
          <w:lang w:val="en-GB"/>
        </w:rPr>
        <w:t>Emotional and Transactional engagement</w:t>
      </w:r>
      <w:r w:rsidRPr="2BDEC811" w:rsidR="2BDEC811">
        <w:rPr>
          <w:b w:val="0"/>
          <w:bCs w:val="0"/>
          <w:i w:val="1"/>
          <w:iCs w:val="1"/>
          <w:noProof w:val="0"/>
          <w:color w:val="000000" w:themeColor="text1" w:themeTint="FF" w:themeShade="FF"/>
          <w:sz w:val="24"/>
          <w:szCs w:val="24"/>
          <w:lang w:val="en-GB"/>
        </w:rPr>
        <w:t>: Does it matter? Research insight</w:t>
      </w:r>
      <w:r w:rsidRPr="2BDEC811" w:rsidR="2BDEC811">
        <w:rPr>
          <w:b w:val="0"/>
          <w:bCs w:val="0"/>
          <w:i w:val="0"/>
          <w:iCs w:val="0"/>
          <w:noProof w:val="0"/>
          <w:color w:val="000000" w:themeColor="text1" w:themeTint="FF" w:themeShade="FF"/>
          <w:sz w:val="24"/>
          <w:szCs w:val="24"/>
          <w:lang w:val="en-GB"/>
        </w:rPr>
        <w:t>. [Online] www.cipd.co.uk/hr-resources/research/emotional-transactional-engagement.aspx.</w:t>
      </w:r>
    </w:p>
    <w:p w:rsidR="630D1A0B" w:rsidP="657066D7" w:rsidRDefault="630D1A0B" w14:paraId="7C030CFD" w14:textId="19B06A07">
      <w:pPr>
        <w:pStyle w:val="ListParagraph"/>
        <w:numPr>
          <w:ilvl w:val="0"/>
          <w:numId w:val="2"/>
        </w:numPr>
        <w:rPr>
          <w:b w:val="0"/>
          <w:bCs w:val="0"/>
          <w:i w:val="0"/>
          <w:iCs w:val="0"/>
          <w:color w:val="000000" w:themeColor="text1" w:themeTint="FF" w:themeShade="FF"/>
          <w:sz w:val="24"/>
          <w:szCs w:val="24"/>
        </w:rPr>
      </w:pPr>
      <w:r w:rsidRPr="657066D7" w:rsidR="657066D7">
        <w:rPr>
          <w:rFonts w:ascii="Calibri" w:hAnsi="Calibri" w:eastAsia="Calibri" w:cs="Calibri"/>
          <w:noProof w:val="0"/>
          <w:sz w:val="24"/>
          <w:szCs w:val="24"/>
          <w:lang w:val="en-GB"/>
        </w:rPr>
        <w:t xml:space="preserve">CIPD. (2018). </w:t>
      </w:r>
      <w:r w:rsidRPr="657066D7" w:rsidR="657066D7">
        <w:rPr>
          <w:rFonts w:ascii="Calibri" w:hAnsi="Calibri" w:eastAsia="Calibri" w:cs="Calibri"/>
          <w:i w:val="1"/>
          <w:iCs w:val="1"/>
          <w:noProof w:val="0"/>
          <w:sz w:val="24"/>
          <w:szCs w:val="24"/>
          <w:lang w:val="en-GB"/>
        </w:rPr>
        <w:t>Employee Engagement &amp; Motivation | Factsheets | CIPD</w:t>
      </w:r>
      <w:r w:rsidRPr="657066D7" w:rsidR="657066D7">
        <w:rPr>
          <w:rFonts w:ascii="Calibri" w:hAnsi="Calibri" w:eastAsia="Calibri" w:cs="Calibri"/>
          <w:noProof w:val="0"/>
          <w:sz w:val="24"/>
          <w:szCs w:val="24"/>
          <w:lang w:val="en-GB"/>
        </w:rPr>
        <w:t>. [online] Available at: https://www.cipd.co.uk/knowledge/fundamentals/relations/engagement/factsheet [Accessed 18 Sep. 2019].</w:t>
      </w:r>
      <w:r w:rsidRPr="657066D7" w:rsidR="657066D7">
        <w:rPr>
          <w:rFonts w:ascii="Calibri" w:hAnsi="Calibri" w:eastAsia="Calibri" w:cs="Calibri"/>
          <w:noProof w:val="0"/>
          <w:sz w:val="24"/>
          <w:szCs w:val="24"/>
          <w:lang w:val="en-GB"/>
        </w:rPr>
        <w:t>]</w:t>
      </w:r>
    </w:p>
    <w:p w:rsidR="657066D7" w:rsidP="70337E5E" w:rsidRDefault="657066D7" w14:paraId="3511BB24" w14:textId="4155E4CF">
      <w:pPr>
        <w:pStyle w:val="ListParagraph"/>
        <w:numPr>
          <w:ilvl w:val="0"/>
          <w:numId w:val="2"/>
        </w:numPr>
        <w:rPr>
          <w:b w:val="0"/>
          <w:bCs w:val="0"/>
          <w:i w:val="0"/>
          <w:iCs w:val="0"/>
          <w:noProof w:val="0"/>
          <w:color w:val="000000" w:themeColor="text1" w:themeTint="FF" w:themeShade="FF"/>
          <w:sz w:val="24"/>
          <w:szCs w:val="24"/>
          <w:lang w:val="en-GB"/>
        </w:rPr>
      </w:pPr>
      <w:r w:rsidRPr="70337E5E" w:rsidR="70337E5E">
        <w:rPr>
          <w:rFonts w:ascii="Calibri" w:hAnsi="Calibri" w:eastAsia="Calibri" w:cs="Calibri"/>
          <w:noProof w:val="0"/>
          <w:sz w:val="24"/>
          <w:szCs w:val="24"/>
          <w:lang w:val="en-GB"/>
        </w:rPr>
        <w:t>CIPD (2014)</w:t>
      </w:r>
      <w:r w:rsidRPr="70337E5E" w:rsidR="70337E5E">
        <w:rPr>
          <w:rFonts w:ascii="Calibri" w:hAnsi="Calibri" w:eastAsia="Calibri" w:cs="Calibri"/>
          <w:i w:val="1"/>
          <w:iCs w:val="1"/>
          <w:noProof w:val="0"/>
          <w:sz w:val="24"/>
          <w:szCs w:val="24"/>
          <w:lang w:val="en-GB"/>
        </w:rPr>
        <w:t xml:space="preserve"> Developing Managers to manage sustainable employee engagement, health and well-being. </w:t>
      </w:r>
      <w:r w:rsidRPr="70337E5E" w:rsidR="70337E5E">
        <w:rPr>
          <w:rFonts w:ascii="Calibri" w:hAnsi="Calibri" w:eastAsia="Calibri" w:cs="Calibri"/>
          <w:noProof w:val="0"/>
          <w:sz w:val="24"/>
          <w:szCs w:val="24"/>
          <w:lang w:val="en-GB"/>
        </w:rPr>
        <w:t xml:space="preserve">Research Report. </w:t>
      </w:r>
    </w:p>
    <w:p w:rsidR="70337E5E" w:rsidP="05222449" w:rsidRDefault="70337E5E" w14:paraId="6FD13EDC" w14:textId="5AA266A3">
      <w:pPr>
        <w:pStyle w:val="ListParagraph"/>
        <w:numPr>
          <w:ilvl w:val="0"/>
          <w:numId w:val="2"/>
        </w:numPr>
        <w:rPr>
          <w:noProof w:val="0"/>
          <w:sz w:val="24"/>
          <w:szCs w:val="24"/>
          <w:lang w:val="en-GB"/>
        </w:rPr>
      </w:pPr>
      <w:r w:rsidRPr="05222449" w:rsidR="05222449">
        <w:rPr>
          <w:rFonts w:ascii="Calibri" w:hAnsi="Calibri" w:eastAsia="Calibri" w:cs="Calibri"/>
          <w:noProof w:val="0"/>
          <w:sz w:val="24"/>
          <w:szCs w:val="24"/>
          <w:lang w:val="en-GB"/>
        </w:rPr>
        <w:t xml:space="preserve">CIPD. (2019). </w:t>
      </w:r>
      <w:r w:rsidRPr="05222449" w:rsidR="05222449">
        <w:rPr>
          <w:rFonts w:ascii="Calibri" w:hAnsi="Calibri" w:eastAsia="Calibri" w:cs="Calibri"/>
          <w:i w:val="1"/>
          <w:iCs w:val="1"/>
          <w:noProof w:val="0"/>
          <w:sz w:val="24"/>
          <w:szCs w:val="24"/>
          <w:lang w:val="en-GB"/>
        </w:rPr>
        <w:t xml:space="preserve">Diversity and Inclusion in the Workplace </w:t>
      </w:r>
      <w:r w:rsidRPr="05222449" w:rsidR="05222449">
        <w:rPr>
          <w:rFonts w:ascii="Calibri" w:hAnsi="Calibri" w:eastAsia="Calibri" w:cs="Calibri"/>
          <w:noProof w:val="0"/>
          <w:sz w:val="24"/>
          <w:szCs w:val="24"/>
          <w:lang w:val="en-GB"/>
        </w:rPr>
        <w:t>| Factsheets | CIPD. [online] Available at: https://www.cipd.co.uk/knowledge/fundamentals/relations/diversity/factsheet [Accessed 20 Sep. 2019].</w:t>
      </w:r>
    </w:p>
    <w:p w:rsidR="05222449" w:rsidP="412BD25C" w:rsidRDefault="05222449" w14:paraId="1D039974" w14:textId="6E96416A">
      <w:pPr>
        <w:pStyle w:val="ListParagraph"/>
        <w:numPr>
          <w:ilvl w:val="0"/>
          <w:numId w:val="2"/>
        </w:numPr>
        <w:rPr>
          <w:noProof w:val="0"/>
          <w:sz w:val="24"/>
          <w:szCs w:val="24"/>
          <w:lang w:val="en-GB"/>
        </w:rPr>
      </w:pPr>
      <w:r w:rsidRPr="412BD25C" w:rsidR="412BD25C">
        <w:rPr>
          <w:rFonts w:ascii="Calibri" w:hAnsi="Calibri" w:eastAsia="Calibri" w:cs="Calibri"/>
          <w:noProof w:val="0"/>
          <w:sz w:val="24"/>
          <w:szCs w:val="24"/>
          <w:lang w:val="en-GB"/>
        </w:rPr>
        <w:t>CIPD</w:t>
      </w:r>
      <w:r w:rsidRPr="412BD25C" w:rsidR="412BD25C">
        <w:rPr>
          <w:rFonts w:ascii="Calibri" w:hAnsi="Calibri" w:eastAsia="Calibri" w:cs="Calibri"/>
          <w:noProof w:val="0"/>
          <w:sz w:val="24"/>
          <w:szCs w:val="24"/>
          <w:lang w:val="en-GB"/>
        </w:rPr>
        <w:t xml:space="preserve"> </w:t>
      </w:r>
      <w:r w:rsidRPr="412BD25C" w:rsidR="412BD25C">
        <w:rPr>
          <w:rFonts w:ascii="Calibri" w:hAnsi="Calibri" w:eastAsia="Calibri" w:cs="Calibri"/>
          <w:noProof w:val="0"/>
          <w:sz w:val="24"/>
          <w:szCs w:val="24"/>
          <w:lang w:val="en-GB"/>
        </w:rPr>
        <w:t>(</w:t>
      </w:r>
      <w:r w:rsidRPr="412BD25C" w:rsidR="412BD25C">
        <w:rPr>
          <w:rFonts w:ascii="Calibri" w:hAnsi="Calibri" w:eastAsia="Calibri" w:cs="Calibri"/>
          <w:noProof w:val="0"/>
          <w:sz w:val="24"/>
          <w:szCs w:val="24"/>
          <w:lang w:val="en-GB"/>
        </w:rPr>
        <w:t xml:space="preserve">2019) </w:t>
      </w:r>
      <w:r w:rsidRPr="412BD25C" w:rsidR="412BD25C">
        <w:rPr>
          <w:rFonts w:ascii="Calibri" w:hAnsi="Calibri" w:eastAsia="Calibri" w:cs="Calibri"/>
          <w:i w:val="1"/>
          <w:iCs w:val="1"/>
          <w:noProof w:val="0"/>
          <w:sz w:val="24"/>
          <w:szCs w:val="24"/>
          <w:lang w:val="en-GB"/>
        </w:rPr>
        <w:t>Labour market outlook [</w:t>
      </w:r>
      <w:r w:rsidRPr="412BD25C" w:rsidR="412BD25C">
        <w:rPr>
          <w:rFonts w:ascii="Calibri" w:hAnsi="Calibri" w:eastAsia="Calibri" w:cs="Calibri"/>
          <w:noProof w:val="0"/>
          <w:sz w:val="24"/>
          <w:szCs w:val="24"/>
          <w:lang w:val="en-GB"/>
        </w:rPr>
        <w:t>online] Available at: https://www.cipd.co.uk/Images/labour-market-outlook-summer-2019_tcm18-62411.pdf [Accessed 30 Sep. 2019].</w:t>
      </w:r>
    </w:p>
    <w:p w:rsidR="2F8DC101" w:rsidP="2053A4AC" w:rsidRDefault="2F8DC101" w14:paraId="2A64F53B" w14:textId="46BB680F">
      <w:pPr>
        <w:pStyle w:val="ListParagraph"/>
        <w:numPr>
          <w:ilvl w:val="0"/>
          <w:numId w:val="2"/>
        </w:numPr>
        <w:rPr>
          <w:noProof w:val="0"/>
          <w:sz w:val="24"/>
          <w:szCs w:val="24"/>
          <w:lang w:val="en-GB"/>
        </w:rPr>
      </w:pPr>
      <w:r w:rsidRPr="2053A4AC" w:rsidR="2053A4AC">
        <w:rPr>
          <w:rFonts w:ascii="Calibri" w:hAnsi="Calibri" w:eastAsia="Calibri" w:cs="Calibri"/>
          <w:noProof w:val="0"/>
          <w:sz w:val="24"/>
          <w:szCs w:val="24"/>
          <w:lang w:val="en-GB"/>
        </w:rPr>
        <w:t xml:space="preserve">CIPD. (2019). </w:t>
      </w:r>
      <w:r w:rsidRPr="2053A4AC" w:rsidR="2053A4AC">
        <w:rPr>
          <w:rFonts w:ascii="Calibri" w:hAnsi="Calibri" w:eastAsia="Calibri" w:cs="Calibri"/>
          <w:i w:val="1"/>
          <w:iCs w:val="1"/>
          <w:noProof w:val="0"/>
          <w:sz w:val="24"/>
          <w:szCs w:val="24"/>
          <w:lang w:val="en-GB"/>
        </w:rPr>
        <w:t xml:space="preserve">Strategic Human Resource Management | Factsheets </w:t>
      </w:r>
      <w:r w:rsidRPr="2053A4AC" w:rsidR="2053A4AC">
        <w:rPr>
          <w:rFonts w:ascii="Calibri" w:hAnsi="Calibri" w:eastAsia="Calibri" w:cs="Calibri"/>
          <w:noProof w:val="0"/>
          <w:sz w:val="24"/>
          <w:szCs w:val="24"/>
          <w:lang w:val="en-GB"/>
        </w:rPr>
        <w:t>| CIPD. [online] Available at: https://www.cipd.co.uk/knowledge/strategy/hr/strategic-hrm-factsheet#6744 [Accessed 18 Sep. 2019].</w:t>
      </w:r>
    </w:p>
    <w:p w:rsidR="2053A4AC" w:rsidP="2053A4AC" w:rsidRDefault="2053A4AC" w14:paraId="701AB68E" w14:textId="5B4E22DC">
      <w:pPr>
        <w:pStyle w:val="ListParagraph"/>
        <w:numPr>
          <w:ilvl w:val="0"/>
          <w:numId w:val="2"/>
        </w:numPr>
        <w:rPr>
          <w:b w:val="0"/>
          <w:bCs w:val="0"/>
          <w:i w:val="0"/>
          <w:iCs w:val="0"/>
          <w:noProof w:val="0"/>
          <w:color w:val="000000" w:themeColor="text1" w:themeTint="FF" w:themeShade="FF"/>
          <w:sz w:val="24"/>
          <w:szCs w:val="24"/>
          <w:lang w:val="en-GB"/>
        </w:rPr>
      </w:pPr>
      <w:r w:rsidRPr="2053A4AC" w:rsidR="2053A4AC">
        <w:rPr>
          <w:b w:val="0"/>
          <w:bCs w:val="0"/>
          <w:i w:val="0"/>
          <w:iCs w:val="0"/>
          <w:noProof w:val="0"/>
          <w:color w:val="000000" w:themeColor="text1" w:themeTint="FF" w:themeShade="FF"/>
          <w:sz w:val="24"/>
          <w:szCs w:val="24"/>
          <w:lang w:val="en-GB"/>
        </w:rPr>
        <w:t xml:space="preserve">CIPD (2019). </w:t>
      </w:r>
      <w:r w:rsidRPr="2053A4AC" w:rsidR="2053A4AC">
        <w:rPr>
          <w:b w:val="0"/>
          <w:bCs w:val="0"/>
          <w:i w:val="1"/>
          <w:iCs w:val="1"/>
          <w:noProof w:val="0"/>
          <w:color w:val="000000" w:themeColor="text1" w:themeTint="FF" w:themeShade="FF"/>
          <w:sz w:val="24"/>
          <w:szCs w:val="24"/>
          <w:lang w:val="en-GB"/>
        </w:rPr>
        <w:t>UK Working Lives</w:t>
      </w:r>
      <w:r w:rsidRPr="2053A4AC" w:rsidR="2053A4AC">
        <w:rPr>
          <w:b w:val="0"/>
          <w:bCs w:val="0"/>
          <w:i w:val="0"/>
          <w:iCs w:val="0"/>
          <w:noProof w:val="0"/>
          <w:color w:val="000000" w:themeColor="text1" w:themeTint="FF" w:themeShade="FF"/>
          <w:sz w:val="24"/>
          <w:szCs w:val="24"/>
          <w:lang w:val="en-GB"/>
        </w:rPr>
        <w:t>. [online] Available at: https://www.cipd.co.uk/Images/uk-working-lives-2019-v1_tcm18-58585.pdf [Accessed 23 Sep. 2019].</w:t>
      </w:r>
    </w:p>
    <w:p w:rsidR="630D1A0B" w:rsidP="2BDEC811" w:rsidRDefault="630D1A0B" w14:paraId="65DF1770" w14:textId="16621A9C">
      <w:pPr>
        <w:pStyle w:val="ListParagraph"/>
        <w:numPr>
          <w:ilvl w:val="0"/>
          <w:numId w:val="2"/>
        </w:numPr>
        <w:rPr>
          <w:b w:val="0"/>
          <w:bCs w:val="0"/>
          <w:i w:val="0"/>
          <w:iCs w:val="0"/>
          <w:noProof w:val="0"/>
          <w:color w:val="000000" w:themeColor="text1" w:themeTint="FF" w:themeShade="FF"/>
          <w:sz w:val="24"/>
          <w:szCs w:val="24"/>
          <w:lang w:val="en-GB"/>
        </w:rPr>
      </w:pPr>
      <w:r w:rsidRPr="2BDEC811" w:rsidR="2BDEC811">
        <w:rPr>
          <w:b w:val="0"/>
          <w:bCs w:val="0"/>
          <w:i w:val="0"/>
          <w:iCs w:val="0"/>
          <w:noProof w:val="0"/>
          <w:color w:val="000000" w:themeColor="text1" w:themeTint="FF" w:themeShade="FF"/>
          <w:sz w:val="24"/>
          <w:szCs w:val="24"/>
          <w:lang w:val="en-GB"/>
        </w:rPr>
        <w:t>Corless, P. (2017)</w:t>
      </w:r>
      <w:r w:rsidRPr="2BDEC811" w:rsidR="2BDEC811">
        <w:rPr>
          <w:b w:val="0"/>
          <w:bCs w:val="0"/>
          <w:i w:val="1"/>
          <w:iCs w:val="1"/>
          <w:noProof w:val="0"/>
          <w:color w:val="000000" w:themeColor="text1" w:themeTint="FF" w:themeShade="FF"/>
          <w:sz w:val="24"/>
          <w:szCs w:val="24"/>
          <w:lang w:val="en-GB"/>
        </w:rPr>
        <w:t>. Why Employee Engagement Requires a Systematic Approach.</w:t>
      </w:r>
      <w:r w:rsidRPr="2BDEC811" w:rsidR="2BDEC811">
        <w:rPr>
          <w:b w:val="0"/>
          <w:bCs w:val="0"/>
          <w:i w:val="0"/>
          <w:iCs w:val="0"/>
          <w:noProof w:val="0"/>
          <w:color w:val="000000" w:themeColor="text1" w:themeTint="FF" w:themeShade="FF"/>
          <w:sz w:val="24"/>
          <w:szCs w:val="24"/>
          <w:lang w:val="en-GB"/>
        </w:rPr>
        <w:t xml:space="preserve"> [online] Onshift.com. Available at: https://www.onshift.com/blog/why-employee-engagement-requires-a-systematic-approach [Accessed 18 Sep. 2019].</w:t>
      </w:r>
    </w:p>
    <w:p w:rsidR="2BDEC811" w:rsidP="2BDEC811" w:rsidRDefault="2BDEC811" w14:paraId="580E4003" w14:textId="4F31DE68">
      <w:pPr>
        <w:pStyle w:val="ListParagraph"/>
        <w:numPr>
          <w:ilvl w:val="0"/>
          <w:numId w:val="2"/>
        </w:numPr>
        <w:rPr>
          <w:b w:val="0"/>
          <w:bCs w:val="0"/>
          <w:i w:val="0"/>
          <w:iCs w:val="0"/>
          <w:noProof w:val="0"/>
          <w:color w:val="000000" w:themeColor="text1" w:themeTint="FF" w:themeShade="FF"/>
          <w:sz w:val="24"/>
          <w:szCs w:val="24"/>
          <w:lang w:val="en-GB"/>
        </w:rPr>
      </w:pPr>
      <w:r w:rsidRPr="2BDEC811" w:rsidR="2BDEC811">
        <w:rPr>
          <w:b w:val="0"/>
          <w:bCs w:val="0"/>
          <w:i w:val="0"/>
          <w:iCs w:val="0"/>
          <w:noProof w:val="0"/>
          <w:color w:val="000000" w:themeColor="text1" w:themeTint="FF" w:themeShade="FF"/>
          <w:sz w:val="24"/>
          <w:szCs w:val="24"/>
          <w:lang w:val="en-GB"/>
        </w:rPr>
        <w:t xml:space="preserve">Deloitte United States. (2018). </w:t>
      </w:r>
      <w:r w:rsidRPr="2BDEC811" w:rsidR="2BDEC811">
        <w:rPr>
          <w:b w:val="0"/>
          <w:bCs w:val="0"/>
          <w:i w:val="1"/>
          <w:iCs w:val="1"/>
          <w:noProof w:val="0"/>
          <w:color w:val="000000" w:themeColor="text1" w:themeTint="FF" w:themeShade="FF"/>
          <w:sz w:val="24"/>
          <w:szCs w:val="24"/>
          <w:lang w:val="en-GB"/>
        </w:rPr>
        <w:t>Navigating to Employee Relationship Transformation.</w:t>
      </w:r>
      <w:r w:rsidRPr="2BDEC811" w:rsidR="2BDEC811">
        <w:rPr>
          <w:b w:val="0"/>
          <w:bCs w:val="0"/>
          <w:i w:val="0"/>
          <w:iCs w:val="0"/>
          <w:noProof w:val="0"/>
          <w:color w:val="000000" w:themeColor="text1" w:themeTint="FF" w:themeShade="FF"/>
          <w:sz w:val="24"/>
          <w:szCs w:val="24"/>
          <w:lang w:val="en-GB"/>
        </w:rPr>
        <w:t xml:space="preserve"> [online] Available at: https://www2.deloitte.com/us/en/pages/human-capital/articles/navigating-the-employee-relationship-transformation.html?id=us:2em:3na:consedge:awa:cons:053019:hc&amp;ctr=cta&amp;sfid=0031O00002zz1SAQAY&amp;elqcst=272&amp;elqcsid=14975 [Accessed 22 Sep. 2019].</w:t>
      </w:r>
    </w:p>
    <w:p w:rsidR="106243A8" w:rsidP="412BD25C" w:rsidRDefault="106243A8" w14:paraId="5EA7543B" w14:textId="4947D2E5">
      <w:pPr>
        <w:pStyle w:val="ListParagraph"/>
        <w:numPr>
          <w:ilvl w:val="0"/>
          <w:numId w:val="2"/>
        </w:numPr>
        <w:rPr>
          <w:b w:val="0"/>
          <w:bCs w:val="0"/>
          <w:i w:val="0"/>
          <w:iCs w:val="0"/>
          <w:noProof w:val="0"/>
          <w:color w:val="000000" w:themeColor="text1" w:themeTint="FF" w:themeShade="FF"/>
          <w:sz w:val="24"/>
          <w:szCs w:val="24"/>
          <w:lang w:val="en-GB"/>
        </w:rPr>
      </w:pPr>
      <w:r w:rsidRPr="412BD25C" w:rsidR="412BD25C">
        <w:rPr>
          <w:rFonts w:ascii="Calibri" w:hAnsi="Calibri" w:eastAsia="Calibri" w:cs="Calibri"/>
          <w:b w:val="0"/>
          <w:bCs w:val="0"/>
          <w:i w:val="0"/>
          <w:iCs w:val="0"/>
          <w:noProof w:val="0"/>
          <w:color w:val="000000" w:themeColor="text1" w:themeTint="FF" w:themeShade="FF"/>
          <w:sz w:val="24"/>
          <w:szCs w:val="24"/>
          <w:lang w:val="en-GB"/>
        </w:rPr>
        <w:t xml:space="preserve">Engage for Success. (n.d.). </w:t>
      </w:r>
      <w:r w:rsidRPr="412BD25C" w:rsidR="412BD25C">
        <w:rPr>
          <w:rFonts w:ascii="Calibri" w:hAnsi="Calibri" w:eastAsia="Calibri" w:cs="Calibri"/>
          <w:b w:val="0"/>
          <w:bCs w:val="0"/>
          <w:i w:val="1"/>
          <w:iCs w:val="1"/>
          <w:noProof w:val="0"/>
          <w:color w:val="000000" w:themeColor="text1" w:themeTint="FF" w:themeShade="FF"/>
          <w:sz w:val="24"/>
          <w:szCs w:val="24"/>
          <w:lang w:val="en-GB"/>
        </w:rPr>
        <w:t xml:space="preserve">What is Employee Engagement - Engage for </w:t>
      </w:r>
      <w:r w:rsidRPr="412BD25C" w:rsidR="412BD25C">
        <w:rPr>
          <w:rFonts w:ascii="Calibri" w:hAnsi="Calibri" w:eastAsia="Calibri" w:cs="Calibri"/>
          <w:b w:val="0"/>
          <w:bCs w:val="0"/>
          <w:i w:val="1"/>
          <w:iCs w:val="1"/>
          <w:noProof w:val="0"/>
          <w:color w:val="000000" w:themeColor="text1" w:themeTint="FF" w:themeShade="FF"/>
          <w:sz w:val="24"/>
          <w:szCs w:val="24"/>
          <w:lang w:val="en-GB"/>
        </w:rPr>
        <w:t>Success</w:t>
      </w:r>
      <w:r w:rsidRPr="412BD25C" w:rsidR="412BD25C">
        <w:rPr>
          <w:rFonts w:ascii="Calibri" w:hAnsi="Calibri" w:eastAsia="Calibri" w:cs="Calibri"/>
          <w:b w:val="0"/>
          <w:bCs w:val="0"/>
          <w:i w:val="0"/>
          <w:iCs w:val="0"/>
          <w:noProof w:val="0"/>
          <w:color w:val="000000" w:themeColor="text1" w:themeTint="FF" w:themeShade="FF"/>
          <w:sz w:val="24"/>
          <w:szCs w:val="24"/>
          <w:lang w:val="en-GB"/>
        </w:rPr>
        <w:t>.</w:t>
      </w:r>
      <w:r w:rsidRPr="412BD25C" w:rsidR="412BD25C">
        <w:rPr>
          <w:rFonts w:ascii="Calibri" w:hAnsi="Calibri" w:eastAsia="Calibri" w:cs="Calibri"/>
          <w:b w:val="0"/>
          <w:bCs w:val="0"/>
          <w:i w:val="0"/>
          <w:iCs w:val="0"/>
          <w:noProof w:val="0"/>
          <w:color w:val="000000" w:themeColor="text1" w:themeTint="FF" w:themeShade="FF"/>
          <w:sz w:val="24"/>
          <w:szCs w:val="24"/>
          <w:lang w:val="en-GB"/>
        </w:rPr>
        <w:t xml:space="preserve"> [online] Available at: https://engageforsuccess.org/what-is-employee-engagement [Accessed 18 Sep. 2019].</w:t>
      </w:r>
    </w:p>
    <w:p w:rsidR="2BDEC811" w:rsidP="2BDEC811" w:rsidRDefault="2BDEC811" w14:paraId="78986150" w14:textId="566B97B2">
      <w:pPr>
        <w:pStyle w:val="ListParagraph"/>
        <w:numPr>
          <w:ilvl w:val="0"/>
          <w:numId w:val="2"/>
        </w:numPr>
        <w:rPr>
          <w:b w:val="0"/>
          <w:bCs w:val="0"/>
          <w:i w:val="0"/>
          <w:iCs w:val="0"/>
          <w:noProof w:val="0"/>
          <w:color w:val="000000" w:themeColor="text1" w:themeTint="FF" w:themeShade="FF"/>
          <w:sz w:val="24"/>
          <w:szCs w:val="24"/>
          <w:lang w:val="en-GB"/>
        </w:rPr>
      </w:pPr>
      <w:r w:rsidRPr="2BDEC811" w:rsidR="2BDEC811">
        <w:rPr>
          <w:b w:val="0"/>
          <w:bCs w:val="0"/>
          <w:i w:val="0"/>
          <w:iCs w:val="0"/>
          <w:noProof w:val="0"/>
          <w:color w:val="000000" w:themeColor="text1" w:themeTint="FF" w:themeShade="FF"/>
          <w:sz w:val="24"/>
          <w:szCs w:val="24"/>
          <w:lang w:val="en-GB"/>
        </w:rPr>
        <w:t xml:space="preserve">Forbes.com. (2019). </w:t>
      </w:r>
      <w:r w:rsidRPr="2BDEC811" w:rsidR="2BDEC811">
        <w:rPr>
          <w:b w:val="0"/>
          <w:bCs w:val="0"/>
          <w:i w:val="1"/>
          <w:iCs w:val="1"/>
          <w:noProof w:val="0"/>
          <w:color w:val="000000" w:themeColor="text1" w:themeTint="FF" w:themeShade="FF"/>
          <w:sz w:val="24"/>
          <w:szCs w:val="24"/>
          <w:lang w:val="en-GB"/>
        </w:rPr>
        <w:t xml:space="preserve">4 Employee Engagement Trends That Leaders Need </w:t>
      </w:r>
      <w:proofErr w:type="gramStart"/>
      <w:r w:rsidRPr="2BDEC811" w:rsidR="2BDEC811">
        <w:rPr>
          <w:b w:val="0"/>
          <w:bCs w:val="0"/>
          <w:i w:val="1"/>
          <w:iCs w:val="1"/>
          <w:noProof w:val="0"/>
          <w:color w:val="000000" w:themeColor="text1" w:themeTint="FF" w:themeShade="FF"/>
          <w:sz w:val="24"/>
          <w:szCs w:val="24"/>
          <w:lang w:val="en-GB"/>
        </w:rPr>
        <w:t>To</w:t>
      </w:r>
      <w:proofErr w:type="gramEnd"/>
      <w:r w:rsidRPr="2BDEC811" w:rsidR="2BDEC811">
        <w:rPr>
          <w:b w:val="0"/>
          <w:bCs w:val="0"/>
          <w:i w:val="1"/>
          <w:iCs w:val="1"/>
          <w:noProof w:val="0"/>
          <w:color w:val="000000" w:themeColor="text1" w:themeTint="FF" w:themeShade="FF"/>
          <w:sz w:val="24"/>
          <w:szCs w:val="24"/>
          <w:lang w:val="en-GB"/>
        </w:rPr>
        <w:t xml:space="preserve"> Know</w:t>
      </w:r>
      <w:r w:rsidRPr="2BDEC811" w:rsidR="2BDEC811">
        <w:rPr>
          <w:b w:val="0"/>
          <w:bCs w:val="0"/>
          <w:i w:val="0"/>
          <w:iCs w:val="0"/>
          <w:noProof w:val="0"/>
          <w:color w:val="000000" w:themeColor="text1" w:themeTint="FF" w:themeShade="FF"/>
          <w:sz w:val="24"/>
          <w:szCs w:val="24"/>
          <w:lang w:val="en-GB"/>
        </w:rPr>
        <w:t>. [online] Available at: https://www.forbes.com/sites/danabrownlee/2019/08/18/4-employee-engagement-trends-that-leaders-need-to-know/#22a2775833f7 [Accessed 22 Sep. 2019].</w:t>
      </w:r>
    </w:p>
    <w:p w:rsidR="70337E5E" w:rsidP="2BDEC811" w:rsidRDefault="70337E5E" w14:paraId="1F6A48E1" w14:textId="20C5DDAB">
      <w:pPr>
        <w:pStyle w:val="ListParagraph"/>
        <w:numPr>
          <w:ilvl w:val="0"/>
          <w:numId w:val="2"/>
        </w:numPr>
        <w:rPr>
          <w:b w:val="0"/>
          <w:bCs w:val="0"/>
          <w:i w:val="0"/>
          <w:iCs w:val="0"/>
          <w:noProof w:val="0"/>
          <w:color w:val="000000" w:themeColor="text1" w:themeTint="FF" w:themeShade="FF"/>
          <w:sz w:val="24"/>
          <w:szCs w:val="24"/>
          <w:lang w:val="en-GB"/>
        </w:rPr>
      </w:pPr>
      <w:r w:rsidRPr="2BDEC811" w:rsidR="2BDEC811">
        <w:rPr>
          <w:rFonts w:ascii="Calibri" w:hAnsi="Calibri" w:eastAsia="Calibri" w:cs="Calibri"/>
          <w:b w:val="0"/>
          <w:bCs w:val="0"/>
          <w:i w:val="0"/>
          <w:iCs w:val="0"/>
          <w:noProof w:val="0"/>
          <w:color w:val="000000" w:themeColor="text1" w:themeTint="FF" w:themeShade="FF"/>
          <w:sz w:val="24"/>
          <w:szCs w:val="24"/>
          <w:lang w:val="en-GB"/>
        </w:rPr>
        <w:t>Gallup, I. (2018). 3 Requirements for a Diverse and Inclusive Culture. [online] Gallup.com. Available at: https://www.gallup.com/workplace/242138/requirements-diverse-inclusive-culture.aspx [Accessed 20 Sep. 2019].</w:t>
      </w:r>
    </w:p>
    <w:p w:rsidR="2BDEC811" w:rsidP="2BDEC811" w:rsidRDefault="2BDEC811" w14:paraId="53DCB630" w14:textId="4E425620">
      <w:pPr>
        <w:pStyle w:val="ListParagraph"/>
        <w:numPr>
          <w:ilvl w:val="0"/>
          <w:numId w:val="2"/>
        </w:numPr>
        <w:rPr>
          <w:b w:val="0"/>
          <w:bCs w:val="0"/>
          <w:i w:val="0"/>
          <w:iCs w:val="0"/>
          <w:noProof w:val="0"/>
          <w:color w:val="000000" w:themeColor="text1" w:themeTint="FF" w:themeShade="FF"/>
          <w:sz w:val="24"/>
          <w:szCs w:val="24"/>
          <w:lang w:val="en-GB"/>
        </w:rPr>
      </w:pPr>
      <w:proofErr w:type="spellStart"/>
      <w:r w:rsidRPr="2BDEC811" w:rsidR="2BDEC811">
        <w:rPr>
          <w:b w:val="0"/>
          <w:bCs w:val="0"/>
          <w:i w:val="0"/>
          <w:iCs w:val="0"/>
          <w:noProof w:val="0"/>
          <w:color w:val="000000" w:themeColor="text1" w:themeTint="FF" w:themeShade="FF"/>
          <w:sz w:val="24"/>
          <w:szCs w:val="24"/>
          <w:lang w:val="en-GB"/>
        </w:rPr>
        <w:t>Gray</w:t>
      </w:r>
      <w:proofErr w:type="spellEnd"/>
      <w:r w:rsidRPr="2BDEC811" w:rsidR="2BDEC811">
        <w:rPr>
          <w:b w:val="0"/>
          <w:bCs w:val="0"/>
          <w:i w:val="0"/>
          <w:iCs w:val="0"/>
          <w:noProof w:val="0"/>
          <w:color w:val="000000" w:themeColor="text1" w:themeTint="FF" w:themeShade="FF"/>
          <w:sz w:val="24"/>
          <w:szCs w:val="24"/>
          <w:lang w:val="en-GB"/>
        </w:rPr>
        <w:t>, R. (2014). [online] Available at: https://www.hrmagazine.co.uk/article-details/employee-engagement-closely-tied-to-health-and-wellbeing [Accessed 22 Sep. 2019].</w:t>
      </w:r>
    </w:p>
    <w:p w:rsidR="657066D7" w:rsidP="657066D7" w:rsidRDefault="657066D7" w14:paraId="0E4CBA1B" w14:textId="2BC7FD46">
      <w:pPr>
        <w:pStyle w:val="ListParagraph"/>
        <w:numPr>
          <w:ilvl w:val="0"/>
          <w:numId w:val="2"/>
        </w:numPr>
        <w:rPr>
          <w:b w:val="0"/>
          <w:bCs w:val="0"/>
          <w:i w:val="0"/>
          <w:iCs w:val="0"/>
          <w:noProof w:val="0"/>
          <w:color w:val="000000" w:themeColor="text1" w:themeTint="FF" w:themeShade="FF"/>
          <w:sz w:val="24"/>
          <w:szCs w:val="24"/>
          <w:lang w:val="en-GB"/>
        </w:rPr>
      </w:pPr>
      <w:r w:rsidRPr="657066D7" w:rsidR="657066D7">
        <w:rPr>
          <w:rFonts w:ascii="Calibri" w:hAnsi="Calibri" w:eastAsia="Calibri" w:cs="Calibri"/>
          <w:b w:val="0"/>
          <w:bCs w:val="0"/>
          <w:i w:val="0"/>
          <w:iCs w:val="0"/>
          <w:noProof w:val="0"/>
          <w:color w:val="000000" w:themeColor="text1" w:themeTint="FF" w:themeShade="FF"/>
          <w:sz w:val="24"/>
          <w:szCs w:val="24"/>
          <w:lang w:val="en-GB"/>
        </w:rPr>
        <w:t xml:space="preserve">HARTER, J. K. SCHMIDT, F. L and HAYES, T. L (2002). </w:t>
      </w:r>
      <w:r w:rsidRPr="657066D7" w:rsidR="657066D7">
        <w:rPr>
          <w:rFonts w:ascii="Calibri" w:hAnsi="Calibri" w:eastAsia="Calibri" w:cs="Calibri"/>
          <w:b w:val="0"/>
          <w:bCs w:val="0"/>
          <w:i w:val="1"/>
          <w:iCs w:val="1"/>
          <w:noProof w:val="0"/>
          <w:color w:val="000000" w:themeColor="text1" w:themeTint="FF" w:themeShade="FF"/>
          <w:sz w:val="24"/>
          <w:szCs w:val="24"/>
          <w:lang w:val="en-GB"/>
        </w:rPr>
        <w:t xml:space="preserve">Business – </w:t>
      </w:r>
      <w:proofErr w:type="gramStart"/>
      <w:r w:rsidRPr="657066D7" w:rsidR="657066D7">
        <w:rPr>
          <w:rFonts w:ascii="Calibri" w:hAnsi="Calibri" w:eastAsia="Calibri" w:cs="Calibri"/>
          <w:b w:val="0"/>
          <w:bCs w:val="0"/>
          <w:i w:val="1"/>
          <w:iCs w:val="1"/>
          <w:noProof w:val="0"/>
          <w:color w:val="000000" w:themeColor="text1" w:themeTint="FF" w:themeShade="FF"/>
          <w:sz w:val="24"/>
          <w:szCs w:val="24"/>
          <w:lang w:val="en-GB"/>
        </w:rPr>
        <w:t>unit</w:t>
      </w:r>
      <w:proofErr w:type="gramEnd"/>
      <w:r w:rsidRPr="657066D7" w:rsidR="657066D7">
        <w:rPr>
          <w:rFonts w:ascii="Calibri" w:hAnsi="Calibri" w:eastAsia="Calibri" w:cs="Calibri"/>
          <w:b w:val="0"/>
          <w:bCs w:val="0"/>
          <w:i w:val="1"/>
          <w:iCs w:val="1"/>
          <w:noProof w:val="0"/>
          <w:color w:val="000000" w:themeColor="text1" w:themeTint="FF" w:themeShade="FF"/>
          <w:sz w:val="24"/>
          <w:szCs w:val="24"/>
          <w:lang w:val="en-GB"/>
        </w:rPr>
        <w:t xml:space="preserve"> level relationship between employee satisfaction, employee engagement and business outcomes: a meta-analysis. </w:t>
      </w:r>
      <w:r w:rsidRPr="657066D7" w:rsidR="657066D7">
        <w:rPr>
          <w:rFonts w:ascii="Calibri" w:hAnsi="Calibri" w:eastAsia="Calibri" w:cs="Calibri"/>
          <w:b w:val="0"/>
          <w:bCs w:val="0"/>
          <w:i w:val="0"/>
          <w:iCs w:val="0"/>
          <w:noProof w:val="0"/>
          <w:color w:val="000000" w:themeColor="text1" w:themeTint="FF" w:themeShade="FF"/>
          <w:sz w:val="24"/>
          <w:szCs w:val="24"/>
          <w:lang w:val="en-GB"/>
        </w:rPr>
        <w:t>Journal of applied psychology. Vol 87. Pp268-79</w:t>
      </w:r>
    </w:p>
    <w:p w:rsidR="630D1A0B" w:rsidP="657066D7" w:rsidRDefault="630D1A0B" w14:paraId="7721749B" w14:textId="096445E8">
      <w:pPr>
        <w:pStyle w:val="ListParagraph"/>
        <w:numPr>
          <w:ilvl w:val="0"/>
          <w:numId w:val="2"/>
        </w:numPr>
        <w:rPr>
          <w:b w:val="0"/>
          <w:bCs w:val="0"/>
          <w:i w:val="0"/>
          <w:iCs w:val="0"/>
          <w:noProof w:val="0"/>
          <w:color w:val="000000" w:themeColor="text1" w:themeTint="FF" w:themeShade="FF"/>
          <w:sz w:val="24"/>
          <w:szCs w:val="24"/>
          <w:lang w:val="en-GB"/>
        </w:rPr>
      </w:pPr>
      <w:r w:rsidRPr="657066D7" w:rsidR="657066D7">
        <w:rPr>
          <w:rFonts w:ascii="Calibri" w:hAnsi="Calibri" w:eastAsia="Calibri" w:cs="Calibri"/>
          <w:noProof w:val="0"/>
          <w:sz w:val="24"/>
          <w:szCs w:val="24"/>
          <w:lang w:val="en-GB"/>
        </w:rPr>
        <w:t xml:space="preserve">HR </w:t>
      </w:r>
      <w:r w:rsidRPr="657066D7" w:rsidR="657066D7">
        <w:rPr>
          <w:rFonts w:ascii="Calibri" w:hAnsi="Calibri" w:eastAsia="Calibri" w:cs="Calibri"/>
          <w:noProof w:val="0"/>
          <w:sz w:val="24"/>
          <w:szCs w:val="24"/>
          <w:lang w:val="en-GB"/>
        </w:rPr>
        <w:t>bartender. (2017).</w:t>
      </w:r>
      <w:r w:rsidRPr="657066D7" w:rsidR="657066D7">
        <w:rPr>
          <w:rFonts w:ascii="Calibri" w:hAnsi="Calibri" w:eastAsia="Calibri" w:cs="Calibri"/>
          <w:i w:val="1"/>
          <w:iCs w:val="1"/>
          <w:noProof w:val="0"/>
          <w:sz w:val="24"/>
          <w:szCs w:val="24"/>
          <w:lang w:val="en-GB"/>
        </w:rPr>
        <w:t xml:space="preserve"> Employee Engagement: Use a System Approach - #HR Bartender</w:t>
      </w:r>
      <w:r w:rsidRPr="657066D7" w:rsidR="657066D7">
        <w:rPr>
          <w:rFonts w:ascii="Calibri" w:hAnsi="Calibri" w:eastAsia="Calibri" w:cs="Calibri"/>
          <w:noProof w:val="0"/>
          <w:sz w:val="24"/>
          <w:szCs w:val="24"/>
          <w:lang w:val="en-GB"/>
        </w:rPr>
        <w:t>. [online] Available at: https://www.hrbartender.com/2017/employee-engagement/employee-engagement-use-systemic-approach/ [Accessed 18 Sep. 2019].</w:t>
      </w:r>
    </w:p>
    <w:p w:rsidR="2F8DC101" w:rsidP="657066D7" w:rsidRDefault="2F8DC101" w14:paraId="6434692E" w14:textId="6EA64D68">
      <w:pPr>
        <w:pStyle w:val="ListParagraph"/>
        <w:numPr>
          <w:ilvl w:val="0"/>
          <w:numId w:val="2"/>
        </w:numPr>
        <w:rPr>
          <w:b w:val="0"/>
          <w:bCs w:val="0"/>
          <w:i w:val="0"/>
          <w:iCs w:val="0"/>
          <w:noProof w:val="0"/>
          <w:color w:val="000000" w:themeColor="text1" w:themeTint="FF" w:themeShade="FF"/>
          <w:sz w:val="24"/>
          <w:szCs w:val="24"/>
          <w:lang w:val="en-GB"/>
        </w:rPr>
      </w:pPr>
      <w:r w:rsidRPr="657066D7" w:rsidR="657066D7">
        <w:rPr>
          <w:rFonts w:ascii="Calibri" w:hAnsi="Calibri" w:eastAsia="Calibri" w:cs="Calibri"/>
          <w:noProof w:val="0"/>
          <w:sz w:val="24"/>
          <w:szCs w:val="24"/>
          <w:lang w:val="en-GB"/>
        </w:rPr>
        <w:t>KHAN, W, A. (1990)</w:t>
      </w:r>
      <w:r w:rsidRPr="657066D7" w:rsidR="657066D7">
        <w:rPr>
          <w:rFonts w:ascii="Calibri" w:hAnsi="Calibri" w:eastAsia="Calibri" w:cs="Calibri"/>
          <w:i w:val="1"/>
          <w:iCs w:val="1"/>
          <w:noProof w:val="0"/>
          <w:sz w:val="24"/>
          <w:szCs w:val="24"/>
          <w:lang w:val="en-GB"/>
        </w:rPr>
        <w:t xml:space="preserve"> The psychological conditions of personal </w:t>
      </w:r>
      <w:r w:rsidRPr="657066D7" w:rsidR="657066D7">
        <w:rPr>
          <w:rFonts w:ascii="Calibri" w:hAnsi="Calibri" w:eastAsia="Calibri" w:cs="Calibri"/>
          <w:i w:val="1"/>
          <w:iCs w:val="1"/>
          <w:noProof w:val="0"/>
          <w:sz w:val="24"/>
          <w:szCs w:val="24"/>
          <w:lang w:val="en-GB"/>
        </w:rPr>
        <w:t>engagement</w:t>
      </w:r>
      <w:r w:rsidRPr="657066D7" w:rsidR="657066D7">
        <w:rPr>
          <w:rFonts w:ascii="Calibri" w:hAnsi="Calibri" w:eastAsia="Calibri" w:cs="Calibri"/>
          <w:i w:val="1"/>
          <w:iCs w:val="1"/>
          <w:noProof w:val="0"/>
          <w:sz w:val="24"/>
          <w:szCs w:val="24"/>
          <w:lang w:val="en-GB"/>
        </w:rPr>
        <w:t xml:space="preserve"> and disengagement at work.</w:t>
      </w:r>
      <w:r w:rsidRPr="657066D7" w:rsidR="657066D7">
        <w:rPr>
          <w:rFonts w:ascii="Calibri" w:hAnsi="Calibri" w:eastAsia="Calibri" w:cs="Calibri"/>
          <w:noProof w:val="0"/>
          <w:sz w:val="24"/>
          <w:szCs w:val="24"/>
          <w:lang w:val="en-GB"/>
        </w:rPr>
        <w:t xml:space="preserve"> Academy of Management journal. Vol 33 PP692-724</w:t>
      </w:r>
    </w:p>
    <w:p w:rsidR="657066D7" w:rsidP="2BDEC811" w:rsidRDefault="657066D7" w14:paraId="0689F320" w14:textId="0F0E9391">
      <w:pPr>
        <w:pStyle w:val="ListParagraph"/>
        <w:numPr>
          <w:ilvl w:val="0"/>
          <w:numId w:val="2"/>
        </w:numPr>
        <w:rPr>
          <w:b w:val="0"/>
          <w:bCs w:val="0"/>
          <w:i w:val="0"/>
          <w:iCs w:val="0"/>
          <w:noProof w:val="0"/>
          <w:color w:val="000000" w:themeColor="text1" w:themeTint="FF" w:themeShade="FF"/>
          <w:sz w:val="24"/>
          <w:szCs w:val="24"/>
          <w:lang w:val="en-GB"/>
        </w:rPr>
      </w:pPr>
      <w:r w:rsidRPr="2BDEC811" w:rsidR="2BDEC811">
        <w:rPr>
          <w:rFonts w:ascii="Calibri" w:hAnsi="Calibri" w:eastAsia="Calibri" w:cs="Calibri"/>
          <w:noProof w:val="0"/>
          <w:sz w:val="24"/>
          <w:szCs w:val="24"/>
          <w:lang w:val="en-GB"/>
        </w:rPr>
        <w:t xml:space="preserve">MACLEOD, D and CLARKE, N. (2009) </w:t>
      </w:r>
      <w:r w:rsidRPr="2BDEC811" w:rsidR="2BDEC811">
        <w:rPr>
          <w:rFonts w:ascii="Calibri" w:hAnsi="Calibri" w:eastAsia="Calibri" w:cs="Calibri"/>
          <w:i w:val="1"/>
          <w:iCs w:val="1"/>
          <w:noProof w:val="0"/>
          <w:sz w:val="24"/>
          <w:szCs w:val="24"/>
          <w:lang w:val="en-GB"/>
        </w:rPr>
        <w:t xml:space="preserve">Engaging for success: enhancing performance through employee engagement. </w:t>
      </w:r>
      <w:r w:rsidRPr="2BDEC811" w:rsidR="2BDEC811">
        <w:rPr>
          <w:rFonts w:ascii="Calibri" w:hAnsi="Calibri" w:eastAsia="Calibri" w:cs="Calibri"/>
          <w:noProof w:val="0"/>
          <w:sz w:val="24"/>
          <w:szCs w:val="24"/>
          <w:lang w:val="en-GB"/>
        </w:rPr>
        <w:t xml:space="preserve"> Report to government. London: Department for business innovation and skills.</w:t>
      </w:r>
    </w:p>
    <w:p w:rsidR="2BDEC811" w:rsidP="2BDEC811" w:rsidRDefault="2BDEC811" w14:paraId="7678A6EB" w14:textId="0F98DB65">
      <w:pPr>
        <w:pStyle w:val="ListParagraph"/>
        <w:numPr>
          <w:ilvl w:val="0"/>
          <w:numId w:val="2"/>
        </w:numPr>
        <w:rPr>
          <w:noProof w:val="0"/>
          <w:sz w:val="24"/>
          <w:szCs w:val="24"/>
          <w:lang w:val="en-GB"/>
        </w:rPr>
      </w:pPr>
      <w:proofErr w:type="spellStart"/>
      <w:r w:rsidRPr="2BDEC811" w:rsidR="2BDEC811">
        <w:rPr>
          <w:rFonts w:ascii="Calibri" w:hAnsi="Calibri" w:eastAsia="Calibri" w:cs="Calibri"/>
          <w:noProof w:val="0"/>
          <w:sz w:val="24"/>
          <w:szCs w:val="24"/>
          <w:lang w:val="en-GB"/>
        </w:rPr>
        <w:t>Mcleod</w:t>
      </w:r>
      <w:proofErr w:type="spellEnd"/>
      <w:r w:rsidRPr="2BDEC811" w:rsidR="2BDEC811">
        <w:rPr>
          <w:rFonts w:ascii="Calibri" w:hAnsi="Calibri" w:eastAsia="Calibri" w:cs="Calibri"/>
          <w:noProof w:val="0"/>
          <w:sz w:val="24"/>
          <w:szCs w:val="24"/>
          <w:lang w:val="en-GB"/>
        </w:rPr>
        <w:t xml:space="preserve">, S. (2018). </w:t>
      </w:r>
      <w:r w:rsidRPr="2BDEC811" w:rsidR="2BDEC811">
        <w:rPr>
          <w:rFonts w:ascii="Calibri" w:hAnsi="Calibri" w:eastAsia="Calibri" w:cs="Calibri"/>
          <w:i w:val="1"/>
          <w:iCs w:val="1"/>
          <w:noProof w:val="0"/>
          <w:sz w:val="24"/>
          <w:szCs w:val="24"/>
          <w:lang w:val="en-GB"/>
        </w:rPr>
        <w:t>Maslow's Hierarchy of Needs.</w:t>
      </w:r>
      <w:r w:rsidRPr="2BDEC811" w:rsidR="2BDEC811">
        <w:rPr>
          <w:rFonts w:ascii="Calibri" w:hAnsi="Calibri" w:eastAsia="Calibri" w:cs="Calibri"/>
          <w:noProof w:val="0"/>
          <w:sz w:val="24"/>
          <w:szCs w:val="24"/>
          <w:lang w:val="en-GB"/>
        </w:rPr>
        <w:t xml:space="preserve"> [online] Simply Psychology. Available at: https://www.simplypsychology.org/maslow.html [Accessed 22 Sep. 2019].</w:t>
      </w:r>
    </w:p>
    <w:p w:rsidR="657066D7" w:rsidP="20BDA442" w:rsidRDefault="657066D7" w14:paraId="11518519" w14:textId="535B7538">
      <w:pPr>
        <w:pStyle w:val="ListParagraph"/>
        <w:numPr>
          <w:ilvl w:val="0"/>
          <w:numId w:val="2"/>
        </w:numPr>
        <w:rPr>
          <w:noProof w:val="0"/>
          <w:sz w:val="24"/>
          <w:szCs w:val="24"/>
          <w:lang w:val="en-GB"/>
        </w:rPr>
      </w:pPr>
      <w:r w:rsidRPr="20BDA442" w:rsidR="20BDA442">
        <w:rPr>
          <w:rFonts w:ascii="Calibri" w:hAnsi="Calibri" w:eastAsia="Calibri" w:cs="Calibri"/>
          <w:noProof w:val="0"/>
          <w:sz w:val="24"/>
          <w:szCs w:val="24"/>
          <w:lang w:val="en-GB"/>
        </w:rPr>
        <w:t xml:space="preserve">Mindtools.com. (n.d.). </w:t>
      </w:r>
      <w:r w:rsidRPr="20BDA442" w:rsidR="20BDA442">
        <w:rPr>
          <w:rFonts w:ascii="Calibri" w:hAnsi="Calibri" w:eastAsia="Calibri" w:cs="Calibri"/>
          <w:i w:val="1"/>
          <w:iCs w:val="1"/>
          <w:noProof w:val="0"/>
          <w:sz w:val="24"/>
          <w:szCs w:val="24"/>
          <w:lang w:val="en-GB"/>
        </w:rPr>
        <w:t>Herzberg's Motivators and Hygiene Factors: Learn how to Motivate Your Team</w:t>
      </w:r>
      <w:r w:rsidRPr="20BDA442" w:rsidR="20BDA442">
        <w:rPr>
          <w:rFonts w:ascii="Calibri" w:hAnsi="Calibri" w:eastAsia="Calibri" w:cs="Calibri"/>
          <w:noProof w:val="0"/>
          <w:sz w:val="24"/>
          <w:szCs w:val="24"/>
          <w:lang w:val="en-GB"/>
        </w:rPr>
        <w:t>. [online] Available at: https://www.mindtools.com/pages/article/herzberg-motivators-hygiene-factors.htm [Accessed 19 Sep. 2019].</w:t>
      </w:r>
    </w:p>
    <w:p w:rsidR="20BDA442" w:rsidP="20BDA442" w:rsidRDefault="20BDA442" w14:paraId="232B5FC0" w14:textId="493318C4">
      <w:pPr>
        <w:pStyle w:val="ListParagraph"/>
        <w:numPr>
          <w:ilvl w:val="0"/>
          <w:numId w:val="2"/>
        </w:numPr>
        <w:rPr>
          <w:noProof w:val="0"/>
          <w:sz w:val="24"/>
          <w:szCs w:val="24"/>
          <w:lang w:val="en-GB"/>
        </w:rPr>
      </w:pPr>
      <w:proofErr w:type="spellStart"/>
      <w:r w:rsidRPr="20BDA442" w:rsidR="20BDA442">
        <w:rPr>
          <w:rFonts w:ascii="Calibri" w:hAnsi="Calibri" w:eastAsia="Calibri" w:cs="Calibri"/>
          <w:noProof w:val="0"/>
          <w:sz w:val="24"/>
          <w:szCs w:val="24"/>
          <w:lang w:val="en-GB"/>
        </w:rPr>
        <w:t>Officevibe</w:t>
      </w:r>
      <w:proofErr w:type="spellEnd"/>
      <w:r w:rsidRPr="20BDA442" w:rsidR="20BDA442">
        <w:rPr>
          <w:rFonts w:ascii="Calibri" w:hAnsi="Calibri" w:eastAsia="Calibri" w:cs="Calibri"/>
          <w:noProof w:val="0"/>
          <w:sz w:val="24"/>
          <w:szCs w:val="24"/>
          <w:lang w:val="en-GB"/>
        </w:rPr>
        <w:t>. (2017). 6</w:t>
      </w:r>
      <w:r w:rsidRPr="20BDA442" w:rsidR="20BDA442">
        <w:rPr>
          <w:rFonts w:ascii="Calibri" w:hAnsi="Calibri" w:eastAsia="Calibri" w:cs="Calibri"/>
          <w:i w:val="1"/>
          <w:iCs w:val="1"/>
          <w:noProof w:val="0"/>
          <w:sz w:val="24"/>
          <w:szCs w:val="24"/>
          <w:lang w:val="en-GB"/>
        </w:rPr>
        <w:t xml:space="preserve"> Amazing Benefits </w:t>
      </w:r>
      <w:proofErr w:type="gramStart"/>
      <w:r w:rsidRPr="20BDA442" w:rsidR="20BDA442">
        <w:rPr>
          <w:rFonts w:ascii="Calibri" w:hAnsi="Calibri" w:eastAsia="Calibri" w:cs="Calibri"/>
          <w:i w:val="1"/>
          <w:iCs w:val="1"/>
          <w:noProof w:val="0"/>
          <w:sz w:val="24"/>
          <w:szCs w:val="24"/>
          <w:lang w:val="en-GB"/>
        </w:rPr>
        <w:t>Of</w:t>
      </w:r>
      <w:proofErr w:type="gramEnd"/>
      <w:r w:rsidRPr="20BDA442" w:rsidR="20BDA442">
        <w:rPr>
          <w:rFonts w:ascii="Calibri" w:hAnsi="Calibri" w:eastAsia="Calibri" w:cs="Calibri"/>
          <w:i w:val="1"/>
          <w:iCs w:val="1"/>
          <w:noProof w:val="0"/>
          <w:sz w:val="24"/>
          <w:szCs w:val="24"/>
          <w:lang w:val="en-GB"/>
        </w:rPr>
        <w:t xml:space="preserve"> Employee Engagement</w:t>
      </w:r>
      <w:r w:rsidRPr="20BDA442" w:rsidR="20BDA442">
        <w:rPr>
          <w:rFonts w:ascii="Calibri" w:hAnsi="Calibri" w:eastAsia="Calibri" w:cs="Calibri"/>
          <w:noProof w:val="0"/>
          <w:sz w:val="24"/>
          <w:szCs w:val="24"/>
          <w:lang w:val="en-GB"/>
        </w:rPr>
        <w:t>. [online] Available at: https://www.officevibe.com/blog/employee-engagement-benefits [Accessed 20 Sep. 2019].</w:t>
      </w:r>
    </w:p>
    <w:p w:rsidR="657066D7" w:rsidP="05222449" w:rsidRDefault="657066D7" w14:paraId="327732D1" w14:textId="113176E5">
      <w:pPr>
        <w:pStyle w:val="ListParagraph"/>
        <w:numPr>
          <w:ilvl w:val="0"/>
          <w:numId w:val="2"/>
        </w:numPr>
        <w:rPr>
          <w:b w:val="0"/>
          <w:bCs w:val="0"/>
          <w:i w:val="0"/>
          <w:iCs w:val="0"/>
          <w:noProof w:val="0"/>
          <w:color w:val="000000" w:themeColor="text1" w:themeTint="FF" w:themeShade="FF"/>
          <w:sz w:val="24"/>
          <w:szCs w:val="24"/>
          <w:lang w:val="en-GB"/>
        </w:rPr>
      </w:pPr>
      <w:r w:rsidRPr="05222449" w:rsidR="05222449">
        <w:rPr>
          <w:rFonts w:ascii="Calibri" w:hAnsi="Calibri" w:eastAsia="Calibri" w:cs="Calibri"/>
          <w:noProof w:val="0"/>
          <w:sz w:val="24"/>
          <w:szCs w:val="24"/>
          <w:lang w:val="en-GB"/>
        </w:rPr>
        <w:t>PURCELL, J. (2010) ‘Disengaging from engagement’. Human Resources Management Journal. Vol 24, No 3. pp241-254</w:t>
      </w:r>
    </w:p>
    <w:p w:rsidR="05222449" w:rsidP="05222449" w:rsidRDefault="05222449" w14:paraId="195C770D" w14:textId="10C5ACB5">
      <w:pPr>
        <w:pStyle w:val="ListParagraph"/>
        <w:numPr>
          <w:ilvl w:val="0"/>
          <w:numId w:val="2"/>
        </w:numPr>
        <w:rPr>
          <w:noProof w:val="0"/>
          <w:sz w:val="24"/>
          <w:szCs w:val="24"/>
          <w:lang w:val="en-GB"/>
        </w:rPr>
      </w:pPr>
      <w:r w:rsidRPr="05222449" w:rsidR="05222449">
        <w:rPr>
          <w:rFonts w:ascii="Calibri" w:hAnsi="Calibri" w:eastAsia="Calibri" w:cs="Calibri"/>
          <w:noProof w:val="0"/>
          <w:sz w:val="24"/>
          <w:szCs w:val="24"/>
          <w:lang w:val="en-GB"/>
        </w:rPr>
        <w:t xml:space="preserve">Researchonline.org.uk. (2019). </w:t>
      </w:r>
      <w:r w:rsidRPr="05222449" w:rsidR="05222449">
        <w:rPr>
          <w:rFonts w:ascii="Calibri" w:hAnsi="Calibri" w:eastAsia="Calibri" w:cs="Calibri"/>
          <w:i w:val="1"/>
          <w:iCs w:val="1"/>
          <w:noProof w:val="0"/>
          <w:sz w:val="24"/>
          <w:szCs w:val="24"/>
          <w:lang w:val="en-GB"/>
        </w:rPr>
        <w:t>MacLeod and Clarke’s concept of employee engagement: an analysis based on the Workplace Employment Relations Study.</w:t>
      </w:r>
      <w:r w:rsidRPr="05222449" w:rsidR="05222449">
        <w:rPr>
          <w:rFonts w:ascii="Calibri" w:hAnsi="Calibri" w:eastAsia="Calibri" w:cs="Calibri"/>
          <w:noProof w:val="0"/>
          <w:sz w:val="24"/>
          <w:szCs w:val="24"/>
          <w:lang w:val="en-GB"/>
        </w:rPr>
        <w:t xml:space="preserve"> [online] Available at: https://www.researchonline.org.uk/sds/search/go.do%3Bjsessionid=56F44BB54B88B151D365F03684D8933E?action=addToReadingList&amp;ref=B38277&amp;docFlag=true [Accessed 30 Sep. 2019].</w:t>
      </w:r>
    </w:p>
    <w:p w:rsidR="657066D7" w:rsidP="20BDA442" w:rsidRDefault="657066D7" w14:paraId="41D3D983" w14:textId="0E07805C">
      <w:pPr>
        <w:pStyle w:val="ListParagraph"/>
        <w:numPr>
          <w:ilvl w:val="0"/>
          <w:numId w:val="2"/>
        </w:numPr>
        <w:rPr>
          <w:b w:val="0"/>
          <w:bCs w:val="0"/>
          <w:i w:val="0"/>
          <w:iCs w:val="0"/>
          <w:noProof w:val="0"/>
          <w:color w:val="000000" w:themeColor="text1" w:themeTint="FF" w:themeShade="FF"/>
          <w:sz w:val="24"/>
          <w:szCs w:val="24"/>
          <w:lang w:val="en-GB"/>
        </w:rPr>
      </w:pPr>
      <w:r w:rsidRPr="20BDA442" w:rsidR="20BDA442">
        <w:rPr>
          <w:rFonts w:ascii="Calibri" w:hAnsi="Calibri" w:eastAsia="Calibri" w:cs="Calibri"/>
          <w:noProof w:val="0"/>
          <w:sz w:val="24"/>
          <w:szCs w:val="24"/>
          <w:lang w:val="en-GB"/>
        </w:rPr>
        <w:t>ROBINSON, D and HAYDAY, S (2009)</w:t>
      </w:r>
      <w:r w:rsidRPr="20BDA442" w:rsidR="20BDA442">
        <w:rPr>
          <w:rFonts w:ascii="Calibri" w:hAnsi="Calibri" w:eastAsia="Calibri" w:cs="Calibri"/>
          <w:i w:val="1"/>
          <w:iCs w:val="1"/>
          <w:noProof w:val="0"/>
          <w:sz w:val="24"/>
          <w:szCs w:val="24"/>
          <w:lang w:val="en-GB"/>
        </w:rPr>
        <w:t xml:space="preserve"> The engaging manage</w:t>
      </w:r>
      <w:r w:rsidRPr="20BDA442" w:rsidR="20BDA442">
        <w:rPr>
          <w:rFonts w:ascii="Calibri" w:hAnsi="Calibri" w:eastAsia="Calibri" w:cs="Calibri"/>
          <w:noProof w:val="0"/>
          <w:sz w:val="24"/>
          <w:szCs w:val="24"/>
          <w:lang w:val="en-GB"/>
        </w:rPr>
        <w:t xml:space="preserve">r. Brighton: institute </w:t>
      </w:r>
      <w:proofErr w:type="spellStart"/>
      <w:r w:rsidRPr="20BDA442" w:rsidR="20BDA442">
        <w:rPr>
          <w:rFonts w:ascii="Calibri" w:hAnsi="Calibri" w:eastAsia="Calibri" w:cs="Calibri"/>
          <w:noProof w:val="0"/>
          <w:sz w:val="24"/>
          <w:szCs w:val="24"/>
          <w:lang w:val="en-GB"/>
        </w:rPr>
        <w:t>fOR</w:t>
      </w:r>
      <w:proofErr w:type="spellEnd"/>
      <w:r w:rsidRPr="20BDA442" w:rsidR="20BDA442">
        <w:rPr>
          <w:rFonts w:ascii="Calibri" w:hAnsi="Calibri" w:eastAsia="Calibri" w:cs="Calibri"/>
          <w:noProof w:val="0"/>
          <w:sz w:val="24"/>
          <w:szCs w:val="24"/>
          <w:lang w:val="en-GB"/>
        </w:rPr>
        <w:t xml:space="preserve"> employment studies </w:t>
      </w:r>
    </w:p>
    <w:p w:rsidR="2F8DC101" w:rsidP="20BDA442" w:rsidRDefault="2F8DC101" w14:paraId="0434DA88" w14:textId="4E622411">
      <w:pPr>
        <w:pStyle w:val="ListParagraph"/>
        <w:numPr>
          <w:ilvl w:val="0"/>
          <w:numId w:val="2"/>
        </w:numPr>
        <w:rPr>
          <w:b w:val="0"/>
          <w:bCs w:val="0"/>
          <w:i w:val="0"/>
          <w:iCs w:val="0"/>
          <w:noProof w:val="0"/>
          <w:color w:val="000000" w:themeColor="text1" w:themeTint="FF" w:themeShade="FF"/>
          <w:sz w:val="24"/>
          <w:szCs w:val="24"/>
          <w:lang w:val="en-GB"/>
        </w:rPr>
      </w:pPr>
      <w:r w:rsidRPr="20BDA442" w:rsidR="20BDA442">
        <w:rPr>
          <w:b w:val="0"/>
          <w:bCs w:val="0"/>
          <w:i w:val="0"/>
          <w:iCs w:val="0"/>
          <w:noProof w:val="0"/>
          <w:color w:val="000000" w:themeColor="text1" w:themeTint="FF" w:themeShade="FF"/>
          <w:sz w:val="24"/>
          <w:szCs w:val="24"/>
          <w:lang w:val="en-GB"/>
        </w:rPr>
        <w:t xml:space="preserve">Taylor, S. and Woodhams, C. (2016). </w:t>
      </w:r>
      <w:r w:rsidRPr="20BDA442" w:rsidR="20BDA442">
        <w:rPr>
          <w:b w:val="0"/>
          <w:bCs w:val="0"/>
          <w:i w:val="1"/>
          <w:iCs w:val="1"/>
          <w:noProof w:val="0"/>
          <w:color w:val="000000" w:themeColor="text1" w:themeTint="FF" w:themeShade="FF"/>
          <w:sz w:val="24"/>
          <w:szCs w:val="24"/>
          <w:lang w:val="en-GB"/>
        </w:rPr>
        <w:t>Human resource management</w:t>
      </w:r>
      <w:r w:rsidRPr="20BDA442" w:rsidR="20BDA442">
        <w:rPr>
          <w:b w:val="0"/>
          <w:bCs w:val="0"/>
          <w:i w:val="0"/>
          <w:iCs w:val="0"/>
          <w:noProof w:val="0"/>
          <w:color w:val="000000" w:themeColor="text1" w:themeTint="FF" w:themeShade="FF"/>
          <w:sz w:val="24"/>
          <w:szCs w:val="24"/>
          <w:lang w:val="en-GB"/>
        </w:rPr>
        <w:t>.</w:t>
      </w:r>
    </w:p>
    <w:p w:rsidR="2F8DC101" w:rsidP="20BDA442" w:rsidRDefault="2F8DC101" w14:paraId="4E19F612" w14:textId="22655B6F">
      <w:pPr>
        <w:pStyle w:val="ListParagraph"/>
        <w:numPr>
          <w:ilvl w:val="0"/>
          <w:numId w:val="2"/>
        </w:numPr>
        <w:rPr>
          <w:b w:val="0"/>
          <w:bCs w:val="0"/>
          <w:i w:val="0"/>
          <w:iCs w:val="0"/>
          <w:noProof w:val="0"/>
          <w:color w:val="000000" w:themeColor="text1" w:themeTint="FF" w:themeShade="FF"/>
          <w:sz w:val="24"/>
          <w:szCs w:val="24"/>
          <w:lang w:val="en-GB"/>
        </w:rPr>
      </w:pPr>
      <w:r w:rsidRPr="20BDA442" w:rsidR="20BDA442">
        <w:rPr>
          <w:b w:val="0"/>
          <w:bCs w:val="0"/>
          <w:i w:val="0"/>
          <w:iCs w:val="0"/>
          <w:noProof w:val="0"/>
          <w:color w:val="000000" w:themeColor="text1" w:themeTint="FF" w:themeShade="FF"/>
          <w:sz w:val="24"/>
          <w:szCs w:val="24"/>
          <w:lang w:val="en-GB"/>
        </w:rPr>
        <w:t xml:space="preserve">The Oxford Review. (n.d.). </w:t>
      </w:r>
      <w:r w:rsidRPr="20BDA442" w:rsidR="20BDA442">
        <w:rPr>
          <w:b w:val="0"/>
          <w:bCs w:val="0"/>
          <w:i w:val="1"/>
          <w:iCs w:val="1"/>
          <w:noProof w:val="0"/>
          <w:color w:val="000000" w:themeColor="text1" w:themeTint="FF" w:themeShade="FF"/>
          <w:sz w:val="24"/>
          <w:szCs w:val="24"/>
          <w:lang w:val="en-GB"/>
        </w:rPr>
        <w:t>Organisational Commitment</w:t>
      </w:r>
      <w:r w:rsidRPr="20BDA442" w:rsidR="20BDA442">
        <w:rPr>
          <w:b w:val="0"/>
          <w:bCs w:val="0"/>
          <w:i w:val="0"/>
          <w:iCs w:val="0"/>
          <w:noProof w:val="0"/>
          <w:color w:val="000000" w:themeColor="text1" w:themeTint="FF" w:themeShade="FF"/>
          <w:sz w:val="24"/>
          <w:szCs w:val="24"/>
          <w:lang w:val="en-GB"/>
        </w:rPr>
        <w:t>. [online] Available at: https://www.oxford-review.com/oxford-review-encyclopaedia-terms/organisational-commitment/ [Accessed 18 Sep. 2019].</w:t>
      </w:r>
    </w:p>
    <w:p w:rsidR="657066D7" w:rsidP="20BDA442" w:rsidRDefault="657066D7" w14:paraId="09B688A5" w14:textId="510D71FA">
      <w:pPr>
        <w:pStyle w:val="ListParagraph"/>
        <w:numPr>
          <w:ilvl w:val="0"/>
          <w:numId w:val="2"/>
        </w:numPr>
        <w:rPr>
          <w:b w:val="0"/>
          <w:bCs w:val="0"/>
          <w:i w:val="0"/>
          <w:iCs w:val="0"/>
          <w:noProof w:val="0"/>
          <w:color w:val="000000" w:themeColor="text1" w:themeTint="FF" w:themeShade="FF"/>
          <w:sz w:val="24"/>
          <w:szCs w:val="24"/>
          <w:lang w:val="en-GB"/>
        </w:rPr>
      </w:pPr>
      <w:r w:rsidRPr="20BDA442" w:rsidR="20BDA442">
        <w:rPr>
          <w:b w:val="0"/>
          <w:bCs w:val="0"/>
          <w:i w:val="0"/>
          <w:iCs w:val="0"/>
          <w:noProof w:val="0"/>
          <w:color w:val="000000" w:themeColor="text1" w:themeTint="FF" w:themeShade="FF"/>
          <w:sz w:val="24"/>
          <w:szCs w:val="24"/>
          <w:lang w:val="en-GB"/>
        </w:rPr>
        <w:t xml:space="preserve">TOWERS PERRIN (2009) </w:t>
      </w:r>
      <w:r w:rsidRPr="20BDA442" w:rsidR="20BDA442">
        <w:rPr>
          <w:b w:val="0"/>
          <w:bCs w:val="0"/>
          <w:i w:val="1"/>
          <w:iCs w:val="1"/>
          <w:noProof w:val="0"/>
          <w:color w:val="000000" w:themeColor="text1" w:themeTint="FF" w:themeShade="FF"/>
          <w:sz w:val="24"/>
          <w:szCs w:val="24"/>
          <w:lang w:val="en-GB"/>
        </w:rPr>
        <w:t>G</w:t>
      </w:r>
      <w:r w:rsidRPr="20BDA442" w:rsidR="20BDA442">
        <w:rPr>
          <w:b w:val="0"/>
          <w:bCs w:val="0"/>
          <w:i w:val="1"/>
          <w:iCs w:val="1"/>
          <w:noProof w:val="0"/>
          <w:color w:val="000000" w:themeColor="text1" w:themeTint="FF" w:themeShade="FF"/>
          <w:sz w:val="24"/>
          <w:szCs w:val="24"/>
          <w:lang w:val="en-GB"/>
        </w:rPr>
        <w:t>lobal Workforce study 2007/2008: closing the engagement gap – a road map for driving superior business performance</w:t>
      </w:r>
      <w:r w:rsidRPr="20BDA442" w:rsidR="20BDA442">
        <w:rPr>
          <w:b w:val="0"/>
          <w:bCs w:val="0"/>
          <w:i w:val="0"/>
          <w:iCs w:val="0"/>
          <w:noProof w:val="0"/>
          <w:color w:val="000000" w:themeColor="text1" w:themeTint="FF" w:themeShade="FF"/>
          <w:sz w:val="24"/>
          <w:szCs w:val="24"/>
          <w:lang w:val="en-GB"/>
        </w:rPr>
        <w:t>. London: Towers Watson.</w:t>
      </w:r>
    </w:p>
    <w:p w:rsidR="20BDA442" w:rsidP="2BDEC811" w:rsidRDefault="20BDA442" w14:paraId="5FD81AB5" w14:textId="76EB3B00">
      <w:pPr>
        <w:pStyle w:val="ListParagraph"/>
        <w:numPr>
          <w:ilvl w:val="0"/>
          <w:numId w:val="2"/>
        </w:numPr>
        <w:rPr>
          <w:b w:val="0"/>
          <w:bCs w:val="0"/>
          <w:i w:val="0"/>
          <w:iCs w:val="0"/>
          <w:noProof w:val="0"/>
          <w:color w:val="000000" w:themeColor="text1" w:themeTint="FF" w:themeShade="FF"/>
          <w:sz w:val="24"/>
          <w:szCs w:val="24"/>
          <w:lang w:val="en-GB"/>
        </w:rPr>
      </w:pPr>
      <w:r w:rsidRPr="2BDEC811" w:rsidR="2BDEC811">
        <w:rPr>
          <w:rFonts w:ascii="Calibri" w:hAnsi="Calibri" w:eastAsia="Calibri" w:cs="Calibri"/>
          <w:b w:val="0"/>
          <w:bCs w:val="0"/>
          <w:i w:val="0"/>
          <w:iCs w:val="0"/>
          <w:noProof w:val="0"/>
          <w:color w:val="000000" w:themeColor="text1" w:themeTint="FF" w:themeShade="FF"/>
          <w:sz w:val="24"/>
          <w:szCs w:val="24"/>
          <w:lang w:val="en-GB"/>
        </w:rPr>
        <w:t xml:space="preserve">Today, P. (2013). </w:t>
      </w:r>
      <w:proofErr w:type="spellStart"/>
      <w:r w:rsidRPr="2BDEC811" w:rsidR="2BDEC811">
        <w:rPr>
          <w:rFonts w:ascii="Calibri" w:hAnsi="Calibri" w:eastAsia="Calibri" w:cs="Calibri"/>
          <w:b w:val="0"/>
          <w:bCs w:val="0"/>
          <w:i w:val="1"/>
          <w:iCs w:val="1"/>
          <w:noProof w:val="0"/>
          <w:color w:val="000000" w:themeColor="text1" w:themeTint="FF" w:themeShade="FF"/>
          <w:sz w:val="24"/>
          <w:szCs w:val="24"/>
          <w:lang w:val="en-GB"/>
        </w:rPr>
        <w:t>Acas</w:t>
      </w:r>
      <w:proofErr w:type="spellEnd"/>
      <w:r w:rsidRPr="2BDEC811" w:rsidR="2BDEC811">
        <w:rPr>
          <w:rFonts w:ascii="Calibri" w:hAnsi="Calibri" w:eastAsia="Calibri" w:cs="Calibri"/>
          <w:b w:val="0"/>
          <w:bCs w:val="0"/>
          <w:i w:val="1"/>
          <w:iCs w:val="1"/>
          <w:noProof w:val="0"/>
          <w:color w:val="000000" w:themeColor="text1" w:themeTint="FF" w:themeShade="FF"/>
          <w:sz w:val="24"/>
          <w:szCs w:val="24"/>
          <w:lang w:val="en-GB"/>
        </w:rPr>
        <w:t>: Linking employee wellbeing and engagement - Personnel Today</w:t>
      </w:r>
      <w:r w:rsidRPr="2BDEC811" w:rsidR="2BDEC811">
        <w:rPr>
          <w:rFonts w:ascii="Calibri" w:hAnsi="Calibri" w:eastAsia="Calibri" w:cs="Calibri"/>
          <w:b w:val="0"/>
          <w:bCs w:val="0"/>
          <w:i w:val="0"/>
          <w:iCs w:val="0"/>
          <w:noProof w:val="0"/>
          <w:color w:val="000000" w:themeColor="text1" w:themeTint="FF" w:themeShade="FF"/>
          <w:sz w:val="24"/>
          <w:szCs w:val="24"/>
          <w:lang w:val="en-GB"/>
        </w:rPr>
        <w:t>. [online] Personnel Today. Available at: https://www.personneltoday.com/hr/acas-linking-employee-wellbeing-and-engagement/ [Accessed 20 Sep. 2019].</w:t>
      </w:r>
    </w:p>
    <w:p w:rsidR="2BDEC811" w:rsidP="2BDEC811" w:rsidRDefault="2BDEC811" w14:paraId="1EDD188D" w14:textId="5828D023">
      <w:pPr>
        <w:pStyle w:val="ListParagraph"/>
        <w:numPr>
          <w:ilvl w:val="0"/>
          <w:numId w:val="2"/>
        </w:numPr>
        <w:rPr>
          <w:b w:val="0"/>
          <w:bCs w:val="0"/>
          <w:i w:val="0"/>
          <w:iCs w:val="0"/>
          <w:noProof w:val="0"/>
          <w:color w:val="000000" w:themeColor="text1" w:themeTint="FF" w:themeShade="FF"/>
          <w:sz w:val="24"/>
          <w:szCs w:val="24"/>
          <w:lang w:val="en-GB"/>
        </w:rPr>
      </w:pPr>
      <w:r w:rsidRPr="2BDEC811" w:rsidR="2BDEC811">
        <w:rPr>
          <w:rFonts w:ascii="Calibri" w:hAnsi="Calibri" w:eastAsia="Calibri" w:cs="Calibri"/>
          <w:b w:val="0"/>
          <w:bCs w:val="0"/>
          <w:i w:val="0"/>
          <w:iCs w:val="0"/>
          <w:noProof w:val="0"/>
          <w:color w:val="000000" w:themeColor="text1" w:themeTint="FF" w:themeShade="FF"/>
          <w:sz w:val="24"/>
          <w:szCs w:val="24"/>
          <w:lang w:val="en-GB"/>
        </w:rPr>
        <w:t xml:space="preserve">TRUSS., C ALFES, K., DELBRIDGE, R and SOANNE, E (2014) </w:t>
      </w:r>
      <w:r w:rsidRPr="2BDEC811" w:rsidR="2BDEC811">
        <w:rPr>
          <w:rFonts w:ascii="Calibri" w:hAnsi="Calibri" w:eastAsia="Calibri" w:cs="Calibri"/>
          <w:b w:val="0"/>
          <w:bCs w:val="0"/>
          <w:i w:val="1"/>
          <w:iCs w:val="1"/>
          <w:noProof w:val="0"/>
          <w:color w:val="000000" w:themeColor="text1" w:themeTint="FF" w:themeShade="FF"/>
          <w:sz w:val="24"/>
          <w:szCs w:val="24"/>
          <w:lang w:val="en-GB"/>
        </w:rPr>
        <w:t>Employee engagement in theory and practice</w:t>
      </w:r>
      <w:r w:rsidRPr="2BDEC811" w:rsidR="2BDEC811">
        <w:rPr>
          <w:rFonts w:ascii="Calibri" w:hAnsi="Calibri" w:eastAsia="Calibri" w:cs="Calibri"/>
          <w:b w:val="0"/>
          <w:bCs w:val="0"/>
          <w:i w:val="0"/>
          <w:iCs w:val="0"/>
          <w:noProof w:val="0"/>
          <w:color w:val="000000" w:themeColor="text1" w:themeTint="FF" w:themeShade="FF"/>
          <w:sz w:val="24"/>
          <w:szCs w:val="24"/>
          <w:lang w:val="en-GB"/>
        </w:rPr>
        <w:t>. London, Routledge.</w:t>
      </w:r>
    </w:p>
    <w:p w:rsidR="20BDA442" w:rsidP="2BDEC811" w:rsidRDefault="20BDA442" w14:paraId="68247388" w14:textId="0EA30D56">
      <w:pPr>
        <w:pStyle w:val="Normal"/>
        <w:ind w:left="360"/>
        <w:rPr>
          <w:b w:val="0"/>
          <w:bCs w:val="0"/>
          <w:i w:val="0"/>
          <w:iCs w:val="0"/>
          <w:noProof w:val="0"/>
          <w:color w:val="000000" w:themeColor="text1" w:themeTint="FF" w:themeShade="FF"/>
          <w:sz w:val="24"/>
          <w:szCs w:val="24"/>
          <w:lang w:val="en-GB"/>
        </w:rPr>
      </w:pPr>
    </w:p>
    <w:p w:rsidR="34F84769" w:rsidP="412BD25C" w:rsidRDefault="34F84769" w14:paraId="5A47E48A" w14:textId="2EC09C8F">
      <w:pPr>
        <w:pStyle w:val="Normal"/>
        <w:ind w:left="0"/>
        <w:rPr>
          <w:sz w:val="24"/>
          <w:szCs w:val="24"/>
          <w:u w:val="single"/>
        </w:rPr>
      </w:pPr>
      <w:r w:rsidRPr="412BD25C" w:rsidR="412BD25C">
        <w:rPr>
          <w:sz w:val="24"/>
          <w:szCs w:val="24"/>
          <w:u w:val="single"/>
        </w:rPr>
        <w:t>Bibliography</w:t>
      </w:r>
    </w:p>
    <w:p w:rsidR="412BD25C" w:rsidP="412BD25C" w:rsidRDefault="412BD25C" w14:paraId="2AF758D2" w14:textId="50A59E50">
      <w:pPr>
        <w:pStyle w:val="ListParagraph"/>
        <w:numPr>
          <w:ilvl w:val="0"/>
          <w:numId w:val="5"/>
        </w:numPr>
        <w:rPr>
          <w:sz w:val="24"/>
          <w:szCs w:val="24"/>
        </w:rPr>
      </w:pPr>
      <w:r w:rsidRPr="412BD25C" w:rsidR="412BD25C">
        <w:rPr>
          <w:rFonts w:ascii="Calibri" w:hAnsi="Calibri" w:eastAsia="Calibri" w:cs="Calibri"/>
          <w:noProof w:val="0"/>
          <w:sz w:val="24"/>
          <w:szCs w:val="24"/>
          <w:lang w:val="en-GB"/>
        </w:rPr>
        <w:t>M.acas.org.uk. (2014). [online] Available at: https://m.acas.org.uk/media/4029/MacLeod-and-Clarkes-Concept-of-Employee-Engagement-An-Analysis-based-on-the-Workplace-Employment-Relations-Study/pdf/08140-MacLeod-Clarkes-Concept-of-Employee-Engagement.pdf [Accessed 30 Sep. 2019].</w:t>
      </w:r>
    </w:p>
    <w:p w:rsidR="2BDEC811" w:rsidP="2BDEC811" w:rsidRDefault="2BDEC811" w14:paraId="3B2B3ADA" w14:textId="567884C9">
      <w:pPr>
        <w:pStyle w:val="ListParagraph"/>
        <w:numPr>
          <w:ilvl w:val="0"/>
          <w:numId w:val="2"/>
        </w:numPr>
        <w:rPr>
          <w:b w:val="0"/>
          <w:bCs w:val="0"/>
          <w:i w:val="0"/>
          <w:iCs w:val="0"/>
          <w:noProof w:val="0"/>
          <w:color w:val="000000" w:themeColor="text1" w:themeTint="FF" w:themeShade="FF"/>
          <w:sz w:val="24"/>
          <w:szCs w:val="24"/>
          <w:lang w:val="en-GB"/>
        </w:rPr>
      </w:pPr>
      <w:r w:rsidRPr="2BDEC811" w:rsidR="2BDEC811">
        <w:rPr>
          <w:b w:val="0"/>
          <w:bCs w:val="0"/>
          <w:i w:val="0"/>
          <w:iCs w:val="0"/>
          <w:noProof w:val="0"/>
          <w:color w:val="000000" w:themeColor="text1" w:themeTint="FF" w:themeShade="FF"/>
          <w:sz w:val="24"/>
          <w:szCs w:val="24"/>
          <w:lang w:val="en-GB"/>
        </w:rPr>
        <w:t xml:space="preserve">Bamboohr.com. (2019). </w:t>
      </w:r>
      <w:r w:rsidRPr="2BDEC811" w:rsidR="2BDEC811">
        <w:rPr>
          <w:b w:val="0"/>
          <w:bCs w:val="0"/>
          <w:i w:val="1"/>
          <w:iCs w:val="1"/>
          <w:noProof w:val="0"/>
          <w:color w:val="000000" w:themeColor="text1" w:themeTint="FF" w:themeShade="FF"/>
          <w:sz w:val="24"/>
          <w:szCs w:val="24"/>
          <w:lang w:val="en-GB"/>
        </w:rPr>
        <w:t>What is Employee Satisfaction? | BambooHR</w:t>
      </w:r>
      <w:r w:rsidRPr="2BDEC811" w:rsidR="2BDEC811">
        <w:rPr>
          <w:b w:val="0"/>
          <w:bCs w:val="0"/>
          <w:i w:val="0"/>
          <w:iCs w:val="0"/>
          <w:noProof w:val="0"/>
          <w:color w:val="000000" w:themeColor="text1" w:themeTint="FF" w:themeShade="FF"/>
          <w:sz w:val="24"/>
          <w:szCs w:val="24"/>
          <w:lang w:val="en-GB"/>
        </w:rPr>
        <w:t>. [online] Available at: https://www.bamboohr.com/hr-glossary/employee-satisfaction/ [Accessed 18 Sep. 2019].</w:t>
      </w:r>
      <w:r w:rsidRPr="2BDEC811" w:rsidR="2BDEC811">
        <w:rPr>
          <w:b w:val="0"/>
          <w:bCs w:val="0"/>
          <w:i w:val="0"/>
          <w:iCs w:val="0"/>
          <w:noProof w:val="0"/>
          <w:color w:val="000000" w:themeColor="text1" w:themeTint="FF" w:themeShade="FF"/>
          <w:sz w:val="24"/>
          <w:szCs w:val="24"/>
          <w:lang w:val="en-GB"/>
        </w:rPr>
        <w:t xml:space="preserve"> </w:t>
      </w:r>
    </w:p>
    <w:p w:rsidR="2BDEC811" w:rsidP="2BDEC811" w:rsidRDefault="2BDEC811" w14:paraId="16B1493E" w14:textId="40BA846F">
      <w:pPr>
        <w:pStyle w:val="ListParagraph"/>
        <w:numPr>
          <w:ilvl w:val="0"/>
          <w:numId w:val="2"/>
        </w:numPr>
        <w:rPr>
          <w:b w:val="0"/>
          <w:bCs w:val="0"/>
          <w:i w:val="0"/>
          <w:iCs w:val="0"/>
          <w:noProof w:val="0"/>
          <w:color w:val="000000" w:themeColor="text1" w:themeTint="FF" w:themeShade="FF"/>
          <w:sz w:val="24"/>
          <w:szCs w:val="24"/>
          <w:lang w:val="en-GB"/>
        </w:rPr>
      </w:pPr>
      <w:r w:rsidRPr="2BDEC811" w:rsidR="2BDEC811">
        <w:rPr>
          <w:b w:val="0"/>
          <w:bCs w:val="0"/>
          <w:i w:val="0"/>
          <w:iCs w:val="0"/>
          <w:noProof w:val="0"/>
          <w:color w:val="000000" w:themeColor="text1" w:themeTint="FF" w:themeShade="FF"/>
          <w:sz w:val="24"/>
          <w:szCs w:val="24"/>
          <w:lang w:val="en-GB"/>
        </w:rPr>
        <w:t xml:space="preserve">CIPD (2012) </w:t>
      </w:r>
      <w:r w:rsidRPr="2BDEC811" w:rsidR="2BDEC811">
        <w:rPr>
          <w:b w:val="0"/>
          <w:bCs w:val="0"/>
          <w:i w:val="1"/>
          <w:iCs w:val="1"/>
          <w:noProof w:val="0"/>
          <w:color w:val="000000" w:themeColor="text1" w:themeTint="FF" w:themeShade="FF"/>
          <w:sz w:val="24"/>
          <w:szCs w:val="24"/>
          <w:lang w:val="en-GB"/>
        </w:rPr>
        <w:t>Emotional and Transactional engagement</w:t>
      </w:r>
      <w:r w:rsidRPr="2BDEC811" w:rsidR="2BDEC811">
        <w:rPr>
          <w:b w:val="0"/>
          <w:bCs w:val="0"/>
          <w:i w:val="1"/>
          <w:iCs w:val="1"/>
          <w:noProof w:val="0"/>
          <w:color w:val="000000" w:themeColor="text1" w:themeTint="FF" w:themeShade="FF"/>
          <w:sz w:val="24"/>
          <w:szCs w:val="24"/>
          <w:lang w:val="en-GB"/>
        </w:rPr>
        <w:t>: Does it matter? Research insight</w:t>
      </w:r>
      <w:r w:rsidRPr="2BDEC811" w:rsidR="2BDEC811">
        <w:rPr>
          <w:b w:val="0"/>
          <w:bCs w:val="0"/>
          <w:i w:val="0"/>
          <w:iCs w:val="0"/>
          <w:noProof w:val="0"/>
          <w:color w:val="000000" w:themeColor="text1" w:themeTint="FF" w:themeShade="FF"/>
          <w:sz w:val="24"/>
          <w:szCs w:val="24"/>
          <w:lang w:val="en-GB"/>
        </w:rPr>
        <w:t>. [Online] www.cipd.co.uk/hr-resources/research/emotional-transactional-engagement.aspx.</w:t>
      </w:r>
    </w:p>
    <w:p w:rsidR="2BDEC811" w:rsidP="2BDEC811" w:rsidRDefault="2BDEC811" w14:paraId="0E32770E" w14:textId="19B06A07">
      <w:pPr>
        <w:pStyle w:val="ListParagraph"/>
        <w:numPr>
          <w:ilvl w:val="0"/>
          <w:numId w:val="2"/>
        </w:numPr>
        <w:rPr>
          <w:b w:val="0"/>
          <w:bCs w:val="0"/>
          <w:i w:val="0"/>
          <w:iCs w:val="0"/>
          <w:color w:val="000000" w:themeColor="text1" w:themeTint="FF" w:themeShade="FF"/>
          <w:sz w:val="24"/>
          <w:szCs w:val="24"/>
        </w:rPr>
      </w:pPr>
      <w:r w:rsidRPr="2BDEC811" w:rsidR="2BDEC811">
        <w:rPr>
          <w:rFonts w:ascii="Calibri" w:hAnsi="Calibri" w:eastAsia="Calibri" w:cs="Calibri"/>
          <w:noProof w:val="0"/>
          <w:sz w:val="24"/>
          <w:szCs w:val="24"/>
          <w:lang w:val="en-GB"/>
        </w:rPr>
        <w:t xml:space="preserve">CIPD. (2018). </w:t>
      </w:r>
      <w:r w:rsidRPr="2BDEC811" w:rsidR="2BDEC811">
        <w:rPr>
          <w:rFonts w:ascii="Calibri" w:hAnsi="Calibri" w:eastAsia="Calibri" w:cs="Calibri"/>
          <w:i w:val="1"/>
          <w:iCs w:val="1"/>
          <w:noProof w:val="0"/>
          <w:sz w:val="24"/>
          <w:szCs w:val="24"/>
          <w:lang w:val="en-GB"/>
        </w:rPr>
        <w:t>Employee Engagement &amp; Motivation | Factsheets | CIPD</w:t>
      </w:r>
      <w:r w:rsidRPr="2BDEC811" w:rsidR="2BDEC811">
        <w:rPr>
          <w:rFonts w:ascii="Calibri" w:hAnsi="Calibri" w:eastAsia="Calibri" w:cs="Calibri"/>
          <w:noProof w:val="0"/>
          <w:sz w:val="24"/>
          <w:szCs w:val="24"/>
          <w:lang w:val="en-GB"/>
        </w:rPr>
        <w:t>. [online] Available at: https://www.cipd.co.uk/knowledge/fundamentals/relations/engagement/factsheet [Accessed 18 Sep. 2019].</w:t>
      </w:r>
      <w:r w:rsidRPr="2BDEC811" w:rsidR="2BDEC811">
        <w:rPr>
          <w:rFonts w:ascii="Calibri" w:hAnsi="Calibri" w:eastAsia="Calibri" w:cs="Calibri"/>
          <w:noProof w:val="0"/>
          <w:sz w:val="24"/>
          <w:szCs w:val="24"/>
          <w:lang w:val="en-GB"/>
        </w:rPr>
        <w:t>]</w:t>
      </w:r>
    </w:p>
    <w:p w:rsidR="2BDEC811" w:rsidP="2BDEC811" w:rsidRDefault="2BDEC811" w14:paraId="598D799A" w14:textId="4155E4CF">
      <w:pPr>
        <w:pStyle w:val="ListParagraph"/>
        <w:numPr>
          <w:ilvl w:val="0"/>
          <w:numId w:val="2"/>
        </w:numPr>
        <w:rPr>
          <w:b w:val="0"/>
          <w:bCs w:val="0"/>
          <w:i w:val="0"/>
          <w:iCs w:val="0"/>
          <w:noProof w:val="0"/>
          <w:color w:val="000000" w:themeColor="text1" w:themeTint="FF" w:themeShade="FF"/>
          <w:sz w:val="24"/>
          <w:szCs w:val="24"/>
          <w:lang w:val="en-GB"/>
        </w:rPr>
      </w:pPr>
      <w:r w:rsidRPr="2BDEC811" w:rsidR="2BDEC811">
        <w:rPr>
          <w:rFonts w:ascii="Calibri" w:hAnsi="Calibri" w:eastAsia="Calibri" w:cs="Calibri"/>
          <w:noProof w:val="0"/>
          <w:sz w:val="24"/>
          <w:szCs w:val="24"/>
          <w:lang w:val="en-GB"/>
        </w:rPr>
        <w:t>CIPD (2014)</w:t>
      </w:r>
      <w:r w:rsidRPr="2BDEC811" w:rsidR="2BDEC811">
        <w:rPr>
          <w:rFonts w:ascii="Calibri" w:hAnsi="Calibri" w:eastAsia="Calibri" w:cs="Calibri"/>
          <w:i w:val="1"/>
          <w:iCs w:val="1"/>
          <w:noProof w:val="0"/>
          <w:sz w:val="24"/>
          <w:szCs w:val="24"/>
          <w:lang w:val="en-GB"/>
        </w:rPr>
        <w:t xml:space="preserve"> Developing Managers to manage sustainable employee engagement, health and well-being. </w:t>
      </w:r>
      <w:r w:rsidRPr="2BDEC811" w:rsidR="2BDEC811">
        <w:rPr>
          <w:rFonts w:ascii="Calibri" w:hAnsi="Calibri" w:eastAsia="Calibri" w:cs="Calibri"/>
          <w:noProof w:val="0"/>
          <w:sz w:val="24"/>
          <w:szCs w:val="24"/>
          <w:lang w:val="en-GB"/>
        </w:rPr>
        <w:t xml:space="preserve">Research Report. </w:t>
      </w:r>
    </w:p>
    <w:p w:rsidR="2BDEC811" w:rsidP="05222449" w:rsidRDefault="2BDEC811" w14:paraId="473FF777" w14:textId="5AA266A3">
      <w:pPr>
        <w:pStyle w:val="ListParagraph"/>
        <w:numPr>
          <w:ilvl w:val="0"/>
          <w:numId w:val="2"/>
        </w:numPr>
        <w:rPr>
          <w:noProof w:val="0"/>
          <w:sz w:val="24"/>
          <w:szCs w:val="24"/>
          <w:lang w:val="en-GB"/>
        </w:rPr>
      </w:pPr>
      <w:r w:rsidRPr="05222449" w:rsidR="05222449">
        <w:rPr>
          <w:rFonts w:ascii="Calibri" w:hAnsi="Calibri" w:eastAsia="Calibri" w:cs="Calibri"/>
          <w:noProof w:val="0"/>
          <w:sz w:val="24"/>
          <w:szCs w:val="24"/>
          <w:lang w:val="en-GB"/>
        </w:rPr>
        <w:t xml:space="preserve">CIPD. (2019). </w:t>
      </w:r>
      <w:r w:rsidRPr="05222449" w:rsidR="05222449">
        <w:rPr>
          <w:rFonts w:ascii="Calibri" w:hAnsi="Calibri" w:eastAsia="Calibri" w:cs="Calibri"/>
          <w:i w:val="1"/>
          <w:iCs w:val="1"/>
          <w:noProof w:val="0"/>
          <w:sz w:val="24"/>
          <w:szCs w:val="24"/>
          <w:lang w:val="en-GB"/>
        </w:rPr>
        <w:t xml:space="preserve">Diversity and Inclusion in the Workplace </w:t>
      </w:r>
      <w:r w:rsidRPr="05222449" w:rsidR="05222449">
        <w:rPr>
          <w:rFonts w:ascii="Calibri" w:hAnsi="Calibri" w:eastAsia="Calibri" w:cs="Calibri"/>
          <w:noProof w:val="0"/>
          <w:sz w:val="24"/>
          <w:szCs w:val="24"/>
          <w:lang w:val="en-GB"/>
        </w:rPr>
        <w:t>| Factsheets | CIPD. [online] Available at: https://www.cipd.co.uk/knowledge/fundamentals/relations/diversity/factsheet [Accessed 20 Sep. 2019].</w:t>
      </w:r>
    </w:p>
    <w:p w:rsidR="05222449" w:rsidP="05222449" w:rsidRDefault="05222449" w14:paraId="52A2EFC5" w14:textId="38A95651">
      <w:pPr>
        <w:pStyle w:val="ListParagraph"/>
        <w:numPr>
          <w:ilvl w:val="0"/>
          <w:numId w:val="2"/>
        </w:numPr>
        <w:rPr>
          <w:noProof w:val="0"/>
          <w:sz w:val="24"/>
          <w:szCs w:val="24"/>
          <w:lang w:val="en-GB"/>
        </w:rPr>
      </w:pPr>
      <w:r w:rsidRPr="05222449" w:rsidR="05222449">
        <w:rPr>
          <w:rFonts w:ascii="Calibri" w:hAnsi="Calibri" w:eastAsia="Calibri" w:cs="Calibri"/>
          <w:noProof w:val="0"/>
          <w:sz w:val="24"/>
          <w:szCs w:val="24"/>
          <w:lang w:val="en-GB"/>
        </w:rPr>
        <w:t xml:space="preserve">CIPD (2019). </w:t>
      </w:r>
      <w:r w:rsidRPr="05222449" w:rsidR="05222449">
        <w:rPr>
          <w:rFonts w:ascii="Calibri" w:hAnsi="Calibri" w:eastAsia="Calibri" w:cs="Calibri"/>
          <w:i w:val="1"/>
          <w:iCs w:val="1"/>
          <w:noProof w:val="0"/>
          <w:sz w:val="24"/>
          <w:szCs w:val="24"/>
          <w:lang w:val="en-GB"/>
        </w:rPr>
        <w:t>Labour Market Outlook</w:t>
      </w:r>
      <w:r w:rsidRPr="05222449" w:rsidR="05222449">
        <w:rPr>
          <w:rFonts w:ascii="Calibri" w:hAnsi="Calibri" w:eastAsia="Calibri" w:cs="Calibri"/>
          <w:noProof w:val="0"/>
          <w:sz w:val="24"/>
          <w:szCs w:val="24"/>
          <w:lang w:val="en-GB"/>
        </w:rPr>
        <w:t xml:space="preserve"> [online]</w:t>
      </w:r>
      <w:r w:rsidRPr="05222449" w:rsidR="05222449">
        <w:rPr>
          <w:rFonts w:ascii="Calibri" w:hAnsi="Calibri" w:eastAsia="Calibri" w:cs="Calibri"/>
          <w:noProof w:val="0"/>
          <w:sz w:val="24"/>
          <w:szCs w:val="24"/>
          <w:lang w:val="en-GB"/>
        </w:rPr>
        <w:t xml:space="preserve"> Available at: https://www.cipd.co.uk/Images/labour-market-outlook-summer-2019_tcm18-62411.pdf [Accessed 30 Sep. 2019].</w:t>
      </w:r>
    </w:p>
    <w:p w:rsidR="2BDEC811" w:rsidP="2053A4AC" w:rsidRDefault="2BDEC811" w14:paraId="5697C1A0" w14:textId="46BB680F">
      <w:pPr>
        <w:pStyle w:val="ListParagraph"/>
        <w:numPr>
          <w:ilvl w:val="0"/>
          <w:numId w:val="2"/>
        </w:numPr>
        <w:rPr>
          <w:noProof w:val="0"/>
          <w:sz w:val="24"/>
          <w:szCs w:val="24"/>
          <w:lang w:val="en-GB"/>
        </w:rPr>
      </w:pPr>
      <w:r w:rsidRPr="2053A4AC" w:rsidR="2053A4AC">
        <w:rPr>
          <w:rFonts w:ascii="Calibri" w:hAnsi="Calibri" w:eastAsia="Calibri" w:cs="Calibri"/>
          <w:noProof w:val="0"/>
          <w:sz w:val="24"/>
          <w:szCs w:val="24"/>
          <w:lang w:val="en-GB"/>
        </w:rPr>
        <w:t xml:space="preserve">CIPD. (2019). </w:t>
      </w:r>
      <w:r w:rsidRPr="2053A4AC" w:rsidR="2053A4AC">
        <w:rPr>
          <w:rFonts w:ascii="Calibri" w:hAnsi="Calibri" w:eastAsia="Calibri" w:cs="Calibri"/>
          <w:i w:val="1"/>
          <w:iCs w:val="1"/>
          <w:noProof w:val="0"/>
          <w:sz w:val="24"/>
          <w:szCs w:val="24"/>
          <w:lang w:val="en-GB"/>
        </w:rPr>
        <w:t xml:space="preserve">Strategic Human Resource Management | Factsheets </w:t>
      </w:r>
      <w:r w:rsidRPr="2053A4AC" w:rsidR="2053A4AC">
        <w:rPr>
          <w:rFonts w:ascii="Calibri" w:hAnsi="Calibri" w:eastAsia="Calibri" w:cs="Calibri"/>
          <w:noProof w:val="0"/>
          <w:sz w:val="24"/>
          <w:szCs w:val="24"/>
          <w:lang w:val="en-GB"/>
        </w:rPr>
        <w:t>| CIPD. [online] Available at: https://www.cipd.co.uk/knowledge/strategy/hr/strategic-hrm-factsheet#6744 [Accessed 18 Sep. 2019].</w:t>
      </w:r>
    </w:p>
    <w:p w:rsidR="2053A4AC" w:rsidP="2053A4AC" w:rsidRDefault="2053A4AC" w14:paraId="541F0BD1" w14:textId="503925D9">
      <w:pPr>
        <w:pStyle w:val="ListParagraph"/>
        <w:numPr>
          <w:ilvl w:val="0"/>
          <w:numId w:val="2"/>
        </w:numPr>
        <w:rPr>
          <w:b w:val="0"/>
          <w:bCs w:val="0"/>
          <w:i w:val="0"/>
          <w:iCs w:val="0"/>
          <w:noProof w:val="0"/>
          <w:color w:val="000000" w:themeColor="text1" w:themeTint="FF" w:themeShade="FF"/>
          <w:sz w:val="24"/>
          <w:szCs w:val="24"/>
          <w:lang w:val="en-GB"/>
        </w:rPr>
      </w:pPr>
      <w:r w:rsidRPr="2053A4AC" w:rsidR="2053A4AC">
        <w:rPr>
          <w:b w:val="0"/>
          <w:bCs w:val="0"/>
          <w:i w:val="0"/>
          <w:iCs w:val="0"/>
          <w:noProof w:val="0"/>
          <w:color w:val="000000" w:themeColor="text1" w:themeTint="FF" w:themeShade="FF"/>
          <w:sz w:val="24"/>
          <w:szCs w:val="24"/>
          <w:lang w:val="en-GB"/>
        </w:rPr>
        <w:t xml:space="preserve">CIPD (2019). </w:t>
      </w:r>
      <w:r w:rsidRPr="2053A4AC" w:rsidR="2053A4AC">
        <w:rPr>
          <w:b w:val="0"/>
          <w:bCs w:val="0"/>
          <w:i w:val="1"/>
          <w:iCs w:val="1"/>
          <w:noProof w:val="0"/>
          <w:color w:val="000000" w:themeColor="text1" w:themeTint="FF" w:themeShade="FF"/>
          <w:sz w:val="24"/>
          <w:szCs w:val="24"/>
          <w:lang w:val="en-GB"/>
        </w:rPr>
        <w:t>UK Working Lives</w:t>
      </w:r>
      <w:r w:rsidRPr="2053A4AC" w:rsidR="2053A4AC">
        <w:rPr>
          <w:b w:val="0"/>
          <w:bCs w:val="0"/>
          <w:i w:val="0"/>
          <w:iCs w:val="0"/>
          <w:noProof w:val="0"/>
          <w:color w:val="000000" w:themeColor="text1" w:themeTint="FF" w:themeShade="FF"/>
          <w:sz w:val="24"/>
          <w:szCs w:val="24"/>
          <w:lang w:val="en-GB"/>
        </w:rPr>
        <w:t>. [online] Available at: https://www.cipd.co.uk/Images/uk-working-lives-2019-v1_tcm18-58585.pdf [Accessed 23 Sep. 2019].</w:t>
      </w:r>
    </w:p>
    <w:p w:rsidR="2BDEC811" w:rsidP="2BDEC811" w:rsidRDefault="2BDEC811" w14:paraId="56C1C115" w14:textId="16621A9C">
      <w:pPr>
        <w:pStyle w:val="ListParagraph"/>
        <w:numPr>
          <w:ilvl w:val="0"/>
          <w:numId w:val="2"/>
        </w:numPr>
        <w:rPr>
          <w:b w:val="0"/>
          <w:bCs w:val="0"/>
          <w:i w:val="0"/>
          <w:iCs w:val="0"/>
          <w:noProof w:val="0"/>
          <w:color w:val="000000" w:themeColor="text1" w:themeTint="FF" w:themeShade="FF"/>
          <w:sz w:val="24"/>
          <w:szCs w:val="24"/>
          <w:lang w:val="en-GB"/>
        </w:rPr>
      </w:pPr>
      <w:r w:rsidRPr="2BDEC811" w:rsidR="2BDEC811">
        <w:rPr>
          <w:b w:val="0"/>
          <w:bCs w:val="0"/>
          <w:i w:val="0"/>
          <w:iCs w:val="0"/>
          <w:noProof w:val="0"/>
          <w:color w:val="000000" w:themeColor="text1" w:themeTint="FF" w:themeShade="FF"/>
          <w:sz w:val="24"/>
          <w:szCs w:val="24"/>
          <w:lang w:val="en-GB"/>
        </w:rPr>
        <w:t>Corless, P. (2017)</w:t>
      </w:r>
      <w:r w:rsidRPr="2BDEC811" w:rsidR="2BDEC811">
        <w:rPr>
          <w:b w:val="0"/>
          <w:bCs w:val="0"/>
          <w:i w:val="1"/>
          <w:iCs w:val="1"/>
          <w:noProof w:val="0"/>
          <w:color w:val="000000" w:themeColor="text1" w:themeTint="FF" w:themeShade="FF"/>
          <w:sz w:val="24"/>
          <w:szCs w:val="24"/>
          <w:lang w:val="en-GB"/>
        </w:rPr>
        <w:t>. Why Employee Engagement Requires a Systematic Approach.</w:t>
      </w:r>
      <w:r w:rsidRPr="2BDEC811" w:rsidR="2BDEC811">
        <w:rPr>
          <w:b w:val="0"/>
          <w:bCs w:val="0"/>
          <w:i w:val="0"/>
          <w:iCs w:val="0"/>
          <w:noProof w:val="0"/>
          <w:color w:val="000000" w:themeColor="text1" w:themeTint="FF" w:themeShade="FF"/>
          <w:sz w:val="24"/>
          <w:szCs w:val="24"/>
          <w:lang w:val="en-GB"/>
        </w:rPr>
        <w:t xml:space="preserve"> [online] Onshift.com. Available at: https://www.onshift.com/blog/why-employee-engagement-requires-a-systematic-approach [Accessed 18 Sep. 2019].</w:t>
      </w:r>
    </w:p>
    <w:p w:rsidR="2BDEC811" w:rsidP="2BDEC811" w:rsidRDefault="2BDEC811" w14:paraId="5B8ECF37" w14:textId="2F4D894B">
      <w:pPr>
        <w:pStyle w:val="ListParagraph"/>
        <w:numPr>
          <w:ilvl w:val="0"/>
          <w:numId w:val="2"/>
        </w:numPr>
        <w:rPr>
          <w:b w:val="0"/>
          <w:bCs w:val="0"/>
          <w:i w:val="0"/>
          <w:iCs w:val="0"/>
          <w:noProof w:val="0"/>
          <w:color w:val="000000" w:themeColor="text1" w:themeTint="FF" w:themeShade="FF"/>
          <w:sz w:val="24"/>
          <w:szCs w:val="24"/>
          <w:lang w:val="en-GB"/>
        </w:rPr>
      </w:pPr>
      <w:r w:rsidRPr="2BDEC811" w:rsidR="2BDEC811">
        <w:rPr>
          <w:b w:val="0"/>
          <w:bCs w:val="0"/>
          <w:i w:val="0"/>
          <w:iCs w:val="0"/>
          <w:noProof w:val="0"/>
          <w:color w:val="000000" w:themeColor="text1" w:themeTint="FF" w:themeShade="FF"/>
          <w:sz w:val="24"/>
          <w:szCs w:val="24"/>
          <w:lang w:val="en-GB"/>
        </w:rPr>
        <w:t>Deloitte United States. (n.d.).</w:t>
      </w:r>
      <w:r w:rsidRPr="2BDEC811" w:rsidR="2BDEC811">
        <w:rPr>
          <w:b w:val="0"/>
          <w:bCs w:val="0"/>
          <w:i w:val="1"/>
          <w:iCs w:val="1"/>
          <w:noProof w:val="0"/>
          <w:color w:val="000000" w:themeColor="text1" w:themeTint="FF" w:themeShade="FF"/>
          <w:sz w:val="24"/>
          <w:szCs w:val="24"/>
          <w:lang w:val="en-GB"/>
        </w:rPr>
        <w:t xml:space="preserve"> Navigating to Employee Relationship Transformation.</w:t>
      </w:r>
      <w:r w:rsidRPr="2BDEC811" w:rsidR="2BDEC811">
        <w:rPr>
          <w:b w:val="0"/>
          <w:bCs w:val="0"/>
          <w:i w:val="0"/>
          <w:iCs w:val="0"/>
          <w:noProof w:val="0"/>
          <w:color w:val="000000" w:themeColor="text1" w:themeTint="FF" w:themeShade="FF"/>
          <w:sz w:val="24"/>
          <w:szCs w:val="24"/>
          <w:lang w:val="en-GB"/>
        </w:rPr>
        <w:t xml:space="preserve"> [online] Available at: https://www2.deloitte.com/us/en/pages/human-capital/articles/navigating-the-employee-relationship-transformation.html?id=us:2em:3na:consedge:awa:cons:053019:hc&amp;ctr=cta&amp;sfid=0031O00002zz1SAQAY&amp;elqcst=272&amp;elqcsid=14975 [Accessed 22 Sep. 2019].</w:t>
      </w:r>
    </w:p>
    <w:p w:rsidR="2BDEC811" w:rsidP="2BDEC811" w:rsidRDefault="2BDEC811" w14:paraId="13BBD205" w14:textId="158D05D4">
      <w:pPr>
        <w:pStyle w:val="ListParagraph"/>
        <w:numPr>
          <w:ilvl w:val="0"/>
          <w:numId w:val="2"/>
        </w:numPr>
        <w:rPr>
          <w:b w:val="0"/>
          <w:bCs w:val="0"/>
          <w:i w:val="0"/>
          <w:iCs w:val="0"/>
          <w:noProof w:val="0"/>
          <w:color w:val="000000" w:themeColor="text1" w:themeTint="FF" w:themeShade="FF"/>
          <w:sz w:val="24"/>
          <w:szCs w:val="24"/>
          <w:lang w:val="en-GB"/>
        </w:rPr>
      </w:pPr>
      <w:r w:rsidRPr="2BDEC811" w:rsidR="2BDEC811">
        <w:rPr>
          <w:b w:val="0"/>
          <w:bCs w:val="0"/>
          <w:i w:val="0"/>
          <w:iCs w:val="0"/>
          <w:noProof w:val="0"/>
          <w:color w:val="000000" w:themeColor="text1" w:themeTint="FF" w:themeShade="FF"/>
          <w:sz w:val="24"/>
          <w:szCs w:val="24"/>
          <w:lang w:val="en-GB"/>
        </w:rPr>
        <w:t>Employment-studies.co.uk. (2009). [online] Available at: https://www.employment-studies.co.uk/system/files/resources/files/469.pdf [Accessed 22 Sep. 2019].</w:t>
      </w:r>
    </w:p>
    <w:p w:rsidR="2BDEC811" w:rsidP="2BDEC811" w:rsidRDefault="2BDEC811" w14:paraId="58BEA7E5" w14:textId="4947D2E5">
      <w:pPr>
        <w:pStyle w:val="ListParagraph"/>
        <w:numPr>
          <w:ilvl w:val="0"/>
          <w:numId w:val="2"/>
        </w:numPr>
        <w:rPr>
          <w:b w:val="0"/>
          <w:bCs w:val="0"/>
          <w:i w:val="0"/>
          <w:iCs w:val="0"/>
          <w:noProof w:val="0"/>
          <w:color w:val="000000" w:themeColor="text1" w:themeTint="FF" w:themeShade="FF"/>
          <w:sz w:val="24"/>
          <w:szCs w:val="24"/>
          <w:lang w:val="en-GB"/>
        </w:rPr>
      </w:pPr>
      <w:r w:rsidRPr="2BDEC811" w:rsidR="2BDEC811">
        <w:rPr>
          <w:rFonts w:ascii="Calibri" w:hAnsi="Calibri" w:eastAsia="Calibri" w:cs="Calibri"/>
          <w:b w:val="0"/>
          <w:bCs w:val="0"/>
          <w:i w:val="0"/>
          <w:iCs w:val="0"/>
          <w:noProof w:val="0"/>
          <w:color w:val="000000" w:themeColor="text1" w:themeTint="FF" w:themeShade="FF"/>
          <w:sz w:val="24"/>
          <w:szCs w:val="24"/>
          <w:lang w:val="en-GB"/>
        </w:rPr>
        <w:t xml:space="preserve">Engage for Success. (n.d.). </w:t>
      </w:r>
      <w:r w:rsidRPr="2BDEC811" w:rsidR="2BDEC811">
        <w:rPr>
          <w:rFonts w:ascii="Calibri" w:hAnsi="Calibri" w:eastAsia="Calibri" w:cs="Calibri"/>
          <w:b w:val="0"/>
          <w:bCs w:val="0"/>
          <w:i w:val="1"/>
          <w:iCs w:val="1"/>
          <w:noProof w:val="0"/>
          <w:color w:val="000000" w:themeColor="text1" w:themeTint="FF" w:themeShade="FF"/>
          <w:sz w:val="24"/>
          <w:szCs w:val="24"/>
          <w:lang w:val="en-GB"/>
        </w:rPr>
        <w:t xml:space="preserve">What is Employee Engagement - Engage for </w:t>
      </w:r>
      <w:proofErr w:type="gramStart"/>
      <w:r w:rsidRPr="2BDEC811" w:rsidR="2BDEC811">
        <w:rPr>
          <w:rFonts w:ascii="Calibri" w:hAnsi="Calibri" w:eastAsia="Calibri" w:cs="Calibri"/>
          <w:b w:val="0"/>
          <w:bCs w:val="0"/>
          <w:i w:val="1"/>
          <w:iCs w:val="1"/>
          <w:noProof w:val="0"/>
          <w:color w:val="000000" w:themeColor="text1" w:themeTint="FF" w:themeShade="FF"/>
          <w:sz w:val="24"/>
          <w:szCs w:val="24"/>
          <w:lang w:val="en-GB"/>
        </w:rPr>
        <w:t>Success</w:t>
      </w:r>
      <w:r w:rsidRPr="2BDEC811" w:rsidR="2BDEC811">
        <w:rPr>
          <w:rFonts w:ascii="Calibri" w:hAnsi="Calibri" w:eastAsia="Calibri" w:cs="Calibri"/>
          <w:b w:val="0"/>
          <w:bCs w:val="0"/>
          <w:i w:val="0"/>
          <w:iCs w:val="0"/>
          <w:noProof w:val="0"/>
          <w:color w:val="000000" w:themeColor="text1" w:themeTint="FF" w:themeShade="FF"/>
          <w:sz w:val="24"/>
          <w:szCs w:val="24"/>
          <w:lang w:val="en-GB"/>
        </w:rPr>
        <w:t>.</w:t>
      </w:r>
      <w:proofErr w:type="gramEnd"/>
      <w:r w:rsidRPr="2BDEC811" w:rsidR="2BDEC811">
        <w:rPr>
          <w:rFonts w:ascii="Calibri" w:hAnsi="Calibri" w:eastAsia="Calibri" w:cs="Calibri"/>
          <w:b w:val="0"/>
          <w:bCs w:val="0"/>
          <w:i w:val="0"/>
          <w:iCs w:val="0"/>
          <w:noProof w:val="0"/>
          <w:color w:val="000000" w:themeColor="text1" w:themeTint="FF" w:themeShade="FF"/>
          <w:sz w:val="24"/>
          <w:szCs w:val="24"/>
          <w:lang w:val="en-GB"/>
        </w:rPr>
        <w:t xml:space="preserve"> [online] Available at: https://engageforsuccess.org/what-is-employee-engagement [Accessed 18 Sep. 2019].</w:t>
      </w:r>
    </w:p>
    <w:p w:rsidR="2BDEC811" w:rsidP="2BDEC811" w:rsidRDefault="2BDEC811" w14:paraId="0C4EB738" w14:textId="52330EA8">
      <w:pPr>
        <w:pStyle w:val="ListParagraph"/>
        <w:numPr>
          <w:ilvl w:val="0"/>
          <w:numId w:val="2"/>
        </w:numPr>
        <w:rPr>
          <w:b w:val="0"/>
          <w:bCs w:val="0"/>
          <w:i w:val="0"/>
          <w:iCs w:val="0"/>
          <w:noProof w:val="0"/>
          <w:color w:val="000000" w:themeColor="text1" w:themeTint="FF" w:themeShade="FF"/>
          <w:sz w:val="24"/>
          <w:szCs w:val="24"/>
          <w:lang w:val="en-GB"/>
        </w:rPr>
      </w:pPr>
      <w:r w:rsidRPr="2BDEC811" w:rsidR="2BDEC811">
        <w:rPr>
          <w:b w:val="0"/>
          <w:bCs w:val="0"/>
          <w:i w:val="0"/>
          <w:iCs w:val="0"/>
          <w:noProof w:val="0"/>
          <w:color w:val="000000" w:themeColor="text1" w:themeTint="FF" w:themeShade="FF"/>
          <w:sz w:val="24"/>
          <w:szCs w:val="24"/>
          <w:lang w:val="en-GB"/>
        </w:rPr>
        <w:t xml:space="preserve">Forbes.com. (2019). </w:t>
      </w:r>
      <w:r w:rsidRPr="2BDEC811" w:rsidR="2BDEC811">
        <w:rPr>
          <w:b w:val="0"/>
          <w:bCs w:val="0"/>
          <w:i w:val="1"/>
          <w:iCs w:val="1"/>
          <w:noProof w:val="0"/>
          <w:color w:val="000000" w:themeColor="text1" w:themeTint="FF" w:themeShade="FF"/>
          <w:sz w:val="24"/>
          <w:szCs w:val="24"/>
          <w:lang w:val="en-GB"/>
        </w:rPr>
        <w:t xml:space="preserve">4 Employee Engagement Trends That Leaders Need </w:t>
      </w:r>
      <w:proofErr w:type="gramStart"/>
      <w:r w:rsidRPr="2BDEC811" w:rsidR="2BDEC811">
        <w:rPr>
          <w:b w:val="0"/>
          <w:bCs w:val="0"/>
          <w:i w:val="1"/>
          <w:iCs w:val="1"/>
          <w:noProof w:val="0"/>
          <w:color w:val="000000" w:themeColor="text1" w:themeTint="FF" w:themeShade="FF"/>
          <w:sz w:val="24"/>
          <w:szCs w:val="24"/>
          <w:lang w:val="en-GB"/>
        </w:rPr>
        <w:t>To</w:t>
      </w:r>
      <w:proofErr w:type="gramEnd"/>
      <w:r w:rsidRPr="2BDEC811" w:rsidR="2BDEC811">
        <w:rPr>
          <w:b w:val="0"/>
          <w:bCs w:val="0"/>
          <w:i w:val="1"/>
          <w:iCs w:val="1"/>
          <w:noProof w:val="0"/>
          <w:color w:val="000000" w:themeColor="text1" w:themeTint="FF" w:themeShade="FF"/>
          <w:sz w:val="24"/>
          <w:szCs w:val="24"/>
          <w:lang w:val="en-GB"/>
        </w:rPr>
        <w:t xml:space="preserve"> Know</w:t>
      </w:r>
      <w:r w:rsidRPr="2BDEC811" w:rsidR="2BDEC811">
        <w:rPr>
          <w:b w:val="0"/>
          <w:bCs w:val="0"/>
          <w:i w:val="0"/>
          <w:iCs w:val="0"/>
          <w:noProof w:val="0"/>
          <w:color w:val="000000" w:themeColor="text1" w:themeTint="FF" w:themeShade="FF"/>
          <w:sz w:val="24"/>
          <w:szCs w:val="24"/>
          <w:lang w:val="en-GB"/>
        </w:rPr>
        <w:t>. [online] Available at: https://www.forbes.com/sites/danabrownlee/2019/08/18/4-employee-engagement-trends-that-leaders-need-to-know/#22a2775833f7 [Accessed 22 Sep. 2019].</w:t>
      </w:r>
    </w:p>
    <w:p w:rsidR="2BDEC811" w:rsidP="2BDEC811" w:rsidRDefault="2BDEC811" w14:paraId="74D197E3" w14:textId="20C5DDAB">
      <w:pPr>
        <w:pStyle w:val="ListParagraph"/>
        <w:numPr>
          <w:ilvl w:val="0"/>
          <w:numId w:val="2"/>
        </w:numPr>
        <w:rPr>
          <w:b w:val="0"/>
          <w:bCs w:val="0"/>
          <w:i w:val="0"/>
          <w:iCs w:val="0"/>
          <w:noProof w:val="0"/>
          <w:color w:val="000000" w:themeColor="text1" w:themeTint="FF" w:themeShade="FF"/>
          <w:sz w:val="24"/>
          <w:szCs w:val="24"/>
          <w:lang w:val="en-GB"/>
        </w:rPr>
      </w:pPr>
      <w:r w:rsidRPr="2BDEC811" w:rsidR="2BDEC811">
        <w:rPr>
          <w:rFonts w:ascii="Calibri" w:hAnsi="Calibri" w:eastAsia="Calibri" w:cs="Calibri"/>
          <w:b w:val="0"/>
          <w:bCs w:val="0"/>
          <w:i w:val="0"/>
          <w:iCs w:val="0"/>
          <w:noProof w:val="0"/>
          <w:color w:val="000000" w:themeColor="text1" w:themeTint="FF" w:themeShade="FF"/>
          <w:sz w:val="24"/>
          <w:szCs w:val="24"/>
          <w:lang w:val="en-GB"/>
        </w:rPr>
        <w:t xml:space="preserve">Gallup, I. (2018). </w:t>
      </w:r>
      <w:r w:rsidRPr="2BDEC811" w:rsidR="2BDEC811">
        <w:rPr>
          <w:rFonts w:ascii="Calibri" w:hAnsi="Calibri" w:eastAsia="Calibri" w:cs="Calibri"/>
          <w:b w:val="0"/>
          <w:bCs w:val="0"/>
          <w:i w:val="1"/>
          <w:iCs w:val="1"/>
          <w:noProof w:val="0"/>
          <w:color w:val="000000" w:themeColor="text1" w:themeTint="FF" w:themeShade="FF"/>
          <w:sz w:val="24"/>
          <w:szCs w:val="24"/>
          <w:lang w:val="en-GB"/>
        </w:rPr>
        <w:t>3 Requirements for a Diverse and Inclusive Culture</w:t>
      </w:r>
      <w:r w:rsidRPr="2BDEC811" w:rsidR="2BDEC811">
        <w:rPr>
          <w:rFonts w:ascii="Calibri" w:hAnsi="Calibri" w:eastAsia="Calibri" w:cs="Calibri"/>
          <w:b w:val="0"/>
          <w:bCs w:val="0"/>
          <w:i w:val="0"/>
          <w:iCs w:val="0"/>
          <w:noProof w:val="0"/>
          <w:color w:val="000000" w:themeColor="text1" w:themeTint="FF" w:themeShade="FF"/>
          <w:sz w:val="24"/>
          <w:szCs w:val="24"/>
          <w:lang w:val="en-GB"/>
        </w:rPr>
        <w:t>. [online] Gallup.com. Available at: https://www.gallup.com/workplace/242138/requirements-diverse-inclusive-culture.aspx [Accessed 20 Sep. 2019].</w:t>
      </w:r>
    </w:p>
    <w:p w:rsidR="2BDEC811" w:rsidP="2BDEC811" w:rsidRDefault="2BDEC811" w14:paraId="32EBB6B4" w14:textId="34047CF0">
      <w:pPr>
        <w:pStyle w:val="ListParagraph"/>
        <w:numPr>
          <w:ilvl w:val="0"/>
          <w:numId w:val="2"/>
        </w:numPr>
        <w:rPr>
          <w:b w:val="0"/>
          <w:bCs w:val="0"/>
          <w:i w:val="0"/>
          <w:iCs w:val="0"/>
          <w:noProof w:val="0"/>
          <w:color w:val="000000" w:themeColor="text1" w:themeTint="FF" w:themeShade="FF"/>
          <w:sz w:val="24"/>
          <w:szCs w:val="24"/>
          <w:lang w:val="en-GB"/>
        </w:rPr>
      </w:pPr>
      <w:proofErr w:type="spellStart"/>
      <w:r w:rsidRPr="2BDEC811" w:rsidR="2BDEC811">
        <w:rPr>
          <w:b w:val="0"/>
          <w:bCs w:val="0"/>
          <w:i w:val="0"/>
          <w:iCs w:val="0"/>
          <w:noProof w:val="0"/>
          <w:color w:val="000000" w:themeColor="text1" w:themeTint="FF" w:themeShade="FF"/>
          <w:sz w:val="24"/>
          <w:szCs w:val="24"/>
          <w:lang w:val="en-GB"/>
        </w:rPr>
        <w:t>Gray</w:t>
      </w:r>
      <w:proofErr w:type="spellEnd"/>
      <w:r w:rsidRPr="2BDEC811" w:rsidR="2BDEC811">
        <w:rPr>
          <w:b w:val="0"/>
          <w:bCs w:val="0"/>
          <w:i w:val="0"/>
          <w:iCs w:val="0"/>
          <w:noProof w:val="0"/>
          <w:color w:val="000000" w:themeColor="text1" w:themeTint="FF" w:themeShade="FF"/>
          <w:sz w:val="24"/>
          <w:szCs w:val="24"/>
          <w:lang w:val="en-GB"/>
        </w:rPr>
        <w:t>, R. (2014). [online] Available at: https://www.hrmagazine.co.uk/article-details/employee-engagement-closely-tied-to-health-and-wellbeing [Accessed 22 Sep. 2019].</w:t>
      </w:r>
    </w:p>
    <w:p w:rsidR="2BDEC811" w:rsidP="2BDEC811" w:rsidRDefault="2BDEC811" w14:paraId="1C52415B" w14:textId="2BC7FD46">
      <w:pPr>
        <w:pStyle w:val="ListParagraph"/>
        <w:numPr>
          <w:ilvl w:val="0"/>
          <w:numId w:val="2"/>
        </w:numPr>
        <w:rPr>
          <w:b w:val="0"/>
          <w:bCs w:val="0"/>
          <w:i w:val="0"/>
          <w:iCs w:val="0"/>
          <w:noProof w:val="0"/>
          <w:color w:val="000000" w:themeColor="text1" w:themeTint="FF" w:themeShade="FF"/>
          <w:sz w:val="24"/>
          <w:szCs w:val="24"/>
          <w:lang w:val="en-GB"/>
        </w:rPr>
      </w:pPr>
      <w:r w:rsidRPr="2BDEC811" w:rsidR="2BDEC811">
        <w:rPr>
          <w:rFonts w:ascii="Calibri" w:hAnsi="Calibri" w:eastAsia="Calibri" w:cs="Calibri"/>
          <w:b w:val="0"/>
          <w:bCs w:val="0"/>
          <w:i w:val="0"/>
          <w:iCs w:val="0"/>
          <w:noProof w:val="0"/>
          <w:color w:val="000000" w:themeColor="text1" w:themeTint="FF" w:themeShade="FF"/>
          <w:sz w:val="24"/>
          <w:szCs w:val="24"/>
          <w:lang w:val="en-GB"/>
        </w:rPr>
        <w:t xml:space="preserve">HARTER, J. K. SCHMIDT, F. L and HAYES, T. L (2002). </w:t>
      </w:r>
      <w:r w:rsidRPr="2BDEC811" w:rsidR="2BDEC811">
        <w:rPr>
          <w:rFonts w:ascii="Calibri" w:hAnsi="Calibri" w:eastAsia="Calibri" w:cs="Calibri"/>
          <w:b w:val="0"/>
          <w:bCs w:val="0"/>
          <w:i w:val="1"/>
          <w:iCs w:val="1"/>
          <w:noProof w:val="0"/>
          <w:color w:val="000000" w:themeColor="text1" w:themeTint="FF" w:themeShade="FF"/>
          <w:sz w:val="24"/>
          <w:szCs w:val="24"/>
          <w:lang w:val="en-GB"/>
        </w:rPr>
        <w:t xml:space="preserve">Business – </w:t>
      </w:r>
      <w:r w:rsidRPr="2BDEC811" w:rsidR="2BDEC811">
        <w:rPr>
          <w:rFonts w:ascii="Calibri" w:hAnsi="Calibri" w:eastAsia="Calibri" w:cs="Calibri"/>
          <w:b w:val="0"/>
          <w:bCs w:val="0"/>
          <w:i w:val="1"/>
          <w:iCs w:val="1"/>
          <w:noProof w:val="0"/>
          <w:color w:val="000000" w:themeColor="text1" w:themeTint="FF" w:themeShade="FF"/>
          <w:sz w:val="24"/>
          <w:szCs w:val="24"/>
          <w:lang w:val="en-GB"/>
        </w:rPr>
        <w:t>unit</w:t>
      </w:r>
      <w:r w:rsidRPr="2BDEC811" w:rsidR="2BDEC811">
        <w:rPr>
          <w:rFonts w:ascii="Calibri" w:hAnsi="Calibri" w:eastAsia="Calibri" w:cs="Calibri"/>
          <w:b w:val="0"/>
          <w:bCs w:val="0"/>
          <w:i w:val="1"/>
          <w:iCs w:val="1"/>
          <w:noProof w:val="0"/>
          <w:color w:val="000000" w:themeColor="text1" w:themeTint="FF" w:themeShade="FF"/>
          <w:sz w:val="24"/>
          <w:szCs w:val="24"/>
          <w:lang w:val="en-GB"/>
        </w:rPr>
        <w:t xml:space="preserve"> level relationship between employee satisfaction, employee engagement and business outcomes: a meta-analysis. </w:t>
      </w:r>
      <w:r w:rsidRPr="2BDEC811" w:rsidR="2BDEC811">
        <w:rPr>
          <w:rFonts w:ascii="Calibri" w:hAnsi="Calibri" w:eastAsia="Calibri" w:cs="Calibri"/>
          <w:b w:val="0"/>
          <w:bCs w:val="0"/>
          <w:i w:val="0"/>
          <w:iCs w:val="0"/>
          <w:noProof w:val="0"/>
          <w:color w:val="000000" w:themeColor="text1" w:themeTint="FF" w:themeShade="FF"/>
          <w:sz w:val="24"/>
          <w:szCs w:val="24"/>
          <w:lang w:val="en-GB"/>
        </w:rPr>
        <w:t>Journal of applied psychology. Vol 87. Pp268-79</w:t>
      </w:r>
    </w:p>
    <w:p w:rsidR="2BDEC811" w:rsidP="2BDEC811" w:rsidRDefault="2BDEC811" w14:paraId="3FB085C6" w14:textId="096445E8">
      <w:pPr>
        <w:pStyle w:val="ListParagraph"/>
        <w:numPr>
          <w:ilvl w:val="0"/>
          <w:numId w:val="2"/>
        </w:numPr>
        <w:rPr>
          <w:b w:val="0"/>
          <w:bCs w:val="0"/>
          <w:i w:val="0"/>
          <w:iCs w:val="0"/>
          <w:noProof w:val="0"/>
          <w:color w:val="000000" w:themeColor="text1" w:themeTint="FF" w:themeShade="FF"/>
          <w:sz w:val="24"/>
          <w:szCs w:val="24"/>
          <w:lang w:val="en-GB"/>
        </w:rPr>
      </w:pPr>
      <w:r w:rsidRPr="2BDEC811" w:rsidR="2BDEC811">
        <w:rPr>
          <w:rFonts w:ascii="Calibri" w:hAnsi="Calibri" w:eastAsia="Calibri" w:cs="Calibri"/>
          <w:noProof w:val="0"/>
          <w:sz w:val="24"/>
          <w:szCs w:val="24"/>
          <w:lang w:val="en-GB"/>
        </w:rPr>
        <w:t xml:space="preserve">HR </w:t>
      </w:r>
      <w:r w:rsidRPr="2BDEC811" w:rsidR="2BDEC811">
        <w:rPr>
          <w:rFonts w:ascii="Calibri" w:hAnsi="Calibri" w:eastAsia="Calibri" w:cs="Calibri"/>
          <w:noProof w:val="0"/>
          <w:sz w:val="24"/>
          <w:szCs w:val="24"/>
          <w:lang w:val="en-GB"/>
        </w:rPr>
        <w:t>bartender. (2017).</w:t>
      </w:r>
      <w:r w:rsidRPr="2BDEC811" w:rsidR="2BDEC811">
        <w:rPr>
          <w:rFonts w:ascii="Calibri" w:hAnsi="Calibri" w:eastAsia="Calibri" w:cs="Calibri"/>
          <w:i w:val="1"/>
          <w:iCs w:val="1"/>
          <w:noProof w:val="0"/>
          <w:sz w:val="24"/>
          <w:szCs w:val="24"/>
          <w:lang w:val="en-GB"/>
        </w:rPr>
        <w:t xml:space="preserve"> Employee Engagement: Use a System Approach - #HR Bartender</w:t>
      </w:r>
      <w:r w:rsidRPr="2BDEC811" w:rsidR="2BDEC811">
        <w:rPr>
          <w:rFonts w:ascii="Calibri" w:hAnsi="Calibri" w:eastAsia="Calibri" w:cs="Calibri"/>
          <w:noProof w:val="0"/>
          <w:sz w:val="24"/>
          <w:szCs w:val="24"/>
          <w:lang w:val="en-GB"/>
        </w:rPr>
        <w:t>. [online] Available at: https://www.hrbartender.com/2017/employee-engagement/employee-engagement-use-systemic-approach/ [Accessed 18 Sep. 2019].</w:t>
      </w:r>
    </w:p>
    <w:p w:rsidR="2BDEC811" w:rsidP="2BDEC811" w:rsidRDefault="2BDEC811" w14:paraId="10335336" w14:textId="6EA64D68">
      <w:pPr>
        <w:pStyle w:val="ListParagraph"/>
        <w:numPr>
          <w:ilvl w:val="0"/>
          <w:numId w:val="2"/>
        </w:numPr>
        <w:rPr>
          <w:b w:val="0"/>
          <w:bCs w:val="0"/>
          <w:i w:val="0"/>
          <w:iCs w:val="0"/>
          <w:noProof w:val="0"/>
          <w:color w:val="000000" w:themeColor="text1" w:themeTint="FF" w:themeShade="FF"/>
          <w:sz w:val="24"/>
          <w:szCs w:val="24"/>
          <w:lang w:val="en-GB"/>
        </w:rPr>
      </w:pPr>
      <w:r w:rsidRPr="2BDEC811" w:rsidR="2BDEC811">
        <w:rPr>
          <w:rFonts w:ascii="Calibri" w:hAnsi="Calibri" w:eastAsia="Calibri" w:cs="Calibri"/>
          <w:noProof w:val="0"/>
          <w:sz w:val="24"/>
          <w:szCs w:val="24"/>
          <w:lang w:val="en-GB"/>
        </w:rPr>
        <w:t>KHAN, W, A. (1990)</w:t>
      </w:r>
      <w:r w:rsidRPr="2BDEC811" w:rsidR="2BDEC811">
        <w:rPr>
          <w:rFonts w:ascii="Calibri" w:hAnsi="Calibri" w:eastAsia="Calibri" w:cs="Calibri"/>
          <w:i w:val="1"/>
          <w:iCs w:val="1"/>
          <w:noProof w:val="0"/>
          <w:sz w:val="24"/>
          <w:szCs w:val="24"/>
          <w:lang w:val="en-GB"/>
        </w:rPr>
        <w:t xml:space="preserve"> The psychological conditions of personal </w:t>
      </w:r>
      <w:r w:rsidRPr="2BDEC811" w:rsidR="2BDEC811">
        <w:rPr>
          <w:rFonts w:ascii="Calibri" w:hAnsi="Calibri" w:eastAsia="Calibri" w:cs="Calibri"/>
          <w:i w:val="1"/>
          <w:iCs w:val="1"/>
          <w:noProof w:val="0"/>
          <w:sz w:val="24"/>
          <w:szCs w:val="24"/>
          <w:lang w:val="en-GB"/>
        </w:rPr>
        <w:t>engagement</w:t>
      </w:r>
      <w:r w:rsidRPr="2BDEC811" w:rsidR="2BDEC811">
        <w:rPr>
          <w:rFonts w:ascii="Calibri" w:hAnsi="Calibri" w:eastAsia="Calibri" w:cs="Calibri"/>
          <w:i w:val="1"/>
          <w:iCs w:val="1"/>
          <w:noProof w:val="0"/>
          <w:sz w:val="24"/>
          <w:szCs w:val="24"/>
          <w:lang w:val="en-GB"/>
        </w:rPr>
        <w:t xml:space="preserve"> and disengagement at work.</w:t>
      </w:r>
      <w:r w:rsidRPr="2BDEC811" w:rsidR="2BDEC811">
        <w:rPr>
          <w:rFonts w:ascii="Calibri" w:hAnsi="Calibri" w:eastAsia="Calibri" w:cs="Calibri"/>
          <w:noProof w:val="0"/>
          <w:sz w:val="24"/>
          <w:szCs w:val="24"/>
          <w:lang w:val="en-GB"/>
        </w:rPr>
        <w:t xml:space="preserve"> Academy of Management journal. Vol 33 PP692-724</w:t>
      </w:r>
    </w:p>
    <w:p w:rsidR="2BDEC811" w:rsidP="2BDEC811" w:rsidRDefault="2BDEC811" w14:paraId="7FFB884C" w14:textId="0F0E9391">
      <w:pPr>
        <w:pStyle w:val="ListParagraph"/>
        <w:numPr>
          <w:ilvl w:val="0"/>
          <w:numId w:val="2"/>
        </w:numPr>
        <w:rPr>
          <w:b w:val="0"/>
          <w:bCs w:val="0"/>
          <w:i w:val="0"/>
          <w:iCs w:val="0"/>
          <w:noProof w:val="0"/>
          <w:color w:val="000000" w:themeColor="text1" w:themeTint="FF" w:themeShade="FF"/>
          <w:sz w:val="24"/>
          <w:szCs w:val="24"/>
          <w:lang w:val="en-GB"/>
        </w:rPr>
      </w:pPr>
      <w:r w:rsidRPr="2BDEC811" w:rsidR="2BDEC811">
        <w:rPr>
          <w:rFonts w:ascii="Calibri" w:hAnsi="Calibri" w:eastAsia="Calibri" w:cs="Calibri"/>
          <w:noProof w:val="0"/>
          <w:sz w:val="24"/>
          <w:szCs w:val="24"/>
          <w:lang w:val="en-GB"/>
        </w:rPr>
        <w:t xml:space="preserve">MACLEOD, D and CLARKE, N. (2009) </w:t>
      </w:r>
      <w:r w:rsidRPr="2BDEC811" w:rsidR="2BDEC811">
        <w:rPr>
          <w:rFonts w:ascii="Calibri" w:hAnsi="Calibri" w:eastAsia="Calibri" w:cs="Calibri"/>
          <w:i w:val="1"/>
          <w:iCs w:val="1"/>
          <w:noProof w:val="0"/>
          <w:sz w:val="24"/>
          <w:szCs w:val="24"/>
          <w:lang w:val="en-GB"/>
        </w:rPr>
        <w:t xml:space="preserve">Engaging for success: enhancing performance through employee engagement. </w:t>
      </w:r>
      <w:r w:rsidRPr="2BDEC811" w:rsidR="2BDEC811">
        <w:rPr>
          <w:rFonts w:ascii="Calibri" w:hAnsi="Calibri" w:eastAsia="Calibri" w:cs="Calibri"/>
          <w:noProof w:val="0"/>
          <w:sz w:val="24"/>
          <w:szCs w:val="24"/>
          <w:lang w:val="en-GB"/>
        </w:rPr>
        <w:t xml:space="preserve"> Report to government. London: Department for business innovation and skills.</w:t>
      </w:r>
    </w:p>
    <w:p w:rsidR="2BDEC811" w:rsidP="2BDEC811" w:rsidRDefault="2BDEC811" w14:paraId="1EF57B73" w14:textId="4A88F55D">
      <w:pPr>
        <w:pStyle w:val="ListParagraph"/>
        <w:numPr>
          <w:ilvl w:val="0"/>
          <w:numId w:val="2"/>
        </w:numPr>
        <w:rPr>
          <w:noProof w:val="0"/>
          <w:sz w:val="24"/>
          <w:szCs w:val="24"/>
          <w:lang w:val="en-GB"/>
        </w:rPr>
      </w:pPr>
      <w:proofErr w:type="spellStart"/>
      <w:r w:rsidRPr="2BDEC811" w:rsidR="2BDEC811">
        <w:rPr>
          <w:rFonts w:ascii="Calibri" w:hAnsi="Calibri" w:eastAsia="Calibri" w:cs="Calibri"/>
          <w:noProof w:val="0"/>
          <w:sz w:val="24"/>
          <w:szCs w:val="24"/>
          <w:lang w:val="en-GB"/>
        </w:rPr>
        <w:t>Mcleod</w:t>
      </w:r>
      <w:proofErr w:type="spellEnd"/>
      <w:r w:rsidRPr="2BDEC811" w:rsidR="2BDEC811">
        <w:rPr>
          <w:rFonts w:ascii="Calibri" w:hAnsi="Calibri" w:eastAsia="Calibri" w:cs="Calibri"/>
          <w:noProof w:val="0"/>
          <w:sz w:val="24"/>
          <w:szCs w:val="24"/>
          <w:lang w:val="en-GB"/>
        </w:rPr>
        <w:t xml:space="preserve">, S. (2018). </w:t>
      </w:r>
      <w:r w:rsidRPr="2BDEC811" w:rsidR="2BDEC811">
        <w:rPr>
          <w:rFonts w:ascii="Calibri" w:hAnsi="Calibri" w:eastAsia="Calibri" w:cs="Calibri"/>
          <w:i w:val="1"/>
          <w:iCs w:val="1"/>
          <w:noProof w:val="0"/>
          <w:sz w:val="24"/>
          <w:szCs w:val="24"/>
          <w:lang w:val="en-GB"/>
        </w:rPr>
        <w:t xml:space="preserve">Maslow's Hierarchy of Needs. </w:t>
      </w:r>
      <w:r w:rsidRPr="2BDEC811" w:rsidR="2BDEC811">
        <w:rPr>
          <w:rFonts w:ascii="Calibri" w:hAnsi="Calibri" w:eastAsia="Calibri" w:cs="Calibri"/>
          <w:noProof w:val="0"/>
          <w:sz w:val="24"/>
          <w:szCs w:val="24"/>
          <w:lang w:val="en-GB"/>
        </w:rPr>
        <w:t>[online] Simply Psychology. Available at: https://www.simplypsychology.org/maslow.html [Accessed 22 Sep. 2019].</w:t>
      </w:r>
    </w:p>
    <w:p w:rsidR="2BDEC811" w:rsidP="2BDEC811" w:rsidRDefault="2BDEC811" w14:paraId="6869D216" w14:textId="535B7538">
      <w:pPr>
        <w:pStyle w:val="ListParagraph"/>
        <w:numPr>
          <w:ilvl w:val="0"/>
          <w:numId w:val="2"/>
        </w:numPr>
        <w:rPr>
          <w:noProof w:val="0"/>
          <w:sz w:val="24"/>
          <w:szCs w:val="24"/>
          <w:lang w:val="en-GB"/>
        </w:rPr>
      </w:pPr>
      <w:r w:rsidRPr="2BDEC811" w:rsidR="2BDEC811">
        <w:rPr>
          <w:rFonts w:ascii="Calibri" w:hAnsi="Calibri" w:eastAsia="Calibri" w:cs="Calibri"/>
          <w:noProof w:val="0"/>
          <w:sz w:val="24"/>
          <w:szCs w:val="24"/>
          <w:lang w:val="en-GB"/>
        </w:rPr>
        <w:t xml:space="preserve">Mindtools.com. (n.d.). </w:t>
      </w:r>
      <w:r w:rsidRPr="2BDEC811" w:rsidR="2BDEC811">
        <w:rPr>
          <w:rFonts w:ascii="Calibri" w:hAnsi="Calibri" w:eastAsia="Calibri" w:cs="Calibri"/>
          <w:i w:val="1"/>
          <w:iCs w:val="1"/>
          <w:noProof w:val="0"/>
          <w:sz w:val="24"/>
          <w:szCs w:val="24"/>
          <w:lang w:val="en-GB"/>
        </w:rPr>
        <w:t>Herzberg's Motivators and Hygiene Factors: Learn how to Motivate Your Team</w:t>
      </w:r>
      <w:r w:rsidRPr="2BDEC811" w:rsidR="2BDEC811">
        <w:rPr>
          <w:rFonts w:ascii="Calibri" w:hAnsi="Calibri" w:eastAsia="Calibri" w:cs="Calibri"/>
          <w:noProof w:val="0"/>
          <w:sz w:val="24"/>
          <w:szCs w:val="24"/>
          <w:lang w:val="en-GB"/>
        </w:rPr>
        <w:t>. [online] Available at: https://www.mindtools.com/pages/article/herzberg-motivators-hygiene-factors.htm [Accessed 19 Sep. 2019].</w:t>
      </w:r>
    </w:p>
    <w:p w:rsidR="2BDEC811" w:rsidP="2BDEC811" w:rsidRDefault="2BDEC811" w14:paraId="6F8CDEC6" w14:textId="493318C4">
      <w:pPr>
        <w:pStyle w:val="ListParagraph"/>
        <w:numPr>
          <w:ilvl w:val="0"/>
          <w:numId w:val="2"/>
        </w:numPr>
        <w:rPr>
          <w:noProof w:val="0"/>
          <w:sz w:val="24"/>
          <w:szCs w:val="24"/>
          <w:lang w:val="en-GB"/>
        </w:rPr>
      </w:pPr>
      <w:proofErr w:type="spellStart"/>
      <w:r w:rsidRPr="2BDEC811" w:rsidR="2BDEC811">
        <w:rPr>
          <w:rFonts w:ascii="Calibri" w:hAnsi="Calibri" w:eastAsia="Calibri" w:cs="Calibri"/>
          <w:noProof w:val="0"/>
          <w:sz w:val="24"/>
          <w:szCs w:val="24"/>
          <w:lang w:val="en-GB"/>
        </w:rPr>
        <w:t>Officevibe</w:t>
      </w:r>
      <w:proofErr w:type="spellEnd"/>
      <w:r w:rsidRPr="2BDEC811" w:rsidR="2BDEC811">
        <w:rPr>
          <w:rFonts w:ascii="Calibri" w:hAnsi="Calibri" w:eastAsia="Calibri" w:cs="Calibri"/>
          <w:noProof w:val="0"/>
          <w:sz w:val="24"/>
          <w:szCs w:val="24"/>
          <w:lang w:val="en-GB"/>
        </w:rPr>
        <w:t>. (2017). 6</w:t>
      </w:r>
      <w:r w:rsidRPr="2BDEC811" w:rsidR="2BDEC811">
        <w:rPr>
          <w:rFonts w:ascii="Calibri" w:hAnsi="Calibri" w:eastAsia="Calibri" w:cs="Calibri"/>
          <w:i w:val="1"/>
          <w:iCs w:val="1"/>
          <w:noProof w:val="0"/>
          <w:sz w:val="24"/>
          <w:szCs w:val="24"/>
          <w:lang w:val="en-GB"/>
        </w:rPr>
        <w:t xml:space="preserve"> Amazing Benefits </w:t>
      </w:r>
      <w:proofErr w:type="gramStart"/>
      <w:r w:rsidRPr="2BDEC811" w:rsidR="2BDEC811">
        <w:rPr>
          <w:rFonts w:ascii="Calibri" w:hAnsi="Calibri" w:eastAsia="Calibri" w:cs="Calibri"/>
          <w:i w:val="1"/>
          <w:iCs w:val="1"/>
          <w:noProof w:val="0"/>
          <w:sz w:val="24"/>
          <w:szCs w:val="24"/>
          <w:lang w:val="en-GB"/>
        </w:rPr>
        <w:t>Of</w:t>
      </w:r>
      <w:proofErr w:type="gramEnd"/>
      <w:r w:rsidRPr="2BDEC811" w:rsidR="2BDEC811">
        <w:rPr>
          <w:rFonts w:ascii="Calibri" w:hAnsi="Calibri" w:eastAsia="Calibri" w:cs="Calibri"/>
          <w:i w:val="1"/>
          <w:iCs w:val="1"/>
          <w:noProof w:val="0"/>
          <w:sz w:val="24"/>
          <w:szCs w:val="24"/>
          <w:lang w:val="en-GB"/>
        </w:rPr>
        <w:t xml:space="preserve"> Employee Engagement</w:t>
      </w:r>
      <w:r w:rsidRPr="2BDEC811" w:rsidR="2BDEC811">
        <w:rPr>
          <w:rFonts w:ascii="Calibri" w:hAnsi="Calibri" w:eastAsia="Calibri" w:cs="Calibri"/>
          <w:noProof w:val="0"/>
          <w:sz w:val="24"/>
          <w:szCs w:val="24"/>
          <w:lang w:val="en-GB"/>
        </w:rPr>
        <w:t>. [online] Available at: https://www.officevibe.com/blog/employee-engagement-benefits [Accessed 20 Sep. 2019].</w:t>
      </w:r>
    </w:p>
    <w:p w:rsidR="2BDEC811" w:rsidP="05222449" w:rsidRDefault="2BDEC811" w14:paraId="3146D4A0" w14:textId="113176E5">
      <w:pPr>
        <w:pStyle w:val="ListParagraph"/>
        <w:numPr>
          <w:ilvl w:val="0"/>
          <w:numId w:val="2"/>
        </w:numPr>
        <w:rPr>
          <w:b w:val="0"/>
          <w:bCs w:val="0"/>
          <w:i w:val="0"/>
          <w:iCs w:val="0"/>
          <w:noProof w:val="0"/>
          <w:color w:val="000000" w:themeColor="text1" w:themeTint="FF" w:themeShade="FF"/>
          <w:sz w:val="24"/>
          <w:szCs w:val="24"/>
          <w:lang w:val="en-GB"/>
        </w:rPr>
      </w:pPr>
      <w:r w:rsidRPr="05222449" w:rsidR="05222449">
        <w:rPr>
          <w:rFonts w:ascii="Calibri" w:hAnsi="Calibri" w:eastAsia="Calibri" w:cs="Calibri"/>
          <w:noProof w:val="0"/>
          <w:sz w:val="24"/>
          <w:szCs w:val="24"/>
          <w:lang w:val="en-GB"/>
        </w:rPr>
        <w:t>PURCELL, J. (2010) ‘Disengaging from engagement’. Human Resources Management Journal. Vol 24, No 3. pp241-254</w:t>
      </w:r>
    </w:p>
    <w:p w:rsidR="05222449" w:rsidP="05222449" w:rsidRDefault="05222449" w14:paraId="0E87BBD7" w14:textId="2A243C79">
      <w:pPr>
        <w:pStyle w:val="ListParagraph"/>
        <w:numPr>
          <w:ilvl w:val="0"/>
          <w:numId w:val="2"/>
        </w:numPr>
        <w:rPr>
          <w:noProof w:val="0"/>
          <w:sz w:val="24"/>
          <w:szCs w:val="24"/>
          <w:lang w:val="en-GB"/>
        </w:rPr>
      </w:pPr>
      <w:r w:rsidRPr="05222449" w:rsidR="05222449">
        <w:rPr>
          <w:rFonts w:ascii="Calibri" w:hAnsi="Calibri" w:eastAsia="Calibri" w:cs="Calibri"/>
          <w:noProof w:val="0"/>
          <w:sz w:val="24"/>
          <w:szCs w:val="24"/>
          <w:lang w:val="en-GB"/>
        </w:rPr>
        <w:t xml:space="preserve">Researchonline.org.uk. (2019). </w:t>
      </w:r>
      <w:r w:rsidRPr="05222449" w:rsidR="05222449">
        <w:rPr>
          <w:rFonts w:ascii="Calibri" w:hAnsi="Calibri" w:eastAsia="Calibri" w:cs="Calibri"/>
          <w:i w:val="1"/>
          <w:iCs w:val="1"/>
          <w:noProof w:val="0"/>
          <w:sz w:val="24"/>
          <w:szCs w:val="24"/>
          <w:lang w:val="en-GB"/>
        </w:rPr>
        <w:t>MacLeod and Clarke’s concept of employee engagement: an analysis based on the Workplace Employment Relations Study.</w:t>
      </w:r>
      <w:r w:rsidRPr="05222449" w:rsidR="05222449">
        <w:rPr>
          <w:rFonts w:ascii="Calibri" w:hAnsi="Calibri" w:eastAsia="Calibri" w:cs="Calibri"/>
          <w:noProof w:val="0"/>
          <w:sz w:val="24"/>
          <w:szCs w:val="24"/>
          <w:lang w:val="en-GB"/>
        </w:rPr>
        <w:t xml:space="preserve"> [online] Available at: https://www.researchonline.org.uk/sds/search/go.do%3Bjsessionid=56F44BB54B88B151D365F03684D8933E?action=addToReadingList&amp;ref=B38277&amp;docFlag=true [Accessed 30 Sep. 2019].</w:t>
      </w:r>
    </w:p>
    <w:p w:rsidR="2BDEC811" w:rsidP="2BDEC811" w:rsidRDefault="2BDEC811" w14:paraId="619CA73C" w14:textId="0E07805C">
      <w:pPr>
        <w:pStyle w:val="ListParagraph"/>
        <w:numPr>
          <w:ilvl w:val="0"/>
          <w:numId w:val="2"/>
        </w:numPr>
        <w:rPr>
          <w:b w:val="0"/>
          <w:bCs w:val="0"/>
          <w:i w:val="0"/>
          <w:iCs w:val="0"/>
          <w:noProof w:val="0"/>
          <w:color w:val="000000" w:themeColor="text1" w:themeTint="FF" w:themeShade="FF"/>
          <w:sz w:val="24"/>
          <w:szCs w:val="24"/>
          <w:lang w:val="en-GB"/>
        </w:rPr>
      </w:pPr>
      <w:r w:rsidRPr="2BDEC811" w:rsidR="2BDEC811">
        <w:rPr>
          <w:rFonts w:ascii="Calibri" w:hAnsi="Calibri" w:eastAsia="Calibri" w:cs="Calibri"/>
          <w:noProof w:val="0"/>
          <w:sz w:val="24"/>
          <w:szCs w:val="24"/>
          <w:lang w:val="en-GB"/>
        </w:rPr>
        <w:t>ROBINSON, D and HAYDAY, S (2009)</w:t>
      </w:r>
      <w:r w:rsidRPr="2BDEC811" w:rsidR="2BDEC811">
        <w:rPr>
          <w:rFonts w:ascii="Calibri" w:hAnsi="Calibri" w:eastAsia="Calibri" w:cs="Calibri"/>
          <w:i w:val="1"/>
          <w:iCs w:val="1"/>
          <w:noProof w:val="0"/>
          <w:sz w:val="24"/>
          <w:szCs w:val="24"/>
          <w:lang w:val="en-GB"/>
        </w:rPr>
        <w:t xml:space="preserve"> The engaging manage</w:t>
      </w:r>
      <w:r w:rsidRPr="2BDEC811" w:rsidR="2BDEC811">
        <w:rPr>
          <w:rFonts w:ascii="Calibri" w:hAnsi="Calibri" w:eastAsia="Calibri" w:cs="Calibri"/>
          <w:noProof w:val="0"/>
          <w:sz w:val="24"/>
          <w:szCs w:val="24"/>
          <w:lang w:val="en-GB"/>
        </w:rPr>
        <w:t xml:space="preserve">r. Brighton: institute </w:t>
      </w:r>
      <w:proofErr w:type="spellStart"/>
      <w:r w:rsidRPr="2BDEC811" w:rsidR="2BDEC811">
        <w:rPr>
          <w:rFonts w:ascii="Calibri" w:hAnsi="Calibri" w:eastAsia="Calibri" w:cs="Calibri"/>
          <w:noProof w:val="0"/>
          <w:sz w:val="24"/>
          <w:szCs w:val="24"/>
          <w:lang w:val="en-GB"/>
        </w:rPr>
        <w:t>fOR</w:t>
      </w:r>
      <w:proofErr w:type="spellEnd"/>
      <w:r w:rsidRPr="2BDEC811" w:rsidR="2BDEC811">
        <w:rPr>
          <w:rFonts w:ascii="Calibri" w:hAnsi="Calibri" w:eastAsia="Calibri" w:cs="Calibri"/>
          <w:noProof w:val="0"/>
          <w:sz w:val="24"/>
          <w:szCs w:val="24"/>
          <w:lang w:val="en-GB"/>
        </w:rPr>
        <w:t xml:space="preserve"> employment studies </w:t>
      </w:r>
    </w:p>
    <w:p w:rsidR="2BDEC811" w:rsidP="2BDEC811" w:rsidRDefault="2BDEC811" w14:paraId="615C340D" w14:textId="5968FC32">
      <w:pPr>
        <w:pStyle w:val="ListParagraph"/>
        <w:numPr>
          <w:ilvl w:val="0"/>
          <w:numId w:val="2"/>
        </w:numPr>
        <w:rPr>
          <w:b w:val="0"/>
          <w:bCs w:val="0"/>
          <w:i w:val="0"/>
          <w:iCs w:val="0"/>
          <w:noProof w:val="0"/>
          <w:color w:val="000000" w:themeColor="text1" w:themeTint="FF" w:themeShade="FF"/>
          <w:sz w:val="24"/>
          <w:szCs w:val="24"/>
          <w:lang w:val="en-GB"/>
        </w:rPr>
      </w:pPr>
      <w:r w:rsidRPr="2BDEC811" w:rsidR="2BDEC811">
        <w:rPr>
          <w:rFonts w:ascii="Calibri" w:hAnsi="Calibri" w:eastAsia="Calibri" w:cs="Calibri"/>
          <w:noProof w:val="0"/>
          <w:sz w:val="24"/>
          <w:szCs w:val="24"/>
          <w:lang w:val="en-GB"/>
        </w:rPr>
        <w:t xml:space="preserve">Roper, J. (2017). </w:t>
      </w:r>
      <w:r w:rsidRPr="2BDEC811" w:rsidR="2BDEC811">
        <w:rPr>
          <w:rFonts w:ascii="Calibri" w:hAnsi="Calibri" w:eastAsia="Calibri" w:cs="Calibri"/>
          <w:i w:val="1"/>
          <w:iCs w:val="1"/>
          <w:noProof w:val="0"/>
          <w:sz w:val="24"/>
          <w:szCs w:val="24"/>
          <w:lang w:val="en-GB"/>
        </w:rPr>
        <w:t xml:space="preserve">The line manager's role in engagement. </w:t>
      </w:r>
      <w:r w:rsidRPr="2BDEC811" w:rsidR="2BDEC811">
        <w:rPr>
          <w:rFonts w:ascii="Calibri" w:hAnsi="Calibri" w:eastAsia="Calibri" w:cs="Calibri"/>
          <w:noProof w:val="0"/>
          <w:sz w:val="24"/>
          <w:szCs w:val="24"/>
          <w:lang w:val="en-GB"/>
        </w:rPr>
        <w:t>[online] Hrmagazine.co.uk. Available at: http://hrmagazine.co.uk/article-details/the-line-managers-role-in-engagement [Accessed 22 Sep. 2019].</w:t>
      </w:r>
    </w:p>
    <w:p w:rsidR="2BDEC811" w:rsidP="2BDEC811" w:rsidRDefault="2BDEC811" w14:paraId="3BE9D573" w14:textId="4E622411">
      <w:pPr>
        <w:pStyle w:val="ListParagraph"/>
        <w:numPr>
          <w:ilvl w:val="0"/>
          <w:numId w:val="2"/>
        </w:numPr>
        <w:rPr>
          <w:b w:val="0"/>
          <w:bCs w:val="0"/>
          <w:i w:val="0"/>
          <w:iCs w:val="0"/>
          <w:noProof w:val="0"/>
          <w:color w:val="000000" w:themeColor="text1" w:themeTint="FF" w:themeShade="FF"/>
          <w:sz w:val="24"/>
          <w:szCs w:val="24"/>
          <w:lang w:val="en-GB"/>
        </w:rPr>
      </w:pPr>
      <w:r w:rsidRPr="2BDEC811" w:rsidR="2BDEC811">
        <w:rPr>
          <w:b w:val="0"/>
          <w:bCs w:val="0"/>
          <w:i w:val="0"/>
          <w:iCs w:val="0"/>
          <w:noProof w:val="0"/>
          <w:color w:val="000000" w:themeColor="text1" w:themeTint="FF" w:themeShade="FF"/>
          <w:sz w:val="24"/>
          <w:szCs w:val="24"/>
          <w:lang w:val="en-GB"/>
        </w:rPr>
        <w:t xml:space="preserve">Taylor, S. and Woodhams, C. (2016). </w:t>
      </w:r>
      <w:r w:rsidRPr="2BDEC811" w:rsidR="2BDEC811">
        <w:rPr>
          <w:b w:val="0"/>
          <w:bCs w:val="0"/>
          <w:i w:val="1"/>
          <w:iCs w:val="1"/>
          <w:noProof w:val="0"/>
          <w:color w:val="000000" w:themeColor="text1" w:themeTint="FF" w:themeShade="FF"/>
          <w:sz w:val="24"/>
          <w:szCs w:val="24"/>
          <w:lang w:val="en-GB"/>
        </w:rPr>
        <w:t>Human resource management</w:t>
      </w:r>
      <w:r w:rsidRPr="2BDEC811" w:rsidR="2BDEC811">
        <w:rPr>
          <w:b w:val="0"/>
          <w:bCs w:val="0"/>
          <w:i w:val="0"/>
          <w:iCs w:val="0"/>
          <w:noProof w:val="0"/>
          <w:color w:val="000000" w:themeColor="text1" w:themeTint="FF" w:themeShade="FF"/>
          <w:sz w:val="24"/>
          <w:szCs w:val="24"/>
          <w:lang w:val="en-GB"/>
        </w:rPr>
        <w:t>.</w:t>
      </w:r>
    </w:p>
    <w:p w:rsidR="2BDEC811" w:rsidP="2BDEC811" w:rsidRDefault="2BDEC811" w14:paraId="785A6309" w14:textId="22655B6F">
      <w:pPr>
        <w:pStyle w:val="ListParagraph"/>
        <w:numPr>
          <w:ilvl w:val="0"/>
          <w:numId w:val="2"/>
        </w:numPr>
        <w:rPr>
          <w:b w:val="0"/>
          <w:bCs w:val="0"/>
          <w:i w:val="0"/>
          <w:iCs w:val="0"/>
          <w:noProof w:val="0"/>
          <w:color w:val="000000" w:themeColor="text1" w:themeTint="FF" w:themeShade="FF"/>
          <w:sz w:val="24"/>
          <w:szCs w:val="24"/>
          <w:lang w:val="en-GB"/>
        </w:rPr>
      </w:pPr>
      <w:r w:rsidRPr="2BDEC811" w:rsidR="2BDEC811">
        <w:rPr>
          <w:b w:val="0"/>
          <w:bCs w:val="0"/>
          <w:i w:val="0"/>
          <w:iCs w:val="0"/>
          <w:noProof w:val="0"/>
          <w:color w:val="000000" w:themeColor="text1" w:themeTint="FF" w:themeShade="FF"/>
          <w:sz w:val="24"/>
          <w:szCs w:val="24"/>
          <w:lang w:val="en-GB"/>
        </w:rPr>
        <w:t xml:space="preserve">The Oxford Review. (n.d.). </w:t>
      </w:r>
      <w:r w:rsidRPr="2BDEC811" w:rsidR="2BDEC811">
        <w:rPr>
          <w:b w:val="0"/>
          <w:bCs w:val="0"/>
          <w:i w:val="1"/>
          <w:iCs w:val="1"/>
          <w:noProof w:val="0"/>
          <w:color w:val="000000" w:themeColor="text1" w:themeTint="FF" w:themeShade="FF"/>
          <w:sz w:val="24"/>
          <w:szCs w:val="24"/>
          <w:lang w:val="en-GB"/>
        </w:rPr>
        <w:t>Organisational Commitment</w:t>
      </w:r>
      <w:r w:rsidRPr="2BDEC811" w:rsidR="2BDEC811">
        <w:rPr>
          <w:b w:val="0"/>
          <w:bCs w:val="0"/>
          <w:i w:val="0"/>
          <w:iCs w:val="0"/>
          <w:noProof w:val="0"/>
          <w:color w:val="000000" w:themeColor="text1" w:themeTint="FF" w:themeShade="FF"/>
          <w:sz w:val="24"/>
          <w:szCs w:val="24"/>
          <w:lang w:val="en-GB"/>
        </w:rPr>
        <w:t>. [online] Available at: https://www.oxford-review.com/oxford-review-encyclopaedia-terms/organisational-commitment/ [Accessed 18 Sep. 2019].</w:t>
      </w:r>
    </w:p>
    <w:p w:rsidR="2BDEC811" w:rsidP="2BDEC811" w:rsidRDefault="2BDEC811" w14:paraId="13C9E0F6" w14:textId="510D71FA">
      <w:pPr>
        <w:pStyle w:val="ListParagraph"/>
        <w:numPr>
          <w:ilvl w:val="0"/>
          <w:numId w:val="2"/>
        </w:numPr>
        <w:rPr>
          <w:b w:val="0"/>
          <w:bCs w:val="0"/>
          <w:i w:val="0"/>
          <w:iCs w:val="0"/>
          <w:noProof w:val="0"/>
          <w:color w:val="000000" w:themeColor="text1" w:themeTint="FF" w:themeShade="FF"/>
          <w:sz w:val="24"/>
          <w:szCs w:val="24"/>
          <w:lang w:val="en-GB"/>
        </w:rPr>
      </w:pPr>
      <w:r w:rsidRPr="2BDEC811" w:rsidR="2BDEC811">
        <w:rPr>
          <w:b w:val="0"/>
          <w:bCs w:val="0"/>
          <w:i w:val="0"/>
          <w:iCs w:val="0"/>
          <w:noProof w:val="0"/>
          <w:color w:val="000000" w:themeColor="text1" w:themeTint="FF" w:themeShade="FF"/>
          <w:sz w:val="24"/>
          <w:szCs w:val="24"/>
          <w:lang w:val="en-GB"/>
        </w:rPr>
        <w:t xml:space="preserve">TOWERS PERRIN (2009) </w:t>
      </w:r>
      <w:r w:rsidRPr="2BDEC811" w:rsidR="2BDEC811">
        <w:rPr>
          <w:b w:val="0"/>
          <w:bCs w:val="0"/>
          <w:i w:val="1"/>
          <w:iCs w:val="1"/>
          <w:noProof w:val="0"/>
          <w:color w:val="000000" w:themeColor="text1" w:themeTint="FF" w:themeShade="FF"/>
          <w:sz w:val="24"/>
          <w:szCs w:val="24"/>
          <w:lang w:val="en-GB"/>
        </w:rPr>
        <w:t>G</w:t>
      </w:r>
      <w:r w:rsidRPr="2BDEC811" w:rsidR="2BDEC811">
        <w:rPr>
          <w:b w:val="0"/>
          <w:bCs w:val="0"/>
          <w:i w:val="1"/>
          <w:iCs w:val="1"/>
          <w:noProof w:val="0"/>
          <w:color w:val="000000" w:themeColor="text1" w:themeTint="FF" w:themeShade="FF"/>
          <w:sz w:val="24"/>
          <w:szCs w:val="24"/>
          <w:lang w:val="en-GB"/>
        </w:rPr>
        <w:t>lobal Workforce study 2007/2008: closing the engagement gap – a road map for driving superior business performance</w:t>
      </w:r>
      <w:r w:rsidRPr="2BDEC811" w:rsidR="2BDEC811">
        <w:rPr>
          <w:b w:val="0"/>
          <w:bCs w:val="0"/>
          <w:i w:val="0"/>
          <w:iCs w:val="0"/>
          <w:noProof w:val="0"/>
          <w:color w:val="000000" w:themeColor="text1" w:themeTint="FF" w:themeShade="FF"/>
          <w:sz w:val="24"/>
          <w:szCs w:val="24"/>
          <w:lang w:val="en-GB"/>
        </w:rPr>
        <w:t>. London: Towers Watson.</w:t>
      </w:r>
    </w:p>
    <w:p w:rsidR="2BDEC811" w:rsidP="2BDEC811" w:rsidRDefault="2BDEC811" w14:paraId="415A5B84" w14:textId="76EB3B00">
      <w:pPr>
        <w:pStyle w:val="ListParagraph"/>
        <w:numPr>
          <w:ilvl w:val="0"/>
          <w:numId w:val="2"/>
        </w:numPr>
        <w:rPr>
          <w:b w:val="0"/>
          <w:bCs w:val="0"/>
          <w:i w:val="0"/>
          <w:iCs w:val="0"/>
          <w:noProof w:val="0"/>
          <w:color w:val="000000" w:themeColor="text1" w:themeTint="FF" w:themeShade="FF"/>
          <w:sz w:val="24"/>
          <w:szCs w:val="24"/>
          <w:lang w:val="en-GB"/>
        </w:rPr>
      </w:pPr>
      <w:r w:rsidRPr="2BDEC811" w:rsidR="2BDEC811">
        <w:rPr>
          <w:rFonts w:ascii="Calibri" w:hAnsi="Calibri" w:eastAsia="Calibri" w:cs="Calibri"/>
          <w:b w:val="0"/>
          <w:bCs w:val="0"/>
          <w:i w:val="0"/>
          <w:iCs w:val="0"/>
          <w:noProof w:val="0"/>
          <w:color w:val="000000" w:themeColor="text1" w:themeTint="FF" w:themeShade="FF"/>
          <w:sz w:val="24"/>
          <w:szCs w:val="24"/>
          <w:lang w:val="en-GB"/>
        </w:rPr>
        <w:t xml:space="preserve">Today, P. (2013). </w:t>
      </w:r>
      <w:proofErr w:type="spellStart"/>
      <w:r w:rsidRPr="2BDEC811" w:rsidR="2BDEC811">
        <w:rPr>
          <w:rFonts w:ascii="Calibri" w:hAnsi="Calibri" w:eastAsia="Calibri" w:cs="Calibri"/>
          <w:b w:val="0"/>
          <w:bCs w:val="0"/>
          <w:i w:val="1"/>
          <w:iCs w:val="1"/>
          <w:noProof w:val="0"/>
          <w:color w:val="000000" w:themeColor="text1" w:themeTint="FF" w:themeShade="FF"/>
          <w:sz w:val="24"/>
          <w:szCs w:val="24"/>
          <w:lang w:val="en-GB"/>
        </w:rPr>
        <w:t>Acas</w:t>
      </w:r>
      <w:proofErr w:type="spellEnd"/>
      <w:r w:rsidRPr="2BDEC811" w:rsidR="2BDEC811">
        <w:rPr>
          <w:rFonts w:ascii="Calibri" w:hAnsi="Calibri" w:eastAsia="Calibri" w:cs="Calibri"/>
          <w:b w:val="0"/>
          <w:bCs w:val="0"/>
          <w:i w:val="1"/>
          <w:iCs w:val="1"/>
          <w:noProof w:val="0"/>
          <w:color w:val="000000" w:themeColor="text1" w:themeTint="FF" w:themeShade="FF"/>
          <w:sz w:val="24"/>
          <w:szCs w:val="24"/>
          <w:lang w:val="en-GB"/>
        </w:rPr>
        <w:t>: Linking employee wellbeing and engagement - Personnel Today</w:t>
      </w:r>
      <w:r w:rsidRPr="2BDEC811" w:rsidR="2BDEC811">
        <w:rPr>
          <w:rFonts w:ascii="Calibri" w:hAnsi="Calibri" w:eastAsia="Calibri" w:cs="Calibri"/>
          <w:b w:val="0"/>
          <w:bCs w:val="0"/>
          <w:i w:val="0"/>
          <w:iCs w:val="0"/>
          <w:noProof w:val="0"/>
          <w:color w:val="000000" w:themeColor="text1" w:themeTint="FF" w:themeShade="FF"/>
          <w:sz w:val="24"/>
          <w:szCs w:val="24"/>
          <w:lang w:val="en-GB"/>
        </w:rPr>
        <w:t>. [online] Personnel Today. Available at: https://www.personneltoday.com/hr/acas-linking-employee-wellbeing-and-engagement/ [Accessed 20 Sep. 2019].</w:t>
      </w:r>
    </w:p>
    <w:p w:rsidR="2BDEC811" w:rsidP="2BDEC811" w:rsidRDefault="2BDEC811" w14:paraId="36778832" w14:textId="060A88E9">
      <w:pPr>
        <w:pStyle w:val="ListParagraph"/>
        <w:numPr>
          <w:ilvl w:val="0"/>
          <w:numId w:val="2"/>
        </w:numPr>
        <w:rPr>
          <w:b w:val="0"/>
          <w:bCs w:val="0"/>
          <w:i w:val="0"/>
          <w:iCs w:val="0"/>
          <w:noProof w:val="0"/>
          <w:color w:val="000000" w:themeColor="text1" w:themeTint="FF" w:themeShade="FF"/>
          <w:sz w:val="24"/>
          <w:szCs w:val="24"/>
          <w:lang w:val="en-GB"/>
        </w:rPr>
      </w:pPr>
      <w:r w:rsidRPr="2BDEC811" w:rsidR="2BDEC811">
        <w:rPr>
          <w:rFonts w:ascii="Calibri" w:hAnsi="Calibri" w:eastAsia="Calibri" w:cs="Calibri"/>
          <w:b w:val="0"/>
          <w:bCs w:val="0"/>
          <w:i w:val="0"/>
          <w:iCs w:val="0"/>
          <w:noProof w:val="0"/>
          <w:color w:val="000000" w:themeColor="text1" w:themeTint="FF" w:themeShade="FF"/>
          <w:sz w:val="24"/>
          <w:szCs w:val="24"/>
          <w:lang w:val="en-GB"/>
        </w:rPr>
        <w:t xml:space="preserve">TRUSS., C ALFES, K., DELBRIDGE, R and SOANNE, E (2014) </w:t>
      </w:r>
      <w:r w:rsidRPr="2BDEC811" w:rsidR="2BDEC811">
        <w:rPr>
          <w:rFonts w:ascii="Calibri" w:hAnsi="Calibri" w:eastAsia="Calibri" w:cs="Calibri"/>
          <w:b w:val="0"/>
          <w:bCs w:val="0"/>
          <w:i w:val="1"/>
          <w:iCs w:val="1"/>
          <w:noProof w:val="0"/>
          <w:color w:val="000000" w:themeColor="text1" w:themeTint="FF" w:themeShade="FF"/>
          <w:sz w:val="24"/>
          <w:szCs w:val="24"/>
          <w:lang w:val="en-GB"/>
        </w:rPr>
        <w:t>Employee engagement in theory and practice</w:t>
      </w:r>
      <w:r w:rsidRPr="2BDEC811" w:rsidR="2BDEC811">
        <w:rPr>
          <w:rFonts w:ascii="Calibri" w:hAnsi="Calibri" w:eastAsia="Calibri" w:cs="Calibri"/>
          <w:b w:val="0"/>
          <w:bCs w:val="0"/>
          <w:i w:val="0"/>
          <w:iCs w:val="0"/>
          <w:noProof w:val="0"/>
          <w:color w:val="000000" w:themeColor="text1" w:themeTint="FF" w:themeShade="FF"/>
          <w:sz w:val="24"/>
          <w:szCs w:val="24"/>
          <w:lang w:val="en-GB"/>
        </w:rPr>
        <w:t>. London, Routledge.</w:t>
      </w:r>
    </w:p>
    <w:p w:rsidR="2BDEC811" w:rsidP="2BDEC811" w:rsidRDefault="2BDEC811" w14:paraId="0EF3D29F" w14:textId="463A3CE2">
      <w:pPr>
        <w:pStyle w:val="Normal"/>
        <w:ind w:left="360"/>
        <w:rPr>
          <w:rFonts w:ascii="Calibri" w:hAnsi="Calibri" w:eastAsia="Calibri" w:cs="Calibri"/>
          <w:b w:val="0"/>
          <w:bCs w:val="0"/>
          <w:i w:val="0"/>
          <w:iCs w:val="0"/>
          <w:noProof w:val="0"/>
          <w:color w:val="000000" w:themeColor="text1" w:themeTint="FF" w:themeShade="FF"/>
          <w:sz w:val="24"/>
          <w:szCs w:val="24"/>
          <w:lang w:val="en-GB"/>
        </w:rPr>
      </w:pPr>
    </w:p>
    <w:p w:rsidR="2BDEC811" w:rsidP="2BDEC811" w:rsidRDefault="2BDEC811" w14:paraId="405CB5DA" w14:textId="42BBDAD0">
      <w:pPr>
        <w:pStyle w:val="Normal"/>
        <w:ind w:left="0"/>
        <w:rPr>
          <w:sz w:val="24"/>
          <w:szCs w:val="24"/>
          <w:u w:val="single"/>
        </w:rPr>
      </w:pPr>
    </w:p>
    <w:p w:rsidR="2BDEC811" w:rsidP="2BDEC811" w:rsidRDefault="2BDEC811" w14:paraId="51623D4F" w14:textId="6964A6FC">
      <w:pPr>
        <w:pStyle w:val="Normal"/>
        <w:ind w:left="0"/>
        <w:rPr>
          <w:sz w:val="24"/>
          <w:szCs w:val="24"/>
          <w:u w:val="single"/>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3B3AC867"/>
  <w15:docId w15:val="{cc63947a-36b7-4614-9439-292472cd63b1}"/>
  <w:rsids>
    <w:rsidRoot w:val="3B3AC867"/>
    <w:rsid w:val="01146634"/>
    <w:rsid w:val="03AEE5AE"/>
    <w:rsid w:val="04CBA9FC"/>
    <w:rsid w:val="05222449"/>
    <w:rsid w:val="053C7E59"/>
    <w:rsid w:val="05B0AA35"/>
    <w:rsid w:val="09FAA9BA"/>
    <w:rsid w:val="0D548D75"/>
    <w:rsid w:val="0F590547"/>
    <w:rsid w:val="0FBDB058"/>
    <w:rsid w:val="1026D903"/>
    <w:rsid w:val="106243A8"/>
    <w:rsid w:val="11ED4C8F"/>
    <w:rsid w:val="1330450D"/>
    <w:rsid w:val="139CB8CB"/>
    <w:rsid w:val="14BA4A2C"/>
    <w:rsid w:val="1730293E"/>
    <w:rsid w:val="174399BC"/>
    <w:rsid w:val="17EDA063"/>
    <w:rsid w:val="186B0BAE"/>
    <w:rsid w:val="19ABE672"/>
    <w:rsid w:val="1A8603AE"/>
    <w:rsid w:val="1C887D37"/>
    <w:rsid w:val="1CB85EA3"/>
    <w:rsid w:val="2053A4AC"/>
    <w:rsid w:val="20BDA442"/>
    <w:rsid w:val="20E29B15"/>
    <w:rsid w:val="22CD3515"/>
    <w:rsid w:val="22DFFBF2"/>
    <w:rsid w:val="236AA97B"/>
    <w:rsid w:val="238C256A"/>
    <w:rsid w:val="24B4C176"/>
    <w:rsid w:val="2569E66E"/>
    <w:rsid w:val="26E52334"/>
    <w:rsid w:val="272BD672"/>
    <w:rsid w:val="27700B4D"/>
    <w:rsid w:val="28900875"/>
    <w:rsid w:val="28CB1008"/>
    <w:rsid w:val="298F21B5"/>
    <w:rsid w:val="2A0F8FC6"/>
    <w:rsid w:val="2B23D029"/>
    <w:rsid w:val="2BDEC811"/>
    <w:rsid w:val="2C8BC61D"/>
    <w:rsid w:val="2D057EE4"/>
    <w:rsid w:val="2D0A8BC6"/>
    <w:rsid w:val="2F8DC101"/>
    <w:rsid w:val="2F927463"/>
    <w:rsid w:val="304F43A5"/>
    <w:rsid w:val="34F84769"/>
    <w:rsid w:val="37919848"/>
    <w:rsid w:val="37C3F940"/>
    <w:rsid w:val="39AF0AF2"/>
    <w:rsid w:val="3B3AC867"/>
    <w:rsid w:val="3C3B0B21"/>
    <w:rsid w:val="402084FC"/>
    <w:rsid w:val="412BD25C"/>
    <w:rsid w:val="4317B661"/>
    <w:rsid w:val="43E0D158"/>
    <w:rsid w:val="453C1276"/>
    <w:rsid w:val="4793417C"/>
    <w:rsid w:val="4A38E2FD"/>
    <w:rsid w:val="4C27BDF6"/>
    <w:rsid w:val="4C8FE949"/>
    <w:rsid w:val="4DAD2814"/>
    <w:rsid w:val="4F9C037A"/>
    <w:rsid w:val="503B59A7"/>
    <w:rsid w:val="51B4C894"/>
    <w:rsid w:val="51BD3001"/>
    <w:rsid w:val="5461C59B"/>
    <w:rsid w:val="550C63B6"/>
    <w:rsid w:val="573B7975"/>
    <w:rsid w:val="5A926005"/>
    <w:rsid w:val="5B991131"/>
    <w:rsid w:val="5D731A10"/>
    <w:rsid w:val="5E2DB86B"/>
    <w:rsid w:val="630D1A0B"/>
    <w:rsid w:val="64008926"/>
    <w:rsid w:val="657066D7"/>
    <w:rsid w:val="66F3FA2D"/>
    <w:rsid w:val="67EA8E20"/>
    <w:rsid w:val="680C3D1A"/>
    <w:rsid w:val="685DFD40"/>
    <w:rsid w:val="69440575"/>
    <w:rsid w:val="6B444E16"/>
    <w:rsid w:val="6CB6B762"/>
    <w:rsid w:val="6E0266F0"/>
    <w:rsid w:val="70337E5E"/>
    <w:rsid w:val="717DE5B7"/>
    <w:rsid w:val="7462EEBA"/>
    <w:rsid w:val="7574B655"/>
    <w:rsid w:val="75BAB5D1"/>
    <w:rsid w:val="781C6966"/>
    <w:rsid w:val="78E4C60C"/>
    <w:rsid w:val="7A4BC123"/>
    <w:rsid w:val="7B75550B"/>
    <w:rsid w:val="7C5845F2"/>
    <w:rsid w:val="7EE17002"/>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cac2b1c5740f4f1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Sarah Chislett</dc:creator>
  <keywords/>
  <dc:description/>
  <lastModifiedBy>Sarah Chislett</lastModifiedBy>
  <revision>12</revision>
  <dcterms:created xsi:type="dcterms:W3CDTF">2019-09-18T17:44:11.4548039Z</dcterms:created>
  <dcterms:modified xsi:type="dcterms:W3CDTF">2019-09-30T19:51:06.1102810Z</dcterms:modified>
</coreProperties>
</file>