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footnotes.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3"/>
        <w:numPr>
          <w:ilvl w:val="2"/>
          <w:numId w:val="1"/>
        </w:numPr>
        <w:spacing w:before="140" w:after="120"/>
        <w:rPr/>
      </w:pPr>
      <w:r>
        <w:rPr/>
        <w:t xml:space="preserve">Life of St Edward the Confessor (MS Ee. 3. 59) from the University of Cambridge Digital Library </w:t>
      </w:r>
      <w:r>
        <w:rPr/>
        <w:t>&lt;</w:t>
      </w:r>
      <w:hyperlink r:id="rId2">
        <w:r>
          <w:rPr>
            <w:rStyle w:val="VisitedInternetLink"/>
          </w:rPr>
          <w:t>http://cudl.lib.cam.ac.uk/view/MS-E</w:t>
        </w:r>
      </w:hyperlink>
      <w:hyperlink r:id="rId3">
        <w:r>
          <w:rPr>
            <w:rStyle w:val="InternetLink"/>
          </w:rPr>
          <w:t>s</w:t>
        </w:r>
      </w:hyperlink>
      <w:hyperlink r:id="rId4">
        <w:r>
          <w:rPr>
            <w:rStyle w:val="InternetLink"/>
          </w:rPr>
          <w:t>E-00003-00059/1</w:t>
        </w:r>
      </w:hyperlink>
      <w:hyperlink r:id="rId5">
        <w:r>
          <w:rPr>
            <w:rStyle w:val="InternetLink"/>
          </w:rPr>
          <w:t>2</w:t>
        </w:r>
      </w:hyperlink>
      <w:r>
        <w:rPr/>
        <w:t>&gt;</w:t>
      </w:r>
    </w:p>
    <w:p>
      <w:pPr>
        <w:pStyle w:val="Normal"/>
        <w:rPr/>
      </w:pPr>
      <w:r>
        <w:rPr/>
      </w:r>
    </w:p>
    <w:p>
      <w:pPr>
        <w:pStyle w:val="Normal"/>
        <w:rPr/>
      </w:pPr>
      <w:r>
        <w:rPr/>
        <w:tab/>
        <w:t>Aesthetically pleasing, this beautifully detailed framed miniature sits at the top of 3v. of the Life of Saint Edward the Confessor. Written on parchment, the catalogue record states that it is the “only copy of an illustrated Anglo-Norman verse life written in English in the later 1230s or early 1240s.”</w:t>
      </w:r>
      <w:r>
        <w:rPr>
          <w:rStyle w:val="FootnoteAnchor"/>
        </w:rPr>
        <w:footnoteReference w:id="2"/>
      </w:r>
      <w:r>
        <w:rPr/>
        <w:t xml:space="preserve"> It depicts three Anglo-Saxon Kings, Edgar, Alfred and Ethelred II accompanied by two angels. The image and text have clearly been designed to work in harmony enhancing the composition of this miniature. A textual description handwritten in red pen highlighted with blue capital letters is woven through the upper portion of the image introducing the Kings to the readers. Each monarch sits on a highly decorative throne above a column of verse. The verses are divided by intricate and delicate tracery scrollwork, ornamented with red and blue initials. The angels, although physically shorter than the Kings, are standing bare foot on elaborate Corinthian columned pedestals. Their arms are outstretched hinting that they have been sent by God to bless these monarchs. The angels coloured wings are portrayed like those of large birds transcending the picture frame to highlight the heavens above. Their halos sparkle adding to the religious overtones of the image. This illustration would shimmer in candle light. The Kings have different facial expressions but they all look solemn and perhaps a trifle wooden, giving the image an air of formality. Here we have three important benevolent Kings blessed by God. It is a strong image that is intended to be easily understood and read: setting the tone for the artwork in the rest of the manuscript. It is also an image that encompasses the interlaced connections between earthly power and religious observance in thirteenth century England. </w:t>
      </w:r>
    </w:p>
    <w:p>
      <w:pPr>
        <w:pStyle w:val="Normal"/>
        <w:rPr/>
      </w:pPr>
      <w:r>
        <w:rPr/>
        <w:tab/>
        <w:t xml:space="preserve">The </w:t>
      </w:r>
      <w:r>
        <w:rPr/>
        <w:t>composition</w:t>
      </w:r>
      <w:r>
        <w:rPr/>
        <w:t xml:space="preserve"> of the scene </w:t>
      </w:r>
      <w:r>
        <w:rPr/>
        <w:t>has been well thought out and meticulously planned</w:t>
      </w:r>
      <w:r>
        <w:rPr/>
        <w:t xml:space="preserve"> as </w:t>
      </w:r>
      <w:r>
        <w:rPr/>
        <w:t>the artist has used symmetrical techniques to balance the figures and capture the readers attention. The Kings and angels have been allocated their own spaces.</w:t>
      </w:r>
      <w:r>
        <w:rPr/>
        <w:t xml:space="preserve"> King E</w:t>
      </w:r>
      <w:r>
        <w:rPr/>
        <w:t xml:space="preserve">dgar </w:t>
      </w:r>
      <w:r>
        <w:rPr/>
        <w:t>is looking outwards whil</w:t>
      </w:r>
      <w:r>
        <w:rPr/>
        <w:t>st</w:t>
      </w:r>
      <w:r>
        <w:rPr/>
        <w:t xml:space="preserve"> the other two Kings are looking inwards towards him.</w:t>
      </w:r>
      <w:r>
        <w:rPr/>
        <w:t xml:space="preserve"> T</w:t>
      </w:r>
      <w:r>
        <w:rPr/>
        <w:t xml:space="preserve">hey are </w:t>
      </w:r>
      <w:r>
        <w:rPr/>
        <w:t xml:space="preserve">all </w:t>
      </w:r>
      <w:r>
        <w:rPr/>
        <w:t>wearing distinct</w:t>
      </w:r>
      <w:r>
        <w:rPr/>
        <w:t>ive</w:t>
      </w:r>
      <w:r>
        <w:rPr/>
        <w:t xml:space="preserve"> crown</w:t>
      </w:r>
      <w:r>
        <w:rPr/>
        <w:t>s</w:t>
      </w:r>
      <w:r>
        <w:rPr/>
        <w:t xml:space="preserve"> and raising </w:t>
      </w:r>
      <w:r>
        <w:rPr/>
        <w:t xml:space="preserve">a hand. The artist must have had a good eye for detail which can be observed in the intricate folds and fall of the garments that the figures are wearing. The three thrones have been given their own distinctive characteristics. Edgar seems to have been placed centre stage, perhaps because he was the King who was responsible for a monastic revival, and this aspect of his reign appealed to the artist. Ethelred appears to have been deliberately placed on his throne by the designer, angled to show off the stylistically patterned throne. Alfred has been given a simplistic sceptre to hold and a jewelled collar. The Kings look highly stylised rather than realistic but there is a sense of movement in the angels wings and outstretched hands giving them credence as messengers of God. </w:t>
        <w:tab/>
        <w:t xml:space="preserve">Differentiating the Kings must have been an important aspect of the miniature as it would possibly allow the reader to contemplate their different qualities and achievements. It is hard to know why the artist has given the Kings different crowns and thrones. It could be to add interest or to reflect the different time periods of the Kings reigns. </w:t>
      </w:r>
      <w:r>
        <w:rPr/>
        <w:t xml:space="preserve">All of the figures </w:t>
      </w:r>
      <w:r>
        <w:rPr/>
        <w:t xml:space="preserve">appear elegant and are clothed </w:t>
      </w:r>
      <w:r>
        <w:rPr/>
        <w:t>in pastel shades of red, green, pink, cream and blue.</w:t>
      </w:r>
      <w:r>
        <w:rPr/>
        <w:t xml:space="preserve"> This is a skilfully executed pen and wash drawing pleasing to the eye that has been designed to entertain the reader bringing the text to life, like a twentieth century picture book. Perhaps, it also represents an early form of propaganda that has been designed to delight and impress its audience.</w:t>
      </w:r>
    </w:p>
    <w:p>
      <w:pPr>
        <w:pStyle w:val="Normal"/>
        <w:rPr/>
      </w:pPr>
      <w:r>
        <w:rPr/>
        <w:tab/>
        <w:t xml:space="preserve">There are no records of the tools and techniques that the artist used. However, medieval historians have researched the subject and modern technology is helping us to analyse colour and the techniques that were used for  this kind of miniature. The artist would have had access to the resources of the scriptorium and may or may not have processed his own tools and colours. He would have used quills that had been honed to sharp points, inks from natural sources and a rich colour palette derived from plants and minerals. Colour was important as it could signify different messages to the reader. </w:t>
      </w:r>
    </w:p>
    <w:p>
      <w:pPr>
        <w:pStyle w:val="Normal"/>
        <w:rPr/>
      </w:pPr>
      <w:r>
        <w:rPr/>
        <w:tab/>
        <w:t xml:space="preserve">Firstly, the artist would have sketched the outlines of the composition in ink, most likely iron-gall ink, from the growth surrounding the gall wasp on an oak tree, which was commonly used in the Middle Ages. The colours would have been applied one at a time to ensure that they dried and did not smudge. The cream or white colour which was possibly derived from chalk would be applied first. The red ink used for the writing that is incorporated into the image would most probably have been sourced from the roots of rose madder. </w:t>
      </w:r>
      <w:r>
        <w:rPr>
          <w:rStyle w:val="FootnoteAnchor"/>
        </w:rPr>
        <w:footnoteReference w:id="3"/>
      </w:r>
      <w:r>
        <w:rPr/>
        <w:t xml:space="preserve"> Perhaps the same red was also used for other elements. Green could have been sourced from leaves and berries or from copper plate. Blue was an expensive pigment and considered to be a sacred colour, perhaps that was the reason it was chosen to highlight Edgar, the prominent King. Blue was usually sourced from woad. </w:t>
      </w:r>
    </w:p>
    <w:p>
      <w:pPr>
        <w:pStyle w:val="Normal"/>
        <w:rPr/>
      </w:pPr>
      <w:r>
        <w:rPr/>
        <w:tab/>
      </w:r>
      <w:r>
        <w:rPr/>
        <w:t>The artist would have either used his imagination or the prevailing artistic style to draw the Kings.  He would also have had access to the literary collections of the scriptorium that he was working from for reference purposes. There are no known portraits of Alfred but there are images of Edgar</w:t>
      </w:r>
      <w:r>
        <w:rPr>
          <w:rStyle w:val="FootnoteAnchor"/>
        </w:rPr>
        <w:footnoteReference w:id="4"/>
      </w:r>
      <w:r>
        <w:rPr/>
        <w:t xml:space="preserve"> and Aethelstan</w:t>
      </w:r>
      <w:r>
        <w:rPr>
          <w:rStyle w:val="FootnoteAnchor"/>
        </w:rPr>
        <w:footnoteReference w:id="5"/>
      </w:r>
      <w:r>
        <w:rPr/>
        <w:t xml:space="preserve">. These portraits are heavily stylised but show the sovereigns wearing  a different style of dress. </w:t>
      </w:r>
    </w:p>
    <w:p>
      <w:pPr>
        <w:pStyle w:val="Normal"/>
        <w:rPr/>
      </w:pPr>
      <w:r>
        <w:rPr/>
        <w:tab/>
        <w:t xml:space="preserve"> The artist is implying that the Kings are being blessed by God and his heavenly host. This is important as the political landscape under Henry III, who is believed to have commissioned the manuscript, was at times unstable especially when Henry sought to impose his authority over his troublesome barons. This concept is reflected in the religious symbolism of the image.  A thirteenth century multilingual noble audience would have been familiar with religious paintings and understood this overt symbolism. Art can transcend culture.</w:t>
      </w:r>
    </w:p>
    <w:p>
      <w:pPr>
        <w:pStyle w:val="Normal"/>
        <w:rPr/>
      </w:pPr>
      <w:r>
        <w:rPr/>
        <w:tab/>
        <w:t>These Kings are ancestors not only of Edward  the Confessor but also the Anglo-Norman Kings that followed him, especially Henry III who’s spiritual life was deeply influenced by his “veneration for Edward the Confessor”</w:t>
      </w:r>
      <w:r>
        <w:rPr>
          <w:rStyle w:val="FootnoteAnchor"/>
        </w:rPr>
        <w:footnoteReference w:id="6"/>
      </w:r>
      <w:r>
        <w:rPr/>
        <w:t>. It is thought that Henry commissioned the St. Edward manuscript, that the Cambridge copy was derived from, despite there being no definitive proof. However, the hagiography starts with an elegant dedication to Henry’s wife, Eleanor of Provence. This may suggest that it was translated and composed as a wedding gift for the Queen. Eleanor was described as beautiful and articulate when she married Henry in January 1236</w:t>
      </w:r>
      <w:r>
        <w:rPr>
          <w:rStyle w:val="FootnoteAnchor"/>
        </w:rPr>
        <w:footnoteReference w:id="7"/>
      </w:r>
      <w:r>
        <w:rPr/>
        <w:t>.  She spoke Occitan French and would not have a sound understanding of her husband’s lineage or religious preferences.</w:t>
      </w:r>
    </w:p>
    <w:p>
      <w:pPr>
        <w:pStyle w:val="Normal"/>
        <w:rPr/>
      </w:pPr>
      <w:r>
        <w:rPr/>
        <w:tab/>
        <w:t>There is considerable debate over the authorship of the manuscript but it is thought the original was the work of Matthew Paris, a St Albans monk. “Matthew Paris certainly wrote and illustrated a Life of St Edward, since he says so on the fly-leaf of Alban”</w:t>
      </w:r>
      <w:r>
        <w:rPr>
          <w:rStyle w:val="FootnoteAnchor"/>
        </w:rPr>
        <w:footnoteReference w:id="8"/>
      </w:r>
      <w:r>
        <w:rPr/>
        <w:t>.  Paris was considered one of the finest authors and artists of the 13</w:t>
      </w:r>
      <w:r>
        <w:rPr>
          <w:vertAlign w:val="superscript"/>
        </w:rPr>
        <w:t>th</w:t>
      </w:r>
      <w:r>
        <w:rPr/>
        <w:t xml:space="preserve"> century. He wrote and illustrated several chronicles and hagiographies. David Carpenter mentions that “by 1247 the King knew him well”</w:t>
      </w:r>
      <w:r>
        <w:rPr>
          <w:rStyle w:val="FootnoteAnchor"/>
        </w:rPr>
        <w:footnoteReference w:id="9"/>
      </w:r>
      <w:r>
        <w:rPr/>
        <w:t xml:space="preserve"> </w:t>
      </w:r>
    </w:p>
    <w:p>
      <w:pPr>
        <w:pStyle w:val="Normal"/>
        <w:rPr/>
      </w:pPr>
      <w:r>
        <w:rPr/>
        <w:tab/>
      </w:r>
    </w:p>
    <w:p>
      <w:pPr>
        <w:pStyle w:val="Normal"/>
        <w:rPr/>
      </w:pPr>
      <w:r>
        <w:rPr/>
      </w:r>
    </w:p>
    <w:p>
      <w:pPr>
        <w:pStyle w:val="Normal"/>
        <w:rPr/>
      </w:pPr>
      <w:r>
        <w:rPr/>
      </w:r>
    </w:p>
    <w:p>
      <w:pPr>
        <w:pStyle w:val="Normal"/>
        <w:rPr/>
      </w:pPr>
      <w:r>
        <w:rPr/>
        <w:tab/>
      </w:r>
    </w:p>
    <w:p>
      <w:pPr>
        <w:pStyle w:val="Normal"/>
        <w:rPr/>
      </w:pPr>
      <w:r>
        <w:rPr/>
        <w:tab/>
        <w:t>Paris was also familiar with the aristocracy and there is evidence to support the idea that he lent  manuscripts to the nobility, including the Countess of Cornwall, Queen Eleanor’s  sister.</w:t>
      </w:r>
      <w:r>
        <w:rPr>
          <w:rStyle w:val="FootnoteAnchor"/>
        </w:rPr>
        <w:footnoteReference w:id="10"/>
      </w:r>
      <w:r>
        <w:rPr/>
        <w:t xml:space="preserve"> These ladies were well connected, literate and encouraged the arts to flourish in multilingual 13</w:t>
      </w:r>
      <w:r>
        <w:rPr>
          <w:vertAlign w:val="superscript"/>
        </w:rPr>
        <w:t>th</w:t>
      </w:r>
      <w:r>
        <w:rPr/>
        <w:t xml:space="preserve"> century England. It is conceivable that Paris tailored his miniatures to appeal to the Queen and her female contemporaries. It is also conceivable that the books he leant to this elite group could have been copied by scribes and illustrators. </w:t>
      </w:r>
    </w:p>
    <w:p>
      <w:pPr>
        <w:pStyle w:val="Normal"/>
        <w:rPr/>
      </w:pPr>
      <w:r>
        <w:rPr/>
        <w:tab/>
        <w:t xml:space="preserve">Carpenter suggested that Prince Edward’s wife, Eleanor of Castile was given a St Edward manuscript on her arrival in England, possibly the Cambridge copy. This would probably be for the same reasons that her mother-in-law had been given a St Edward manuscript. Allowing the new Princess to settle comfortably into court life and understand the role that the important cult of St Edward played in that life. </w:t>
      </w:r>
      <w:r>
        <w:rPr>
          <w:rStyle w:val="FootnoteAnchor"/>
        </w:rPr>
        <w:footnoteReference w:id="11"/>
      </w:r>
      <w:r>
        <w:rPr/>
        <w:t xml:space="preserve"> </w:t>
      </w:r>
      <w:r>
        <w:rPr/>
        <w:t>Th</w:t>
      </w:r>
      <w:r>
        <w:rPr/>
        <w:t>e</w:t>
      </w:r>
      <w:r>
        <w:rPr/>
        <w:t xml:space="preserve"> Cambridge manuscript was produced between 1250 and 1260. </w:t>
      </w:r>
      <w:r>
        <w:rPr>
          <w:rStyle w:val="FootnoteAnchor"/>
        </w:rPr>
        <w:footnoteReference w:id="12"/>
      </w:r>
      <w:r>
        <w:rPr/>
        <w:t xml:space="preserve">  Sara Cockerill mentions that when the Princess arrived in England in 1255 she made offerings at St Edward’s shrine and was offered a life of the Saint as a gift. </w:t>
      </w:r>
      <w:r>
        <w:rPr>
          <w:rStyle w:val="FootnoteAnchor"/>
        </w:rPr>
        <w:footnoteReference w:id="13"/>
      </w:r>
      <w:r>
        <w:rPr/>
        <w:t xml:space="preserve"> Eleanor would have been familiar with religious images and skilled in reading images.   </w:t>
      </w:r>
    </w:p>
    <w:p>
      <w:pPr>
        <w:pStyle w:val="Normal"/>
        <w:rPr/>
      </w:pPr>
      <w:r>
        <w:rPr/>
        <w:tab/>
        <w:t>“The accounts for Eleanor of Castile’s wardrobe from May 1288 include “a payment of 37s for the repair of the Queen’s books of the lives of the Blessed Thomas and St Edward”</w:t>
      </w:r>
      <w:r>
        <w:rPr>
          <w:rStyle w:val="FootnoteAnchor"/>
        </w:rPr>
        <w:footnoteReference w:id="14"/>
      </w:r>
      <w:r>
        <w:rPr/>
        <w:t xml:space="preserve"> Although this is not definite proof that it was the Cambridge copy it indicates that Eleanor had a copy of the Life of St Edward that she had handled and most probably read. If the miniature of the three Kings was effective in entertaining the Queen and her ladies and informed their understanding of the image of Kingship it was portraying then it had fulfilled its purpose. </w:t>
      </w:r>
    </w:p>
    <w:p>
      <w:pPr>
        <w:pStyle w:val="Normal"/>
        <w:rPr/>
      </w:pPr>
      <w:r>
        <w:rPr/>
        <w:tab/>
        <w:t>The  Cambridge manuscripts images have been compared to the illuminations in some of Paris’s surviving hagiographies. George Henderson notes the image of the Three Kings provides “the classic example of the three part picture” which he implies is consistent with Matthew Paris’s style but some of the subsequent pictures are composed differently from Paris’s other works.</w:t>
      </w:r>
      <w:r>
        <w:rPr>
          <w:rStyle w:val="FootnoteAnchor"/>
        </w:rPr>
        <w:footnoteReference w:id="15"/>
      </w:r>
      <w:r>
        <w:rPr/>
        <w:t xml:space="preserve">  Henderson also suggests that if the Edward miniatures are copied from Paris’s originals they are more complex than his earlier work. </w:t>
      </w:r>
      <w:r>
        <w:rPr>
          <w:rStyle w:val="FootnoteAnchor"/>
        </w:rPr>
        <w:footnoteReference w:id="16"/>
      </w:r>
    </w:p>
    <w:p>
      <w:pPr>
        <w:pStyle w:val="Normal"/>
        <w:rPr/>
      </w:pPr>
      <w:r>
        <w:rPr/>
        <w:tab/>
        <w:t xml:space="preserve"> Taking</w:t>
      </w:r>
      <w:r>
        <w:rPr/>
        <w:t xml:space="preserve"> all of the above points into consideration this thirteenth century miniature is a beautiful work of art  by a skilled illuminator that would have been treasured by the elite, especially the Queen who historians think it was commissioned for. It indicates the importance that the Anglo-Norman Kings attached to their illustrious ancestors.  Allowing us a glimpse into the world of the thirteenth century court, a world where religious observance was interwoven with Kingly authority and Queens were given beautiful manuscripts containing exquisite images for instructive purposes. </w:t>
      </w:r>
    </w:p>
    <w:p>
      <w:pPr>
        <w:pStyle w:val="Normal"/>
        <w:rPr/>
      </w:pPr>
      <w:r>
        <w:rPr/>
        <w:tab/>
      </w:r>
    </w:p>
    <w:p>
      <w:pPr>
        <w:pStyle w:val="Normal"/>
        <w:rPr/>
      </w:pPr>
      <w:r>
        <w:rPr/>
      </w:r>
    </w:p>
    <w:p>
      <w:pPr>
        <w:pStyle w:val="Normal"/>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ab/>
        <w:t xml:space="preserve">Cambridge, Cambridge University Library, </w:t>
      </w:r>
      <w:r>
        <w:rPr>
          <w:i/>
          <w:iCs/>
        </w:rPr>
        <w:t>Life of St Edward the Confessor</w:t>
      </w:r>
      <w:r>
        <w:rPr/>
        <w:t xml:space="preserve"> (Ms Ee.3.59),</w:t>
      </w:r>
      <w:r>
        <w:rPr/>
        <w:t>&lt;</w:t>
      </w:r>
      <w:hyperlink r:id="rId1">
        <w:r>
          <w:rPr>
            <w:rStyle w:val="InternetLink"/>
          </w:rPr>
          <w:t>https://cudl.lib.cam.ac.uk/view/MS-EE-00003-00059/12</w:t>
        </w:r>
      </w:hyperlink>
      <w:r>
        <w:rPr/>
        <w:t>&gt; [accessed 24 November 2023].</w:t>
      </w:r>
    </w:p>
  </w:footnote>
  <w:footnote w:id="3">
    <w:p>
      <w:pPr>
        <w:pStyle w:val="Footnote"/>
        <w:rPr/>
      </w:pPr>
      <w:r>
        <w:rPr>
          <w:rStyle w:val="FootnoteCharacters"/>
        </w:rPr>
        <w:footnoteRef/>
      </w:r>
      <w:r>
        <w:rPr/>
        <w:tab/>
        <w:t xml:space="preserve">McQuilian, Kate, </w:t>
      </w:r>
      <w:r>
        <w:rPr>
          <w:i/>
          <w:iCs/>
        </w:rPr>
        <w:t>Conservator’s eye view: writing instruments,</w:t>
      </w:r>
      <w:r>
        <w:rPr/>
        <w:t xml:space="preserve"> &lt;</w:t>
      </w:r>
      <w:hyperlink r:id="rId2">
        <w:r>
          <w:rPr>
            <w:rStyle w:val="InternetLink"/>
          </w:rPr>
          <w:t>https://www.stgeorges-windsor.org/conservators-eye-view-writing-instruments</w:t>
        </w:r>
      </w:hyperlink>
      <w:r>
        <w:rPr/>
        <w:t>&gt; [accessed 6 December 2023].</w:t>
      </w:r>
    </w:p>
  </w:footnote>
  <w:footnote w:id="4">
    <w:p>
      <w:pPr>
        <w:pStyle w:val="Footnote"/>
        <w:rPr/>
      </w:pPr>
      <w:r>
        <w:rPr>
          <w:rStyle w:val="FootnoteCharacters"/>
        </w:rPr>
        <w:footnoteRef/>
      </w:r>
      <w:r>
        <w:rPr/>
        <w:tab/>
        <w:t>London, British Library,MS Cotton Vespasian A VIII f.2.v, (New Minster Charter),&lt;</w:t>
      </w:r>
      <w:hyperlink r:id="rId3">
        <w:r>
          <w:rPr>
            <w:rStyle w:val="InternetLink"/>
          </w:rPr>
          <w:t>http://www.vikingage.org/wiki/wiki/Category:London,_British_Library,_MS_Cotton_Vespasian_A_VIII</w:t>
        </w:r>
      </w:hyperlink>
      <w:r>
        <w:rPr/>
        <w:t>&gt; [accessed 25 November 2023].</w:t>
      </w:r>
    </w:p>
  </w:footnote>
  <w:footnote w:id="5">
    <w:p>
      <w:pPr>
        <w:pStyle w:val="Footnote"/>
        <w:rPr/>
      </w:pPr>
      <w:r>
        <w:rPr>
          <w:rStyle w:val="FootnoteCharacters"/>
        </w:rPr>
        <w:footnoteRef/>
      </w:r>
      <w:r>
        <w:rPr/>
        <w:tab/>
        <w:t>Cambridge, Corpus Chrisit College, (Ms 183:Bede the Venerable, Two Lives of St Cuthbert) &lt;</w:t>
      </w:r>
      <w:hyperlink r:id="rId4">
        <w:r>
          <w:rPr>
            <w:rStyle w:val="InternetLink"/>
          </w:rPr>
          <w:t>https://parker.stanford.edu/parker/catalog/qv695jy8078</w:t>
        </w:r>
      </w:hyperlink>
      <w:r>
        <w:rPr/>
        <w:t>&gt;[accessed 11 December 2023].</w:t>
      </w:r>
    </w:p>
  </w:footnote>
  <w:footnote w:id="6">
    <w:p>
      <w:pPr>
        <w:pStyle w:val="Footnote"/>
        <w:rPr/>
      </w:pPr>
      <w:r>
        <w:rPr>
          <w:rStyle w:val="FootnoteCharacters"/>
        </w:rPr>
        <w:footnoteRef/>
      </w:r>
      <w:r>
        <w:rPr/>
        <w:tab/>
        <w:t xml:space="preserve"> </w:t>
      </w:r>
      <w:r>
        <w:rPr/>
        <w:t xml:space="preserve">D.A. </w:t>
      </w:r>
      <w:r>
        <w:rPr/>
        <w:t xml:space="preserve">Carpenter, </w:t>
      </w:r>
      <w:r>
        <w:rPr>
          <w:i/>
          <w:iCs/>
        </w:rPr>
        <w:t xml:space="preserve">King Henry III and Saint Edward the Confessor : </w:t>
      </w:r>
      <w:r>
        <w:rPr>
          <w:i/>
          <w:iCs/>
        </w:rPr>
        <w:t>T</w:t>
      </w:r>
      <w:r>
        <w:rPr>
          <w:i/>
          <w:iCs/>
        </w:rPr>
        <w:t xml:space="preserve">he </w:t>
      </w:r>
      <w:r>
        <w:rPr>
          <w:i/>
          <w:iCs/>
        </w:rPr>
        <w:t>O</w:t>
      </w:r>
      <w:r>
        <w:rPr>
          <w:i/>
          <w:iCs/>
        </w:rPr>
        <w:t xml:space="preserve">rigins of the </w:t>
      </w:r>
      <w:r>
        <w:rPr>
          <w:i/>
          <w:iCs/>
        </w:rPr>
        <w:t>C</w:t>
      </w:r>
      <w:r>
        <w:rPr>
          <w:i/>
          <w:iCs/>
        </w:rPr>
        <w:t>ult,</w:t>
      </w:r>
      <w:r>
        <w:rPr/>
        <w:t xml:space="preserve"> </w:t>
      </w:r>
      <w:r>
        <w:rPr>
          <w:i/>
          <w:iCs/>
        </w:rPr>
        <w:t xml:space="preserve">English Historical Review, </w:t>
      </w:r>
      <w:r>
        <w:rPr>
          <w:b w:val="false"/>
          <w:bCs w:val="false"/>
          <w:i w:val="false"/>
          <w:iCs w:val="false"/>
        </w:rPr>
        <w:t xml:space="preserve">CXXII/ 496 (2007) </w:t>
      </w:r>
      <w:r>
        <w:rPr>
          <w:b w:val="false"/>
          <w:bCs w:val="false"/>
          <w:i w:val="false"/>
          <w:iCs w:val="false"/>
        </w:rPr>
        <w:t>pp. 865 – 891,</w:t>
      </w:r>
      <w:r>
        <w:rPr>
          <w:b w:val="false"/>
          <w:bCs w:val="false"/>
          <w:i w:val="false"/>
          <w:iCs w:val="false"/>
        </w:rPr>
        <w:t>p.865.</w:t>
      </w:r>
    </w:p>
  </w:footnote>
  <w:footnote w:id="7">
    <w:p>
      <w:pPr>
        <w:pStyle w:val="Footnote"/>
        <w:rPr/>
      </w:pPr>
      <w:r>
        <w:rPr>
          <w:rStyle w:val="FootnoteCharacters"/>
        </w:rPr>
        <w:footnoteRef/>
      </w:r>
      <w:r>
        <w:rPr/>
        <w:tab/>
        <w:t xml:space="preserve">Jill Hamilton Clements, </w:t>
      </w:r>
      <w:r>
        <w:rPr>
          <w:i/>
          <w:iCs/>
        </w:rPr>
        <w:t>The Construction of Queenship in the Illustrated Estoire de Seint Edward Rei,</w:t>
      </w:r>
      <w:r>
        <w:rPr>
          <w:i w:val="false"/>
          <w:iCs w:val="false"/>
        </w:rPr>
        <w:t xml:space="preserve"> </w:t>
      </w:r>
      <w:r>
        <w:rPr>
          <w:i/>
          <w:iCs/>
        </w:rPr>
        <w:t>Gesta,</w:t>
      </w:r>
      <w:r>
        <w:rPr>
          <w:i w:val="false"/>
          <w:iCs w:val="false"/>
        </w:rPr>
        <w:t xml:space="preserve"> 52/1 (2013) pp. 21-42 .</w:t>
      </w:r>
    </w:p>
  </w:footnote>
  <w:footnote w:id="8">
    <w:p>
      <w:pPr>
        <w:pStyle w:val="Footnote"/>
        <w:rPr/>
      </w:pPr>
      <w:r>
        <w:rPr>
          <w:rStyle w:val="FootnoteCharacters"/>
        </w:rPr>
        <w:footnoteRef/>
      </w:r>
      <w:r>
        <w:rPr/>
        <w:tab/>
        <w:t xml:space="preserve"> </w:t>
      </w:r>
      <w:r>
        <w:rPr/>
        <w:t xml:space="preserve">George </w:t>
      </w:r>
      <w:r>
        <w:rPr/>
        <w:t xml:space="preserve">Henderson, </w:t>
      </w:r>
      <w:r>
        <w:rPr>
          <w:i/>
          <w:iCs/>
        </w:rPr>
        <w:t>Part I: stylistic sequence and stylistic overlaps in thirteenth-century English manuscripts</w:t>
      </w:r>
      <w:r>
        <w:rPr/>
        <w:t xml:space="preserve">, Journal of the Warburg and Courtald Institutes, 30 (1967), </w:t>
      </w:r>
      <w:r>
        <w:rPr/>
        <w:t>pp.</w:t>
      </w:r>
      <w:r>
        <w:rPr/>
        <w:t xml:space="preserve"> 71-104, </w:t>
      </w:r>
      <w:r>
        <w:rPr/>
        <w:t>p. 80.</w:t>
      </w:r>
    </w:p>
  </w:footnote>
  <w:footnote w:id="9">
    <w:p>
      <w:pPr>
        <w:pStyle w:val="Footnote"/>
        <w:rPr/>
      </w:pPr>
      <w:r>
        <w:rPr>
          <w:rStyle w:val="FootnoteCharacters"/>
        </w:rPr>
        <w:footnoteRef/>
      </w:r>
      <w:r>
        <w:rPr/>
        <w:tab/>
        <w:t xml:space="preserve">David Carpenter, </w:t>
      </w:r>
      <w:r>
        <w:rPr>
          <w:i/>
          <w:iCs/>
        </w:rPr>
        <w:t>Henry III:</w:t>
      </w:r>
      <w:r>
        <w:rPr>
          <w:i/>
          <w:iCs/>
        </w:rPr>
        <w:t xml:space="preserve">The Rise To Power and Personal Rule 1207-1258, </w:t>
      </w:r>
      <w:r>
        <w:rPr/>
        <w:t xml:space="preserve"> Yale University Press, 2020 p.171 &lt;</w:t>
      </w:r>
      <w:hyperlink r:id="rId5">
        <w:r>
          <w:rPr>
            <w:rStyle w:val="InternetLink"/>
          </w:rPr>
          <w:t>https://www.jstor.org/stable/j.ctv10sm8tf.10</w:t>
        </w:r>
      </w:hyperlink>
      <w:r>
        <w:rPr/>
        <w:t>&gt;[accessed 7 December 2023].</w:t>
      </w:r>
    </w:p>
    <w:p>
      <w:pPr>
        <w:pStyle w:val="Footnote"/>
        <w:ind w:left="0" w:right="0" w:hanging="0"/>
        <w:rPr/>
      </w:pPr>
      <w:r>
        <w:rPr/>
      </w:r>
    </w:p>
  </w:footnote>
  <w:footnote w:id="10">
    <w:p>
      <w:pPr>
        <w:pStyle w:val="Footnote"/>
        <w:rPr/>
      </w:pPr>
      <w:r>
        <w:rPr>
          <w:rStyle w:val="FootnoteCharacters"/>
        </w:rPr>
        <w:footnoteRef/>
      </w:r>
      <w:r>
        <w:rPr/>
        <w:tab/>
        <w:t xml:space="preserve">George </w:t>
      </w:r>
      <w:r>
        <w:rPr/>
        <w:t xml:space="preserve">Henderson, </w:t>
      </w:r>
      <w:r>
        <w:rPr>
          <w:i/>
          <w:iCs/>
        </w:rPr>
        <w:t>Part I: stylistic sequence and stylistic overlaps in thirteenth-century English manuscripts</w:t>
      </w:r>
      <w:r>
        <w:rPr/>
        <w:t xml:space="preserve">, </w:t>
      </w:r>
      <w:r>
        <w:rPr/>
        <w:t>p80.</w:t>
      </w:r>
    </w:p>
  </w:footnote>
  <w:footnote w:id="11">
    <w:p>
      <w:pPr>
        <w:pStyle w:val="Footnote"/>
        <w:rPr/>
      </w:pPr>
      <w:r>
        <w:rPr>
          <w:rStyle w:val="FootnoteCharacters"/>
        </w:rPr>
        <w:footnoteRef/>
      </w:r>
      <w:r>
        <w:rPr/>
        <w:tab/>
        <w:t xml:space="preserve">David Carpenter, </w:t>
      </w:r>
      <w:r>
        <w:rPr>
          <w:i/>
          <w:iCs/>
        </w:rPr>
        <w:t>Henry III:</w:t>
      </w:r>
      <w:r>
        <w:rPr>
          <w:i/>
          <w:iCs/>
        </w:rPr>
        <w:t xml:space="preserve">The Rise To Power and Personal Rule 1207-1258, </w:t>
      </w:r>
      <w:r>
        <w:rPr/>
        <w:t>p. 181.</w:t>
      </w:r>
    </w:p>
  </w:footnote>
  <w:footnote w:id="12">
    <w:p>
      <w:pPr>
        <w:pStyle w:val="Footnote"/>
        <w:rPr/>
      </w:pPr>
      <w:r>
        <w:rPr>
          <w:rStyle w:val="FootnoteCharacters"/>
        </w:rPr>
        <w:footnoteRef/>
      </w:r>
      <w:r>
        <w:rPr/>
        <w:tab/>
        <w:t xml:space="preserve"> </w:t>
      </w:r>
      <w:r>
        <w:rPr/>
        <w:t>Cambridge, Cambridge Digital Library, Paul Binski</w:t>
      </w:r>
      <w:r>
        <w:rPr/>
        <w:t xml:space="preserve">, </w:t>
      </w:r>
      <w:r>
        <w:rPr>
          <w:i/>
          <w:iCs/>
        </w:rPr>
        <w:t>Information about this document ,&lt;</w:t>
      </w:r>
      <w:hyperlink r:id="rId6">
        <w:r>
          <w:rPr>
            <w:rStyle w:val="InternetLink"/>
            <w:i/>
            <w:iCs/>
          </w:rPr>
          <w:t>https://cudl.lib.cam.ac.uk/view/MS-EE-00003-00059/70</w:t>
        </w:r>
      </w:hyperlink>
      <w:r>
        <w:rPr>
          <w:i/>
          <w:iCs/>
        </w:rPr>
        <w:t>&gt;[accessed 1 December 2023].</w:t>
      </w:r>
    </w:p>
  </w:footnote>
  <w:footnote w:id="13">
    <w:p>
      <w:pPr>
        <w:pStyle w:val="Footnote"/>
        <w:rPr/>
      </w:pPr>
      <w:r>
        <w:rPr>
          <w:rStyle w:val="FootnoteCharacters"/>
        </w:rPr>
        <w:footnoteRef/>
      </w:r>
      <w:r>
        <w:rPr/>
        <w:tab/>
        <w:t xml:space="preserve">Sara Cockerill, </w:t>
      </w:r>
      <w:r>
        <w:rPr>
          <w:i/>
          <w:iCs/>
        </w:rPr>
        <w:t xml:space="preserve">Eleanor of Castille: The Shadow Queen </w:t>
      </w:r>
      <w:r>
        <w:rPr/>
        <w:t>Stroud: Amberley Publishing, 2016 p.101.</w:t>
      </w:r>
    </w:p>
  </w:footnote>
  <w:footnote w:id="14">
    <w:p>
      <w:pPr>
        <w:pStyle w:val="Footnote"/>
        <w:rPr/>
      </w:pPr>
      <w:r>
        <w:rPr>
          <w:rStyle w:val="FootnoteCharacters"/>
        </w:rPr>
        <w:footnoteRef/>
      </w:r>
      <w:r>
        <w:rPr/>
        <w:tab/>
        <w:t xml:space="preserve">Sara Cockerill, </w:t>
      </w:r>
      <w:r>
        <w:rPr>
          <w:i/>
          <w:iCs/>
        </w:rPr>
        <w:t xml:space="preserve">Eleanor of Castille: The Shadow Queen </w:t>
      </w:r>
      <w:r>
        <w:rPr/>
        <w:t>p.25.</w:t>
      </w:r>
    </w:p>
  </w:footnote>
  <w:footnote w:id="15">
    <w:p>
      <w:pPr>
        <w:pStyle w:val="Footnote"/>
        <w:rPr/>
      </w:pPr>
      <w:r>
        <w:rPr>
          <w:rStyle w:val="FootnoteCharacters"/>
        </w:rPr>
        <w:footnoteRef/>
      </w:r>
      <w:r>
        <w:rPr/>
        <w:tab/>
        <w:t xml:space="preserve">George Henderson, </w:t>
      </w:r>
      <w:r>
        <w:rPr>
          <w:i/>
          <w:iCs/>
        </w:rPr>
        <w:t xml:space="preserve">Part I: stylistic sequence and stylistic overlaps in thirteenth-century English manuscripts </w:t>
      </w:r>
      <w:r>
        <w:rPr/>
        <w:t>p. 81.</w:t>
      </w:r>
    </w:p>
  </w:footnote>
  <w:footnote w:id="16">
    <w:p>
      <w:pPr>
        <w:pStyle w:val="Footnote"/>
        <w:rPr/>
      </w:pPr>
      <w:r>
        <w:rPr>
          <w:rStyle w:val="FootnoteCharacters"/>
        </w:rPr>
        <w:footnoteRef/>
      </w:r>
      <w:r>
        <w:rPr/>
        <w:tab/>
        <w:t xml:space="preserve">George Henderson, </w:t>
      </w:r>
      <w:r>
        <w:rPr>
          <w:i/>
          <w:iCs/>
        </w:rPr>
        <w:t>Part I: stylistic sequence and stylistic overlaps in thirteenth-century English manuscripts</w:t>
      </w:r>
      <w:r>
        <w:rPr/>
        <w:t xml:space="preserve"> p.83.</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420"/>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GB"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oto Sans CJK SC" w:cs="Lohit Devanagari"/>
      <w:color w:val="auto"/>
      <w:kern w:val="2"/>
      <w:sz w:val="24"/>
      <w:szCs w:val="24"/>
      <w:lang w:val="en-GB" w:eastAsia="zh-CN" w:bidi="hi-IN"/>
    </w:rPr>
  </w:style>
  <w:style w:type="paragraph" w:styleId="Heading1">
    <w:name w:val="Heading 1"/>
    <w:basedOn w:val="Heading"/>
    <w:next w:val="TextBody"/>
    <w:qFormat/>
    <w:pPr>
      <w:numPr>
        <w:ilvl w:val="0"/>
        <w:numId w:val="1"/>
      </w:numPr>
      <w:spacing w:before="240" w:after="120"/>
      <w:outlineLvl w:val="0"/>
    </w:pPr>
    <w:rPr>
      <w:b/>
      <w:bCs/>
      <w:sz w:val="36"/>
      <w:szCs w:val="36"/>
    </w:rPr>
  </w:style>
  <w:style w:type="paragraph" w:styleId="Heading2">
    <w:name w:val="Heading 2"/>
    <w:basedOn w:val="Heading"/>
    <w:next w:val="TextBody"/>
    <w:qFormat/>
    <w:pPr>
      <w:numPr>
        <w:ilvl w:val="1"/>
        <w:numId w:val="1"/>
      </w:numPr>
      <w:spacing w:before="200" w:after="120"/>
      <w:outlineLvl w:val="1"/>
    </w:pPr>
    <w:rPr>
      <w:b/>
      <w:bCs/>
      <w:sz w:val="32"/>
      <w:szCs w:val="32"/>
    </w:rPr>
  </w:style>
  <w:style w:type="paragraph" w:styleId="Heading3">
    <w:name w:val="Heading 3"/>
    <w:basedOn w:val="Heading"/>
    <w:next w:val="TextBody"/>
    <w:qFormat/>
    <w:pPr>
      <w:numPr>
        <w:ilvl w:val="2"/>
        <w:numId w:val="1"/>
      </w:numPr>
      <w:spacing w:before="140" w:after="120"/>
      <w:outlineLvl w:val="2"/>
    </w:pPr>
    <w:rPr>
      <w:b/>
      <w:bCs/>
      <w:sz w:val="28"/>
      <w:szCs w:val="28"/>
    </w:rPr>
  </w:style>
  <w:style w:type="character" w:styleId="FootnoteCharacters">
    <w:name w:val="Footnote Characters"/>
    <w:qFormat/>
    <w:rPr/>
  </w:style>
  <w:style w:type="character" w:styleId="FootnoteAnchor">
    <w:name w:val="Footnote Anchor"/>
    <w:rPr>
      <w:vertAlign w:val="superscript"/>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Footnote">
    <w:name w:val="Footnote Text"/>
    <w:basedOn w:val="Normal"/>
    <w:pPr>
      <w:suppressLineNumbers/>
      <w:ind w:left="339" w:right="0" w:hanging="339"/>
    </w:pPr>
    <w:rPr>
      <w:sz w:val="20"/>
      <w:szCs w:val="20"/>
    </w:rPr>
  </w:style>
  <w:style w:type="paragraph" w:styleId="Title">
    <w:name w:val="Title"/>
    <w:basedOn w:val="Heading"/>
    <w:next w:val="TextBody"/>
    <w:qFormat/>
    <w:pPr>
      <w:jc w:val="center"/>
    </w:pPr>
    <w:rPr>
      <w:b/>
      <w:bCs/>
      <w:sz w:val="56"/>
      <w:szCs w:val="5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cudl.lib.cam.ac.uk/view/MS-EE-00003-00059/12" TargetMode="External"/><Relationship Id="rId3" Type="http://schemas.openxmlformats.org/officeDocument/2006/relationships/hyperlink" Target="http://cudl.lib.cam.ac.uk/view/MS-EE-00003-00059/12" TargetMode="External"/><Relationship Id="rId4" Type="http://schemas.openxmlformats.org/officeDocument/2006/relationships/hyperlink" Target="http://cudl.lib.cam.ac.uk/view/MS-EE-00003-00059/12" TargetMode="External"/><Relationship Id="rId5" Type="http://schemas.openxmlformats.org/officeDocument/2006/relationships/hyperlink" Target="http://cudl.lib.cam.ac.uk/view/MS-EE-00003-00059/12" TargetMode="Externa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cudl.lib.cam.ac.uk/view/MS-EE-00003-00059/12" TargetMode="External"/><Relationship Id="rId2" Type="http://schemas.openxmlformats.org/officeDocument/2006/relationships/hyperlink" Target="https://www.stgeorges-windsor.org/conservators-eye-view-writing-instruments" TargetMode="External"/><Relationship Id="rId3" Type="http://schemas.openxmlformats.org/officeDocument/2006/relationships/hyperlink" Target="http://www.vikingage.org/wiki/wiki/Category:London,_British_Library,_MS_Cotton_Vespasian_A_VIII" TargetMode="External"/><Relationship Id="rId4" Type="http://schemas.openxmlformats.org/officeDocument/2006/relationships/hyperlink" Target="https://parker.stanford.edu/parker/catalog/qv695jy8078" TargetMode="External"/><Relationship Id="rId5" Type="http://schemas.openxmlformats.org/officeDocument/2006/relationships/hyperlink" Target="https://www.jstor.org/stable/j.ctv10sm8tf.10" TargetMode="External"/><Relationship Id="rId6" Type="http://schemas.openxmlformats.org/officeDocument/2006/relationships/hyperlink" Target="https://cudl.lib.cam.ac.uk/view/MS-EE-00003-00059/70" TargetMode="External"/>
</Relationships>
</file>

<file path=docProps/app.xml><?xml version="1.0" encoding="utf-8"?>
<Properties xmlns="http://schemas.openxmlformats.org/officeDocument/2006/extended-properties" xmlns:vt="http://schemas.openxmlformats.org/officeDocument/2006/docPropsVTypes">
  <Template/>
  <TotalTime>2025</TotalTime>
  <Application>LibreOffice/6.0.7.3$Linux_X86_64 LibreOffice_project/00m0$Build-3</Application>
  <Pages>3</Pages>
  <Words>1948</Words>
  <Characters>10579</Characters>
  <CharactersWithSpaces>12547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2023-11-30T10:26:38Z</dcterms:created>
  <dc:creator/>
  <dc:description/>
  <dc:language>en-GB</dc:language>
  <cp:lastModifiedBy/>
  <dcterms:modified xsi:type="dcterms:W3CDTF">2023-12-15T10:54:54Z</dcterms:modified>
  <cp:revision>33</cp:revision>
  <dc:subject/>
  <dc:title/>
</cp:coreProperties>
</file>