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A3072" w14:textId="39296763" w:rsidR="00CD65D2" w:rsidRPr="00E52327" w:rsidRDefault="00E52327" w:rsidP="00E52327">
      <w:pPr>
        <w:jc w:val="center"/>
        <w:rPr>
          <w:rFonts w:ascii="Arial" w:hAnsi="Arial" w:cs="Arial"/>
          <w:sz w:val="48"/>
          <w:szCs w:val="48"/>
        </w:rPr>
      </w:pPr>
      <w:r w:rsidRPr="00E52327">
        <w:rPr>
          <w:rFonts w:ascii="Arial" w:hAnsi="Arial" w:cs="Arial"/>
          <w:sz w:val="48"/>
          <w:szCs w:val="48"/>
        </w:rPr>
        <w:t>Student Name: Corina-Florina Barbu</w:t>
      </w:r>
    </w:p>
    <w:p w14:paraId="5AEF4BF2" w14:textId="6863A266" w:rsidR="00E52327" w:rsidRPr="00E52327" w:rsidRDefault="00E52327" w:rsidP="00E52327">
      <w:pPr>
        <w:jc w:val="center"/>
        <w:rPr>
          <w:rFonts w:ascii="Arial" w:hAnsi="Arial" w:cs="Arial"/>
          <w:sz w:val="48"/>
          <w:szCs w:val="48"/>
        </w:rPr>
      </w:pPr>
      <w:r w:rsidRPr="00E52327">
        <w:rPr>
          <w:rFonts w:ascii="Arial" w:hAnsi="Arial" w:cs="Arial"/>
          <w:sz w:val="48"/>
          <w:szCs w:val="48"/>
        </w:rPr>
        <w:t>Student ID: 2332679</w:t>
      </w:r>
    </w:p>
    <w:p w14:paraId="3F328EE9" w14:textId="45A0D0DF" w:rsidR="00E52327" w:rsidRPr="00E52327" w:rsidRDefault="00E52327" w:rsidP="00E52327">
      <w:pPr>
        <w:jc w:val="center"/>
        <w:rPr>
          <w:rFonts w:ascii="Arial" w:hAnsi="Arial" w:cs="Arial"/>
          <w:sz w:val="48"/>
          <w:szCs w:val="48"/>
        </w:rPr>
      </w:pPr>
      <w:r w:rsidRPr="00E52327">
        <w:rPr>
          <w:rFonts w:ascii="Arial" w:hAnsi="Arial" w:cs="Arial"/>
          <w:sz w:val="48"/>
          <w:szCs w:val="48"/>
        </w:rPr>
        <w:t>Module Name: Developing and Managing Individuals and Teams</w:t>
      </w:r>
    </w:p>
    <w:p w14:paraId="6C7D5129" w14:textId="3B206AB2" w:rsidR="00E52327" w:rsidRPr="00E52327" w:rsidRDefault="00E52327" w:rsidP="00E52327">
      <w:pPr>
        <w:jc w:val="center"/>
        <w:rPr>
          <w:rFonts w:ascii="Arial" w:hAnsi="Arial" w:cs="Arial"/>
          <w:sz w:val="48"/>
          <w:szCs w:val="48"/>
        </w:rPr>
      </w:pPr>
      <w:r w:rsidRPr="00E52327">
        <w:rPr>
          <w:rFonts w:ascii="Arial" w:hAnsi="Arial" w:cs="Arial"/>
          <w:sz w:val="48"/>
          <w:szCs w:val="48"/>
        </w:rPr>
        <w:t>Module Code: LCLM5002</w:t>
      </w:r>
    </w:p>
    <w:p w14:paraId="451285AF" w14:textId="54318446" w:rsidR="00E52327" w:rsidRDefault="00E52327" w:rsidP="00E52327">
      <w:pPr>
        <w:jc w:val="center"/>
        <w:rPr>
          <w:rFonts w:ascii="Arial" w:hAnsi="Arial" w:cs="Arial"/>
          <w:sz w:val="48"/>
          <w:szCs w:val="48"/>
        </w:rPr>
      </w:pPr>
      <w:r w:rsidRPr="00E52327">
        <w:rPr>
          <w:rFonts w:ascii="Arial" w:hAnsi="Arial" w:cs="Arial"/>
          <w:sz w:val="48"/>
          <w:szCs w:val="48"/>
        </w:rPr>
        <w:t>Lecturer name: Mudassar Hasan</w:t>
      </w:r>
    </w:p>
    <w:p w14:paraId="55818A9E" w14:textId="77777777" w:rsidR="00E52327" w:rsidRDefault="00E52327" w:rsidP="00E52327">
      <w:pPr>
        <w:jc w:val="center"/>
        <w:rPr>
          <w:rFonts w:ascii="Arial" w:hAnsi="Arial" w:cs="Arial"/>
          <w:sz w:val="48"/>
          <w:szCs w:val="48"/>
        </w:rPr>
      </w:pPr>
    </w:p>
    <w:p w14:paraId="202D0D20" w14:textId="77777777" w:rsidR="00E52327" w:rsidRDefault="00E52327" w:rsidP="00E52327">
      <w:pPr>
        <w:jc w:val="center"/>
        <w:rPr>
          <w:rFonts w:ascii="Arial" w:hAnsi="Arial" w:cs="Arial"/>
          <w:sz w:val="48"/>
          <w:szCs w:val="48"/>
        </w:rPr>
      </w:pPr>
    </w:p>
    <w:p w14:paraId="45B36749" w14:textId="77777777" w:rsidR="00E52327" w:rsidRDefault="00E52327" w:rsidP="00E52327">
      <w:pPr>
        <w:jc w:val="center"/>
        <w:rPr>
          <w:rFonts w:ascii="Arial" w:hAnsi="Arial" w:cs="Arial"/>
          <w:sz w:val="48"/>
          <w:szCs w:val="48"/>
        </w:rPr>
      </w:pPr>
    </w:p>
    <w:p w14:paraId="0017E24E" w14:textId="77777777" w:rsidR="00E52327" w:rsidRDefault="00E52327" w:rsidP="00E52327">
      <w:pPr>
        <w:jc w:val="center"/>
        <w:rPr>
          <w:rFonts w:ascii="Arial" w:hAnsi="Arial" w:cs="Arial"/>
          <w:sz w:val="48"/>
          <w:szCs w:val="48"/>
        </w:rPr>
      </w:pPr>
    </w:p>
    <w:p w14:paraId="65291CAA" w14:textId="77777777" w:rsidR="00E52327" w:rsidRDefault="00E52327" w:rsidP="00E52327">
      <w:pPr>
        <w:jc w:val="center"/>
        <w:rPr>
          <w:rFonts w:ascii="Arial" w:hAnsi="Arial" w:cs="Arial"/>
          <w:sz w:val="48"/>
          <w:szCs w:val="48"/>
        </w:rPr>
      </w:pPr>
    </w:p>
    <w:p w14:paraId="55998821" w14:textId="77777777" w:rsidR="00E52327" w:rsidRDefault="00E52327" w:rsidP="00E52327">
      <w:pPr>
        <w:jc w:val="center"/>
        <w:rPr>
          <w:rFonts w:ascii="Arial" w:hAnsi="Arial" w:cs="Arial"/>
          <w:sz w:val="48"/>
          <w:szCs w:val="48"/>
        </w:rPr>
      </w:pPr>
    </w:p>
    <w:p w14:paraId="1D628A8D" w14:textId="77777777" w:rsidR="00E52327" w:rsidRDefault="00E52327" w:rsidP="00E52327">
      <w:pPr>
        <w:jc w:val="center"/>
        <w:rPr>
          <w:rFonts w:ascii="Arial" w:hAnsi="Arial" w:cs="Arial"/>
          <w:sz w:val="48"/>
          <w:szCs w:val="48"/>
        </w:rPr>
      </w:pPr>
    </w:p>
    <w:p w14:paraId="44B3FC7E" w14:textId="77777777" w:rsidR="00E52327" w:rsidRDefault="00E52327" w:rsidP="00E52327">
      <w:pPr>
        <w:jc w:val="center"/>
        <w:rPr>
          <w:rFonts w:ascii="Arial" w:hAnsi="Arial" w:cs="Arial"/>
          <w:sz w:val="48"/>
          <w:szCs w:val="48"/>
        </w:rPr>
      </w:pPr>
    </w:p>
    <w:p w14:paraId="00D2EED5" w14:textId="77777777" w:rsidR="00E52327" w:rsidRDefault="00E52327" w:rsidP="00E52327">
      <w:pPr>
        <w:jc w:val="center"/>
        <w:rPr>
          <w:rFonts w:ascii="Arial" w:hAnsi="Arial" w:cs="Arial"/>
          <w:sz w:val="48"/>
          <w:szCs w:val="48"/>
        </w:rPr>
      </w:pPr>
    </w:p>
    <w:p w14:paraId="0C77583C" w14:textId="77777777" w:rsidR="00E52327" w:rsidRDefault="00E52327" w:rsidP="00E52327">
      <w:pPr>
        <w:jc w:val="center"/>
        <w:rPr>
          <w:rFonts w:ascii="Arial" w:hAnsi="Arial" w:cs="Arial"/>
          <w:sz w:val="48"/>
          <w:szCs w:val="48"/>
        </w:rPr>
      </w:pPr>
    </w:p>
    <w:p w14:paraId="36EADF9D" w14:textId="77777777" w:rsidR="00E52327" w:rsidRDefault="00E52327" w:rsidP="00E52327">
      <w:pPr>
        <w:jc w:val="center"/>
        <w:rPr>
          <w:rFonts w:ascii="Arial" w:hAnsi="Arial" w:cs="Arial"/>
          <w:sz w:val="48"/>
          <w:szCs w:val="48"/>
        </w:rPr>
      </w:pPr>
    </w:p>
    <w:p w14:paraId="411957EC" w14:textId="77777777" w:rsidR="00E52327" w:rsidRDefault="00E52327" w:rsidP="00E52327">
      <w:pPr>
        <w:jc w:val="center"/>
        <w:rPr>
          <w:rFonts w:ascii="Arial" w:hAnsi="Arial" w:cs="Arial"/>
        </w:rPr>
      </w:pPr>
    </w:p>
    <w:sdt>
      <w:sdtPr>
        <w:rPr>
          <w:rFonts w:asciiTheme="minorHAnsi" w:eastAsiaTheme="minorEastAsia" w:hAnsiTheme="minorHAnsi" w:cs="Times New Roman"/>
          <w:color w:val="auto"/>
          <w:sz w:val="22"/>
          <w:szCs w:val="22"/>
        </w:rPr>
        <w:id w:val="1121660698"/>
        <w:docPartObj>
          <w:docPartGallery w:val="Table of Contents"/>
          <w:docPartUnique/>
        </w:docPartObj>
      </w:sdtPr>
      <w:sdtContent>
        <w:p w14:paraId="317E790A" w14:textId="5A32592A" w:rsidR="006A3381" w:rsidRDefault="00AB551B">
          <w:pPr>
            <w:pStyle w:val="TOCHeading"/>
          </w:pPr>
          <w:r>
            <w:t xml:space="preserve">                                                   </w:t>
          </w:r>
          <w:r w:rsidR="006A3381">
            <w:t>Table of Contents</w:t>
          </w:r>
        </w:p>
        <w:p w14:paraId="3A0F6116" w14:textId="77777777" w:rsidR="006A3381" w:rsidRPr="006A3381" w:rsidRDefault="006A3381" w:rsidP="006A3381">
          <w:pPr>
            <w:rPr>
              <w:lang w:val="en-US"/>
            </w:rPr>
          </w:pPr>
        </w:p>
        <w:p w14:paraId="5BF63AD7" w14:textId="5F9B3C62" w:rsidR="006A3381" w:rsidRDefault="006A3381" w:rsidP="00AB551B">
          <w:pPr>
            <w:pStyle w:val="TOC1"/>
            <w:jc w:val="both"/>
          </w:pPr>
          <w:r w:rsidRPr="006A3381">
            <w:rPr>
              <w:sz w:val="24"/>
              <w:szCs w:val="24"/>
            </w:rPr>
            <w:t>Introduction</w:t>
          </w:r>
          <w:r>
            <w:ptab w:relativeTo="margin" w:alignment="right" w:leader="dot"/>
          </w:r>
          <w:r>
            <w:rPr>
              <w:b/>
              <w:bCs/>
            </w:rPr>
            <w:t>3</w:t>
          </w:r>
        </w:p>
        <w:p w14:paraId="79B757BF" w14:textId="77777777" w:rsidR="006A3381" w:rsidRPr="006A3381" w:rsidRDefault="006A3381" w:rsidP="00AB551B">
          <w:pPr>
            <w:jc w:val="both"/>
            <w:rPr>
              <w:rFonts w:ascii="Arial" w:hAnsi="Arial" w:cs="Arial"/>
            </w:rPr>
          </w:pPr>
          <w:r w:rsidRPr="006A3381">
            <w:rPr>
              <w:rFonts w:ascii="Arial" w:hAnsi="Arial" w:cs="Arial"/>
            </w:rPr>
            <w:t>Factors Relating to Business Transformation, Digital Technology Trends and Flexible Working at Cadbury</w:t>
          </w:r>
        </w:p>
        <w:p w14:paraId="103C4285" w14:textId="455EE7F7" w:rsidR="006A3381" w:rsidRDefault="006A3381" w:rsidP="00AB551B">
          <w:pPr>
            <w:pStyle w:val="TOC2"/>
            <w:ind w:left="216"/>
            <w:jc w:val="both"/>
          </w:pPr>
          <w:r>
            <w:ptab w:relativeTo="margin" w:alignment="right" w:leader="dot"/>
          </w:r>
          <w:r w:rsidR="00AB551B">
            <w:t>4</w:t>
          </w:r>
        </w:p>
        <w:p w14:paraId="72D097D1" w14:textId="08A427D9" w:rsidR="006A3381" w:rsidRDefault="00AB551B" w:rsidP="00AB551B">
          <w:pPr>
            <w:pStyle w:val="TOC3"/>
            <w:ind w:left="446"/>
            <w:jc w:val="both"/>
          </w:pPr>
          <w:r w:rsidRPr="00AB551B">
            <w:rPr>
              <w:rFonts w:ascii="Arial" w:hAnsi="Arial" w:cs="Arial"/>
            </w:rPr>
            <w:t>Evaluation of Contemporary HR Practices to Address Transformation, Digitalization and Flexible Working at Cadbury</w:t>
          </w:r>
          <w:r>
            <w:rPr>
              <w:rFonts w:ascii="Arial" w:hAnsi="Arial" w:cs="Arial"/>
              <w:b/>
              <w:bCs/>
              <w:sz w:val="32"/>
              <w:szCs w:val="32"/>
            </w:rPr>
            <w:t xml:space="preserve"> </w:t>
          </w:r>
          <w:r w:rsidR="006A3381">
            <w:ptab w:relativeTo="margin" w:alignment="right" w:leader="dot"/>
          </w:r>
          <w:r>
            <w:t>6</w:t>
          </w:r>
        </w:p>
        <w:p w14:paraId="475D3346" w14:textId="3EE35111" w:rsidR="006A3381" w:rsidRDefault="00AB551B" w:rsidP="00AB551B">
          <w:pPr>
            <w:pStyle w:val="TOC1"/>
            <w:jc w:val="both"/>
          </w:pPr>
          <w:r w:rsidRPr="00AB551B">
            <w:rPr>
              <w:rFonts w:ascii="Arial" w:hAnsi="Arial" w:cs="Arial"/>
              <w:sz w:val="24"/>
              <w:szCs w:val="24"/>
            </w:rPr>
            <w:t>Critical Evaluation of How Managers Can Ensure These HR Practices Are Implemented Urgently</w:t>
          </w:r>
          <w:r>
            <w:rPr>
              <w:rFonts w:ascii="Arial" w:hAnsi="Arial" w:cs="Arial"/>
              <w:b/>
              <w:bCs/>
              <w:sz w:val="32"/>
              <w:szCs w:val="32"/>
            </w:rPr>
            <w:t xml:space="preserve"> </w:t>
          </w:r>
          <w:r w:rsidR="006A3381">
            <w:ptab w:relativeTo="margin" w:alignment="right" w:leader="dot"/>
          </w:r>
          <w:r w:rsidRPr="00AB551B">
            <w:t>8</w:t>
          </w:r>
        </w:p>
        <w:p w14:paraId="5D84D221" w14:textId="5A39E77D" w:rsidR="006A3381" w:rsidRDefault="00AB551B" w:rsidP="00AB551B">
          <w:pPr>
            <w:pStyle w:val="TOC2"/>
            <w:ind w:left="216"/>
            <w:jc w:val="both"/>
          </w:pPr>
          <w:r w:rsidRPr="00AB551B">
            <w:rPr>
              <w:rFonts w:ascii="Arial" w:hAnsi="Arial" w:cs="Arial"/>
              <w:sz w:val="24"/>
              <w:szCs w:val="24"/>
            </w:rPr>
            <w:t>Conclusion</w:t>
          </w:r>
          <w:r>
            <w:rPr>
              <w:rFonts w:ascii="Arial" w:hAnsi="Arial" w:cs="Arial"/>
              <w:b/>
              <w:bCs/>
              <w:sz w:val="36"/>
              <w:szCs w:val="36"/>
            </w:rPr>
            <w:t xml:space="preserve"> </w:t>
          </w:r>
          <w:r w:rsidR="006A3381">
            <w:ptab w:relativeTo="margin" w:alignment="right" w:leader="dot"/>
          </w:r>
          <w:r>
            <w:t>10</w:t>
          </w:r>
        </w:p>
        <w:p w14:paraId="4B7E23B0" w14:textId="2FF0D904" w:rsidR="006A3381" w:rsidRDefault="00AB551B" w:rsidP="00AB551B">
          <w:pPr>
            <w:pStyle w:val="TOC3"/>
            <w:ind w:left="446"/>
            <w:jc w:val="both"/>
          </w:pPr>
          <w:r w:rsidRPr="00AB551B">
            <w:rPr>
              <w:rFonts w:ascii="Arial" w:hAnsi="Arial" w:cs="Arial"/>
            </w:rPr>
            <w:t>Reference List</w:t>
          </w:r>
          <w:r>
            <w:rPr>
              <w:rFonts w:ascii="Arial" w:hAnsi="Arial" w:cs="Arial"/>
              <w:b/>
              <w:bCs/>
              <w:sz w:val="28"/>
              <w:szCs w:val="28"/>
            </w:rPr>
            <w:t xml:space="preserve"> </w:t>
          </w:r>
          <w:r w:rsidR="006A3381">
            <w:ptab w:relativeTo="margin" w:alignment="right" w:leader="dot"/>
          </w:r>
          <w:r>
            <w:t>11</w:t>
          </w:r>
        </w:p>
      </w:sdtContent>
    </w:sdt>
    <w:p w14:paraId="33CB4A5D" w14:textId="77777777" w:rsidR="00E52327" w:rsidRDefault="00E52327" w:rsidP="00E52327">
      <w:pPr>
        <w:jc w:val="center"/>
        <w:rPr>
          <w:rFonts w:ascii="Arial" w:hAnsi="Arial" w:cs="Arial"/>
        </w:rPr>
      </w:pPr>
    </w:p>
    <w:p w14:paraId="528D8E68" w14:textId="77777777" w:rsidR="00E52327" w:rsidRDefault="00E52327" w:rsidP="00E52327">
      <w:pPr>
        <w:jc w:val="center"/>
        <w:rPr>
          <w:rFonts w:ascii="Arial" w:hAnsi="Arial" w:cs="Arial"/>
        </w:rPr>
      </w:pPr>
    </w:p>
    <w:p w14:paraId="730449E3" w14:textId="77777777" w:rsidR="00E52327" w:rsidRDefault="00E52327" w:rsidP="00E52327">
      <w:pPr>
        <w:jc w:val="center"/>
        <w:rPr>
          <w:rFonts w:ascii="Arial" w:hAnsi="Arial" w:cs="Arial"/>
        </w:rPr>
      </w:pPr>
    </w:p>
    <w:p w14:paraId="6299F386" w14:textId="77777777" w:rsidR="00E52327" w:rsidRDefault="00E52327" w:rsidP="006A3381"/>
    <w:p w14:paraId="3A391AE9" w14:textId="77777777" w:rsidR="00E52327" w:rsidRDefault="00E52327" w:rsidP="00E52327">
      <w:pPr>
        <w:jc w:val="center"/>
        <w:rPr>
          <w:rFonts w:ascii="Arial" w:hAnsi="Arial" w:cs="Arial"/>
        </w:rPr>
      </w:pPr>
    </w:p>
    <w:p w14:paraId="573FE8BA" w14:textId="77777777" w:rsidR="00E52327" w:rsidRDefault="00E52327" w:rsidP="00E52327">
      <w:pPr>
        <w:jc w:val="center"/>
        <w:rPr>
          <w:rFonts w:ascii="Arial" w:hAnsi="Arial" w:cs="Arial"/>
        </w:rPr>
      </w:pPr>
    </w:p>
    <w:p w14:paraId="4DA775BC" w14:textId="77777777" w:rsidR="00E52327" w:rsidRDefault="00E52327" w:rsidP="00E52327">
      <w:pPr>
        <w:jc w:val="center"/>
        <w:rPr>
          <w:rFonts w:ascii="Arial" w:hAnsi="Arial" w:cs="Arial"/>
        </w:rPr>
      </w:pPr>
    </w:p>
    <w:p w14:paraId="77795BB3" w14:textId="77777777" w:rsidR="00E52327" w:rsidRDefault="00E52327" w:rsidP="00E52327">
      <w:pPr>
        <w:jc w:val="center"/>
        <w:rPr>
          <w:rFonts w:ascii="Arial" w:hAnsi="Arial" w:cs="Arial"/>
        </w:rPr>
      </w:pPr>
    </w:p>
    <w:p w14:paraId="2B70F91D" w14:textId="77777777" w:rsidR="00E52327" w:rsidRDefault="00E52327" w:rsidP="00E52327">
      <w:pPr>
        <w:jc w:val="center"/>
        <w:rPr>
          <w:rFonts w:ascii="Arial" w:hAnsi="Arial" w:cs="Arial"/>
        </w:rPr>
      </w:pPr>
    </w:p>
    <w:p w14:paraId="4577A044" w14:textId="77777777" w:rsidR="00E52327" w:rsidRDefault="00E52327" w:rsidP="00E52327">
      <w:pPr>
        <w:jc w:val="center"/>
        <w:rPr>
          <w:rFonts w:ascii="Arial" w:hAnsi="Arial" w:cs="Arial"/>
        </w:rPr>
      </w:pPr>
    </w:p>
    <w:p w14:paraId="1AFD3D2E" w14:textId="77777777" w:rsidR="00E52327" w:rsidRDefault="00E52327" w:rsidP="00E52327">
      <w:pPr>
        <w:jc w:val="center"/>
        <w:rPr>
          <w:rFonts w:ascii="Arial" w:hAnsi="Arial" w:cs="Arial"/>
        </w:rPr>
      </w:pPr>
    </w:p>
    <w:p w14:paraId="02CE498E" w14:textId="77777777" w:rsidR="00E52327" w:rsidRDefault="00E52327" w:rsidP="00E52327">
      <w:pPr>
        <w:jc w:val="center"/>
        <w:rPr>
          <w:rFonts w:ascii="Arial" w:hAnsi="Arial" w:cs="Arial"/>
        </w:rPr>
      </w:pPr>
    </w:p>
    <w:p w14:paraId="778BB11B" w14:textId="77777777" w:rsidR="00E52327" w:rsidRDefault="00E52327" w:rsidP="00E52327">
      <w:pPr>
        <w:jc w:val="center"/>
        <w:rPr>
          <w:rFonts w:ascii="Arial" w:hAnsi="Arial" w:cs="Arial"/>
        </w:rPr>
      </w:pPr>
    </w:p>
    <w:p w14:paraId="06980BE0" w14:textId="77777777" w:rsidR="00E52327" w:rsidRDefault="00E52327" w:rsidP="00E52327">
      <w:pPr>
        <w:jc w:val="center"/>
        <w:rPr>
          <w:rFonts w:ascii="Arial" w:hAnsi="Arial" w:cs="Arial"/>
        </w:rPr>
      </w:pPr>
    </w:p>
    <w:p w14:paraId="79189072" w14:textId="77777777" w:rsidR="00E52327" w:rsidRDefault="00E52327" w:rsidP="00E52327">
      <w:pPr>
        <w:jc w:val="center"/>
        <w:rPr>
          <w:rFonts w:ascii="Arial" w:hAnsi="Arial" w:cs="Arial"/>
        </w:rPr>
      </w:pPr>
    </w:p>
    <w:p w14:paraId="1139A20D" w14:textId="77777777" w:rsidR="00E52327" w:rsidRDefault="00E52327" w:rsidP="00E52327">
      <w:pPr>
        <w:jc w:val="center"/>
        <w:rPr>
          <w:rFonts w:ascii="Arial" w:hAnsi="Arial" w:cs="Arial"/>
        </w:rPr>
      </w:pPr>
    </w:p>
    <w:p w14:paraId="0C6F1B81" w14:textId="77777777" w:rsidR="00E52327" w:rsidRDefault="00E52327" w:rsidP="00E52327">
      <w:pPr>
        <w:jc w:val="center"/>
        <w:rPr>
          <w:rFonts w:ascii="Arial" w:hAnsi="Arial" w:cs="Arial"/>
        </w:rPr>
      </w:pPr>
    </w:p>
    <w:p w14:paraId="285C9C28" w14:textId="77777777" w:rsidR="00E52327" w:rsidRDefault="00E52327" w:rsidP="00E52327">
      <w:pPr>
        <w:jc w:val="center"/>
        <w:rPr>
          <w:rFonts w:ascii="Arial" w:hAnsi="Arial" w:cs="Arial"/>
        </w:rPr>
      </w:pPr>
    </w:p>
    <w:p w14:paraId="0078D5FD" w14:textId="77777777" w:rsidR="009A4BAF" w:rsidRDefault="009A4BAF" w:rsidP="00E52327">
      <w:pPr>
        <w:rPr>
          <w:rFonts w:ascii="Arial" w:hAnsi="Arial" w:cs="Arial"/>
        </w:rPr>
      </w:pPr>
    </w:p>
    <w:p w14:paraId="075AABF0" w14:textId="19C6F384" w:rsidR="00E52327" w:rsidRPr="00E52327" w:rsidRDefault="00E52327" w:rsidP="00E52327">
      <w:pPr>
        <w:rPr>
          <w:rFonts w:ascii="Arial" w:hAnsi="Arial" w:cs="Arial"/>
          <w:b/>
          <w:bCs/>
        </w:rPr>
      </w:pPr>
      <w:r w:rsidRPr="00E52327">
        <w:rPr>
          <w:rFonts w:ascii="Arial" w:hAnsi="Arial" w:cs="Arial"/>
          <w:b/>
          <w:bCs/>
        </w:rPr>
        <w:lastRenderedPageBreak/>
        <w:t>Introduction</w:t>
      </w:r>
    </w:p>
    <w:p w14:paraId="55EF553A" w14:textId="77777777" w:rsidR="00E52327" w:rsidRDefault="00E52327" w:rsidP="00E52327">
      <w:pPr>
        <w:jc w:val="both"/>
        <w:rPr>
          <w:rFonts w:ascii="Arial" w:hAnsi="Arial" w:cs="Arial"/>
        </w:rPr>
      </w:pPr>
    </w:p>
    <w:p w14:paraId="168B43AD" w14:textId="77777777" w:rsidR="00E52327" w:rsidRDefault="00E52327" w:rsidP="00E52327">
      <w:pPr>
        <w:jc w:val="both"/>
        <w:rPr>
          <w:rFonts w:ascii="Arial" w:hAnsi="Arial" w:cs="Arial"/>
          <w:sz w:val="22"/>
          <w:szCs w:val="22"/>
        </w:rPr>
      </w:pPr>
      <w:r w:rsidRPr="00E52327">
        <w:rPr>
          <w:rFonts w:ascii="Arial" w:hAnsi="Arial" w:cs="Arial"/>
          <w:sz w:val="22"/>
          <w:szCs w:val="22"/>
        </w:rPr>
        <w:t>In today’s rapidly evolving business environment, organisations are increasingly adopting digital technologies and flexible working practices to remain competitive and responsive to changing workforce expectations. While these changes offer strategic benefits, they may also create challenges relating to employee relations, organisational culture and leadership capability. As a result, many organisations experience increased grievances during transformation periods, which can negatively affect engagement, morale, and productivity.</w:t>
      </w:r>
    </w:p>
    <w:p w14:paraId="73C434A8" w14:textId="39F8BD84" w:rsidR="00E52327" w:rsidRPr="00E52327" w:rsidRDefault="00E52327" w:rsidP="00E52327">
      <w:pPr>
        <w:jc w:val="both"/>
        <w:rPr>
          <w:rFonts w:ascii="Arial" w:hAnsi="Arial" w:cs="Arial"/>
          <w:sz w:val="22"/>
          <w:szCs w:val="22"/>
        </w:rPr>
      </w:pPr>
      <w:r w:rsidRPr="00E52327">
        <w:rPr>
          <w:rFonts w:ascii="Arial" w:hAnsi="Arial" w:cs="Arial"/>
          <w:sz w:val="22"/>
          <w:szCs w:val="22"/>
        </w:rPr>
        <w:t>Cadbury, a long-established confectionery manufacturer headquartered in Birmingham and part of Mondelēz International, is currently undergoing significant structural and technological transformation. During this transition, there has been a noticeable rise in employee-related concerns, particularly linked to digitalisation, changes in work processes, and the introduction of flexible working practices.</w:t>
      </w:r>
    </w:p>
    <w:p w14:paraId="475F18D6" w14:textId="2E43DA46" w:rsidR="00E52327" w:rsidRPr="00E52327" w:rsidRDefault="00E52327" w:rsidP="00E52327">
      <w:pPr>
        <w:jc w:val="both"/>
        <w:rPr>
          <w:rFonts w:ascii="Arial" w:hAnsi="Arial" w:cs="Arial"/>
          <w:sz w:val="22"/>
          <w:szCs w:val="22"/>
        </w:rPr>
      </w:pPr>
      <w:r w:rsidRPr="00E52327">
        <w:rPr>
          <w:rFonts w:ascii="Arial" w:hAnsi="Arial" w:cs="Arial"/>
          <w:sz w:val="22"/>
          <w:szCs w:val="22"/>
        </w:rPr>
        <w:t>This report explores key factors contributing to workplace grievances and evaluates contemporary HR practices that could support Cadbury in navigating transformation more successfully. The report also assesses the role of departmental managers in ensuring these practices are implemented urgently and effectively.</w:t>
      </w:r>
    </w:p>
    <w:p w14:paraId="582328D3" w14:textId="77777777" w:rsidR="00E52327" w:rsidRDefault="00E52327"/>
    <w:p w14:paraId="50DE0A53" w14:textId="77777777" w:rsidR="00613EA5" w:rsidRDefault="00613EA5" w:rsidP="00613EA5"/>
    <w:p w14:paraId="146672AA" w14:textId="77777777" w:rsidR="00613EA5" w:rsidRDefault="00613EA5" w:rsidP="00613EA5"/>
    <w:p w14:paraId="5B4C3BA7" w14:textId="77777777" w:rsidR="00613EA5" w:rsidRDefault="00613EA5" w:rsidP="00613EA5"/>
    <w:p w14:paraId="1321792D" w14:textId="77777777" w:rsidR="00613EA5" w:rsidRDefault="00613EA5" w:rsidP="00613EA5"/>
    <w:p w14:paraId="58EFA3AF" w14:textId="77777777" w:rsidR="00613EA5" w:rsidRDefault="00613EA5" w:rsidP="00613EA5"/>
    <w:p w14:paraId="20CF9F7E" w14:textId="77777777" w:rsidR="00613EA5" w:rsidRDefault="00613EA5" w:rsidP="00613EA5"/>
    <w:p w14:paraId="5641B0D0" w14:textId="77777777" w:rsidR="00613EA5" w:rsidRDefault="00613EA5" w:rsidP="00613EA5"/>
    <w:p w14:paraId="0B838048" w14:textId="77777777" w:rsidR="00613EA5" w:rsidRDefault="00613EA5" w:rsidP="00613EA5"/>
    <w:p w14:paraId="11C3E174" w14:textId="77777777" w:rsidR="00613EA5" w:rsidRDefault="00613EA5" w:rsidP="00613EA5"/>
    <w:p w14:paraId="5D18720C" w14:textId="77777777" w:rsidR="00613EA5" w:rsidRDefault="00613EA5" w:rsidP="00613EA5"/>
    <w:p w14:paraId="53628CC7" w14:textId="77777777" w:rsidR="00613EA5" w:rsidRDefault="00613EA5" w:rsidP="00613EA5"/>
    <w:p w14:paraId="7E857E9F" w14:textId="77777777" w:rsidR="00613EA5" w:rsidRDefault="00613EA5" w:rsidP="00613EA5"/>
    <w:p w14:paraId="550272C1" w14:textId="77777777" w:rsidR="00613EA5" w:rsidRDefault="00613EA5" w:rsidP="00613EA5"/>
    <w:p w14:paraId="47F39256" w14:textId="77777777" w:rsidR="00613EA5" w:rsidRDefault="00613EA5" w:rsidP="00613EA5"/>
    <w:p w14:paraId="79A53145" w14:textId="77777777" w:rsidR="00613EA5" w:rsidRDefault="00613EA5" w:rsidP="00613EA5"/>
    <w:p w14:paraId="100FEF7E" w14:textId="77777777" w:rsidR="00613EA5" w:rsidRPr="00613EA5" w:rsidRDefault="00613EA5" w:rsidP="00613EA5">
      <w:pPr>
        <w:rPr>
          <w:rFonts w:ascii="Arial" w:hAnsi="Arial" w:cs="Arial"/>
          <w:b/>
          <w:bCs/>
          <w:sz w:val="28"/>
          <w:szCs w:val="28"/>
        </w:rPr>
      </w:pPr>
      <w:r w:rsidRPr="00613EA5">
        <w:rPr>
          <w:rFonts w:ascii="Arial" w:hAnsi="Arial" w:cs="Arial"/>
          <w:b/>
          <w:bCs/>
          <w:sz w:val="28"/>
          <w:szCs w:val="28"/>
        </w:rPr>
        <w:lastRenderedPageBreak/>
        <w:t>Factors Relating to Business Transformation, Digital Technology Trends and Flexible Working at Cadbury</w:t>
      </w:r>
    </w:p>
    <w:p w14:paraId="4FCB1EB7" w14:textId="760A9C02" w:rsidR="00613EA5" w:rsidRPr="00613EA5" w:rsidRDefault="00613EA5" w:rsidP="00613EA5">
      <w:pPr>
        <w:rPr>
          <w:rFonts w:ascii="Arial" w:hAnsi="Arial" w:cs="Arial"/>
          <w:sz w:val="22"/>
          <w:szCs w:val="22"/>
        </w:rPr>
      </w:pPr>
      <w:r w:rsidRPr="00613EA5">
        <w:rPr>
          <w:rFonts w:ascii="Arial" w:hAnsi="Arial" w:cs="Arial"/>
          <w:sz w:val="22"/>
          <w:szCs w:val="22"/>
        </w:rPr>
        <w:t>In recent years, Cadbury has undergone significant business transformation driven by internal organisational goals and external market pressures. As part of Mondelēz International, Cadbury operates in a competitive global food manufacturing environment where efficiency, innovation, and rapid response to consumer demand are central to sustained success. Business transformation within Cadbury has been shaped by increasing automation in manufacturing, restructuring across departments, and the adoption of data-driven operational systems aimed at improving productivity, quality control, and cost efficiency. These organisational changes, while strategically beneficial, have also contributed to uncertainty among employees, particularly those with long service who may perceive transformation as a threat to job security, role identity, and organisational culture.</w:t>
      </w:r>
    </w:p>
    <w:p w14:paraId="3E6641C0" w14:textId="77777777" w:rsidR="00613EA5" w:rsidRPr="00613EA5" w:rsidRDefault="00613EA5" w:rsidP="00613EA5">
      <w:pPr>
        <w:rPr>
          <w:rFonts w:ascii="Arial" w:hAnsi="Arial" w:cs="Arial"/>
          <w:sz w:val="22"/>
          <w:szCs w:val="22"/>
        </w:rPr>
      </w:pPr>
    </w:p>
    <w:p w14:paraId="73F53279" w14:textId="3BB3D921" w:rsidR="00613EA5" w:rsidRPr="00613EA5" w:rsidRDefault="00613EA5" w:rsidP="00613EA5">
      <w:pPr>
        <w:rPr>
          <w:rFonts w:ascii="Arial" w:hAnsi="Arial" w:cs="Arial"/>
          <w:sz w:val="22"/>
          <w:szCs w:val="22"/>
        </w:rPr>
      </w:pPr>
      <w:r w:rsidRPr="00613EA5">
        <w:rPr>
          <w:rFonts w:ascii="Arial" w:hAnsi="Arial" w:cs="Arial"/>
          <w:sz w:val="22"/>
          <w:szCs w:val="22"/>
        </w:rPr>
        <w:t>Digital technology trends have played a central role in this shift. Cadbury has increasingly integrated Industry 4.0 systems, such as automated production lines, digital performance monitoring, artificial intelligence (AI)-supported quality inspection, and enterprise resource planning (ERP) software. These technologies are designed to streamline processes and reduce manual errors; however, their introduction has highlighted skill gaps within the existing workforce. Employees lacking confidence in digital literacy may feel overwhelmed, resistant to change, or anxious about job displacement. Additionally, the rapid implementation of digital systems has increased the volume of communication, reporting, and compliance procedures required for employees, which may contribute to feelings of workload intensification. From a cultural perspective, employees may also view digitalisation as diminishing the craftsmanship and heritage historically associated with the Cadbury brand.</w:t>
      </w:r>
    </w:p>
    <w:p w14:paraId="209E2FFD" w14:textId="77777777" w:rsidR="00613EA5" w:rsidRPr="00613EA5" w:rsidRDefault="00613EA5" w:rsidP="00613EA5">
      <w:pPr>
        <w:rPr>
          <w:rFonts w:ascii="Arial" w:hAnsi="Arial" w:cs="Arial"/>
          <w:sz w:val="22"/>
          <w:szCs w:val="22"/>
        </w:rPr>
      </w:pPr>
    </w:p>
    <w:p w14:paraId="6FA3C344" w14:textId="77777777" w:rsidR="00613EA5" w:rsidRPr="00613EA5" w:rsidRDefault="00613EA5" w:rsidP="00613EA5">
      <w:pPr>
        <w:rPr>
          <w:rFonts w:ascii="Arial" w:hAnsi="Arial" w:cs="Arial"/>
          <w:sz w:val="22"/>
          <w:szCs w:val="22"/>
        </w:rPr>
      </w:pPr>
      <w:r w:rsidRPr="00613EA5">
        <w:rPr>
          <w:rFonts w:ascii="Arial" w:hAnsi="Arial" w:cs="Arial"/>
          <w:sz w:val="22"/>
          <w:szCs w:val="22"/>
        </w:rPr>
        <w:t>Flexible working arrangements represent another significant factor influencing employee experience during transformation. Following the COVID-19 pandemic, Cadbury, like many organisations, adopted hybrid working for office-based staff, while manufacturing employees continued onsite work. This dual system has raised perceptions of inequality and fairness between employee groups. Office staff may benefit from improved work–life balance and autonomy, while factory workers may feel overlooked, undervalued, or excluded from modernisation benefits. Furthermore, flexible working has challenged traditional management structures, requiring leaders to adapt communication styles, implement digital collaboration tools, and shift from presenteeism-based supervision to outcome-based performance management.</w:t>
      </w:r>
    </w:p>
    <w:p w14:paraId="21C241D4" w14:textId="77777777" w:rsidR="00613EA5" w:rsidRDefault="00613EA5" w:rsidP="00613EA5">
      <w:pPr>
        <w:rPr>
          <w:rFonts w:ascii="Arial" w:hAnsi="Arial" w:cs="Arial"/>
          <w:sz w:val="22"/>
          <w:szCs w:val="22"/>
        </w:rPr>
      </w:pPr>
      <w:r w:rsidRPr="00613EA5">
        <w:rPr>
          <w:rFonts w:ascii="Arial" w:hAnsi="Arial" w:cs="Arial"/>
          <w:sz w:val="22"/>
          <w:szCs w:val="22"/>
        </w:rPr>
        <w:t xml:space="preserve">Another factor linked to flexible working is the change in team dynamics. Remote working may lead to reduced social interaction, weakened workplace bonds, and communication breakdowns. For some employees, particularly new starters, hybrid or remote working can create challenges in training, onboarding, and accessing informal support networks. Conversely, employees who prefer flexible working may perceive managerial attempts to restore traditional working patterns as restrictive or outdated. These contrasting employee </w:t>
      </w:r>
      <w:r w:rsidRPr="00613EA5">
        <w:rPr>
          <w:rFonts w:ascii="Arial" w:hAnsi="Arial" w:cs="Arial"/>
          <w:sz w:val="22"/>
          <w:szCs w:val="22"/>
        </w:rPr>
        <w:lastRenderedPageBreak/>
        <w:t>expectations can result in conflict, frustration, or reduced engagement if not managed effectively.</w:t>
      </w:r>
    </w:p>
    <w:p w14:paraId="09B2D93D" w14:textId="22D6B3F3" w:rsidR="00613EA5" w:rsidRPr="00613EA5" w:rsidRDefault="00613EA5" w:rsidP="00613EA5">
      <w:pPr>
        <w:rPr>
          <w:rFonts w:ascii="Arial" w:hAnsi="Arial" w:cs="Arial"/>
          <w:sz w:val="22"/>
          <w:szCs w:val="22"/>
        </w:rPr>
      </w:pPr>
      <w:r w:rsidRPr="00613EA5">
        <w:rPr>
          <w:rFonts w:ascii="Arial" w:hAnsi="Arial" w:cs="Arial"/>
          <w:sz w:val="22"/>
          <w:szCs w:val="22"/>
        </w:rPr>
        <w:t>The cumulative impact of these business transformation factors has contributed to an increased number of workplace grievances within Cadbury. Many grievances relate to communication issues, perceived lack of consultation, unclear expectations, and inconsistent implementation of new practices across departments. While the organisation understands that technological and operational change is necessary for future competitiveness, the pace and scale of change have created emotional strain among employees who must adapt rapidly.</w:t>
      </w:r>
    </w:p>
    <w:p w14:paraId="635CFB5C" w14:textId="40D041AB" w:rsidR="00613EA5" w:rsidRDefault="00613EA5" w:rsidP="00613EA5">
      <w:pPr>
        <w:rPr>
          <w:rFonts w:ascii="Arial" w:hAnsi="Arial" w:cs="Arial"/>
          <w:sz w:val="22"/>
          <w:szCs w:val="22"/>
        </w:rPr>
      </w:pPr>
      <w:r w:rsidRPr="00613EA5">
        <w:rPr>
          <w:rFonts w:ascii="Arial" w:hAnsi="Arial" w:cs="Arial"/>
          <w:sz w:val="22"/>
          <w:szCs w:val="22"/>
        </w:rPr>
        <w:t>Overall, business transformation, digitalisation, and flexible working have reshaped Cadbury’s working environment. While these factors support innovation and operational efficiency, they also create complex organisational challenges. Addressing these concerns requires strong leadership, effective communication, and HR practices tailored to the evolving workforce expectations. The next section will examine contemporary HR strategies that can be applied to minimise disruption, strengthen engagement, and support employees throughout the transformation process</w:t>
      </w:r>
    </w:p>
    <w:p w14:paraId="6904626F" w14:textId="77777777" w:rsidR="00613EA5" w:rsidRDefault="00613EA5" w:rsidP="00613EA5">
      <w:pPr>
        <w:rPr>
          <w:rFonts w:ascii="Arial" w:hAnsi="Arial" w:cs="Arial"/>
          <w:sz w:val="22"/>
          <w:szCs w:val="22"/>
        </w:rPr>
      </w:pPr>
    </w:p>
    <w:p w14:paraId="27851F2E" w14:textId="77777777" w:rsidR="00613EA5" w:rsidRDefault="00613EA5" w:rsidP="00613EA5">
      <w:pPr>
        <w:rPr>
          <w:rFonts w:ascii="Arial" w:hAnsi="Arial" w:cs="Arial"/>
          <w:sz w:val="22"/>
          <w:szCs w:val="22"/>
        </w:rPr>
      </w:pPr>
    </w:p>
    <w:p w14:paraId="4C133C20" w14:textId="77777777" w:rsidR="00613EA5" w:rsidRDefault="00613EA5" w:rsidP="00613EA5">
      <w:pPr>
        <w:rPr>
          <w:rFonts w:ascii="Arial" w:hAnsi="Arial" w:cs="Arial"/>
          <w:sz w:val="22"/>
          <w:szCs w:val="22"/>
        </w:rPr>
      </w:pPr>
    </w:p>
    <w:p w14:paraId="554AD3A2" w14:textId="77777777" w:rsidR="00AB551B" w:rsidRDefault="00AB551B" w:rsidP="00613EA5">
      <w:pPr>
        <w:rPr>
          <w:rFonts w:ascii="Arial" w:hAnsi="Arial" w:cs="Arial"/>
          <w:b/>
          <w:bCs/>
          <w:sz w:val="32"/>
          <w:szCs w:val="32"/>
        </w:rPr>
      </w:pPr>
    </w:p>
    <w:p w14:paraId="1F8B44B6" w14:textId="77777777" w:rsidR="00AB551B" w:rsidRDefault="00AB551B" w:rsidP="00613EA5">
      <w:pPr>
        <w:rPr>
          <w:rFonts w:ascii="Arial" w:hAnsi="Arial" w:cs="Arial"/>
          <w:b/>
          <w:bCs/>
          <w:sz w:val="32"/>
          <w:szCs w:val="32"/>
        </w:rPr>
      </w:pPr>
    </w:p>
    <w:p w14:paraId="3E10B981" w14:textId="77777777" w:rsidR="00AB551B" w:rsidRDefault="00AB551B" w:rsidP="00613EA5">
      <w:pPr>
        <w:rPr>
          <w:rFonts w:ascii="Arial" w:hAnsi="Arial" w:cs="Arial"/>
          <w:b/>
          <w:bCs/>
          <w:sz w:val="32"/>
          <w:szCs w:val="32"/>
        </w:rPr>
      </w:pPr>
    </w:p>
    <w:p w14:paraId="5842F7F9" w14:textId="77777777" w:rsidR="00AB551B" w:rsidRDefault="00AB551B" w:rsidP="00613EA5">
      <w:pPr>
        <w:rPr>
          <w:rFonts w:ascii="Arial" w:hAnsi="Arial" w:cs="Arial"/>
          <w:b/>
          <w:bCs/>
          <w:sz w:val="32"/>
          <w:szCs w:val="32"/>
        </w:rPr>
      </w:pPr>
    </w:p>
    <w:p w14:paraId="77FD3DEE" w14:textId="77777777" w:rsidR="00AB551B" w:rsidRDefault="00AB551B" w:rsidP="00613EA5">
      <w:pPr>
        <w:rPr>
          <w:rFonts w:ascii="Arial" w:hAnsi="Arial" w:cs="Arial"/>
          <w:b/>
          <w:bCs/>
          <w:sz w:val="32"/>
          <w:szCs w:val="32"/>
        </w:rPr>
      </w:pPr>
    </w:p>
    <w:p w14:paraId="60E5D56C" w14:textId="77777777" w:rsidR="00AB551B" w:rsidRDefault="00AB551B" w:rsidP="00613EA5">
      <w:pPr>
        <w:rPr>
          <w:rFonts w:ascii="Arial" w:hAnsi="Arial" w:cs="Arial"/>
          <w:b/>
          <w:bCs/>
          <w:sz w:val="32"/>
          <w:szCs w:val="32"/>
        </w:rPr>
      </w:pPr>
    </w:p>
    <w:p w14:paraId="72A70110" w14:textId="77777777" w:rsidR="00AB551B" w:rsidRDefault="00AB551B" w:rsidP="00613EA5">
      <w:pPr>
        <w:rPr>
          <w:rFonts w:ascii="Arial" w:hAnsi="Arial" w:cs="Arial"/>
          <w:b/>
          <w:bCs/>
          <w:sz w:val="32"/>
          <w:szCs w:val="32"/>
        </w:rPr>
      </w:pPr>
    </w:p>
    <w:p w14:paraId="3FD94602" w14:textId="6C3970BD" w:rsidR="00613EA5" w:rsidRDefault="00613EA5" w:rsidP="00613EA5">
      <w:pPr>
        <w:rPr>
          <w:rFonts w:ascii="Arial" w:hAnsi="Arial" w:cs="Arial"/>
          <w:b/>
          <w:bCs/>
          <w:sz w:val="32"/>
          <w:szCs w:val="32"/>
        </w:rPr>
      </w:pPr>
      <w:r w:rsidRPr="00613EA5">
        <w:rPr>
          <w:rFonts w:ascii="Arial" w:hAnsi="Arial" w:cs="Arial"/>
          <w:b/>
          <w:bCs/>
          <w:sz w:val="32"/>
          <w:szCs w:val="32"/>
        </w:rPr>
        <w:t>Evaluation of Contemporary HR Practices to Address Transformation, Digitalisation and Flexible Working at Cadbury</w:t>
      </w:r>
    </w:p>
    <w:p w14:paraId="46D04223" w14:textId="77777777" w:rsidR="00613EA5" w:rsidRPr="00613EA5" w:rsidRDefault="00613EA5" w:rsidP="00613EA5">
      <w:pPr>
        <w:rPr>
          <w:rFonts w:ascii="Arial" w:hAnsi="Arial" w:cs="Arial"/>
          <w:sz w:val="22"/>
          <w:szCs w:val="22"/>
        </w:rPr>
      </w:pPr>
      <w:r w:rsidRPr="00613EA5">
        <w:rPr>
          <w:rFonts w:ascii="Arial" w:hAnsi="Arial" w:cs="Arial"/>
          <w:sz w:val="22"/>
          <w:szCs w:val="22"/>
        </w:rPr>
        <w:t>To successfully manage business transformation, digital technology integration, and flexible working arrangements, Cadbury must adopt contemporary Human Resource practices that support both organisational objectives and employee wellbeing. The following section evaluates several HR strategies that are particularly relevant to the current challenges faced within the organisation.</w:t>
      </w:r>
    </w:p>
    <w:p w14:paraId="3AA7AA8F" w14:textId="77777777" w:rsidR="00613EA5" w:rsidRPr="00613EA5" w:rsidRDefault="00613EA5" w:rsidP="00613EA5">
      <w:pPr>
        <w:rPr>
          <w:rFonts w:ascii="Arial" w:hAnsi="Arial" w:cs="Arial"/>
          <w:sz w:val="22"/>
          <w:szCs w:val="22"/>
        </w:rPr>
      </w:pPr>
      <w:r w:rsidRPr="00613EA5">
        <w:rPr>
          <w:rFonts w:ascii="Arial" w:hAnsi="Arial" w:cs="Arial"/>
          <w:sz w:val="22"/>
          <w:szCs w:val="22"/>
        </w:rPr>
        <w:lastRenderedPageBreak/>
        <w:t>One of the most effective HR practices for supporting transformation is strategic change management, which includes a structured approach to planning, communicating, and implementing change. This involves early employee consultation, transparent communication about the purpose and benefits of transformation, and opportunities for staff feedback. When employees feel informed and included in decision-making, resistance to change is reduced and trust in leadership strengthened. At Cadbury, adopting a more robust change management framework would help to address grievances related to fear, uncertainty, and perceived unfairness.</w:t>
      </w:r>
    </w:p>
    <w:p w14:paraId="36445F1A" w14:textId="5C96C8B3" w:rsidR="00613EA5" w:rsidRPr="00613EA5" w:rsidRDefault="00613EA5" w:rsidP="00613EA5">
      <w:pPr>
        <w:rPr>
          <w:rFonts w:ascii="Arial" w:hAnsi="Arial" w:cs="Arial"/>
          <w:sz w:val="22"/>
          <w:szCs w:val="22"/>
        </w:rPr>
      </w:pPr>
      <w:r w:rsidRPr="00613EA5">
        <w:rPr>
          <w:rFonts w:ascii="Arial" w:hAnsi="Arial" w:cs="Arial"/>
          <w:sz w:val="22"/>
          <w:szCs w:val="22"/>
        </w:rPr>
        <w:t>Another key HR practice relates to continuous learning and development to address the digital skill gaps emerging from technological advancements. Cadbury can implement digital skills-based training, reskilling programmes, and personalised learning pathways to help employees adapt to new technologies at a comfortable pace. Offering certifications, mentoring, and peer-learning initiatives not only supports performance readiness but also</w:t>
      </w:r>
      <w:r>
        <w:rPr>
          <w:rFonts w:ascii="Arial" w:hAnsi="Arial" w:cs="Arial"/>
          <w:sz w:val="22"/>
          <w:szCs w:val="22"/>
        </w:rPr>
        <w:t xml:space="preserve"> </w:t>
      </w:r>
      <w:r w:rsidRPr="00613EA5">
        <w:rPr>
          <w:rFonts w:ascii="Arial" w:hAnsi="Arial" w:cs="Arial"/>
          <w:sz w:val="22"/>
          <w:szCs w:val="22"/>
        </w:rPr>
        <w:t xml:space="preserve">enhances employee confidence and engagement. Employees are more likely to embrace digitalisation if they understand </w:t>
      </w:r>
      <w:proofErr w:type="gramStart"/>
      <w:r w:rsidRPr="00613EA5">
        <w:rPr>
          <w:rFonts w:ascii="Arial" w:hAnsi="Arial" w:cs="Arial"/>
          <w:sz w:val="22"/>
          <w:szCs w:val="22"/>
        </w:rPr>
        <w:t>how</w:t>
      </w:r>
      <w:proofErr w:type="gramEnd"/>
      <w:r>
        <w:rPr>
          <w:rFonts w:ascii="Arial" w:hAnsi="Arial" w:cs="Arial"/>
          <w:sz w:val="22"/>
          <w:szCs w:val="22"/>
        </w:rPr>
        <w:t xml:space="preserve"> </w:t>
      </w:r>
      <w:r w:rsidRPr="00613EA5">
        <w:rPr>
          <w:rFonts w:ascii="Arial" w:hAnsi="Arial" w:cs="Arial"/>
          <w:sz w:val="22"/>
          <w:szCs w:val="22"/>
        </w:rPr>
        <w:t>it enhances their roles instead of replacing them.</w:t>
      </w:r>
    </w:p>
    <w:p w14:paraId="63EB5598" w14:textId="77777777" w:rsidR="00613EA5" w:rsidRPr="00613EA5" w:rsidRDefault="00613EA5" w:rsidP="00613EA5">
      <w:pPr>
        <w:rPr>
          <w:rFonts w:ascii="Arial" w:hAnsi="Arial" w:cs="Arial"/>
          <w:sz w:val="22"/>
          <w:szCs w:val="22"/>
        </w:rPr>
      </w:pPr>
      <w:r w:rsidRPr="00613EA5">
        <w:rPr>
          <w:rFonts w:ascii="Arial" w:hAnsi="Arial" w:cs="Arial"/>
          <w:sz w:val="22"/>
          <w:szCs w:val="22"/>
        </w:rPr>
        <w:t>To complement skills development, HR can introduce talent management strategies focused on career progression within the new digital landscape. Workforce planning, internal mobility schemes, and talent pipelines ensure employees see long-term opportunities within the organisation rather than fear redundancy. This practice addresses a core cause of grievances: anxiety around job security. By reinforcing the message that transformation enables future growth for employees as well as the business, Cadbury can strengthen organisational commitment.</w:t>
      </w:r>
    </w:p>
    <w:p w14:paraId="605E693C" w14:textId="77777777" w:rsidR="00613EA5" w:rsidRPr="00613EA5" w:rsidRDefault="00613EA5" w:rsidP="00613EA5">
      <w:pPr>
        <w:rPr>
          <w:rFonts w:ascii="Arial" w:hAnsi="Arial" w:cs="Arial"/>
          <w:sz w:val="22"/>
          <w:szCs w:val="22"/>
        </w:rPr>
      </w:pPr>
      <w:r w:rsidRPr="00613EA5">
        <w:rPr>
          <w:rFonts w:ascii="Arial" w:hAnsi="Arial" w:cs="Arial"/>
          <w:sz w:val="22"/>
          <w:szCs w:val="22"/>
        </w:rPr>
        <w:t>Where flexible working is concerned, clear and fair hybrid working policies are essential. The HR department must ensure consistent and equitable practices between remote and onsite workers. This includes establishing role-based criteria for hybrid eligibility, transparent scheduling systems, and equal access to training and development opportunities. Providing factory workers with flexibility alternatives — such as shift-swapping, compressed hours, or wellbeing-focused benefits — can reduce the perceived divide between employee groups. Fairness in policy implementation is crucial for preventing grievances related to workplace inequality.</w:t>
      </w:r>
    </w:p>
    <w:p w14:paraId="697D9304" w14:textId="77777777" w:rsidR="00613EA5" w:rsidRPr="00613EA5" w:rsidRDefault="00613EA5" w:rsidP="00613EA5">
      <w:pPr>
        <w:rPr>
          <w:rFonts w:ascii="Arial" w:hAnsi="Arial" w:cs="Arial"/>
          <w:sz w:val="22"/>
          <w:szCs w:val="22"/>
        </w:rPr>
      </w:pPr>
      <w:r w:rsidRPr="00613EA5">
        <w:rPr>
          <w:rFonts w:ascii="Arial" w:hAnsi="Arial" w:cs="Arial"/>
          <w:sz w:val="22"/>
          <w:szCs w:val="22"/>
        </w:rPr>
        <w:t>Digital collaboration tools form an essential part of flexible working, but their success depends on effective performance management. HR can support managers by introducing outcome-based performance frameworks that focus on productivity and quality rather than physical presence. This practice requires managers to set clearer objectives, have regular check-ins, and encourage self-management skills within teams. A performance model aligned with flexible working promotes trust, autonomy, and accountability — all of which contribute to improved morale and reduced conflict.</w:t>
      </w:r>
    </w:p>
    <w:p w14:paraId="2784DA61" w14:textId="77777777" w:rsidR="00613EA5" w:rsidRPr="00613EA5" w:rsidRDefault="00613EA5" w:rsidP="00613EA5">
      <w:pPr>
        <w:rPr>
          <w:rFonts w:ascii="Arial" w:hAnsi="Arial" w:cs="Arial"/>
          <w:sz w:val="22"/>
          <w:szCs w:val="22"/>
        </w:rPr>
      </w:pPr>
      <w:r w:rsidRPr="00613EA5">
        <w:rPr>
          <w:rFonts w:ascii="Arial" w:hAnsi="Arial" w:cs="Arial"/>
          <w:sz w:val="22"/>
          <w:szCs w:val="22"/>
        </w:rPr>
        <w:t>Employee wellbeing has become a strategic priority within modern HR management. Cadbury can strengthen wellbeing initiatives by providing mental health support services, digital wellbeing training, and workload management processes. Wellbeing ambassadors and HR business partners can offer early-intervention support before concerns escalate into formal grievances. When employees feel valued and supported on a personal level, they are more resilient to organisational change.</w:t>
      </w:r>
    </w:p>
    <w:p w14:paraId="46D3737D" w14:textId="77777777" w:rsidR="00613EA5" w:rsidRPr="00613EA5" w:rsidRDefault="00613EA5" w:rsidP="00613EA5">
      <w:pPr>
        <w:rPr>
          <w:rFonts w:ascii="Arial" w:hAnsi="Arial" w:cs="Arial"/>
          <w:sz w:val="22"/>
          <w:szCs w:val="22"/>
        </w:rPr>
      </w:pPr>
      <w:r w:rsidRPr="00613EA5">
        <w:rPr>
          <w:rFonts w:ascii="Arial" w:hAnsi="Arial" w:cs="Arial"/>
          <w:sz w:val="22"/>
          <w:szCs w:val="22"/>
        </w:rPr>
        <w:lastRenderedPageBreak/>
        <w:t>Finally, employee voice mechanisms are critical to maintaining positive relations. HR can implement regular pulse surveys, digital suggestion platforms, open forums, and enhanced grievance resolution procedures. Giving employees a safe environment to express concerns helps the HR team identify emerging issues early and respond effectively. This practice also reinforces a culture of transparency and empathy, both of which are essential for maintaining trust during transformation.</w:t>
      </w:r>
    </w:p>
    <w:p w14:paraId="1D005AFD" w14:textId="1F9E6594" w:rsidR="00613EA5" w:rsidRDefault="00613EA5" w:rsidP="00613EA5">
      <w:pPr>
        <w:rPr>
          <w:rFonts w:ascii="Arial" w:hAnsi="Arial" w:cs="Arial"/>
          <w:sz w:val="22"/>
          <w:szCs w:val="22"/>
        </w:rPr>
      </w:pPr>
      <w:r w:rsidRPr="00613EA5">
        <w:rPr>
          <w:rFonts w:ascii="Arial" w:hAnsi="Arial" w:cs="Arial"/>
          <w:sz w:val="22"/>
          <w:szCs w:val="22"/>
        </w:rPr>
        <w:t>Overall, contemporary HR practices such as structured change management, digital-skills development, fair hybrid policy enforcement, updated performance management frameworks, wellbeing initiatives, and enhanced employee voice mechanisms are essential tools for addressing the challenges Cadbury faces. When combined, these practices not only reduce workplace grievances but also unlock the full potential of business transformation. The following section will critically examine how departmental managers can ensure these practices are implemented urgently and consistently across the organisation</w:t>
      </w:r>
      <w:r>
        <w:rPr>
          <w:rFonts w:ascii="Arial" w:hAnsi="Arial" w:cs="Arial"/>
          <w:sz w:val="22"/>
          <w:szCs w:val="22"/>
        </w:rPr>
        <w:t>.</w:t>
      </w:r>
    </w:p>
    <w:p w14:paraId="41F1317A" w14:textId="77777777" w:rsidR="00AB551B" w:rsidRDefault="00AB551B" w:rsidP="00613EA5">
      <w:pPr>
        <w:rPr>
          <w:rFonts w:ascii="Arial" w:hAnsi="Arial" w:cs="Arial"/>
          <w:b/>
          <w:bCs/>
          <w:sz w:val="32"/>
          <w:szCs w:val="32"/>
        </w:rPr>
      </w:pPr>
    </w:p>
    <w:p w14:paraId="7B2307C1" w14:textId="77777777" w:rsidR="00AB551B" w:rsidRDefault="00AB551B" w:rsidP="00613EA5">
      <w:pPr>
        <w:rPr>
          <w:rFonts w:ascii="Arial" w:hAnsi="Arial" w:cs="Arial"/>
          <w:b/>
          <w:bCs/>
          <w:sz w:val="32"/>
          <w:szCs w:val="32"/>
        </w:rPr>
      </w:pPr>
    </w:p>
    <w:p w14:paraId="73105250" w14:textId="77777777" w:rsidR="00AB551B" w:rsidRDefault="00AB551B" w:rsidP="00613EA5">
      <w:pPr>
        <w:rPr>
          <w:rFonts w:ascii="Arial" w:hAnsi="Arial" w:cs="Arial"/>
          <w:b/>
          <w:bCs/>
          <w:sz w:val="32"/>
          <w:szCs w:val="32"/>
        </w:rPr>
      </w:pPr>
    </w:p>
    <w:p w14:paraId="385E8CB1" w14:textId="77777777" w:rsidR="00AB551B" w:rsidRDefault="00AB551B" w:rsidP="00613EA5">
      <w:pPr>
        <w:rPr>
          <w:rFonts w:ascii="Arial" w:hAnsi="Arial" w:cs="Arial"/>
          <w:b/>
          <w:bCs/>
          <w:sz w:val="32"/>
          <w:szCs w:val="32"/>
        </w:rPr>
      </w:pPr>
    </w:p>
    <w:p w14:paraId="559992D8" w14:textId="77777777" w:rsidR="00AB551B" w:rsidRDefault="00AB551B" w:rsidP="00613EA5">
      <w:pPr>
        <w:rPr>
          <w:rFonts w:ascii="Arial" w:hAnsi="Arial" w:cs="Arial"/>
          <w:b/>
          <w:bCs/>
          <w:sz w:val="32"/>
          <w:szCs w:val="32"/>
        </w:rPr>
      </w:pPr>
    </w:p>
    <w:p w14:paraId="33E9113F" w14:textId="77777777" w:rsidR="00AB551B" w:rsidRDefault="00AB551B" w:rsidP="00613EA5">
      <w:pPr>
        <w:rPr>
          <w:rFonts w:ascii="Arial" w:hAnsi="Arial" w:cs="Arial"/>
          <w:b/>
          <w:bCs/>
          <w:sz w:val="32"/>
          <w:szCs w:val="32"/>
        </w:rPr>
      </w:pPr>
    </w:p>
    <w:p w14:paraId="400317B2" w14:textId="77777777" w:rsidR="00AB551B" w:rsidRDefault="00AB551B" w:rsidP="00613EA5">
      <w:pPr>
        <w:rPr>
          <w:rFonts w:ascii="Arial" w:hAnsi="Arial" w:cs="Arial"/>
          <w:b/>
          <w:bCs/>
          <w:sz w:val="32"/>
          <w:szCs w:val="32"/>
        </w:rPr>
      </w:pPr>
    </w:p>
    <w:p w14:paraId="0A409E1B" w14:textId="77777777" w:rsidR="00AB551B" w:rsidRDefault="00AB551B" w:rsidP="00613EA5">
      <w:pPr>
        <w:rPr>
          <w:rFonts w:ascii="Arial" w:hAnsi="Arial" w:cs="Arial"/>
          <w:b/>
          <w:bCs/>
          <w:sz w:val="32"/>
          <w:szCs w:val="32"/>
        </w:rPr>
      </w:pPr>
    </w:p>
    <w:p w14:paraId="12A693A4" w14:textId="77777777" w:rsidR="00AB551B" w:rsidRDefault="00AB551B" w:rsidP="00613EA5">
      <w:pPr>
        <w:rPr>
          <w:rFonts w:ascii="Arial" w:hAnsi="Arial" w:cs="Arial"/>
          <w:b/>
          <w:bCs/>
          <w:sz w:val="32"/>
          <w:szCs w:val="32"/>
        </w:rPr>
      </w:pPr>
    </w:p>
    <w:p w14:paraId="4B322F3E" w14:textId="77777777" w:rsidR="00AB551B" w:rsidRDefault="00AB551B" w:rsidP="00613EA5">
      <w:pPr>
        <w:rPr>
          <w:rFonts w:ascii="Arial" w:hAnsi="Arial" w:cs="Arial"/>
          <w:b/>
          <w:bCs/>
          <w:sz w:val="32"/>
          <w:szCs w:val="32"/>
        </w:rPr>
      </w:pPr>
    </w:p>
    <w:p w14:paraId="63B47B29" w14:textId="77777777" w:rsidR="00AB551B" w:rsidRDefault="00AB551B" w:rsidP="00613EA5">
      <w:pPr>
        <w:rPr>
          <w:rFonts w:ascii="Arial" w:hAnsi="Arial" w:cs="Arial"/>
          <w:b/>
          <w:bCs/>
          <w:sz w:val="32"/>
          <w:szCs w:val="32"/>
        </w:rPr>
      </w:pPr>
    </w:p>
    <w:p w14:paraId="44C552CC" w14:textId="5F4B381C" w:rsidR="00613EA5" w:rsidRDefault="00613EA5" w:rsidP="00613EA5">
      <w:pPr>
        <w:rPr>
          <w:rFonts w:ascii="Arial" w:hAnsi="Arial" w:cs="Arial"/>
          <w:b/>
          <w:bCs/>
          <w:sz w:val="32"/>
          <w:szCs w:val="32"/>
        </w:rPr>
      </w:pPr>
      <w:r w:rsidRPr="00613EA5">
        <w:rPr>
          <w:rFonts w:ascii="Arial" w:hAnsi="Arial" w:cs="Arial"/>
          <w:b/>
          <w:bCs/>
          <w:sz w:val="32"/>
          <w:szCs w:val="32"/>
        </w:rPr>
        <w:t>Critical Evaluation of How Managers Can Ensure These HR Practices Are Implemented Urgently</w:t>
      </w:r>
    </w:p>
    <w:p w14:paraId="2183ECCC" w14:textId="77777777" w:rsidR="00613EA5" w:rsidRDefault="00613EA5" w:rsidP="00613EA5">
      <w:pPr>
        <w:rPr>
          <w:rFonts w:ascii="Arial" w:hAnsi="Arial" w:cs="Arial"/>
          <w:sz w:val="22"/>
          <w:szCs w:val="22"/>
        </w:rPr>
      </w:pPr>
      <w:r w:rsidRPr="00613EA5">
        <w:rPr>
          <w:rFonts w:ascii="Arial" w:hAnsi="Arial" w:cs="Arial"/>
          <w:sz w:val="22"/>
          <w:szCs w:val="22"/>
        </w:rPr>
        <w:t>The successful implementation of contemporary HR practices at Cadbury depends significantly on the capability and commitment of departmental managers. While HR can design policies and frameworks, managers act as the operational link between strategy and day-to-day reality. Therefore, strong, adaptive leadership is essential to ensure that the proposed practices are embedded effectively and with urgency.</w:t>
      </w:r>
    </w:p>
    <w:p w14:paraId="6246EA05" w14:textId="4A866956" w:rsidR="00613EA5" w:rsidRPr="00613EA5" w:rsidRDefault="00613EA5" w:rsidP="00613EA5">
      <w:pPr>
        <w:rPr>
          <w:rFonts w:ascii="Arial" w:hAnsi="Arial" w:cs="Arial"/>
          <w:sz w:val="22"/>
          <w:szCs w:val="22"/>
        </w:rPr>
      </w:pPr>
      <w:r w:rsidRPr="00613EA5">
        <w:rPr>
          <w:rFonts w:ascii="Arial" w:hAnsi="Arial" w:cs="Arial"/>
          <w:sz w:val="22"/>
          <w:szCs w:val="22"/>
        </w:rPr>
        <w:t xml:space="preserve">One key responsibility of departmental managers is to demonstrate visible and consistent leadership throughout the implementation process. This includes clearly communicating why </w:t>
      </w:r>
      <w:r w:rsidRPr="00613EA5">
        <w:rPr>
          <w:rFonts w:ascii="Arial" w:hAnsi="Arial" w:cs="Arial"/>
          <w:sz w:val="22"/>
          <w:szCs w:val="22"/>
        </w:rPr>
        <w:lastRenderedPageBreak/>
        <w:t>change is necessary, what is expected, and how the transformation aligns with organisational values and long-term goals. When managers communicate confidently and consistently, employees are more likely to view changes as purposeful rather than disruptive. However, where leadership communication is inconsistent or reactive, resistance and mistrust may increase. Managers must therefore prioritise communication planning as a core part of implementation rather than as an optional step.</w:t>
      </w:r>
    </w:p>
    <w:p w14:paraId="7F00CBB9" w14:textId="5D201ECE" w:rsidR="00613EA5" w:rsidRPr="00613EA5" w:rsidRDefault="00613EA5" w:rsidP="00613EA5">
      <w:pPr>
        <w:rPr>
          <w:rFonts w:ascii="Arial" w:hAnsi="Arial" w:cs="Arial"/>
          <w:sz w:val="22"/>
          <w:szCs w:val="22"/>
        </w:rPr>
      </w:pPr>
      <w:r w:rsidRPr="00613EA5">
        <w:rPr>
          <w:rFonts w:ascii="Arial" w:hAnsi="Arial" w:cs="Arial"/>
          <w:sz w:val="22"/>
          <w:szCs w:val="22"/>
        </w:rPr>
        <w:t>To ensure urgent implementation, managers also need to adopt a coaching-based leadership style rather than a top-down directive approach. Coaching encourages employee engagement, collaboration, and problem-solving, helping individuals adapt to new systems and working arrangements. Managers who provide regular feedback, mentoring, and learning support contribute to a positive change experience and help reinforce the organisation’s learning and development initiatives. Without this relational style of leadership, employees may feel unsupported or overwhelmed by change, leading to delays and additional grievances.</w:t>
      </w:r>
    </w:p>
    <w:p w14:paraId="5C94727D" w14:textId="77777777" w:rsidR="00613EA5" w:rsidRPr="00613EA5" w:rsidRDefault="00613EA5" w:rsidP="00613EA5">
      <w:pPr>
        <w:rPr>
          <w:rFonts w:ascii="Arial" w:hAnsi="Arial" w:cs="Arial"/>
          <w:sz w:val="22"/>
          <w:szCs w:val="22"/>
        </w:rPr>
      </w:pPr>
      <w:r w:rsidRPr="00613EA5">
        <w:rPr>
          <w:rFonts w:ascii="Arial" w:hAnsi="Arial" w:cs="Arial"/>
          <w:sz w:val="22"/>
          <w:szCs w:val="22"/>
        </w:rPr>
        <w:t>Monitoring progress and employee response is another critical area. Managers must apply data-driven performance and wellbeing monitoring to understand whether new practices are effective. This may include using digital dashboards to track KPIs, monitoring employee engagement scores, or reviewing feedback from pulse surveys and one-to-one meetings. Acting promptly on emerging issues helps prevent small frustrations from escalating into resistance or disengagement.</w:t>
      </w:r>
    </w:p>
    <w:p w14:paraId="7EE8EEF3" w14:textId="77777777" w:rsidR="00613EA5" w:rsidRPr="00613EA5" w:rsidRDefault="00613EA5" w:rsidP="00613EA5">
      <w:pPr>
        <w:rPr>
          <w:rFonts w:ascii="Arial" w:hAnsi="Arial" w:cs="Arial"/>
          <w:sz w:val="22"/>
          <w:szCs w:val="22"/>
        </w:rPr>
      </w:pPr>
      <w:r w:rsidRPr="00613EA5">
        <w:rPr>
          <w:rFonts w:ascii="Arial" w:hAnsi="Arial" w:cs="Arial"/>
          <w:sz w:val="22"/>
          <w:szCs w:val="22"/>
        </w:rPr>
        <w:t>Consistency in implementing flexible working policies is also essential. Managers must ensure fairness in scheduling, workload distribution, access to opportunities, and performance evaluation. This requires a mindset shift from presenteeism to outcomes-focused management. Without consistency, flexible working may reinforce inequality rather than mitigating it, worsening rather than reducing workplace grievances.</w:t>
      </w:r>
    </w:p>
    <w:p w14:paraId="7FFA6557" w14:textId="77777777" w:rsidR="00613EA5" w:rsidRPr="00613EA5" w:rsidRDefault="00613EA5" w:rsidP="00613EA5">
      <w:pPr>
        <w:rPr>
          <w:rFonts w:ascii="Arial" w:hAnsi="Arial" w:cs="Arial"/>
          <w:sz w:val="22"/>
          <w:szCs w:val="22"/>
        </w:rPr>
      </w:pPr>
      <w:r w:rsidRPr="00613EA5">
        <w:rPr>
          <w:rFonts w:ascii="Arial" w:hAnsi="Arial" w:cs="Arial"/>
          <w:sz w:val="22"/>
          <w:szCs w:val="22"/>
        </w:rPr>
        <w:t>To support urgent implementation, managers must also develop strong collaboration with HR. This includes participating in training, attending policy briefings, and offering practical feedback to refine or adapt processes. Managers who attempt to implement change independently without HR partnership may unintentionally create conflicting practices across departments, causing confusion and dissatisfaction.</w:t>
      </w:r>
    </w:p>
    <w:p w14:paraId="05EEA29D" w14:textId="77777777" w:rsidR="00613EA5" w:rsidRDefault="00613EA5" w:rsidP="00613EA5">
      <w:pPr>
        <w:rPr>
          <w:rFonts w:ascii="Arial" w:hAnsi="Arial" w:cs="Arial"/>
          <w:sz w:val="22"/>
          <w:szCs w:val="22"/>
        </w:rPr>
      </w:pPr>
      <w:r w:rsidRPr="00613EA5">
        <w:rPr>
          <w:rFonts w:ascii="Arial" w:hAnsi="Arial" w:cs="Arial"/>
          <w:sz w:val="22"/>
          <w:szCs w:val="22"/>
        </w:rPr>
        <w:t>Finally, managers must lead by example by embracing digital tools, flexible practices, and continuous learning themselves. Employees are more likely to adopt new behaviours when they see leaders modelling them confidently. Conversely, if managers resist change or revert to old habits, employees will follow suit, slowing organisational progress.</w:t>
      </w:r>
    </w:p>
    <w:p w14:paraId="3FE5DC20" w14:textId="3150DB02" w:rsidR="00613EA5" w:rsidRDefault="00613EA5" w:rsidP="00613EA5">
      <w:pPr>
        <w:rPr>
          <w:rFonts w:ascii="Arial" w:hAnsi="Arial" w:cs="Arial"/>
          <w:sz w:val="22"/>
          <w:szCs w:val="22"/>
        </w:rPr>
      </w:pPr>
      <w:r w:rsidRPr="00613EA5">
        <w:rPr>
          <w:rFonts w:ascii="Arial" w:hAnsi="Arial" w:cs="Arial"/>
          <w:sz w:val="22"/>
          <w:szCs w:val="22"/>
        </w:rPr>
        <w:t>In summary, departmental managers play a critical role in ensuring urgent and successful implementation of contemporary HR practices at Cadbury. Through consistent communication, coaching-based leadership, data-driven decision-making, fair application of flexible working policies, HR collaboration, and role modelling, managers can create a supportive environment where transformation is understood, accepted, and embedded across the organisation. These behaviours are essential not only to reduce current grievances but also to strengthen Cadbury’s long-term organisational culture and readiness for future change.</w:t>
      </w:r>
    </w:p>
    <w:p w14:paraId="0AE58263" w14:textId="77777777" w:rsidR="00613EA5" w:rsidRDefault="00613EA5" w:rsidP="00613EA5">
      <w:pPr>
        <w:rPr>
          <w:rFonts w:ascii="Arial" w:hAnsi="Arial" w:cs="Arial"/>
          <w:sz w:val="22"/>
          <w:szCs w:val="22"/>
        </w:rPr>
      </w:pPr>
    </w:p>
    <w:p w14:paraId="08EF08B9" w14:textId="77777777" w:rsidR="00613EA5" w:rsidRDefault="00613EA5" w:rsidP="00613EA5">
      <w:pPr>
        <w:rPr>
          <w:rFonts w:ascii="Arial" w:hAnsi="Arial" w:cs="Arial"/>
          <w:sz w:val="22"/>
          <w:szCs w:val="22"/>
        </w:rPr>
      </w:pPr>
    </w:p>
    <w:p w14:paraId="707BAC53" w14:textId="77777777" w:rsidR="00613EA5" w:rsidRDefault="00613EA5" w:rsidP="00613EA5">
      <w:pPr>
        <w:rPr>
          <w:rFonts w:ascii="Arial" w:hAnsi="Arial" w:cs="Arial"/>
          <w:sz w:val="22"/>
          <w:szCs w:val="22"/>
        </w:rPr>
      </w:pPr>
    </w:p>
    <w:p w14:paraId="2CF731D7" w14:textId="77777777" w:rsidR="00613EA5" w:rsidRDefault="00613EA5" w:rsidP="00613EA5">
      <w:pPr>
        <w:rPr>
          <w:rFonts w:ascii="Arial" w:hAnsi="Arial" w:cs="Arial"/>
          <w:sz w:val="22"/>
          <w:szCs w:val="22"/>
        </w:rPr>
      </w:pPr>
    </w:p>
    <w:p w14:paraId="0783D9A6" w14:textId="77777777" w:rsidR="00613EA5" w:rsidRDefault="00613EA5" w:rsidP="00613EA5">
      <w:pPr>
        <w:rPr>
          <w:rFonts w:ascii="Arial" w:hAnsi="Arial" w:cs="Arial"/>
          <w:sz w:val="22"/>
          <w:szCs w:val="22"/>
        </w:rPr>
      </w:pPr>
    </w:p>
    <w:p w14:paraId="3288595F" w14:textId="77777777" w:rsidR="00613EA5" w:rsidRDefault="00613EA5" w:rsidP="00613EA5">
      <w:pPr>
        <w:rPr>
          <w:rFonts w:ascii="Arial" w:hAnsi="Arial" w:cs="Arial"/>
          <w:sz w:val="22"/>
          <w:szCs w:val="22"/>
        </w:rPr>
      </w:pPr>
    </w:p>
    <w:p w14:paraId="32B0FEA4" w14:textId="77777777" w:rsidR="00613EA5" w:rsidRDefault="00613EA5" w:rsidP="00613EA5">
      <w:pPr>
        <w:rPr>
          <w:rFonts w:ascii="Arial" w:hAnsi="Arial" w:cs="Arial"/>
          <w:sz w:val="22"/>
          <w:szCs w:val="22"/>
        </w:rPr>
      </w:pPr>
    </w:p>
    <w:p w14:paraId="7FE5471A" w14:textId="77777777" w:rsidR="00613EA5" w:rsidRDefault="00613EA5" w:rsidP="00613EA5">
      <w:pPr>
        <w:rPr>
          <w:rFonts w:ascii="Arial" w:hAnsi="Arial" w:cs="Arial"/>
          <w:sz w:val="22"/>
          <w:szCs w:val="22"/>
        </w:rPr>
      </w:pPr>
    </w:p>
    <w:p w14:paraId="1974DC20" w14:textId="77777777" w:rsidR="00613EA5" w:rsidRDefault="00613EA5" w:rsidP="00613EA5">
      <w:pPr>
        <w:rPr>
          <w:rFonts w:ascii="Arial" w:hAnsi="Arial" w:cs="Arial"/>
          <w:sz w:val="22"/>
          <w:szCs w:val="22"/>
        </w:rPr>
      </w:pPr>
    </w:p>
    <w:p w14:paraId="701F39DD" w14:textId="77777777" w:rsidR="00613EA5" w:rsidRDefault="00613EA5" w:rsidP="00613EA5">
      <w:pPr>
        <w:rPr>
          <w:rFonts w:ascii="Arial" w:hAnsi="Arial" w:cs="Arial"/>
          <w:sz w:val="22"/>
          <w:szCs w:val="22"/>
        </w:rPr>
      </w:pPr>
    </w:p>
    <w:p w14:paraId="70858D3A" w14:textId="77777777" w:rsidR="00613EA5" w:rsidRDefault="00613EA5" w:rsidP="00613EA5">
      <w:pPr>
        <w:rPr>
          <w:rFonts w:ascii="Arial" w:hAnsi="Arial" w:cs="Arial"/>
          <w:sz w:val="22"/>
          <w:szCs w:val="22"/>
        </w:rPr>
      </w:pPr>
    </w:p>
    <w:p w14:paraId="4B287FBC" w14:textId="77777777" w:rsidR="00613EA5" w:rsidRDefault="00613EA5" w:rsidP="00613EA5">
      <w:pPr>
        <w:rPr>
          <w:rFonts w:ascii="Arial" w:hAnsi="Arial" w:cs="Arial"/>
          <w:sz w:val="22"/>
          <w:szCs w:val="22"/>
        </w:rPr>
      </w:pPr>
    </w:p>
    <w:p w14:paraId="38831FDD" w14:textId="77777777" w:rsidR="00613EA5" w:rsidRDefault="00613EA5" w:rsidP="00613EA5">
      <w:pPr>
        <w:rPr>
          <w:rFonts w:ascii="Arial" w:hAnsi="Arial" w:cs="Arial"/>
          <w:sz w:val="22"/>
          <w:szCs w:val="22"/>
        </w:rPr>
      </w:pPr>
    </w:p>
    <w:p w14:paraId="19A4E0BC" w14:textId="77777777" w:rsidR="00613EA5" w:rsidRDefault="00613EA5" w:rsidP="00613EA5">
      <w:pPr>
        <w:rPr>
          <w:rFonts w:ascii="Arial" w:hAnsi="Arial" w:cs="Arial"/>
          <w:sz w:val="22"/>
          <w:szCs w:val="22"/>
        </w:rPr>
      </w:pPr>
    </w:p>
    <w:p w14:paraId="05B7E331" w14:textId="77777777" w:rsidR="00613EA5" w:rsidRDefault="00613EA5" w:rsidP="00613EA5">
      <w:pPr>
        <w:rPr>
          <w:rFonts w:ascii="Arial" w:hAnsi="Arial" w:cs="Arial"/>
          <w:sz w:val="22"/>
          <w:szCs w:val="22"/>
        </w:rPr>
      </w:pPr>
    </w:p>
    <w:p w14:paraId="08C2E66A" w14:textId="77777777" w:rsidR="00613EA5" w:rsidRDefault="00613EA5" w:rsidP="00613EA5">
      <w:pPr>
        <w:rPr>
          <w:rFonts w:ascii="Arial" w:hAnsi="Arial" w:cs="Arial"/>
          <w:sz w:val="22"/>
          <w:szCs w:val="22"/>
        </w:rPr>
      </w:pPr>
    </w:p>
    <w:p w14:paraId="14392D2F" w14:textId="77777777" w:rsidR="00613EA5" w:rsidRDefault="00613EA5" w:rsidP="00613EA5">
      <w:pPr>
        <w:rPr>
          <w:rFonts w:ascii="Arial" w:hAnsi="Arial" w:cs="Arial"/>
          <w:sz w:val="22"/>
          <w:szCs w:val="22"/>
        </w:rPr>
      </w:pPr>
    </w:p>
    <w:p w14:paraId="0AD00031" w14:textId="77777777" w:rsidR="00613EA5" w:rsidRDefault="00613EA5" w:rsidP="00613EA5">
      <w:pPr>
        <w:rPr>
          <w:rFonts w:ascii="Arial" w:hAnsi="Arial" w:cs="Arial"/>
          <w:sz w:val="22"/>
          <w:szCs w:val="22"/>
        </w:rPr>
      </w:pPr>
    </w:p>
    <w:p w14:paraId="76070ED8" w14:textId="77777777" w:rsidR="00613EA5" w:rsidRDefault="00613EA5" w:rsidP="00613EA5">
      <w:pPr>
        <w:rPr>
          <w:rFonts w:ascii="Arial" w:hAnsi="Arial" w:cs="Arial"/>
          <w:sz w:val="22"/>
          <w:szCs w:val="22"/>
        </w:rPr>
      </w:pPr>
    </w:p>
    <w:p w14:paraId="08E602B3" w14:textId="77777777" w:rsidR="00613EA5" w:rsidRDefault="00613EA5" w:rsidP="00613EA5">
      <w:pPr>
        <w:rPr>
          <w:rFonts w:ascii="Arial" w:hAnsi="Arial" w:cs="Arial"/>
          <w:sz w:val="22"/>
          <w:szCs w:val="22"/>
        </w:rPr>
      </w:pPr>
    </w:p>
    <w:p w14:paraId="238DA2B7" w14:textId="77777777" w:rsidR="00613EA5" w:rsidRDefault="00613EA5" w:rsidP="00613EA5">
      <w:pPr>
        <w:rPr>
          <w:rFonts w:ascii="Arial" w:hAnsi="Arial" w:cs="Arial"/>
          <w:sz w:val="22"/>
          <w:szCs w:val="22"/>
        </w:rPr>
      </w:pPr>
    </w:p>
    <w:p w14:paraId="4785EE28" w14:textId="77777777" w:rsidR="00613EA5" w:rsidRDefault="00613EA5" w:rsidP="00613EA5">
      <w:pPr>
        <w:rPr>
          <w:rFonts w:ascii="Arial" w:hAnsi="Arial" w:cs="Arial"/>
          <w:sz w:val="22"/>
          <w:szCs w:val="22"/>
        </w:rPr>
      </w:pPr>
    </w:p>
    <w:p w14:paraId="58711DB7" w14:textId="77777777" w:rsidR="00613EA5" w:rsidRDefault="00613EA5" w:rsidP="00613EA5">
      <w:pPr>
        <w:rPr>
          <w:rFonts w:ascii="Arial" w:hAnsi="Arial" w:cs="Arial"/>
          <w:sz w:val="22"/>
          <w:szCs w:val="22"/>
        </w:rPr>
      </w:pPr>
    </w:p>
    <w:p w14:paraId="0CE3A599" w14:textId="77777777" w:rsidR="00613EA5" w:rsidRDefault="00613EA5" w:rsidP="00613EA5">
      <w:pPr>
        <w:rPr>
          <w:rFonts w:ascii="Arial" w:hAnsi="Arial" w:cs="Arial"/>
          <w:sz w:val="22"/>
          <w:szCs w:val="22"/>
        </w:rPr>
      </w:pPr>
    </w:p>
    <w:p w14:paraId="57532933" w14:textId="77777777" w:rsidR="00613EA5" w:rsidRDefault="00613EA5" w:rsidP="00613EA5">
      <w:pPr>
        <w:rPr>
          <w:rFonts w:ascii="Arial" w:hAnsi="Arial" w:cs="Arial"/>
          <w:sz w:val="22"/>
          <w:szCs w:val="22"/>
        </w:rPr>
      </w:pPr>
    </w:p>
    <w:p w14:paraId="18EBB094" w14:textId="0A5AC563" w:rsidR="00613EA5" w:rsidRPr="00613EA5" w:rsidRDefault="00613EA5" w:rsidP="00613EA5">
      <w:pPr>
        <w:rPr>
          <w:rFonts w:ascii="Arial" w:hAnsi="Arial" w:cs="Arial"/>
          <w:b/>
          <w:bCs/>
          <w:sz w:val="36"/>
          <w:szCs w:val="36"/>
        </w:rPr>
      </w:pPr>
      <w:r w:rsidRPr="00613EA5">
        <w:rPr>
          <w:rFonts w:ascii="Arial" w:hAnsi="Arial" w:cs="Arial"/>
          <w:b/>
          <w:bCs/>
          <w:sz w:val="36"/>
          <w:szCs w:val="36"/>
        </w:rPr>
        <w:t>Conclusion</w:t>
      </w:r>
    </w:p>
    <w:p w14:paraId="209B66E5" w14:textId="77777777" w:rsidR="00613EA5" w:rsidRPr="00613EA5" w:rsidRDefault="00613EA5" w:rsidP="00613EA5">
      <w:pPr>
        <w:rPr>
          <w:rFonts w:ascii="Arial" w:hAnsi="Arial" w:cs="Arial"/>
          <w:sz w:val="22"/>
          <w:szCs w:val="22"/>
        </w:rPr>
      </w:pPr>
      <w:r w:rsidRPr="00613EA5">
        <w:rPr>
          <w:rFonts w:ascii="Arial" w:hAnsi="Arial" w:cs="Arial"/>
          <w:sz w:val="22"/>
          <w:szCs w:val="22"/>
        </w:rPr>
        <w:t>Cadbury’s current business transformation presents both opportunities and challenges. The introduction of digital technologies and flexible work models offers potential improvements in efficiency, innovation, and workforce satisfaction. However, these developments have also contributed to increased grievances associated with uncertainty, skill gaps, communication challenges, cultural disruption, and perceptions of unequal treatment.</w:t>
      </w:r>
    </w:p>
    <w:p w14:paraId="63BC8072" w14:textId="77777777" w:rsidR="00613EA5" w:rsidRPr="00613EA5" w:rsidRDefault="00613EA5" w:rsidP="00613EA5">
      <w:pPr>
        <w:rPr>
          <w:rFonts w:ascii="Arial" w:hAnsi="Arial" w:cs="Arial"/>
          <w:sz w:val="22"/>
          <w:szCs w:val="22"/>
        </w:rPr>
      </w:pPr>
      <w:r w:rsidRPr="00613EA5">
        <w:rPr>
          <w:rFonts w:ascii="Arial" w:hAnsi="Arial" w:cs="Arial"/>
          <w:sz w:val="22"/>
          <w:szCs w:val="22"/>
        </w:rPr>
        <w:t xml:space="preserve">To address these concerns, Cadbury must apply contemporary HR practices such as structured change management, digital learning and development, equitable hybrid working </w:t>
      </w:r>
      <w:r w:rsidRPr="00613EA5">
        <w:rPr>
          <w:rFonts w:ascii="Arial" w:hAnsi="Arial" w:cs="Arial"/>
          <w:sz w:val="22"/>
          <w:szCs w:val="22"/>
        </w:rPr>
        <w:lastRenderedPageBreak/>
        <w:t>policies, wellbeing support, and enhanced employee voice mechanisms. While HR can design and facilitate these strategies, successful implementation ultimately relies on departmental managers.</w:t>
      </w:r>
    </w:p>
    <w:p w14:paraId="639F1005" w14:textId="6224AF81" w:rsidR="00613EA5" w:rsidRPr="00613EA5" w:rsidRDefault="00613EA5" w:rsidP="00613EA5">
      <w:pPr>
        <w:rPr>
          <w:rFonts w:ascii="Arial" w:hAnsi="Arial" w:cs="Arial"/>
          <w:sz w:val="22"/>
          <w:szCs w:val="22"/>
        </w:rPr>
      </w:pPr>
      <w:r w:rsidRPr="00613EA5">
        <w:rPr>
          <w:rFonts w:ascii="Arial" w:hAnsi="Arial" w:cs="Arial"/>
          <w:sz w:val="22"/>
          <w:szCs w:val="22"/>
        </w:rPr>
        <w:t>Managers must adopt adaptive leadership behaviours that prioritise transparent communication, coaching, fairness, performance monitoring, and strong collaboration with HR. By doing so, managers will help ease employee anxiety, strengthen motivation, and reduce resistance to transformation.</w:t>
      </w:r>
    </w:p>
    <w:p w14:paraId="0765EB7B" w14:textId="683668AE" w:rsidR="00613EA5" w:rsidRDefault="00613EA5" w:rsidP="00613EA5">
      <w:pPr>
        <w:rPr>
          <w:rFonts w:ascii="Arial" w:hAnsi="Arial" w:cs="Arial"/>
          <w:sz w:val="22"/>
          <w:szCs w:val="22"/>
        </w:rPr>
      </w:pPr>
      <w:r w:rsidRPr="00613EA5">
        <w:rPr>
          <w:rFonts w:ascii="Arial" w:hAnsi="Arial" w:cs="Arial"/>
          <w:sz w:val="22"/>
          <w:szCs w:val="22"/>
        </w:rPr>
        <w:t>Overall, ensuring effective implementation of these HR practices will support Cadbury in building a resilient, inclusive, and future-ready workforce capable of thriving within a modern digital manufacturing environment.</w:t>
      </w:r>
    </w:p>
    <w:p w14:paraId="6DDDDFF6" w14:textId="77777777" w:rsidR="006A3381" w:rsidRDefault="006A3381" w:rsidP="00613EA5">
      <w:pPr>
        <w:rPr>
          <w:rFonts w:ascii="Arial" w:hAnsi="Arial" w:cs="Arial"/>
          <w:sz w:val="22"/>
          <w:szCs w:val="22"/>
        </w:rPr>
      </w:pPr>
    </w:p>
    <w:p w14:paraId="52612FC1" w14:textId="77777777" w:rsidR="006A3381" w:rsidRDefault="006A3381" w:rsidP="00613EA5">
      <w:pPr>
        <w:rPr>
          <w:rFonts w:ascii="Arial" w:hAnsi="Arial" w:cs="Arial"/>
          <w:sz w:val="22"/>
          <w:szCs w:val="22"/>
        </w:rPr>
      </w:pPr>
    </w:p>
    <w:p w14:paraId="2CF5CACB" w14:textId="77777777" w:rsidR="006A3381" w:rsidRDefault="006A3381" w:rsidP="00613EA5">
      <w:pPr>
        <w:rPr>
          <w:rFonts w:ascii="Arial" w:hAnsi="Arial" w:cs="Arial"/>
          <w:sz w:val="22"/>
          <w:szCs w:val="22"/>
        </w:rPr>
      </w:pPr>
    </w:p>
    <w:p w14:paraId="5FCC7070" w14:textId="77777777" w:rsidR="006A3381" w:rsidRDefault="006A3381" w:rsidP="00613EA5">
      <w:pPr>
        <w:rPr>
          <w:rFonts w:ascii="Arial" w:hAnsi="Arial" w:cs="Arial"/>
          <w:sz w:val="22"/>
          <w:szCs w:val="22"/>
        </w:rPr>
      </w:pPr>
    </w:p>
    <w:p w14:paraId="137ABBD1" w14:textId="77777777" w:rsidR="006A3381" w:rsidRDefault="006A3381" w:rsidP="00613EA5">
      <w:pPr>
        <w:rPr>
          <w:rFonts w:ascii="Arial" w:hAnsi="Arial" w:cs="Arial"/>
          <w:sz w:val="22"/>
          <w:szCs w:val="22"/>
        </w:rPr>
      </w:pPr>
    </w:p>
    <w:p w14:paraId="72F87A69" w14:textId="77777777" w:rsidR="006A3381" w:rsidRDefault="006A3381" w:rsidP="00613EA5">
      <w:pPr>
        <w:rPr>
          <w:rFonts w:ascii="Arial" w:hAnsi="Arial" w:cs="Arial"/>
          <w:sz w:val="22"/>
          <w:szCs w:val="22"/>
        </w:rPr>
      </w:pPr>
    </w:p>
    <w:p w14:paraId="72F5DC99" w14:textId="77777777" w:rsidR="006A3381" w:rsidRDefault="006A3381" w:rsidP="00613EA5">
      <w:pPr>
        <w:rPr>
          <w:rFonts w:ascii="Arial" w:hAnsi="Arial" w:cs="Arial"/>
          <w:sz w:val="22"/>
          <w:szCs w:val="22"/>
        </w:rPr>
      </w:pPr>
    </w:p>
    <w:p w14:paraId="341B8587" w14:textId="77777777" w:rsidR="006A3381" w:rsidRDefault="006A3381" w:rsidP="00613EA5">
      <w:pPr>
        <w:rPr>
          <w:rFonts w:ascii="Arial" w:hAnsi="Arial" w:cs="Arial"/>
          <w:sz w:val="22"/>
          <w:szCs w:val="22"/>
        </w:rPr>
      </w:pPr>
    </w:p>
    <w:p w14:paraId="531196A1" w14:textId="77777777" w:rsidR="006A3381" w:rsidRDefault="006A3381" w:rsidP="00613EA5">
      <w:pPr>
        <w:rPr>
          <w:rFonts w:ascii="Arial" w:hAnsi="Arial" w:cs="Arial"/>
          <w:sz w:val="22"/>
          <w:szCs w:val="22"/>
        </w:rPr>
      </w:pPr>
    </w:p>
    <w:p w14:paraId="1402D6C0" w14:textId="77777777" w:rsidR="006A3381" w:rsidRDefault="006A3381" w:rsidP="00613EA5">
      <w:pPr>
        <w:rPr>
          <w:rFonts w:ascii="Arial" w:hAnsi="Arial" w:cs="Arial"/>
          <w:sz w:val="22"/>
          <w:szCs w:val="22"/>
        </w:rPr>
      </w:pPr>
    </w:p>
    <w:p w14:paraId="1A2C140C" w14:textId="77777777" w:rsidR="006A3381" w:rsidRDefault="006A3381" w:rsidP="00613EA5">
      <w:pPr>
        <w:rPr>
          <w:rFonts w:ascii="Arial" w:hAnsi="Arial" w:cs="Arial"/>
          <w:sz w:val="22"/>
          <w:szCs w:val="22"/>
        </w:rPr>
      </w:pPr>
    </w:p>
    <w:p w14:paraId="19461EF1" w14:textId="77777777" w:rsidR="006A3381" w:rsidRDefault="006A3381" w:rsidP="00613EA5">
      <w:pPr>
        <w:rPr>
          <w:rFonts w:ascii="Arial" w:hAnsi="Arial" w:cs="Arial"/>
          <w:sz w:val="22"/>
          <w:szCs w:val="22"/>
        </w:rPr>
      </w:pPr>
    </w:p>
    <w:p w14:paraId="3D5047AF" w14:textId="77777777" w:rsidR="006A3381" w:rsidRDefault="006A3381" w:rsidP="00613EA5">
      <w:pPr>
        <w:rPr>
          <w:rFonts w:ascii="Arial" w:hAnsi="Arial" w:cs="Arial"/>
          <w:sz w:val="22"/>
          <w:szCs w:val="22"/>
        </w:rPr>
      </w:pPr>
    </w:p>
    <w:p w14:paraId="25B04466" w14:textId="77777777" w:rsidR="006A3381" w:rsidRDefault="006A3381" w:rsidP="00613EA5">
      <w:pPr>
        <w:rPr>
          <w:rFonts w:ascii="Arial" w:hAnsi="Arial" w:cs="Arial"/>
          <w:sz w:val="22"/>
          <w:szCs w:val="22"/>
        </w:rPr>
      </w:pPr>
    </w:p>
    <w:p w14:paraId="1407A3A8" w14:textId="77777777" w:rsidR="006A3381" w:rsidRDefault="006A3381" w:rsidP="00613EA5">
      <w:pPr>
        <w:rPr>
          <w:rFonts w:ascii="Arial" w:hAnsi="Arial" w:cs="Arial"/>
          <w:sz w:val="22"/>
          <w:szCs w:val="22"/>
        </w:rPr>
      </w:pPr>
    </w:p>
    <w:p w14:paraId="10D1EF67" w14:textId="77777777" w:rsidR="006A3381" w:rsidRDefault="006A3381" w:rsidP="00613EA5">
      <w:pPr>
        <w:rPr>
          <w:rFonts w:ascii="Arial" w:hAnsi="Arial" w:cs="Arial"/>
          <w:sz w:val="22"/>
          <w:szCs w:val="22"/>
        </w:rPr>
      </w:pPr>
    </w:p>
    <w:p w14:paraId="75A038E2" w14:textId="77777777" w:rsidR="006A3381" w:rsidRDefault="006A3381" w:rsidP="00613EA5">
      <w:pPr>
        <w:rPr>
          <w:rFonts w:ascii="Arial" w:hAnsi="Arial" w:cs="Arial"/>
          <w:sz w:val="22"/>
          <w:szCs w:val="22"/>
        </w:rPr>
      </w:pPr>
    </w:p>
    <w:p w14:paraId="05146B53" w14:textId="3DAECAA0" w:rsidR="006A3381" w:rsidRDefault="006A3381" w:rsidP="00613EA5">
      <w:pPr>
        <w:rPr>
          <w:rFonts w:ascii="Arial" w:hAnsi="Arial" w:cs="Arial"/>
          <w:b/>
          <w:bCs/>
          <w:sz w:val="28"/>
          <w:szCs w:val="28"/>
        </w:rPr>
      </w:pPr>
      <w:r w:rsidRPr="006A3381">
        <w:rPr>
          <w:rFonts w:ascii="Arial" w:hAnsi="Arial" w:cs="Arial"/>
          <w:b/>
          <w:bCs/>
          <w:sz w:val="28"/>
          <w:szCs w:val="28"/>
        </w:rPr>
        <w:t>Reference List</w:t>
      </w:r>
    </w:p>
    <w:p w14:paraId="5B79689E" w14:textId="77777777" w:rsidR="006A3381" w:rsidRDefault="006A3381" w:rsidP="006A3381">
      <w:pPr>
        <w:rPr>
          <w:rFonts w:ascii="Arial" w:hAnsi="Arial" w:cs="Arial"/>
          <w:b/>
          <w:bCs/>
          <w:sz w:val="28"/>
          <w:szCs w:val="28"/>
        </w:rPr>
      </w:pPr>
    </w:p>
    <w:p w14:paraId="157CCE3A" w14:textId="1EB3315C" w:rsidR="006A3381" w:rsidRDefault="006A3381" w:rsidP="006A3381">
      <w:r>
        <w:t xml:space="preserve">Armstrong, M. and Taylor, S. (2023) Armstrong’s handbook of human resource management practice. 16th </w:t>
      </w:r>
      <w:proofErr w:type="spellStart"/>
      <w:r>
        <w:t>edn</w:t>
      </w:r>
      <w:proofErr w:type="spellEnd"/>
      <w:r>
        <w:t>. London: Kogan Page.</w:t>
      </w:r>
    </w:p>
    <w:p w14:paraId="786E1AE8" w14:textId="31049B1E" w:rsidR="006A3381" w:rsidRDefault="006A3381" w:rsidP="006A3381">
      <w:r>
        <w:t>Beer, M. and Nohria, N. (2021) ‘Cracking the code of change’, Harvard Business Review, 99(4), pp. 58–67.</w:t>
      </w:r>
    </w:p>
    <w:p w14:paraId="432E439E" w14:textId="5A11D03A" w:rsidR="006A3381" w:rsidRDefault="006A3381" w:rsidP="006A3381">
      <w:r>
        <w:lastRenderedPageBreak/>
        <w:t xml:space="preserve">Burnes, B. (2020) Managing change. 8th </w:t>
      </w:r>
      <w:proofErr w:type="spellStart"/>
      <w:r>
        <w:t>edn</w:t>
      </w:r>
      <w:proofErr w:type="spellEnd"/>
      <w:r>
        <w:t>. Harlow: Pearson Education.</w:t>
      </w:r>
    </w:p>
    <w:p w14:paraId="453A7256" w14:textId="330B2E51" w:rsidR="006A3381" w:rsidRDefault="006A3381" w:rsidP="006A3381">
      <w:r>
        <w:t>Cadbury (2025) About us. Available at: https://www.cadbury.co.uk</w:t>
      </w:r>
    </w:p>
    <w:p w14:paraId="6D65E771" w14:textId="4F6A89E4" w:rsidR="006A3381" w:rsidRDefault="006A3381" w:rsidP="006A3381">
      <w:r>
        <w:t>CIPD (2024) Flexible working: employer guidance. Available at: https://www.cipd.org/uk/knowledge/fundamentals/emp-law/flexible-working/</w:t>
      </w:r>
    </w:p>
    <w:p w14:paraId="52C21303" w14:textId="1A28C945" w:rsidR="006A3381" w:rsidRDefault="006A3381" w:rsidP="006A3381">
      <w:r>
        <w:t xml:space="preserve"> CIPD (2023) Resourcing and talent planning survey. Available at: https://www.cipd.org</w:t>
      </w:r>
    </w:p>
    <w:p w14:paraId="1B3BA383" w14:textId="77777777" w:rsidR="006A3381" w:rsidRDefault="006A3381" w:rsidP="006A3381">
      <w:r>
        <w:t>Deloitte (2024) Workforce trends report: AI and digital transformation. Available at: https://www2.deloitte.com</w:t>
      </w:r>
    </w:p>
    <w:p w14:paraId="6B902380" w14:textId="77777777" w:rsidR="006A3381" w:rsidRDefault="006A3381" w:rsidP="006A3381">
      <w:r>
        <w:t>Kotter, J.P. (2018) Leading change. Boston, MA: Harvard Business Review Press.</w:t>
      </w:r>
    </w:p>
    <w:p w14:paraId="37DA1A46" w14:textId="77777777" w:rsidR="006A3381" w:rsidRDefault="006A3381" w:rsidP="006A3381">
      <w:r>
        <w:t>Mondelēz International (2024) Company strategy and sustainability report. Available at: https://www.mondelezinternational.com</w:t>
      </w:r>
    </w:p>
    <w:p w14:paraId="6B0E8197" w14:textId="77777777" w:rsidR="006A3381" w:rsidRDefault="006A3381" w:rsidP="006A3381">
      <w:r>
        <w:t>OECD (2023) The future of work: digital transformation and skills. Paris: OECD Publishing.</w:t>
      </w:r>
    </w:p>
    <w:p w14:paraId="40117F07" w14:textId="77777777" w:rsidR="006A3381" w:rsidRDefault="006A3381" w:rsidP="006A3381">
      <w:r>
        <w:t>Schaufeli, W.B. and Bakker, A.B. (2019) The burnout challenge: managing employee stress and wellbeing. Cambridge: Cambridge University Press.</w:t>
      </w:r>
    </w:p>
    <w:p w14:paraId="7A445554" w14:textId="77777777" w:rsidR="006A3381" w:rsidRDefault="006A3381" w:rsidP="006A3381">
      <w:r>
        <w:t xml:space="preserve">Schein, E.H. (2017) Organisational culture and leadership. 5th </w:t>
      </w:r>
      <w:proofErr w:type="spellStart"/>
      <w:r>
        <w:t>edn</w:t>
      </w:r>
      <w:proofErr w:type="spellEnd"/>
      <w:r>
        <w:t>. San Francisco: Jossey-Bass.</w:t>
      </w:r>
    </w:p>
    <w:p w14:paraId="1CA6E506" w14:textId="77777777" w:rsidR="006A3381" w:rsidRDefault="006A3381" w:rsidP="006A3381">
      <w:r>
        <w:t>Ulrich, D. and Brockbank, W. (2021) HR from the outside in: six competencies for the future of human resources. New York: McGraw-Hill.</w:t>
      </w:r>
    </w:p>
    <w:p w14:paraId="08D29392" w14:textId="77777777" w:rsidR="006A3381" w:rsidRDefault="006A3381" w:rsidP="006A3381">
      <w:r>
        <w:t>West, M. (2022) ‘Leadership, compassion and the future of work’, Journal of Management Studies, 59(3), pp. 411–429.</w:t>
      </w:r>
    </w:p>
    <w:p w14:paraId="2C61C7A6" w14:textId="77777777" w:rsidR="006A3381" w:rsidRDefault="006A3381" w:rsidP="006A3381">
      <w:r>
        <w:t>World Economic Forum (2024) Future of jobs report. Available at: https://www.weforum.org</w:t>
      </w:r>
    </w:p>
    <w:p w14:paraId="36ED488F" w14:textId="77777777" w:rsidR="006A3381" w:rsidRDefault="006A3381" w:rsidP="006A3381">
      <w:r>
        <w:t xml:space="preserve">Yukl, G. (2020) Leadership in organisations. 9th </w:t>
      </w:r>
      <w:proofErr w:type="spellStart"/>
      <w:r>
        <w:t>edn</w:t>
      </w:r>
      <w:proofErr w:type="spellEnd"/>
      <w:r>
        <w:t>. Harlow: Pearson Education.</w:t>
      </w:r>
    </w:p>
    <w:p w14:paraId="14C3AD3E" w14:textId="11C13F87" w:rsidR="00E52327" w:rsidRDefault="006A3381" w:rsidP="006A3381">
      <w:r>
        <w:t>Zuboff, S. (2019) The age of surveillance capitalism: the fight for a human future at the new frontier of power. London: Profile Books.</w:t>
      </w:r>
    </w:p>
    <w:sectPr w:rsidR="00E5232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771CA" w14:textId="77777777" w:rsidR="00213C3D" w:rsidRDefault="00213C3D" w:rsidP="006A3381">
      <w:pPr>
        <w:spacing w:after="0" w:line="240" w:lineRule="auto"/>
      </w:pPr>
      <w:r>
        <w:separator/>
      </w:r>
    </w:p>
  </w:endnote>
  <w:endnote w:type="continuationSeparator" w:id="0">
    <w:p w14:paraId="1690609A" w14:textId="77777777" w:rsidR="00213C3D" w:rsidRDefault="00213C3D" w:rsidP="006A3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3885089"/>
      <w:docPartObj>
        <w:docPartGallery w:val="Page Numbers (Bottom of Page)"/>
        <w:docPartUnique/>
      </w:docPartObj>
    </w:sdtPr>
    <w:sdtEndPr>
      <w:rPr>
        <w:noProof/>
      </w:rPr>
    </w:sdtEndPr>
    <w:sdtContent>
      <w:p w14:paraId="34AD8E91" w14:textId="08BFFBC2" w:rsidR="006A3381" w:rsidRDefault="006A3381">
        <w:pPr>
          <w:pStyle w:val="Footer"/>
        </w:pPr>
        <w:r>
          <w:fldChar w:fldCharType="begin"/>
        </w:r>
        <w:r>
          <w:instrText xml:space="preserve"> PAGE   \* MERGEFORMAT </w:instrText>
        </w:r>
        <w:r>
          <w:fldChar w:fldCharType="separate"/>
        </w:r>
        <w:r>
          <w:rPr>
            <w:noProof/>
          </w:rPr>
          <w:t>2</w:t>
        </w:r>
        <w:r>
          <w:rPr>
            <w:noProof/>
          </w:rPr>
          <w:fldChar w:fldCharType="end"/>
        </w:r>
      </w:p>
    </w:sdtContent>
  </w:sdt>
  <w:p w14:paraId="3D889825" w14:textId="77777777" w:rsidR="006A3381" w:rsidRDefault="006A3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92D6C" w14:textId="77777777" w:rsidR="00213C3D" w:rsidRDefault="00213C3D" w:rsidP="006A3381">
      <w:pPr>
        <w:spacing w:after="0" w:line="240" w:lineRule="auto"/>
      </w:pPr>
      <w:r>
        <w:separator/>
      </w:r>
    </w:p>
  </w:footnote>
  <w:footnote w:type="continuationSeparator" w:id="0">
    <w:p w14:paraId="319FB68D" w14:textId="77777777" w:rsidR="00213C3D" w:rsidRDefault="00213C3D" w:rsidP="006A33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327"/>
    <w:rsid w:val="00213C3D"/>
    <w:rsid w:val="00613EA5"/>
    <w:rsid w:val="006A3381"/>
    <w:rsid w:val="009A4BAF"/>
    <w:rsid w:val="00AB551B"/>
    <w:rsid w:val="00CD65D2"/>
    <w:rsid w:val="00D82C79"/>
    <w:rsid w:val="00DF7BA9"/>
    <w:rsid w:val="00E30AFB"/>
    <w:rsid w:val="00E52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D5F14"/>
  <w15:chartTrackingRefBased/>
  <w15:docId w15:val="{3AA550FE-9BD9-419B-988A-259B359EA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3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2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23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23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23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23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3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3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3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3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23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23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23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23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23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3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3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327"/>
    <w:rPr>
      <w:rFonts w:eastAsiaTheme="majorEastAsia" w:cstheme="majorBidi"/>
      <w:color w:val="272727" w:themeColor="text1" w:themeTint="D8"/>
    </w:rPr>
  </w:style>
  <w:style w:type="paragraph" w:styleId="Title">
    <w:name w:val="Title"/>
    <w:basedOn w:val="Normal"/>
    <w:next w:val="Normal"/>
    <w:link w:val="TitleChar"/>
    <w:uiPriority w:val="10"/>
    <w:qFormat/>
    <w:rsid w:val="00E523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3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3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3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327"/>
    <w:pPr>
      <w:spacing w:before="160"/>
      <w:jc w:val="center"/>
    </w:pPr>
    <w:rPr>
      <w:i/>
      <w:iCs/>
      <w:color w:val="404040" w:themeColor="text1" w:themeTint="BF"/>
    </w:rPr>
  </w:style>
  <w:style w:type="character" w:customStyle="1" w:styleId="QuoteChar">
    <w:name w:val="Quote Char"/>
    <w:basedOn w:val="DefaultParagraphFont"/>
    <w:link w:val="Quote"/>
    <w:uiPriority w:val="29"/>
    <w:rsid w:val="00E52327"/>
    <w:rPr>
      <w:i/>
      <w:iCs/>
      <w:color w:val="404040" w:themeColor="text1" w:themeTint="BF"/>
    </w:rPr>
  </w:style>
  <w:style w:type="paragraph" w:styleId="ListParagraph">
    <w:name w:val="List Paragraph"/>
    <w:basedOn w:val="Normal"/>
    <w:uiPriority w:val="34"/>
    <w:qFormat/>
    <w:rsid w:val="00E52327"/>
    <w:pPr>
      <w:ind w:left="720"/>
      <w:contextualSpacing/>
    </w:pPr>
  </w:style>
  <w:style w:type="character" w:styleId="IntenseEmphasis">
    <w:name w:val="Intense Emphasis"/>
    <w:basedOn w:val="DefaultParagraphFont"/>
    <w:uiPriority w:val="21"/>
    <w:qFormat/>
    <w:rsid w:val="00E52327"/>
    <w:rPr>
      <w:i/>
      <w:iCs/>
      <w:color w:val="0F4761" w:themeColor="accent1" w:themeShade="BF"/>
    </w:rPr>
  </w:style>
  <w:style w:type="paragraph" w:styleId="IntenseQuote">
    <w:name w:val="Intense Quote"/>
    <w:basedOn w:val="Normal"/>
    <w:next w:val="Normal"/>
    <w:link w:val="IntenseQuoteChar"/>
    <w:uiPriority w:val="30"/>
    <w:qFormat/>
    <w:rsid w:val="00E523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2327"/>
    <w:rPr>
      <w:i/>
      <w:iCs/>
      <w:color w:val="0F4761" w:themeColor="accent1" w:themeShade="BF"/>
    </w:rPr>
  </w:style>
  <w:style w:type="character" w:styleId="IntenseReference">
    <w:name w:val="Intense Reference"/>
    <w:basedOn w:val="DefaultParagraphFont"/>
    <w:uiPriority w:val="32"/>
    <w:qFormat/>
    <w:rsid w:val="00E52327"/>
    <w:rPr>
      <w:b/>
      <w:bCs/>
      <w:smallCaps/>
      <w:color w:val="0F4761" w:themeColor="accent1" w:themeShade="BF"/>
      <w:spacing w:val="5"/>
    </w:rPr>
  </w:style>
  <w:style w:type="character" w:styleId="Hyperlink">
    <w:name w:val="Hyperlink"/>
    <w:basedOn w:val="DefaultParagraphFont"/>
    <w:uiPriority w:val="99"/>
    <w:unhideWhenUsed/>
    <w:rsid w:val="00E52327"/>
    <w:rPr>
      <w:color w:val="467886" w:themeColor="hyperlink"/>
      <w:u w:val="single"/>
    </w:rPr>
  </w:style>
  <w:style w:type="character" w:styleId="UnresolvedMention">
    <w:name w:val="Unresolved Mention"/>
    <w:basedOn w:val="DefaultParagraphFont"/>
    <w:uiPriority w:val="99"/>
    <w:semiHidden/>
    <w:unhideWhenUsed/>
    <w:rsid w:val="00E52327"/>
    <w:rPr>
      <w:color w:val="605E5C"/>
      <w:shd w:val="clear" w:color="auto" w:fill="E1DFDD"/>
    </w:rPr>
  </w:style>
  <w:style w:type="paragraph" w:styleId="Header">
    <w:name w:val="header"/>
    <w:basedOn w:val="Normal"/>
    <w:link w:val="HeaderChar"/>
    <w:uiPriority w:val="99"/>
    <w:unhideWhenUsed/>
    <w:rsid w:val="006A3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381"/>
  </w:style>
  <w:style w:type="paragraph" w:styleId="Footer">
    <w:name w:val="footer"/>
    <w:basedOn w:val="Normal"/>
    <w:link w:val="FooterChar"/>
    <w:uiPriority w:val="99"/>
    <w:unhideWhenUsed/>
    <w:rsid w:val="006A3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381"/>
  </w:style>
  <w:style w:type="paragraph" w:styleId="TOCHeading">
    <w:name w:val="TOC Heading"/>
    <w:basedOn w:val="Heading1"/>
    <w:next w:val="Normal"/>
    <w:uiPriority w:val="39"/>
    <w:unhideWhenUsed/>
    <w:qFormat/>
    <w:rsid w:val="006A3381"/>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A3381"/>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6A3381"/>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6A3381"/>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0D44A-76FC-43D3-B45F-5BE8D5781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2791</Words>
  <Characters>15912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Netoi</dc:creator>
  <cp:keywords/>
  <dc:description/>
  <cp:lastModifiedBy>Ionut Netoi</cp:lastModifiedBy>
  <cp:revision>3</cp:revision>
  <dcterms:created xsi:type="dcterms:W3CDTF">2025-11-20T23:17:00Z</dcterms:created>
  <dcterms:modified xsi:type="dcterms:W3CDTF">2025-11-20T23:21:00Z</dcterms:modified>
</cp:coreProperties>
</file>