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Fonts w:ascii="Verdana" w:cs="Verdana" w:eastAsia="Verdana" w:hAnsi="Verdana"/>
          <w:b w:val="1"/>
          <w:color w:val="373a3c"/>
          <w:sz w:val="30"/>
          <w:szCs w:val="30"/>
          <w:highlight w:val="white"/>
          <w:rtl w:val="0"/>
        </w:rPr>
        <w:t xml:space="preserve">Examine the nature of Jewish-Muslim relations in the Middle Ages (2000)</w:t>
        <w:br w:type="textWrapping"/>
      </w:r>
      <w:r w:rsidDel="00000000" w:rsidR="00000000" w:rsidRPr="00000000">
        <w:rPr>
          <w:rFonts w:ascii="Verdana" w:cs="Verdana" w:eastAsia="Verdana" w:hAnsi="Verdana"/>
          <w:b w:val="1"/>
          <w:color w:val="373a3c"/>
          <w:sz w:val="26"/>
          <w:szCs w:val="26"/>
          <w:highlight w:val="white"/>
          <w:rtl w:val="0"/>
        </w:rPr>
        <w:br w:type="textWrapping"/>
      </w:r>
      <w:r w:rsidDel="00000000" w:rsidR="00000000" w:rsidRPr="00000000">
        <w:rPr>
          <w:rFonts w:ascii="Verdana" w:cs="Verdana" w:eastAsia="Verdana" w:hAnsi="Verdana"/>
          <w:color w:val="373a3c"/>
          <w:sz w:val="18"/>
          <w:szCs w:val="18"/>
          <w:highlight w:val="white"/>
          <w:rtl w:val="0"/>
        </w:rPr>
        <w:br w:type="textWrapping"/>
      </w:r>
      <w:r w:rsidDel="00000000" w:rsidR="00000000" w:rsidRPr="00000000">
        <w:rPr>
          <w:rFonts w:ascii="Verdana" w:cs="Verdana" w:eastAsia="Verdana" w:hAnsi="Verdana"/>
          <w:sz w:val="20"/>
          <w:szCs w:val="20"/>
          <w:highlight w:val="white"/>
          <w:rtl w:val="0"/>
        </w:rPr>
        <w:t xml:space="preserve">In this essay, the nature of Jewish-Muslim relations shall be examined, more specifically, the relations between the two under Islamic rule in Spain (the territory known as</w:t>
        <w:br w:type="textWrapping"/>
        <w:t xml:space="preserve">Al-Andalus), and with a particular focus on the “Golden Age” of Spanish Jewry. Was this proclaimed “Golden Age” truly a time of religious tolerance and mutually beneficial relationships? Or was it a time of degradation and discrimination? And to what extent if so?</w:t>
        <w:br w:type="textWrapping"/>
        <w:br w:type="textWrapping"/>
        <w:t xml:space="preserve">In order to understand the nature of the Jewish-Muslim relations in the middle ages, we must first examine the legal standing of jews and other non-muslims in Al-Andalus.</w:t>
        <w:br w:type="textWrapping"/>
        <w:t xml:space="preserve">After the rapid expansion of the muslim dominance in the 7th century (CE), muslim leaders were required to find a way of dealing with the non-muslims, who still made up the majority of the population in the areas that had been conquered. Mass apostasy was unlikely, so the way in which they dealt with this issue, was to create the concept of a </w:t>
      </w:r>
      <w:r w:rsidDel="00000000" w:rsidR="00000000" w:rsidRPr="00000000">
        <w:rPr>
          <w:rFonts w:ascii="Verdana" w:cs="Verdana" w:eastAsia="Verdana" w:hAnsi="Verdana"/>
          <w:i w:val="1"/>
          <w:sz w:val="20"/>
          <w:szCs w:val="20"/>
          <w:highlight w:val="white"/>
          <w:rtl w:val="0"/>
        </w:rPr>
        <w:t xml:space="preserve">dhimmi.</w:t>
      </w:r>
      <w:r w:rsidDel="00000000" w:rsidR="00000000" w:rsidRPr="00000000">
        <w:rPr>
          <w:rFonts w:ascii="Verdana" w:cs="Verdana" w:eastAsia="Verdana" w:hAnsi="Verdana"/>
          <w:sz w:val="20"/>
          <w:szCs w:val="20"/>
          <w:highlight w:val="white"/>
          <w:rtl w:val="0"/>
        </w:rPr>
        <w:t xml:space="preserve"> Dhimmi (or dhimmis) were ‘people of the book’ or ‘ahl al-kitab’</w:t>
      </w:r>
      <w:r w:rsidDel="00000000" w:rsidR="00000000" w:rsidRPr="00000000">
        <w:rPr>
          <w:rFonts w:ascii="Verdana" w:cs="Verdana" w:eastAsia="Verdana" w:hAnsi="Verdana"/>
          <w:sz w:val="20"/>
          <w:szCs w:val="20"/>
          <w:highlight w:val="white"/>
          <w:vertAlign w:val="superscript"/>
        </w:rPr>
        <w:footnoteReference w:customMarkFollows="0" w:id="0"/>
      </w:r>
      <w:r w:rsidDel="00000000" w:rsidR="00000000" w:rsidRPr="00000000">
        <w:rPr>
          <w:rFonts w:ascii="Verdana" w:cs="Verdana" w:eastAsia="Verdana" w:hAnsi="Verdana"/>
          <w:sz w:val="20"/>
          <w:szCs w:val="20"/>
          <w:highlight w:val="white"/>
          <w:rtl w:val="0"/>
        </w:rPr>
        <w:t xml:space="preserve">, and were members of a protected religion, and therefore able to qualify for a place (albeit, second-class and restricted) in muslims society. This term was used to refer specifically to the monotheistic religions (predominantly Jews and Christians), as Muhammad himself had come into contact with both, and while he resented their rejection of his mission to convert them, he respected them as the bearers of divinely (yet distorted) revealed scripture, and ordered them to be tolerated upon payment of </w:t>
      </w:r>
      <w:r w:rsidDel="00000000" w:rsidR="00000000" w:rsidRPr="00000000">
        <w:rPr>
          <w:rFonts w:ascii="Verdana" w:cs="Verdana" w:eastAsia="Verdana" w:hAnsi="Verdana"/>
          <w:i w:val="1"/>
          <w:sz w:val="20"/>
          <w:szCs w:val="20"/>
          <w:highlight w:val="white"/>
          <w:rtl w:val="0"/>
        </w:rPr>
        <w:t xml:space="preserve">jizya </w:t>
      </w:r>
      <w:r w:rsidDel="00000000" w:rsidR="00000000" w:rsidRPr="00000000">
        <w:rPr>
          <w:rFonts w:ascii="Verdana" w:cs="Verdana" w:eastAsia="Verdana" w:hAnsi="Verdana"/>
          <w:sz w:val="20"/>
          <w:szCs w:val="20"/>
          <w:highlight w:val="white"/>
          <w:rtl w:val="0"/>
        </w:rPr>
        <w:t xml:space="preserve">(a poll tax paid by non-muslim subordinates). The notion of the payment by dhimmis is prescribed in scripture as it states “Fight against those to whom the scriptures were given… until they pay tribute out of hand and are utterly subdued” (Repentance 9:29). The legal precedent relating to  dhimmis was first attributed to the caliph ‘Umar ibn al-Khattab (634-644 CE), and a letter he received from the Christians of Syria, which indicated the terms on which they were willing to submit, which the caliph accepted. This became known as the ‘Pact of Umar’.</w:t>
        <w:br w:type="textWrapping"/>
        <w:br w:type="textWrapping"/>
        <w:t xml:space="preserve">The agreement to allow this pact to be enforced had long-lasting repercussions for the jews and other non-muslims living under muslims rule. While dhimmis were permitted to practise their own religions (to a certain extent), there were many restrictions placed upon them, which was permitted under this pact and under Islamic law. For example, dhimmis were not allowed to take up arms (due to them still making up the majority of the population), no new places of worship were to be built, only old ones restored, and they were made to wear distinctive clothing. Additionally, they were also ordered to build their homes on a slightly lower level than the houses of muslims, and were required to stand when a muslims man sat down, as a sign of respect. As well as paying jizya, they were made to pay higher rates on other taxes than muslims.The requirement of these restrictions did not fulfil any practical need within the society, so it has led some scholars to believe that it was purely to reassert the idea that while they were under muslim protection, they were merely second-class citizens, and in no way equals, and that they should feel shame for being an unbeliever.  Mark Cohen is one of these particular scholars, and states that “Muslim regulations were intended to underscore and reinforce the social hierarchy, of which non-Muslims were an accepted part, albeit marginally, and at a lower rank”</w:t>
      </w:r>
      <w:r w:rsidDel="00000000" w:rsidR="00000000" w:rsidRPr="00000000">
        <w:rPr>
          <w:rFonts w:ascii="Verdana" w:cs="Verdana" w:eastAsia="Verdana" w:hAnsi="Verdana"/>
          <w:sz w:val="20"/>
          <w:szCs w:val="20"/>
          <w:highlight w:val="white"/>
          <w:vertAlign w:val="superscript"/>
        </w:rPr>
        <w:footnoteReference w:customMarkFollows="0" w:id="1"/>
      </w:r>
      <w:r w:rsidDel="00000000" w:rsidR="00000000" w:rsidRPr="00000000">
        <w:rPr>
          <w:rFonts w:ascii="Verdana" w:cs="Verdana" w:eastAsia="Verdana" w:hAnsi="Verdana"/>
          <w:sz w:val="20"/>
          <w:szCs w:val="20"/>
          <w:highlight w:val="white"/>
          <w:rtl w:val="0"/>
        </w:rPr>
        <w:t xml:space="preserve">. This was also reflected in the way in which dhimmis were ordered to pay jizya, as they were commanded to pay it with a bent back and bent head, their hands were to be below the tax collector’s when the transaction took place, and they were often subjected to public humiliations, such as beard grabbing and cheek slapping, in order to make a spectacle of them</w:t>
      </w:r>
      <w:r w:rsidDel="00000000" w:rsidR="00000000" w:rsidRPr="00000000">
        <w:rPr>
          <w:rFonts w:ascii="Verdana" w:cs="Verdana" w:eastAsia="Verdana" w:hAnsi="Verdana"/>
          <w:sz w:val="20"/>
          <w:szCs w:val="20"/>
          <w:highlight w:val="white"/>
          <w:vertAlign w:val="superscript"/>
        </w:rPr>
        <w:footnoteReference w:customMarkFollows="0" w:id="2"/>
      </w:r>
      <w:r w:rsidDel="00000000" w:rsidR="00000000" w:rsidRPr="00000000">
        <w:rPr>
          <w:rFonts w:ascii="Verdana" w:cs="Verdana" w:eastAsia="Verdana" w:hAnsi="Verdana"/>
          <w:sz w:val="20"/>
          <w:szCs w:val="20"/>
          <w:highlight w:val="white"/>
          <w:rtl w:val="0"/>
        </w:rPr>
        <w:t xml:space="preserve">.</w:t>
        <w:br w:type="textWrapping"/>
        <w:br w:type="textWrapping"/>
        <w:t xml:space="preserve">The inequality experienced by the Jews and other non-Muslims was not limited to just finances. Marriage for example, was a subject of particular controversy, with very specific restrictions, particularly regarding Interfaith marriage. A Muslim man was permitted to marry a dhimmi woman, but a dhimmi man could not marry a muslim woman. The precedent for this was based on the belief that the man was to assume the ‘dominant’ or ‘master’ role in the relationship, which implied that he would not be able to be swayed by the lure of his wife’s religion. Additionally, the husband of a dhimmi woman would be legally required to permit his wife to practise her religion in the home, be it prayer, reading scripture (so long as not done in a raised voice) or fasting, but he is able to forbid her from attending her place of worship, as this would be viewed as encouraging her unbelief. However, this subject proved to be problematic even between muslims, as the Shiites deemed interfaith marriage as unacceptable due to the inevitable breach in najasa (meaning ‘that which is seen as impure’, referring to purity laws) that would occur, due to the dhimmi woman not performing the ablutions that were prescribed for the cleansing of impurities.</w:t>
        <w:br w:type="textWrapping"/>
        <w:br w:type="textWrapping"/>
        <w:t xml:space="preserve">However, there is much evidence to suggest that Jews were treated with more favour than other dhimmis. This was primarily due to the similarities that the muslims and jews shared when compared to others. For example, due to the liberal Islamic law regarding eating the food of People of the Book, this enabled Muslims to dine in Jewish homes, which in turn facilitated congenial and often pleasant relationships between the two.</w:t>
        <w:br w:type="textWrapping"/>
        <w:t xml:space="preserve">Chris Lowney discusses the complex, yet favourable pattern of partiality that emerged within the Islamic invasion of Spain, in which the muslims would leave the Jews “in charge… trusting them in preference to the Christians, on account of their hatred and animosity toward the latter</w:t>
      </w:r>
      <w:r w:rsidDel="00000000" w:rsidR="00000000" w:rsidRPr="00000000">
        <w:rPr>
          <w:rFonts w:ascii="Verdana" w:cs="Verdana" w:eastAsia="Verdana" w:hAnsi="Verdana"/>
          <w:sz w:val="20"/>
          <w:szCs w:val="20"/>
          <w:highlight w:val="white"/>
          <w:vertAlign w:val="superscript"/>
        </w:rPr>
        <w:footnoteReference w:customMarkFollows="0" w:id="3"/>
      </w:r>
      <w:r w:rsidDel="00000000" w:rsidR="00000000" w:rsidRPr="00000000">
        <w:rPr>
          <w:rFonts w:ascii="Verdana" w:cs="Verdana" w:eastAsia="Verdana" w:hAnsi="Verdana"/>
          <w:sz w:val="20"/>
          <w:szCs w:val="20"/>
          <w:highlight w:val="white"/>
          <w:rtl w:val="0"/>
        </w:rPr>
        <w:t xml:space="preserve">”. This temporary authority bestowed upon them led the Jews to become dependant and especially vulnerable to the tolerance shown to them by the muslims.</w:t>
        <w:br w:type="textWrapping"/>
        <w:t xml:space="preserve">Despite the over-taxing and other social constraints, the dhimmis were essentially left to their own devices and enjoyed some autonomy in certain small matters. They were subject to their own chiefs and judges, and were able to live in accordance with their own laws in matters of family, religions and relationships.</w:t>
        <w:br w:type="textWrapping"/>
        <w:t xml:space="preserve">Additionally, the Jews were not barred from any occupations, and were not forced into any others, nor were they barred from going to any particular place or stay in one, which is a significant different from Christian Europe, in which the Jews were forced by law to live in ghettos and slums. </w:t>
        <w:br w:type="textWrapping"/>
        <w:br w:type="textWrapping"/>
        <w:t xml:space="preserve">The slight preference of the Jewish dhimmis shown by the Muslim rulers allowed them to reap the rewards of the prosperous Al-Andalus, particularly as merchants, which in turn, led to a higher level of integration into society. With regards to trade, Jews became the middle-men between the muslims and the rest of the world, as it was much easier to trade with christians and other jews when you were jewish. This was due to the fact that the independent spanish christian kingdoms were still in constant battle with the muslims, which made them reluctant to trade, but as there were jews living on both sides of the divide, it kept trade routes open. The occupation of merchant and trader became a niche for the jews, the cause of this being that there were many jewish moneymen in the majority of commercial centers in the Mediterranean, and they were often linked to one another through marriage, which created more trusted contacts that were eager to do business.</w:t>
        <w:br w:type="textWrapping"/>
        <w:br w:type="textWrapping"/>
        <w:t xml:space="preserve">Despite discriminatory laws, economic and social setbacks, it was in this same domain that the Jews were able to thrive, and enjoy a great deal of acceptance when participating in the intellectual circles of the dominant culture,the meetings were regular and were often considered congenial. Arabic was the chosen language of both muslim and jewish scholars, as it carried less negative associations for the jews than latin, which was used by the church who were particularly hostile. The amount of Jewish physicians found within Arab society were considered almost disproportionate to the Jewish presence in the general population, which further demonstrates that the jewish dhimmis, while not treated as equal, were able to flourish under muslim rule.  Scholar Raymond Scheindlin also commented on the status of the Jews in Muslim Spain, stating “No other Jewish community produced as many Jews who achieved positions of power and status and even more power in the non-Jewish world</w:t>
      </w:r>
      <w:r w:rsidDel="00000000" w:rsidR="00000000" w:rsidRPr="00000000">
        <w:rPr>
          <w:rFonts w:ascii="Verdana" w:cs="Verdana" w:eastAsia="Verdana" w:hAnsi="Verdana"/>
          <w:sz w:val="20"/>
          <w:szCs w:val="20"/>
          <w:highlight w:val="white"/>
          <w:vertAlign w:val="superscript"/>
        </w:rPr>
        <w:footnoteReference w:customMarkFollows="0" w:id="4"/>
      </w:r>
      <w:r w:rsidDel="00000000" w:rsidR="00000000" w:rsidRPr="00000000">
        <w:rPr>
          <w:rFonts w:ascii="Verdana" w:cs="Verdana" w:eastAsia="Verdana" w:hAnsi="Verdana"/>
          <w:sz w:val="20"/>
          <w:szCs w:val="20"/>
          <w:highlight w:val="white"/>
          <w:rtl w:val="0"/>
        </w:rPr>
        <w:t xml:space="preserve">”. </w:t>
        <w:br w:type="textWrapping"/>
        <w:br w:type="textWrapping"/>
        <w:t xml:space="preserve">It is thought that Cordoba in particular, while being considered the ‘jewel of the Umayyads’ and being the thriving capital city of Al-Andalus, it also became the centre of Jewish civilization, attracting many scholars from all over Spain and the Jewish world.</w:t>
        <w:br w:type="textWrapping"/>
        <w:t xml:space="preserve">One of the most successful and prominent Jews within Al-Andalus was Hisdai ibn Shaprut (915-975 CE). He was the first known Jewish dignitary to serve the Arab caliphs. Hasdai was born in Jaen, and studied medicine, but also became fluent in Hebrew, Arabic and Latin,which would prove useful when a diplomatic envoy from Byzantium brought a famous pharmaceutical text as a gift to the Umayyad caliph, which Hasdai was able to translate from Latin to Arabic. This enabled him to launch his long and prosperous career in Cordoba as the official physician of the Caliph’s court, as well as holding many diplomatic and financial responsibilities. It is argued that it was Hisdai who laid the foundation for what is known today as the ‘Golden Age’ of Spanish Jewry, as it was his contribution of Hebrew letters, as well as Jewish cultural institutions that had a profound and lasting impact on the intellectual presence of Jewish scholars in muslim society, and particularly Cordoba.</w:t>
        <w:br w:type="textWrapping"/>
        <w:br w:type="textWrapping"/>
        <w:t xml:space="preserve">Another Jewish scholar of influence at this time was Judah Halevi (1075-1141 CE). Halevi mastered biblical Hebrew, Arabic and then explored metaphysics and philosophy. Perhaps one of his most famous works, The Kuzari acted as a defense of the Jewish religion against the challenges of Greek philosophy, Christianity, and Islam. Over the duration of 50 years, Halevi wrote nearly 800 poems, both religious and secular in nature, and as his fame spread throughout the Jewish communities, he moved to Cordoba as it was the ‘cultural capital of Spanish Jewry’</w:t>
      </w:r>
      <w:r w:rsidDel="00000000" w:rsidR="00000000" w:rsidRPr="00000000">
        <w:rPr>
          <w:rFonts w:ascii="Verdana" w:cs="Verdana" w:eastAsia="Verdana" w:hAnsi="Verdana"/>
          <w:sz w:val="20"/>
          <w:szCs w:val="20"/>
          <w:highlight w:val="white"/>
          <w:vertAlign w:val="superscript"/>
        </w:rPr>
        <w:footnoteReference w:customMarkFollows="0" w:id="5"/>
      </w:r>
      <w:r w:rsidDel="00000000" w:rsidR="00000000" w:rsidRPr="00000000">
        <w:rPr>
          <w:rFonts w:ascii="Verdana" w:cs="Verdana" w:eastAsia="Verdana" w:hAnsi="Verdana"/>
          <w:sz w:val="20"/>
          <w:szCs w:val="20"/>
          <w:highlight w:val="white"/>
          <w:rtl w:val="0"/>
        </w:rPr>
        <w:t xml:space="preserve">, and he remained there for many years.</w:t>
        <w:br w:type="textWrapping"/>
        <w:br w:type="textWrapping"/>
        <w:t xml:space="preserve">There are many differing opinions regarding the Jewish-Muslims relations in the middle ages. On the one hand, Jews were publically humiliated and made an example of regularly, they were given a second-class status and citizenship of ‘dhimmi’ within society, and were taxed (jizya) simply because they would not convert. There were also many restrictions placed on who they could marry, as well as restraints on the practise of their faith. However, it can also be argued that while the treatment of the Jewish people was far from just, they were allowed a certain level of autonomy, whilst being able to freely take up employment in any field they wished, and were often successful in that role. Bernard Lewis argued that </w:t>
      </w:r>
      <w:r w:rsidDel="00000000" w:rsidR="00000000" w:rsidRPr="00000000">
        <w:rPr>
          <w:sz w:val="20"/>
          <w:szCs w:val="20"/>
          <w:highlight w:val="white"/>
          <w:rtl w:val="0"/>
        </w:rPr>
        <w:t xml:space="preserve">“</w:t>
      </w:r>
      <w:r w:rsidDel="00000000" w:rsidR="00000000" w:rsidRPr="00000000">
        <w:rPr>
          <w:rFonts w:ascii="Verdana" w:cs="Verdana" w:eastAsia="Verdana" w:hAnsi="Verdana"/>
          <w:sz w:val="20"/>
          <w:szCs w:val="20"/>
          <w:rtl w:val="0"/>
        </w:rPr>
        <w:t xml:space="preserve">in contrast to Christian anti-Semitism, the Muslim attitude toward non-Muslims is one not of hate or fear or envy but simply of contempt”</w:t>
      </w:r>
      <w:r w:rsidDel="00000000" w:rsidR="00000000" w:rsidRPr="00000000">
        <w:rPr>
          <w:rFonts w:ascii="Verdana" w:cs="Verdana" w:eastAsia="Verdana" w:hAnsi="Verdana"/>
          <w:sz w:val="20"/>
          <w:szCs w:val="20"/>
          <w:vertAlign w:val="superscript"/>
        </w:rPr>
        <w:footnoteReference w:customMarkFollows="0" w:id="6"/>
      </w:r>
      <w:r w:rsidDel="00000000" w:rsidR="00000000" w:rsidRPr="00000000">
        <w:rPr>
          <w:rFonts w:ascii="Verdana" w:cs="Verdana" w:eastAsia="Verdana" w:hAnsi="Verdana"/>
          <w:sz w:val="20"/>
          <w:szCs w:val="20"/>
          <w:rtl w:val="0"/>
        </w:rPr>
        <w:t xml:space="preserve">, which suggests that unlike the deep-rooted anti-semitism displayed by the Christians, the negative attitudes shown by the Muslim rulers were simply the norm of any dominant group towards their subjects. Furthermore, scholar Zachary Karabell concurs with this opinion also, and said that “</w:t>
      </w:r>
      <w:r w:rsidDel="00000000" w:rsidR="00000000" w:rsidRPr="00000000">
        <w:rPr>
          <w:rFonts w:ascii="Verdana" w:cs="Verdana" w:eastAsia="Verdana" w:hAnsi="Verdana"/>
          <w:sz w:val="20"/>
          <w:szCs w:val="20"/>
          <w:highlight w:val="white"/>
          <w:rtl w:val="0"/>
        </w:rPr>
        <w:t xml:space="preserve">Jewish communities under the Muslims enjoyed more freedom, affluence, and social standing than any jewish community would until the nineteenth century”</w:t>
      </w:r>
      <w:r w:rsidDel="00000000" w:rsidR="00000000" w:rsidRPr="00000000">
        <w:rPr>
          <w:rFonts w:ascii="Verdana" w:cs="Verdana" w:eastAsia="Verdana" w:hAnsi="Verdana"/>
          <w:sz w:val="20"/>
          <w:szCs w:val="20"/>
          <w:highlight w:val="white"/>
          <w:vertAlign w:val="superscript"/>
        </w:rPr>
        <w:footnoteReference w:customMarkFollows="0" w:id="7"/>
      </w:r>
      <w:r w:rsidDel="00000000" w:rsidR="00000000" w:rsidRPr="00000000">
        <w:rPr>
          <w:rFonts w:ascii="Verdana" w:cs="Verdana" w:eastAsia="Verdana" w:hAnsi="Verdana"/>
          <w:highlight w:val="white"/>
          <w:rtl w:val="0"/>
        </w:rPr>
        <w:t xml:space="preserve">.</w:t>
        <w:br w:type="textWrapping"/>
      </w:r>
      <w:r w:rsidDel="00000000" w:rsidR="00000000" w:rsidRPr="00000000">
        <w:rPr>
          <w:rFonts w:ascii="Verdana" w:cs="Verdana" w:eastAsia="Verdana" w:hAnsi="Verdana"/>
          <w:sz w:val="20"/>
          <w:szCs w:val="20"/>
          <w:highlight w:val="white"/>
          <w:rtl w:val="0"/>
        </w:rPr>
        <w:br w:type="textWrapping"/>
        <w:t xml:space="preserve">In conclusion, while it is true that discrimination was prevalent in muslim society, it can be argued that  this is perhaps outweighed by the fact that the Jewish people were not forced to convert, and were still able to engage in prosperous and congenial relationships with the muslims, personal and otherwise.</w:t>
      </w:r>
      <w:r w:rsidDel="00000000" w:rsidR="00000000" w:rsidRPr="00000000">
        <w:rPr>
          <w:rFonts w:ascii="Verdana" w:cs="Verdana" w:eastAsia="Verdana" w:hAnsi="Verdana"/>
          <w:color w:val="373a3c"/>
          <w:sz w:val="20"/>
          <w:szCs w:val="20"/>
          <w:highlight w:val="white"/>
          <w:rtl w:val="0"/>
        </w:rPr>
        <w:br w:type="textWrapping"/>
        <w:br w:type="textWrapping"/>
      </w:r>
      <w:r w:rsidDel="00000000" w:rsidR="00000000" w:rsidRPr="00000000">
        <w:rPr>
          <w:rFonts w:ascii="Verdana" w:cs="Verdana" w:eastAsia="Verdana" w:hAnsi="Verdana"/>
          <w:color w:val="373a3c"/>
          <w:sz w:val="18"/>
          <w:szCs w:val="18"/>
          <w:highlight w:val="white"/>
          <w:rtl w:val="0"/>
        </w:rPr>
        <w:br w:type="textWrapping"/>
        <w:br w:type="textWrapping"/>
      </w:r>
      <w:r w:rsidDel="00000000" w:rsidR="00000000" w:rsidRPr="00000000">
        <w:rPr>
          <w:rFonts w:ascii="Verdana" w:cs="Verdana" w:eastAsia="Verdana" w:hAnsi="Verdana"/>
          <w:color w:val="373a3c"/>
          <w:highlight w:val="white"/>
          <w:rtl w:val="0"/>
        </w:rPr>
        <w:br w:type="textWrapping"/>
        <w:br w:type="textWrapping"/>
        <w:br w:type="textWrapping"/>
        <w:br w:type="textWrapping"/>
        <w:br w:type="textWrapping"/>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color w:val="373a3c"/>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highlight w:val="white"/>
        </w:rPr>
      </w:pPr>
      <w:r w:rsidDel="00000000" w:rsidR="00000000" w:rsidRPr="00000000">
        <w:rPr>
          <w:rtl w:val="0"/>
        </w:rPr>
      </w:r>
    </w:p>
    <w:p w:rsidR="00000000" w:rsidDel="00000000" w:rsidP="00000000" w:rsidRDefault="00000000" w:rsidRPr="00000000">
      <w:pPr>
        <w:contextualSpacing w:val="0"/>
        <w:rPr>
          <w:rFonts w:ascii="Verdana" w:cs="Verdana" w:eastAsia="Verdana" w:hAnsi="Verdana"/>
          <w:b w:val="1"/>
          <w:highlight w:val="white"/>
          <w:u w:val="single"/>
        </w:rPr>
      </w:pPr>
      <w:r w:rsidDel="00000000" w:rsidR="00000000" w:rsidRPr="00000000">
        <w:rPr>
          <w:rFonts w:ascii="Verdana" w:cs="Verdana" w:eastAsia="Verdana" w:hAnsi="Verdana"/>
          <w:b w:val="1"/>
          <w:sz w:val="24"/>
          <w:szCs w:val="24"/>
          <w:highlight w:val="white"/>
          <w:u w:val="single"/>
          <w:rtl w:val="0"/>
        </w:rPr>
        <w:t xml:space="preserve">Bibliography</w:t>
        <w:br w:type="textWrapping"/>
        <w:br w:type="textWrapping"/>
      </w:r>
      <w:r w:rsidDel="00000000" w:rsidR="00000000" w:rsidRPr="00000000">
        <w:rPr>
          <w:rFonts w:ascii="Verdana" w:cs="Verdana" w:eastAsia="Verdana" w:hAnsi="Verdana"/>
          <w:b w:val="1"/>
          <w:sz w:val="20"/>
          <w:szCs w:val="20"/>
          <w:highlight w:val="white"/>
          <w:u w:val="single"/>
          <w:rtl w:val="0"/>
        </w:rPr>
        <w:t xml:space="preserve">Books:</w:t>
        <w:br w:type="textWrapping"/>
      </w:r>
      <w:r w:rsidDel="00000000" w:rsidR="00000000" w:rsidRPr="00000000">
        <w:rPr>
          <w:rFonts w:ascii="Verdana" w:cs="Verdana" w:eastAsia="Verdana" w:hAnsi="Verdana"/>
          <w:sz w:val="20"/>
          <w:szCs w:val="20"/>
          <w:highlight w:val="white"/>
          <w:rtl w:val="0"/>
        </w:rPr>
        <w:t xml:space="preserve">Cohen, Mark R </w:t>
      </w:r>
      <w:r w:rsidDel="00000000" w:rsidR="00000000" w:rsidRPr="00000000">
        <w:rPr>
          <w:rFonts w:ascii="Verdana" w:cs="Verdana" w:eastAsia="Verdana" w:hAnsi="Verdana"/>
          <w:i w:val="1"/>
          <w:sz w:val="20"/>
          <w:szCs w:val="20"/>
          <w:rtl w:val="0"/>
        </w:rPr>
        <w:t xml:space="preserve">Under Crescent and Cross:The Jews in the Middle Ages</w:t>
      </w:r>
      <w:r w:rsidDel="00000000" w:rsidR="00000000" w:rsidRPr="00000000">
        <w:rPr>
          <w:rFonts w:ascii="Verdana" w:cs="Verdana" w:eastAsia="Verdana" w:hAnsi="Verdana"/>
          <w:sz w:val="20"/>
          <w:szCs w:val="20"/>
          <w:rtl w:val="0"/>
        </w:rPr>
        <w:t xml:space="preserve"> </w:t>
      </w:r>
      <w:r w:rsidDel="00000000" w:rsidR="00000000" w:rsidRPr="00000000">
        <w:rPr>
          <w:rFonts w:ascii="Verdana" w:cs="Verdana" w:eastAsia="Verdana" w:hAnsi="Verdana"/>
          <w:sz w:val="18"/>
          <w:szCs w:val="18"/>
          <w:rtl w:val="0"/>
        </w:rPr>
        <w:t xml:space="preserve">(Princeton University Press, New Jersey 1994)</w:t>
      </w:r>
      <w:r w:rsidDel="00000000" w:rsidR="00000000" w:rsidRPr="00000000">
        <w:rPr>
          <w:rFonts w:ascii="Verdana" w:cs="Verdana" w:eastAsia="Verdana" w:hAnsi="Verdana"/>
          <w:sz w:val="20"/>
          <w:szCs w:val="20"/>
          <w:rtl w:val="0"/>
        </w:rPr>
        <w:br w:type="textWrapping"/>
        <w:t xml:space="preserve">Karabell, Zachary </w:t>
      </w:r>
      <w:r w:rsidDel="00000000" w:rsidR="00000000" w:rsidRPr="00000000">
        <w:rPr>
          <w:rFonts w:ascii="Verdana" w:cs="Verdana" w:eastAsia="Verdana" w:hAnsi="Verdana"/>
          <w:i w:val="1"/>
          <w:sz w:val="20"/>
          <w:szCs w:val="20"/>
          <w:rtl w:val="0"/>
        </w:rPr>
        <w:t xml:space="preserve">Peace Be Upon You </w:t>
      </w:r>
      <w:r w:rsidDel="00000000" w:rsidR="00000000" w:rsidRPr="00000000">
        <w:rPr>
          <w:rFonts w:ascii="Verdana" w:cs="Verdana" w:eastAsia="Verdana" w:hAnsi="Verdana"/>
          <w:sz w:val="18"/>
          <w:szCs w:val="18"/>
          <w:rtl w:val="0"/>
        </w:rPr>
        <w:t xml:space="preserve">(Vintage Books, Random House Inc. New York 2008)</w:t>
      </w:r>
      <w:r w:rsidDel="00000000" w:rsidR="00000000" w:rsidRPr="00000000">
        <w:rPr>
          <w:rFonts w:ascii="Verdana" w:cs="Verdana" w:eastAsia="Verdana" w:hAnsi="Verdana"/>
          <w:sz w:val="20"/>
          <w:szCs w:val="20"/>
          <w:rtl w:val="0"/>
        </w:rPr>
        <w:br w:type="textWrapping"/>
        <w:t xml:space="preserve">Lewis, Bernard </w:t>
      </w:r>
      <w:r w:rsidDel="00000000" w:rsidR="00000000" w:rsidRPr="00000000">
        <w:rPr>
          <w:rFonts w:ascii="Verdana" w:cs="Verdana" w:eastAsia="Verdana" w:hAnsi="Verdana"/>
          <w:i w:val="1"/>
          <w:sz w:val="20"/>
          <w:szCs w:val="20"/>
          <w:rtl w:val="0"/>
        </w:rPr>
        <w:t xml:space="preserve">The Jews of Islam</w:t>
      </w:r>
      <w:r w:rsidDel="00000000" w:rsidR="00000000" w:rsidRPr="00000000">
        <w:rPr>
          <w:rFonts w:ascii="Verdana" w:cs="Verdana" w:eastAsia="Verdana" w:hAnsi="Verdana"/>
          <w:i w:val="1"/>
          <w:sz w:val="18"/>
          <w:szCs w:val="18"/>
          <w:rtl w:val="0"/>
        </w:rPr>
        <w:t xml:space="preserve"> </w:t>
      </w:r>
      <w:r w:rsidDel="00000000" w:rsidR="00000000" w:rsidRPr="00000000">
        <w:rPr>
          <w:rFonts w:ascii="Verdana" w:cs="Verdana" w:eastAsia="Verdana" w:hAnsi="Verdana"/>
          <w:sz w:val="18"/>
          <w:szCs w:val="18"/>
          <w:rtl w:val="0"/>
        </w:rPr>
        <w:t xml:space="preserve">(Princeton University Press, Oxfordshire, UK 1987)</w:t>
      </w:r>
      <w:r w:rsidDel="00000000" w:rsidR="00000000" w:rsidRPr="00000000">
        <w:rPr>
          <w:rFonts w:ascii="Verdana" w:cs="Verdana" w:eastAsia="Verdana" w:hAnsi="Verdana"/>
          <w:sz w:val="20"/>
          <w:szCs w:val="20"/>
          <w:rtl w:val="0"/>
        </w:rPr>
        <w:br w:type="textWrapping"/>
        <w:t xml:space="preserve">Lowney, Chris </w:t>
      </w:r>
      <w:r w:rsidDel="00000000" w:rsidR="00000000" w:rsidRPr="00000000">
        <w:rPr>
          <w:rFonts w:ascii="Verdana" w:cs="Verdana" w:eastAsia="Verdana" w:hAnsi="Verdana"/>
          <w:i w:val="1"/>
          <w:sz w:val="20"/>
          <w:szCs w:val="20"/>
          <w:rtl w:val="0"/>
        </w:rPr>
        <w:t xml:space="preserve">A Vanished World: Muslims, Christians and Jews in Medieval Spain</w:t>
      </w:r>
      <w:r w:rsidDel="00000000" w:rsidR="00000000" w:rsidRPr="00000000">
        <w:rPr>
          <w:rFonts w:ascii="Verdana" w:cs="Verdana" w:eastAsia="Verdana" w:hAnsi="Verdana"/>
          <w:sz w:val="20"/>
          <w:szCs w:val="20"/>
          <w:rtl w:val="0"/>
        </w:rPr>
        <w:t xml:space="preserve"> </w:t>
      </w:r>
      <w:r w:rsidDel="00000000" w:rsidR="00000000" w:rsidRPr="00000000">
        <w:rPr>
          <w:rFonts w:ascii="Verdana" w:cs="Verdana" w:eastAsia="Verdana" w:hAnsi="Verdana"/>
          <w:sz w:val="18"/>
          <w:szCs w:val="18"/>
          <w:rtl w:val="0"/>
        </w:rPr>
        <w:t xml:space="preserve">(Oxford University Press, New York 2006)</w:t>
      </w:r>
      <w:r w:rsidDel="00000000" w:rsidR="00000000" w:rsidRPr="00000000">
        <w:rPr>
          <w:rFonts w:ascii="Verdana" w:cs="Verdana" w:eastAsia="Verdana" w:hAnsi="Verdana"/>
          <w:sz w:val="20"/>
          <w:szCs w:val="20"/>
          <w:rtl w:val="0"/>
        </w:rPr>
        <w:br w:type="textWrapping"/>
        <w:t xml:space="preserve">Scheindlin, Raymond P. </w:t>
      </w:r>
      <w:r w:rsidDel="00000000" w:rsidR="00000000" w:rsidRPr="00000000">
        <w:rPr>
          <w:rFonts w:ascii="Verdana" w:cs="Verdana" w:eastAsia="Verdana" w:hAnsi="Verdana"/>
          <w:i w:val="1"/>
          <w:sz w:val="20"/>
          <w:szCs w:val="20"/>
          <w:rtl w:val="0"/>
        </w:rPr>
        <w:t xml:space="preserve">The Legacy of Jews in Spain: The Jews in Muslim Spain</w:t>
      </w:r>
      <w:r w:rsidDel="00000000" w:rsidR="00000000" w:rsidRPr="00000000">
        <w:rPr>
          <w:rFonts w:ascii="Verdana" w:cs="Verdana" w:eastAsia="Verdana" w:hAnsi="Verdana"/>
          <w:i w:val="1"/>
          <w:sz w:val="18"/>
          <w:szCs w:val="18"/>
          <w:rtl w:val="0"/>
        </w:rPr>
        <w:t xml:space="preserve"> </w:t>
      </w:r>
      <w:r w:rsidDel="00000000" w:rsidR="00000000" w:rsidRPr="00000000">
        <w:rPr>
          <w:rFonts w:ascii="Verdana" w:cs="Verdana" w:eastAsia="Verdana" w:hAnsi="Verdana"/>
          <w:sz w:val="18"/>
          <w:szCs w:val="18"/>
          <w:rtl w:val="0"/>
        </w:rPr>
        <w:t xml:space="preserve">(E.J. Brill, Leiden, The Netherlands 1994)</w:t>
      </w:r>
      <w:r w:rsidDel="00000000" w:rsidR="00000000" w:rsidRPr="00000000">
        <w:rPr>
          <w:rFonts w:ascii="Verdana" w:cs="Verdana" w:eastAsia="Verdana" w:hAnsi="Verdana"/>
          <w:sz w:val="20"/>
          <w:szCs w:val="20"/>
          <w:rtl w:val="0"/>
        </w:rPr>
        <w:br w:type="textWrapping"/>
        <w:br w:type="textWrapping"/>
      </w:r>
      <w:r w:rsidDel="00000000" w:rsidR="00000000" w:rsidRPr="00000000">
        <w:rPr>
          <w:rFonts w:ascii="Verdana" w:cs="Verdana" w:eastAsia="Verdana" w:hAnsi="Verdana"/>
          <w:b w:val="1"/>
          <w:sz w:val="20"/>
          <w:szCs w:val="20"/>
          <w:u w:val="single"/>
          <w:rtl w:val="0"/>
        </w:rPr>
        <w:t xml:space="preserve">Websites:</w:t>
      </w:r>
      <w:r w:rsidDel="00000000" w:rsidR="00000000" w:rsidRPr="00000000">
        <w:rPr>
          <w:rFonts w:ascii="Verdana" w:cs="Verdana" w:eastAsia="Verdana" w:hAnsi="Verdana"/>
          <w:b w:val="1"/>
          <w:u w:val="single"/>
          <w:rtl w:val="0"/>
        </w:rPr>
        <w:br w:type="textWrapping"/>
      </w:r>
      <w:r w:rsidDel="00000000" w:rsidR="00000000" w:rsidRPr="00000000">
        <w:rPr>
          <w:sz w:val="20"/>
          <w:szCs w:val="20"/>
          <w:rtl w:val="0"/>
        </w:rPr>
        <w:t xml:space="preserve">Isaac Ben Baruch Albalia, </w:t>
      </w:r>
      <w:r w:rsidDel="00000000" w:rsidR="00000000" w:rsidRPr="00000000">
        <w:rPr>
          <w:i w:val="1"/>
          <w:sz w:val="20"/>
          <w:szCs w:val="20"/>
          <w:rtl w:val="0"/>
        </w:rPr>
        <w:t xml:space="preserve">My Virtual Jewish Library:Judah Halevi </w:t>
      </w:r>
      <w:r w:rsidDel="00000000" w:rsidR="00000000" w:rsidRPr="00000000">
        <w:rPr>
          <w:sz w:val="20"/>
          <w:szCs w:val="20"/>
          <w:rtl w:val="0"/>
        </w:rPr>
        <w:t xml:space="preserve">(accessed 07/12/17)</w:t>
      </w:r>
      <w:r w:rsidDel="00000000" w:rsidR="00000000" w:rsidRPr="00000000">
        <w:rPr>
          <w:i w:val="1"/>
          <w:sz w:val="20"/>
          <w:szCs w:val="20"/>
          <w:rtl w:val="0"/>
        </w:rPr>
        <w:br w:type="textWrapping"/>
      </w:r>
      <w:hyperlink r:id="rId7">
        <w:r w:rsidDel="00000000" w:rsidR="00000000" w:rsidRPr="00000000">
          <w:rPr>
            <w:color w:val="1155cc"/>
            <w:sz w:val="20"/>
            <w:szCs w:val="20"/>
            <w:u w:val="single"/>
            <w:rtl w:val="0"/>
          </w:rPr>
          <w:t xml:space="preserve">http://www.jewishvirtuallibrary.org/judah-halevi</w:t>
        </w:r>
      </w:hyperlink>
      <w:r w:rsidDel="00000000" w:rsidR="00000000" w:rsidRPr="00000000">
        <w:rPr>
          <w:sz w:val="20"/>
          <w:szCs w:val="20"/>
          <w:rtl w:val="0"/>
        </w:rPr>
        <w:t xml:space="preserve"> </w:t>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Verdan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rFonts w:ascii="Verdana" w:cs="Verdana" w:eastAsia="Verdana" w:hAnsi="Verdana"/>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Verdana" w:cs="Verdana" w:eastAsia="Verdana" w:hAnsi="Verdana"/>
          <w:sz w:val="16"/>
          <w:szCs w:val="16"/>
          <w:rtl w:val="0"/>
        </w:rPr>
        <w:t xml:space="preserve">Mark R. Cohen </w:t>
      </w:r>
      <w:r w:rsidDel="00000000" w:rsidR="00000000" w:rsidRPr="00000000">
        <w:rPr>
          <w:rFonts w:ascii="Verdana" w:cs="Verdana" w:eastAsia="Verdana" w:hAnsi="Verdana"/>
          <w:i w:val="1"/>
          <w:sz w:val="16"/>
          <w:szCs w:val="16"/>
          <w:rtl w:val="0"/>
        </w:rPr>
        <w:t xml:space="preserve">Under Crescent and Cross:The Jews in the Middle Ages</w:t>
      </w:r>
      <w:r w:rsidDel="00000000" w:rsidR="00000000" w:rsidRPr="00000000">
        <w:rPr>
          <w:rFonts w:ascii="Verdana" w:cs="Verdana" w:eastAsia="Verdana" w:hAnsi="Verdana"/>
          <w:sz w:val="16"/>
          <w:szCs w:val="16"/>
          <w:rtl w:val="0"/>
        </w:rPr>
        <w:t xml:space="preserve"> (pg 55)</w:t>
      </w:r>
    </w:p>
  </w:footnote>
  <w:footnote w:id="1">
    <w:p w:rsidR="00000000" w:rsidDel="00000000" w:rsidP="00000000" w:rsidRDefault="00000000" w:rsidRPr="00000000">
      <w:pPr>
        <w:spacing w:line="240" w:lineRule="auto"/>
        <w:contextualSpacing w:val="0"/>
        <w:rPr>
          <w:rFonts w:ascii="Verdana" w:cs="Verdana" w:eastAsia="Verdana" w:hAnsi="Verdana"/>
          <w:sz w:val="16"/>
          <w:szCs w:val="16"/>
        </w:rPr>
      </w:pPr>
      <w:r w:rsidDel="00000000" w:rsidR="00000000" w:rsidRPr="00000000">
        <w:rPr>
          <w:rStyle w:val="FootnoteReference"/>
          <w:vertAlign w:val="superscript"/>
        </w:rPr>
        <w:footnoteRef/>
      </w:r>
      <w:r w:rsidDel="00000000" w:rsidR="00000000" w:rsidRPr="00000000">
        <w:rPr>
          <w:rFonts w:ascii="Verdana" w:cs="Verdana" w:eastAsia="Verdana" w:hAnsi="Verdana"/>
          <w:sz w:val="16"/>
          <w:szCs w:val="16"/>
          <w:rtl w:val="0"/>
        </w:rPr>
        <w:t xml:space="preserve"> </w:t>
      </w:r>
      <w:r w:rsidDel="00000000" w:rsidR="00000000" w:rsidRPr="00000000">
        <w:rPr>
          <w:rFonts w:ascii="Verdana" w:cs="Verdana" w:eastAsia="Verdana" w:hAnsi="Verdana"/>
          <w:sz w:val="16"/>
          <w:szCs w:val="16"/>
          <w:highlight w:val="white"/>
          <w:rtl w:val="0"/>
        </w:rPr>
        <w:t xml:space="preserve">Mark R. Cohen  </w:t>
      </w:r>
      <w:r w:rsidDel="00000000" w:rsidR="00000000" w:rsidRPr="00000000">
        <w:rPr>
          <w:rFonts w:ascii="Verdana" w:cs="Verdana" w:eastAsia="Verdana" w:hAnsi="Verdana"/>
          <w:i w:val="1"/>
          <w:sz w:val="16"/>
          <w:szCs w:val="16"/>
          <w:highlight w:val="white"/>
          <w:rtl w:val="0"/>
        </w:rPr>
        <w:t xml:space="preserve">Under Crescent and Cross</w:t>
      </w:r>
      <w:r w:rsidDel="00000000" w:rsidR="00000000" w:rsidRPr="00000000">
        <w:rPr>
          <w:rFonts w:ascii="Verdana" w:cs="Verdana" w:eastAsia="Verdana" w:hAnsi="Verdana"/>
          <w:sz w:val="16"/>
          <w:szCs w:val="16"/>
          <w:highlight w:val="white"/>
          <w:rtl w:val="0"/>
        </w:rPr>
        <w:t xml:space="preserve"> (Pg 131-132)</w:t>
      </w:r>
      <w:r w:rsidDel="00000000" w:rsidR="00000000" w:rsidRPr="00000000">
        <w:rPr>
          <w:rtl w:val="0"/>
        </w:rPr>
      </w:r>
    </w:p>
  </w:footnote>
  <w:footnote w:id="2">
    <w:p w:rsidR="00000000" w:rsidDel="00000000" w:rsidP="00000000" w:rsidRDefault="00000000" w:rsidRPr="00000000">
      <w:pPr>
        <w:spacing w:line="240" w:lineRule="auto"/>
        <w:contextualSpacing w:val="0"/>
        <w:rPr>
          <w:rFonts w:ascii="Verdana" w:cs="Verdana" w:eastAsia="Verdana" w:hAnsi="Verdana"/>
          <w:i w:val="1"/>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Verdana" w:cs="Verdana" w:eastAsia="Verdana" w:hAnsi="Verdana"/>
          <w:sz w:val="20"/>
          <w:szCs w:val="20"/>
          <w:rtl w:val="0"/>
        </w:rPr>
        <w:t xml:space="preserve"> </w:t>
      </w:r>
      <w:r w:rsidDel="00000000" w:rsidR="00000000" w:rsidRPr="00000000">
        <w:rPr>
          <w:rFonts w:ascii="Verdana" w:cs="Verdana" w:eastAsia="Verdana" w:hAnsi="Verdana"/>
          <w:sz w:val="16"/>
          <w:szCs w:val="16"/>
          <w:rtl w:val="0"/>
        </w:rPr>
        <w:t xml:space="preserve">Bernard Lewis </w:t>
      </w:r>
      <w:r w:rsidDel="00000000" w:rsidR="00000000" w:rsidRPr="00000000">
        <w:rPr>
          <w:rFonts w:ascii="Verdana" w:cs="Verdana" w:eastAsia="Verdana" w:hAnsi="Verdana"/>
          <w:i w:val="1"/>
          <w:sz w:val="16"/>
          <w:szCs w:val="16"/>
          <w:rtl w:val="0"/>
        </w:rPr>
        <w:t xml:space="preserve">The Jews of Islam  (pg 15)</w:t>
      </w:r>
    </w:p>
  </w:footnote>
  <w:footnote w:id="3">
    <w:p w:rsidR="00000000" w:rsidDel="00000000" w:rsidP="00000000" w:rsidRDefault="00000000" w:rsidRPr="00000000">
      <w:pPr>
        <w:spacing w:line="240" w:lineRule="auto"/>
        <w:contextualSpacing w:val="0"/>
        <w:rPr>
          <w:rFonts w:ascii="Verdana" w:cs="Verdana" w:eastAsia="Verdana" w:hAnsi="Verdana"/>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Verdana" w:cs="Verdana" w:eastAsia="Verdana" w:hAnsi="Verdana"/>
          <w:sz w:val="16"/>
          <w:szCs w:val="16"/>
          <w:rtl w:val="0"/>
        </w:rPr>
        <w:t xml:space="preserve">Chris Lowney </w:t>
      </w:r>
      <w:r w:rsidDel="00000000" w:rsidR="00000000" w:rsidRPr="00000000">
        <w:rPr>
          <w:rFonts w:ascii="Verdana" w:cs="Verdana" w:eastAsia="Verdana" w:hAnsi="Verdana"/>
          <w:i w:val="1"/>
          <w:sz w:val="16"/>
          <w:szCs w:val="16"/>
          <w:rtl w:val="0"/>
        </w:rPr>
        <w:t xml:space="preserve">A Vanished World: Muslims, Christians and Jews in Medieval Spain </w:t>
      </w:r>
      <w:r w:rsidDel="00000000" w:rsidR="00000000" w:rsidRPr="00000000">
        <w:rPr>
          <w:rFonts w:ascii="Verdana" w:cs="Verdana" w:eastAsia="Verdana" w:hAnsi="Verdana"/>
          <w:sz w:val="16"/>
          <w:szCs w:val="16"/>
          <w:rtl w:val="0"/>
        </w:rPr>
        <w:t xml:space="preserve">(pg 96)</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P. Scheindlin </w:t>
      </w:r>
      <w:r w:rsidDel="00000000" w:rsidR="00000000" w:rsidRPr="00000000">
        <w:rPr>
          <w:i w:val="1"/>
          <w:sz w:val="20"/>
          <w:szCs w:val="20"/>
          <w:rtl w:val="0"/>
        </w:rPr>
        <w:t xml:space="preserve">The Legacy of Muslim Spain:The Jews in Muslim Spain</w:t>
      </w:r>
      <w:r w:rsidDel="00000000" w:rsidR="00000000" w:rsidRPr="00000000">
        <w:rPr>
          <w:sz w:val="20"/>
          <w:szCs w:val="20"/>
          <w:rtl w:val="0"/>
        </w:rPr>
        <w:t xml:space="preserve"> (Pg 188)</w:t>
      </w:r>
    </w:p>
  </w:footnote>
  <w:footnote w:id="5">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Isaac Ben Baruch Albalia :</w:t>
      </w:r>
      <w:r w:rsidDel="00000000" w:rsidR="00000000" w:rsidRPr="00000000">
        <w:rPr>
          <w:i w:val="1"/>
          <w:sz w:val="20"/>
          <w:szCs w:val="20"/>
          <w:rtl w:val="0"/>
        </w:rPr>
        <w:t xml:space="preserve">Judah Halevi</w:t>
        <w:br w:type="textWrapping"/>
      </w:r>
      <w:hyperlink r:id="rId1">
        <w:r w:rsidDel="00000000" w:rsidR="00000000" w:rsidRPr="00000000">
          <w:rPr>
            <w:color w:val="1155cc"/>
            <w:sz w:val="20"/>
            <w:szCs w:val="20"/>
            <w:u w:val="single"/>
            <w:rtl w:val="0"/>
          </w:rPr>
          <w:t xml:space="preserve">http://www.jewishvirtuallibrary.org/judah-halevi</w:t>
        </w:r>
      </w:hyperlink>
      <w:r w:rsidDel="00000000" w:rsidR="00000000" w:rsidRPr="00000000">
        <w:rPr>
          <w:sz w:val="20"/>
          <w:szCs w:val="20"/>
          <w:rtl w:val="0"/>
        </w:rPr>
        <w:t xml:space="preserve"> </w:t>
      </w:r>
      <w:r w:rsidDel="00000000" w:rsidR="00000000" w:rsidRPr="00000000">
        <w:rPr>
          <w:i w:val="1"/>
          <w:sz w:val="20"/>
          <w:szCs w:val="20"/>
          <w:rtl w:val="0"/>
        </w:rPr>
        <w:br w:type="textWrapping"/>
      </w:r>
    </w:p>
  </w:footnote>
  <w:footnote w:id="6">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Bernard Lewis </w:t>
      </w:r>
      <w:r w:rsidDel="00000000" w:rsidR="00000000" w:rsidRPr="00000000">
        <w:rPr>
          <w:i w:val="1"/>
          <w:sz w:val="20"/>
          <w:szCs w:val="20"/>
          <w:rtl w:val="0"/>
        </w:rPr>
        <w:t xml:space="preserve">The Jews of Islam (pg 33)</w:t>
      </w:r>
    </w:p>
  </w:footnote>
  <w:footnote w:id="7">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Zachary Karabell </w:t>
      </w:r>
      <w:r w:rsidDel="00000000" w:rsidR="00000000" w:rsidRPr="00000000">
        <w:rPr>
          <w:i w:val="1"/>
          <w:sz w:val="20"/>
          <w:szCs w:val="20"/>
          <w:rtl w:val="0"/>
        </w:rPr>
        <w:t xml:space="preserve">Peace Be Upon You (pg71)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jewishvirtuallibrary.org/judah-halevi"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jewishvirtuallibrary.org/judah-halev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